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rPr>
          <w:rFonts w:ascii="Calibri" w:cs="Calibri" w:eastAsia="Calibri" w:hAnsi="Calibri"/>
          <w:b w:val="1"/>
          <w:i w:val="1"/>
          <w:u w:val="single"/>
        </w:rPr>
      </w:pPr>
      <w:r w:rsidDel="00000000" w:rsidR="00000000" w:rsidRPr="00000000">
        <w:rPr>
          <w:rFonts w:ascii="Calibri" w:cs="Calibri" w:eastAsia="Calibri" w:hAnsi="Calibri"/>
          <w:b w:val="1"/>
          <w:i w:val="1"/>
          <w:u w:val="single"/>
          <w:rtl w:val="0"/>
        </w:rPr>
        <w:t xml:space="preserve">In 200 words write the storyteller’s story.</w:t>
      </w:r>
    </w:p>
    <w:p w:rsidR="00000000" w:rsidDel="00000000" w:rsidP="00000000" w:rsidRDefault="00000000" w:rsidRPr="00000000" w14:paraId="00000001">
      <w:pPr>
        <w:contextualSpacing w:val="0"/>
        <w:rPr>
          <w:rFonts w:ascii="Calibri" w:cs="Calibri" w:eastAsia="Calibri" w:hAnsi="Calibri"/>
        </w:rPr>
      </w:pPr>
      <w:r w:rsidDel="00000000" w:rsidR="00000000" w:rsidRPr="00000000">
        <w:rPr>
          <w:rFonts w:ascii="Calibri" w:cs="Calibri" w:eastAsia="Calibri" w:hAnsi="Calibri"/>
          <w:rtl w:val="0"/>
        </w:rPr>
        <w:t xml:space="preserve">Antilochus, swift of foot, came to bear tidings to Achilles. Him he found in front of his ships with upright horns, and unto him he spoke; “Woe is me, thou son of wise-hearted Peleus; grievous is the tidings thou must hear, such as I would had never been. Fallen lies Patroclus, and around his corpse are fighting - his corpse naked, his armour held by Hector of the flashing helm.”</w:t>
      </w:r>
    </w:p>
    <w:p w:rsidR="00000000" w:rsidDel="00000000" w:rsidP="00000000" w:rsidRDefault="00000000" w:rsidRPr="00000000" w14:paraId="00000002">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03">
      <w:pPr>
        <w:contextualSpacing w:val="0"/>
        <w:rPr>
          <w:rFonts w:ascii="Calibri" w:cs="Calibri" w:eastAsia="Calibri" w:hAnsi="Calibri"/>
        </w:rPr>
      </w:pPr>
      <w:r w:rsidDel="00000000" w:rsidR="00000000" w:rsidRPr="00000000">
        <w:rPr>
          <w:rFonts w:ascii="Calibri" w:cs="Calibri" w:eastAsia="Calibri" w:hAnsi="Calibri"/>
          <w:rtl w:val="0"/>
        </w:rPr>
        <w:t xml:space="preserve">A black cloud of grief enwrapped Achilles, and with both his hands he took the dark ash and threw it over his head and defiled his face, and himself in the dust lay he outstretched, mighty in his mightiness, and with his own hands he tore and marred his hair. Over and against him Antilochus wailed and shed tears, holding the hands of Achilles, for he feared that noble heart should bade him to cut his throat asunder with his knife.</w:t>
      </w:r>
    </w:p>
    <w:p w:rsidR="00000000" w:rsidDel="00000000" w:rsidP="00000000" w:rsidRDefault="00000000" w:rsidRPr="00000000" w14:paraId="00000004">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05">
      <w:pPr>
        <w:contextualSpacing w:val="0"/>
        <w:rPr>
          <w:rFonts w:ascii="Calibri" w:cs="Calibri" w:eastAsia="Calibri" w:hAnsi="Calibri"/>
        </w:rPr>
      </w:pPr>
      <w:r w:rsidDel="00000000" w:rsidR="00000000" w:rsidRPr="00000000">
        <w:rPr>
          <w:rFonts w:ascii="Calibri" w:cs="Calibri" w:eastAsia="Calibri" w:hAnsi="Calibri"/>
          <w:rtl w:val="0"/>
        </w:rPr>
        <w:t xml:space="preserve">Terribly did Achilles groan aloud, such that his queenly mother heard him as she sat in the depths of the sea beside her father, till she uttered a shrill cry and the goddesses thronged about her; even all the daughters of Nereus that were in the deep of the sea.</w:t>
      </w:r>
      <w:r w:rsidDel="00000000" w:rsidR="00000000" w:rsidRPr="00000000">
        <w:rPr>
          <w:rFonts w:ascii="Calibri" w:cs="Calibri" w:eastAsia="Calibri" w:hAnsi="Calibri"/>
          <w:vertAlign w:val="superscript"/>
        </w:rPr>
        <w:footnoteReference w:customMarkFollows="0" w:id="0"/>
      </w:r>
      <w:r w:rsidDel="00000000" w:rsidR="00000000" w:rsidRPr="00000000">
        <w:rPr>
          <w:rtl w:val="0"/>
        </w:rPr>
      </w:r>
    </w:p>
    <w:p w:rsidR="00000000" w:rsidDel="00000000" w:rsidP="00000000" w:rsidRDefault="00000000" w:rsidRPr="00000000" w14:paraId="00000006">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07">
      <w:pPr>
        <w:contextualSpacing w:val="0"/>
        <w:rPr>
          <w:rFonts w:ascii="Calibri" w:cs="Calibri" w:eastAsia="Calibri" w:hAnsi="Calibri"/>
          <w:b w:val="1"/>
          <w:i w:val="1"/>
          <w:u w:val="single"/>
        </w:rPr>
      </w:pPr>
      <w:r w:rsidDel="00000000" w:rsidR="00000000" w:rsidRPr="00000000">
        <w:rPr>
          <w:rFonts w:ascii="Calibri" w:cs="Calibri" w:eastAsia="Calibri" w:hAnsi="Calibri"/>
          <w:b w:val="1"/>
          <w:i w:val="1"/>
          <w:u w:val="single"/>
          <w:rtl w:val="0"/>
        </w:rPr>
        <w:t xml:space="preserve">In 300 words explain Homer using appropriate evidence, whether the story supports or subverts Athenian mores.</w:t>
      </w:r>
    </w:p>
    <w:p w:rsidR="00000000" w:rsidDel="00000000" w:rsidP="00000000" w:rsidRDefault="00000000" w:rsidRPr="00000000" w14:paraId="00000008">
      <w:pPr>
        <w:contextualSpacing w:val="0"/>
        <w:rPr>
          <w:rFonts w:ascii="Calibri" w:cs="Calibri" w:eastAsia="Calibri" w:hAnsi="Calibri"/>
        </w:rPr>
      </w:pPr>
      <w:r w:rsidDel="00000000" w:rsidR="00000000" w:rsidRPr="00000000">
        <w:rPr>
          <w:rFonts w:ascii="Calibri" w:cs="Calibri" w:eastAsia="Calibri" w:hAnsi="Calibri"/>
          <w:rtl w:val="0"/>
        </w:rPr>
        <w:t xml:space="preserve">Stories are inevitably a reflection of the culture that produced them, either because they subvert established norms or because they support or include those norms. There is, in each case, speculation both modern</w:t>
      </w:r>
      <w:r w:rsidDel="00000000" w:rsidR="00000000" w:rsidRPr="00000000">
        <w:rPr>
          <w:rFonts w:ascii="Calibri" w:cs="Calibri" w:eastAsia="Calibri" w:hAnsi="Calibri"/>
          <w:vertAlign w:val="superscript"/>
        </w:rPr>
        <w:footnoteReference w:customMarkFollows="0" w:id="1"/>
      </w:r>
      <w:r w:rsidDel="00000000" w:rsidR="00000000" w:rsidRPr="00000000">
        <w:rPr>
          <w:rFonts w:ascii="Calibri" w:cs="Calibri" w:eastAsia="Calibri" w:hAnsi="Calibri"/>
          <w:rtl w:val="0"/>
        </w:rPr>
        <w:t xml:space="preserve"> and contemporary as to whether or not those stories do or do not subvert Athenian mores; such as the nature of the relationship between Achilles and Patroclus, given that Homer does not support or deny the idea of theirs being a pederastic relationship.</w:t>
      </w:r>
    </w:p>
    <w:p w:rsidR="00000000" w:rsidDel="00000000" w:rsidP="00000000" w:rsidRDefault="00000000" w:rsidRPr="00000000" w14:paraId="00000009">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0A">
      <w:pPr>
        <w:contextualSpacing w:val="0"/>
        <w:rPr>
          <w:rFonts w:ascii="Calibri" w:cs="Calibri" w:eastAsia="Calibri" w:hAnsi="Calibri"/>
        </w:rPr>
      </w:pPr>
      <w:r w:rsidDel="00000000" w:rsidR="00000000" w:rsidRPr="00000000">
        <w:rPr>
          <w:rFonts w:ascii="Calibri" w:cs="Calibri" w:eastAsia="Calibri" w:hAnsi="Calibri"/>
          <w:rtl w:val="0"/>
        </w:rPr>
        <w:t xml:space="preserve">The idea that Achilles and Patroclus are in a pederastic relationship does support Athenian mores, as pederasty was a common and accepted relationship</w:t>
      </w:r>
      <w:r w:rsidDel="00000000" w:rsidR="00000000" w:rsidRPr="00000000">
        <w:rPr>
          <w:rFonts w:ascii="Calibri" w:cs="Calibri" w:eastAsia="Calibri" w:hAnsi="Calibri"/>
          <w:vertAlign w:val="superscript"/>
        </w:rPr>
        <w:footnoteReference w:customMarkFollows="0" w:id="2"/>
      </w:r>
      <w:r w:rsidDel="00000000" w:rsidR="00000000" w:rsidRPr="00000000">
        <w:rPr>
          <w:rFonts w:ascii="Calibri" w:cs="Calibri" w:eastAsia="Calibri" w:hAnsi="Calibri"/>
          <w:rtl w:val="0"/>
        </w:rPr>
        <w:t xml:space="preserve"> at the time. However, there is debate over which role which man played, as such relationships always had a dominant (</w:t>
      </w:r>
      <w:r w:rsidDel="00000000" w:rsidR="00000000" w:rsidRPr="00000000">
        <w:rPr>
          <w:rFonts w:ascii="Calibri" w:cs="Calibri" w:eastAsia="Calibri" w:hAnsi="Calibri"/>
          <w:i w:val="1"/>
          <w:rtl w:val="0"/>
        </w:rPr>
        <w:t xml:space="preserve">erastḗs</w:t>
      </w:r>
      <w:r w:rsidDel="00000000" w:rsidR="00000000" w:rsidRPr="00000000">
        <w:rPr>
          <w:rFonts w:ascii="Calibri" w:cs="Calibri" w:eastAsia="Calibri" w:hAnsi="Calibri"/>
          <w:rtl w:val="0"/>
        </w:rPr>
        <w:t xml:space="preserve">) partner, and a passive (</w:t>
      </w:r>
      <w:r w:rsidDel="00000000" w:rsidR="00000000" w:rsidRPr="00000000">
        <w:rPr>
          <w:rFonts w:ascii="Calibri" w:cs="Calibri" w:eastAsia="Calibri" w:hAnsi="Calibri"/>
          <w:i w:val="1"/>
          <w:rtl w:val="0"/>
        </w:rPr>
        <w:t xml:space="preserve">erṓmenos</w:t>
      </w:r>
      <w:r w:rsidDel="00000000" w:rsidR="00000000" w:rsidRPr="00000000">
        <w:rPr>
          <w:rFonts w:ascii="Calibri" w:cs="Calibri" w:eastAsia="Calibri" w:hAnsi="Calibri"/>
          <w:rtl w:val="0"/>
        </w:rPr>
        <w:t xml:space="preserve">) one</w:t>
      </w:r>
      <w:r w:rsidDel="00000000" w:rsidR="00000000" w:rsidRPr="00000000">
        <w:rPr>
          <w:rFonts w:ascii="Calibri" w:cs="Calibri" w:eastAsia="Calibri" w:hAnsi="Calibri"/>
          <w:vertAlign w:val="superscript"/>
          <w:rtl w:val="0"/>
        </w:rPr>
        <w:t xml:space="preserve">1</w:t>
      </w:r>
      <w:r w:rsidDel="00000000" w:rsidR="00000000" w:rsidRPr="00000000">
        <w:rPr>
          <w:rFonts w:ascii="Calibri" w:cs="Calibri" w:eastAsia="Calibri" w:hAnsi="Calibri"/>
          <w:rtl w:val="0"/>
        </w:rPr>
        <w:t xml:space="preserve">; contemporary works inspired by the </w:t>
      </w:r>
      <w:r w:rsidDel="00000000" w:rsidR="00000000" w:rsidRPr="00000000">
        <w:rPr>
          <w:rFonts w:ascii="Calibri" w:cs="Calibri" w:eastAsia="Calibri" w:hAnsi="Calibri"/>
          <w:i w:val="1"/>
          <w:rtl w:val="0"/>
        </w:rPr>
        <w:t xml:space="preserve">Iliad</w:t>
      </w:r>
      <w:r w:rsidDel="00000000" w:rsidR="00000000" w:rsidRPr="00000000">
        <w:rPr>
          <w:rFonts w:ascii="Calibri" w:cs="Calibri" w:eastAsia="Calibri" w:hAnsi="Calibri"/>
          <w:rtl w:val="0"/>
        </w:rPr>
        <w:t xml:space="preserve">, such as Aeschylus’ </w:t>
      </w:r>
      <w:r w:rsidDel="00000000" w:rsidR="00000000" w:rsidRPr="00000000">
        <w:rPr>
          <w:rFonts w:ascii="Calibri" w:cs="Calibri" w:eastAsia="Calibri" w:hAnsi="Calibri"/>
          <w:i w:val="1"/>
          <w:rtl w:val="0"/>
        </w:rPr>
        <w:t xml:space="preserve">The Myrmidons</w:t>
      </w:r>
      <w:r w:rsidDel="00000000" w:rsidR="00000000" w:rsidRPr="00000000">
        <w:rPr>
          <w:rFonts w:ascii="Calibri" w:cs="Calibri" w:eastAsia="Calibri" w:hAnsi="Calibri"/>
          <w:rtl w:val="0"/>
        </w:rPr>
        <w:t xml:space="preserve">, places Achilles as the </w:t>
      </w:r>
      <w:r w:rsidDel="00000000" w:rsidR="00000000" w:rsidRPr="00000000">
        <w:rPr>
          <w:rFonts w:ascii="Calibri" w:cs="Calibri" w:eastAsia="Calibri" w:hAnsi="Calibri"/>
          <w:i w:val="1"/>
          <w:rtl w:val="0"/>
        </w:rPr>
        <w:t xml:space="preserve">erastḗs</w:t>
      </w:r>
      <w:r w:rsidDel="00000000" w:rsidR="00000000" w:rsidRPr="00000000">
        <w:rPr>
          <w:rFonts w:ascii="Calibri" w:cs="Calibri" w:eastAsia="Calibri" w:hAnsi="Calibri"/>
          <w:vertAlign w:val="superscript"/>
        </w:rPr>
        <w:footnoteReference w:customMarkFollows="0" w:id="3"/>
      </w:r>
      <w:r w:rsidDel="00000000" w:rsidR="00000000" w:rsidRPr="00000000">
        <w:rPr>
          <w:rFonts w:ascii="Calibri" w:cs="Calibri" w:eastAsia="Calibri" w:hAnsi="Calibri"/>
          <w:rtl w:val="0"/>
        </w:rPr>
        <w:t xml:space="preserve">, while others, such as in Plato’s </w:t>
      </w:r>
      <w:r w:rsidDel="00000000" w:rsidR="00000000" w:rsidRPr="00000000">
        <w:rPr>
          <w:rFonts w:ascii="Calibri" w:cs="Calibri" w:eastAsia="Calibri" w:hAnsi="Calibri"/>
          <w:i w:val="1"/>
          <w:rtl w:val="0"/>
        </w:rPr>
        <w:t xml:space="preserve">Symposium</w:t>
      </w:r>
      <w:r w:rsidDel="00000000" w:rsidR="00000000" w:rsidRPr="00000000">
        <w:rPr>
          <w:rFonts w:ascii="Calibri" w:cs="Calibri" w:eastAsia="Calibri" w:hAnsi="Calibri"/>
          <w:rtl w:val="0"/>
        </w:rPr>
        <w:t xml:space="preserve">, believed Patroclus was intended to be the dominant partner</w:t>
      </w:r>
      <w:r w:rsidDel="00000000" w:rsidR="00000000" w:rsidRPr="00000000">
        <w:rPr>
          <w:rFonts w:ascii="Calibri" w:cs="Calibri" w:eastAsia="Calibri" w:hAnsi="Calibri"/>
          <w:vertAlign w:val="superscript"/>
        </w:rPr>
        <w:footnoteReference w:customMarkFollows="0" w:id="4"/>
      </w:r>
      <w:r w:rsidDel="00000000" w:rsidR="00000000" w:rsidRPr="00000000">
        <w:rPr>
          <w:rFonts w:ascii="Calibri" w:cs="Calibri" w:eastAsia="Calibri" w:hAnsi="Calibri"/>
          <w:rtl w:val="0"/>
        </w:rPr>
        <w:t xml:space="preserve">. Additionally, platonic companionship or comradeship, such as that expressed by Xenohpon</w:t>
      </w:r>
      <w:r w:rsidDel="00000000" w:rsidR="00000000" w:rsidRPr="00000000">
        <w:rPr>
          <w:rFonts w:ascii="Calibri" w:cs="Calibri" w:eastAsia="Calibri" w:hAnsi="Calibri"/>
          <w:vertAlign w:val="superscript"/>
        </w:rPr>
        <w:footnoteReference w:customMarkFollows="0" w:id="5"/>
      </w:r>
      <w:r w:rsidDel="00000000" w:rsidR="00000000" w:rsidRPr="00000000">
        <w:rPr>
          <w:rFonts w:ascii="Calibri" w:cs="Calibri" w:eastAsia="Calibri" w:hAnsi="Calibri"/>
          <w:rtl w:val="0"/>
        </w:rPr>
        <w:t xml:space="preserve">, also supports Athenian mores and customs.</w:t>
      </w:r>
    </w:p>
    <w:p w:rsidR="00000000" w:rsidDel="00000000" w:rsidP="00000000" w:rsidRDefault="00000000" w:rsidRPr="00000000" w14:paraId="0000000B">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0C">
      <w:pPr>
        <w:contextualSpacing w:val="0"/>
        <w:rPr>
          <w:rFonts w:ascii="Calibri" w:cs="Calibri" w:eastAsia="Calibri" w:hAnsi="Calibri"/>
        </w:rPr>
      </w:pPr>
      <w:r w:rsidDel="00000000" w:rsidR="00000000" w:rsidRPr="00000000">
        <w:rPr>
          <w:rFonts w:ascii="Calibri" w:cs="Calibri" w:eastAsia="Calibri" w:hAnsi="Calibri"/>
          <w:rtl w:val="0"/>
        </w:rPr>
        <w:t xml:space="preserve">However, a more equal relationship would be subversive to Athenian mores as such a relationship between men was both uncommon and unaccepted, as shown by Plutarch in </w:t>
      </w:r>
      <w:r w:rsidDel="00000000" w:rsidR="00000000" w:rsidRPr="00000000">
        <w:rPr>
          <w:rFonts w:ascii="Calibri" w:cs="Calibri" w:eastAsia="Calibri" w:hAnsi="Calibri"/>
          <w:i w:val="1"/>
          <w:rtl w:val="0"/>
        </w:rPr>
        <w:t xml:space="preserve">Amatorius</w:t>
      </w:r>
      <w:r w:rsidDel="00000000" w:rsidR="00000000" w:rsidRPr="00000000">
        <w:rPr>
          <w:rFonts w:ascii="Calibri" w:cs="Calibri" w:eastAsia="Calibri" w:hAnsi="Calibri"/>
          <w:rtl w:val="0"/>
        </w:rPr>
        <w:t xml:space="preserve"> where he condemns it as against nature</w:t>
      </w:r>
      <w:r w:rsidDel="00000000" w:rsidR="00000000" w:rsidRPr="00000000">
        <w:rPr>
          <w:rFonts w:ascii="Calibri" w:cs="Calibri" w:eastAsia="Calibri" w:hAnsi="Calibri"/>
          <w:vertAlign w:val="superscript"/>
          <w:rtl w:val="0"/>
        </w:rPr>
        <w:t xml:space="preserve">3</w:t>
      </w:r>
      <w:r w:rsidDel="00000000" w:rsidR="00000000" w:rsidRPr="00000000">
        <w:rPr>
          <w:rFonts w:ascii="Calibri" w:cs="Calibri" w:eastAsia="Calibri" w:hAnsi="Calibri"/>
          <w:rtl w:val="0"/>
        </w:rPr>
        <w:t xml:space="preserve">, so while their relationship would be commended if it was pederastic in nature</w:t>
      </w:r>
      <w:r w:rsidDel="00000000" w:rsidR="00000000" w:rsidRPr="00000000">
        <w:rPr>
          <w:rFonts w:ascii="Calibri" w:cs="Calibri" w:eastAsia="Calibri" w:hAnsi="Calibri"/>
          <w:vertAlign w:val="superscript"/>
        </w:rPr>
        <w:footnoteReference w:customMarkFollows="0" w:id="6"/>
      </w:r>
      <w:r w:rsidDel="00000000" w:rsidR="00000000" w:rsidRPr="00000000">
        <w:rPr>
          <w:rFonts w:ascii="Calibri" w:cs="Calibri" w:eastAsia="Calibri" w:hAnsi="Calibri"/>
          <w:rtl w:val="0"/>
        </w:rPr>
        <w:t xml:space="preserve">, any sexual relationship between men as would be accepted nowadays would have been seen as abhorrent at the time.</w:t>
      </w:r>
    </w:p>
    <w:p w:rsidR="00000000" w:rsidDel="00000000" w:rsidP="00000000" w:rsidRDefault="00000000" w:rsidRPr="00000000" w14:paraId="0000000D">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0E">
      <w:pPr>
        <w:contextualSpacing w:val="0"/>
        <w:rPr>
          <w:rFonts w:ascii="Calibri" w:cs="Calibri" w:eastAsia="Calibri" w:hAnsi="Calibri"/>
        </w:rPr>
      </w:pPr>
      <w:r w:rsidDel="00000000" w:rsidR="00000000" w:rsidRPr="00000000">
        <w:rPr>
          <w:rFonts w:ascii="Calibri" w:cs="Calibri" w:eastAsia="Calibri" w:hAnsi="Calibri"/>
          <w:rtl w:val="0"/>
        </w:rPr>
        <w:t xml:space="preserve">Ultimately, the story does support Athenian mores if Achilles and Patroclus are taken as either comrades or as partners in a pederastic relationship - the former as it does not seem to challenge the established status quo of the time, and the latter as pederastic relationships were both accepted and encouraged.</w:t>
      </w:r>
      <w:r w:rsidDel="00000000" w:rsidR="00000000" w:rsidRPr="00000000">
        <w:br w:type="page"/>
      </w:r>
      <w:r w:rsidDel="00000000" w:rsidR="00000000" w:rsidRPr="00000000">
        <w:rPr>
          <w:rtl w:val="0"/>
        </w:rPr>
      </w:r>
    </w:p>
    <w:p w:rsidR="00000000" w:rsidDel="00000000" w:rsidP="00000000" w:rsidRDefault="00000000" w:rsidRPr="00000000" w14:paraId="0000000F">
      <w:pPr>
        <w:contextualSpacing w:val="0"/>
        <w:rPr>
          <w:rFonts w:ascii="Calibri" w:cs="Calibri" w:eastAsia="Calibri" w:hAnsi="Calibri"/>
        </w:rPr>
      </w:pPr>
      <w:r w:rsidDel="00000000" w:rsidR="00000000" w:rsidRPr="00000000">
        <w:rPr>
          <w:rFonts w:ascii="Calibri" w:cs="Calibri" w:eastAsia="Calibri" w:hAnsi="Calibri"/>
          <w:b w:val="1"/>
          <w:rtl w:val="0"/>
        </w:rPr>
        <w:t xml:space="preserve">Bibliography</w:t>
      </w:r>
      <w:r w:rsidDel="00000000" w:rsidR="00000000" w:rsidRPr="00000000">
        <w:rPr>
          <w:rtl w:val="0"/>
        </w:rPr>
      </w:r>
    </w:p>
    <w:p w:rsidR="00000000" w:rsidDel="00000000" w:rsidP="00000000" w:rsidRDefault="00000000" w:rsidRPr="00000000" w14:paraId="00000010">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11">
      <w:pPr>
        <w:numPr>
          <w:ilvl w:val="0"/>
          <w:numId w:val="1"/>
        </w:numPr>
        <w:spacing w:after="0" w:before="0" w:lineRule="auto"/>
        <w:ind w:left="720" w:hanging="360"/>
        <w:contextualSpacing w:val="1"/>
        <w:rPr>
          <w:rFonts w:ascii="Calibri" w:cs="Calibri" w:eastAsia="Calibri" w:hAnsi="Calibri"/>
        </w:rPr>
      </w:pPr>
      <w:r w:rsidDel="00000000" w:rsidR="00000000" w:rsidRPr="00000000">
        <w:rPr>
          <w:rFonts w:ascii="Calibri" w:cs="Calibri" w:eastAsia="Calibri" w:hAnsi="Calibri"/>
          <w:rtl w:val="0"/>
        </w:rPr>
        <w:t xml:space="preserve">Homer. The Iliad with an English Translation by A.T. Murray, Ph.D. in two volumes. Cambridge, MA., Harvard University Press; London, William Heinemann, Ltd. 1924. </w:t>
      </w:r>
      <w:hyperlink r:id="rId7">
        <w:r w:rsidDel="00000000" w:rsidR="00000000" w:rsidRPr="00000000">
          <w:rPr>
            <w:rFonts w:ascii="Calibri" w:cs="Calibri" w:eastAsia="Calibri" w:hAnsi="Calibri"/>
            <w:color w:val="1155cc"/>
            <w:u w:val="single"/>
            <w:rtl w:val="0"/>
          </w:rPr>
          <w:t xml:space="preserve">http://www.perseus.tufts.edu/hopper/text?doc=Perseus%3Atext%3A1999.01.0134%3Abook%3D18%3Acard%3D1</w:t>
        </w:r>
      </w:hyperlink>
      <w:r w:rsidDel="00000000" w:rsidR="00000000" w:rsidRPr="00000000">
        <w:rPr>
          <w:rtl w:val="0"/>
        </w:rPr>
      </w:r>
    </w:p>
    <w:p w:rsidR="00000000" w:rsidDel="00000000" w:rsidP="00000000" w:rsidRDefault="00000000" w:rsidRPr="00000000" w14:paraId="00000012">
      <w:pPr>
        <w:numPr>
          <w:ilvl w:val="0"/>
          <w:numId w:val="1"/>
        </w:numPr>
        <w:spacing w:after="0" w:before="0" w:lineRule="auto"/>
        <w:ind w:left="720" w:hanging="360"/>
        <w:contextualSpacing w:val="1"/>
        <w:rPr>
          <w:rFonts w:ascii="Calibri" w:cs="Calibri" w:eastAsia="Calibri" w:hAnsi="Calibri"/>
        </w:rPr>
      </w:pPr>
      <w:r w:rsidDel="00000000" w:rsidR="00000000" w:rsidRPr="00000000">
        <w:rPr>
          <w:rFonts w:ascii="Calibri" w:cs="Calibri" w:eastAsia="Calibri" w:hAnsi="Calibri"/>
          <w:rtl w:val="0"/>
        </w:rPr>
        <w:t xml:space="preserve">Clarke, W. (1978). Achilles and Patroclus in Love. Hermes, 106(3), 381-396. Retrieved from </w:t>
      </w:r>
      <w:hyperlink r:id="rId8">
        <w:r w:rsidDel="00000000" w:rsidR="00000000" w:rsidRPr="00000000">
          <w:rPr>
            <w:rFonts w:ascii="Calibri" w:cs="Calibri" w:eastAsia="Calibri" w:hAnsi="Calibri"/>
            <w:color w:val="1155cc"/>
            <w:u w:val="single"/>
            <w:rtl w:val="0"/>
          </w:rPr>
          <w:t xml:space="preserve">http://www.jstor.org/stable/4476069</w:t>
        </w:r>
      </w:hyperlink>
      <w:r w:rsidDel="00000000" w:rsidR="00000000" w:rsidRPr="00000000">
        <w:rPr>
          <w:rtl w:val="0"/>
        </w:rPr>
      </w:r>
    </w:p>
    <w:p w:rsidR="00000000" w:rsidDel="00000000" w:rsidP="00000000" w:rsidRDefault="00000000" w:rsidRPr="00000000" w14:paraId="00000013">
      <w:pPr>
        <w:numPr>
          <w:ilvl w:val="0"/>
          <w:numId w:val="1"/>
        </w:numPr>
        <w:spacing w:after="0" w:before="0" w:lineRule="auto"/>
        <w:ind w:left="720" w:hanging="360"/>
        <w:contextualSpacing w:val="1"/>
        <w:rPr>
          <w:rFonts w:ascii="Calibri" w:cs="Calibri" w:eastAsia="Calibri" w:hAnsi="Calibri"/>
        </w:rPr>
      </w:pPr>
      <w:r w:rsidDel="00000000" w:rsidR="00000000" w:rsidRPr="00000000">
        <w:rPr>
          <w:rFonts w:ascii="Calibri" w:cs="Calibri" w:eastAsia="Calibri" w:hAnsi="Calibri"/>
          <w:rtl w:val="0"/>
        </w:rPr>
        <w:t xml:space="preserve">Hartmann, Elke (Berlin), “Homosexuality”, in: Brill’s New Pauly, Antiquity volumes edited by: Hubert Cancik and , Helmuth Schneider, English Edition by: Christine F. Salazar, Classical Tradition volumes edited by: Manfred Landfester, English Edition by: Francis G. Gentry. Consulted online on 09 October 2018. Retrieved from </w:t>
      </w:r>
      <w:hyperlink r:id="rId9">
        <w:r w:rsidDel="00000000" w:rsidR="00000000" w:rsidRPr="00000000">
          <w:rPr>
            <w:rFonts w:ascii="Calibri" w:cs="Calibri" w:eastAsia="Calibri" w:hAnsi="Calibri"/>
            <w:color w:val="1155cc"/>
            <w:u w:val="single"/>
            <w:rtl w:val="0"/>
          </w:rPr>
          <w:t xml:space="preserve">http://dx.doi.org/10.1163/1574-9347_bnp_e516930</w:t>
        </w:r>
      </w:hyperlink>
      <w:r w:rsidDel="00000000" w:rsidR="00000000" w:rsidRPr="00000000">
        <w:rPr>
          <w:rtl w:val="0"/>
        </w:rPr>
      </w:r>
    </w:p>
    <w:p w:rsidR="00000000" w:rsidDel="00000000" w:rsidP="00000000" w:rsidRDefault="00000000" w:rsidRPr="00000000" w14:paraId="00000014">
      <w:pPr>
        <w:numPr>
          <w:ilvl w:val="0"/>
          <w:numId w:val="1"/>
        </w:numPr>
        <w:spacing w:after="0" w:before="0" w:lineRule="auto"/>
        <w:ind w:left="720" w:hanging="360"/>
        <w:contextualSpacing w:val="1"/>
        <w:rPr>
          <w:rFonts w:ascii="Calibri" w:cs="Calibri" w:eastAsia="Calibri" w:hAnsi="Calibri"/>
        </w:rPr>
      </w:pPr>
      <w:r w:rsidDel="00000000" w:rsidR="00000000" w:rsidRPr="00000000">
        <w:rPr>
          <w:rFonts w:ascii="Calibri" w:cs="Calibri" w:eastAsia="Calibri" w:hAnsi="Calibri"/>
          <w:rtl w:val="0"/>
        </w:rPr>
        <w:t xml:space="preserve">Plutarch. Plutarch's Morals. Translated from the Greek by several hands. Corrected and revised by. William W. Goodwin, PH. D. Boston. Little, Brown, and Company. Cambridge. Press Of John Wilson and son. 1874. Retrieved from </w:t>
      </w:r>
      <w:hyperlink r:id="rId10">
        <w:r w:rsidDel="00000000" w:rsidR="00000000" w:rsidRPr="00000000">
          <w:rPr>
            <w:rFonts w:ascii="Calibri" w:cs="Calibri" w:eastAsia="Calibri" w:hAnsi="Calibri"/>
            <w:color w:val="1155cc"/>
            <w:u w:val="single"/>
            <w:rtl w:val="0"/>
          </w:rPr>
          <w:t xml:space="preserve">http://www.perseus.tufts.edu/hopper/text?doc=Perseus%3Atext%3A2008.01.0314%3Asection%3D1</w:t>
        </w:r>
      </w:hyperlink>
      <w:r w:rsidDel="00000000" w:rsidR="00000000" w:rsidRPr="00000000">
        <w:rPr>
          <w:rtl w:val="0"/>
        </w:rPr>
      </w:r>
    </w:p>
    <w:p w:rsidR="00000000" w:rsidDel="00000000" w:rsidP="00000000" w:rsidRDefault="00000000" w:rsidRPr="00000000" w14:paraId="00000015">
      <w:pPr>
        <w:numPr>
          <w:ilvl w:val="0"/>
          <w:numId w:val="1"/>
        </w:numPr>
        <w:spacing w:after="0" w:before="0" w:lineRule="auto"/>
        <w:ind w:left="720" w:hanging="360"/>
        <w:contextualSpacing w:val="1"/>
        <w:rPr>
          <w:rFonts w:ascii="Calibri" w:cs="Calibri" w:eastAsia="Calibri" w:hAnsi="Calibri"/>
        </w:rPr>
      </w:pPr>
      <w:r w:rsidDel="00000000" w:rsidR="00000000" w:rsidRPr="00000000">
        <w:rPr>
          <w:rFonts w:ascii="Calibri" w:cs="Calibri" w:eastAsia="Calibri" w:hAnsi="Calibri"/>
          <w:rtl w:val="0"/>
        </w:rPr>
        <w:t xml:space="preserve">Plato. Plato in Twelve Volumes, Vol. 9 translated by Harold N. Fowler. Cambridge, MA, Harvard University Press; London, William Heinemann Ltd. 1925. Retrieved from </w:t>
      </w:r>
      <w:hyperlink r:id="rId11">
        <w:r w:rsidDel="00000000" w:rsidR="00000000" w:rsidRPr="00000000">
          <w:rPr>
            <w:rFonts w:ascii="Calibri" w:cs="Calibri" w:eastAsia="Calibri" w:hAnsi="Calibri"/>
            <w:color w:val="1155cc"/>
            <w:u w:val="single"/>
            <w:rtl w:val="0"/>
          </w:rPr>
          <w:t xml:space="preserve">http://www.perseus.tufts.edu/hopper/text?doc=Perseus%3Atext%3A1999.01.0174%3Atext%3DSym.%3Asection%3D172a</w:t>
        </w:r>
      </w:hyperlink>
      <w:r w:rsidDel="00000000" w:rsidR="00000000" w:rsidRPr="00000000">
        <w:rPr>
          <w:rtl w:val="0"/>
        </w:rPr>
      </w:r>
    </w:p>
    <w:p w:rsidR="00000000" w:rsidDel="00000000" w:rsidP="00000000" w:rsidRDefault="00000000" w:rsidRPr="00000000" w14:paraId="00000016">
      <w:pPr>
        <w:numPr>
          <w:ilvl w:val="0"/>
          <w:numId w:val="1"/>
        </w:numPr>
        <w:spacing w:before="0" w:lineRule="auto"/>
        <w:ind w:left="720" w:hanging="360"/>
        <w:contextualSpacing w:val="1"/>
        <w:rPr>
          <w:rFonts w:ascii="Calibri" w:cs="Calibri" w:eastAsia="Calibri" w:hAnsi="Calibri"/>
        </w:rPr>
      </w:pPr>
      <w:r w:rsidDel="00000000" w:rsidR="00000000" w:rsidRPr="00000000">
        <w:rPr>
          <w:rFonts w:ascii="Calibri" w:cs="Calibri" w:eastAsia="Calibri" w:hAnsi="Calibri"/>
          <w:rtl w:val="0"/>
        </w:rPr>
        <w:t xml:space="preserve">Xenophon. Xenophon in Seven Volumes, 4. Harvard University Press, Cambridge, MA; William Heinemann, Ltd., London. 1979. Retrieved from </w:t>
      </w:r>
      <w:hyperlink r:id="rId12">
        <w:r w:rsidDel="00000000" w:rsidR="00000000" w:rsidRPr="00000000">
          <w:rPr>
            <w:rFonts w:ascii="Calibri" w:cs="Calibri" w:eastAsia="Calibri" w:hAnsi="Calibri"/>
            <w:color w:val="1155cc"/>
            <w:u w:val="single"/>
            <w:rtl w:val="0"/>
          </w:rPr>
          <w:t xml:space="preserve">http://www.perseus.tufts.edu/hopper/text?doc=Perseus%3Atext%3A1999.01.0212%3Atext%3DSym.%3Achapter%3D1%3Asection%3D1</w:t>
        </w:r>
      </w:hyperlink>
      <w:r w:rsidDel="00000000" w:rsidR="00000000" w:rsidRPr="00000000">
        <w:rPr>
          <w:rtl w:val="0"/>
        </w:rPr>
      </w:r>
    </w:p>
    <w:sectPr>
      <w:pgSz w:h="16834" w:w="11909"/>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2">
    <w:p w:rsidR="00000000" w:rsidDel="00000000" w:rsidP="00000000" w:rsidRDefault="00000000" w:rsidRPr="00000000" w14:paraId="00000017">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Hartmann, Elke (Berlin), “Homosexuality”, in: Brill’s New Pauly, Antiquity volumes</w:t>
      </w:r>
    </w:p>
  </w:footnote>
  <w:footnote w:id="3">
    <w:p w:rsidR="00000000" w:rsidDel="00000000" w:rsidP="00000000" w:rsidRDefault="00000000" w:rsidRPr="00000000" w14:paraId="00000018">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rtl w:val="0"/>
        </w:rPr>
        <w:t xml:space="preserve">Plut. Amatorius 5</w:t>
      </w:r>
      <w:r w:rsidDel="00000000" w:rsidR="00000000" w:rsidRPr="00000000">
        <w:rPr>
          <w:rtl w:val="0"/>
        </w:rPr>
      </w:r>
    </w:p>
  </w:footnote>
  <w:footnote w:id="4">
    <w:p w:rsidR="00000000" w:rsidDel="00000000" w:rsidP="00000000" w:rsidRDefault="00000000" w:rsidRPr="00000000" w14:paraId="00000019">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Plat. Sym. 180a</w:t>
      </w:r>
    </w:p>
  </w:footnote>
  <w:footnote w:id="5">
    <w:p w:rsidR="00000000" w:rsidDel="00000000" w:rsidP="00000000" w:rsidRDefault="00000000" w:rsidRPr="00000000" w14:paraId="0000001A">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Xen. Sym. 8.31</w:t>
      </w:r>
    </w:p>
  </w:footnote>
  <w:footnote w:id="1">
    <w:p w:rsidR="00000000" w:rsidDel="00000000" w:rsidP="00000000" w:rsidRDefault="00000000" w:rsidRPr="00000000" w14:paraId="0000001B">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Clarke, W. (1978). Achilles and Patroclus in Love. Pg 25</w:t>
      </w:r>
    </w:p>
  </w:footnote>
  <w:footnote w:id="6">
    <w:p w:rsidR="00000000" w:rsidDel="00000000" w:rsidP="00000000" w:rsidRDefault="00000000" w:rsidRPr="00000000" w14:paraId="0000001C">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Plat. Sym. 180b</w:t>
      </w:r>
    </w:p>
  </w:footnote>
  <w:footnote w:id="0">
    <w:p w:rsidR="00000000" w:rsidDel="00000000" w:rsidP="00000000" w:rsidRDefault="00000000" w:rsidRPr="00000000" w14:paraId="0000001D">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Homer, Iliad. Book 18</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contextualSpacing w:val="1"/>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11" Type="http://schemas.openxmlformats.org/officeDocument/2006/relationships/hyperlink" Target="http://www.perseus.tufts.edu/hopper/text?doc=Perseus%3Atext%3A1999.01.0174%3Atext%3DSym.%3Asection%3D172a" TargetMode="External"/><Relationship Id="rId10" Type="http://schemas.openxmlformats.org/officeDocument/2006/relationships/hyperlink" Target="http://www.perseus.tufts.edu/hopper/text?doc=Perseus%3Atext%3A2008.01.0314%3Asection%3D1" TargetMode="External"/><Relationship Id="rId12" Type="http://schemas.openxmlformats.org/officeDocument/2006/relationships/hyperlink" Target="http://www.perseus.tufts.edu/hopper/text?doc=Perseus%3Atext%3A1999.01.0212%3Atext%3DSym.%3Achapter%3D1%3Asection%3D1" TargetMode="External"/><Relationship Id="rId9" Type="http://schemas.openxmlformats.org/officeDocument/2006/relationships/hyperlink" Target="http://dx.doi.org/10.1163/1574-9347_bnp_e516930"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www.perseus.tufts.edu/hopper/text?doc=Perseus%3Atext%3A1999.01.0134%3Abook%3D18%3Acard%3D1" TargetMode="External"/><Relationship Id="rId8" Type="http://schemas.openxmlformats.org/officeDocument/2006/relationships/hyperlink" Target="http://www.jstor.org/stable/447606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