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settings.xml" ContentType="application/vnd.openxmlformats-officedocument.wordprocessingml.setting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rPr>
          <w:lang w:val="en-GB"/>
        </w:rPr>
      </w:pPr>
    </w:p>
    <w:p>
      <w:pPr>
        <w:pBdr>
          <w:top w:val="none" w:sz="0" w:space="0" w:color="auto"/>
          <w:left w:val="none" w:sz="0" w:space="0" w:color="auto"/>
          <w:bottom w:val="none" w:sz="0" w:space="0" w:color="auto"/>
          <w:right w:val="none" w:sz="0" w:space="0" w:color="auto"/>
          <w:between w:val="none" w:sz="0" w:space="0" w:color="auto"/>
        </w:pBdr>
        <w:rPr>
          <w:lang w:val="en-GB"/>
        </w:rPr>
      </w:pPr>
      <w:bookmarkStart w:id="0" w:name="_heading=h.bk9k6wm222ww"/>
      <w:bookmarkEnd w:id="0"/>
    </w:p>
    <w:p>
      <w:pPr>
        <w:jc w:val="center"/>
        <w:rPr>
          <w:b/>
          <w:bCs/>
          <w:sz w:val="32"/>
          <w:szCs w:val="32"/>
          <w:lang w:val="en-GB"/>
        </w:rPr>
      </w:pPr>
    </w:p>
    <w:p>
      <w:pPr>
        <w:jc w:val="center"/>
        <w:rPr>
          <w:b/>
          <w:bCs/>
          <w:sz w:val="32"/>
          <w:szCs w:val="32"/>
          <w:lang w:val="en-GB"/>
        </w:rPr>
      </w:pPr>
      <w:r>
        <w:rPr>
          <w:lang w:val="en-GB" w:eastAsia="en-GB"/>
        </w:rPr>
        <w:drawing>
          <wp:inline distT="0" distB="0" distL="0" distR="0">
            <wp:extent cx="2943225" cy="1295400"/>
            <wp:effectExtent l="0" t="0" r="0" b="0"/>
            <wp:docPr id="1" name="图片 1"/>
            <wp:cNvGraphicFramePr>
              <a:graphicFrameLocks noChangeAspect="0"/>
            </wp:cNvGraphicFramePr>
            <a:graphic>
              <a:graphicData uri="http://schemas.openxmlformats.org/drawingml/2006/picture">
                <pic:pic>
                  <pic:nvPicPr>
                    <pic:cNvPr id="3" name="图片 3"/>
                    <pic:cNvPicPr/>
                  </pic:nvPicPr>
                  <pic:blipFill>
                    <a:blip r:embed="rId3"/>
                    <a:stretch>
                      <a:fillRect/>
                    </a:stretch>
                  </pic:blipFill>
                  <pic:spPr>
                    <a:xfrm rot="0">
                      <a:off x="0" y="0"/>
                      <a:ext cx="2943225" cy="1295400"/>
                    </a:xfrm>
                    <a:prstGeom prst="rect"/>
                    <a:noFill/>
                    <a:ln w="12700" cmpd="sng" cap="flat">
                      <a:solidFill>
                        <a:srgbClr val="000000"/>
                      </a:solidFill>
                      <a:prstDash val="solid"/>
                      <a:round/>
                    </a:ln>
                  </pic:spPr>
                </pic:pic>
              </a:graphicData>
            </a:graphic>
          </wp:inline>
        </w:drawing>
      </w:r>
    </w:p>
    <w:p>
      <w:pPr>
        <w:jc w:val="center"/>
        <w:rPr>
          <w:sz w:val="32"/>
          <w:szCs w:val="32"/>
          <w:lang w:val="en-GB"/>
        </w:rPr>
      </w:pPr>
      <w:r>
        <w:rPr>
          <w:b/>
          <w:bCs/>
          <w:sz w:val="32"/>
          <w:szCs w:val="32"/>
          <w:lang w:val="en-GB"/>
        </w:rPr>
        <w:t>PROGRAMME: MASTER OF BUSINESS ADMINISTRATION</w:t>
      </w:r>
    </w:p>
    <w:p>
      <w:pPr>
        <w:jc w:val="center"/>
        <w:rPr>
          <w:sz w:val="32"/>
          <w:szCs w:val="32"/>
          <w:lang w:val="en-GB"/>
        </w:rPr>
      </w:pPr>
      <w:r>
        <w:rPr>
          <w:b/>
          <w:bCs/>
          <w:sz w:val="32"/>
          <w:szCs w:val="32"/>
          <w:lang w:val="en-GB"/>
        </w:rPr>
        <w:t>MODULE: MARKETING MANAGEMENT</w:t>
      </w:r>
    </w:p>
    <w:p>
      <w:pPr>
        <w:jc w:val="center"/>
        <w:rPr>
          <w:sz w:val="32"/>
          <w:szCs w:val="32"/>
          <w:lang w:val="en-GB"/>
        </w:rPr>
      </w:pPr>
      <w:r>
        <w:rPr>
          <w:b/>
          <w:bCs/>
          <w:sz w:val="32"/>
          <w:szCs w:val="32"/>
          <w:lang w:val="en-GB"/>
        </w:rPr>
        <w:t>MODULE CODE: LCMB7024</w:t>
      </w:r>
    </w:p>
    <w:p>
      <w:pPr>
        <w:jc w:val="center"/>
        <w:rPr>
          <w:b/>
          <w:bCs/>
          <w:sz w:val="32"/>
          <w:szCs w:val="32"/>
          <w:lang w:val="en-GB"/>
        </w:rPr>
      </w:pPr>
      <w:r>
        <w:rPr>
          <w:b/>
          <w:bCs/>
          <w:sz w:val="32"/>
          <w:szCs w:val="32"/>
          <w:lang w:val="en-GB"/>
        </w:rPr>
        <w:t>ASSIGNMENT TITLE: MARKETING ENVIRONMENT ANALYSIS</w:t>
      </w:r>
    </w:p>
    <w:p>
      <w:pPr>
        <w:jc w:val="center"/>
        <w:rPr>
          <w:b/>
          <w:bCs/>
          <w:sz w:val="32"/>
          <w:szCs w:val="32"/>
          <w:lang w:val="en-GB"/>
        </w:rPr>
      </w:pPr>
      <w:r>
        <w:rPr>
          <w:b/>
          <w:bCs/>
          <w:sz w:val="32"/>
          <w:szCs w:val="32"/>
          <w:lang w:val="en-GB"/>
        </w:rPr>
        <w:t>CHOSEN BUSINESS: CODELCO (CHILE)</w:t>
      </w:r>
    </w:p>
    <w:p>
      <w:pPr>
        <w:jc w:val="center"/>
        <w:rPr>
          <w:b/>
          <w:bCs/>
          <w:sz w:val="32"/>
          <w:szCs w:val="32"/>
          <w:lang w:val="en-GB"/>
        </w:rPr>
      </w:pPr>
      <w:r>
        <w:rPr>
          <w:b/>
          <w:bCs/>
          <w:sz w:val="32"/>
          <w:szCs w:val="32"/>
          <w:lang w:val="en-GB"/>
        </w:rPr>
        <w:t xml:space="preserve">STUDENT NAME: YASH THAKOR </w:t>
      </w:r>
    </w:p>
    <w:p>
      <w:pPr>
        <w:jc w:val="center"/>
        <w:rPr>
          <w:b/>
          <w:bCs/>
          <w:sz w:val="32"/>
          <w:szCs w:val="32"/>
          <w:lang w:val="en-GB"/>
        </w:rPr>
      </w:pPr>
      <w:r>
        <w:rPr>
          <w:b/>
          <w:bCs/>
          <w:sz w:val="32"/>
          <w:szCs w:val="32"/>
          <w:lang w:val="en-GB"/>
        </w:rPr>
        <w:t>ID: 2436840</w:t>
      </w:r>
    </w:p>
    <w:p>
      <w:pPr>
        <w:jc w:val="center"/>
        <w:rPr>
          <w:b/>
          <w:bCs/>
          <w:sz w:val="32"/>
          <w:szCs w:val="32"/>
          <w:lang w:val="en-GB"/>
        </w:rPr>
      </w:pPr>
      <w:r>
        <w:rPr>
          <w:b/>
          <w:bCs/>
          <w:sz w:val="32"/>
          <w:szCs w:val="32"/>
          <w:lang w:val="en-GB"/>
        </w:rPr>
        <w:t xml:space="preserve">LECTURER: LAILA MAAZOUZ </w:t>
      </w:r>
    </w:p>
    <w:p>
      <w:pPr>
        <w:jc w:val="center"/>
        <w:rPr>
          <w:sz w:val="32"/>
          <w:szCs w:val="32"/>
          <w:lang w:val="en-GB"/>
        </w:rPr>
      </w:pPr>
    </w:p>
    <w:p>
      <w:pPr>
        <w:jc w:val="center"/>
        <w:rPr>
          <w:sz w:val="32"/>
          <w:szCs w:val="32"/>
          <w:lang w:val="en-GB"/>
        </w:rPr>
      </w:pPr>
    </w:p>
    <w:p>
      <w:pPr>
        <w:rPr>
          <w:lang w:val="en-GB"/>
        </w:rPr>
      </w:pPr>
    </w:p>
    <w:p>
      <w:pPr>
        <w:rPr>
          <w:lang w:val="en-GB"/>
        </w:rPr>
      </w:pPr>
    </w:p>
    <w:p>
      <w:pPr>
        <w:rPr>
          <w:b/>
          <w:bCs/>
          <w:lang w:val="en-GB"/>
        </w:rPr>
      </w:pPr>
      <w:bookmarkStart w:id="1" w:name="_heading=h.kclwqyltyk2c"/>
      <w:bookmarkEnd w:id="1"/>
      <w:r>
        <w:rPr>
          <w:lang w:val="en-GB"/>
        </w:rPr>
        <w:br w:type="page"/>
      </w:r>
    </w:p>
    <w:p>
      <w:pPr>
        <w:keepNext/>
        <w:keepLines/>
        <w:pBdr>
          <w:top w:val="none" w:sz="0" w:space="0" w:color="auto"/>
          <w:left w:val="none" w:sz="0" w:space="0" w:color="auto"/>
          <w:bottom w:val="none" w:sz="0" w:space="0" w:color="auto"/>
          <w:right w:val="none" w:sz="0" w:space="0" w:color="auto"/>
          <w:between w:val="none" w:sz="0" w:space="0" w:color="auto"/>
        </w:pBdr>
        <w:spacing w:before="240"/>
        <w:jc w:val="center"/>
        <w:rPr>
          <w:b/>
          <w:bCs/>
          <w:lang w:val="en-GB"/>
        </w:rPr>
      </w:pPr>
      <w:r>
        <w:rPr>
          <w:b/>
          <w:bCs/>
          <w:lang w:val="en-GB"/>
        </w:rPr>
        <w:t>Table of Contents</w:t>
      </w:r>
    </w:p>
    <w:p>
      <w:pPr>
        <w:pStyle w:val="17"/>
        <w:tabs>
          <w:tab w:val="right" w:leader="dot" w:pos="9350"/>
        </w:tabs>
        <w:rPr>
          <w:rFonts w:ascii="Cambria" w:eastAsia="宋体" w:cs="Arial" w:hAnsi="Cambria"/>
          <w:sz w:val="22"/>
          <w:szCs w:val="22"/>
          <w:lang w:val="en-GB" w:eastAsia="en-US"/>
        </w:rPr>
      </w:pPr>
      <w:r>
        <w:rPr>
          <w:lang w:val="en-GB"/>
        </w:rPr>
        <w:fldChar w:fldCharType="begin"/>
      </w:r>
      <w:r>
        <w:rPr>
          <w:lang w:val="en-GB"/>
        </w:rPr>
        <w:instrText xml:space="preserve"> TOC \h \u \z \t "Heading 1,1,Heading 2,2,Heading 3,3," </w:instrText>
      </w:r>
      <w:r>
        <w:rPr>
          <w:lang w:val="en-GB"/>
        </w:rPr>
        <w:fldChar w:fldCharType="separate"/>
      </w:r>
      <w:r>
        <w:fldChar w:fldCharType="begin"/>
      </w:r>
      <w:r>
        <w:instrText>Hyperlink \l "_Toc235788133"</w:instrText>
      </w:r>
      <w:r>
        <w:fldChar w:fldCharType="separate"/>
      </w:r>
      <w:r>
        <w:rPr>
          <w:color w:val="auto"/>
          <w:lang w:val="en-GB"/>
        </w:rPr>
        <w:t>Introduction</w:t>
      </w:r>
      <w:r>
        <w:rPr>
          <w:lang w:val="en-GB"/>
        </w:rPr>
        <w:tab/>
      </w:r>
      <w:r>
        <w:rPr>
          <w:lang w:val="en-GB"/>
        </w:rPr>
        <w:fldChar w:fldCharType="begin"/>
      </w:r>
      <w:r>
        <w:rPr>
          <w:lang w:val="en-GB"/>
        </w:rPr>
        <w:instrText xml:space="preserve"> PAGEREF _Toc235788133 \h </w:instrText>
      </w:r>
      <w:r>
        <w:rPr>
          <w:lang w:val="en-GB"/>
        </w:rPr>
        <w:fldChar w:fldCharType="separate"/>
      </w:r>
      <w:r>
        <w:rPr>
          <w:lang w:val="en-GB"/>
        </w:rPr>
        <w:t>3</w:t>
      </w:r>
      <w:r>
        <w:rPr>
          <w:lang w:val="en-GB"/>
        </w:rPr>
        <w:fldChar w:fldCharType="end"/>
      </w:r>
      <w:r>
        <w:fldChar w:fldCharType="end"/>
      </w:r>
    </w:p>
    <w:p>
      <w:pPr>
        <w:pStyle w:val="17"/>
        <w:tabs>
          <w:tab w:val="right" w:leader="dot" w:pos="9350"/>
        </w:tabs>
        <w:rPr>
          <w:rFonts w:ascii="Cambria" w:eastAsia="宋体" w:cs="Arial" w:hAnsi="Cambria"/>
          <w:sz w:val="22"/>
          <w:szCs w:val="22"/>
          <w:lang w:val="en-GB" w:eastAsia="en-US"/>
        </w:rPr>
      </w:pPr>
      <w:r>
        <w:fldChar w:fldCharType="begin"/>
      </w:r>
      <w:r>
        <w:instrText>Hyperlink \l "_Toc235788134"</w:instrText>
      </w:r>
      <w:r>
        <w:fldChar w:fldCharType="separate"/>
      </w:r>
      <w:r>
        <w:rPr>
          <w:color w:val="auto"/>
          <w:lang w:val="en-GB"/>
        </w:rPr>
        <w:t>Task 1: Marketing Environment Analysis</w:t>
      </w:r>
      <w:r>
        <w:rPr>
          <w:lang w:val="en-GB"/>
        </w:rPr>
        <w:tab/>
      </w:r>
      <w:r>
        <w:rPr>
          <w:lang w:val="en-GB"/>
        </w:rPr>
        <w:fldChar w:fldCharType="begin"/>
      </w:r>
      <w:r>
        <w:rPr>
          <w:lang w:val="en-GB"/>
        </w:rPr>
        <w:instrText xml:space="preserve"> PAGEREF _Toc235788134 \h </w:instrText>
      </w:r>
      <w:r>
        <w:rPr>
          <w:lang w:val="en-GB"/>
        </w:rPr>
        <w:fldChar w:fldCharType="separate"/>
      </w:r>
      <w:r>
        <w:rPr>
          <w:lang w:val="en-GB"/>
        </w:rPr>
        <w:t>3</w:t>
      </w:r>
      <w:r>
        <w:rPr>
          <w:lang w:val="en-GB"/>
        </w:rPr>
        <w:fldChar w:fldCharType="end"/>
      </w:r>
      <w:r>
        <w:fldChar w:fldCharType="end"/>
      </w:r>
    </w:p>
    <w:p>
      <w:pPr>
        <w:pStyle w:val="18"/>
        <w:tabs>
          <w:tab w:val="right" w:leader="dot" w:pos="9350"/>
        </w:tabs>
        <w:rPr>
          <w:rFonts w:ascii="Cambria" w:eastAsia="宋体" w:cs="Arial" w:hAnsi="Cambria"/>
          <w:sz w:val="22"/>
          <w:szCs w:val="22"/>
          <w:lang w:val="en-GB" w:eastAsia="en-US"/>
        </w:rPr>
      </w:pPr>
      <w:r>
        <w:fldChar w:fldCharType="begin"/>
      </w:r>
      <w:r>
        <w:instrText>Hyperlink \l "_Toc235788135"</w:instrText>
      </w:r>
      <w:r>
        <w:fldChar w:fldCharType="separate"/>
      </w:r>
      <w:r>
        <w:rPr>
          <w:color w:val="auto"/>
          <w:lang w:val="en-GB"/>
        </w:rPr>
        <w:t>Critical evaluation of Chile’s external environment using PESTLE analysis</w:t>
      </w:r>
      <w:r>
        <w:rPr>
          <w:lang w:val="en-GB"/>
        </w:rPr>
        <w:tab/>
      </w:r>
      <w:r>
        <w:rPr>
          <w:lang w:val="en-GB"/>
        </w:rPr>
        <w:fldChar w:fldCharType="begin"/>
      </w:r>
      <w:r>
        <w:rPr>
          <w:lang w:val="en-GB"/>
        </w:rPr>
        <w:instrText xml:space="preserve"> PAGEREF _Toc235788135 \h </w:instrText>
      </w:r>
      <w:r>
        <w:rPr>
          <w:lang w:val="en-GB"/>
        </w:rPr>
        <w:fldChar w:fldCharType="separate"/>
      </w:r>
      <w:r>
        <w:rPr>
          <w:lang w:val="en-GB"/>
        </w:rPr>
        <w:t>3</w:t>
      </w:r>
      <w:r>
        <w:rPr>
          <w:lang w:val="en-GB"/>
        </w:rPr>
        <w:fldChar w:fldCharType="end"/>
      </w:r>
      <w:r>
        <w:fldChar w:fldCharType="end"/>
      </w:r>
    </w:p>
    <w:p>
      <w:pPr>
        <w:pStyle w:val="18"/>
        <w:tabs>
          <w:tab w:val="right" w:leader="dot" w:pos="9350"/>
        </w:tabs>
        <w:rPr>
          <w:rFonts w:ascii="Cambria" w:eastAsia="宋体" w:cs="Arial" w:hAnsi="Cambria"/>
          <w:sz w:val="22"/>
          <w:szCs w:val="22"/>
          <w:lang w:val="en-GB" w:eastAsia="en-US"/>
        </w:rPr>
      </w:pPr>
      <w:r>
        <w:fldChar w:fldCharType="begin"/>
      </w:r>
      <w:r>
        <w:instrText>Hyperlink \l "_Toc235788136"</w:instrText>
      </w:r>
      <w:r>
        <w:fldChar w:fldCharType="separate"/>
      </w:r>
      <w:r>
        <w:rPr>
          <w:color w:val="auto"/>
          <w:lang w:val="en-GB"/>
        </w:rPr>
        <w:t>External marketing environmental factors</w:t>
      </w:r>
      <w:r>
        <w:rPr>
          <w:lang w:val="en-GB"/>
        </w:rPr>
        <w:tab/>
      </w:r>
      <w:r>
        <w:rPr>
          <w:lang w:val="en-GB"/>
        </w:rPr>
        <w:fldChar w:fldCharType="begin"/>
      </w:r>
      <w:r>
        <w:rPr>
          <w:lang w:val="en-GB"/>
        </w:rPr>
        <w:instrText xml:space="preserve"> PAGEREF _Toc235788136 \h </w:instrText>
      </w:r>
      <w:r>
        <w:rPr>
          <w:lang w:val="en-GB"/>
        </w:rPr>
        <w:fldChar w:fldCharType="separate"/>
      </w:r>
      <w:r>
        <w:rPr>
          <w:lang w:val="en-GB"/>
        </w:rPr>
        <w:t>4</w:t>
      </w:r>
      <w:r>
        <w:rPr>
          <w:lang w:val="en-GB"/>
        </w:rPr>
        <w:fldChar w:fldCharType="end"/>
      </w:r>
      <w:r>
        <w:fldChar w:fldCharType="end"/>
      </w:r>
    </w:p>
    <w:p>
      <w:pPr>
        <w:pStyle w:val="17"/>
        <w:tabs>
          <w:tab w:val="right" w:leader="dot" w:pos="9350"/>
        </w:tabs>
        <w:rPr>
          <w:rFonts w:ascii="Cambria" w:eastAsia="宋体" w:cs="Arial" w:hAnsi="Cambria"/>
          <w:sz w:val="22"/>
          <w:szCs w:val="22"/>
          <w:lang w:val="en-GB" w:eastAsia="en-US"/>
        </w:rPr>
      </w:pPr>
      <w:r>
        <w:fldChar w:fldCharType="begin"/>
      </w:r>
      <w:r>
        <w:instrText>Hyperlink \l "_Toc235788137"</w:instrText>
      </w:r>
      <w:r>
        <w:fldChar w:fldCharType="separate"/>
      </w:r>
      <w:r>
        <w:rPr>
          <w:color w:val="auto"/>
          <w:lang w:val="en-GB"/>
        </w:rPr>
        <w:t>Task 2: Strategic Growth and Competitive Positioning</w:t>
      </w:r>
      <w:r>
        <w:rPr>
          <w:lang w:val="en-GB"/>
        </w:rPr>
        <w:tab/>
      </w:r>
      <w:r>
        <w:rPr>
          <w:lang w:val="en-GB"/>
        </w:rPr>
        <w:fldChar w:fldCharType="begin"/>
      </w:r>
      <w:r>
        <w:rPr>
          <w:lang w:val="en-GB"/>
        </w:rPr>
        <w:instrText xml:space="preserve"> PAGEREF _Toc235788137 \h </w:instrText>
      </w:r>
      <w:r>
        <w:rPr>
          <w:lang w:val="en-GB"/>
        </w:rPr>
        <w:fldChar w:fldCharType="separate"/>
      </w:r>
      <w:r>
        <w:rPr>
          <w:lang w:val="en-GB"/>
        </w:rPr>
        <w:t>6</w:t>
      </w:r>
      <w:r>
        <w:rPr>
          <w:lang w:val="en-GB"/>
        </w:rPr>
        <w:fldChar w:fldCharType="end"/>
      </w:r>
      <w:r>
        <w:fldChar w:fldCharType="end"/>
      </w:r>
    </w:p>
    <w:p>
      <w:pPr>
        <w:pStyle w:val="18"/>
        <w:tabs>
          <w:tab w:val="right" w:leader="dot" w:pos="9350"/>
        </w:tabs>
        <w:rPr>
          <w:rFonts w:ascii="Cambria" w:eastAsia="宋体" w:cs="Arial" w:hAnsi="Cambria"/>
          <w:sz w:val="22"/>
          <w:szCs w:val="22"/>
          <w:lang w:val="en-GB" w:eastAsia="en-US"/>
        </w:rPr>
      </w:pPr>
      <w:r>
        <w:fldChar w:fldCharType="begin"/>
      </w:r>
      <w:r>
        <w:instrText>Hyperlink \l "_Toc235788138"</w:instrText>
      </w:r>
      <w:r>
        <w:fldChar w:fldCharType="separate"/>
      </w:r>
      <w:r>
        <w:rPr>
          <w:i/>
          <w:iCs/>
          <w:color w:val="auto"/>
          <w:lang w:val="en-GB"/>
        </w:rPr>
        <w:t>The Ansoff Matrix</w:t>
      </w:r>
      <w:r>
        <w:rPr>
          <w:lang w:val="en-GB"/>
        </w:rPr>
        <w:tab/>
      </w:r>
      <w:r>
        <w:rPr>
          <w:lang w:val="en-GB"/>
        </w:rPr>
        <w:fldChar w:fldCharType="begin"/>
      </w:r>
      <w:r>
        <w:rPr>
          <w:lang w:val="en-GB"/>
        </w:rPr>
        <w:instrText xml:space="preserve"> PAGEREF _Toc235788138 \h </w:instrText>
      </w:r>
      <w:r>
        <w:rPr>
          <w:lang w:val="en-GB"/>
        </w:rPr>
        <w:fldChar w:fldCharType="separate"/>
      </w:r>
      <w:r>
        <w:rPr>
          <w:lang w:val="en-GB"/>
        </w:rPr>
        <w:t>6</w:t>
      </w:r>
      <w:r>
        <w:rPr>
          <w:lang w:val="en-GB"/>
        </w:rPr>
        <w:fldChar w:fldCharType="end"/>
      </w:r>
      <w:r>
        <w:fldChar w:fldCharType="end"/>
      </w:r>
    </w:p>
    <w:p>
      <w:pPr>
        <w:pStyle w:val="18"/>
        <w:tabs>
          <w:tab w:val="right" w:leader="dot" w:pos="9350"/>
        </w:tabs>
        <w:rPr>
          <w:rFonts w:ascii="Cambria" w:eastAsia="宋体" w:cs="Arial" w:hAnsi="Cambria"/>
          <w:sz w:val="22"/>
          <w:szCs w:val="22"/>
          <w:lang w:val="en-GB" w:eastAsia="en-US"/>
        </w:rPr>
      </w:pPr>
      <w:r>
        <w:fldChar w:fldCharType="begin"/>
      </w:r>
      <w:r>
        <w:instrText>Hyperlink \l "_Toc235788139"</w:instrText>
      </w:r>
      <w:r>
        <w:fldChar w:fldCharType="separate"/>
      </w:r>
      <w:r>
        <w:rPr>
          <w:i/>
          <w:iCs/>
          <w:color w:val="auto"/>
          <w:lang w:val="en-GB"/>
        </w:rPr>
        <w:t>Strategic Positioning</w:t>
      </w:r>
      <w:r>
        <w:rPr>
          <w:lang w:val="en-GB"/>
        </w:rPr>
        <w:tab/>
      </w:r>
      <w:r>
        <w:rPr>
          <w:lang w:val="en-GB"/>
        </w:rPr>
        <w:fldChar w:fldCharType="begin"/>
      </w:r>
      <w:r>
        <w:rPr>
          <w:lang w:val="en-GB"/>
        </w:rPr>
        <w:instrText xml:space="preserve"> PAGEREF _Toc235788139 \h </w:instrText>
      </w:r>
      <w:r>
        <w:rPr>
          <w:lang w:val="en-GB"/>
        </w:rPr>
        <w:fldChar w:fldCharType="separate"/>
      </w:r>
      <w:r>
        <w:rPr>
          <w:lang w:val="en-GB"/>
        </w:rPr>
        <w:t>7</w:t>
      </w:r>
      <w:r>
        <w:rPr>
          <w:lang w:val="en-GB"/>
        </w:rPr>
        <w:fldChar w:fldCharType="end"/>
      </w:r>
      <w:r>
        <w:fldChar w:fldCharType="end"/>
      </w:r>
    </w:p>
    <w:p>
      <w:pPr>
        <w:pStyle w:val="18"/>
        <w:tabs>
          <w:tab w:val="right" w:leader="dot" w:pos="9350"/>
        </w:tabs>
        <w:rPr>
          <w:rFonts w:ascii="Cambria" w:eastAsia="宋体" w:cs="Arial" w:hAnsi="Cambria"/>
          <w:sz w:val="22"/>
          <w:szCs w:val="22"/>
          <w:lang w:val="en-GB" w:eastAsia="en-US"/>
        </w:rPr>
      </w:pPr>
      <w:r>
        <w:fldChar w:fldCharType="begin"/>
      </w:r>
      <w:r>
        <w:instrText>Hyperlink \l "_Toc235788140"</w:instrText>
      </w:r>
      <w:r>
        <w:fldChar w:fldCharType="separate"/>
      </w:r>
      <w:r>
        <w:rPr>
          <w:i/>
          <w:iCs/>
          <w:color w:val="auto"/>
          <w:lang w:val="en-GB"/>
        </w:rPr>
        <w:t>Strategic Market Development Pathways: Porter's Generic Strategy</w:t>
      </w:r>
      <w:r>
        <w:rPr>
          <w:lang w:val="en-GB"/>
        </w:rPr>
        <w:tab/>
      </w:r>
      <w:r>
        <w:rPr>
          <w:lang w:val="en-GB"/>
        </w:rPr>
        <w:fldChar w:fldCharType="begin"/>
      </w:r>
      <w:r>
        <w:rPr>
          <w:lang w:val="en-GB"/>
        </w:rPr>
        <w:instrText xml:space="preserve"> PAGEREF _Toc235788140 \h </w:instrText>
      </w:r>
      <w:r>
        <w:rPr>
          <w:lang w:val="en-GB"/>
        </w:rPr>
        <w:fldChar w:fldCharType="separate"/>
      </w:r>
      <w:r>
        <w:rPr>
          <w:lang w:val="en-GB"/>
        </w:rPr>
        <w:t>9</w:t>
      </w:r>
      <w:r>
        <w:rPr>
          <w:lang w:val="en-GB"/>
        </w:rPr>
        <w:fldChar w:fldCharType="end"/>
      </w:r>
      <w:r>
        <w:fldChar w:fldCharType="end"/>
      </w:r>
    </w:p>
    <w:p>
      <w:pPr>
        <w:pStyle w:val="17"/>
        <w:tabs>
          <w:tab w:val="right" w:leader="dot" w:pos="9350"/>
        </w:tabs>
        <w:rPr>
          <w:rFonts w:ascii="Cambria" w:eastAsia="宋体" w:cs="Arial" w:hAnsi="Cambria"/>
          <w:sz w:val="22"/>
          <w:szCs w:val="22"/>
          <w:lang w:val="en-GB" w:eastAsia="en-US"/>
        </w:rPr>
      </w:pPr>
      <w:r>
        <w:fldChar w:fldCharType="begin"/>
      </w:r>
      <w:r>
        <w:instrText>Hyperlink \l "_Toc235788141"</w:instrText>
      </w:r>
      <w:r>
        <w:fldChar w:fldCharType="separate"/>
      </w:r>
      <w:r>
        <w:rPr>
          <w:color w:val="auto"/>
          <w:lang w:val="en-GB"/>
        </w:rPr>
        <w:t>Task 3: Critical Reflection on AI Usage</w:t>
      </w:r>
      <w:r>
        <w:rPr>
          <w:lang w:val="en-GB"/>
        </w:rPr>
        <w:tab/>
      </w:r>
      <w:r>
        <w:rPr>
          <w:lang w:val="en-GB"/>
        </w:rPr>
        <w:fldChar w:fldCharType="begin"/>
      </w:r>
      <w:r>
        <w:rPr>
          <w:lang w:val="en-GB"/>
        </w:rPr>
        <w:instrText xml:space="preserve"> PAGEREF _Toc235788141 \h </w:instrText>
      </w:r>
      <w:r>
        <w:rPr>
          <w:lang w:val="en-GB"/>
        </w:rPr>
        <w:fldChar w:fldCharType="separate"/>
      </w:r>
      <w:r>
        <w:rPr>
          <w:lang w:val="en-GB"/>
        </w:rPr>
        <w:t>11</w:t>
      </w:r>
      <w:r>
        <w:rPr>
          <w:lang w:val="en-GB"/>
        </w:rPr>
        <w:fldChar w:fldCharType="end"/>
      </w:r>
      <w:r>
        <w:fldChar w:fldCharType="end"/>
      </w:r>
    </w:p>
    <w:p>
      <w:pPr>
        <w:pStyle w:val="18"/>
        <w:tabs>
          <w:tab w:val="right" w:leader="dot" w:pos="9350"/>
        </w:tabs>
        <w:rPr>
          <w:rFonts w:ascii="Cambria" w:eastAsia="宋体" w:cs="Arial" w:hAnsi="Cambria"/>
          <w:sz w:val="22"/>
          <w:szCs w:val="22"/>
          <w:lang w:val="en-GB" w:eastAsia="en-US"/>
        </w:rPr>
      </w:pPr>
      <w:r>
        <w:fldChar w:fldCharType="begin"/>
      </w:r>
      <w:r>
        <w:instrText>Hyperlink \l "_Toc235788142"</w:instrText>
      </w:r>
      <w:r>
        <w:fldChar w:fldCharType="separate"/>
      </w:r>
      <w:r>
        <w:rPr>
          <w:color w:val="auto"/>
          <w:lang w:val="en-GB"/>
        </w:rPr>
        <w:t>a. Tool Disclosure</w:t>
      </w:r>
      <w:r>
        <w:rPr>
          <w:lang w:val="en-GB"/>
        </w:rPr>
        <w:tab/>
      </w:r>
      <w:r>
        <w:rPr>
          <w:lang w:val="en-GB"/>
        </w:rPr>
        <w:fldChar w:fldCharType="begin"/>
      </w:r>
      <w:r>
        <w:rPr>
          <w:lang w:val="en-GB"/>
        </w:rPr>
        <w:instrText xml:space="preserve"> PAGEREF _Toc235788142 \h </w:instrText>
      </w:r>
      <w:r>
        <w:rPr>
          <w:lang w:val="en-GB"/>
        </w:rPr>
        <w:fldChar w:fldCharType="separate"/>
      </w:r>
      <w:r>
        <w:rPr>
          <w:lang w:val="en-GB"/>
        </w:rPr>
        <w:t>11</w:t>
      </w:r>
      <w:r>
        <w:rPr>
          <w:lang w:val="en-GB"/>
        </w:rPr>
        <w:fldChar w:fldCharType="end"/>
      </w:r>
      <w:r>
        <w:fldChar w:fldCharType="end"/>
      </w:r>
    </w:p>
    <w:p>
      <w:pPr>
        <w:pStyle w:val="18"/>
        <w:tabs>
          <w:tab w:val="right" w:leader="dot" w:pos="9350"/>
        </w:tabs>
        <w:rPr>
          <w:rFonts w:ascii="Cambria" w:eastAsia="宋体" w:cs="Arial" w:hAnsi="Cambria"/>
          <w:sz w:val="22"/>
          <w:szCs w:val="22"/>
          <w:lang w:val="en-GB" w:eastAsia="en-US"/>
        </w:rPr>
      </w:pPr>
      <w:r>
        <w:fldChar w:fldCharType="begin"/>
      </w:r>
      <w:r>
        <w:instrText>Hyperlink \l "_Toc235788143"</w:instrText>
      </w:r>
      <w:r>
        <w:fldChar w:fldCharType="separate"/>
      </w:r>
      <w:r>
        <w:rPr>
          <w:color w:val="auto"/>
          <w:lang w:val="en-GB"/>
        </w:rPr>
        <w:t>b. Critical Evaluation of AI Output</w:t>
      </w:r>
      <w:r>
        <w:rPr>
          <w:lang w:val="en-GB"/>
        </w:rPr>
        <w:tab/>
      </w:r>
      <w:r>
        <w:rPr>
          <w:lang w:val="en-GB"/>
        </w:rPr>
        <w:fldChar w:fldCharType="begin"/>
      </w:r>
      <w:r>
        <w:rPr>
          <w:lang w:val="en-GB"/>
        </w:rPr>
        <w:instrText xml:space="preserve"> PAGEREF _Toc235788143 \h </w:instrText>
      </w:r>
      <w:r>
        <w:rPr>
          <w:lang w:val="en-GB"/>
        </w:rPr>
        <w:fldChar w:fldCharType="separate"/>
      </w:r>
      <w:r>
        <w:rPr>
          <w:lang w:val="en-GB"/>
        </w:rPr>
        <w:t>11</w:t>
      </w:r>
      <w:r>
        <w:rPr>
          <w:lang w:val="en-GB"/>
        </w:rPr>
        <w:fldChar w:fldCharType="end"/>
      </w:r>
      <w:r>
        <w:fldChar w:fldCharType="end"/>
      </w:r>
    </w:p>
    <w:p>
      <w:pPr>
        <w:pStyle w:val="18"/>
        <w:tabs>
          <w:tab w:val="right" w:leader="dot" w:pos="9350"/>
        </w:tabs>
        <w:rPr>
          <w:rFonts w:ascii="Cambria" w:eastAsia="宋体" w:cs="Arial" w:hAnsi="Cambria"/>
          <w:sz w:val="22"/>
          <w:szCs w:val="22"/>
          <w:lang w:val="en-GB" w:eastAsia="en-US"/>
        </w:rPr>
      </w:pPr>
      <w:r>
        <w:fldChar w:fldCharType="begin"/>
      </w:r>
      <w:r>
        <w:instrText>Hyperlink \l "_Toc235788144"</w:instrText>
      </w:r>
      <w:r>
        <w:fldChar w:fldCharType="separate"/>
      </w:r>
      <w:r>
        <w:rPr>
          <w:color w:val="auto"/>
          <w:lang w:val="en-GB"/>
        </w:rPr>
        <w:t>c. Contribution Analysis</w:t>
      </w:r>
      <w:r>
        <w:rPr>
          <w:lang w:val="en-GB"/>
        </w:rPr>
        <w:tab/>
      </w:r>
      <w:r>
        <w:rPr>
          <w:lang w:val="en-GB"/>
        </w:rPr>
        <w:fldChar w:fldCharType="begin"/>
      </w:r>
      <w:r>
        <w:rPr>
          <w:lang w:val="en-GB"/>
        </w:rPr>
        <w:instrText xml:space="preserve"> PAGEREF _Toc235788144 \h </w:instrText>
      </w:r>
      <w:r>
        <w:rPr>
          <w:lang w:val="en-GB"/>
        </w:rPr>
        <w:fldChar w:fldCharType="separate"/>
      </w:r>
      <w:r>
        <w:rPr>
          <w:lang w:val="en-GB"/>
        </w:rPr>
        <w:t>12</w:t>
      </w:r>
      <w:r>
        <w:rPr>
          <w:lang w:val="en-GB"/>
        </w:rPr>
        <w:fldChar w:fldCharType="end"/>
      </w:r>
      <w:r>
        <w:fldChar w:fldCharType="end"/>
      </w:r>
    </w:p>
    <w:p>
      <w:pPr>
        <w:pStyle w:val="18"/>
        <w:tabs>
          <w:tab w:val="right" w:leader="dot" w:pos="9350"/>
        </w:tabs>
        <w:rPr>
          <w:rFonts w:ascii="Cambria" w:eastAsia="宋体" w:cs="Arial" w:hAnsi="Cambria"/>
          <w:sz w:val="22"/>
          <w:szCs w:val="22"/>
          <w:lang w:val="en-GB" w:eastAsia="en-US"/>
        </w:rPr>
      </w:pPr>
      <w:r>
        <w:fldChar w:fldCharType="begin"/>
      </w:r>
      <w:r>
        <w:instrText>Hyperlink \l "_Toc235788145"</w:instrText>
      </w:r>
      <w:r>
        <w:fldChar w:fldCharType="separate"/>
      </w:r>
      <w:r>
        <w:rPr>
          <w:color w:val="auto"/>
          <w:lang w:val="en-GB"/>
        </w:rPr>
        <w:t>d. Ethical &amp; Professional Reflection</w:t>
      </w:r>
      <w:r>
        <w:rPr>
          <w:lang w:val="en-GB"/>
        </w:rPr>
        <w:tab/>
      </w:r>
      <w:r>
        <w:rPr>
          <w:lang w:val="en-GB"/>
        </w:rPr>
        <w:fldChar w:fldCharType="begin"/>
      </w:r>
      <w:r>
        <w:rPr>
          <w:lang w:val="en-GB"/>
        </w:rPr>
        <w:instrText xml:space="preserve"> PAGEREF _Toc235788145 \h </w:instrText>
      </w:r>
      <w:r>
        <w:rPr>
          <w:lang w:val="en-GB"/>
        </w:rPr>
        <w:fldChar w:fldCharType="separate"/>
      </w:r>
      <w:r>
        <w:rPr>
          <w:lang w:val="en-GB"/>
        </w:rPr>
        <w:t>12</w:t>
      </w:r>
      <w:r>
        <w:rPr>
          <w:lang w:val="en-GB"/>
        </w:rPr>
        <w:fldChar w:fldCharType="end"/>
      </w:r>
      <w:r>
        <w:fldChar w:fldCharType="end"/>
      </w:r>
    </w:p>
    <w:p>
      <w:pPr>
        <w:pStyle w:val="17"/>
        <w:tabs>
          <w:tab w:val="right" w:leader="dot" w:pos="9350"/>
        </w:tabs>
        <w:rPr>
          <w:rFonts w:ascii="Cambria" w:eastAsia="宋体" w:cs="Arial" w:hAnsi="Cambria"/>
          <w:sz w:val="22"/>
          <w:szCs w:val="22"/>
          <w:lang w:val="en-GB" w:eastAsia="en-US"/>
        </w:rPr>
      </w:pPr>
      <w:r>
        <w:fldChar w:fldCharType="begin"/>
      </w:r>
      <w:r>
        <w:instrText>Hyperlink \l "_Toc235788146"</w:instrText>
      </w:r>
      <w:r>
        <w:fldChar w:fldCharType="separate"/>
      </w:r>
      <w:r>
        <w:rPr>
          <w:color w:val="auto"/>
          <w:lang w:val="en-GB"/>
        </w:rPr>
        <w:t>Conclusion</w:t>
      </w:r>
      <w:r>
        <w:rPr>
          <w:lang w:val="en-GB"/>
        </w:rPr>
        <w:tab/>
      </w:r>
      <w:r>
        <w:rPr>
          <w:lang w:val="en-GB"/>
        </w:rPr>
        <w:fldChar w:fldCharType="begin"/>
      </w:r>
      <w:r>
        <w:rPr>
          <w:lang w:val="en-GB"/>
        </w:rPr>
        <w:instrText xml:space="preserve"> PAGEREF _Toc235788146 \h </w:instrText>
      </w:r>
      <w:r>
        <w:rPr>
          <w:lang w:val="en-GB"/>
        </w:rPr>
        <w:fldChar w:fldCharType="separate"/>
      </w:r>
      <w:r>
        <w:rPr>
          <w:lang w:val="en-GB"/>
        </w:rPr>
        <w:t>12</w:t>
      </w:r>
      <w:r>
        <w:rPr>
          <w:lang w:val="en-GB"/>
        </w:rPr>
        <w:fldChar w:fldCharType="end"/>
      </w:r>
      <w:r>
        <w:fldChar w:fldCharType="end"/>
      </w:r>
    </w:p>
    <w:p>
      <w:pPr>
        <w:pStyle w:val="17"/>
        <w:tabs>
          <w:tab w:val="right" w:leader="dot" w:pos="9350"/>
        </w:tabs>
        <w:rPr>
          <w:rFonts w:ascii="Cambria" w:eastAsia="宋体" w:cs="Arial" w:hAnsi="Cambria"/>
          <w:sz w:val="22"/>
          <w:szCs w:val="22"/>
          <w:lang w:val="en-GB" w:eastAsia="en-US"/>
        </w:rPr>
      </w:pPr>
      <w:r>
        <w:fldChar w:fldCharType="begin"/>
      </w:r>
      <w:r>
        <w:instrText>Hyperlink \l "_Toc235788147"</w:instrText>
      </w:r>
      <w:r>
        <w:fldChar w:fldCharType="separate"/>
      </w:r>
      <w:r>
        <w:rPr>
          <w:color w:val="auto"/>
          <w:lang w:val="en-GB"/>
        </w:rPr>
        <w:t>References</w:t>
      </w:r>
      <w:r>
        <w:rPr>
          <w:lang w:val="en-GB"/>
        </w:rPr>
        <w:tab/>
      </w:r>
      <w:r>
        <w:rPr>
          <w:lang w:val="en-GB"/>
        </w:rPr>
        <w:fldChar w:fldCharType="begin"/>
      </w:r>
      <w:r>
        <w:rPr>
          <w:lang w:val="en-GB"/>
        </w:rPr>
        <w:instrText xml:space="preserve"> PAGEREF _Toc235788147 \h </w:instrText>
      </w:r>
      <w:r>
        <w:rPr>
          <w:lang w:val="en-GB"/>
        </w:rPr>
        <w:fldChar w:fldCharType="separate"/>
      </w:r>
      <w:r>
        <w:rPr>
          <w:lang w:val="en-GB"/>
        </w:rPr>
        <w:t>14</w:t>
      </w:r>
      <w:r>
        <w:rPr>
          <w:lang w:val="en-GB"/>
        </w:rPr>
        <w:fldChar w:fldCharType="end"/>
      </w:r>
      <w:r>
        <w:fldChar w:fldCharType="end"/>
      </w:r>
    </w:p>
    <w:p>
      <w:pPr>
        <w:pStyle w:val="17"/>
        <w:tabs>
          <w:tab w:val="right" w:leader="dot" w:pos="9350"/>
        </w:tabs>
        <w:rPr>
          <w:rFonts w:ascii="Cambria" w:eastAsia="宋体" w:cs="Arial" w:hAnsi="Cambria"/>
          <w:sz w:val="22"/>
          <w:szCs w:val="22"/>
          <w:lang w:val="en-GB" w:eastAsia="en-US"/>
        </w:rPr>
      </w:pPr>
      <w:r>
        <w:fldChar w:fldCharType="begin"/>
      </w:r>
      <w:r>
        <w:instrText>Hyperlink \l "_Toc235788148"</w:instrText>
      </w:r>
      <w:r>
        <w:fldChar w:fldCharType="separate"/>
      </w:r>
      <w:r>
        <w:rPr>
          <w:color w:val="auto"/>
          <w:lang w:val="en-GB"/>
        </w:rPr>
        <w:t>Appendix 1: AI out put</w:t>
      </w:r>
      <w:r>
        <w:rPr>
          <w:lang w:val="en-GB"/>
        </w:rPr>
        <w:tab/>
      </w:r>
      <w:r>
        <w:rPr>
          <w:lang w:val="en-GB"/>
        </w:rPr>
        <w:fldChar w:fldCharType="begin"/>
      </w:r>
      <w:r>
        <w:rPr>
          <w:lang w:val="en-GB"/>
        </w:rPr>
        <w:instrText xml:space="preserve"> PAGEREF _Toc235788148 \h </w:instrText>
      </w:r>
      <w:r>
        <w:rPr>
          <w:lang w:val="en-GB"/>
        </w:rPr>
        <w:fldChar w:fldCharType="separate"/>
      </w:r>
      <w:r>
        <w:rPr>
          <w:lang w:val="en-GB"/>
        </w:rPr>
        <w:t>18</w:t>
      </w:r>
      <w:r>
        <w:rPr>
          <w:lang w:val="en-GB"/>
        </w:rPr>
        <w:fldChar w:fldCharType="end"/>
      </w:r>
      <w:r>
        <w:fldChar w:fldCharType="end"/>
      </w:r>
    </w:p>
    <w:p>
      <w:pPr>
        <w:rPr>
          <w:lang w:val="en-GB"/>
        </w:rPr>
      </w:pPr>
      <w:r>
        <w:rPr>
          <w:lang w:val="en-GB"/>
        </w:rPr>
        <w:fldChar w:fldCharType="end"/>
      </w:r>
    </w:p>
    <w:p>
      <w:pPr>
        <w:rPr>
          <w:b/>
          <w:bCs/>
          <w:lang w:val="en-GB"/>
        </w:rPr>
      </w:pPr>
      <w:r>
        <w:rPr>
          <w:lang w:val="en-GB"/>
        </w:rPr>
        <w:br w:type="page"/>
      </w:r>
    </w:p>
    <w:p>
      <w:pPr>
        <w:pStyle w:val="1"/>
        <w:rPr>
          <w:lang w:val="en-GB"/>
        </w:rPr>
      </w:pPr>
      <w:bookmarkStart w:id="2" w:name="_heading=h.smgllcpkl5go"/>
      <w:bookmarkStart w:id="3" w:name="_Toc235788133"/>
      <w:bookmarkEnd w:id="2"/>
      <w:r>
        <w:rPr>
          <w:lang w:val="en-GB"/>
        </w:rPr>
        <w:t>Introduction</w:t>
      </w:r>
      <w:bookmarkEnd w:id="3"/>
    </w:p>
    <w:p>
      <w:pPr>
        <w:rPr>
          <w:b/>
          <w:bCs/>
          <w:i/>
          <w:iCs/>
          <w:lang w:val="en-GB"/>
        </w:rPr>
      </w:pPr>
      <w:r>
        <w:rPr>
          <w:b/>
          <w:bCs/>
          <w:i/>
          <w:iCs/>
          <w:lang w:val="en-GB"/>
        </w:rPr>
        <w:t>Brief introduction of Codelco</w:t>
      </w:r>
    </w:p>
    <w:p>
      <w:pPr>
        <w:rPr>
          <w:lang w:val="en-GB"/>
        </w:rPr>
      </w:pPr>
      <w:r>
        <w:rPr>
          <w:lang w:val="en-GB"/>
        </w:rPr>
        <w:t xml:space="preserve">Codelco is a state-owned mining enterprise and is one of the world’s largest copper producers that are headquartered in Santiago, Chile. Codelco obtained 19.7% revenue growth in the first quarter of 2026 with total revenue of US$ 5.034 million in 2026 (Codelco, 2026). The marketing environment is changing in the global business landscape that is crucial to be considered by forms for enhancing their brand engagement and performance. </w:t>
      </w:r>
    </w:p>
    <w:p>
      <w:pPr>
        <w:rPr>
          <w:b/>
          <w:bCs/>
          <w:i/>
          <w:iCs/>
          <w:lang w:val="en-GB"/>
        </w:rPr>
      </w:pPr>
      <w:r>
        <w:rPr>
          <w:b/>
          <w:bCs/>
          <w:i/>
          <w:iCs/>
          <w:lang w:val="en-GB"/>
        </w:rPr>
        <w:t xml:space="preserve">Purpose of the report </w:t>
      </w:r>
    </w:p>
    <w:p>
      <w:pPr>
        <w:rPr>
          <w:lang w:val="en-GB"/>
        </w:rPr>
      </w:pPr>
      <w:r>
        <w:rPr>
          <w:lang w:val="en-GB"/>
        </w:rPr>
        <w:t xml:space="preserve">The purpose of the report is to analyse the marketing environment for identifying external factors that influence the transition of Codelco towards lower-carbon products and their adoption. </w:t>
      </w:r>
    </w:p>
    <w:p>
      <w:pPr>
        <w:rPr>
          <w:b/>
          <w:bCs/>
          <w:i/>
          <w:iCs/>
          <w:lang w:val="en-GB"/>
        </w:rPr>
      </w:pPr>
      <w:r>
        <w:rPr>
          <w:b/>
          <w:bCs/>
          <w:i/>
          <w:iCs/>
          <w:lang w:val="en-GB"/>
        </w:rPr>
        <w:t>Report content</w:t>
      </w:r>
    </w:p>
    <w:p>
      <w:pPr>
        <w:rPr>
          <w:lang w:val="en-GB"/>
        </w:rPr>
      </w:pPr>
      <w:r>
        <w:rPr>
          <w:lang w:val="en-GB"/>
        </w:rPr>
        <w:t xml:space="preserve">The report evaluates the two external marketing environment actors in Task 1 that had impacted Codelco’s adoption and transition towards lower-carbon products and cleaner products on technology. It has been identified that water shortage and ethical ESG reporting are the key external environmental factors that increase the risks of sustainability and ethical business accountability. Task 2 discusses the strategic growth and competitive positioning of Codelco based on environmental analysis and recommended strategic growth from the company by using Ansoff Matrix for achieving competitive advantages. The critical use of AI for structuring the report and evaluating the external factors creating pressure is discussed in Task 3. </w:t>
      </w:r>
    </w:p>
    <w:p>
      <w:pPr>
        <w:pStyle w:val="1"/>
        <w:rPr>
          <w:lang w:val="en-GB"/>
        </w:rPr>
      </w:pPr>
      <w:bookmarkStart w:id="4" w:name="_Toc235788134"/>
      <w:r>
        <w:rPr>
          <w:lang w:val="en-GB"/>
        </w:rPr>
        <w:t>Task 1: Marketing Environment Analysis</w:t>
      </w:r>
      <w:bookmarkEnd w:id="4"/>
    </w:p>
    <w:p>
      <w:pPr>
        <w:pStyle w:val="2"/>
        <w:rPr>
          <w:lang w:val="en-GB"/>
        </w:rPr>
      </w:pPr>
      <w:bookmarkStart w:id="5" w:name="_Toc235788135"/>
      <w:r>
        <w:rPr>
          <w:lang w:val="en-GB"/>
        </w:rPr>
        <w:t>Critical evaluation of Chile’s external environment using PESTLE analysis</w:t>
      </w:r>
      <w:bookmarkEnd w:id="5"/>
    </w:p>
    <w:p>
      <w:pPr>
        <w:numPr>
          <w:ilvl w:val="0"/>
          <w:numId w:val="1"/>
        </w:numPr>
        <w:rPr>
          <w:b/>
          <w:bCs/>
          <w:i/>
          <w:iCs/>
          <w:lang w:val="en-GB"/>
        </w:rPr>
      </w:pPr>
      <w:r>
        <w:rPr>
          <w:b/>
          <w:bCs/>
          <w:i/>
          <w:iCs/>
          <w:lang w:val="en-GB"/>
        </w:rPr>
        <w:t>Critical PESTLE factors and their assessment</w:t>
      </w:r>
    </w:p>
    <w:tbl>
      <w:tblPr>
        <w:jc w:val="left"/>
        <w:tblInd w:w="-100" w:type="dxa"/>
        <w:tblW w:w="95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Pr>
      <w:tblGrid>
        <w:gridCol w:w="1965"/>
        <w:gridCol w:w="1305"/>
        <w:gridCol w:w="6285"/>
      </w:tblGrid>
      <w:tr>
        <w:tc>
          <w:tcPr>
            <w:tcW w:w="1965" w:type="dxa"/>
            <w:tcMar>
              <w:top w:w="100" w:type="dxa"/>
              <w:left w:w="100" w:type="dxa"/>
              <w:bottom w:w="100" w:type="dxa"/>
              <w:right w:w="100" w:type="dxa"/>
            </w:tcMar>
          </w:tcPr>
          <w:p>
            <w:pPr>
              <w:widowControl w:val="0"/>
              <w:rPr>
                <w:b/>
                <w:bCs/>
                <w:lang w:val="en-GB"/>
              </w:rPr>
            </w:pPr>
            <w:r>
              <w:rPr>
                <w:b/>
                <w:bCs/>
                <w:lang w:val="en-GB"/>
              </w:rPr>
              <w:t xml:space="preserve">Factors </w:t>
            </w:r>
          </w:p>
        </w:tc>
        <w:tc>
          <w:tcPr>
            <w:tcW w:w="1305" w:type="dxa"/>
            <w:tcMar>
              <w:top w:w="100" w:type="dxa"/>
              <w:left w:w="100" w:type="dxa"/>
              <w:bottom w:w="100" w:type="dxa"/>
              <w:right w:w="100" w:type="dxa"/>
            </w:tcMar>
          </w:tcPr>
          <w:p>
            <w:pPr>
              <w:widowControl w:val="0"/>
              <w:rPr>
                <w:b/>
                <w:bCs/>
                <w:lang w:val="en-GB"/>
              </w:rPr>
            </w:pPr>
            <w:r>
              <w:rPr>
                <w:b/>
                <w:bCs/>
                <w:lang w:val="en-GB"/>
              </w:rPr>
              <w:t xml:space="preserve">Impact </w:t>
            </w:r>
          </w:p>
        </w:tc>
        <w:tc>
          <w:tcPr>
            <w:tcW w:w="6285" w:type="dxa"/>
            <w:tcMar>
              <w:top w:w="100" w:type="dxa"/>
              <w:left w:w="100" w:type="dxa"/>
              <w:bottom w:w="100" w:type="dxa"/>
              <w:right w:w="100" w:type="dxa"/>
            </w:tcMar>
          </w:tcPr>
          <w:p>
            <w:pPr>
              <w:widowControl w:val="0"/>
              <w:rPr>
                <w:b/>
                <w:bCs/>
                <w:lang w:val="en-GB"/>
              </w:rPr>
            </w:pPr>
            <w:r>
              <w:rPr>
                <w:b/>
                <w:bCs/>
                <w:lang w:val="en-GB"/>
              </w:rPr>
              <w:t>Attributes</w:t>
            </w:r>
          </w:p>
        </w:tc>
      </w:tr>
      <w:tr>
        <w:tc>
          <w:tcPr>
            <w:tcW w:w="1965" w:type="dxa"/>
            <w:tcMar>
              <w:top w:w="100" w:type="dxa"/>
              <w:left w:w="100" w:type="dxa"/>
              <w:bottom w:w="100" w:type="dxa"/>
              <w:right w:w="100" w:type="dxa"/>
            </w:tcMar>
          </w:tcPr>
          <w:p>
            <w:pPr>
              <w:widowControl w:val="0"/>
              <w:rPr>
                <w:b/>
                <w:bCs/>
                <w:lang w:val="en-GB"/>
              </w:rPr>
            </w:pPr>
            <w:r>
              <w:rPr>
                <w:b/>
                <w:bCs/>
                <w:lang w:val="en-GB"/>
              </w:rPr>
              <w:t>Legal</w:t>
            </w:r>
          </w:p>
        </w:tc>
        <w:tc>
          <w:tcPr>
            <w:tcW w:w="1305" w:type="dxa"/>
            <w:shd w:val="clear" w:color="auto" w:fill="00FF00"/>
            <w:tcMar>
              <w:top w:w="100" w:type="dxa"/>
              <w:left w:w="100" w:type="dxa"/>
              <w:bottom w:w="100" w:type="dxa"/>
              <w:right w:w="100" w:type="dxa"/>
            </w:tcMar>
          </w:tcPr>
          <w:p>
            <w:pPr>
              <w:widowControl w:val="0"/>
              <w:rPr>
                <w:lang w:val="en-GB"/>
              </w:rPr>
            </w:pPr>
            <w:r>
              <w:rPr>
                <w:lang w:val="en-GB"/>
              </w:rPr>
              <w:t>Positive</w:t>
            </w:r>
          </w:p>
        </w:tc>
        <w:tc>
          <w:tcPr>
            <w:tcW w:w="6285" w:type="dxa"/>
            <w:tcMar>
              <w:top w:w="100" w:type="dxa"/>
              <w:left w:w="100" w:type="dxa"/>
              <w:bottom w:w="100" w:type="dxa"/>
              <w:right w:w="100" w:type="dxa"/>
            </w:tcMar>
          </w:tcPr>
          <w:p>
            <w:pPr>
              <w:widowControl w:val="0"/>
              <w:rPr>
                <w:b/>
                <w:bCs/>
                <w:i/>
                <w:iCs/>
                <w:lang w:val="en-GB"/>
              </w:rPr>
            </w:pPr>
            <w:r>
              <w:rPr>
                <w:b/>
                <w:bCs/>
                <w:i/>
                <w:iCs/>
                <w:lang w:val="en-GB"/>
              </w:rPr>
              <w:t>Compliance with Mining Royalty Law (No. 21,591)</w:t>
            </w:r>
          </w:p>
          <w:p>
            <w:pPr>
              <w:widowControl w:val="0"/>
              <w:numPr>
                <w:ilvl w:val="0"/>
                <w:numId w:val="2"/>
              </w:numPr>
              <w:rPr>
                <w:lang w:val="en-GB"/>
              </w:rPr>
            </w:pPr>
            <w:r>
              <w:rPr>
                <w:lang w:val="en-GB"/>
              </w:rPr>
              <w:t>Mining Royalty Law establishes hybrid tax systems for large scale producers by implementing 1% ad valorem tax on annual sales for generating public revenue (IEA, 2023).</w:t>
            </w:r>
          </w:p>
          <w:p>
            <w:pPr>
              <w:widowControl w:val="0"/>
              <w:numPr>
                <w:ilvl w:val="0"/>
                <w:numId w:val="2"/>
              </w:numPr>
              <w:rPr>
                <w:lang w:val="en-GB"/>
              </w:rPr>
            </w:pPr>
          </w:p>
        </w:tc>
      </w:tr>
      <w:tr>
        <w:tc>
          <w:tcPr>
            <w:tcW w:w="1965" w:type="dxa"/>
            <w:tcMar>
              <w:top w:w="100" w:type="dxa"/>
              <w:left w:w="100" w:type="dxa"/>
              <w:bottom w:w="100" w:type="dxa"/>
              <w:right w:w="100" w:type="dxa"/>
            </w:tcMar>
          </w:tcPr>
          <w:p>
            <w:pPr>
              <w:widowControl w:val="0"/>
              <w:rPr>
                <w:b/>
                <w:bCs/>
                <w:lang w:val="en-GB"/>
              </w:rPr>
            </w:pPr>
            <w:r>
              <w:rPr>
                <w:b/>
                <w:bCs/>
                <w:lang w:val="en-GB"/>
              </w:rPr>
              <w:t>Environmental</w:t>
            </w:r>
          </w:p>
        </w:tc>
        <w:tc>
          <w:tcPr>
            <w:tcW w:w="1305" w:type="dxa"/>
            <w:shd w:val="clear" w:color="auto" w:fill="FF0000"/>
            <w:tcMar>
              <w:top w:w="100" w:type="dxa"/>
              <w:left w:w="100" w:type="dxa"/>
              <w:bottom w:w="100" w:type="dxa"/>
              <w:right w:w="100" w:type="dxa"/>
            </w:tcMar>
          </w:tcPr>
          <w:p>
            <w:pPr>
              <w:widowControl w:val="0"/>
              <w:rPr>
                <w:lang w:val="en-GB"/>
              </w:rPr>
            </w:pPr>
            <w:r>
              <w:rPr>
                <w:lang w:val="en-GB"/>
              </w:rPr>
              <w:t>Negative</w:t>
            </w:r>
          </w:p>
        </w:tc>
        <w:tc>
          <w:tcPr>
            <w:tcW w:w="6285" w:type="dxa"/>
            <w:tcMar>
              <w:top w:w="100" w:type="dxa"/>
              <w:left w:w="100" w:type="dxa"/>
              <w:bottom w:w="100" w:type="dxa"/>
              <w:right w:w="100" w:type="dxa"/>
            </w:tcMar>
          </w:tcPr>
          <w:p>
            <w:pPr>
              <w:widowControl w:val="0"/>
              <w:rPr>
                <w:b/>
                <w:bCs/>
                <w:i/>
                <w:iCs/>
                <w:lang w:val="en-GB"/>
              </w:rPr>
            </w:pPr>
            <w:r>
              <w:rPr>
                <w:b/>
                <w:bCs/>
                <w:i/>
                <w:iCs/>
                <w:lang w:val="en-GB"/>
              </w:rPr>
              <w:t xml:space="preserve">Natural resource constraints </w:t>
            </w:r>
          </w:p>
          <w:p>
            <w:pPr>
              <w:widowControl w:val="0"/>
              <w:numPr>
                <w:ilvl w:val="0"/>
                <w:numId w:val="3"/>
              </w:numPr>
              <w:rPr>
                <w:lang w:val="en-GB"/>
              </w:rPr>
            </w:pPr>
            <w:r>
              <w:rPr>
                <w:lang w:val="en-GB"/>
              </w:rPr>
              <w:t xml:space="preserve">Technological advancement for companies such as Google and Microsoft are impacted by water scarcity in Chile (Heikkinen and Bustamante, 2026). </w:t>
            </w:r>
          </w:p>
          <w:p>
            <w:pPr>
              <w:widowControl w:val="0"/>
              <w:rPr>
                <w:b/>
                <w:bCs/>
                <w:i/>
                <w:iCs/>
                <w:lang w:val="en-GB"/>
              </w:rPr>
            </w:pPr>
            <w:r>
              <w:rPr>
                <w:b/>
                <w:bCs/>
                <w:i/>
                <w:iCs/>
                <w:lang w:val="en-GB"/>
              </w:rPr>
              <w:t xml:space="preserve">Growing adoption of ESG reporting in Chile </w:t>
            </w:r>
          </w:p>
          <w:p>
            <w:pPr>
              <w:widowControl w:val="0"/>
              <w:numPr>
                <w:ilvl w:val="0"/>
                <w:numId w:val="3"/>
              </w:numPr>
              <w:rPr>
                <w:lang w:val="en-GB"/>
              </w:rPr>
            </w:pPr>
            <w:r>
              <w:rPr>
                <w:lang w:val="en-GB"/>
              </w:rPr>
              <w:t xml:space="preserve">61.3% of businesses are already publishing ESG reporting to multiple regulatory standards including NCG 461 Mandate and IFRS S1 and S2 (RSM, 2026). </w:t>
            </w:r>
          </w:p>
        </w:tc>
      </w:tr>
    </w:tbl>
    <w:p>
      <w:pPr>
        <w:jc w:val="center"/>
        <w:rPr>
          <w:b/>
          <w:bCs/>
          <w:lang w:val="en-GB"/>
        </w:rPr>
      </w:pPr>
      <w:r>
        <w:rPr>
          <w:b/>
          <w:bCs/>
          <w:lang w:val="en-GB"/>
        </w:rPr>
        <w:t xml:space="preserve">Table 1: Two factors from PESTLE Analysis of Chile </w:t>
      </w:r>
    </w:p>
    <w:p>
      <w:pPr>
        <w:jc w:val="center"/>
        <w:rPr>
          <w:lang w:val="en-GB"/>
        </w:rPr>
      </w:pPr>
      <w:r>
        <w:rPr>
          <w:lang w:val="en-GB"/>
        </w:rPr>
        <w:t>(Source: Influenced by Heikkinen and Bustamante, 2026)</w:t>
      </w:r>
    </w:p>
    <w:p>
      <w:pPr>
        <w:rPr>
          <w:lang w:val="en-GB"/>
        </w:rPr>
      </w:pPr>
      <w:r>
        <w:rPr>
          <w:lang w:val="en-GB"/>
        </w:rPr>
        <w:t xml:space="preserve">The PESTLE analysis has outlined that the environment and regulatory factors are the key external factors that impact the business adoption of low-carbon products by Codelco. It has been identified that environmental factors are a major concern for businesses due to natural resource (water) scarcity as Chile experienced water levels reduction by 10%-37% over the past years (Earth, 2022). The ESG reporting as part of the regulatory landscape in Chile to enhance business accountability is also being emphasised as 61.3% of businesses are actively publishing their ESG reports (RSM, 2026). The lowering level of water is a major concern for Codelco as it restricts the business to transition to more carbon neutral products due to use of water for extracting and processing critical minerals such as lithium. </w:t>
      </w:r>
    </w:p>
    <w:p>
      <w:pPr>
        <w:pStyle w:val="2"/>
        <w:rPr>
          <w:lang w:val="en-GB"/>
        </w:rPr>
      </w:pPr>
      <w:bookmarkStart w:id="6" w:name="_Toc235788136"/>
      <w:r>
        <w:rPr>
          <w:lang w:val="en-GB"/>
        </w:rPr>
        <w:t>External marketing environmental factors</w:t>
      </w:r>
      <w:bookmarkEnd w:id="6"/>
    </w:p>
    <w:p>
      <w:pPr>
        <w:rPr>
          <w:b/>
          <w:bCs/>
          <w:i/>
          <w:iCs/>
          <w:lang w:val="en-GB"/>
        </w:rPr>
      </w:pPr>
      <w:r>
        <w:rPr>
          <w:b/>
          <w:bCs/>
          <w:i/>
          <w:iCs/>
          <w:lang w:val="en-GB"/>
        </w:rPr>
        <w:t xml:space="preserve">Natural Environment factor- Water Shortage </w:t>
      </w:r>
    </w:p>
    <w:p>
      <w:pPr>
        <w:numPr>
          <w:ilvl w:val="0"/>
          <w:numId w:val="4"/>
        </w:numPr>
        <w:rPr>
          <w:b/>
          <w:bCs/>
          <w:i/>
          <w:iCs/>
          <w:lang w:val="en-GB"/>
        </w:rPr>
      </w:pPr>
      <w:r>
        <w:rPr>
          <w:b/>
          <w:bCs/>
          <w:i/>
          <w:iCs/>
          <w:lang w:val="en-GB"/>
        </w:rPr>
        <w:t>Threats of the natural environment</w:t>
      </w:r>
    </w:p>
    <w:p>
      <w:pPr>
        <w:rPr>
          <w:lang w:val="en-GB"/>
        </w:rPr>
      </w:pPr>
      <w:r>
        <w:rPr>
          <w:lang w:val="en-GB"/>
        </w:rPr>
        <w:t xml:space="preserve">One Natural Environment factor that may impact the low carbon product adoption of Codelco in Chile is the shortage of natural resources such as water shortage. Mining processes heavily rely on water usage including mineral extraction, dust suppression, and material transport that may be impacted by water shortage (Sankaran, 2025). Moreover, Barrick Gold mining company is also focused on addressing the water scarcity concerns for 140 energy-efficient projects and source 19% of electrical energy from renewable sources (Onifade </w:t>
      </w:r>
      <w:r>
        <w:rPr>
          <w:i/>
          <w:iCs/>
          <w:lang w:val="en-GB"/>
        </w:rPr>
        <w:t xml:space="preserve">et al. </w:t>
      </w:r>
      <w:r>
        <w:rPr>
          <w:lang w:val="en-GB"/>
        </w:rPr>
        <w:t xml:space="preserve">2024). Moreover, Codelco has achieved a reduction of around 310 litres per second in water consumption in high water stress regions in Chile, equivalent to 12% (Codelco, 2025). Thus, Codelco is also working towards enhancing its accountability towards reducing its reliance on groundwater as its key resource for mineral extraction and processing. </w:t>
      </w:r>
    </w:p>
    <w:p>
      <w:pPr>
        <w:numPr>
          <w:ilvl w:val="0"/>
          <w:numId w:val="5"/>
        </w:numPr>
        <w:rPr>
          <w:b/>
          <w:bCs/>
          <w:i/>
          <w:iCs/>
          <w:lang w:val="en-GB"/>
        </w:rPr>
      </w:pPr>
      <w:r>
        <w:rPr>
          <w:b/>
          <w:bCs/>
          <w:i/>
          <w:iCs/>
          <w:lang w:val="en-GB"/>
        </w:rPr>
        <w:t xml:space="preserve">Opportunities provided by natural environment </w:t>
      </w:r>
    </w:p>
    <w:p>
      <w:pPr>
        <w:rPr>
          <w:lang w:val="en-GB"/>
        </w:rPr>
      </w:pPr>
      <w:r>
        <w:rPr>
          <w:lang w:val="en-GB"/>
        </w:rPr>
        <w:t>The issues related to water shortage are addressed in Cujole through adsorption and developing strategic approaches and initiatives by the government. For example, the water shortage is addressed in Chile through focusing pilot products for desalination and water reuse that have matured between 2009 and 2022 (Idrawater, 2025). Codelco’s reliance on ground water is being addressed through implementing desalination centres and plants in the Northern District to make use of salient water. Moreover, adoption of low carbon products is significant for Codelco in enabling the business to achieve sustainability, accountability and improve marketing performance through building brand reputation. For example, Codelco has adopted a new low carbon explosive for its copper mining that assists in reducing 40% of the business’ explosive consumption and reducing scope 3 emissions (Reuters, 2024).</w:t>
      </w:r>
    </w:p>
    <w:p>
      <w:pPr>
        <w:rPr>
          <w:b/>
          <w:bCs/>
          <w:i/>
          <w:iCs/>
          <w:lang w:val="en-GB"/>
        </w:rPr>
      </w:pPr>
      <w:r>
        <w:rPr>
          <w:b/>
          <w:bCs/>
          <w:i/>
          <w:iCs/>
          <w:lang w:val="en-GB"/>
        </w:rPr>
        <w:t>External Environmental Factor - Regulatory compliance related to ESG reporting of the firms and maintaining legislative adherence</w:t>
      </w:r>
    </w:p>
    <w:p>
      <w:pPr>
        <w:numPr>
          <w:ilvl w:val="0"/>
          <w:numId w:val="6"/>
        </w:numPr>
        <w:rPr>
          <w:b/>
          <w:bCs/>
          <w:i/>
          <w:iCs/>
          <w:lang w:val="en-GB"/>
        </w:rPr>
      </w:pPr>
      <w:r>
        <w:rPr>
          <w:b/>
          <w:bCs/>
          <w:i/>
          <w:iCs/>
          <w:lang w:val="en-GB"/>
        </w:rPr>
        <w:t xml:space="preserve">Threats of the external environment factors </w:t>
      </w:r>
    </w:p>
    <w:p>
      <w:pPr>
        <w:rPr>
          <w:lang w:val="en-GB"/>
        </w:rPr>
      </w:pPr>
      <w:r>
        <w:rPr>
          <w:lang w:val="en-GB"/>
        </w:rPr>
        <w:t>Codelco is facing concerns with ethically reporting its mining processes and environmental impact that has raised questions of investors on the brand's trust and reputation. Codelco fired an executive and held accountable multiple employees after internal audits, outlining that 20,000 tonnes and 6,875 tonnes of copper mining estimates were overstated (Jamasmie, 2026). The two overestimations of around 27,000 for copper outline the ethical and poor sustainability reporting and business accountability of the business, limiting its approach and transition towards more carbon neutral products and approaches. Codelco has also identified issues with its governance due to unethical governance and reporting of its annual copper product along with environmental impact (Cambero, 2026). Moreover, the net debt of Codelco to Ebitda has increased by 3.8x as compared to 0.7x for global mining companies in Chile. Thus, Codelco is also facing issues with maintaining its financial performance and stability due to rising debts, requiring the company to improve its competitive advantages.</w:t>
      </w:r>
    </w:p>
    <w:p>
      <w:pPr>
        <w:numPr>
          <w:ilvl w:val="0"/>
          <w:numId w:val="7"/>
        </w:numPr>
        <w:rPr>
          <w:b/>
          <w:bCs/>
          <w:i/>
          <w:iCs/>
          <w:lang w:val="en-GB"/>
        </w:rPr>
      </w:pPr>
      <w:r>
        <w:rPr>
          <w:b/>
          <w:bCs/>
          <w:i/>
          <w:iCs/>
          <w:lang w:val="en-GB"/>
        </w:rPr>
        <w:t>Opportunities offered by Regulatory framework and ESG reporting</w:t>
      </w:r>
    </w:p>
    <w:p>
      <w:pPr>
        <w:rPr>
          <w:lang w:val="en-GB"/>
        </w:rPr>
      </w:pPr>
      <w:r>
        <w:rPr>
          <w:lang w:val="en-GB"/>
        </w:rPr>
        <w:t xml:space="preserve">The ESG reporting along with sustainability mining is being integrated in Chile’s business environment with the emphasis on regulatory compliance to ensure business accountability. General Standard No 508 (“NCG 508”) is issued by CMF as the established governance and the risk management guideline for ensuring sustainability business practice (Arriagada, 2025). In this regard, Codelco is also working towards enhancing its business accountability through complying with regulatory standards for ESG reporting. As part of its circular economic strategy, Codelco is managing waste by recovering 49.4% of non-hazardous waste and leading the International Council on Mining and Metals (ICMM) group (Codelco, 2025). The business is also planning to recycle 65% of its industrial waste as part of its circular economy strategy and boost competitiveness (Codelco, 2025). Thus, improving business accountability required Codelco to integrate a comprehensive governance and reporting structure for outlining its ESG reporting and market competitiveness. </w:t>
      </w:r>
    </w:p>
    <w:p>
      <w:pPr>
        <w:pStyle w:val="1"/>
        <w:keepNext w:val="0"/>
        <w:keepLines w:val="0"/>
        <w:spacing w:before="480"/>
        <w:rPr>
          <w:b w:val="0"/>
          <w:bCs w:val="0"/>
          <w:lang w:val="en-GB"/>
        </w:rPr>
      </w:pPr>
      <w:bookmarkStart w:id="7" w:name="_Toc235788137"/>
      <w:r>
        <w:rPr>
          <w:lang w:val="en-GB"/>
        </w:rPr>
        <w:t>Task 2: Strategic Growth and Competitive Positioning</w:t>
      </w:r>
      <w:bookmarkEnd w:id="7"/>
    </w:p>
    <w:p>
      <w:pPr>
        <w:pStyle w:val="2"/>
        <w:keepNext w:val="0"/>
        <w:keepLines w:val="0"/>
        <w:spacing w:after="80"/>
        <w:rPr>
          <w:b w:val="0"/>
          <w:bCs w:val="0"/>
          <w:i/>
          <w:iCs/>
          <w:lang w:val="en-GB"/>
        </w:rPr>
      </w:pPr>
      <w:bookmarkStart w:id="8" w:name="_Toc235788138"/>
      <w:r>
        <w:rPr>
          <w:i/>
          <w:iCs/>
          <w:lang w:val="en-GB"/>
        </w:rPr>
        <w:t>The Ansoff Matrix</w:t>
      </w:r>
      <w:bookmarkEnd w:id="8"/>
    </w:p>
    <w:p>
      <w:pPr>
        <w:rPr>
          <w:lang w:val="en-GB"/>
        </w:rPr>
      </w:pPr>
      <w:r>
        <w:rPr>
          <w:lang w:val="en-GB"/>
        </w:rPr>
        <w:t>The Ansoff Matrix is a strategic planning framework which helps companies identify growth opportunities by evaluating market and product. The four strategies of the model enable businesses to analyse growth options while considering the level of risk associated with each strategy.</w:t>
      </w:r>
      <w:r>
        <w:rPr>
          <w:b/>
          <w:bCs/>
          <w:i/>
          <w:iCs/>
          <w:lang w:val="en-GB"/>
        </w:rPr>
        <w:t xml:space="preserve"> Market Development </w:t>
      </w:r>
      <w:r>
        <w:rPr>
          <w:lang w:val="en-GB"/>
        </w:rPr>
        <w:t xml:space="preserve">focuses on increasing market share in the existing market with existing products (Kotler </w:t>
      </w:r>
      <w:r>
        <w:rPr>
          <w:i/>
          <w:iCs/>
          <w:lang w:val="en-GB"/>
        </w:rPr>
        <w:t xml:space="preserve">et al., </w:t>
      </w:r>
      <w:r>
        <w:rPr>
          <w:lang w:val="en-GB"/>
        </w:rPr>
        <w:t xml:space="preserve">2024). </w:t>
      </w:r>
      <w:r>
        <w:rPr>
          <w:b/>
          <w:bCs/>
          <w:i/>
          <w:iCs/>
          <w:lang w:val="en-GB"/>
        </w:rPr>
        <w:t>Market development</w:t>
      </w:r>
      <w:r>
        <w:rPr>
          <w:lang w:val="en-GB"/>
        </w:rPr>
        <w:t xml:space="preserve"> focuses on entering new markets with existing products (</w:t>
      </w:r>
      <w:r>
        <w:rPr>
          <w:lang w:val="en-GB"/>
          <w:highlight w:val="white"/>
        </w:rPr>
        <w:t>Ferreira and de Sá, 2024</w:t>
      </w:r>
      <w:r>
        <w:rPr>
          <w:lang w:val="en-GB"/>
        </w:rPr>
        <w:t xml:space="preserve">). </w:t>
      </w:r>
      <w:r>
        <w:rPr>
          <w:bCs/>
          <w:iCs/>
          <w:lang w:val="en-GB"/>
        </w:rPr>
        <w:t xml:space="preserve">It </w:t>
      </w:r>
      <w:r>
        <w:rPr>
          <w:lang w:val="en-GB"/>
        </w:rPr>
        <w:t>focuses on developing new products from existing markets (</w:t>
      </w:r>
      <w:r>
        <w:rPr>
          <w:lang w:val="en-GB"/>
          <w:highlight w:val="white"/>
        </w:rPr>
        <w:t>Ferreira and de Sá, 2024</w:t>
      </w:r>
      <w:r>
        <w:rPr>
          <w:lang w:val="en-GB"/>
        </w:rPr>
        <w:t xml:space="preserve">). </w:t>
      </w:r>
      <w:r>
        <w:rPr>
          <w:bCs/>
          <w:iCs/>
          <w:lang w:val="en-GB"/>
        </w:rPr>
        <w:t xml:space="preserve">It has benefits for adopting </w:t>
      </w:r>
      <w:r>
        <w:rPr>
          <w:lang w:val="en-GB"/>
        </w:rPr>
        <w:t>new products for new markets (</w:t>
      </w:r>
      <w:r>
        <w:rPr>
          <w:lang w:val="en-GB"/>
          <w:highlight w:val="white"/>
        </w:rPr>
        <w:t>Qomaro</w:t>
      </w:r>
      <w:r>
        <w:rPr>
          <w:i/>
          <w:iCs/>
          <w:lang w:val="en-GB"/>
        </w:rPr>
        <w:t xml:space="preserve">et al., </w:t>
      </w:r>
      <w:r>
        <w:rPr>
          <w:lang w:val="en-GB"/>
        </w:rPr>
        <w:t xml:space="preserve">2024). </w:t>
      </w:r>
    </w:p>
    <w:p>
      <w:pPr>
        <w:jc w:val="center"/>
        <w:rPr>
          <w:lang w:val="en-GB"/>
        </w:rPr>
      </w:pPr>
      <w:r>
        <w:rPr>
          <w:lang w:val="en-GB" w:eastAsia="en-GB"/>
        </w:rPr>
        <w:drawing>
          <wp:inline distT="114300" distB="114300" distL="114300" distR="114300">
            <wp:extent cx="3519488" cy="3310799"/>
            <wp:effectExtent l="0" t="0" r="0" b="0"/>
            <wp:docPr id="4" name="图片 4"/>
            <wp:cNvGraphicFramePr>
              <a:graphicFrameLocks noChangeAspect="0"/>
            </wp:cNvGraphicFramePr>
            <a:graphic>
              <a:graphicData uri="http://schemas.openxmlformats.org/drawingml/2006/picture">
                <pic:pic>
                  <pic:nvPicPr>
                    <pic:cNvPr id="6" name="图片 6"/>
                    <pic:cNvPicPr/>
                  </pic:nvPicPr>
                  <pic:blipFill>
                    <a:blip r:embed="rId4"/>
                    <a:stretch>
                      <a:fillRect/>
                    </a:stretch>
                  </pic:blipFill>
                  <pic:spPr>
                    <a:xfrm rot="0">
                      <a:off x="0" y="0"/>
                      <a:ext cx="3519488" cy="3310799"/>
                    </a:xfrm>
                    <a:prstGeom prst="rect"/>
                    <a:noFill/>
                    <a:ln w="38100" cmpd="sng" cap="flat">
                      <a:solidFill>
                        <a:srgbClr val="000000"/>
                      </a:solidFill>
                      <a:prstDash val="solid"/>
                      <a:round/>
                    </a:ln>
                  </pic:spPr>
                </pic:pic>
              </a:graphicData>
            </a:graphic>
          </wp:inline>
        </w:drawing>
      </w:r>
    </w:p>
    <w:p>
      <w:pPr>
        <w:jc w:val="center"/>
        <w:rPr>
          <w:b/>
          <w:bCs/>
          <w:lang w:val="en-GB"/>
        </w:rPr>
      </w:pPr>
      <w:r>
        <w:rPr>
          <w:b/>
          <w:bCs/>
          <w:lang w:val="en-GB"/>
        </w:rPr>
        <w:t>Figure 1: Ansoff Matrix</w:t>
      </w:r>
    </w:p>
    <w:p>
      <w:pPr>
        <w:jc w:val="center"/>
        <w:rPr>
          <w:lang w:val="en-GB"/>
        </w:rPr>
      </w:pPr>
      <w:r>
        <w:rPr>
          <w:lang w:val="en-GB"/>
        </w:rPr>
        <w:t xml:space="preserve">(Source: </w:t>
      </w:r>
      <w:r>
        <w:rPr>
          <w:lang w:val="en-GB"/>
          <w:highlight w:val="white"/>
        </w:rPr>
        <w:t>Jhunjhunwala and Chaudhuri, 2021</w:t>
      </w:r>
      <w:r>
        <w:rPr>
          <w:lang w:val="en-GB"/>
        </w:rPr>
        <w:t>)</w:t>
      </w:r>
    </w:p>
    <w:p>
      <w:pPr>
        <w:pStyle w:val="2"/>
        <w:keepNext w:val="0"/>
        <w:keepLines w:val="0"/>
        <w:spacing w:after="80"/>
        <w:rPr>
          <w:b w:val="0"/>
          <w:bCs w:val="0"/>
          <w:i/>
          <w:iCs/>
          <w:lang w:val="en-GB"/>
        </w:rPr>
      </w:pPr>
      <w:bookmarkStart w:id="9" w:name="_Toc235788139"/>
      <w:r>
        <w:rPr>
          <w:i/>
          <w:iCs/>
          <w:lang w:val="en-GB"/>
        </w:rPr>
        <w:t>Strategic Positioning</w:t>
      </w:r>
      <w:bookmarkEnd w:id="9"/>
    </w:p>
    <w:p>
      <w:pPr>
        <w:rPr>
          <w:lang w:val="en-GB"/>
        </w:rPr>
      </w:pPr>
      <w:r>
        <w:rPr>
          <w:lang w:val="en-GB"/>
        </w:rPr>
        <w:t xml:space="preserve">The global copper industry is experiencing sustained demand growth that is driven by renewable energy, electrification, grid expansion and EVs The total demand for copper can increase to 31.1 million tonnes by 2030 from 25.9 million tonnes in 2023 (IEA, 2024). The clean energy-related copper demand is also expected to grow to 12 million tonnes from 6.3 million tonnes during the same period (ICA, 2024). The emerging economies, particularly the Southeast Asian nations, are expected to significantly contribute to the growth as clean energy investment and infrastructure accelerate. </w:t>
      </w:r>
    </w:p>
    <w:p>
      <w:pPr>
        <w:rPr>
          <w:lang w:val="en-GB"/>
        </w:rPr>
      </w:pPr>
      <w:r>
        <w:rPr>
          <w:lang w:val="en-GB"/>
        </w:rPr>
        <w:t xml:space="preserve">The company has the priority to supply copper, particularly for electrification, renewable energy and advanced manufacturing, while improving the relationship with customers all across Asia and other emerging markets (Codelco, 2025). The strategy enables it to capture new demand without fundamentally changing the core product portfolio and hence reduce strategic risk while supporting long-term revenue generation. </w:t>
      </w:r>
    </w:p>
    <w:p>
      <w:pPr>
        <w:jc w:val="center"/>
        <w:rPr>
          <w:lang w:val="en-GB"/>
        </w:rPr>
      </w:pPr>
      <w:r>
        <w:rPr>
          <w:lang w:val="en-GB" w:eastAsia="en-GB"/>
        </w:rPr>
        <w:drawing>
          <wp:inline distT="114300" distB="114300" distL="114300" distR="114300">
            <wp:extent cx="5943600" cy="1828800"/>
            <wp:effectExtent l="0" t="0" r="0" b="0"/>
            <wp:docPr id="7" name="图片 7"/>
            <wp:cNvGraphicFramePr>
              <a:graphicFrameLocks noChangeAspect="0"/>
            </wp:cNvGraphicFramePr>
            <a:graphic>
              <a:graphicData uri="http://schemas.openxmlformats.org/drawingml/2006/picture">
                <pic:pic>
                  <pic:nvPicPr>
                    <pic:cNvPr id="9" name="图片 9"/>
                    <pic:cNvPicPr/>
                  </pic:nvPicPr>
                  <pic:blipFill>
                    <a:blip r:embed="rId5"/>
                    <a:stretch>
                      <a:fillRect/>
                    </a:stretch>
                  </pic:blipFill>
                  <pic:spPr>
                    <a:xfrm rot="0">
                      <a:off x="0" y="0"/>
                      <a:ext cx="5943600" cy="1828800"/>
                    </a:xfrm>
                    <a:prstGeom prst="rect"/>
                    <a:noFill/>
                    <a:ln w="38100" cmpd="sng" cap="flat">
                      <a:solidFill>
                        <a:srgbClr val="000000"/>
                      </a:solidFill>
                      <a:prstDash val="solid"/>
                      <a:round/>
                    </a:ln>
                  </pic:spPr>
                </pic:pic>
              </a:graphicData>
            </a:graphic>
          </wp:inline>
        </w:drawing>
      </w:r>
    </w:p>
    <w:p>
      <w:pPr>
        <w:jc w:val="center"/>
        <w:rPr>
          <w:lang w:val="en-GB"/>
        </w:rPr>
      </w:pPr>
    </w:p>
    <w:p>
      <w:pPr>
        <w:jc w:val="center"/>
        <w:rPr>
          <w:b/>
          <w:bCs/>
          <w:lang w:val="en-GB"/>
        </w:rPr>
      </w:pPr>
      <w:r>
        <w:rPr>
          <w:b/>
          <w:bCs/>
          <w:lang w:val="en-GB"/>
        </w:rPr>
        <w:t>Figure 2: ESG 2024 achievements of Codelco</w:t>
      </w:r>
    </w:p>
    <w:p>
      <w:pPr>
        <w:jc w:val="center"/>
        <w:rPr>
          <w:lang w:val="en-GB"/>
        </w:rPr>
      </w:pPr>
      <w:r>
        <w:rPr>
          <w:lang w:val="en-GB"/>
        </w:rPr>
        <w:t>(Source: Codelco, 2024)</w:t>
      </w:r>
    </w:p>
    <w:p>
      <w:pPr>
        <w:rPr>
          <w:b/>
          <w:bCs/>
          <w:lang w:val="en-GB"/>
        </w:rPr>
      </w:pPr>
      <w:r>
        <w:rPr>
          <w:b/>
          <w:bCs/>
          <w:lang w:val="en-GB"/>
        </w:rPr>
        <w:t xml:space="preserve">Justification </w:t>
      </w:r>
    </w:p>
    <w:p>
      <w:pPr>
        <w:rPr>
          <w:lang w:val="en-GB"/>
        </w:rPr>
      </w:pPr>
      <w:r>
        <w:rPr>
          <w:lang w:val="en-GB"/>
        </w:rPr>
        <w:t>As evident from the environmental analysis above, it can be stated that the growing adoption of ESG reporting in Chile includes the NC 461 mandate and IFRS S1 and S2 (RSM, 2026). Because water scarcity creates both opportunities and threats, Codelco should adopt a Market Development Strategy by expanding sustainable copper into emerging markets. The market development is in alignment with competitor strategy and industry trends. Global copper demand will grow by approximately one million tonnes annually until 2035, and it will be supported by renewable power systems, EVs, and AI-related data centres (Reuters, 2024). Leading miners, similarly, are expanding their exposure to the high-growth copper market rather than diversifying away from copper (Reuters, 2024). Being the largest copper producer in the world, Codelco is well positioned to leverage the structural demand by increasing exports to developing economies where energy transition projects and infrastructure continue to expand.</w:t>
      </w:r>
    </w:p>
    <w:p>
      <w:pPr>
        <w:jc w:val="center"/>
        <w:rPr>
          <w:lang w:val="en-GB"/>
        </w:rPr>
      </w:pPr>
      <w:r>
        <w:rPr>
          <w:lang w:val="en-GB" w:eastAsia="en-GB"/>
        </w:rPr>
        <w:drawing>
          <wp:inline distT="114300" distB="114300" distL="114300" distR="114300">
            <wp:extent cx="3948112" cy="3534307"/>
            <wp:effectExtent l="0" t="0" r="0" b="0"/>
            <wp:docPr id="10" name="图片 10"/>
            <wp:cNvGraphicFramePr>
              <a:graphicFrameLocks noChangeAspect="0"/>
            </wp:cNvGraphicFramePr>
            <a:graphic>
              <a:graphicData uri="http://schemas.openxmlformats.org/drawingml/2006/picture">
                <pic:pic>
                  <pic:nvPicPr>
                    <pic:cNvPr id="12" name="图片 12"/>
                    <pic:cNvPicPr/>
                  </pic:nvPicPr>
                  <pic:blipFill>
                    <a:blip r:embed="rId6"/>
                    <a:stretch>
                      <a:fillRect/>
                    </a:stretch>
                  </pic:blipFill>
                  <pic:spPr>
                    <a:xfrm rot="0">
                      <a:off x="0" y="0"/>
                      <a:ext cx="3948112" cy="3534307"/>
                    </a:xfrm>
                    <a:prstGeom prst="rect"/>
                    <a:noFill/>
                    <a:ln w="38100" cmpd="sng" cap="flat">
                      <a:solidFill>
                        <a:srgbClr val="000000"/>
                      </a:solidFill>
                      <a:prstDash val="solid"/>
                      <a:round/>
                    </a:ln>
                  </pic:spPr>
                </pic:pic>
              </a:graphicData>
            </a:graphic>
          </wp:inline>
        </w:drawing>
      </w:r>
    </w:p>
    <w:p>
      <w:pPr>
        <w:jc w:val="center"/>
        <w:rPr>
          <w:b/>
          <w:bCs/>
          <w:lang w:val="en-GB"/>
        </w:rPr>
      </w:pPr>
      <w:r>
        <w:rPr>
          <w:b/>
          <w:bCs/>
          <w:lang w:val="en-GB"/>
        </w:rPr>
        <w:t>Figure 3: Electric car battery cathode and anode chemistries sales share, 2018-2023</w:t>
      </w:r>
    </w:p>
    <w:p>
      <w:pPr>
        <w:jc w:val="center"/>
        <w:rPr>
          <w:lang w:val="en-GB"/>
        </w:rPr>
      </w:pPr>
      <w:r>
        <w:rPr>
          <w:lang w:val="en-GB"/>
        </w:rPr>
        <w:t>(Source: IEA, 2024)</w:t>
      </w:r>
    </w:p>
    <w:p>
      <w:pPr>
        <w:pStyle w:val="2"/>
        <w:keepNext w:val="0"/>
        <w:keepLines w:val="0"/>
        <w:spacing w:after="80"/>
        <w:rPr>
          <w:b w:val="0"/>
          <w:bCs w:val="0"/>
          <w:i/>
          <w:iCs/>
          <w:lang w:val="en-GB"/>
        </w:rPr>
      </w:pPr>
      <w:bookmarkStart w:id="10" w:name="_Toc235788140"/>
      <w:r>
        <w:rPr>
          <w:i/>
          <w:iCs/>
          <w:lang w:val="en-GB"/>
        </w:rPr>
        <w:t>Strategic Market Development Pathways: Porter's Generic Strategy</w:t>
      </w:r>
      <w:bookmarkEnd w:id="10"/>
    </w:p>
    <w:p>
      <w:pPr>
        <w:rPr>
          <w:lang w:val="en-GB"/>
        </w:rPr>
      </w:pPr>
      <w:r>
        <w:rPr>
          <w:lang w:val="en-GB"/>
        </w:rPr>
        <w:t xml:space="preserve">Porter's generic strategy models explain the ways in which companies achieve competitive advantage through one of three strategic approaches: cost leadership, differentiation or focus. Cost leadership enables businesses to become the lowest-cost producer in the industry by improving operational efficiency and reducing production costs while maintaining acceptable quality. The strategy is commonly adopted in a highly price-sensitive market where customers primarily evaluate the product based on the cost. In contrast, the differentiation strategy focuses on offering unique products or services that customers perceive as superior through quality, innovation, branding, sustainability and advanced technology. Customers are willing to pay a premium price because of the distinctive value that is offered. The focus strategy targets specific market segments by adopting either differentiation focus or cost focus, allowing organisations to satisfy specialised customer needs more effectively than competitors. </w:t>
      </w:r>
    </w:p>
    <w:p>
      <w:pPr>
        <w:spacing w:after="160"/>
        <w:rPr>
          <w:lang w:val="en-GB"/>
        </w:rPr>
      </w:pPr>
      <w:r>
        <w:rPr>
          <w:lang w:val="en-GB"/>
        </w:rPr>
        <w:t>Codelco is diversifying in adjacent areas like lithium exploration in Salar de Maricunga, exploring partnerships in renewable and hydrogen energy and also investing in water desalination projects. The Maricunga lithium project has a resource potential of 1.8 million tonnes of lithium carbonate equivalent (Codelco, 2024). It positions Codelco in the critical mineral market essential for the global energy transition. In 2023, the company launched the “responsible copper” brand, which guarantees a carbon footprint 16% lower than the industry average and also traceability (Codelco, 2024). Among the strategic options, Codelco primarily follows a differentiation strategy rather than completely competing on production cost; the company differentiate itself through responsible copper production, sustainable mining practices, and environmentally responsible operations. The responsible copper initiative by Codelco offers copper with a significantly lower carbon footprint than the industry average while ensuring product traceability throughout the supply chain (Codelco, 2024). Further, the company has introduced low-carbon copper solutions, implemented water conservation initiatives, invested in renewable energy and adopted circular economy practices for minimising environmental impact (Codelco, 2025). The initiative is reinforced through transparent ESG reporting, demonstrating accountability to government, investors, and industrial customers while strengthening stakeholder confidence.</w:t>
      </w:r>
    </w:p>
    <w:p>
      <w:pPr>
        <w:spacing w:after="160"/>
        <w:rPr>
          <w:b/>
          <w:i/>
          <w:lang w:val="en-GB"/>
        </w:rPr>
      </w:pPr>
      <w:r>
        <w:rPr>
          <w:b/>
          <w:i/>
          <w:lang w:val="en-GB"/>
        </w:rPr>
        <w:t>Competitive advantage</w:t>
      </w:r>
    </w:p>
    <w:p>
      <w:pPr>
        <w:rPr>
          <w:lang w:val="en-GB"/>
        </w:rPr>
      </w:pPr>
      <w:r>
        <w:rPr>
          <w:lang w:val="en-GB"/>
        </w:rPr>
        <w:t xml:space="preserve">Codelco does this by improving long-term supply chain contracts with major customers in China. This segment of the market accounted for 71% of copper sales in 2023, followed by 11% in Japan and 7% in Europe (Codelco, 2024). In 2023, the company produced 1324 kt of refined copper, which was a 7% increase from 2022 and sold 1317 kt (Codelco, 2024). It maintained 88% of the market share in Chile and solidified its position as the largest copper producer in the world. Thus, the differentiation strategy creates </w:t>
      </w:r>
      <w:r>
        <w:rPr>
          <w:b/>
          <w:i/>
          <w:lang w:val="en-GB"/>
        </w:rPr>
        <w:t>sustainable competitive advantage</w:t>
      </w:r>
      <w:r>
        <w:rPr>
          <w:lang w:val="en-GB"/>
        </w:rPr>
        <w:t xml:space="preserve"> by positioning the company as a preferred supplier for industry prioritising environmental responsibility, including renewable energy, electric vehicles, and advanced manufacturing. </w:t>
      </w:r>
    </w:p>
    <w:p>
      <w:pPr>
        <w:rPr>
          <w:b/>
          <w:i/>
          <w:lang w:val="en-GB"/>
        </w:rPr>
      </w:pPr>
      <w:r>
        <w:rPr>
          <w:b/>
          <w:i/>
          <w:lang w:val="en-GB"/>
        </w:rPr>
        <w:t>Overall recommendation</w:t>
      </w:r>
    </w:p>
    <w:p>
      <w:pPr>
        <w:rPr>
          <w:lang w:val="en-GB"/>
        </w:rPr>
      </w:pPr>
      <w:r>
        <w:rPr>
          <w:lang w:val="en-GB"/>
        </w:rPr>
        <w:t>As multinational organisations and governments increasingly demand responsible sourcing of raw materials, strong sustainability credentials and transparent reporting of Codelco can enhance brand reputation, reduce competitive pressure and support long-term customer relationships compared to conventional mining businesses. Consequently, differentiation can enable the company to create greater customer value while improving the global Market positioning and supporting long term business growth. Overall, continued investment in sustainable innovation and responsible business practice will enable the company to maintain market leadership while supporting the global transition towards sustainable industrial development and clean energy.</w:t>
      </w:r>
    </w:p>
    <w:p>
      <w:pPr>
        <w:jc w:val="left"/>
        <w:rPr>
          <w:lang w:val="en-GB"/>
        </w:rPr>
      </w:pPr>
    </w:p>
    <w:p>
      <w:pPr>
        <w:pStyle w:val="1"/>
        <w:rPr>
          <w:lang w:val="en-GB"/>
        </w:rPr>
      </w:pPr>
      <w:bookmarkStart w:id="11" w:name="_Toc235788141"/>
      <w:r>
        <w:rPr>
          <w:lang w:val="en-GB"/>
        </w:rPr>
        <w:t>Task 3: Critical Reflection on AI Usage</w:t>
      </w:r>
      <w:bookmarkEnd w:id="11"/>
    </w:p>
    <w:p>
      <w:pPr>
        <w:pStyle w:val="2"/>
        <w:rPr>
          <w:lang w:val="en-GB"/>
        </w:rPr>
      </w:pPr>
      <w:bookmarkStart w:id="12" w:name="_Toc235788142"/>
      <w:r>
        <w:rPr>
          <w:lang w:val="en-GB"/>
        </w:rPr>
        <w:t>a. Tool Disclosure</w:t>
      </w:r>
      <w:bookmarkEnd w:id="12"/>
    </w:p>
    <w:p>
      <w:pPr>
        <w:rPr>
          <w:lang w:val="en-GB"/>
        </w:rPr>
      </w:pPr>
      <w:r>
        <w:rPr>
          <w:lang w:val="en-GB"/>
        </w:rPr>
        <w:t>The tool used for the development of the report consists of ChatGPT that assists in idea generation, assisting in identifying the issues in concerns such as the natural resources that are impacting Codelco. Girotra</w:t>
      </w:r>
      <w:r>
        <w:rPr>
          <w:i/>
          <w:iCs/>
          <w:lang w:val="en-GB"/>
        </w:rPr>
        <w:t xml:space="preserve"> et al.</w:t>
      </w:r>
      <w:r>
        <w:rPr>
          <w:lang w:val="en-GB"/>
        </w:rPr>
        <w:t xml:space="preserve"> (2023) have defined that ChatGPT are efficient in developing reports and research through focusing on idea generation surrounding the research and improving critical thinking. Moreover, the structure of the study has also been supported by the output of the ChatGPT, reducing the time on structure of the study and improving critical analysis of the external environmental factors. Thus, the study on External environment analysis of Codelco has been conducted by using ChatGPT for generating ideas regarding two natural and se external factors impacting lower-carbon products for Codelco. </w:t>
      </w:r>
    </w:p>
    <w:p>
      <w:pPr>
        <w:pStyle w:val="2"/>
        <w:rPr>
          <w:lang w:val="en-GB"/>
        </w:rPr>
      </w:pPr>
      <w:bookmarkStart w:id="13" w:name="_Toc235788143"/>
      <w:r>
        <w:rPr>
          <w:lang w:val="en-GB"/>
        </w:rPr>
        <w:t>b. Critical Evaluation of AI Output</w:t>
      </w:r>
      <w:bookmarkEnd w:id="13"/>
    </w:p>
    <w:p>
      <w:pPr>
        <w:rPr>
          <w:lang w:val="en-GB"/>
        </w:rPr>
      </w:pPr>
      <w:r>
        <w:rPr>
          <w:lang w:val="en-GB"/>
        </w:rPr>
        <w:t xml:space="preserve">The output of the study has been clearly and systematically evaluated by comparing the information obtained from the AI output with company records of Codelco, its sustainability reporting. Giray (2024) has defined that using peer-reviewed articles and its implications in the study are efficient for supporting the factors and improving quality of the contextual information. The AI outputs generated by ChatGPT have been compared with the industry reports, company records along with peer -reviewed articles that have assisted in creating credible and reliable data-based reports on Codelco. The use of peer-reviewed articles has been effective for ensuring the credibility of the sources and supporting and rejecting the findings from the AI output generated by ChatGPT. </w:t>
      </w:r>
    </w:p>
    <w:p>
      <w:pPr>
        <w:pStyle w:val="2"/>
        <w:rPr>
          <w:lang w:val="en-GB"/>
        </w:rPr>
      </w:pPr>
      <w:bookmarkStart w:id="14" w:name="_Toc235788144"/>
      <w:r>
        <w:rPr>
          <w:lang w:val="en-GB"/>
        </w:rPr>
        <w:t>c. Contribution Analysis</w:t>
      </w:r>
      <w:bookmarkEnd w:id="14"/>
    </w:p>
    <w:p>
      <w:pPr>
        <w:rPr>
          <w:lang w:val="en-GB"/>
        </w:rPr>
      </w:pPr>
      <w:r>
        <w:rPr>
          <w:lang w:val="en-GB"/>
        </w:rPr>
        <w:t xml:space="preserve">The AI-generated output focused on outlining diverse natural and external factors that are impacting Codelco and its overall transition towards more carbon neutral products in the Chile mining sector. On the other hand, the study has been structured by analysing the external environment through conducting PESTLE analysis for outlining two external marketing factors. It has been down-identified that the 2 key external marketing factors are water scarcity and ethical ESG reporting by the management teams of Codelco. It has been identified that mining companies such as Codelco's Andina and El Teniente are facing fresh water shortage due to a 45% decline in freshwater (Cambero, 2022). Thus, the report has been structured and conducted using self-knowledge and conducted research for gathering existing resources to improve authenticity of the findings. </w:t>
      </w:r>
    </w:p>
    <w:p>
      <w:pPr>
        <w:pStyle w:val="2"/>
        <w:rPr>
          <w:lang w:val="en-GB"/>
        </w:rPr>
      </w:pPr>
      <w:bookmarkStart w:id="15" w:name="_Toc235788145"/>
      <w:r>
        <w:rPr>
          <w:lang w:val="en-GB"/>
        </w:rPr>
        <w:t>d. Ethical &amp; Professional Reflection</w:t>
      </w:r>
      <w:bookmarkEnd w:id="15"/>
    </w:p>
    <w:p>
      <w:pPr>
        <w:rPr>
          <w:lang w:val="en-GB"/>
        </w:rPr>
      </w:pPr>
      <w:r>
        <w:rPr>
          <w:lang w:val="en-GB"/>
        </w:rPr>
        <w:t xml:space="preserve">The use of AI in the study is associated with increasing the risks of biases along with providing inaccurate information based on limited data used for training algorithms. Klimova </w:t>
      </w:r>
      <w:r>
        <w:rPr>
          <w:i/>
          <w:iCs/>
          <w:lang w:val="en-GB"/>
        </w:rPr>
        <w:t>et al.</w:t>
      </w:r>
      <w:r>
        <w:rPr>
          <w:lang w:val="en-GB"/>
        </w:rPr>
        <w:t xml:space="preserve"> (2023) have outlined that one of the major concerns with AI is its ethical issues such as inaccurate data usage, misuse of data and inaccurate findings. Thus ensuring the credibility of the finding can be enhanced and improved through comparing the findings of the AI with credible sources. </w:t>
      </w:r>
    </w:p>
    <w:p>
      <w:pPr>
        <w:pStyle w:val="1"/>
        <w:rPr>
          <w:lang w:val="en-GB"/>
        </w:rPr>
      </w:pPr>
      <w:bookmarkStart w:id="16" w:name="_heading=h.dgdtsa28f8jx"/>
      <w:bookmarkStart w:id="17" w:name="_Toc235788146"/>
      <w:bookmarkEnd w:id="16"/>
      <w:r>
        <w:rPr>
          <w:lang w:val="en-GB"/>
        </w:rPr>
        <w:t>Conclusion</w:t>
      </w:r>
      <w:bookmarkEnd w:id="17"/>
    </w:p>
    <w:p>
      <w:pPr>
        <w:rPr>
          <w:lang w:val="en-GB"/>
        </w:rPr>
      </w:pPr>
      <w:r>
        <w:rPr>
          <w:lang w:val="en-GB"/>
        </w:rPr>
        <w:t xml:space="preserve">In conclusion, the report demonstrates that Codelco operates in a dynamic external environment where environmental sustainability and legal frameworks significantly influence strategic decisions. The external environment analysis identified increasing ESG reporting and water scarcity expectations as the most critical external factors affecting the transition of the company towards low-carbon copper production. In order to respond to the challenges, the report evaluated strategic growth options using the Ansoff Matrix and concluded that market development offers the greatest long-term potential to the company by expanding into high-growth emerging markets while maintaining existing product offerings. Further, Porter's generic strategy identified differentiation as the primary competitive advantage approach of Codelco through low-carbon products, responsible copper production, sustainability initiatives, transparent ESG reporting and traceability. The strategic initiative enhances brand reputation, customer trust and supports long-term competitiveness in the global mining industry. </w:t>
      </w:r>
    </w:p>
    <w:p>
      <w:pPr>
        <w:rPr>
          <w:lang w:val="en-GB"/>
        </w:rPr>
      </w:pPr>
      <w:r>
        <w:rPr>
          <w:lang w:val="en-GB"/>
        </w:rPr>
        <w:br w:type="page"/>
      </w:r>
    </w:p>
    <w:p>
      <w:pPr>
        <w:pStyle w:val="1"/>
        <w:rPr>
          <w:lang w:val="en-GB"/>
        </w:rPr>
      </w:pPr>
      <w:bookmarkStart w:id="18" w:name="_Toc235788147"/>
      <w:r>
        <w:rPr>
          <w:lang w:val="en-GB"/>
        </w:rPr>
        <w:t>References</w:t>
      </w:r>
      <w:bookmarkEnd w:id="18"/>
    </w:p>
    <w:p>
      <w:pPr>
        <w:spacing w:before="240" w:after="240"/>
        <w:rPr>
          <w:lang w:val="en-GB"/>
        </w:rPr>
      </w:pPr>
      <w:r>
        <w:rPr>
          <w:lang w:val="en-GB"/>
        </w:rPr>
        <w:t xml:space="preserve">Arriagada, M. B. G. (2025). </w:t>
      </w:r>
      <w:r>
        <w:rPr>
          <w:i/>
          <w:iCs/>
          <w:lang w:val="en-GB"/>
        </w:rPr>
        <w:t>ESG 2025.</w:t>
      </w:r>
      <w:r>
        <w:rPr>
          <w:lang w:val="en-GB"/>
        </w:rPr>
        <w:t xml:space="preserve"> Available at: </w:t>
      </w:r>
      <w:r>
        <w:rPr>
          <w:u w:val="single"/>
          <w:lang w:val="en-GB"/>
        </w:rPr>
        <w:fldChar w:fldCharType="begin"/>
      </w:r>
      <w:r>
        <w:instrText>HYPERLINK "https://practiceguides.chambers.com/practice-guides/esg-2025/chile/trends-and-developments"</w:instrText>
      </w:r>
      <w:r>
        <w:rPr>
          <w:u w:val="single"/>
          <w:lang w:val="en-GB"/>
        </w:rPr>
        <w:fldChar w:fldCharType="separate"/>
      </w:r>
      <w:r>
        <w:rPr>
          <w:u w:val="single"/>
          <w:lang w:val="en-GB"/>
        </w:rPr>
        <w:t>https://practiceguides.chambers.com/practice-guides/esg-2025/chile/trends-and-developments</w:t>
      </w:r>
      <w:r>
        <w:rPr>
          <w:u w:val="single"/>
          <w:lang w:val="en-GB"/>
        </w:rPr>
        <w:fldChar w:fldCharType="end"/>
      </w:r>
      <w:r>
        <w:rPr>
          <w:lang w:val="en-GB"/>
        </w:rPr>
        <w:t xml:space="preserve"> (Accessed: 24 July 2026).</w:t>
      </w:r>
    </w:p>
    <w:p>
      <w:pPr>
        <w:spacing w:before="240" w:after="240"/>
        <w:rPr>
          <w:lang w:val="en-GB"/>
        </w:rPr>
      </w:pPr>
      <w:r>
        <w:rPr>
          <w:lang w:val="en-GB"/>
        </w:rPr>
        <w:t xml:space="preserve">Cambero, F. (2022) </w:t>
      </w:r>
      <w:r>
        <w:rPr>
          <w:i/>
          <w:iCs/>
          <w:lang w:val="en-GB"/>
        </w:rPr>
        <w:t>Focus: Chile's parched mines race for an increasingly scarce commodity: water.</w:t>
      </w:r>
      <w:r>
        <w:rPr>
          <w:lang w:val="en-GB"/>
        </w:rPr>
        <w:t xml:space="preserve"> Available at: </w:t>
      </w:r>
      <w:r>
        <w:rPr>
          <w:u w:val="single"/>
          <w:lang w:val="en-GB"/>
        </w:rPr>
        <w:fldChar w:fldCharType="begin"/>
      </w:r>
      <w:r>
        <w:instrText>HYPERLINK "https://www.reuters.com/world/americas/chiles-parched-mines-race-an-increasingly-scarce-commodity-water-2022-05-06/"</w:instrText>
      </w:r>
      <w:r>
        <w:rPr>
          <w:u w:val="single"/>
          <w:lang w:val="en-GB"/>
        </w:rPr>
        <w:fldChar w:fldCharType="separate"/>
      </w:r>
      <w:r>
        <w:rPr>
          <w:u w:val="single"/>
          <w:lang w:val="en-GB"/>
        </w:rPr>
        <w:t>https://www.reuters.com/world/americas/chiles-parched-mines-race-an-increasingly-scarce-commodity-water-2022-05-06/</w:t>
      </w:r>
      <w:r>
        <w:rPr>
          <w:u w:val="single"/>
          <w:lang w:val="en-GB"/>
        </w:rPr>
        <w:fldChar w:fldCharType="end"/>
      </w:r>
      <w:r>
        <w:rPr>
          <w:lang w:val="en-GB"/>
        </w:rPr>
        <w:t xml:space="preserve"> (Accessed: 4 July 2026).</w:t>
      </w:r>
    </w:p>
    <w:p>
      <w:pPr>
        <w:spacing w:before="240" w:after="240"/>
        <w:rPr>
          <w:lang w:val="en-GB"/>
        </w:rPr>
      </w:pPr>
      <w:r>
        <w:rPr>
          <w:lang w:val="en-GB"/>
        </w:rPr>
        <w:t xml:space="preserve">Cambero, F. (2026) </w:t>
      </w:r>
      <w:r>
        <w:rPr>
          <w:i/>
          <w:iCs/>
          <w:lang w:val="en-GB"/>
        </w:rPr>
        <w:t xml:space="preserve">Copper miner Codelco sacks executives after El Teniente audit. </w:t>
      </w:r>
      <w:r>
        <w:rPr>
          <w:lang w:val="en-GB"/>
        </w:rPr>
        <w:t xml:space="preserve">Available at: </w:t>
      </w:r>
      <w:r>
        <w:rPr>
          <w:u w:val="single"/>
          <w:lang w:val="en-GB"/>
        </w:rPr>
        <w:fldChar w:fldCharType="begin"/>
      </w:r>
      <w:r>
        <w:instrText>HYPERLINK "https://www.reuters.com/business/chiles-codelco-replaces-top-executives-el-teniente-mine-after-investigation-2026-02-13/"</w:instrText>
      </w:r>
      <w:r>
        <w:rPr>
          <w:u w:val="single"/>
          <w:lang w:val="en-GB"/>
        </w:rPr>
        <w:fldChar w:fldCharType="separate"/>
      </w:r>
      <w:r>
        <w:rPr>
          <w:u w:val="single"/>
          <w:lang w:val="en-GB"/>
        </w:rPr>
        <w:t>https://www.reuters.com/business/chiles-codelco-replaces-top-executives-el-teniente-mine-after-investigation-2026-02-13/</w:t>
      </w:r>
      <w:r>
        <w:rPr>
          <w:u w:val="single"/>
          <w:lang w:val="en-GB"/>
        </w:rPr>
        <w:fldChar w:fldCharType="end"/>
      </w:r>
      <w:r>
        <w:rPr>
          <w:lang w:val="en-GB"/>
        </w:rPr>
        <w:t xml:space="preserve"> (Accessed: 4 July 2026).</w:t>
      </w:r>
    </w:p>
    <w:p>
      <w:pPr>
        <w:spacing w:after="160"/>
        <w:rPr>
          <w:lang w:val="en-GB"/>
        </w:rPr>
      </w:pPr>
      <w:r>
        <w:rPr>
          <w:lang w:val="en-GB"/>
        </w:rPr>
        <w:t xml:space="preserve">Codelco (2024) </w:t>
      </w:r>
      <w:r>
        <w:rPr>
          <w:i/>
          <w:iCs/>
          <w:lang w:val="en-GB"/>
        </w:rPr>
        <w:t>Annual Report 2023</w:t>
      </w:r>
      <w:r>
        <w:rPr>
          <w:lang w:val="en-GB"/>
        </w:rPr>
        <w:t>. Available at:</w:t>
      </w:r>
      <w:r>
        <w:rPr>
          <w:u w:val="single"/>
          <w:lang w:val="en-GB"/>
        </w:rPr>
        <w:fldChar w:fldCharType="begin"/>
      </w:r>
      <w:r>
        <w:instrText>HYPERLINK "https://www.codelco.com/en/memoria2024/informesfinancieros"</w:instrText>
      </w:r>
      <w:r>
        <w:rPr>
          <w:u w:val="single"/>
          <w:lang w:val="en-GB"/>
        </w:rPr>
        <w:fldChar w:fldCharType="separate"/>
      </w:r>
      <w:r>
        <w:rPr>
          <w:u w:val="single"/>
          <w:lang w:val="en-GB"/>
        </w:rPr>
        <w:t>https://www.codelco.com/en/memoria2024/informesfinancieros</w:t>
      </w:r>
      <w:r>
        <w:rPr>
          <w:u w:val="single"/>
          <w:lang w:val="en-GB"/>
        </w:rPr>
        <w:fldChar w:fldCharType="end"/>
      </w:r>
      <w:r>
        <w:rPr>
          <w:lang w:val="en-GB"/>
        </w:rPr>
        <w:t xml:space="preserve"> (Accessed: 04 July 2026).</w:t>
      </w:r>
    </w:p>
    <w:p>
      <w:pPr>
        <w:rPr>
          <w:lang w:val="en-GB"/>
        </w:rPr>
      </w:pPr>
      <w:r>
        <w:rPr>
          <w:lang w:val="en-GB"/>
        </w:rPr>
        <w:t xml:space="preserve">Codelco (2024) </w:t>
      </w:r>
      <w:r>
        <w:rPr>
          <w:i/>
          <w:iCs/>
          <w:lang w:val="en-GB"/>
        </w:rPr>
        <w:t>Sustainability Report 2023</w:t>
      </w:r>
      <w:r>
        <w:rPr>
          <w:lang w:val="en-GB"/>
        </w:rPr>
        <w:t>. Available at:</w:t>
      </w:r>
      <w:r>
        <w:rPr>
          <w:u w:val="single"/>
          <w:lang w:val="en-GB"/>
        </w:rPr>
        <w:fldChar w:fldCharType="begin"/>
      </w:r>
      <w:r>
        <w:instrText>HYPERLINK "https://www.codelco.com/prontus_codelco/site/docs/20250610/20250610162815/250717_codelco_alta.pdf"</w:instrText>
      </w:r>
      <w:r>
        <w:rPr>
          <w:u w:val="single"/>
          <w:lang w:val="en-GB"/>
        </w:rPr>
        <w:fldChar w:fldCharType="separate"/>
      </w:r>
      <w:r>
        <w:rPr>
          <w:u w:val="single"/>
          <w:lang w:val="en-GB"/>
        </w:rPr>
        <w:t>https://www.codelco.com/prontus_codelco/site/docs/20250610/20250610162815/250717_codelco_alta.pdf</w:t>
      </w:r>
      <w:r>
        <w:rPr>
          <w:u w:val="single"/>
          <w:lang w:val="en-GB"/>
        </w:rPr>
        <w:fldChar w:fldCharType="end"/>
      </w:r>
      <w:r>
        <w:rPr>
          <w:lang w:val="en-GB"/>
        </w:rPr>
        <w:t xml:space="preserve"> (Accessed: 04 July 2026).</w:t>
      </w:r>
    </w:p>
    <w:p>
      <w:pPr>
        <w:spacing w:before="240" w:after="240"/>
        <w:rPr>
          <w:lang w:val="en-GB"/>
        </w:rPr>
      </w:pPr>
      <w:r>
        <w:rPr>
          <w:lang w:val="en-GB"/>
        </w:rPr>
        <w:t xml:space="preserve">Codelco (2025) </w:t>
      </w:r>
      <w:r>
        <w:rPr>
          <w:i/>
          <w:iCs/>
          <w:lang w:val="en-GB"/>
        </w:rPr>
        <w:t xml:space="preserve">Advancing our 2030 targets in Sustainable Development Commitments. </w:t>
      </w:r>
      <w:r>
        <w:rPr>
          <w:lang w:val="en-GB"/>
        </w:rPr>
        <w:t xml:space="preserve">Available at: </w:t>
      </w:r>
      <w:r>
        <w:rPr>
          <w:u w:val="single"/>
          <w:lang w:val="en-GB"/>
        </w:rPr>
        <w:fldChar w:fldCharType="begin"/>
      </w:r>
      <w:r>
        <w:instrText>HYPERLINK "https://www.codelco.com/english/sustainability/2030"</w:instrText>
      </w:r>
      <w:r>
        <w:rPr>
          <w:u w:val="single"/>
          <w:lang w:val="en-GB"/>
        </w:rPr>
        <w:fldChar w:fldCharType="separate"/>
      </w:r>
      <w:r>
        <w:rPr>
          <w:u w:val="single"/>
          <w:lang w:val="en-GB"/>
        </w:rPr>
        <w:t>https://www.codelco.com/english/sustainability/2030</w:t>
      </w:r>
      <w:r>
        <w:rPr>
          <w:u w:val="single"/>
          <w:lang w:val="en-GB"/>
        </w:rPr>
        <w:fldChar w:fldCharType="end"/>
      </w:r>
      <w:r>
        <w:rPr>
          <w:lang w:val="en-GB"/>
        </w:rPr>
        <w:t xml:space="preserve"> (Accessed: 4 July 2026).</w:t>
      </w:r>
    </w:p>
    <w:p>
      <w:pPr>
        <w:spacing w:after="160"/>
        <w:rPr>
          <w:lang w:val="en-GB"/>
        </w:rPr>
      </w:pPr>
      <w:r>
        <w:rPr>
          <w:lang w:val="en-GB"/>
        </w:rPr>
        <w:t xml:space="preserve">Codelco (2025) </w:t>
      </w:r>
      <w:r>
        <w:rPr>
          <w:i/>
          <w:iCs/>
          <w:lang w:val="en-GB"/>
        </w:rPr>
        <w:t>Annual Report 2024</w:t>
      </w:r>
      <w:r>
        <w:rPr>
          <w:lang w:val="en-GB"/>
        </w:rPr>
        <w:t>. Available at:</w:t>
      </w:r>
      <w:r>
        <w:rPr>
          <w:u w:val="single"/>
          <w:lang w:val="en-GB"/>
        </w:rPr>
        <w:fldChar w:fldCharType="begin"/>
      </w:r>
      <w:r>
        <w:instrText>HYPERLINK "https://www.codelco.com/sites/site/docs/20250428/20250428185356/operational_and_financial_report_december_31_2025.pdf"</w:instrText>
      </w:r>
      <w:r>
        <w:rPr>
          <w:u w:val="single"/>
          <w:lang w:val="en-GB"/>
        </w:rPr>
        <w:fldChar w:fldCharType="separate"/>
      </w:r>
      <w:r>
        <w:rPr>
          <w:u w:val="single"/>
          <w:lang w:val="en-GB"/>
        </w:rPr>
        <w:t>https://www.codelco.com/sites/site/docs/20250428/20250428185356/operational_and_financial_report_december_31_2025.pdf</w:t>
      </w:r>
      <w:r>
        <w:rPr>
          <w:u w:val="single"/>
          <w:lang w:val="en-GB"/>
        </w:rPr>
        <w:fldChar w:fldCharType="end"/>
      </w:r>
      <w:r>
        <w:rPr>
          <w:lang w:val="en-GB"/>
        </w:rPr>
        <w:t xml:space="preserve"> (Accessed: 04 July 2026).</w:t>
      </w:r>
    </w:p>
    <w:p>
      <w:pPr>
        <w:spacing w:before="240" w:after="240"/>
        <w:rPr>
          <w:lang w:val="en-GB"/>
        </w:rPr>
      </w:pPr>
      <w:r>
        <w:rPr>
          <w:lang w:val="en-GB"/>
        </w:rPr>
        <w:t xml:space="preserve">Codelco (2025) </w:t>
      </w:r>
      <w:r>
        <w:rPr>
          <w:i/>
          <w:iCs/>
          <w:lang w:val="en-GB"/>
        </w:rPr>
        <w:t>Codelco launches its 2024 Sustainability Report and reinforces its commitment to transparency and sustainable development.</w:t>
      </w:r>
      <w:r>
        <w:rPr>
          <w:lang w:val="en-GB"/>
        </w:rPr>
        <w:t xml:space="preserve"> Available at: </w:t>
      </w:r>
      <w:r>
        <w:rPr>
          <w:u w:val="single"/>
          <w:lang w:val="en-GB"/>
        </w:rPr>
        <w:fldChar w:fldCharType="begin"/>
      </w:r>
      <w:r>
        <w:instrText>HYPERLINK "https://www.codelco.com/en/codelco-lanza-su-reporte-de-sustentabilidad-2024-y-refuerza-su"</w:instrText>
      </w:r>
      <w:r>
        <w:rPr>
          <w:u w:val="single"/>
          <w:lang w:val="en-GB"/>
        </w:rPr>
        <w:fldChar w:fldCharType="separate"/>
      </w:r>
      <w:r>
        <w:rPr>
          <w:u w:val="single"/>
          <w:lang w:val="en-GB"/>
        </w:rPr>
        <w:t>https://www.codelco.com/en/codelco-lanza-su-reporte-de-sustentabilidad-2024-y-refuerza-su</w:t>
      </w:r>
      <w:r>
        <w:rPr>
          <w:u w:val="single"/>
          <w:lang w:val="en-GB"/>
        </w:rPr>
        <w:fldChar w:fldCharType="end"/>
      </w:r>
      <w:r>
        <w:rPr>
          <w:lang w:val="en-GB"/>
        </w:rPr>
        <w:t xml:space="preserve"> (Accessed: 4 July 2026).</w:t>
      </w:r>
    </w:p>
    <w:p>
      <w:pPr>
        <w:spacing w:before="240" w:after="240"/>
        <w:rPr>
          <w:lang w:val="en-GB"/>
        </w:rPr>
      </w:pPr>
      <w:r>
        <w:rPr>
          <w:lang w:val="en-GB"/>
        </w:rPr>
        <w:t xml:space="preserve">Codelco (2026) </w:t>
      </w:r>
      <w:r>
        <w:rPr>
          <w:i/>
          <w:iCs/>
          <w:lang w:val="en-GB"/>
        </w:rPr>
        <w:t>KEY FINANCIAL &amp; OPERATIONAL DATA.</w:t>
      </w:r>
      <w:r>
        <w:rPr>
          <w:lang w:val="en-GB"/>
        </w:rPr>
        <w:t xml:space="preserve"> Available at: </w:t>
      </w:r>
      <w:r>
        <w:rPr>
          <w:u w:val="single"/>
          <w:lang w:val="en-GB"/>
        </w:rPr>
        <w:fldChar w:fldCharType="begin"/>
      </w:r>
      <w:r>
        <w:instrText>HYPERLINK "https://www.codelco.com/sites/site/docs/20260601/20260601161755/202603_key_financial_operational_data_restated.pdf"</w:instrText>
      </w:r>
      <w:r>
        <w:rPr>
          <w:u w:val="single"/>
          <w:lang w:val="en-GB"/>
        </w:rPr>
        <w:fldChar w:fldCharType="separate"/>
      </w:r>
      <w:r>
        <w:rPr>
          <w:u w:val="single"/>
          <w:lang w:val="en-GB"/>
        </w:rPr>
        <w:t>https://www.codelco.com/sites/site/docs/20260601/20260601161755/202603_key_financial_operational_data_restated.pdf</w:t>
      </w:r>
      <w:r>
        <w:rPr>
          <w:u w:val="single"/>
          <w:lang w:val="en-GB"/>
        </w:rPr>
        <w:fldChar w:fldCharType="end"/>
      </w:r>
      <w:r>
        <w:rPr>
          <w:lang w:val="en-GB"/>
        </w:rPr>
        <w:t xml:space="preserve"> (Accessed: 24 July 2026).</w:t>
      </w:r>
    </w:p>
    <w:p>
      <w:pPr>
        <w:spacing w:before="240" w:after="240"/>
        <w:rPr>
          <w:lang w:val="en-GB"/>
        </w:rPr>
      </w:pPr>
      <w:r>
        <w:rPr>
          <w:lang w:val="en-GB"/>
        </w:rPr>
        <w:t xml:space="preserve">Earth (2022) </w:t>
      </w:r>
      <w:r>
        <w:rPr>
          <w:i/>
          <w:iCs/>
          <w:lang w:val="en-GB"/>
        </w:rPr>
        <w:t>Chile Water Crisis: 13 Years and Counting.</w:t>
      </w:r>
      <w:r>
        <w:rPr>
          <w:lang w:val="en-GB"/>
        </w:rPr>
        <w:t xml:space="preserve"> Available at: </w:t>
      </w:r>
      <w:r>
        <w:rPr>
          <w:u w:val="single"/>
          <w:lang w:val="en-GB"/>
        </w:rPr>
        <w:fldChar w:fldCharType="begin"/>
      </w:r>
      <w:r>
        <w:instrText>HYPERLINK "https://earth.org/chile-water-crisis/"</w:instrText>
      </w:r>
      <w:r>
        <w:rPr>
          <w:u w:val="single"/>
          <w:lang w:val="en-GB"/>
        </w:rPr>
        <w:fldChar w:fldCharType="separate"/>
      </w:r>
      <w:r>
        <w:rPr>
          <w:u w:val="single"/>
          <w:lang w:val="en-GB"/>
        </w:rPr>
        <w:t>https://earth.org/chile-water-crisis/</w:t>
      </w:r>
      <w:r>
        <w:rPr>
          <w:u w:val="single"/>
          <w:lang w:val="en-GB"/>
        </w:rPr>
        <w:fldChar w:fldCharType="end"/>
      </w:r>
      <w:r>
        <w:rPr>
          <w:lang w:val="en-GB"/>
        </w:rPr>
        <w:t xml:space="preserve"> (Accessed: 4 July 2026).</w:t>
      </w:r>
    </w:p>
    <w:p>
      <w:pPr>
        <w:spacing w:after="160"/>
        <w:rPr>
          <w:lang w:val="en-GB"/>
          <w:highlight w:val="white"/>
        </w:rPr>
      </w:pPr>
      <w:r>
        <w:rPr>
          <w:lang w:val="en-GB"/>
          <w:highlight w:val="white"/>
        </w:rPr>
        <w:t xml:space="preserve">Ferreira, A.P.P.F.S. and de Sá, M.M.B.P., (2024) ‘The importance of the Ansoff matrix for the study of the information services market ‘, </w:t>
      </w:r>
      <w:r>
        <w:rPr>
          <w:i/>
          <w:iCs/>
          <w:lang w:val="en-GB"/>
          <w:highlight w:val="white"/>
        </w:rPr>
        <w:t>The Canadian Journal of Information and Library Science</w:t>
      </w:r>
      <w:r>
        <w:rPr>
          <w:lang w:val="en-GB"/>
          <w:highlight w:val="white"/>
        </w:rPr>
        <w:t xml:space="preserve">, 47(2), pp.78-84. </w:t>
      </w:r>
      <w:r>
        <w:rPr>
          <w:lang w:val="en-GB"/>
        </w:rPr>
        <w:t>Available at:</w:t>
      </w:r>
      <w:r>
        <w:rPr>
          <w:u w:val="single"/>
          <w:lang w:val="en-GB"/>
          <w:highlight w:val="white"/>
        </w:rPr>
        <w:fldChar w:fldCharType="begin"/>
      </w:r>
      <w:r>
        <w:instrText>HYPERLINK "https://ojs.lib.uwo.ca/index.php/cjils/article/view/17432"</w:instrText>
      </w:r>
      <w:r>
        <w:rPr>
          <w:u w:val="single"/>
          <w:lang w:val="en-GB"/>
          <w:highlight w:val="white"/>
        </w:rPr>
        <w:fldChar w:fldCharType="separate"/>
      </w:r>
      <w:r>
        <w:rPr>
          <w:u w:val="single"/>
          <w:lang w:val="en-GB"/>
          <w:highlight w:val="white"/>
        </w:rPr>
        <w:t>https://ojs.lib.uwo.ca/index.php/cjils/article/view/17432</w:t>
      </w:r>
      <w:r>
        <w:rPr>
          <w:u w:val="single"/>
          <w:lang w:val="en-GB"/>
          <w:highlight w:val="white"/>
        </w:rPr>
        <w:fldChar w:fldCharType="end"/>
      </w:r>
    </w:p>
    <w:p>
      <w:pPr>
        <w:spacing w:before="240" w:after="240"/>
        <w:rPr>
          <w:lang w:val="en-GB"/>
        </w:rPr>
      </w:pPr>
      <w:r>
        <w:rPr>
          <w:lang w:val="en-GB"/>
          <w:highlight w:val="white"/>
        </w:rPr>
        <w:t xml:space="preserve">Giray, L., (2024). ‘Benefits and challenges of using AI for peer review: A study on researchers’ perceptions.’ </w:t>
      </w:r>
      <w:r>
        <w:rPr>
          <w:i/>
          <w:iCs/>
          <w:lang w:val="en-GB"/>
          <w:highlight w:val="white"/>
        </w:rPr>
        <w:t>The Serials Librarian</w:t>
      </w:r>
      <w:r>
        <w:rPr>
          <w:lang w:val="en-GB"/>
          <w:highlight w:val="white"/>
        </w:rPr>
        <w:t xml:space="preserve">, </w:t>
      </w:r>
      <w:r>
        <w:rPr>
          <w:i/>
          <w:iCs/>
          <w:lang w:val="en-GB"/>
          <w:highlight w:val="white"/>
        </w:rPr>
        <w:t>85</w:t>
      </w:r>
      <w:r>
        <w:rPr>
          <w:lang w:val="en-GB"/>
          <w:highlight w:val="white"/>
        </w:rPr>
        <w:t>(5-6), pp.144-154.</w:t>
      </w:r>
      <w:r>
        <w:rPr>
          <w:lang w:val="en-GB"/>
        </w:rPr>
        <w:t xml:space="preserve"> Available at: </w:t>
      </w:r>
      <w:r>
        <w:rPr>
          <w:u w:val="single"/>
          <w:lang w:val="en-GB"/>
        </w:rPr>
        <w:fldChar w:fldCharType="begin"/>
      </w:r>
      <w:r>
        <w:instrText>HYPERLINK "https://www.researchgate.net/profile/Louie-Giray/publication/385845873_Benefits_and_Challenges_of_Using_AI_for_Peer_Review_A_Study_on_Researchers%27_Perceptions/links/675ffbc0af28fb680fb918ab/Benefits-and-Challenges-of-Using-AI-for-Peer-Review-A-Study-on-Researchers-Perceptions.pdf?__cf_chl_f_tk=VZuR_.EYCeNBcsyNTT5V2jgFX_OO7xAw2FXpwmFzjl0-1783151225-1.0.1.1-VpFQP1N_6yyUxxE5FRUyOPF0z83rcpB54f5LZ96xdBo"</w:instrText>
      </w:r>
      <w:r>
        <w:rPr>
          <w:u w:val="single"/>
          <w:lang w:val="en-GB"/>
        </w:rPr>
        <w:fldChar w:fldCharType="separate"/>
      </w:r>
      <w:r>
        <w:rPr>
          <w:u w:val="single"/>
          <w:lang w:val="en-GB"/>
        </w:rPr>
        <w:t>https://www.researchgate.net/profile/Louie-Giray/publication/385845873_Benefits_and_Challenges_of_Using_AI_for_Peer_Review_A_Study_on_Researchers%27_Perceptions/links/675ffbc0af28fb680fb918ab/Benefits-and-Challenges-of-Using-AI-for-Peer-Review-A-Study-on-Researchers-Perceptions.pdf?__cf_chl_f_tk=VZuR_.EYCeNBcsyNTT5V2jgFX_OO7xAw2FXpwmFzjl0-1783151225-1.0.1.1-VpFQP1N_6yyUxxE5FRUyOPF0z83rcpB54f5LZ96xdBo</w:t>
      </w:r>
      <w:r>
        <w:rPr>
          <w:u w:val="single"/>
          <w:lang w:val="en-GB"/>
        </w:rPr>
        <w:fldChar w:fldCharType="end"/>
      </w:r>
    </w:p>
    <w:p>
      <w:pPr>
        <w:spacing w:before="240" w:after="240"/>
        <w:rPr>
          <w:lang w:val="en-GB"/>
        </w:rPr>
      </w:pPr>
      <w:r>
        <w:rPr>
          <w:lang w:val="en-GB"/>
          <w:highlight w:val="white"/>
        </w:rPr>
        <w:t xml:space="preserve">Girotra, K., Meincke, L., Terwiesch, C. and Ulrich, K.T., (2023). Ideas are dimes a dozen: Large language models for idea generation in innovation. </w:t>
      </w:r>
      <w:r>
        <w:rPr>
          <w:i/>
          <w:iCs/>
          <w:lang w:val="en-GB"/>
          <w:highlight w:val="white"/>
        </w:rPr>
        <w:t>Available at SSRN</w:t>
      </w:r>
      <w:r>
        <w:rPr>
          <w:lang w:val="en-GB"/>
          <w:highlight w:val="white"/>
        </w:rPr>
        <w:t xml:space="preserve">, </w:t>
      </w:r>
      <w:r>
        <w:rPr>
          <w:i/>
          <w:iCs/>
          <w:lang w:val="en-GB"/>
          <w:highlight w:val="white"/>
        </w:rPr>
        <w:t>4526071</w:t>
      </w:r>
      <w:r>
        <w:rPr>
          <w:lang w:val="en-GB"/>
          <w:highlight w:val="white"/>
        </w:rPr>
        <w:t>.</w:t>
      </w:r>
      <w:r>
        <w:rPr>
          <w:lang w:val="en-GB"/>
        </w:rPr>
        <w:t xml:space="preserve"> Available at: </w:t>
      </w:r>
      <w:r>
        <w:rPr>
          <w:u w:val="single"/>
          <w:lang w:val="en-GB"/>
        </w:rPr>
        <w:fldChar w:fldCharType="begin"/>
      </w:r>
      <w:r>
        <w:instrText>HYPERLINK "https://mackinstitute.wharton.upenn.edu/wp-content/uploads/2023/08/LLM-Ideas-Working-Paper.pdf"</w:instrText>
      </w:r>
      <w:r>
        <w:rPr>
          <w:u w:val="single"/>
          <w:lang w:val="en-GB"/>
        </w:rPr>
        <w:fldChar w:fldCharType="separate"/>
      </w:r>
      <w:r>
        <w:rPr>
          <w:u w:val="single"/>
          <w:lang w:val="en-GB"/>
        </w:rPr>
        <w:t>https://mackinstitute.wharton.upenn.edu/wp-content/uploads/2023/08/LLM-Ideas-Working-Paper.pdf</w:t>
      </w:r>
      <w:r>
        <w:rPr>
          <w:u w:val="single"/>
          <w:lang w:val="en-GB"/>
        </w:rPr>
        <w:fldChar w:fldCharType="end"/>
      </w:r>
    </w:p>
    <w:p>
      <w:pPr>
        <w:spacing w:before="240" w:after="240"/>
        <w:rPr>
          <w:lang w:val="en-GB"/>
        </w:rPr>
      </w:pPr>
      <w:r>
        <w:rPr>
          <w:lang w:val="en-GB"/>
        </w:rPr>
        <w:t xml:space="preserve">Heikkinen, A. and Bustamante, L. (2026) </w:t>
      </w:r>
      <w:r>
        <w:rPr>
          <w:i/>
          <w:iCs/>
          <w:lang w:val="en-GB"/>
        </w:rPr>
        <w:t xml:space="preserve">‘What you see here is a wetland without water’: how the datacentre boom is exacerbating Chile’s mega-drought. </w:t>
      </w:r>
      <w:r>
        <w:rPr>
          <w:lang w:val="en-GB"/>
        </w:rPr>
        <w:t xml:space="preserve">Available at: </w:t>
      </w:r>
      <w:r>
        <w:rPr>
          <w:u w:val="single"/>
          <w:lang w:val="en-GB"/>
        </w:rPr>
        <w:fldChar w:fldCharType="begin"/>
      </w:r>
      <w:r>
        <w:instrText>HYPERLINK "https://www.theguardian.com/global-development/2026/may/26/chile-datacentres-water-tech-companies-mega-drought"</w:instrText>
      </w:r>
      <w:r>
        <w:rPr>
          <w:u w:val="single"/>
          <w:lang w:val="en-GB"/>
        </w:rPr>
        <w:fldChar w:fldCharType="separate"/>
      </w:r>
      <w:r>
        <w:rPr>
          <w:u w:val="single"/>
          <w:lang w:val="en-GB"/>
        </w:rPr>
        <w:t>https://www.theguardian.com/global-development/2026/may/26/chile-datacentres-water-tech-companies-mega-drought</w:t>
      </w:r>
      <w:r>
        <w:rPr>
          <w:u w:val="single"/>
          <w:lang w:val="en-GB"/>
        </w:rPr>
        <w:fldChar w:fldCharType="end"/>
      </w:r>
      <w:r>
        <w:rPr>
          <w:lang w:val="en-GB"/>
        </w:rPr>
        <w:t xml:space="preserve"> (Accessed: 4 July 2026).</w:t>
      </w:r>
    </w:p>
    <w:p>
      <w:pPr>
        <w:spacing w:after="160"/>
        <w:rPr>
          <w:lang w:val="en-GB"/>
        </w:rPr>
      </w:pPr>
      <w:r>
        <w:rPr>
          <w:lang w:val="en-GB"/>
        </w:rPr>
        <w:t xml:space="preserve">ICA (2024) </w:t>
      </w:r>
      <w:r>
        <w:rPr>
          <w:i/>
          <w:iCs/>
          <w:lang w:val="en-GB"/>
        </w:rPr>
        <w:t xml:space="preserve">Industry reports on sustainable copper production. </w:t>
      </w:r>
      <w:r>
        <w:rPr>
          <w:lang w:val="en-GB"/>
        </w:rPr>
        <w:t>Available at:</w:t>
      </w:r>
      <w:r>
        <w:rPr>
          <w:u w:val="single"/>
          <w:lang w:val="en-GB"/>
        </w:rPr>
        <w:fldChar w:fldCharType="begin"/>
      </w:r>
      <w:r>
        <w:instrText>HYPERLINK "https://internationalcopper.org/2024-annual-report/"</w:instrText>
      </w:r>
      <w:r>
        <w:rPr>
          <w:u w:val="single"/>
          <w:lang w:val="en-GB"/>
        </w:rPr>
        <w:fldChar w:fldCharType="separate"/>
      </w:r>
      <w:r>
        <w:rPr>
          <w:u w:val="single"/>
          <w:lang w:val="en-GB"/>
        </w:rPr>
        <w:t>https://internationalcopper.org/2024-annual-report/</w:t>
      </w:r>
      <w:r>
        <w:rPr>
          <w:u w:val="single"/>
          <w:lang w:val="en-GB"/>
        </w:rPr>
        <w:fldChar w:fldCharType="end"/>
      </w:r>
      <w:r>
        <w:rPr>
          <w:lang w:val="en-GB"/>
        </w:rPr>
        <w:t xml:space="preserve"> (Accessed: 04 July 2026).</w:t>
      </w:r>
    </w:p>
    <w:p>
      <w:pPr>
        <w:spacing w:before="240" w:after="240"/>
        <w:rPr>
          <w:lang w:val="en-GB"/>
        </w:rPr>
      </w:pPr>
      <w:r>
        <w:rPr>
          <w:lang w:val="en-GB"/>
        </w:rPr>
        <w:t xml:space="preserve">Idrawater, (2025). </w:t>
      </w:r>
      <w:r>
        <w:rPr>
          <w:i/>
          <w:iCs/>
          <w:lang w:val="en-GB"/>
        </w:rPr>
        <w:t>Chile’s Water Shift: From Drought to National Blueprint for Reuse and Desalination.</w:t>
      </w:r>
      <w:r>
        <w:rPr>
          <w:lang w:val="en-GB"/>
        </w:rPr>
        <w:t xml:space="preserve"> Available at: </w:t>
      </w:r>
      <w:r>
        <w:rPr>
          <w:u w:val="single"/>
          <w:lang w:val="en-GB"/>
        </w:rPr>
        <w:fldChar w:fldCharType="begin"/>
      </w:r>
      <w:r>
        <w:instrText>HYPERLINK "https://idrawater.org/news/chiles-water-shift-from-drought-to-national-blueprint-for-reuse-and-desalination/"</w:instrText>
      </w:r>
      <w:r>
        <w:rPr>
          <w:u w:val="single"/>
          <w:lang w:val="en-GB"/>
        </w:rPr>
        <w:fldChar w:fldCharType="separate"/>
      </w:r>
      <w:r>
        <w:rPr>
          <w:u w:val="single"/>
          <w:lang w:val="en-GB"/>
        </w:rPr>
        <w:t>https://idrawater.org/news/chiles-water-shift-from-drought-to-national-blueprint-for-reuse-and-desalination/</w:t>
      </w:r>
      <w:r>
        <w:rPr>
          <w:u w:val="single"/>
          <w:lang w:val="en-GB"/>
        </w:rPr>
        <w:fldChar w:fldCharType="end"/>
      </w:r>
      <w:r>
        <w:rPr>
          <w:lang w:val="en-GB"/>
        </w:rPr>
        <w:t xml:space="preserve"> (Accessed: 24 July 2026).</w:t>
      </w:r>
    </w:p>
    <w:p>
      <w:pPr>
        <w:spacing w:before="240" w:after="240"/>
        <w:rPr>
          <w:lang w:val="en-GB"/>
        </w:rPr>
      </w:pPr>
      <w:r>
        <w:rPr>
          <w:lang w:val="en-GB"/>
        </w:rPr>
        <w:t xml:space="preserve">IEA (2023) </w:t>
      </w:r>
      <w:r>
        <w:rPr>
          <w:i/>
          <w:iCs/>
          <w:lang w:val="en-GB"/>
        </w:rPr>
        <w:t>Mining Royalty Bill.</w:t>
      </w:r>
      <w:r>
        <w:rPr>
          <w:lang w:val="en-GB"/>
        </w:rPr>
        <w:t xml:space="preserve"> Available at: </w:t>
      </w:r>
      <w:r>
        <w:rPr>
          <w:u w:val="single"/>
          <w:lang w:val="en-GB"/>
        </w:rPr>
        <w:fldChar w:fldCharType="begin"/>
      </w:r>
      <w:r>
        <w:instrText>HYPERLINK "https://www.iea.org/policies/17058-mining-royalty-bill"</w:instrText>
      </w:r>
      <w:r>
        <w:rPr>
          <w:u w:val="single"/>
          <w:lang w:val="en-GB"/>
        </w:rPr>
        <w:fldChar w:fldCharType="separate"/>
      </w:r>
      <w:r>
        <w:rPr>
          <w:u w:val="single"/>
          <w:lang w:val="en-GB"/>
        </w:rPr>
        <w:t>https://www.iea.org/policies/17058-mining-royalty-bill</w:t>
      </w:r>
      <w:r>
        <w:rPr>
          <w:u w:val="single"/>
          <w:lang w:val="en-GB"/>
        </w:rPr>
        <w:fldChar w:fldCharType="end"/>
      </w:r>
      <w:r>
        <w:rPr>
          <w:lang w:val="en-GB"/>
        </w:rPr>
        <w:t xml:space="preserve"> (Accessed: 4 July 2026).</w:t>
      </w:r>
    </w:p>
    <w:p>
      <w:pPr>
        <w:rPr>
          <w:u w:val="single"/>
          <w:lang w:val="en-GB"/>
        </w:rPr>
      </w:pPr>
      <w:r>
        <w:rPr>
          <w:lang w:val="en-GB"/>
        </w:rPr>
        <w:t xml:space="preserve">IEA (2024) </w:t>
      </w:r>
      <w:r>
        <w:rPr>
          <w:i/>
          <w:iCs/>
          <w:lang w:val="en-GB"/>
        </w:rPr>
        <w:t>Copper</w:t>
      </w:r>
      <w:r>
        <w:rPr>
          <w:lang w:val="en-GB"/>
        </w:rPr>
        <w:t xml:space="preserve">. Paris: IEA. Available at: </w:t>
      </w:r>
      <w:r>
        <w:rPr>
          <w:u w:val="single"/>
          <w:lang w:val="en-GB"/>
        </w:rPr>
        <w:fldChar w:fldCharType="begin"/>
      </w:r>
      <w:r>
        <w:instrText>HYPERLINK "https://www.iea.org/reports/copper"</w:instrText>
      </w:r>
      <w:r>
        <w:rPr>
          <w:u w:val="single"/>
          <w:lang w:val="en-GB"/>
        </w:rPr>
        <w:fldChar w:fldCharType="separate"/>
      </w:r>
      <w:r>
        <w:rPr>
          <w:u w:val="single"/>
          <w:lang w:val="en-GB"/>
        </w:rPr>
        <w:t>https://www.iea.org/reports/copper</w:t>
      </w:r>
      <w:r>
        <w:rPr>
          <w:u w:val="single"/>
          <w:lang w:val="en-GB"/>
        </w:rPr>
        <w:fldChar w:fldCharType="end"/>
      </w:r>
      <w:r>
        <w:rPr>
          <w:lang w:val="en-GB"/>
        </w:rPr>
        <w:t xml:space="preserve"> (Accessed: 04 July 2026).</w:t>
      </w:r>
    </w:p>
    <w:p>
      <w:pPr>
        <w:rPr>
          <w:lang w:val="en-GB"/>
        </w:rPr>
      </w:pPr>
      <w:r>
        <w:rPr>
          <w:lang w:val="en-GB"/>
        </w:rPr>
        <w:t xml:space="preserve">IEA (2024) </w:t>
      </w:r>
      <w:r>
        <w:rPr>
          <w:i/>
          <w:iCs/>
          <w:lang w:val="en-GB"/>
        </w:rPr>
        <w:t>Global Critical Minerals Outlook 2024</w:t>
      </w:r>
      <w:r>
        <w:rPr>
          <w:lang w:val="en-GB"/>
        </w:rPr>
        <w:t>. Available at:</w:t>
      </w:r>
      <w:r>
        <w:rPr>
          <w:u w:val="single"/>
          <w:lang w:val="en-GB"/>
        </w:rPr>
        <w:fldChar w:fldCharType="begin"/>
      </w:r>
      <w:r>
        <w:instrText>HYPERLINK "https://iea.blob.core.windows.net/assets/ee01701d-1d5c-4ba8-9df6-abeeac9de99a/GlobalCriticalMineralsOutlook2024.pdf"</w:instrText>
      </w:r>
      <w:r>
        <w:rPr>
          <w:u w:val="single"/>
          <w:lang w:val="en-GB"/>
        </w:rPr>
        <w:fldChar w:fldCharType="separate"/>
      </w:r>
      <w:r>
        <w:rPr>
          <w:u w:val="single"/>
          <w:lang w:val="en-GB"/>
        </w:rPr>
        <w:t>https://iea.blob.core.windows.net/assets/ee01701d-1d5c-4ba8-9df6-abeeac9de99a/GlobalCriticalMineralsOutlook2024.pdf</w:t>
      </w:r>
      <w:r>
        <w:rPr>
          <w:u w:val="single"/>
          <w:lang w:val="en-GB"/>
        </w:rPr>
        <w:fldChar w:fldCharType="end"/>
      </w:r>
      <w:r>
        <w:rPr>
          <w:lang w:val="en-GB"/>
        </w:rPr>
        <w:t>(Accessed: 04 July 2026).</w:t>
      </w:r>
    </w:p>
    <w:p>
      <w:pPr>
        <w:spacing w:before="240" w:after="240"/>
        <w:rPr>
          <w:lang w:val="en-GB"/>
        </w:rPr>
      </w:pPr>
      <w:r>
        <w:rPr>
          <w:lang w:val="en-GB"/>
        </w:rPr>
        <w:t xml:space="preserve">Jamasmie, C. (2026) </w:t>
      </w:r>
      <w:r>
        <w:rPr>
          <w:i/>
          <w:iCs/>
          <w:lang w:val="en-GB"/>
        </w:rPr>
        <w:t xml:space="preserve">Codelco fires executive after audit points to 27-year output low. </w:t>
      </w:r>
      <w:r>
        <w:rPr>
          <w:lang w:val="en-GB"/>
        </w:rPr>
        <w:t xml:space="preserve">Available at: </w:t>
      </w:r>
      <w:r>
        <w:rPr>
          <w:u w:val="single"/>
          <w:lang w:val="en-GB"/>
        </w:rPr>
        <w:fldChar w:fldCharType="begin"/>
      </w:r>
      <w:r>
        <w:instrText>HYPERLINK "https://www.mining.com/codelco-fires-executive-after-audit-points-to-27-year-output-low/"</w:instrText>
      </w:r>
      <w:r>
        <w:rPr>
          <w:u w:val="single"/>
          <w:lang w:val="en-GB"/>
        </w:rPr>
        <w:fldChar w:fldCharType="separate"/>
      </w:r>
      <w:r>
        <w:rPr>
          <w:u w:val="single"/>
          <w:lang w:val="en-GB"/>
        </w:rPr>
        <w:t>https://www.mining.com/codelco-fires-executive-after-audit-points-to-27-year-output-low/</w:t>
      </w:r>
      <w:r>
        <w:rPr>
          <w:u w:val="single"/>
          <w:lang w:val="en-GB"/>
        </w:rPr>
        <w:fldChar w:fldCharType="end"/>
      </w:r>
      <w:r>
        <w:rPr>
          <w:lang w:val="en-GB"/>
        </w:rPr>
        <w:t xml:space="preserve"> (Accessed: 4 July 2026).</w:t>
      </w:r>
    </w:p>
    <w:p>
      <w:pPr>
        <w:spacing w:after="160"/>
        <w:rPr>
          <w:u w:val="single"/>
          <w:lang w:val="en-GB"/>
          <w:highlight w:val="white"/>
        </w:rPr>
      </w:pPr>
      <w:r>
        <w:rPr>
          <w:lang w:val="en-GB"/>
          <w:highlight w:val="white"/>
        </w:rPr>
        <w:t xml:space="preserve">Jhunjhunwala, A. and Chaudhuri, T.D, (2021), ‘Innovation, growth and value creation: a study of Indian companies’, </w:t>
      </w:r>
      <w:r>
        <w:rPr>
          <w:i/>
          <w:iCs/>
          <w:lang w:val="en-GB"/>
          <w:highlight w:val="white"/>
        </w:rPr>
        <w:t>International Journal of Business Innovation and Research</w:t>
      </w:r>
      <w:r>
        <w:rPr>
          <w:lang w:val="en-GB"/>
          <w:highlight w:val="white"/>
        </w:rPr>
        <w:t xml:space="preserve">, </w:t>
      </w:r>
      <w:r>
        <w:rPr>
          <w:i/>
          <w:iCs/>
          <w:lang w:val="en-GB"/>
          <w:highlight w:val="white"/>
        </w:rPr>
        <w:t>25</w:t>
      </w:r>
      <w:r>
        <w:rPr>
          <w:lang w:val="en-GB"/>
          <w:highlight w:val="white"/>
        </w:rPr>
        <w:t>(3), pp.328-352.</w:t>
      </w:r>
      <w:r>
        <w:rPr>
          <w:lang w:val="en-GB"/>
        </w:rPr>
        <w:t>Available at:</w:t>
      </w:r>
      <w:r>
        <w:rPr>
          <w:u w:val="single"/>
          <w:lang w:val="en-GB"/>
          <w:highlight w:val="white"/>
        </w:rPr>
        <w:fldChar w:fldCharType="begin"/>
      </w:r>
      <w:r>
        <w:instrText>HYPERLINK "https://www.researchgate.net/figure/The-Ansoff-matrix-Source-Image-from-the-web_fig2_343157949"</w:instrText>
      </w:r>
      <w:r>
        <w:rPr>
          <w:u w:val="single"/>
          <w:lang w:val="en-GB"/>
          <w:highlight w:val="white"/>
        </w:rPr>
        <w:fldChar w:fldCharType="separate"/>
      </w:r>
      <w:r>
        <w:rPr>
          <w:u w:val="single"/>
          <w:lang w:val="en-GB"/>
          <w:highlight w:val="white"/>
        </w:rPr>
        <w:t>https://www.researchgate.net/figure/The-Ansoff-matrix-Source-Image-from-the-web_fig2_343157949</w:t>
      </w:r>
      <w:r>
        <w:rPr>
          <w:u w:val="single"/>
          <w:lang w:val="en-GB"/>
          <w:highlight w:val="white"/>
        </w:rPr>
        <w:fldChar w:fldCharType="end"/>
      </w:r>
    </w:p>
    <w:p>
      <w:pPr>
        <w:spacing w:before="240" w:after="240"/>
        <w:rPr>
          <w:lang w:val="en-GB"/>
        </w:rPr>
      </w:pPr>
      <w:r>
        <w:rPr>
          <w:lang w:val="en-GB"/>
          <w:highlight w:val="white"/>
        </w:rPr>
        <w:t xml:space="preserve">Klimova, B., Pikhart, M. and Kacetl, J., (2023). ‘Ethical issues of the use of AI-driven mobile apps for education.’ </w:t>
      </w:r>
      <w:r>
        <w:rPr>
          <w:i/>
          <w:iCs/>
          <w:lang w:val="en-GB"/>
          <w:highlight w:val="white"/>
        </w:rPr>
        <w:t>Frontiers in public health</w:t>
      </w:r>
      <w:r>
        <w:rPr>
          <w:lang w:val="en-GB"/>
          <w:highlight w:val="white"/>
        </w:rPr>
        <w:t xml:space="preserve">, </w:t>
      </w:r>
      <w:r>
        <w:rPr>
          <w:i/>
          <w:iCs/>
          <w:lang w:val="en-GB"/>
          <w:highlight w:val="white"/>
        </w:rPr>
        <w:t>10</w:t>
      </w:r>
      <w:r>
        <w:rPr>
          <w:lang w:val="en-GB"/>
          <w:highlight w:val="white"/>
        </w:rPr>
        <w:t>, p.1118116.</w:t>
      </w:r>
      <w:r>
        <w:rPr>
          <w:lang w:val="en-GB"/>
        </w:rPr>
        <w:t xml:space="preserve"> Available at: </w:t>
      </w:r>
      <w:r>
        <w:rPr>
          <w:u w:val="single"/>
          <w:lang w:val="en-GB"/>
        </w:rPr>
        <w:fldChar w:fldCharType="begin"/>
      </w:r>
      <w:r>
        <w:instrText>HYPERLINK "https://www.frontiersin.org/journals/publichealth/articles/10.3389/fpubh.2022.1118116/pdf"</w:instrText>
      </w:r>
      <w:r>
        <w:rPr>
          <w:u w:val="single"/>
          <w:lang w:val="en-GB"/>
        </w:rPr>
        <w:fldChar w:fldCharType="separate"/>
      </w:r>
      <w:r>
        <w:rPr>
          <w:u w:val="single"/>
          <w:lang w:val="en-GB"/>
        </w:rPr>
        <w:t>https://www.frontiersin.org/journals/publichealth/articles/10.3389/fpubh.2022.1118116/pdf</w:t>
      </w:r>
      <w:r>
        <w:rPr>
          <w:u w:val="single"/>
          <w:lang w:val="en-GB"/>
        </w:rPr>
        <w:fldChar w:fldCharType="end"/>
      </w:r>
    </w:p>
    <w:p>
      <w:pPr>
        <w:rPr>
          <w:lang w:val="en-GB"/>
        </w:rPr>
      </w:pPr>
      <w:r>
        <w:rPr>
          <w:lang w:val="en-GB"/>
        </w:rPr>
        <w:t xml:space="preserve">Kotler, P., Keller, K. L., Chernev, A., (2024) </w:t>
      </w:r>
      <w:r>
        <w:rPr>
          <w:i/>
          <w:iCs/>
          <w:lang w:val="en-GB"/>
        </w:rPr>
        <w:t>Marketing Management</w:t>
      </w:r>
      <w:r>
        <w:rPr>
          <w:lang w:val="en-GB"/>
        </w:rPr>
        <w:t xml:space="preserve"> (16th Global ed.). Pearson. Available at: </w:t>
      </w:r>
      <w:r>
        <w:rPr>
          <w:u w:val="single"/>
          <w:lang w:val="en-GB"/>
        </w:rPr>
        <w:fldChar w:fldCharType="begin"/>
      </w:r>
      <w:r>
        <w:instrText>HYPERLINK "https://cir.nii.ac.jp/crid/1370025429414517777"</w:instrText>
      </w:r>
      <w:r>
        <w:rPr>
          <w:u w:val="single"/>
          <w:lang w:val="en-GB"/>
        </w:rPr>
        <w:fldChar w:fldCharType="separate"/>
      </w:r>
      <w:r>
        <w:rPr>
          <w:u w:val="single"/>
          <w:lang w:val="en-GB"/>
        </w:rPr>
        <w:t>https://cir.nii.ac.jp/crid/1370025429414517777</w:t>
      </w:r>
      <w:r>
        <w:rPr>
          <w:u w:val="single"/>
          <w:lang w:val="en-GB"/>
        </w:rPr>
        <w:fldChar w:fldCharType="end"/>
      </w:r>
    </w:p>
    <w:p>
      <w:pPr>
        <w:spacing w:before="240" w:after="240"/>
        <w:rPr>
          <w:lang w:val="en-GB"/>
        </w:rPr>
      </w:pPr>
      <w:r>
        <w:rPr>
          <w:lang w:val="en-GB"/>
          <w:highlight w:val="white"/>
        </w:rPr>
        <w:t xml:space="preserve">Onifade, M., Zvarivadza, T., Adebisi, J.A., Said, K.O., Dayo-Olupona, O., Lawal, A.I. and Khandelwal, M., (2024). ‘Advancing toward sustainability: The emergence of green mining technologies and practices.’ </w:t>
      </w:r>
      <w:r>
        <w:rPr>
          <w:i/>
          <w:iCs/>
          <w:lang w:val="en-GB"/>
          <w:highlight w:val="white"/>
        </w:rPr>
        <w:t>Green and Smart Mining Engineering</w:t>
      </w:r>
      <w:r>
        <w:rPr>
          <w:lang w:val="en-GB"/>
          <w:highlight w:val="white"/>
        </w:rPr>
        <w:t xml:space="preserve">, </w:t>
      </w:r>
      <w:r>
        <w:rPr>
          <w:i/>
          <w:iCs/>
          <w:lang w:val="en-GB"/>
          <w:highlight w:val="white"/>
        </w:rPr>
        <w:t>1</w:t>
      </w:r>
      <w:r>
        <w:rPr>
          <w:lang w:val="en-GB"/>
          <w:highlight w:val="white"/>
        </w:rPr>
        <w:t>(2), pp.157-174.</w:t>
      </w:r>
      <w:r>
        <w:rPr>
          <w:lang w:val="en-GB"/>
        </w:rPr>
        <w:t xml:space="preserve"> Available at: </w:t>
      </w:r>
      <w:r>
        <w:rPr>
          <w:u w:val="single"/>
          <w:lang w:val="en-GB"/>
        </w:rPr>
        <w:fldChar w:fldCharType="begin"/>
      </w:r>
      <w:r>
        <w:instrText>HYPERLINK "https://doi.org/10.1016/j.gsme.2024.05.005"</w:instrText>
      </w:r>
      <w:r>
        <w:rPr>
          <w:u w:val="single"/>
          <w:lang w:val="en-GB"/>
        </w:rPr>
        <w:fldChar w:fldCharType="separate"/>
      </w:r>
      <w:r>
        <w:rPr>
          <w:u w:val="single"/>
          <w:lang w:val="en-GB"/>
        </w:rPr>
        <w:t>https://doi.org/10.1016/j.gsme.2024.05.005</w:t>
      </w:r>
      <w:r>
        <w:rPr>
          <w:u w:val="single"/>
          <w:lang w:val="en-GB"/>
        </w:rPr>
        <w:fldChar w:fldCharType="end"/>
      </w:r>
    </w:p>
    <w:p>
      <w:pPr>
        <w:spacing w:after="160"/>
        <w:rPr>
          <w:u w:val="single"/>
          <w:lang w:val="en-GB"/>
          <w:highlight w:val="white"/>
        </w:rPr>
      </w:pPr>
      <w:r>
        <w:rPr>
          <w:lang w:val="en-GB"/>
          <w:highlight w:val="white"/>
        </w:rPr>
        <w:t xml:space="preserve">Qomaro, G.W., Nasrulloh, N. and Salleh, A.Z., (2024) ‘Leveraging The Ansoff Matrix for Strategic Growth in Packaged Food Micro-Enterprises’, </w:t>
      </w:r>
      <w:r>
        <w:rPr>
          <w:i/>
          <w:iCs/>
          <w:lang w:val="en-GB"/>
        </w:rPr>
        <w:t>Dinar: Jurnal Ekonomi dan Keuangan Islam</w:t>
      </w:r>
      <w:r>
        <w:rPr>
          <w:lang w:val="en-GB"/>
        </w:rPr>
        <w:t xml:space="preserve">, 11(1), pp.51-66. Available at: </w:t>
      </w:r>
      <w:r>
        <w:rPr>
          <w:u w:val="single"/>
          <w:lang w:val="en-GB"/>
          <w:highlight w:val="white"/>
        </w:rPr>
        <w:fldChar w:fldCharType="begin"/>
      </w:r>
      <w:r>
        <w:instrText>HYPERLINK "https://journal.trunojoyo.ac.id/dinar/article/view/27163"</w:instrText>
      </w:r>
      <w:r>
        <w:rPr>
          <w:u w:val="single"/>
          <w:lang w:val="en-GB"/>
          <w:highlight w:val="white"/>
        </w:rPr>
        <w:fldChar w:fldCharType="separate"/>
      </w:r>
      <w:r>
        <w:rPr>
          <w:u w:val="single"/>
          <w:lang w:val="en-GB"/>
          <w:highlight w:val="white"/>
        </w:rPr>
        <w:t>https://journal.trunojoyo.ac.id/dinar/article/view/27163</w:t>
      </w:r>
      <w:r>
        <w:rPr>
          <w:u w:val="single"/>
          <w:lang w:val="en-GB"/>
          <w:highlight w:val="white"/>
        </w:rPr>
        <w:fldChar w:fldCharType="end"/>
      </w:r>
    </w:p>
    <w:p>
      <w:pPr>
        <w:spacing w:after="160"/>
        <w:rPr>
          <w:lang w:val="en-GB"/>
        </w:rPr>
      </w:pPr>
      <w:r>
        <w:rPr>
          <w:lang w:val="en-GB"/>
        </w:rPr>
        <w:t xml:space="preserve">Reuters (2024) </w:t>
      </w:r>
      <w:r>
        <w:rPr>
          <w:i/>
          <w:iCs/>
          <w:lang w:val="en-GB"/>
        </w:rPr>
        <w:t xml:space="preserve">BHP expects copper demand to grow by 1 million metric tons a year until 2035. </w:t>
      </w:r>
      <w:r>
        <w:rPr>
          <w:lang w:val="en-GB"/>
        </w:rPr>
        <w:t>Available at:</w:t>
      </w:r>
      <w:r>
        <w:rPr>
          <w:u w:val="single"/>
          <w:lang w:val="en-GB"/>
        </w:rPr>
        <w:fldChar w:fldCharType="begin"/>
      </w:r>
      <w:r>
        <w:instrText>HYPERLINK "https://www.reuters.com/markets/commodities/bhp-expects-copper-demand-grow-by-1-mln-metric-tons-year-until-2035-2024-09-30/"</w:instrText>
      </w:r>
      <w:r>
        <w:rPr>
          <w:u w:val="single"/>
          <w:lang w:val="en-GB"/>
        </w:rPr>
        <w:fldChar w:fldCharType="separate"/>
      </w:r>
      <w:r>
        <w:rPr>
          <w:u w:val="single"/>
          <w:lang w:val="en-GB"/>
        </w:rPr>
        <w:t>https://www.reuters.com/markets/commodities/bhp-expects-copper-demand-grow-by-1-mln-metric-tons-year-until-2035-2024-09-30/</w:t>
      </w:r>
      <w:r>
        <w:rPr>
          <w:u w:val="single"/>
          <w:lang w:val="en-GB"/>
        </w:rPr>
        <w:fldChar w:fldCharType="end"/>
      </w:r>
      <w:r>
        <w:rPr>
          <w:lang w:val="en-GB"/>
        </w:rPr>
        <w:t xml:space="preserve"> (Accessed: 04 July 2026).</w:t>
      </w:r>
    </w:p>
    <w:p>
      <w:pPr>
        <w:spacing w:before="240" w:after="240"/>
        <w:rPr>
          <w:lang w:val="en-GB"/>
        </w:rPr>
      </w:pPr>
      <w:r>
        <w:rPr>
          <w:lang w:val="en-GB"/>
        </w:rPr>
        <w:t xml:space="preserve">Reuters (2024) </w:t>
      </w:r>
      <w:r>
        <w:rPr>
          <w:i/>
          <w:iCs/>
          <w:lang w:val="en-GB"/>
        </w:rPr>
        <w:t xml:space="preserve">Chile's Codelco to deploy lower carbon explosives in copper mine. </w:t>
      </w:r>
      <w:r>
        <w:rPr>
          <w:lang w:val="en-GB"/>
        </w:rPr>
        <w:t xml:space="preserve">Available at: </w:t>
      </w:r>
      <w:r>
        <w:rPr>
          <w:u w:val="single"/>
          <w:lang w:val="en-GB"/>
        </w:rPr>
        <w:fldChar w:fldCharType="begin"/>
      </w:r>
      <w:r>
        <w:instrText>HYPERLINK "https://www.reuters.com/markets/commodities/chiles-codelco-deploy-lower-carbon-explosives-in-copper-mine-2024-12-19/"</w:instrText>
      </w:r>
      <w:r>
        <w:rPr>
          <w:u w:val="single"/>
          <w:lang w:val="en-GB"/>
        </w:rPr>
        <w:fldChar w:fldCharType="separate"/>
      </w:r>
      <w:r>
        <w:rPr>
          <w:u w:val="single"/>
          <w:lang w:val="en-GB"/>
        </w:rPr>
        <w:t>https://www.reuters.com/markets/commodities/chiles-codelco-deploy-lower-carbon-explosives-in-copper-mine-2024-12-19/</w:t>
      </w:r>
      <w:r>
        <w:rPr>
          <w:u w:val="single"/>
          <w:lang w:val="en-GB"/>
        </w:rPr>
        <w:fldChar w:fldCharType="end"/>
      </w:r>
      <w:r>
        <w:rPr>
          <w:lang w:val="en-GB"/>
        </w:rPr>
        <w:t xml:space="preserve"> (Accessed: 4 July 2026).</w:t>
      </w:r>
    </w:p>
    <w:p>
      <w:pPr>
        <w:rPr>
          <w:lang w:val="en-GB"/>
        </w:rPr>
      </w:pPr>
      <w:r>
        <w:rPr>
          <w:lang w:val="en-GB"/>
        </w:rPr>
        <w:t xml:space="preserve">Reuters (2024) </w:t>
      </w:r>
      <w:r>
        <w:rPr>
          <w:i/>
          <w:iCs/>
          <w:lang w:val="en-GB"/>
        </w:rPr>
        <w:t>Codelco eyeing more output, not competition with BHP, Chile's mining minister says.</w:t>
      </w:r>
      <w:r>
        <w:rPr>
          <w:lang w:val="en-GB"/>
        </w:rPr>
        <w:t xml:space="preserve"> Available at:</w:t>
      </w:r>
      <w:r>
        <w:rPr>
          <w:u w:val="single"/>
          <w:lang w:val="en-GB"/>
        </w:rPr>
        <w:fldChar w:fldCharType="begin"/>
      </w:r>
      <w:r>
        <w:instrText>HYPERLINK "https://www.reuters.com/markets/commodities/codelco-eyeing-more-output-not-competition-with-bhp-chiles-mining-minister-says-2024-04-22/"</w:instrText>
      </w:r>
      <w:r>
        <w:rPr>
          <w:u w:val="single"/>
          <w:lang w:val="en-GB"/>
        </w:rPr>
        <w:fldChar w:fldCharType="separate"/>
      </w:r>
      <w:r>
        <w:rPr>
          <w:u w:val="single"/>
          <w:lang w:val="en-GB"/>
        </w:rPr>
        <w:t>https://www.reuters.com/markets/commodities/codelco-eyeing-more-output-not-competition-with-bhp-chiles-mining-minister-says-2024-04-22/</w:t>
      </w:r>
      <w:r>
        <w:rPr>
          <w:u w:val="single"/>
          <w:lang w:val="en-GB"/>
        </w:rPr>
        <w:fldChar w:fldCharType="end"/>
      </w:r>
      <w:r>
        <w:rPr>
          <w:lang w:val="en-GB"/>
        </w:rPr>
        <w:t xml:space="preserve"> (Accessed: 04 July 2026).</w:t>
      </w:r>
    </w:p>
    <w:p>
      <w:pPr>
        <w:spacing w:before="240" w:after="240"/>
        <w:rPr>
          <w:lang w:val="en-GB"/>
        </w:rPr>
      </w:pPr>
      <w:r>
        <w:rPr>
          <w:lang w:val="en-GB"/>
        </w:rPr>
        <w:t xml:space="preserve">RSM, (2026) </w:t>
      </w:r>
      <w:r>
        <w:rPr>
          <w:i/>
          <w:iCs/>
          <w:lang w:val="en-GB"/>
        </w:rPr>
        <w:t xml:space="preserve">The ESG Landscape in Chile: Implications for Decision-making. </w:t>
      </w:r>
      <w:r>
        <w:rPr>
          <w:lang w:val="en-GB"/>
        </w:rPr>
        <w:t xml:space="preserve">Available at: </w:t>
      </w:r>
      <w:r>
        <w:rPr>
          <w:u w:val="single"/>
          <w:lang w:val="en-GB"/>
        </w:rPr>
        <w:fldChar w:fldCharType="begin"/>
      </w:r>
      <w:r>
        <w:instrText>HYPERLINK "https://www.rsm.global/chile/en/news/esg-landscape-chile-implications-decision-making"</w:instrText>
      </w:r>
      <w:r>
        <w:rPr>
          <w:u w:val="single"/>
          <w:lang w:val="en-GB"/>
        </w:rPr>
        <w:fldChar w:fldCharType="separate"/>
      </w:r>
      <w:r>
        <w:rPr>
          <w:u w:val="single"/>
          <w:lang w:val="en-GB"/>
        </w:rPr>
        <w:t>https://www.rsm.global/chile/en/news/esg-landscape-chile-implications-decision-making</w:t>
      </w:r>
      <w:r>
        <w:rPr>
          <w:u w:val="single"/>
          <w:lang w:val="en-GB"/>
        </w:rPr>
        <w:fldChar w:fldCharType="end"/>
      </w:r>
      <w:r>
        <w:rPr>
          <w:lang w:val="en-GB"/>
        </w:rPr>
        <w:t xml:space="preserve"> (Accessed: 24 July 2026). </w:t>
      </w:r>
    </w:p>
    <w:p>
      <w:pPr>
        <w:spacing w:before="240" w:after="240"/>
        <w:rPr>
          <w:lang w:val="en-GB"/>
        </w:rPr>
      </w:pPr>
      <w:r>
        <w:rPr>
          <w:lang w:val="en-GB"/>
        </w:rPr>
        <w:t xml:space="preserve">Sankaran, M. (2025) </w:t>
      </w:r>
      <w:r>
        <w:rPr>
          <w:i/>
          <w:iCs/>
          <w:lang w:val="en-GB"/>
        </w:rPr>
        <w:t>Smart Strategies for Optimizing Water Use in Mining.</w:t>
      </w:r>
      <w:r>
        <w:rPr>
          <w:lang w:val="en-GB"/>
        </w:rPr>
        <w:t xml:space="preserve"> Available at: </w:t>
      </w:r>
      <w:r>
        <w:rPr>
          <w:u w:val="single"/>
          <w:lang w:val="en-GB"/>
        </w:rPr>
        <w:fldChar w:fldCharType="begin"/>
      </w:r>
      <w:r>
        <w:instrText>HYPERLINK "https://ketos.co/smart-strategies-for-optimizing-water-use-in-mining"</w:instrText>
      </w:r>
      <w:r>
        <w:rPr>
          <w:u w:val="single"/>
          <w:lang w:val="en-GB"/>
        </w:rPr>
        <w:fldChar w:fldCharType="separate"/>
      </w:r>
      <w:r>
        <w:rPr>
          <w:u w:val="single"/>
          <w:lang w:val="en-GB"/>
        </w:rPr>
        <w:t>https://ketos.co/smart-strategies-for-optimizing-water-use-in-mining</w:t>
      </w:r>
      <w:r>
        <w:rPr>
          <w:u w:val="single"/>
          <w:lang w:val="en-GB"/>
        </w:rPr>
        <w:fldChar w:fldCharType="end"/>
      </w:r>
      <w:r>
        <w:rPr>
          <w:lang w:val="en-GB"/>
        </w:rPr>
        <w:t xml:space="preserve"> (Accessed: 4 July 2026).</w:t>
      </w:r>
      <w:bookmarkStart w:id="19" w:name="_GoBack"/>
      <w:bookmarkEnd w:id="19"/>
    </w:p>
    <w:sectPr>
      <w:footerReference w:type="default" r:id="rId2"/>
      <w:pgSz w:w="12240" w:h="15840"/>
      <w:pgMar w:top="1440" w:right="1440" w:bottom="1440" w:left="1440" w:header="720" w:footer="720" w:gutter="0"/>
      <w:pgNumType w:start="1"/>
      <w:docGrid w:linePitch="326" w:charSpace="0"/>
    </w:sectPr>
  </w:body>
</w:document>
</file>

<file path=word/fontTable.xml><?xml version="1.0" encoding="utf-8"?>
<w:fonts xmlns:w="http://schemas.openxmlformats.org/wordprocessingml/2006/main" xmlns:r="http://schemas.openxmlformats.org/officeDocument/2006/relationships">
  <w:font w:name="Cambria">
    <w:panose1 w:val="02040503050406030204"/>
    <w:charset w:val="00"/>
    <w:family w:val="roman"/>
    <w:pitch w:val="variable"/>
    <w:sig w:usb0="E00006FF" w:usb1="420024FF" w:usb2="02000000" w:usb3="00000000" w:csb0="0000019F" w:csb1="00000000"/>
  </w:font>
  <w:font w:name="宋体">
    <w:panose1 w:val="00000000000000000000"/>
    <w:charset w:val="00"/>
    <w:family w:val="auto"/>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Times New Roman">
    <w:panose1 w:val="00000000000000000000"/>
    <w:charset w:val="00"/>
    <w:family w:val="auto"/>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Bdr>
        <w:top w:val="none" w:sz="0" w:space="0" w:color="auto"/>
        <w:left w:val="none" w:sz="0" w:space="0" w:color="auto"/>
        <w:bottom w:val="none" w:sz="0" w:space="0" w:color="auto"/>
        <w:right w:val="none" w:sz="0" w:space="0" w:color="auto"/>
        <w:between w:val="none" w:sz="0" w:space="0" w:color="auto"/>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Pr>
        <w:color w:val="000000"/>
        <w:sz w:val="20"/>
        <w:szCs w:val="20"/>
      </w:rPr>
      <w:t>17</w:t>
    </w:r>
    <w:r>
      <w:rPr>
        <w:color w:val="000000"/>
        <w:sz w:val="20"/>
        <w:szCs w:val="20"/>
      </w:rPr>
      <w:fldChar w:fldCharType="end"/>
    </w:r>
  </w:p>
  <w:p>
    <w:pPr>
      <w:pBdr>
        <w:top w:val="none" w:sz="0" w:space="0" w:color="auto"/>
        <w:left w:val="none" w:sz="0" w:space="0" w:color="auto"/>
        <w:bottom w:val="none" w:sz="0" w:space="0" w:color="auto"/>
        <w:right w:val="none" w:sz="0" w:space="0" w:color="auto"/>
        <w:between w:val="none" w:sz="0" w:space="0" w:color="auto"/>
      </w:pBdr>
      <w:tabs>
        <w:tab w:val="center" w:pos="4513"/>
        <w:tab w:val="right" w:pos="9026"/>
      </w:tabs>
      <w:spacing w:line="240" w:lineRule="auto"/>
      <w:rPr>
        <w:color w:val="000000"/>
      </w:rPr>
    </w:pPr>
  </w:p>
</w:ft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w:abstractNum w:abstractNumId="0">
    <w:nsid w:val="24AE5B70"/>
    <w:multiLevelType w:val="multilevel"/>
    <w:tmpl w:val="53D0B5FE"/>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1">
    <w:nsid w:val="3CB23CE0"/>
    <w:multiLevelType w:val="multilevel"/>
    <w:tmpl w:val="60E009AE"/>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2">
    <w:nsid w:val="6CD14BC7"/>
    <w:multiLevelType w:val="multilevel"/>
    <w:tmpl w:val="AD2ABFA8"/>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3">
    <w:nsid w:val="0F0D2745"/>
    <w:multiLevelType w:val="multilevel"/>
    <w:tmpl w:val="81169592"/>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4">
    <w:nsid w:val="137E0344"/>
    <w:multiLevelType w:val="multilevel"/>
    <w:tmpl w:val="13A4E5E8"/>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5">
    <w:nsid w:val="5F660BF9"/>
    <w:multiLevelType w:val="multilevel"/>
    <w:tmpl w:val="E6ACD8F8"/>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6">
    <w:nsid w:val="451C174E"/>
    <w:multiLevelType w:val="multilevel"/>
    <w:tmpl w:val="82C069F2"/>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32"/>
  <w:bordersDoNotSurroundHeader/>
  <w:bordersDoNotSurroundFooter/>
  <w:defaultTabStop w:val="720"/>
  <w:drawingGridHorizontalSpacing w:val="120"/>
  <w:drawingGridVerticalSpacing w:val="163"/>
  <w:displayHorizontalDrawingGridEvery w:val="0"/>
  <w:displayVerticalDrawingGridEvery w:val="1"/>
  <w:compat>
    <w:spaceForUL/>
    <w:growAutofit/>
    <w:compatSetting w:name="compatibilityMode" w:uri="http://schemas.microsoft.com/office/word" w:val="12"/>
  </w:compat>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line="360" w:lineRule="auto"/>
      <w:jc w:val="both"/>
    </w:pPr>
    <w:rPr>
      <w:rFonts w:ascii="Arial" w:eastAsia="Arial" w:cs="Arial" w:hAnsi="Arial"/>
      <w:sz w:val="24"/>
      <w:szCs w:val="24"/>
      <w:lang w:val="en-IN" w:eastAsia="en-IN" w:bidi="ar-SA"/>
    </w:rPr>
  </w:style>
  <w:style w:type="paragraph" w:styleId="1">
    <w:name w:val="heading 1"/>
    <w:basedOn w:val="0"/>
    <w:next w:val="0"/>
    <w:pPr>
      <w:keepNext/>
      <w:keepLines/>
      <w:outlineLvl w:val="0"/>
    </w:pPr>
    <w:rPr>
      <w:b/>
      <w:bCs/>
    </w:rPr>
  </w:style>
  <w:style w:type="paragraph" w:styleId="2">
    <w:name w:val="heading 2"/>
    <w:basedOn w:val="0"/>
    <w:next w:val="0"/>
    <w:pPr>
      <w:keepNext/>
      <w:keepLines/>
      <w:outlineLvl w:val="1"/>
    </w:pPr>
    <w:rPr>
      <w:b/>
      <w:bCs/>
    </w:rPr>
  </w:style>
  <w:style w:type="paragraph" w:styleId="3">
    <w:name w:val="heading 3"/>
    <w:basedOn w:val="0"/>
    <w:next w:val="0"/>
    <w:pPr>
      <w:keepNext/>
      <w:keepLines/>
      <w:spacing w:before="320" w:after="80"/>
      <w:outlineLvl w:val="2"/>
    </w:pPr>
    <w:rPr>
      <w:color w:val="434343"/>
      <w:sz w:val="28"/>
      <w:szCs w:val="28"/>
    </w:rPr>
  </w:style>
  <w:style w:type="paragraph" w:styleId="4">
    <w:name w:val="heading 4"/>
    <w:basedOn w:val="0"/>
    <w:next w:val="0"/>
    <w:pPr>
      <w:keepNext/>
      <w:keepLines/>
      <w:spacing w:before="280" w:after="80"/>
      <w:outlineLvl w:val="3"/>
    </w:pPr>
    <w:rPr>
      <w:color w:val="666666"/>
    </w:rPr>
  </w:style>
  <w:style w:type="paragraph" w:styleId="5">
    <w:name w:val="heading 5"/>
    <w:basedOn w:val="0"/>
    <w:next w:val="0"/>
    <w:pPr>
      <w:keepNext/>
      <w:keepLines/>
      <w:spacing w:before="240" w:after="80"/>
      <w:outlineLvl w:val="4"/>
    </w:pPr>
    <w:rPr>
      <w:color w:val="666666"/>
      <w:sz w:val="22"/>
      <w:szCs w:val="22"/>
    </w:rPr>
  </w:style>
  <w:style w:type="paragraph" w:styleId="6">
    <w:name w:val="heading 6"/>
    <w:basedOn w:val="0"/>
    <w:next w:val="0"/>
    <w:pPr>
      <w:keepNext/>
      <w:keepLines/>
      <w:spacing w:before="240" w:after="80"/>
      <w:outlineLvl w:val="5"/>
    </w:pPr>
    <w:rPr>
      <w:i/>
      <w:iCs/>
      <w:color w:val="666666"/>
      <w:sz w:val="22"/>
      <w:szCs w:val="22"/>
    </w:rPr>
  </w:style>
  <w:style w:type="character" w:default="1" w:styleId="10">
    <w:name w:val="Default Paragraph Font"/>
  </w:style>
  <w:style w:type="paragraph" w:styleId="15">
    <w:name w:val="Title"/>
    <w:basedOn w:val="0"/>
    <w:next w:val="0"/>
    <w:pPr>
      <w:keepNext/>
      <w:keepLines/>
      <w:spacing w:after="60"/>
    </w:pPr>
    <w:rPr>
      <w:sz w:val="52"/>
      <w:szCs w:val="52"/>
    </w:rPr>
  </w:style>
  <w:style w:type="paragraph" w:styleId="16">
    <w:name w:val="Subtitle"/>
    <w:basedOn w:val="0"/>
    <w:next w:val="0"/>
    <w:pPr>
      <w:keepNext/>
      <w:keepLines/>
      <w:spacing w:after="320"/>
    </w:pPr>
    <w:rPr>
      <w:color w:val="666666"/>
      <w:sz w:val="30"/>
      <w:szCs w:val="30"/>
    </w:rPr>
  </w:style>
  <w:style w:type="paragraph" w:styleId="17">
    <w:name w:val="toc 1"/>
    <w:basedOn w:val="0"/>
    <w:autoRedefine/>
    <w:next w:val="0"/>
    <w:pPr>
      <w:spacing w:after="100"/>
    </w:pPr>
  </w:style>
  <w:style w:type="paragraph" w:styleId="18">
    <w:name w:val="toc 2"/>
    <w:basedOn w:val="0"/>
    <w:autoRedefine/>
    <w:next w:val="0"/>
    <w:pPr>
      <w:spacing w:after="100"/>
      <w:ind w:left="240"/>
    </w:pPr>
  </w:style>
  <w:style w:type="character" w:styleId="19">
    <w:name w:val="Hyperlink"/>
    <w:basedOn w:val="10"/>
    <w:rPr>
      <w:color w:val="0000FF"/>
      <w:u w:val="single"/>
    </w:rPr>
  </w:style>
  <w:style w:type="paragraph" w:styleId="20">
    <w:name w:val="Balloon Text"/>
    <w:basedOn w:val="0"/>
    <w:pPr>
      <w:spacing w:line="240" w:lineRule="auto"/>
    </w:pPr>
    <w:rPr>
      <w:rFonts w:ascii="Tahoma" w:cs="Tahoma" w:hAnsi="Tahoma"/>
      <w:sz w:val="16"/>
      <w:szCs w:val="16"/>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image" Target="media/2.png"/><Relationship Id="rId4" Type="http://schemas.openxmlformats.org/officeDocument/2006/relationships/image" Target="media/5.png"/><Relationship Id="rId5" Type="http://schemas.openxmlformats.org/officeDocument/2006/relationships/image" Target="media/8.png"/><Relationship Id="rId6" Type="http://schemas.openxmlformats.org/officeDocument/2006/relationships/image" Target="media/11.png"/><Relationship Id="rId7" Type="http://schemas.openxmlformats.org/officeDocument/2006/relationships/styles" Target="styles.xml"/><Relationship Id="rId8" Type="http://schemas.openxmlformats.org/officeDocument/2006/relationships/numbering" Target="numbering.xml"/><Relationship Id="rId9" Type="http://schemas.openxmlformats.org/officeDocument/2006/relationships/fontTable" Target="fontTable.xml"/></Relationships>
</file>

<file path=docProps/app.xml><?xml version="1.0" encoding="utf-8"?>
<Properties xmlns="http://schemas.openxmlformats.org/officeDocument/2006/extended-properties">
  <Template>Normal.eit</Template>
  <TotalTime>36</TotalTime>
  <Application>Yozo_Office</Application>
  <Pages>19</Pages>
  <Words>3429</Words>
  <Characters>23139</Characters>
  <Lines>413</Lines>
  <Paragraphs>128</Paragraphs>
  <CharactersWithSpaces>26439</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vivo user</cp:lastModifiedBy>
  <cp:revision>2</cp:revision>
  <dcterms:created xsi:type="dcterms:W3CDTF">2026-07-24T06:30:00Z</dcterms:created>
  <dcterms:modified xsi:type="dcterms:W3CDTF">2026-07-24T03:29:54Z</dcterms:modified>
</cp:coreProperties>
</file>

<file path=docProps/custom.xml><?xml version="1.0" encoding="utf-8"?>
<Properties xmlns:vt="http://schemas.openxmlformats.org/officeDocument/2006/docPropsVTypes" xmlns="http://schemas.openxmlformats.org/officeDocument/2006/custom-properties">
  <property fmtid="{D5CDD505-2E9C-101B-9397-08002B2CF9AE}" pid="2" name="GrammarlyDocumentId">
    <vt:lpwstr>57c40a93-9957-4564-b969-10b635a874d0</vt:lpwstr>
  </property>
</Properties>
</file>