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2A768" w14:textId="77777777" w:rsidR="00FF0417" w:rsidRDefault="00FF0417" w:rsidP="005D5B88">
      <w:pPr>
        <w:spacing w:line="360" w:lineRule="auto"/>
        <w:jc w:val="center"/>
        <w:rPr>
          <w:rFonts w:ascii="Arial" w:hAnsi="Arial" w:cs="Arial"/>
          <w:b/>
        </w:rPr>
      </w:pPr>
    </w:p>
    <w:p w14:paraId="39D21886" w14:textId="77777777" w:rsidR="00FF0417" w:rsidRDefault="00FF0417" w:rsidP="005D5B88">
      <w:pPr>
        <w:spacing w:line="360" w:lineRule="auto"/>
        <w:jc w:val="center"/>
        <w:rPr>
          <w:rFonts w:ascii="Arial" w:hAnsi="Arial" w:cs="Arial"/>
          <w:b/>
        </w:rPr>
      </w:pPr>
    </w:p>
    <w:p w14:paraId="44E6D92B" w14:textId="77777777" w:rsidR="00FF0417" w:rsidRDefault="00FF0417" w:rsidP="005D5B88">
      <w:pPr>
        <w:spacing w:line="360" w:lineRule="auto"/>
        <w:jc w:val="center"/>
        <w:rPr>
          <w:rFonts w:ascii="Arial" w:hAnsi="Arial" w:cs="Arial"/>
          <w:b/>
        </w:rPr>
      </w:pPr>
    </w:p>
    <w:p w14:paraId="3AF4D4D8" w14:textId="77777777" w:rsidR="00FF0417" w:rsidRDefault="00FF0417" w:rsidP="005D5B88">
      <w:pPr>
        <w:spacing w:line="360" w:lineRule="auto"/>
        <w:jc w:val="center"/>
        <w:rPr>
          <w:rFonts w:ascii="Arial" w:hAnsi="Arial" w:cs="Arial"/>
          <w:b/>
        </w:rPr>
      </w:pPr>
    </w:p>
    <w:p w14:paraId="66BCDE12" w14:textId="77777777" w:rsidR="00FF0417" w:rsidRDefault="00FF0417" w:rsidP="005D5B88">
      <w:pPr>
        <w:spacing w:line="360" w:lineRule="auto"/>
        <w:jc w:val="center"/>
        <w:rPr>
          <w:rFonts w:ascii="Arial" w:hAnsi="Arial" w:cs="Arial"/>
          <w:b/>
        </w:rPr>
      </w:pPr>
    </w:p>
    <w:p w14:paraId="7AFBA1EF" w14:textId="670838B7" w:rsidR="00FF0417" w:rsidRDefault="00430A55" w:rsidP="005D5B88">
      <w:pPr>
        <w:spacing w:line="360" w:lineRule="auto"/>
        <w:jc w:val="center"/>
        <w:rPr>
          <w:rFonts w:ascii="Arial" w:hAnsi="Arial" w:cs="Arial"/>
          <w:b/>
        </w:rPr>
      </w:pPr>
      <w:r>
        <w:rPr>
          <w:b/>
          <w:bCs/>
          <w:noProof/>
          <w:sz w:val="28"/>
          <w:szCs w:val="28"/>
        </w:rPr>
        <w:drawing>
          <wp:anchor distT="0" distB="0" distL="114300" distR="114300" simplePos="0" relativeHeight="251658240" behindDoc="0" locked="0" layoutInCell="1" allowOverlap="1" wp14:anchorId="604C58C1" wp14:editId="1AC93585">
            <wp:simplePos x="0" y="0"/>
            <wp:positionH relativeFrom="column">
              <wp:posOffset>1667457</wp:posOffset>
            </wp:positionH>
            <wp:positionV relativeFrom="paragraph">
              <wp:posOffset>8255</wp:posOffset>
            </wp:positionV>
            <wp:extent cx="2158365" cy="865505"/>
            <wp:effectExtent l="0" t="0" r="0" b="0"/>
            <wp:wrapNone/>
            <wp:docPr id="70365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8365" cy="865505"/>
                    </a:xfrm>
                    <a:prstGeom prst="rect">
                      <a:avLst/>
                    </a:prstGeom>
                    <a:noFill/>
                  </pic:spPr>
                </pic:pic>
              </a:graphicData>
            </a:graphic>
          </wp:anchor>
        </w:drawing>
      </w:r>
    </w:p>
    <w:p w14:paraId="2C7B141B" w14:textId="570146DC" w:rsidR="00FF0417" w:rsidRDefault="00FF0417" w:rsidP="005D5B88">
      <w:pPr>
        <w:spacing w:line="360" w:lineRule="auto"/>
        <w:jc w:val="center"/>
        <w:rPr>
          <w:rFonts w:ascii="Arial" w:hAnsi="Arial" w:cs="Arial"/>
          <w:b/>
        </w:rPr>
      </w:pPr>
    </w:p>
    <w:p w14:paraId="265A91C0" w14:textId="33D2EAE9" w:rsidR="00FF0417" w:rsidRDefault="00FF0417" w:rsidP="00151104">
      <w:pPr>
        <w:pStyle w:val="Heading1"/>
      </w:pPr>
    </w:p>
    <w:p w14:paraId="4B8FE1DF" w14:textId="79AA8097" w:rsidR="00FF0417" w:rsidRDefault="00FF0417" w:rsidP="005D5B88">
      <w:pPr>
        <w:spacing w:line="360" w:lineRule="auto"/>
        <w:jc w:val="center"/>
        <w:rPr>
          <w:rFonts w:ascii="Arial" w:hAnsi="Arial" w:cs="Arial"/>
          <w:b/>
        </w:rPr>
      </w:pPr>
    </w:p>
    <w:p w14:paraId="52997966" w14:textId="21A10D0B" w:rsidR="008D288B" w:rsidRPr="005D5B88" w:rsidRDefault="008D288B" w:rsidP="005D5B88">
      <w:pPr>
        <w:spacing w:line="360" w:lineRule="auto"/>
        <w:jc w:val="center"/>
        <w:rPr>
          <w:rFonts w:ascii="Arial" w:hAnsi="Arial" w:cs="Arial"/>
        </w:rPr>
      </w:pPr>
      <w:r w:rsidRPr="005D5B88">
        <w:rPr>
          <w:rFonts w:ascii="Arial" w:hAnsi="Arial" w:cs="Arial"/>
          <w:b/>
        </w:rPr>
        <w:t>BMHP5021: PROTECTING AND SUPPORTING FAMILIES IN HEALTH AND CARE</w:t>
      </w:r>
    </w:p>
    <w:p w14:paraId="64D32408" w14:textId="77777777" w:rsidR="008D288B" w:rsidRPr="005D5B88" w:rsidRDefault="008D288B" w:rsidP="005D5B88">
      <w:pPr>
        <w:spacing w:line="360" w:lineRule="auto"/>
        <w:jc w:val="center"/>
        <w:rPr>
          <w:rFonts w:ascii="Arial" w:hAnsi="Arial" w:cs="Arial"/>
        </w:rPr>
      </w:pPr>
      <w:r w:rsidRPr="005D5B88">
        <w:rPr>
          <w:rFonts w:ascii="Arial" w:hAnsi="Arial" w:cs="Arial"/>
          <w:b/>
        </w:rPr>
        <w:t>COMPONENT 2: WRITTEN REPORT</w:t>
      </w:r>
    </w:p>
    <w:p w14:paraId="131A28EA" w14:textId="77777777" w:rsidR="008D288B" w:rsidRPr="005D5B88" w:rsidRDefault="008D288B" w:rsidP="005D5B88">
      <w:pPr>
        <w:spacing w:line="360" w:lineRule="auto"/>
        <w:jc w:val="center"/>
        <w:rPr>
          <w:rFonts w:ascii="Arial" w:hAnsi="Arial" w:cs="Arial"/>
        </w:rPr>
      </w:pPr>
      <w:r w:rsidRPr="005D5B88">
        <w:rPr>
          <w:rFonts w:ascii="Arial" w:hAnsi="Arial" w:cs="Arial"/>
          <w:i/>
        </w:rPr>
        <w:t>An Examination and Analysis of How the 'Early Help' System is Signposted to UK Families by Local Authority Websites</w:t>
      </w:r>
    </w:p>
    <w:p w14:paraId="342542DB" w14:textId="7304CA95" w:rsidR="00430A55" w:rsidRDefault="00430A55" w:rsidP="005D5B88">
      <w:pPr>
        <w:spacing w:line="360" w:lineRule="auto"/>
        <w:jc w:val="both"/>
        <w:rPr>
          <w:rFonts w:ascii="Arial" w:hAnsi="Arial" w:cs="Arial"/>
        </w:rPr>
      </w:pPr>
    </w:p>
    <w:p w14:paraId="4B21847E" w14:textId="668AE976" w:rsidR="00137DD1" w:rsidRPr="00EE3454" w:rsidRDefault="00137DD1" w:rsidP="00137DD1">
      <w:pPr>
        <w:spacing w:after="100" w:line="360" w:lineRule="auto"/>
      </w:pPr>
    </w:p>
    <w:p w14:paraId="5023C238" w14:textId="77777777" w:rsidR="00A45868" w:rsidRDefault="00A45868" w:rsidP="00A45868">
      <w:pPr>
        <w:tabs>
          <w:tab w:val="left" w:pos="6540"/>
        </w:tabs>
        <w:spacing w:line="360" w:lineRule="auto"/>
      </w:pPr>
      <w:r>
        <w:rPr>
          <w:rFonts w:ascii="Arial" w:hAnsi="Arial" w:cs="Arial"/>
          <w:b/>
          <w:bCs/>
          <w:sz w:val="28"/>
          <w:szCs w:val="28"/>
        </w:rPr>
        <w:t>Student name</w:t>
      </w:r>
      <w:r>
        <w:rPr>
          <w:rFonts w:ascii="Arial" w:hAnsi="Arial" w:cs="Arial"/>
          <w:sz w:val="28"/>
          <w:szCs w:val="28"/>
        </w:rPr>
        <w:t>: Mercy Inyang</w:t>
      </w:r>
    </w:p>
    <w:p w14:paraId="06DEB4D1" w14:textId="77777777" w:rsidR="00A45868" w:rsidRDefault="00A45868" w:rsidP="00A45868">
      <w:pPr>
        <w:tabs>
          <w:tab w:val="left" w:pos="6540"/>
        </w:tabs>
        <w:spacing w:line="360" w:lineRule="auto"/>
      </w:pPr>
      <w:r>
        <w:rPr>
          <w:rFonts w:ascii="Arial" w:hAnsi="Arial" w:cs="Arial"/>
          <w:b/>
          <w:bCs/>
          <w:sz w:val="28"/>
          <w:szCs w:val="28"/>
        </w:rPr>
        <w:t>Student ID</w:t>
      </w:r>
      <w:r>
        <w:rPr>
          <w:rFonts w:ascii="Arial" w:hAnsi="Arial" w:cs="Arial"/>
          <w:sz w:val="28"/>
          <w:szCs w:val="28"/>
        </w:rPr>
        <w:t>: 2426168</w:t>
      </w:r>
    </w:p>
    <w:p w14:paraId="28CB5A91" w14:textId="456E998A" w:rsidR="00A45868" w:rsidRDefault="00A45868" w:rsidP="00A45868">
      <w:pPr>
        <w:tabs>
          <w:tab w:val="left" w:pos="6540"/>
        </w:tabs>
        <w:spacing w:line="360" w:lineRule="auto"/>
      </w:pPr>
      <w:r>
        <w:rPr>
          <w:rFonts w:ascii="Arial" w:hAnsi="Arial" w:cs="Arial"/>
          <w:b/>
          <w:bCs/>
          <w:sz w:val="28"/>
          <w:szCs w:val="28"/>
        </w:rPr>
        <w:t>Module name</w:t>
      </w:r>
      <w:r>
        <w:rPr>
          <w:rFonts w:ascii="Arial" w:hAnsi="Arial" w:cs="Arial"/>
          <w:sz w:val="28"/>
          <w:szCs w:val="28"/>
        </w:rPr>
        <w:t>: Protecting and Supporting Families in Health and Care</w:t>
      </w:r>
    </w:p>
    <w:p w14:paraId="1C5E3FB3" w14:textId="2637F6E5" w:rsidR="00A45868" w:rsidRDefault="00A45868" w:rsidP="00A45868">
      <w:pPr>
        <w:tabs>
          <w:tab w:val="left" w:pos="6540"/>
        </w:tabs>
        <w:spacing w:line="360" w:lineRule="auto"/>
      </w:pPr>
      <w:r>
        <w:rPr>
          <w:rFonts w:ascii="Arial" w:hAnsi="Arial" w:cs="Arial"/>
          <w:b/>
          <w:bCs/>
          <w:sz w:val="28"/>
          <w:szCs w:val="28"/>
        </w:rPr>
        <w:t>Component: 2</w:t>
      </w:r>
    </w:p>
    <w:p w14:paraId="66BE7364" w14:textId="77777777" w:rsidR="00A45868" w:rsidRDefault="00A45868" w:rsidP="00A45868">
      <w:pPr>
        <w:tabs>
          <w:tab w:val="left" w:pos="6540"/>
        </w:tabs>
        <w:spacing w:line="360" w:lineRule="auto"/>
      </w:pPr>
      <w:r>
        <w:rPr>
          <w:rFonts w:ascii="Arial" w:hAnsi="Arial" w:cs="Arial"/>
          <w:b/>
          <w:bCs/>
          <w:sz w:val="28"/>
          <w:szCs w:val="28"/>
        </w:rPr>
        <w:t>Module code</w:t>
      </w:r>
      <w:r>
        <w:rPr>
          <w:rFonts w:ascii="Arial" w:hAnsi="Arial" w:cs="Arial"/>
          <w:sz w:val="28"/>
          <w:szCs w:val="28"/>
        </w:rPr>
        <w:t>:</w:t>
      </w:r>
      <w:r>
        <w:rPr>
          <w:sz w:val="28"/>
          <w:szCs w:val="28"/>
        </w:rPr>
        <w:t xml:space="preserve"> </w:t>
      </w:r>
      <w:r>
        <w:rPr>
          <w:rFonts w:ascii="Arial" w:hAnsi="Arial" w:cs="Arial"/>
          <w:sz w:val="28"/>
          <w:szCs w:val="28"/>
        </w:rPr>
        <w:t xml:space="preserve">BMHP5021 </w:t>
      </w:r>
    </w:p>
    <w:p w14:paraId="01FCBE97" w14:textId="57C8BC0E" w:rsidR="005A13EA" w:rsidRPr="005A13EA" w:rsidRDefault="00A45868" w:rsidP="005A13EA">
      <w:pPr>
        <w:tabs>
          <w:tab w:val="left" w:pos="6540"/>
        </w:tabs>
        <w:spacing w:line="360" w:lineRule="auto"/>
      </w:pPr>
      <w:r>
        <w:rPr>
          <w:rFonts w:ascii="Arial" w:hAnsi="Arial" w:cs="Arial"/>
          <w:b/>
          <w:bCs/>
          <w:sz w:val="28"/>
          <w:szCs w:val="28"/>
        </w:rPr>
        <w:t>Lecturer name</w:t>
      </w:r>
      <w:r>
        <w:rPr>
          <w:rFonts w:ascii="Arial" w:hAnsi="Arial" w:cs="Arial"/>
          <w:sz w:val="28"/>
          <w:szCs w:val="28"/>
        </w:rPr>
        <w:t>: Amanda Jones</w:t>
      </w:r>
    </w:p>
    <w:sdt>
      <w:sdtPr>
        <w:rPr>
          <w:lang w:val="en-GB"/>
        </w:rPr>
        <w:id w:val="-850102059"/>
        <w:docPartObj>
          <w:docPartGallery w:val="Table of Contents"/>
          <w:docPartUnique/>
        </w:docPartObj>
      </w:sdtPr>
      <w:sdtEndPr>
        <w:rPr>
          <w:rFonts w:ascii="Calibri" w:eastAsiaTheme="minorEastAsia" w:hAnsi="Calibri" w:cstheme="minorBidi"/>
          <w:color w:val="auto"/>
          <w:sz w:val="22"/>
          <w:szCs w:val="22"/>
          <w:lang w:val="en-US"/>
        </w:rPr>
      </w:sdtEndPr>
      <w:sdtContent>
        <w:p w14:paraId="582862DF" w14:textId="1B17380C" w:rsidR="005A13EA" w:rsidRPr="008632EB" w:rsidRDefault="005A13EA">
          <w:pPr>
            <w:pStyle w:val="TOCHeading"/>
            <w:rPr>
              <w:color w:val="auto"/>
            </w:rPr>
          </w:pPr>
          <w:r w:rsidRPr="008632EB">
            <w:rPr>
              <w:color w:val="auto"/>
              <w:lang w:val="en-GB"/>
            </w:rPr>
            <w:t>Table of Contents</w:t>
          </w:r>
        </w:p>
        <w:p w14:paraId="336392DF" w14:textId="2AB28B85" w:rsidR="005A13EA" w:rsidRDefault="005A13EA">
          <w:pPr>
            <w:pStyle w:val="TOC1"/>
            <w:tabs>
              <w:tab w:val="right" w:leader="dot" w:pos="8630"/>
            </w:tabs>
            <w:rPr>
              <w:rFonts w:asciiTheme="minorHAnsi"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7506695" w:history="1">
            <w:r w:rsidRPr="00F95D7D">
              <w:rPr>
                <w:rStyle w:val="Hyperlink"/>
                <w:noProof/>
              </w:rPr>
              <w:t>Introduction</w:t>
            </w:r>
            <w:r>
              <w:rPr>
                <w:noProof/>
                <w:webHidden/>
              </w:rPr>
              <w:tab/>
            </w:r>
            <w:r>
              <w:rPr>
                <w:noProof/>
                <w:webHidden/>
              </w:rPr>
              <w:fldChar w:fldCharType="begin"/>
            </w:r>
            <w:r>
              <w:rPr>
                <w:noProof/>
                <w:webHidden/>
              </w:rPr>
              <w:instrText xml:space="preserve"> PAGEREF _Toc237506695 \h </w:instrText>
            </w:r>
            <w:r>
              <w:rPr>
                <w:noProof/>
                <w:webHidden/>
              </w:rPr>
            </w:r>
            <w:r>
              <w:rPr>
                <w:noProof/>
                <w:webHidden/>
              </w:rPr>
              <w:fldChar w:fldCharType="separate"/>
            </w:r>
            <w:r>
              <w:rPr>
                <w:noProof/>
                <w:webHidden/>
              </w:rPr>
              <w:t>3</w:t>
            </w:r>
            <w:r>
              <w:rPr>
                <w:noProof/>
                <w:webHidden/>
              </w:rPr>
              <w:fldChar w:fldCharType="end"/>
            </w:r>
          </w:hyperlink>
        </w:p>
        <w:p w14:paraId="0E06329B" w14:textId="5E5FE7E0" w:rsidR="005A13EA" w:rsidRDefault="005A13EA">
          <w:pPr>
            <w:pStyle w:val="TOC1"/>
            <w:tabs>
              <w:tab w:val="right" w:leader="dot" w:pos="8630"/>
            </w:tabs>
            <w:rPr>
              <w:rFonts w:asciiTheme="minorHAnsi" w:hAnsiTheme="minorHAnsi"/>
              <w:noProof/>
              <w:kern w:val="2"/>
              <w:sz w:val="24"/>
              <w:szCs w:val="24"/>
              <w:lang w:val="en-GB" w:eastAsia="en-GB"/>
              <w14:ligatures w14:val="standardContextual"/>
            </w:rPr>
          </w:pPr>
          <w:hyperlink w:anchor="_Toc237506696" w:history="1">
            <w:r w:rsidRPr="00F95D7D">
              <w:rPr>
                <w:rStyle w:val="Hyperlink"/>
                <w:noProof/>
              </w:rPr>
              <w:t>Understanding the Early Help System</w:t>
            </w:r>
            <w:r>
              <w:rPr>
                <w:noProof/>
                <w:webHidden/>
              </w:rPr>
              <w:tab/>
            </w:r>
            <w:r>
              <w:rPr>
                <w:noProof/>
                <w:webHidden/>
              </w:rPr>
              <w:fldChar w:fldCharType="begin"/>
            </w:r>
            <w:r>
              <w:rPr>
                <w:noProof/>
                <w:webHidden/>
              </w:rPr>
              <w:instrText xml:space="preserve"> PAGEREF _Toc237506696 \h </w:instrText>
            </w:r>
            <w:r>
              <w:rPr>
                <w:noProof/>
                <w:webHidden/>
              </w:rPr>
            </w:r>
            <w:r>
              <w:rPr>
                <w:noProof/>
                <w:webHidden/>
              </w:rPr>
              <w:fldChar w:fldCharType="separate"/>
            </w:r>
            <w:r>
              <w:rPr>
                <w:noProof/>
                <w:webHidden/>
              </w:rPr>
              <w:t>3</w:t>
            </w:r>
            <w:r>
              <w:rPr>
                <w:noProof/>
                <w:webHidden/>
              </w:rPr>
              <w:fldChar w:fldCharType="end"/>
            </w:r>
          </w:hyperlink>
        </w:p>
        <w:p w14:paraId="1ED023A0" w14:textId="21A22B83" w:rsidR="005A13EA" w:rsidRDefault="005A13EA">
          <w:pPr>
            <w:pStyle w:val="TOC1"/>
            <w:tabs>
              <w:tab w:val="right" w:leader="dot" w:pos="8630"/>
            </w:tabs>
            <w:rPr>
              <w:rFonts w:asciiTheme="minorHAnsi" w:hAnsiTheme="minorHAnsi"/>
              <w:noProof/>
              <w:kern w:val="2"/>
              <w:sz w:val="24"/>
              <w:szCs w:val="24"/>
              <w:lang w:val="en-GB" w:eastAsia="en-GB"/>
              <w14:ligatures w14:val="standardContextual"/>
            </w:rPr>
          </w:pPr>
          <w:hyperlink w:anchor="_Toc237506697" w:history="1">
            <w:r w:rsidRPr="00F95D7D">
              <w:rPr>
                <w:rStyle w:val="Hyperlink"/>
                <w:noProof/>
              </w:rPr>
              <w:t>Multi-Agency Working in Early Help</w:t>
            </w:r>
            <w:r>
              <w:rPr>
                <w:noProof/>
                <w:webHidden/>
              </w:rPr>
              <w:tab/>
            </w:r>
            <w:r>
              <w:rPr>
                <w:noProof/>
                <w:webHidden/>
              </w:rPr>
              <w:fldChar w:fldCharType="begin"/>
            </w:r>
            <w:r>
              <w:rPr>
                <w:noProof/>
                <w:webHidden/>
              </w:rPr>
              <w:instrText xml:space="preserve"> PAGEREF _Toc237506697 \h </w:instrText>
            </w:r>
            <w:r>
              <w:rPr>
                <w:noProof/>
                <w:webHidden/>
              </w:rPr>
            </w:r>
            <w:r>
              <w:rPr>
                <w:noProof/>
                <w:webHidden/>
              </w:rPr>
              <w:fldChar w:fldCharType="separate"/>
            </w:r>
            <w:r>
              <w:rPr>
                <w:noProof/>
                <w:webHidden/>
              </w:rPr>
              <w:t>4</w:t>
            </w:r>
            <w:r>
              <w:rPr>
                <w:noProof/>
                <w:webHidden/>
              </w:rPr>
              <w:fldChar w:fldCharType="end"/>
            </w:r>
          </w:hyperlink>
        </w:p>
        <w:p w14:paraId="31F37742" w14:textId="7D1C9834" w:rsidR="005A13EA" w:rsidRDefault="005A13EA">
          <w:pPr>
            <w:pStyle w:val="TOC1"/>
            <w:tabs>
              <w:tab w:val="right" w:leader="dot" w:pos="8630"/>
            </w:tabs>
            <w:rPr>
              <w:rFonts w:asciiTheme="minorHAnsi" w:hAnsiTheme="minorHAnsi"/>
              <w:noProof/>
              <w:kern w:val="2"/>
              <w:sz w:val="24"/>
              <w:szCs w:val="24"/>
              <w:lang w:val="en-GB" w:eastAsia="en-GB"/>
              <w14:ligatures w14:val="standardContextual"/>
            </w:rPr>
          </w:pPr>
          <w:hyperlink w:anchor="_Toc237506698" w:history="1">
            <w:r w:rsidRPr="00F95D7D">
              <w:rPr>
                <w:rStyle w:val="Hyperlink"/>
                <w:noProof/>
              </w:rPr>
              <w:t>Leeds City Council: Early Help Provision and Accessibility</w:t>
            </w:r>
            <w:r>
              <w:rPr>
                <w:noProof/>
                <w:webHidden/>
              </w:rPr>
              <w:tab/>
            </w:r>
            <w:r>
              <w:rPr>
                <w:noProof/>
                <w:webHidden/>
              </w:rPr>
              <w:fldChar w:fldCharType="begin"/>
            </w:r>
            <w:r>
              <w:rPr>
                <w:noProof/>
                <w:webHidden/>
              </w:rPr>
              <w:instrText xml:space="preserve"> PAGEREF _Toc237506698 \h </w:instrText>
            </w:r>
            <w:r>
              <w:rPr>
                <w:noProof/>
                <w:webHidden/>
              </w:rPr>
            </w:r>
            <w:r>
              <w:rPr>
                <w:noProof/>
                <w:webHidden/>
              </w:rPr>
              <w:fldChar w:fldCharType="separate"/>
            </w:r>
            <w:r>
              <w:rPr>
                <w:noProof/>
                <w:webHidden/>
              </w:rPr>
              <w:t>5</w:t>
            </w:r>
            <w:r>
              <w:rPr>
                <w:noProof/>
                <w:webHidden/>
              </w:rPr>
              <w:fldChar w:fldCharType="end"/>
            </w:r>
          </w:hyperlink>
        </w:p>
        <w:p w14:paraId="6432F96A" w14:textId="43F6294C" w:rsidR="005A13EA" w:rsidRDefault="005A13EA">
          <w:pPr>
            <w:pStyle w:val="TOC1"/>
            <w:tabs>
              <w:tab w:val="right" w:leader="dot" w:pos="8630"/>
            </w:tabs>
            <w:rPr>
              <w:rFonts w:asciiTheme="minorHAnsi" w:hAnsiTheme="minorHAnsi"/>
              <w:noProof/>
              <w:kern w:val="2"/>
              <w:sz w:val="24"/>
              <w:szCs w:val="24"/>
              <w:lang w:val="en-GB" w:eastAsia="en-GB"/>
              <w14:ligatures w14:val="standardContextual"/>
            </w:rPr>
          </w:pPr>
          <w:hyperlink w:anchor="_Toc237506699" w:history="1">
            <w:r w:rsidRPr="00F95D7D">
              <w:rPr>
                <w:rStyle w:val="Hyperlink"/>
                <w:noProof/>
              </w:rPr>
              <w:t>Tower Hamlets Council: Early Help Provision and Accessibility</w:t>
            </w:r>
            <w:r>
              <w:rPr>
                <w:noProof/>
                <w:webHidden/>
              </w:rPr>
              <w:tab/>
            </w:r>
            <w:r>
              <w:rPr>
                <w:noProof/>
                <w:webHidden/>
              </w:rPr>
              <w:fldChar w:fldCharType="begin"/>
            </w:r>
            <w:r>
              <w:rPr>
                <w:noProof/>
                <w:webHidden/>
              </w:rPr>
              <w:instrText xml:space="preserve"> PAGEREF _Toc237506699 \h </w:instrText>
            </w:r>
            <w:r>
              <w:rPr>
                <w:noProof/>
                <w:webHidden/>
              </w:rPr>
            </w:r>
            <w:r>
              <w:rPr>
                <w:noProof/>
                <w:webHidden/>
              </w:rPr>
              <w:fldChar w:fldCharType="separate"/>
            </w:r>
            <w:r>
              <w:rPr>
                <w:noProof/>
                <w:webHidden/>
              </w:rPr>
              <w:t>5</w:t>
            </w:r>
            <w:r>
              <w:rPr>
                <w:noProof/>
                <w:webHidden/>
              </w:rPr>
              <w:fldChar w:fldCharType="end"/>
            </w:r>
          </w:hyperlink>
        </w:p>
        <w:p w14:paraId="12973A91" w14:textId="3CFDF682" w:rsidR="005A13EA" w:rsidRDefault="005A13EA">
          <w:pPr>
            <w:pStyle w:val="TOC1"/>
            <w:tabs>
              <w:tab w:val="right" w:leader="dot" w:pos="8630"/>
            </w:tabs>
            <w:rPr>
              <w:rFonts w:asciiTheme="minorHAnsi" w:hAnsiTheme="minorHAnsi"/>
              <w:noProof/>
              <w:kern w:val="2"/>
              <w:sz w:val="24"/>
              <w:szCs w:val="24"/>
              <w:lang w:val="en-GB" w:eastAsia="en-GB"/>
              <w14:ligatures w14:val="standardContextual"/>
            </w:rPr>
          </w:pPr>
          <w:hyperlink w:anchor="_Toc237506700" w:history="1">
            <w:r w:rsidRPr="00F95D7D">
              <w:rPr>
                <w:rStyle w:val="Hyperlink"/>
                <w:noProof/>
              </w:rPr>
              <w:t>Leicestershire County Council: Early Help Provision and Accessibility</w:t>
            </w:r>
            <w:r>
              <w:rPr>
                <w:noProof/>
                <w:webHidden/>
              </w:rPr>
              <w:tab/>
            </w:r>
            <w:r>
              <w:rPr>
                <w:noProof/>
                <w:webHidden/>
              </w:rPr>
              <w:fldChar w:fldCharType="begin"/>
            </w:r>
            <w:r>
              <w:rPr>
                <w:noProof/>
                <w:webHidden/>
              </w:rPr>
              <w:instrText xml:space="preserve"> PAGEREF _Toc237506700 \h </w:instrText>
            </w:r>
            <w:r>
              <w:rPr>
                <w:noProof/>
                <w:webHidden/>
              </w:rPr>
            </w:r>
            <w:r>
              <w:rPr>
                <w:noProof/>
                <w:webHidden/>
              </w:rPr>
              <w:fldChar w:fldCharType="separate"/>
            </w:r>
            <w:r>
              <w:rPr>
                <w:noProof/>
                <w:webHidden/>
              </w:rPr>
              <w:t>6</w:t>
            </w:r>
            <w:r>
              <w:rPr>
                <w:noProof/>
                <w:webHidden/>
              </w:rPr>
              <w:fldChar w:fldCharType="end"/>
            </w:r>
          </w:hyperlink>
        </w:p>
        <w:p w14:paraId="4EAE8519" w14:textId="2DF4CA69" w:rsidR="005A13EA" w:rsidRDefault="005A13EA">
          <w:pPr>
            <w:pStyle w:val="TOC1"/>
            <w:tabs>
              <w:tab w:val="right" w:leader="dot" w:pos="8630"/>
            </w:tabs>
            <w:rPr>
              <w:rFonts w:asciiTheme="minorHAnsi" w:hAnsiTheme="minorHAnsi"/>
              <w:noProof/>
              <w:kern w:val="2"/>
              <w:sz w:val="24"/>
              <w:szCs w:val="24"/>
              <w:lang w:val="en-GB" w:eastAsia="en-GB"/>
              <w14:ligatures w14:val="standardContextual"/>
            </w:rPr>
          </w:pPr>
          <w:hyperlink w:anchor="_Toc237506701" w:history="1">
            <w:r w:rsidRPr="00F95D7D">
              <w:rPr>
                <w:rStyle w:val="Hyperlink"/>
                <w:noProof/>
              </w:rPr>
              <w:t>Comparative Analysis</w:t>
            </w:r>
            <w:r>
              <w:rPr>
                <w:noProof/>
                <w:webHidden/>
              </w:rPr>
              <w:tab/>
            </w:r>
            <w:r>
              <w:rPr>
                <w:noProof/>
                <w:webHidden/>
              </w:rPr>
              <w:fldChar w:fldCharType="begin"/>
            </w:r>
            <w:r>
              <w:rPr>
                <w:noProof/>
                <w:webHidden/>
              </w:rPr>
              <w:instrText xml:space="preserve"> PAGEREF _Toc237506701 \h </w:instrText>
            </w:r>
            <w:r>
              <w:rPr>
                <w:noProof/>
                <w:webHidden/>
              </w:rPr>
            </w:r>
            <w:r>
              <w:rPr>
                <w:noProof/>
                <w:webHidden/>
              </w:rPr>
              <w:fldChar w:fldCharType="separate"/>
            </w:r>
            <w:r>
              <w:rPr>
                <w:noProof/>
                <w:webHidden/>
              </w:rPr>
              <w:t>7</w:t>
            </w:r>
            <w:r>
              <w:rPr>
                <w:noProof/>
                <w:webHidden/>
              </w:rPr>
              <w:fldChar w:fldCharType="end"/>
            </w:r>
          </w:hyperlink>
        </w:p>
        <w:p w14:paraId="1834E14F" w14:textId="34C86A16" w:rsidR="005A13EA" w:rsidRDefault="005A13EA">
          <w:pPr>
            <w:pStyle w:val="TOC1"/>
            <w:tabs>
              <w:tab w:val="right" w:leader="dot" w:pos="8630"/>
            </w:tabs>
            <w:rPr>
              <w:rFonts w:asciiTheme="minorHAnsi" w:hAnsiTheme="minorHAnsi"/>
              <w:noProof/>
              <w:kern w:val="2"/>
              <w:sz w:val="24"/>
              <w:szCs w:val="24"/>
              <w:lang w:val="en-GB" w:eastAsia="en-GB"/>
              <w14:ligatures w14:val="standardContextual"/>
            </w:rPr>
          </w:pPr>
          <w:hyperlink w:anchor="_Toc237506702" w:history="1">
            <w:r w:rsidRPr="00F95D7D">
              <w:rPr>
                <w:rStyle w:val="Hyperlink"/>
                <w:noProof/>
              </w:rPr>
              <w:t>Conclusion</w:t>
            </w:r>
            <w:r>
              <w:rPr>
                <w:noProof/>
                <w:webHidden/>
              </w:rPr>
              <w:tab/>
            </w:r>
            <w:r>
              <w:rPr>
                <w:noProof/>
                <w:webHidden/>
              </w:rPr>
              <w:fldChar w:fldCharType="begin"/>
            </w:r>
            <w:r>
              <w:rPr>
                <w:noProof/>
                <w:webHidden/>
              </w:rPr>
              <w:instrText xml:space="preserve"> PAGEREF _Toc237506702 \h </w:instrText>
            </w:r>
            <w:r>
              <w:rPr>
                <w:noProof/>
                <w:webHidden/>
              </w:rPr>
            </w:r>
            <w:r>
              <w:rPr>
                <w:noProof/>
                <w:webHidden/>
              </w:rPr>
              <w:fldChar w:fldCharType="separate"/>
            </w:r>
            <w:r>
              <w:rPr>
                <w:noProof/>
                <w:webHidden/>
              </w:rPr>
              <w:t>8</w:t>
            </w:r>
            <w:r>
              <w:rPr>
                <w:noProof/>
                <w:webHidden/>
              </w:rPr>
              <w:fldChar w:fldCharType="end"/>
            </w:r>
          </w:hyperlink>
        </w:p>
        <w:p w14:paraId="3FB44347" w14:textId="501D4AF8" w:rsidR="005A13EA" w:rsidRDefault="005A13EA">
          <w:pPr>
            <w:pStyle w:val="TOC1"/>
            <w:tabs>
              <w:tab w:val="right" w:leader="dot" w:pos="8630"/>
            </w:tabs>
            <w:rPr>
              <w:rFonts w:asciiTheme="minorHAnsi" w:hAnsiTheme="minorHAnsi"/>
              <w:noProof/>
              <w:kern w:val="2"/>
              <w:sz w:val="24"/>
              <w:szCs w:val="24"/>
              <w:lang w:val="en-GB" w:eastAsia="en-GB"/>
              <w14:ligatures w14:val="standardContextual"/>
            </w:rPr>
          </w:pPr>
          <w:hyperlink w:anchor="_Toc237506703" w:history="1">
            <w:r w:rsidRPr="00F95D7D">
              <w:rPr>
                <w:rStyle w:val="Hyperlink"/>
                <w:noProof/>
              </w:rPr>
              <w:t>Recommendations</w:t>
            </w:r>
            <w:r>
              <w:rPr>
                <w:noProof/>
                <w:webHidden/>
              </w:rPr>
              <w:tab/>
            </w:r>
            <w:r>
              <w:rPr>
                <w:noProof/>
                <w:webHidden/>
              </w:rPr>
              <w:fldChar w:fldCharType="begin"/>
            </w:r>
            <w:r>
              <w:rPr>
                <w:noProof/>
                <w:webHidden/>
              </w:rPr>
              <w:instrText xml:space="preserve"> PAGEREF _Toc237506703 \h </w:instrText>
            </w:r>
            <w:r>
              <w:rPr>
                <w:noProof/>
                <w:webHidden/>
              </w:rPr>
            </w:r>
            <w:r>
              <w:rPr>
                <w:noProof/>
                <w:webHidden/>
              </w:rPr>
              <w:fldChar w:fldCharType="separate"/>
            </w:r>
            <w:r>
              <w:rPr>
                <w:noProof/>
                <w:webHidden/>
              </w:rPr>
              <w:t>9</w:t>
            </w:r>
            <w:r>
              <w:rPr>
                <w:noProof/>
                <w:webHidden/>
              </w:rPr>
              <w:fldChar w:fldCharType="end"/>
            </w:r>
          </w:hyperlink>
        </w:p>
        <w:p w14:paraId="0185E1C0" w14:textId="25635404" w:rsidR="005A13EA" w:rsidRDefault="005A13EA">
          <w:pPr>
            <w:pStyle w:val="TOC2"/>
            <w:tabs>
              <w:tab w:val="right" w:leader="dot" w:pos="8630"/>
            </w:tabs>
            <w:rPr>
              <w:rFonts w:asciiTheme="minorHAnsi" w:hAnsiTheme="minorHAnsi"/>
              <w:noProof/>
              <w:kern w:val="2"/>
              <w:sz w:val="24"/>
              <w:szCs w:val="24"/>
              <w:lang w:val="en-GB" w:eastAsia="en-GB"/>
              <w14:ligatures w14:val="standardContextual"/>
            </w:rPr>
          </w:pPr>
          <w:hyperlink w:anchor="_Toc237506704" w:history="1">
            <w:r w:rsidRPr="00F95D7D">
              <w:rPr>
                <w:rStyle w:val="Hyperlink"/>
                <w:noProof/>
              </w:rPr>
              <w:t>For all local authorities</w:t>
            </w:r>
            <w:r>
              <w:rPr>
                <w:noProof/>
                <w:webHidden/>
              </w:rPr>
              <w:tab/>
            </w:r>
            <w:r>
              <w:rPr>
                <w:noProof/>
                <w:webHidden/>
              </w:rPr>
              <w:fldChar w:fldCharType="begin"/>
            </w:r>
            <w:r>
              <w:rPr>
                <w:noProof/>
                <w:webHidden/>
              </w:rPr>
              <w:instrText xml:space="preserve"> PAGEREF _Toc237506704 \h </w:instrText>
            </w:r>
            <w:r>
              <w:rPr>
                <w:noProof/>
                <w:webHidden/>
              </w:rPr>
            </w:r>
            <w:r>
              <w:rPr>
                <w:noProof/>
                <w:webHidden/>
              </w:rPr>
              <w:fldChar w:fldCharType="separate"/>
            </w:r>
            <w:r>
              <w:rPr>
                <w:noProof/>
                <w:webHidden/>
              </w:rPr>
              <w:t>9</w:t>
            </w:r>
            <w:r>
              <w:rPr>
                <w:noProof/>
                <w:webHidden/>
              </w:rPr>
              <w:fldChar w:fldCharType="end"/>
            </w:r>
          </w:hyperlink>
        </w:p>
        <w:p w14:paraId="083225E5" w14:textId="46B53075" w:rsidR="005A13EA" w:rsidRDefault="005A13EA">
          <w:pPr>
            <w:pStyle w:val="TOC2"/>
            <w:tabs>
              <w:tab w:val="right" w:leader="dot" w:pos="8630"/>
            </w:tabs>
            <w:rPr>
              <w:rFonts w:asciiTheme="minorHAnsi" w:hAnsiTheme="minorHAnsi"/>
              <w:noProof/>
              <w:kern w:val="2"/>
              <w:sz w:val="24"/>
              <w:szCs w:val="24"/>
              <w:lang w:val="en-GB" w:eastAsia="en-GB"/>
              <w14:ligatures w14:val="standardContextual"/>
            </w:rPr>
          </w:pPr>
          <w:hyperlink w:anchor="_Toc237506705" w:history="1">
            <w:r w:rsidRPr="00F95D7D">
              <w:rPr>
                <w:rStyle w:val="Hyperlink"/>
                <w:noProof/>
              </w:rPr>
              <w:t>Leeds City Council</w:t>
            </w:r>
            <w:r>
              <w:rPr>
                <w:noProof/>
                <w:webHidden/>
              </w:rPr>
              <w:tab/>
            </w:r>
            <w:r>
              <w:rPr>
                <w:noProof/>
                <w:webHidden/>
              </w:rPr>
              <w:fldChar w:fldCharType="begin"/>
            </w:r>
            <w:r>
              <w:rPr>
                <w:noProof/>
                <w:webHidden/>
              </w:rPr>
              <w:instrText xml:space="preserve"> PAGEREF _Toc237506705 \h </w:instrText>
            </w:r>
            <w:r>
              <w:rPr>
                <w:noProof/>
                <w:webHidden/>
              </w:rPr>
            </w:r>
            <w:r>
              <w:rPr>
                <w:noProof/>
                <w:webHidden/>
              </w:rPr>
              <w:fldChar w:fldCharType="separate"/>
            </w:r>
            <w:r>
              <w:rPr>
                <w:noProof/>
                <w:webHidden/>
              </w:rPr>
              <w:t>9</w:t>
            </w:r>
            <w:r>
              <w:rPr>
                <w:noProof/>
                <w:webHidden/>
              </w:rPr>
              <w:fldChar w:fldCharType="end"/>
            </w:r>
          </w:hyperlink>
        </w:p>
        <w:p w14:paraId="06E47CF1" w14:textId="10624BA5" w:rsidR="005A13EA" w:rsidRDefault="005A13EA">
          <w:pPr>
            <w:pStyle w:val="TOC2"/>
            <w:tabs>
              <w:tab w:val="right" w:leader="dot" w:pos="8630"/>
            </w:tabs>
            <w:rPr>
              <w:rFonts w:asciiTheme="minorHAnsi" w:hAnsiTheme="minorHAnsi"/>
              <w:noProof/>
              <w:kern w:val="2"/>
              <w:sz w:val="24"/>
              <w:szCs w:val="24"/>
              <w:lang w:val="en-GB" w:eastAsia="en-GB"/>
              <w14:ligatures w14:val="standardContextual"/>
            </w:rPr>
          </w:pPr>
          <w:hyperlink w:anchor="_Toc237506706" w:history="1">
            <w:r w:rsidRPr="00F95D7D">
              <w:rPr>
                <w:rStyle w:val="Hyperlink"/>
                <w:noProof/>
              </w:rPr>
              <w:t>Tower Hamlets Council</w:t>
            </w:r>
            <w:r>
              <w:rPr>
                <w:noProof/>
                <w:webHidden/>
              </w:rPr>
              <w:tab/>
            </w:r>
            <w:r>
              <w:rPr>
                <w:noProof/>
                <w:webHidden/>
              </w:rPr>
              <w:fldChar w:fldCharType="begin"/>
            </w:r>
            <w:r>
              <w:rPr>
                <w:noProof/>
                <w:webHidden/>
              </w:rPr>
              <w:instrText xml:space="preserve"> PAGEREF _Toc237506706 \h </w:instrText>
            </w:r>
            <w:r>
              <w:rPr>
                <w:noProof/>
                <w:webHidden/>
              </w:rPr>
            </w:r>
            <w:r>
              <w:rPr>
                <w:noProof/>
                <w:webHidden/>
              </w:rPr>
              <w:fldChar w:fldCharType="separate"/>
            </w:r>
            <w:r>
              <w:rPr>
                <w:noProof/>
                <w:webHidden/>
              </w:rPr>
              <w:t>9</w:t>
            </w:r>
            <w:r>
              <w:rPr>
                <w:noProof/>
                <w:webHidden/>
              </w:rPr>
              <w:fldChar w:fldCharType="end"/>
            </w:r>
          </w:hyperlink>
        </w:p>
        <w:p w14:paraId="0699D1C1" w14:textId="695E1751" w:rsidR="005A13EA" w:rsidRDefault="005A13EA">
          <w:pPr>
            <w:pStyle w:val="TOC2"/>
            <w:tabs>
              <w:tab w:val="right" w:leader="dot" w:pos="8630"/>
            </w:tabs>
            <w:rPr>
              <w:rFonts w:asciiTheme="minorHAnsi" w:hAnsiTheme="minorHAnsi"/>
              <w:noProof/>
              <w:kern w:val="2"/>
              <w:sz w:val="24"/>
              <w:szCs w:val="24"/>
              <w:lang w:val="en-GB" w:eastAsia="en-GB"/>
              <w14:ligatures w14:val="standardContextual"/>
            </w:rPr>
          </w:pPr>
          <w:hyperlink w:anchor="_Toc237506707" w:history="1">
            <w:r w:rsidRPr="00F95D7D">
              <w:rPr>
                <w:rStyle w:val="Hyperlink"/>
                <w:noProof/>
              </w:rPr>
              <w:t>Leicestershire County Council</w:t>
            </w:r>
            <w:r>
              <w:rPr>
                <w:noProof/>
                <w:webHidden/>
              </w:rPr>
              <w:tab/>
            </w:r>
            <w:r>
              <w:rPr>
                <w:noProof/>
                <w:webHidden/>
              </w:rPr>
              <w:fldChar w:fldCharType="begin"/>
            </w:r>
            <w:r>
              <w:rPr>
                <w:noProof/>
                <w:webHidden/>
              </w:rPr>
              <w:instrText xml:space="preserve"> PAGEREF _Toc237506707 \h </w:instrText>
            </w:r>
            <w:r>
              <w:rPr>
                <w:noProof/>
                <w:webHidden/>
              </w:rPr>
            </w:r>
            <w:r>
              <w:rPr>
                <w:noProof/>
                <w:webHidden/>
              </w:rPr>
              <w:fldChar w:fldCharType="separate"/>
            </w:r>
            <w:r>
              <w:rPr>
                <w:noProof/>
                <w:webHidden/>
              </w:rPr>
              <w:t>10</w:t>
            </w:r>
            <w:r>
              <w:rPr>
                <w:noProof/>
                <w:webHidden/>
              </w:rPr>
              <w:fldChar w:fldCharType="end"/>
            </w:r>
          </w:hyperlink>
        </w:p>
        <w:p w14:paraId="56108AAD" w14:textId="0737507A" w:rsidR="005A13EA" w:rsidRDefault="005A13EA">
          <w:pPr>
            <w:pStyle w:val="TOC1"/>
            <w:tabs>
              <w:tab w:val="right" w:leader="dot" w:pos="8630"/>
            </w:tabs>
            <w:rPr>
              <w:rFonts w:asciiTheme="minorHAnsi" w:hAnsiTheme="minorHAnsi"/>
              <w:noProof/>
              <w:kern w:val="2"/>
              <w:sz w:val="24"/>
              <w:szCs w:val="24"/>
              <w:lang w:val="en-GB" w:eastAsia="en-GB"/>
              <w14:ligatures w14:val="standardContextual"/>
            </w:rPr>
          </w:pPr>
          <w:hyperlink w:anchor="_Toc237506708" w:history="1">
            <w:r w:rsidRPr="00F95D7D">
              <w:rPr>
                <w:rStyle w:val="Hyperlink"/>
                <w:noProof/>
              </w:rPr>
              <w:t>Reference list</w:t>
            </w:r>
            <w:r>
              <w:rPr>
                <w:noProof/>
                <w:webHidden/>
              </w:rPr>
              <w:tab/>
            </w:r>
            <w:r>
              <w:rPr>
                <w:noProof/>
                <w:webHidden/>
              </w:rPr>
              <w:fldChar w:fldCharType="begin"/>
            </w:r>
            <w:r>
              <w:rPr>
                <w:noProof/>
                <w:webHidden/>
              </w:rPr>
              <w:instrText xml:space="preserve"> PAGEREF _Toc237506708 \h </w:instrText>
            </w:r>
            <w:r>
              <w:rPr>
                <w:noProof/>
                <w:webHidden/>
              </w:rPr>
            </w:r>
            <w:r>
              <w:rPr>
                <w:noProof/>
                <w:webHidden/>
              </w:rPr>
              <w:fldChar w:fldCharType="separate"/>
            </w:r>
            <w:r>
              <w:rPr>
                <w:noProof/>
                <w:webHidden/>
              </w:rPr>
              <w:t>10</w:t>
            </w:r>
            <w:r>
              <w:rPr>
                <w:noProof/>
                <w:webHidden/>
              </w:rPr>
              <w:fldChar w:fldCharType="end"/>
            </w:r>
          </w:hyperlink>
        </w:p>
        <w:p w14:paraId="2065F1D0" w14:textId="53A501D3" w:rsidR="005A13EA" w:rsidRDefault="005A13EA">
          <w:r>
            <w:rPr>
              <w:b/>
              <w:bCs/>
            </w:rPr>
            <w:fldChar w:fldCharType="end"/>
          </w:r>
        </w:p>
      </w:sdtContent>
    </w:sdt>
    <w:p w14:paraId="19DCA1CE" w14:textId="7926585D" w:rsidR="00430A55" w:rsidRDefault="00430A55">
      <w:pPr>
        <w:rPr>
          <w:rFonts w:ascii="Arial" w:hAnsi="Arial" w:cs="Arial"/>
        </w:rPr>
      </w:pPr>
    </w:p>
    <w:p w14:paraId="6A0F4BA5" w14:textId="77777777" w:rsidR="00C477F8" w:rsidRPr="005D5B88" w:rsidRDefault="00C477F8" w:rsidP="005D5B88">
      <w:pPr>
        <w:spacing w:line="360" w:lineRule="auto"/>
        <w:jc w:val="both"/>
        <w:rPr>
          <w:rFonts w:ascii="Arial" w:hAnsi="Arial" w:cs="Arial"/>
        </w:rPr>
      </w:pPr>
    </w:p>
    <w:p w14:paraId="61E328E4" w14:textId="77777777" w:rsidR="008D288B" w:rsidRPr="005D5B88" w:rsidRDefault="008D288B" w:rsidP="005D5B88">
      <w:pPr>
        <w:spacing w:line="360" w:lineRule="auto"/>
        <w:jc w:val="both"/>
        <w:rPr>
          <w:rFonts w:ascii="Arial" w:hAnsi="Arial" w:cs="Arial"/>
        </w:rPr>
      </w:pPr>
      <w:r w:rsidRPr="005D5B88">
        <w:rPr>
          <w:rFonts w:ascii="Arial" w:hAnsi="Arial" w:cs="Arial"/>
        </w:rPr>
        <w:br w:type="page"/>
      </w:r>
    </w:p>
    <w:p w14:paraId="520898C1" w14:textId="77777777" w:rsidR="005D5B88" w:rsidRPr="00A873D7" w:rsidRDefault="005D5B88" w:rsidP="0091731B">
      <w:pPr>
        <w:pStyle w:val="Heading1"/>
        <w:rPr>
          <w:color w:val="auto"/>
          <w:sz w:val="28"/>
        </w:rPr>
      </w:pPr>
      <w:bookmarkStart w:id="0" w:name="_Toc237506695"/>
      <w:r w:rsidRPr="00A873D7">
        <w:rPr>
          <w:color w:val="auto"/>
          <w:sz w:val="28"/>
        </w:rPr>
        <w:lastRenderedPageBreak/>
        <w:t>Introduction</w:t>
      </w:r>
      <w:bookmarkEnd w:id="0"/>
    </w:p>
    <w:p w14:paraId="475DDA70" w14:textId="77777777" w:rsidR="00B85FBD" w:rsidRPr="00B85FBD" w:rsidRDefault="00B85FBD" w:rsidP="00B85FBD"/>
    <w:p w14:paraId="1133FEC8" w14:textId="77777777" w:rsidR="00242645" w:rsidRPr="00242645" w:rsidRDefault="00242645" w:rsidP="00242645">
      <w:pPr>
        <w:spacing w:line="360" w:lineRule="auto"/>
        <w:jc w:val="both"/>
        <w:rPr>
          <w:rFonts w:ascii="Arial" w:hAnsi="Arial" w:cs="Arial"/>
        </w:rPr>
      </w:pPr>
      <w:r w:rsidRPr="00242645">
        <w:rPr>
          <w:rFonts w:ascii="Arial" w:hAnsi="Arial" w:cs="Arial"/>
        </w:rPr>
        <w:t>The Early Help system supports families before difficulties become serious, helping to prevent problems escalating into safeguarding concerns. Families need to be able to access information that is clear, accurate and easy to find, and local authority websites are frequently the first place they turn to, making their design and content significant for timely access to services.</w:t>
      </w:r>
    </w:p>
    <w:p w14:paraId="11D9EF16" w14:textId="77777777" w:rsidR="00242645" w:rsidRPr="00242645" w:rsidRDefault="00242645" w:rsidP="00242645">
      <w:pPr>
        <w:spacing w:line="360" w:lineRule="auto"/>
        <w:jc w:val="both"/>
        <w:rPr>
          <w:rFonts w:ascii="Arial" w:hAnsi="Arial" w:cs="Arial"/>
        </w:rPr>
      </w:pPr>
      <w:r w:rsidRPr="00242645">
        <w:rPr>
          <w:rFonts w:ascii="Arial" w:hAnsi="Arial" w:cs="Arial"/>
        </w:rPr>
        <w:t>This report evaluates how Leeds City Council, Tower Hamlets Council and Leicestershire County Council present information about Early Help. It examines the effectiveness of each authority in explaining services available, referral procedures and multi-agency working, and evaluates the accessibility for various family groups. Working Together to Safeguard Children (Department for Education, 2026) states that good communication is vital to ensuring that families are supported as early as possible. Using Bronfenbrenner's (1979) ecological systems theory, the report examines how website design and content influence families' ability to engage with support services across different social systems. The comparison identifies strengths, weaknesses and practical improvements that could strengthen safeguarding and improve access to Early Help.</w:t>
      </w:r>
    </w:p>
    <w:p w14:paraId="7954D452" w14:textId="63BAD713" w:rsidR="005D5B88" w:rsidRPr="00A873D7" w:rsidRDefault="005D5B88" w:rsidP="0091731B">
      <w:pPr>
        <w:pStyle w:val="Heading1"/>
        <w:rPr>
          <w:color w:val="auto"/>
          <w:sz w:val="28"/>
        </w:rPr>
      </w:pPr>
      <w:bookmarkStart w:id="1" w:name="_Toc237506696"/>
      <w:r w:rsidRPr="00A873D7">
        <w:rPr>
          <w:color w:val="auto"/>
          <w:sz w:val="28"/>
        </w:rPr>
        <w:t>Understanding the Early Help System</w:t>
      </w:r>
      <w:bookmarkEnd w:id="1"/>
    </w:p>
    <w:p w14:paraId="3A787D4D" w14:textId="77777777" w:rsidR="00DB6ADD" w:rsidRPr="00DB6ADD" w:rsidRDefault="00DB6ADD" w:rsidP="00DB6ADD"/>
    <w:p w14:paraId="7BDE33CF" w14:textId="77777777" w:rsidR="004F7C7E" w:rsidRPr="004F7C7E" w:rsidRDefault="004F7C7E" w:rsidP="004F7C7E">
      <w:pPr>
        <w:spacing w:line="360" w:lineRule="auto"/>
        <w:jc w:val="both"/>
        <w:rPr>
          <w:rFonts w:ascii="Arial" w:hAnsi="Arial" w:cs="Arial"/>
        </w:rPr>
      </w:pPr>
      <w:r w:rsidRPr="004F7C7E">
        <w:rPr>
          <w:rFonts w:ascii="Arial" w:hAnsi="Arial" w:cs="Arial"/>
        </w:rPr>
        <w:t>Early Help provides support when concerns first emerge, preventing problems from becoming more serious. Early help is defined by the Department for Education (2022) as support that is given when difficulties arise at any point in a child's life, and typically involves parenting support, financial advice, housing support, domestic abuse support and mental health services.</w:t>
      </w:r>
    </w:p>
    <w:p w14:paraId="16768BF4" w14:textId="3AC78E4A" w:rsidR="004F7C7E" w:rsidRPr="004F7C7E" w:rsidRDefault="004F7C7E" w:rsidP="004F7C7E">
      <w:pPr>
        <w:spacing w:line="360" w:lineRule="auto"/>
        <w:jc w:val="both"/>
        <w:rPr>
          <w:rFonts w:ascii="Arial" w:hAnsi="Arial" w:cs="Arial"/>
        </w:rPr>
      </w:pPr>
      <w:r w:rsidRPr="004F7C7E">
        <w:rPr>
          <w:rFonts w:ascii="Arial" w:hAnsi="Arial" w:cs="Arial"/>
        </w:rPr>
        <w:t xml:space="preserve">One of the strengths of Early Help is that it is preventative. Tilbury and Osmond (2006) found that early intervention can have a positive impact on family wellbeing and on the need for future statutory social care, and Daro and Harding (1999) define Early Help as secondary prevention, which is the prevention of family problems becoming child maltreatment. Early Help is not statutory child protection, but is based on voluntary engagement and can enhance safeguarding by preventing a crisis rather than responding </w:t>
      </w:r>
      <w:r w:rsidRPr="004F7C7E">
        <w:rPr>
          <w:rFonts w:ascii="Arial" w:hAnsi="Arial" w:cs="Arial"/>
        </w:rPr>
        <w:lastRenderedPageBreak/>
        <w:t>to one.</w:t>
      </w:r>
      <w:r w:rsidR="00287532">
        <w:rPr>
          <w:rFonts w:ascii="Arial" w:hAnsi="Arial" w:cs="Arial"/>
        </w:rPr>
        <w:t xml:space="preserve"> </w:t>
      </w:r>
      <w:r w:rsidRPr="004F7C7E">
        <w:rPr>
          <w:rFonts w:ascii="Arial" w:hAnsi="Arial" w:cs="Arial"/>
        </w:rPr>
        <w:t>Early Help is not statutory child protection, but is based on voluntary engagement and can enhance safeguarding by preventing a crisis rather than responding to one.</w:t>
      </w:r>
    </w:p>
    <w:p w14:paraId="263FAB6B" w14:textId="77777777" w:rsidR="004F7C7E" w:rsidRPr="004F7C7E" w:rsidRDefault="004F7C7E" w:rsidP="004F7C7E">
      <w:pPr>
        <w:spacing w:line="360" w:lineRule="auto"/>
        <w:jc w:val="both"/>
        <w:rPr>
          <w:rFonts w:ascii="Arial" w:hAnsi="Arial" w:cs="Arial"/>
        </w:rPr>
      </w:pPr>
      <w:r w:rsidRPr="004F7C7E">
        <w:rPr>
          <w:rFonts w:ascii="Arial" w:hAnsi="Arial" w:cs="Arial"/>
        </w:rPr>
        <w:t>Effective Early Help should be accessible, non-stigmatising and responsive to family needs (Cameron and Moss, 2011). Families may access services directly or through referrals from schools, health visitors or GPs (Department for Education, 2022). However, research suggests that the organisation and accessibility of Early Help services vary between local authorities, influencing families' ability to identify and access appropriate support (Lucas and John, 2021; Department for Education, 2022), which makes website accessibility an important factor in ensuring timely access.</w:t>
      </w:r>
    </w:p>
    <w:p w14:paraId="0A180012" w14:textId="1361B3E9" w:rsidR="005D5B88" w:rsidRPr="00A873D7" w:rsidRDefault="005D5B88" w:rsidP="0091731B">
      <w:pPr>
        <w:pStyle w:val="Heading1"/>
        <w:rPr>
          <w:color w:val="auto"/>
          <w:sz w:val="28"/>
        </w:rPr>
      </w:pPr>
      <w:bookmarkStart w:id="2" w:name="_Toc237506697"/>
      <w:r w:rsidRPr="00A873D7">
        <w:rPr>
          <w:color w:val="auto"/>
          <w:sz w:val="28"/>
        </w:rPr>
        <w:t>Multi-Agency Working in Early Help</w:t>
      </w:r>
      <w:bookmarkEnd w:id="2"/>
    </w:p>
    <w:p w14:paraId="5F7C04DD" w14:textId="77777777" w:rsidR="00603991" w:rsidRPr="00603991" w:rsidRDefault="00603991" w:rsidP="00603991"/>
    <w:p w14:paraId="61C0598A" w14:textId="77777777" w:rsidR="00775BAA" w:rsidRPr="00775BAA" w:rsidRDefault="00775BAA" w:rsidP="00775BAA">
      <w:pPr>
        <w:spacing w:line="360" w:lineRule="auto"/>
        <w:jc w:val="both"/>
        <w:rPr>
          <w:rFonts w:ascii="Arial" w:hAnsi="Arial" w:cs="Arial"/>
        </w:rPr>
      </w:pPr>
      <w:r w:rsidRPr="00775BAA">
        <w:rPr>
          <w:rFonts w:ascii="Arial" w:hAnsi="Arial" w:cs="Arial"/>
        </w:rPr>
        <w:t>Multi-agency working involves professionals from health, education, social care and other services working together to meet the needs of children and families. Working Together to Safeguard Children (Department for Education, 2026) says that no one agency can fully grasp or respond to a family's needs, and Atkinson, Jones and Lamont (2007) believe that collaborative working minimizes fragmented service delivery by promoting information sharing and coordinated decision making.</w:t>
      </w:r>
    </w:p>
    <w:p w14:paraId="2B37F04E" w14:textId="77777777" w:rsidR="00775BAA" w:rsidRPr="00775BAA" w:rsidRDefault="00775BAA" w:rsidP="00775BAA">
      <w:pPr>
        <w:spacing w:line="360" w:lineRule="auto"/>
        <w:jc w:val="both"/>
        <w:rPr>
          <w:rFonts w:ascii="Arial" w:hAnsi="Arial" w:cs="Arial"/>
        </w:rPr>
      </w:pPr>
      <w:r w:rsidRPr="00775BAA">
        <w:rPr>
          <w:rFonts w:ascii="Arial" w:hAnsi="Arial" w:cs="Arial"/>
        </w:rPr>
        <w:t>Within Early Help, professionals such as teachers, health visitors, counsellors and financial advisers contribute different expertise while working towards shared outcomes. Barr and Wastell (2019) highlight the importance of information sharing arrangements and trust between agencies for effective collaboration, as well as the need for families to be aware of the reasons for sharing information and how agencies work together to ensure they engage confidently with services.</w:t>
      </w:r>
    </w:p>
    <w:p w14:paraId="74DC068A" w14:textId="21BFEBE7" w:rsidR="00775BAA" w:rsidRPr="00775BAA" w:rsidRDefault="00775BAA" w:rsidP="00775BAA">
      <w:pPr>
        <w:spacing w:line="360" w:lineRule="auto"/>
        <w:jc w:val="both"/>
        <w:rPr>
          <w:rFonts w:ascii="Arial" w:hAnsi="Arial" w:cs="Arial"/>
        </w:rPr>
      </w:pPr>
      <w:r w:rsidRPr="00775BAA">
        <w:rPr>
          <w:rFonts w:ascii="Arial" w:hAnsi="Arial" w:cs="Arial"/>
        </w:rPr>
        <w:t>Bronfenbrenner's (1979) ecological systems theory explains that family wellbeing is shaped by interactions between families, communities and wider services. These interactions are facilitated by local authority websites that guide families through services and support, and by clear explanations of referral pathways, which reinforce the relationship between families and professionals, but by poor communication, these pathways can be barriers to access. Featherstone et al. (2014) found that uncertainty about information sharing discourages vulnerable families from seeking support, so effective website signposting is more than good communication</w:t>
      </w:r>
      <w:r>
        <w:rPr>
          <w:rFonts w:ascii="Arial" w:hAnsi="Arial" w:cs="Arial"/>
        </w:rPr>
        <w:t xml:space="preserve">, </w:t>
      </w:r>
      <w:r w:rsidRPr="00775BAA">
        <w:rPr>
          <w:rFonts w:ascii="Arial" w:hAnsi="Arial" w:cs="Arial"/>
        </w:rPr>
        <w:t xml:space="preserve">it supports safeguarding </w:t>
      </w:r>
      <w:r w:rsidRPr="00775BAA">
        <w:rPr>
          <w:rFonts w:ascii="Arial" w:hAnsi="Arial" w:cs="Arial"/>
        </w:rPr>
        <w:lastRenderedPageBreak/>
        <w:t>by helping families understand how Early Help operates and how they can access coordinated services.</w:t>
      </w:r>
    </w:p>
    <w:p w14:paraId="6E4AC714" w14:textId="6AD7D38F" w:rsidR="005D5B88" w:rsidRPr="00A873D7" w:rsidRDefault="005D5B88" w:rsidP="0091731B">
      <w:pPr>
        <w:pStyle w:val="Heading1"/>
        <w:rPr>
          <w:color w:val="auto"/>
          <w:sz w:val="28"/>
        </w:rPr>
      </w:pPr>
      <w:bookmarkStart w:id="3" w:name="_Toc237506698"/>
      <w:r w:rsidRPr="00A873D7">
        <w:rPr>
          <w:color w:val="auto"/>
          <w:sz w:val="28"/>
        </w:rPr>
        <w:t>Leeds City Council: Early Help Provision and Accessibility</w:t>
      </w:r>
      <w:bookmarkEnd w:id="3"/>
    </w:p>
    <w:p w14:paraId="33722EFD" w14:textId="77777777" w:rsidR="00BB4A65" w:rsidRPr="00BB4A65" w:rsidRDefault="00BB4A65" w:rsidP="00BB4A65"/>
    <w:p w14:paraId="40522E30" w14:textId="77777777" w:rsidR="00057654" w:rsidRPr="00057654" w:rsidRDefault="00057654" w:rsidP="00057654">
      <w:pPr>
        <w:spacing w:line="360" w:lineRule="auto"/>
        <w:jc w:val="both"/>
        <w:rPr>
          <w:rFonts w:ascii="Arial" w:hAnsi="Arial" w:cs="Arial"/>
        </w:rPr>
      </w:pPr>
      <w:r w:rsidRPr="00057654">
        <w:rPr>
          <w:rFonts w:ascii="Arial" w:hAnsi="Arial" w:cs="Arial"/>
        </w:rPr>
        <w:t>Leeds City Council provides Early Help information through a dedicated Family Support section, making it relatively easy for families to identify available services. The website explains Early Help in clear language and outlines support such as parenting programmes, money and debt advice, housing assistance and domestic abuse services.</w:t>
      </w:r>
    </w:p>
    <w:p w14:paraId="2BC2C998" w14:textId="77777777" w:rsidR="00057654" w:rsidRPr="00057654" w:rsidRDefault="00057654" w:rsidP="00057654">
      <w:pPr>
        <w:spacing w:line="360" w:lineRule="auto"/>
        <w:jc w:val="both"/>
        <w:rPr>
          <w:rFonts w:ascii="Arial" w:hAnsi="Arial" w:cs="Arial"/>
        </w:rPr>
      </w:pPr>
      <w:r w:rsidRPr="00057654">
        <w:rPr>
          <w:rFonts w:ascii="Arial" w:hAnsi="Arial" w:cs="Arial"/>
        </w:rPr>
        <w:t>One of the strengths is the clear description of the support available. Ghate and Hazel (2002) found that families are more likely to seek help when they can easily identify services that match their needs, so by outlining specific services Leeds reduces uncertainty and encourages earlier engagement. The council also has a number of referral pathways, such as online forms, telephone contact and local family hubs. Providing different access routes helps ensure that services remain accessible to families with varying needs and circumstances (Department for Education, 2022).</w:t>
      </w:r>
    </w:p>
    <w:p w14:paraId="6796407E" w14:textId="77777777" w:rsidR="00057654" w:rsidRPr="005A13EA" w:rsidRDefault="00057654" w:rsidP="005A13EA">
      <w:pPr>
        <w:spacing w:line="360" w:lineRule="auto"/>
        <w:rPr>
          <w:rFonts w:ascii="Arial" w:hAnsi="Arial" w:cs="Arial"/>
          <w:b/>
          <w:bCs/>
        </w:rPr>
      </w:pPr>
      <w:r w:rsidRPr="005A13EA">
        <w:rPr>
          <w:rFonts w:ascii="Arial" w:hAnsi="Arial" w:cs="Arial"/>
        </w:rPr>
        <w:t>While these are strengths, there are some weaknesses that limit accessibility. The website provides limited explanation of how professionals work together or how information is shared between agencies, and Parton (2014) argues that transparency about information sharing is essential for building trust, particularly among vulnerable families. Uncertainty around waiting times is also unclear, which can make it difficult for families to know when help is likely to be available, as identified by Ghate and Hazel (2002) as a barrier to help-seeking. Although Leeds acknowledges support for BAME families and those experiencing domestic abuse, this information is not prominently displayed. Memon et al (2016) found that these groups may also face further barriers to accessing services, which would be enhanced by more visible signposting and better aligned with the Equality Act (2010).</w:t>
      </w:r>
    </w:p>
    <w:p w14:paraId="15A7B996" w14:textId="61F0A27B" w:rsidR="005D5B88" w:rsidRPr="00A873D7" w:rsidRDefault="005D5B88" w:rsidP="0091731B">
      <w:pPr>
        <w:pStyle w:val="Heading1"/>
        <w:rPr>
          <w:sz w:val="28"/>
        </w:rPr>
      </w:pPr>
      <w:bookmarkStart w:id="4" w:name="_Toc237506699"/>
      <w:r w:rsidRPr="00A873D7">
        <w:rPr>
          <w:color w:val="auto"/>
          <w:sz w:val="28"/>
        </w:rPr>
        <w:t>Tower Hamlets Council: Early Help Provision and Accessibility</w:t>
      </w:r>
      <w:bookmarkEnd w:id="4"/>
    </w:p>
    <w:p w14:paraId="0753D5FF" w14:textId="77777777" w:rsidR="00BB4A65" w:rsidRPr="00BB4A65" w:rsidRDefault="00BB4A65" w:rsidP="00BB4A65"/>
    <w:p w14:paraId="2E236548" w14:textId="77777777" w:rsidR="00512B7A" w:rsidRPr="00512B7A" w:rsidRDefault="00512B7A" w:rsidP="00512B7A">
      <w:pPr>
        <w:spacing w:line="360" w:lineRule="auto"/>
        <w:jc w:val="both"/>
        <w:rPr>
          <w:rFonts w:ascii="Arial" w:hAnsi="Arial" w:cs="Arial"/>
        </w:rPr>
      </w:pPr>
      <w:r w:rsidRPr="00512B7A">
        <w:rPr>
          <w:rFonts w:ascii="Arial" w:hAnsi="Arial" w:cs="Arial"/>
        </w:rPr>
        <w:lastRenderedPageBreak/>
        <w:t>Tower Hamlets delivers Early Help through a dedicated Family Hub website designed for a highly diverse community. The website is visually appealing and easy to navigate, and it shows a higher level of commitment to digital inclusion than the other authorities.</w:t>
      </w:r>
    </w:p>
    <w:p w14:paraId="1EF13D18" w14:textId="77777777" w:rsidR="00512B7A" w:rsidRPr="00512B7A" w:rsidRDefault="00512B7A" w:rsidP="00512B7A">
      <w:pPr>
        <w:spacing w:line="360" w:lineRule="auto"/>
        <w:jc w:val="both"/>
        <w:rPr>
          <w:rFonts w:ascii="Arial" w:hAnsi="Arial" w:cs="Arial"/>
        </w:rPr>
      </w:pPr>
      <w:r w:rsidRPr="00512B7A">
        <w:rPr>
          <w:rFonts w:ascii="Arial" w:hAnsi="Arial" w:cs="Arial"/>
        </w:rPr>
        <w:t>The website uses icons, clear headings, videos and easy-read resources to guide families through the referral process. As Cameron and Moss (2011) argue, accessible design reduces the cognitive burden on families experiencing stress, and visual information is more effective at helping people with lower literacy levels and those who speak English as an additional language to understand information, as demonstrated by Rowlands et al. (2015); multilingual information ensures equitable access for diverse communities.</w:t>
      </w:r>
    </w:p>
    <w:p w14:paraId="02C6A49E" w14:textId="77777777" w:rsidR="00512B7A" w:rsidRPr="00512B7A" w:rsidRDefault="00512B7A" w:rsidP="00512B7A">
      <w:pPr>
        <w:spacing w:line="360" w:lineRule="auto"/>
        <w:jc w:val="both"/>
        <w:rPr>
          <w:rFonts w:ascii="Arial" w:hAnsi="Arial" w:cs="Arial"/>
        </w:rPr>
      </w:pPr>
      <w:r w:rsidRPr="00512B7A">
        <w:rPr>
          <w:rFonts w:ascii="Arial" w:hAnsi="Arial" w:cs="Arial"/>
        </w:rPr>
        <w:t>One of the other strengths is the explanation of what happens following a referral. Tower Hamlets clearly describes multi-agency working and how professionals share information, reducing uncertainty for families, and Parton (2014) argues that openness about safeguarding processes increases confidence and encourages families to seek support. However, the website provides limited detail about the specific services available, and while referral pathways are clearly explained, families may struggle to determine whether Early Help can address their particular needs, Ghate and Hazel (2002) suggest that families engage more readily when services are clearly described. There are also no waiting times, which reduces the ability of families to manage their expectations, especially when urgent support is needed (Daro and Harding, 1999). Tower Hamlets is generally accessible and communicates clearly, but more information about the services available would enhance its approach.</w:t>
      </w:r>
    </w:p>
    <w:p w14:paraId="5F123D22" w14:textId="3D01A293" w:rsidR="005D5B88" w:rsidRPr="00A873D7" w:rsidRDefault="005D5B88" w:rsidP="0091731B">
      <w:pPr>
        <w:pStyle w:val="Heading1"/>
        <w:rPr>
          <w:color w:val="auto"/>
          <w:sz w:val="28"/>
        </w:rPr>
      </w:pPr>
      <w:bookmarkStart w:id="5" w:name="_Toc237506700"/>
      <w:r w:rsidRPr="00A873D7">
        <w:rPr>
          <w:color w:val="auto"/>
          <w:sz w:val="28"/>
        </w:rPr>
        <w:t>Leicestershire County Council: Early Help Provision and Accessibility</w:t>
      </w:r>
      <w:bookmarkEnd w:id="5"/>
    </w:p>
    <w:p w14:paraId="1B036D59" w14:textId="77777777" w:rsidR="00BB4A65" w:rsidRPr="00BB4A65" w:rsidRDefault="00BB4A65" w:rsidP="00BB4A65"/>
    <w:p w14:paraId="2D0DCBD5" w14:textId="77777777" w:rsidR="0054599F" w:rsidRPr="0054599F" w:rsidRDefault="0054599F" w:rsidP="0054599F">
      <w:pPr>
        <w:spacing w:line="360" w:lineRule="auto"/>
        <w:jc w:val="both"/>
        <w:rPr>
          <w:rFonts w:ascii="Arial" w:hAnsi="Arial" w:cs="Arial"/>
        </w:rPr>
      </w:pPr>
      <w:r w:rsidRPr="0054599F">
        <w:rPr>
          <w:rFonts w:ascii="Arial" w:hAnsi="Arial" w:cs="Arial"/>
        </w:rPr>
        <w:t>Leicestershire County Council does not have a dedicated page for Early Help, but it is included within a wider Child and Family Services section. This is an integrated approach, but it makes information more difficult to find and can limit access for families who want immediate help (Ghate and Hazel, 2002).</w:t>
      </w:r>
    </w:p>
    <w:p w14:paraId="05516A12" w14:textId="77777777" w:rsidR="0054599F" w:rsidRPr="0054599F" w:rsidRDefault="0054599F" w:rsidP="0054599F">
      <w:pPr>
        <w:spacing w:line="360" w:lineRule="auto"/>
        <w:jc w:val="both"/>
        <w:rPr>
          <w:rFonts w:ascii="Arial" w:hAnsi="Arial" w:cs="Arial"/>
        </w:rPr>
      </w:pPr>
      <w:r w:rsidRPr="0054599F">
        <w:rPr>
          <w:rFonts w:ascii="Arial" w:hAnsi="Arial" w:cs="Arial"/>
        </w:rPr>
        <w:t xml:space="preserve">One of the strengths is the detailed explanation of referral procedures. Families are provided with clear information about assessment procedures, confidentiality and data protection, which helps to alleviate concerns about the handling of personal information. </w:t>
      </w:r>
      <w:r w:rsidRPr="0054599F">
        <w:rPr>
          <w:rFonts w:ascii="Arial" w:hAnsi="Arial" w:cs="Arial"/>
        </w:rPr>
        <w:lastRenderedPageBreak/>
        <w:t>Onyango (2020) argue that transparency builds trust in multi-agency working, and Parton (2014) list privacy concerns as a key obstacle to engagement.</w:t>
      </w:r>
    </w:p>
    <w:p w14:paraId="3B2F39EE" w14:textId="77777777" w:rsidR="0054599F" w:rsidRPr="0054599F" w:rsidRDefault="0054599F" w:rsidP="0054599F">
      <w:pPr>
        <w:spacing w:line="360" w:lineRule="auto"/>
        <w:jc w:val="both"/>
        <w:rPr>
          <w:rFonts w:ascii="Arial" w:hAnsi="Arial" w:cs="Arial"/>
        </w:rPr>
      </w:pPr>
      <w:r w:rsidRPr="0054599F">
        <w:rPr>
          <w:rFonts w:ascii="Arial" w:hAnsi="Arial" w:cs="Arial"/>
        </w:rPr>
        <w:t>While the website has these strengths, it is very dependent on long paragraphs and professional language. Cameron and Moss (2011) have shown that dense information deters engagement, especially for families in stress, and Rowlands et al. (2015) have demonstrated that unexplainable professional language is a disadvantage for those with lower literacy and for those whose first language is not English. Compared with Leeds and Tower Hamlets, Leicestershire also makes limited use of visual design, images and icons. The information is comprehensive, but the presentation is not, as research indicates that visual presentation enhances understanding and increases service use (Cameron and Moss, 2011; Rowlands et al., 2015).</w:t>
      </w:r>
    </w:p>
    <w:p w14:paraId="63E4B286" w14:textId="193C5901" w:rsidR="005D5B88" w:rsidRPr="00A873D7" w:rsidRDefault="005D5B88" w:rsidP="002D426F">
      <w:pPr>
        <w:pStyle w:val="Heading1"/>
        <w:rPr>
          <w:color w:val="auto"/>
          <w:sz w:val="28"/>
        </w:rPr>
      </w:pPr>
      <w:bookmarkStart w:id="6" w:name="_Toc237506701"/>
      <w:r w:rsidRPr="00A873D7">
        <w:rPr>
          <w:color w:val="auto"/>
          <w:sz w:val="28"/>
        </w:rPr>
        <w:t>Comparative Analysis</w:t>
      </w:r>
      <w:bookmarkEnd w:id="6"/>
    </w:p>
    <w:p w14:paraId="639354AD" w14:textId="77777777" w:rsidR="00BB4A65" w:rsidRPr="00BB4A65" w:rsidRDefault="00BB4A65" w:rsidP="00BB4A65"/>
    <w:p w14:paraId="57A1ABD9" w14:textId="49F213FA" w:rsidR="005D5B88" w:rsidRPr="005D5B88" w:rsidRDefault="00986F20" w:rsidP="005D5B88">
      <w:pPr>
        <w:spacing w:after="160" w:line="360" w:lineRule="auto"/>
        <w:jc w:val="both"/>
        <w:rPr>
          <w:rFonts w:ascii="Arial" w:eastAsia="Times New Roman" w:hAnsi="Arial" w:cs="Arial"/>
        </w:rPr>
      </w:pPr>
      <w:r w:rsidRPr="00986F20">
        <w:rPr>
          <w:rFonts w:ascii="Arial" w:eastAsia="Calibri" w:hAnsi="Arial" w:cs="Arial"/>
        </w:rPr>
        <w:t>The three local authorities demonstrate different approaches to presenting Early Help information, with notable differences in accessibility, clarity and inclusiveness.</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2100"/>
        <w:gridCol w:w="2900"/>
        <w:gridCol w:w="2100"/>
      </w:tblGrid>
      <w:tr w:rsidR="005D5B88" w:rsidRPr="005D5B88" w14:paraId="7EB68BC1" w14:textId="77777777">
        <w:tc>
          <w:tcPr>
            <w:tcW w:w="1600" w:type="dxa"/>
            <w:shd w:val="clear" w:color="auto" w:fill="1F4E5F"/>
          </w:tcPr>
          <w:p w14:paraId="704A969F"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b/>
                <w:bCs/>
                <w:color w:val="FFFFFF"/>
              </w:rPr>
              <w:t>Dimension</w:t>
            </w:r>
          </w:p>
        </w:tc>
        <w:tc>
          <w:tcPr>
            <w:tcW w:w="2100" w:type="dxa"/>
            <w:shd w:val="clear" w:color="auto" w:fill="1F4E5F"/>
          </w:tcPr>
          <w:p w14:paraId="78813616"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b/>
                <w:bCs/>
                <w:color w:val="FFFFFF"/>
              </w:rPr>
              <w:t>Leeds</w:t>
            </w:r>
          </w:p>
        </w:tc>
        <w:tc>
          <w:tcPr>
            <w:tcW w:w="2900" w:type="dxa"/>
            <w:shd w:val="clear" w:color="auto" w:fill="1F4E5F"/>
          </w:tcPr>
          <w:p w14:paraId="1004F297"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b/>
                <w:bCs/>
                <w:color w:val="FFFFFF"/>
              </w:rPr>
              <w:t>Tower Hamlets</w:t>
            </w:r>
          </w:p>
        </w:tc>
        <w:tc>
          <w:tcPr>
            <w:tcW w:w="2100" w:type="dxa"/>
            <w:shd w:val="clear" w:color="auto" w:fill="1F4E5F"/>
          </w:tcPr>
          <w:p w14:paraId="28DB436E"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b/>
                <w:bCs/>
                <w:color w:val="FFFFFF"/>
              </w:rPr>
              <w:t>Leicestershire</w:t>
            </w:r>
          </w:p>
        </w:tc>
      </w:tr>
      <w:tr w:rsidR="005D5B88" w:rsidRPr="005D5B88" w14:paraId="1ED98941" w14:textId="77777777">
        <w:tc>
          <w:tcPr>
            <w:tcW w:w="1600" w:type="dxa"/>
          </w:tcPr>
          <w:p w14:paraId="3C1C5F2E"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Language accessibility</w:t>
            </w:r>
          </w:p>
        </w:tc>
        <w:tc>
          <w:tcPr>
            <w:tcW w:w="2100" w:type="dxa"/>
          </w:tcPr>
          <w:p w14:paraId="277C2920"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English only</w:t>
            </w:r>
          </w:p>
        </w:tc>
        <w:tc>
          <w:tcPr>
            <w:tcW w:w="2900" w:type="dxa"/>
          </w:tcPr>
          <w:p w14:paraId="61427A0E"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Bengali, English, Urdu and visual resources</w:t>
            </w:r>
          </w:p>
        </w:tc>
        <w:tc>
          <w:tcPr>
            <w:tcW w:w="2100" w:type="dxa"/>
          </w:tcPr>
          <w:p w14:paraId="4E514539"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English only</w:t>
            </w:r>
          </w:p>
        </w:tc>
      </w:tr>
      <w:tr w:rsidR="005D5B88" w:rsidRPr="005D5B88" w14:paraId="71375401" w14:textId="77777777">
        <w:tc>
          <w:tcPr>
            <w:tcW w:w="1600" w:type="dxa"/>
          </w:tcPr>
          <w:p w14:paraId="1A734B85"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Visual presentation</w:t>
            </w:r>
          </w:p>
        </w:tc>
        <w:tc>
          <w:tcPr>
            <w:tcW w:w="2100" w:type="dxa"/>
          </w:tcPr>
          <w:p w14:paraId="5424FD0A"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Clear headings, limited icons</w:t>
            </w:r>
          </w:p>
        </w:tc>
        <w:tc>
          <w:tcPr>
            <w:tcW w:w="2900" w:type="dxa"/>
          </w:tcPr>
          <w:p w14:paraId="2A0C4CAA"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Strong visual design, videos, easy-read resources</w:t>
            </w:r>
          </w:p>
        </w:tc>
        <w:tc>
          <w:tcPr>
            <w:tcW w:w="2100" w:type="dxa"/>
          </w:tcPr>
          <w:p w14:paraId="34E5DC0B"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Dense text, few visual aids</w:t>
            </w:r>
          </w:p>
        </w:tc>
      </w:tr>
      <w:tr w:rsidR="005D5B88" w:rsidRPr="005D5B88" w14:paraId="018F3FC5" w14:textId="77777777">
        <w:tc>
          <w:tcPr>
            <w:tcW w:w="1600" w:type="dxa"/>
          </w:tcPr>
          <w:p w14:paraId="729EAB89"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Service information</w:t>
            </w:r>
          </w:p>
        </w:tc>
        <w:tc>
          <w:tcPr>
            <w:tcW w:w="2100" w:type="dxa"/>
          </w:tcPr>
          <w:p w14:paraId="4C27ACAA"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Detailed service descriptions</w:t>
            </w:r>
          </w:p>
        </w:tc>
        <w:tc>
          <w:tcPr>
            <w:tcW w:w="2900" w:type="dxa"/>
          </w:tcPr>
          <w:p w14:paraId="2917E660"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Strong focus on referral process</w:t>
            </w:r>
          </w:p>
        </w:tc>
        <w:tc>
          <w:tcPr>
            <w:tcW w:w="2100" w:type="dxa"/>
          </w:tcPr>
          <w:p w14:paraId="14EDCAF1"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Detailed but technical</w:t>
            </w:r>
          </w:p>
        </w:tc>
      </w:tr>
      <w:tr w:rsidR="005D5B88" w:rsidRPr="005D5B88" w14:paraId="46B3E1A2" w14:textId="77777777">
        <w:tc>
          <w:tcPr>
            <w:tcW w:w="1600" w:type="dxa"/>
          </w:tcPr>
          <w:p w14:paraId="6F8E0F3A"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Process transparency</w:t>
            </w:r>
          </w:p>
        </w:tc>
        <w:tc>
          <w:tcPr>
            <w:tcW w:w="2100" w:type="dxa"/>
          </w:tcPr>
          <w:p w14:paraId="37EB19C9"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Limited explanation</w:t>
            </w:r>
          </w:p>
        </w:tc>
        <w:tc>
          <w:tcPr>
            <w:tcW w:w="2900" w:type="dxa"/>
          </w:tcPr>
          <w:p w14:paraId="514900D2"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Clear explanation of multi-agency working</w:t>
            </w:r>
          </w:p>
        </w:tc>
        <w:tc>
          <w:tcPr>
            <w:tcW w:w="2100" w:type="dxa"/>
          </w:tcPr>
          <w:p w14:paraId="78B15918"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Good explanation of confidentiality and referrals</w:t>
            </w:r>
          </w:p>
        </w:tc>
      </w:tr>
      <w:tr w:rsidR="005D5B88" w:rsidRPr="005D5B88" w14:paraId="18BB56FC" w14:textId="77777777">
        <w:tc>
          <w:tcPr>
            <w:tcW w:w="1600" w:type="dxa"/>
          </w:tcPr>
          <w:p w14:paraId="7DE3DDB0"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Accessibility for diverse families</w:t>
            </w:r>
          </w:p>
        </w:tc>
        <w:tc>
          <w:tcPr>
            <w:tcW w:w="2100" w:type="dxa"/>
          </w:tcPr>
          <w:p w14:paraId="29BCA0F9"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Moderate</w:t>
            </w:r>
          </w:p>
        </w:tc>
        <w:tc>
          <w:tcPr>
            <w:tcW w:w="2900" w:type="dxa"/>
          </w:tcPr>
          <w:p w14:paraId="447849FF"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Strong</w:t>
            </w:r>
          </w:p>
        </w:tc>
        <w:tc>
          <w:tcPr>
            <w:tcW w:w="2100" w:type="dxa"/>
          </w:tcPr>
          <w:p w14:paraId="55BB97CC" w14:textId="77777777" w:rsidR="005D5B88" w:rsidRPr="005D5B88" w:rsidRDefault="005D5B88" w:rsidP="005D5B88">
            <w:pPr>
              <w:spacing w:after="40" w:line="360" w:lineRule="auto"/>
              <w:jc w:val="both"/>
              <w:rPr>
                <w:rFonts w:ascii="Arial" w:eastAsia="Times New Roman" w:hAnsi="Arial" w:cs="Arial"/>
              </w:rPr>
            </w:pPr>
            <w:r w:rsidRPr="005D5B88">
              <w:rPr>
                <w:rFonts w:ascii="Arial" w:eastAsia="Calibri" w:hAnsi="Arial" w:cs="Arial"/>
              </w:rPr>
              <w:t>Limited</w:t>
            </w:r>
          </w:p>
        </w:tc>
      </w:tr>
    </w:tbl>
    <w:p w14:paraId="6604CE45" w14:textId="77777777" w:rsidR="005D5B88" w:rsidRPr="005D5B88" w:rsidRDefault="005D5B88" w:rsidP="005D5B88">
      <w:pPr>
        <w:spacing w:after="160" w:line="360" w:lineRule="auto"/>
        <w:jc w:val="both"/>
        <w:rPr>
          <w:rFonts w:ascii="Arial" w:eastAsia="Times New Roman" w:hAnsi="Arial" w:cs="Arial"/>
        </w:rPr>
      </w:pPr>
    </w:p>
    <w:p w14:paraId="30EE562D" w14:textId="77777777" w:rsidR="00986F20" w:rsidRPr="00986F20" w:rsidRDefault="00986F20" w:rsidP="00986F20">
      <w:pPr>
        <w:spacing w:line="360" w:lineRule="auto"/>
        <w:jc w:val="both"/>
        <w:rPr>
          <w:rFonts w:ascii="Arial" w:hAnsi="Arial" w:cs="Arial"/>
        </w:rPr>
      </w:pPr>
      <w:r w:rsidRPr="00986F20">
        <w:rPr>
          <w:rFonts w:ascii="Arial" w:hAnsi="Arial" w:cs="Arial"/>
        </w:rPr>
        <w:lastRenderedPageBreak/>
        <w:t>The comparison shows that effective signposting depends on combining accessible language, clear service descriptions, transparent processes and inclusive design rather than relying on a single feature.</w:t>
      </w:r>
    </w:p>
    <w:p w14:paraId="426CD8BC" w14:textId="77777777" w:rsidR="00986F20" w:rsidRPr="00986F20" w:rsidRDefault="00986F20" w:rsidP="00986F20">
      <w:pPr>
        <w:spacing w:line="360" w:lineRule="auto"/>
        <w:jc w:val="both"/>
        <w:rPr>
          <w:rFonts w:ascii="Arial" w:hAnsi="Arial" w:cs="Arial"/>
        </w:rPr>
      </w:pPr>
      <w:r w:rsidRPr="00986F20">
        <w:rPr>
          <w:rFonts w:ascii="Arial" w:hAnsi="Arial" w:cs="Arial"/>
        </w:rPr>
        <w:t>Tower Hamlets does best in tackling barriers faced by a range of communities, including the provision of multilingual resources, visual content and clear explanations of referral processes. Bhui, Ascoli and Nuamh (2012) suggest that cultural and communication barriers can limit engagement with health and support services among ethnic minority communities, which is why Tower Hamlets' multilingual approach is so important in enhancing accessibility. However, the website gives less attention to describing individual services, meaning families may still struggle to determine whether Early Help meets their needs; Ghate and Hazel (2002) argue that families are more likely to seek support when services are clearly explained.</w:t>
      </w:r>
    </w:p>
    <w:p w14:paraId="64C37CB6" w14:textId="77777777" w:rsidR="00986F20" w:rsidRPr="00986F20" w:rsidRDefault="00986F20" w:rsidP="00986F20">
      <w:pPr>
        <w:spacing w:line="360" w:lineRule="auto"/>
        <w:jc w:val="both"/>
        <w:rPr>
          <w:rFonts w:ascii="Arial" w:hAnsi="Arial" w:cs="Arial"/>
        </w:rPr>
      </w:pPr>
      <w:r w:rsidRPr="00986F20">
        <w:rPr>
          <w:rFonts w:ascii="Arial" w:hAnsi="Arial" w:cs="Arial"/>
        </w:rPr>
        <w:t>Leeds provides comprehensive descriptions of available services and multiple access routes, but offers limited explanation of information sharing and support for diverse communities. This undermines trust and can deter vulnerable families from accessing services (Parton, 2014). Leicestershire offers detailed procedural information but does not present it in a way that is easy to navigate; long paragraphs and professional language that is not explained to families with lower literacy levels or those whose first language is not English (Rowlands et al., 2015). Although the information is comprehensive, the presentation reduces accessibility and limits the preventative purpose of Early Help.</w:t>
      </w:r>
    </w:p>
    <w:p w14:paraId="64B9166E" w14:textId="77777777" w:rsidR="00986F20" w:rsidRPr="00986F20" w:rsidRDefault="00986F20" w:rsidP="00986F20">
      <w:pPr>
        <w:spacing w:line="360" w:lineRule="auto"/>
        <w:jc w:val="both"/>
        <w:rPr>
          <w:rFonts w:ascii="Arial" w:hAnsi="Arial" w:cs="Arial"/>
        </w:rPr>
      </w:pPr>
      <w:r w:rsidRPr="00986F20">
        <w:rPr>
          <w:rFonts w:ascii="Arial" w:hAnsi="Arial" w:cs="Arial"/>
        </w:rPr>
        <w:t>The results overall show that website design has a direct impact on the ability of families to access support. To ensure that Early Help is effective in its safeguarding role, accessible information, transparent communication and inclusive presentation are vital.</w:t>
      </w:r>
    </w:p>
    <w:p w14:paraId="235A0708" w14:textId="6355916E" w:rsidR="005D5B88" w:rsidRPr="00A873D7" w:rsidRDefault="005D5B88" w:rsidP="002D426F">
      <w:pPr>
        <w:pStyle w:val="Heading1"/>
        <w:rPr>
          <w:color w:val="auto"/>
          <w:sz w:val="28"/>
        </w:rPr>
      </w:pPr>
      <w:bookmarkStart w:id="7" w:name="_Toc237506702"/>
      <w:r w:rsidRPr="00A873D7">
        <w:rPr>
          <w:color w:val="auto"/>
          <w:sz w:val="28"/>
        </w:rPr>
        <w:t>Conclusion</w:t>
      </w:r>
      <w:bookmarkEnd w:id="7"/>
    </w:p>
    <w:p w14:paraId="3C7DE969" w14:textId="77777777" w:rsidR="007C068B" w:rsidRPr="007C068B" w:rsidRDefault="007C068B" w:rsidP="007C068B"/>
    <w:p w14:paraId="20DAB265" w14:textId="77777777" w:rsidR="001676F5" w:rsidRPr="001676F5" w:rsidRDefault="001676F5" w:rsidP="001676F5">
      <w:pPr>
        <w:spacing w:line="360" w:lineRule="auto"/>
        <w:jc w:val="both"/>
        <w:rPr>
          <w:rFonts w:ascii="Arial" w:hAnsi="Arial" w:cs="Arial"/>
        </w:rPr>
      </w:pPr>
      <w:r w:rsidRPr="001676F5">
        <w:rPr>
          <w:rFonts w:ascii="Arial" w:hAnsi="Arial" w:cs="Arial"/>
        </w:rPr>
        <w:t xml:space="preserve">The comparison shows that all three local authorities make information about Early Help available, but the quality of signposting varies widely. Tower Hamlets has the best overall approach as it includes multilingual resources, accessible design and clear explanations of referral processes, which makes information easier for diverse families to understand and use. Leeds is good at communicating what services are available, but not so good at </w:t>
      </w:r>
      <w:r w:rsidRPr="001676F5">
        <w:rPr>
          <w:rFonts w:ascii="Arial" w:hAnsi="Arial" w:cs="Arial"/>
        </w:rPr>
        <w:lastRenderedPageBreak/>
        <w:t>communicating multi-agency working, and Leicestershire is good at communicating multi-agency working, but not so good at communicating in detail.</w:t>
      </w:r>
    </w:p>
    <w:p w14:paraId="27785356" w14:textId="77777777" w:rsidR="001676F5" w:rsidRPr="001676F5" w:rsidRDefault="001676F5" w:rsidP="001676F5">
      <w:pPr>
        <w:spacing w:line="360" w:lineRule="auto"/>
        <w:jc w:val="both"/>
        <w:rPr>
          <w:rFonts w:ascii="Arial" w:hAnsi="Arial" w:cs="Arial"/>
        </w:rPr>
      </w:pPr>
      <w:r w:rsidRPr="001676F5">
        <w:rPr>
          <w:rFonts w:ascii="Arial" w:hAnsi="Arial" w:cs="Arial"/>
        </w:rPr>
        <w:t>The results of this research confirm that signposting is a significant safeguarding concern and not just a communication process. Consistent with Working Together to Safeguard Children (Department for Education, 2026), families can only benefit from Early Help when they understand how services operate and how they can access support. Greater accessibility, transparency and inclusiveness would enhance preventative safeguarding and help more families to access support before problems arise.</w:t>
      </w:r>
    </w:p>
    <w:p w14:paraId="4B1E2F11" w14:textId="19387F4C" w:rsidR="005D5B88" w:rsidRPr="00A873D7" w:rsidRDefault="005D5B88" w:rsidP="005E7262">
      <w:pPr>
        <w:pStyle w:val="Heading1"/>
        <w:rPr>
          <w:color w:val="auto"/>
          <w:sz w:val="28"/>
        </w:rPr>
      </w:pPr>
      <w:bookmarkStart w:id="8" w:name="_Toc237506703"/>
      <w:r w:rsidRPr="00A873D7">
        <w:rPr>
          <w:color w:val="auto"/>
          <w:sz w:val="28"/>
        </w:rPr>
        <w:t>Recommendations</w:t>
      </w:r>
      <w:bookmarkEnd w:id="8"/>
    </w:p>
    <w:p w14:paraId="600074D1" w14:textId="77777777" w:rsidR="005D5B88" w:rsidRPr="00EB2BDE" w:rsidRDefault="005D5B88" w:rsidP="005E7262">
      <w:pPr>
        <w:pStyle w:val="Heading2"/>
        <w:rPr>
          <w:color w:val="auto"/>
        </w:rPr>
      </w:pPr>
      <w:bookmarkStart w:id="9" w:name="_Toc237506704"/>
      <w:r w:rsidRPr="00EB2BDE">
        <w:rPr>
          <w:color w:val="auto"/>
        </w:rPr>
        <w:t>For all local authorities</w:t>
      </w:r>
      <w:bookmarkEnd w:id="9"/>
    </w:p>
    <w:p w14:paraId="76699140" w14:textId="1BBB22F2" w:rsidR="00A01E2F" w:rsidRPr="00A01E2F" w:rsidRDefault="00A01E2F" w:rsidP="00A01E2F">
      <w:pPr>
        <w:pStyle w:val="ListParagraph"/>
        <w:numPr>
          <w:ilvl w:val="0"/>
          <w:numId w:val="21"/>
        </w:numPr>
        <w:spacing w:line="360" w:lineRule="auto"/>
        <w:jc w:val="both"/>
        <w:rPr>
          <w:rFonts w:ascii="Arial" w:hAnsi="Arial" w:cs="Arial"/>
        </w:rPr>
      </w:pPr>
      <w:r w:rsidRPr="00A01E2F">
        <w:rPr>
          <w:rFonts w:ascii="Arial" w:hAnsi="Arial" w:cs="Arial"/>
        </w:rPr>
        <w:t>Use plain language and explain professional terminology to make it more accessible, especially for families with lower levels of literacy (Rowlands et al., 2015).</w:t>
      </w:r>
    </w:p>
    <w:p w14:paraId="4AF63F95" w14:textId="77777777" w:rsidR="00A01E2F" w:rsidRPr="00A01E2F" w:rsidRDefault="00A01E2F" w:rsidP="00A01E2F">
      <w:pPr>
        <w:pStyle w:val="ListParagraph"/>
        <w:numPr>
          <w:ilvl w:val="0"/>
          <w:numId w:val="21"/>
        </w:numPr>
        <w:spacing w:line="360" w:lineRule="auto"/>
        <w:jc w:val="both"/>
        <w:rPr>
          <w:rFonts w:ascii="Arial" w:hAnsi="Arial" w:cs="Arial"/>
        </w:rPr>
      </w:pPr>
      <w:r w:rsidRPr="00A01E2F">
        <w:rPr>
          <w:rFonts w:ascii="Arial" w:hAnsi="Arial" w:cs="Arial"/>
        </w:rPr>
        <w:t>Make information available in languages used in local communities to enhance equality of access (Ghate and Hazel, 2002).</w:t>
      </w:r>
    </w:p>
    <w:p w14:paraId="63F2105E" w14:textId="77777777" w:rsidR="00A01E2F" w:rsidRPr="00A01E2F" w:rsidRDefault="00A01E2F" w:rsidP="00A01E2F">
      <w:pPr>
        <w:pStyle w:val="ListParagraph"/>
        <w:numPr>
          <w:ilvl w:val="0"/>
          <w:numId w:val="21"/>
        </w:numPr>
        <w:spacing w:line="360" w:lineRule="auto"/>
        <w:jc w:val="both"/>
        <w:rPr>
          <w:rFonts w:ascii="Arial" w:hAnsi="Arial" w:cs="Arial"/>
        </w:rPr>
      </w:pPr>
      <w:r w:rsidRPr="00A01E2F">
        <w:rPr>
          <w:rFonts w:ascii="Arial" w:hAnsi="Arial" w:cs="Arial"/>
        </w:rPr>
        <w:t>Use more visual resources including icons, videos and infographics, which enhance understanding and engagement (Cameron and Moss, 2011; Rowlands et al., 2015).</w:t>
      </w:r>
    </w:p>
    <w:p w14:paraId="586ACCCD" w14:textId="77777777" w:rsidR="00A01E2F" w:rsidRPr="00A01E2F" w:rsidRDefault="00A01E2F" w:rsidP="00A01E2F">
      <w:pPr>
        <w:pStyle w:val="ListParagraph"/>
        <w:numPr>
          <w:ilvl w:val="0"/>
          <w:numId w:val="21"/>
        </w:numPr>
        <w:spacing w:line="360" w:lineRule="auto"/>
        <w:jc w:val="both"/>
        <w:rPr>
          <w:rFonts w:ascii="Arial" w:hAnsi="Arial" w:cs="Arial"/>
        </w:rPr>
      </w:pPr>
      <w:r w:rsidRPr="00A01E2F">
        <w:rPr>
          <w:rFonts w:ascii="Arial" w:hAnsi="Arial" w:cs="Arial"/>
        </w:rPr>
        <w:t>Ensure that multi-agency working, information sharing and confidentiality are clearly explained to enhance family confidence (Parton, 2014).</w:t>
      </w:r>
    </w:p>
    <w:p w14:paraId="143FA878" w14:textId="0D9FAF1B" w:rsidR="00A01E2F" w:rsidRPr="00A01E2F" w:rsidRDefault="00A01E2F" w:rsidP="00A01E2F">
      <w:pPr>
        <w:pStyle w:val="ListParagraph"/>
        <w:numPr>
          <w:ilvl w:val="0"/>
          <w:numId w:val="21"/>
        </w:numPr>
        <w:spacing w:line="360" w:lineRule="auto"/>
        <w:jc w:val="both"/>
        <w:rPr>
          <w:rFonts w:ascii="Arial" w:hAnsi="Arial" w:cs="Arial"/>
        </w:rPr>
      </w:pPr>
      <w:r w:rsidRPr="00A01E2F">
        <w:rPr>
          <w:rFonts w:ascii="Arial" w:hAnsi="Arial" w:cs="Arial"/>
        </w:rPr>
        <w:t>Provide services in a way that is organised around the needs of the family, rather than professional structures, making it easier for families to identify relevant services (Ghate and Hazel, 2002).</w:t>
      </w:r>
    </w:p>
    <w:p w14:paraId="2C4FD5C1" w14:textId="14BB84F4" w:rsidR="00A01E2F" w:rsidRPr="00A01E2F" w:rsidRDefault="00A01E2F" w:rsidP="00A01E2F">
      <w:pPr>
        <w:pStyle w:val="ListParagraph"/>
        <w:numPr>
          <w:ilvl w:val="0"/>
          <w:numId w:val="21"/>
        </w:numPr>
        <w:spacing w:line="360" w:lineRule="auto"/>
        <w:jc w:val="both"/>
        <w:rPr>
          <w:rFonts w:ascii="Arial" w:hAnsi="Arial" w:cs="Arial"/>
        </w:rPr>
      </w:pPr>
      <w:r w:rsidRPr="00A01E2F">
        <w:rPr>
          <w:rFonts w:ascii="Arial" w:hAnsi="Arial" w:cs="Arial"/>
        </w:rPr>
        <w:t>Provide families with anticipated response times to help set expectations and promote timely engagement (Daro and Harding, 1999).</w:t>
      </w:r>
    </w:p>
    <w:p w14:paraId="19E4830B" w14:textId="0E3F453C" w:rsidR="005D5B88" w:rsidRPr="00EB2BDE" w:rsidRDefault="005D5B88" w:rsidP="005E7262">
      <w:pPr>
        <w:pStyle w:val="Heading2"/>
        <w:rPr>
          <w:color w:val="auto"/>
        </w:rPr>
      </w:pPr>
      <w:bookmarkStart w:id="10" w:name="_Toc237506705"/>
      <w:r w:rsidRPr="00EB2BDE">
        <w:rPr>
          <w:color w:val="auto"/>
        </w:rPr>
        <w:t>Leeds City Council</w:t>
      </w:r>
      <w:bookmarkEnd w:id="10"/>
    </w:p>
    <w:p w14:paraId="63BC59BC" w14:textId="7E733AB9" w:rsidR="00872AFF" w:rsidRPr="00D92138" w:rsidRDefault="00872AFF" w:rsidP="00D92138">
      <w:pPr>
        <w:pStyle w:val="ListParagraph"/>
        <w:numPr>
          <w:ilvl w:val="0"/>
          <w:numId w:val="26"/>
        </w:numPr>
        <w:spacing w:line="360" w:lineRule="auto"/>
        <w:rPr>
          <w:rFonts w:ascii="Arial" w:hAnsi="Arial" w:cs="Arial"/>
        </w:rPr>
      </w:pPr>
      <w:r w:rsidRPr="00D92138">
        <w:rPr>
          <w:rFonts w:ascii="Arial" w:hAnsi="Arial" w:cs="Arial"/>
        </w:rPr>
        <w:t>Increase the visibility of support for BAME families and domestic abuse services.</w:t>
      </w:r>
    </w:p>
    <w:p w14:paraId="3F1BF0CE" w14:textId="25774395" w:rsidR="00872AFF" w:rsidRPr="00D92138" w:rsidRDefault="00872AFF" w:rsidP="00D92138">
      <w:pPr>
        <w:pStyle w:val="ListParagraph"/>
        <w:numPr>
          <w:ilvl w:val="0"/>
          <w:numId w:val="26"/>
        </w:numPr>
        <w:spacing w:line="360" w:lineRule="auto"/>
        <w:rPr>
          <w:rFonts w:ascii="Arial" w:hAnsi="Arial" w:cs="Arial"/>
        </w:rPr>
      </w:pPr>
      <w:r w:rsidRPr="00D92138">
        <w:rPr>
          <w:rFonts w:ascii="Arial" w:hAnsi="Arial" w:cs="Arial"/>
        </w:rPr>
        <w:t>Provide clearer explanations of information sharing and estimated waiting times.</w:t>
      </w:r>
    </w:p>
    <w:p w14:paraId="52D84148" w14:textId="30F84280" w:rsidR="005D5B88" w:rsidRPr="00EB2BDE" w:rsidRDefault="005D5B88" w:rsidP="005E7262">
      <w:pPr>
        <w:pStyle w:val="Heading2"/>
        <w:rPr>
          <w:color w:val="auto"/>
        </w:rPr>
      </w:pPr>
      <w:bookmarkStart w:id="11" w:name="_Toc237506706"/>
      <w:r w:rsidRPr="00EB2BDE">
        <w:rPr>
          <w:color w:val="auto"/>
        </w:rPr>
        <w:t>Tower Hamlets Council</w:t>
      </w:r>
      <w:bookmarkEnd w:id="11"/>
    </w:p>
    <w:p w14:paraId="3BE7A6B9" w14:textId="77777777" w:rsidR="007566C3" w:rsidRPr="007566C3" w:rsidRDefault="007566C3" w:rsidP="007566C3">
      <w:pPr>
        <w:pStyle w:val="ListParagraph"/>
        <w:numPr>
          <w:ilvl w:val="0"/>
          <w:numId w:val="25"/>
        </w:numPr>
        <w:spacing w:line="360" w:lineRule="auto"/>
        <w:jc w:val="both"/>
        <w:rPr>
          <w:rFonts w:ascii="Arial" w:hAnsi="Arial" w:cs="Arial"/>
        </w:rPr>
      </w:pPr>
      <w:r w:rsidRPr="007566C3">
        <w:rPr>
          <w:rFonts w:ascii="Arial" w:hAnsi="Arial" w:cs="Arial"/>
        </w:rPr>
        <w:t>Increase awareness of the breadth of Early Help services.</w:t>
      </w:r>
    </w:p>
    <w:p w14:paraId="132C7059" w14:textId="77777777" w:rsidR="007566C3" w:rsidRPr="007566C3" w:rsidRDefault="007566C3" w:rsidP="007566C3">
      <w:pPr>
        <w:pStyle w:val="ListParagraph"/>
        <w:numPr>
          <w:ilvl w:val="0"/>
          <w:numId w:val="25"/>
        </w:numPr>
        <w:spacing w:line="360" w:lineRule="auto"/>
        <w:jc w:val="both"/>
        <w:rPr>
          <w:rFonts w:ascii="Arial" w:hAnsi="Arial" w:cs="Arial"/>
        </w:rPr>
      </w:pPr>
      <w:r w:rsidRPr="007566C3">
        <w:rPr>
          <w:rFonts w:ascii="Arial" w:hAnsi="Arial" w:cs="Arial"/>
        </w:rPr>
        <w:lastRenderedPageBreak/>
        <w:t>Continue to build multilingual resources and encourage other access points for families who are not digitally literate.</w:t>
      </w:r>
    </w:p>
    <w:p w14:paraId="7D76B3F4" w14:textId="135DDE78" w:rsidR="005D5B88" w:rsidRPr="00EB2BDE" w:rsidRDefault="005D5B88" w:rsidP="005E7262">
      <w:pPr>
        <w:pStyle w:val="Heading2"/>
        <w:rPr>
          <w:color w:val="auto"/>
        </w:rPr>
      </w:pPr>
      <w:bookmarkStart w:id="12" w:name="_Toc237506707"/>
      <w:r w:rsidRPr="00EB2BDE">
        <w:rPr>
          <w:color w:val="auto"/>
        </w:rPr>
        <w:t>Leicestershire County Council</w:t>
      </w:r>
      <w:bookmarkEnd w:id="12"/>
    </w:p>
    <w:p w14:paraId="17D284C8" w14:textId="6C47F978" w:rsidR="009800B5" w:rsidRPr="009800B5" w:rsidRDefault="009800B5" w:rsidP="009800B5">
      <w:pPr>
        <w:pStyle w:val="ListParagraph"/>
        <w:numPr>
          <w:ilvl w:val="0"/>
          <w:numId w:val="27"/>
        </w:numPr>
        <w:spacing w:line="360" w:lineRule="auto"/>
        <w:rPr>
          <w:rStyle w:val="cursor-pointer"/>
          <w:rFonts w:ascii="Arial" w:hAnsi="Arial" w:cs="Arial"/>
        </w:rPr>
      </w:pPr>
      <w:r w:rsidRPr="009800B5">
        <w:rPr>
          <w:rStyle w:val="cursor-pointer"/>
          <w:rFonts w:ascii="Arial" w:hAnsi="Arial" w:cs="Arial"/>
        </w:rPr>
        <w:t>Use plain language instead of technical terms.</w:t>
      </w:r>
      <w:r w:rsidRPr="009800B5">
        <w:rPr>
          <w:rFonts w:ascii="Arial" w:hAnsi="Arial" w:cs="Arial"/>
        </w:rPr>
        <w:t xml:space="preserve"> </w:t>
      </w:r>
    </w:p>
    <w:p w14:paraId="78A51D38" w14:textId="77777777" w:rsidR="009800B5" w:rsidRPr="009800B5" w:rsidRDefault="009800B5" w:rsidP="009800B5">
      <w:pPr>
        <w:pStyle w:val="ListParagraph"/>
        <w:numPr>
          <w:ilvl w:val="0"/>
          <w:numId w:val="27"/>
        </w:numPr>
        <w:spacing w:line="360" w:lineRule="auto"/>
        <w:rPr>
          <w:rFonts w:ascii="Arial" w:hAnsi="Arial" w:cs="Arial"/>
        </w:rPr>
      </w:pPr>
      <w:r w:rsidRPr="009800B5">
        <w:rPr>
          <w:rStyle w:val="cursor-pointer"/>
          <w:rFonts w:ascii="Arial" w:hAnsi="Arial" w:cs="Arial"/>
        </w:rPr>
        <w:t>Improve website navigation through dedicated Early Help pages, visual summaries and multilingual resources.</w:t>
      </w:r>
      <w:r w:rsidRPr="009800B5">
        <w:rPr>
          <w:rFonts w:ascii="Arial" w:hAnsi="Arial" w:cs="Arial"/>
        </w:rPr>
        <w:t xml:space="preserve"> </w:t>
      </w:r>
    </w:p>
    <w:p w14:paraId="3D03067B" w14:textId="203A5394" w:rsidR="009800B5" w:rsidRPr="009800B5" w:rsidRDefault="009800B5" w:rsidP="009800B5">
      <w:pPr>
        <w:spacing w:line="360" w:lineRule="auto"/>
        <w:rPr>
          <w:rStyle w:val="cursor-pointer"/>
          <w:rFonts w:ascii="Arial" w:hAnsi="Arial" w:cs="Arial"/>
        </w:rPr>
      </w:pPr>
      <w:r w:rsidRPr="009800B5">
        <w:rPr>
          <w:rStyle w:val="cursor-pointer"/>
          <w:rFonts w:ascii="Arial" w:hAnsi="Arial" w:cs="Arial"/>
        </w:rPr>
        <w:t>These recommendations would enhance accessibility, increase family engagement and increase the preventative function of Early Help in local safeguarding systems.</w:t>
      </w:r>
    </w:p>
    <w:p w14:paraId="75C3F425" w14:textId="6729D39F" w:rsidR="005D5B88" w:rsidRPr="00A873D7" w:rsidRDefault="000E6E07" w:rsidP="005E7262">
      <w:pPr>
        <w:pStyle w:val="Heading1"/>
        <w:rPr>
          <w:color w:val="auto"/>
          <w:sz w:val="28"/>
        </w:rPr>
      </w:pPr>
      <w:bookmarkStart w:id="13" w:name="_Toc237506708"/>
      <w:r w:rsidRPr="00A873D7">
        <w:rPr>
          <w:color w:val="auto"/>
          <w:sz w:val="28"/>
        </w:rPr>
        <w:t xml:space="preserve">Reference </w:t>
      </w:r>
      <w:r w:rsidR="00723F15" w:rsidRPr="00A873D7">
        <w:rPr>
          <w:color w:val="auto"/>
          <w:sz w:val="28"/>
        </w:rPr>
        <w:t>list</w:t>
      </w:r>
      <w:bookmarkEnd w:id="13"/>
    </w:p>
    <w:p w14:paraId="39BF0738" w14:textId="77777777" w:rsidR="00723F15" w:rsidRPr="00723F15" w:rsidRDefault="00723F15" w:rsidP="00723F15"/>
    <w:p w14:paraId="2F165972" w14:textId="77777777" w:rsidR="00BC0307" w:rsidRPr="00BC0307" w:rsidRDefault="00BC0307" w:rsidP="00B442E0">
      <w:pPr>
        <w:spacing w:after="160" w:line="360" w:lineRule="auto"/>
        <w:jc w:val="both"/>
        <w:rPr>
          <w:rFonts w:ascii="Arial" w:eastAsia="Calibri" w:hAnsi="Arial" w:cs="Arial"/>
          <w:kern w:val="2"/>
          <w:lang w:val="en-GB"/>
          <w14:ligatures w14:val="standardContextual"/>
        </w:rPr>
      </w:pPr>
      <w:r w:rsidRPr="00BC0307">
        <w:rPr>
          <w:rFonts w:ascii="Arial" w:eastAsia="Calibri" w:hAnsi="Arial" w:cs="Arial"/>
          <w:kern w:val="2"/>
          <w:lang w:val="en-GB"/>
          <w14:ligatures w14:val="standardContextual"/>
        </w:rPr>
        <w:t>Atkinson, M., Jones, M. and Lamont, E., 2007. Multi-agency working and its implications for practice:: A review of the literature. CfBT Education Trust.</w:t>
      </w:r>
    </w:p>
    <w:p w14:paraId="07722E74" w14:textId="77777777" w:rsidR="00BC0307" w:rsidRPr="00BC0307" w:rsidRDefault="00BC0307" w:rsidP="00B442E0">
      <w:pPr>
        <w:spacing w:after="160" w:line="360" w:lineRule="auto"/>
        <w:jc w:val="both"/>
        <w:rPr>
          <w:rFonts w:ascii="Arial" w:eastAsia="Calibri" w:hAnsi="Arial" w:cs="Arial"/>
          <w:kern w:val="2"/>
          <w:lang w:val="en-GB"/>
          <w14:ligatures w14:val="standardContextual"/>
        </w:rPr>
      </w:pPr>
      <w:r w:rsidRPr="00BC0307">
        <w:rPr>
          <w:rFonts w:ascii="Arial" w:eastAsia="Calibri" w:hAnsi="Arial" w:cs="Arial"/>
          <w:kern w:val="2"/>
          <w:lang w:val="en-GB"/>
          <w14:ligatures w14:val="standardContextual"/>
        </w:rPr>
        <w:t>Bhui, K., Ascoli, M. and Nuamh, O., 2012. The place of race and racism in cultural competence: What can we learn from the English experience about the narratives of evidence and argument?. Transcultural psychiatry, 49(2), pp.185-205.</w:t>
      </w:r>
    </w:p>
    <w:p w14:paraId="426CC8EB" w14:textId="77777777" w:rsidR="00BC0307" w:rsidRPr="00BC0307" w:rsidRDefault="00BC0307" w:rsidP="00B442E0">
      <w:pPr>
        <w:spacing w:after="0" w:line="360" w:lineRule="auto"/>
        <w:jc w:val="both"/>
        <w:rPr>
          <w:rFonts w:ascii="Arial" w:eastAsia="Calibri" w:hAnsi="Arial" w:cs="Arial"/>
          <w:kern w:val="2"/>
          <w14:ligatures w14:val="standardContextual"/>
        </w:rPr>
      </w:pPr>
      <w:r w:rsidRPr="00BC0307">
        <w:rPr>
          <w:rFonts w:ascii="Arial" w:eastAsia="Calibri" w:hAnsi="Arial" w:cs="Arial"/>
          <w:kern w:val="2"/>
          <w14:ligatures w14:val="standardContextual"/>
        </w:rPr>
        <w:t>Bronfenbrenner, U. (1979) The Ecology of Human Development: Experiments by Nature and Design. Cambridge MA: Harvard University Press.</w:t>
      </w:r>
    </w:p>
    <w:p w14:paraId="6264C2B9" w14:textId="77777777" w:rsidR="00BC0307" w:rsidRPr="00BC0307" w:rsidRDefault="00BC0307" w:rsidP="00B442E0">
      <w:pPr>
        <w:spacing w:after="0" w:line="360" w:lineRule="auto"/>
        <w:jc w:val="both"/>
        <w:rPr>
          <w:rFonts w:ascii="Arial" w:eastAsia="Calibri" w:hAnsi="Arial" w:cs="Arial"/>
          <w:kern w:val="2"/>
          <w14:ligatures w14:val="standardContextual"/>
        </w:rPr>
      </w:pPr>
      <w:r w:rsidRPr="00BC0307">
        <w:rPr>
          <w:rFonts w:ascii="Arial" w:eastAsia="Calibri" w:hAnsi="Arial" w:cs="Arial"/>
          <w:kern w:val="2"/>
          <w14:ligatures w14:val="standardContextual"/>
        </w:rPr>
        <w:t>Cameron, C., &amp; Moss, P. (2011) (Eds.). Social Pedagogy and Working with Children and Young People: Where Care and Education Meet. London and Philadelphia: Jessica Kingsley Publishers.</w:t>
      </w:r>
    </w:p>
    <w:p w14:paraId="4E8F2DDD" w14:textId="155494E9" w:rsidR="00BC0307" w:rsidRPr="00BC0307" w:rsidRDefault="00BC0307" w:rsidP="00B442E0">
      <w:pPr>
        <w:spacing w:after="0" w:line="360" w:lineRule="auto"/>
        <w:jc w:val="both"/>
        <w:rPr>
          <w:rFonts w:ascii="Arial" w:eastAsia="Calibri" w:hAnsi="Arial" w:cs="Arial"/>
          <w:kern w:val="2"/>
          <w14:ligatures w14:val="standardContextual"/>
        </w:rPr>
      </w:pPr>
      <w:r w:rsidRPr="00BC0307">
        <w:rPr>
          <w:rFonts w:ascii="Arial" w:eastAsia="Calibri" w:hAnsi="Arial" w:cs="Arial"/>
          <w:kern w:val="2"/>
          <w14:ligatures w14:val="standardContextual"/>
        </w:rPr>
        <w:t xml:space="preserve">Daro, D.A. and Harding, K.A., 1999. Healthy Families America: Using research to enhance practice. The Future of Children, pp.152-176. Available at: </w:t>
      </w:r>
      <w:hyperlink r:id="rId7" w:history="1">
        <w:r w:rsidRPr="00BC0307">
          <w:rPr>
            <w:rFonts w:ascii="Arial" w:eastAsia="Calibri" w:hAnsi="Arial" w:cs="Arial"/>
            <w:color w:val="0563C1"/>
            <w:kern w:val="2"/>
            <w:u w:val="single"/>
            <w14:ligatures w14:val="standardContextual"/>
          </w:rPr>
          <w:t>https://www.academia.edu/download/42891662/09_01_07.pdf</w:t>
        </w:r>
      </w:hyperlink>
      <w:r w:rsidRPr="00BC0307">
        <w:rPr>
          <w:rFonts w:ascii="Arial" w:eastAsia="Calibri" w:hAnsi="Arial" w:cs="Arial"/>
          <w:kern w:val="2"/>
          <w14:ligatures w14:val="standardContextual"/>
        </w:rPr>
        <w:t xml:space="preserve"> (Accessed: </w:t>
      </w:r>
      <w:r w:rsidR="00102731">
        <w:rPr>
          <w:rFonts w:ascii="Arial" w:eastAsia="Calibri" w:hAnsi="Arial" w:cs="Arial"/>
          <w:kern w:val="2"/>
          <w14:ligatures w14:val="standardContextual"/>
        </w:rPr>
        <w:t>9th</w:t>
      </w:r>
      <w:r w:rsidRPr="00BC0307">
        <w:rPr>
          <w:rFonts w:ascii="Arial" w:eastAsia="Calibri" w:hAnsi="Arial" w:cs="Arial"/>
          <w:kern w:val="2"/>
          <w14:ligatures w14:val="standardContextual"/>
        </w:rPr>
        <w:t xml:space="preserve"> August 2026).</w:t>
      </w:r>
    </w:p>
    <w:p w14:paraId="65DF5E62" w14:textId="202734C9" w:rsidR="00BC0307" w:rsidRPr="00BC0307" w:rsidRDefault="00BC0307" w:rsidP="00B442E0">
      <w:pPr>
        <w:spacing w:after="0" w:line="360" w:lineRule="auto"/>
        <w:jc w:val="both"/>
        <w:rPr>
          <w:rFonts w:ascii="Arial" w:eastAsia="Calibri" w:hAnsi="Arial" w:cs="Arial"/>
          <w:kern w:val="2"/>
          <w14:ligatures w14:val="standardContextual"/>
        </w:rPr>
      </w:pPr>
      <w:r w:rsidRPr="00BC0307">
        <w:rPr>
          <w:rFonts w:ascii="Arial" w:eastAsia="Calibri" w:hAnsi="Arial" w:cs="Arial"/>
          <w:kern w:val="2"/>
          <w14:ligatures w14:val="standardContextual"/>
        </w:rPr>
        <w:t xml:space="preserve">Department for Education (2022) Early Help System Guide. London: Department for Education. Available at: </w:t>
      </w:r>
      <w:hyperlink r:id="rId8" w:history="1">
        <w:r w:rsidRPr="00BC0307">
          <w:rPr>
            <w:rFonts w:ascii="Arial" w:eastAsia="Calibri" w:hAnsi="Arial" w:cs="Arial"/>
            <w:color w:val="0563C1"/>
            <w:kern w:val="2"/>
            <w:u w:val="single"/>
            <w14:ligatures w14:val="standardContextual"/>
          </w:rPr>
          <w:t>https://assets.publishing.service.gov.uk/media/628de13be90e071f5f7e1bd2/Early_Help_System_Guide.pdf</w:t>
        </w:r>
      </w:hyperlink>
      <w:r w:rsidRPr="00BC0307">
        <w:rPr>
          <w:rFonts w:ascii="Arial" w:eastAsia="Calibri" w:hAnsi="Arial" w:cs="Arial"/>
          <w:kern w:val="2"/>
          <w14:ligatures w14:val="standardContextual"/>
        </w:rPr>
        <w:t xml:space="preserve"> (Accessed: 1</w:t>
      </w:r>
      <w:r w:rsidR="00A32E0C">
        <w:rPr>
          <w:rFonts w:ascii="Arial" w:eastAsia="Calibri" w:hAnsi="Arial" w:cs="Arial"/>
          <w:kern w:val="2"/>
          <w14:ligatures w14:val="standardContextual"/>
        </w:rPr>
        <w:t>0th</w:t>
      </w:r>
      <w:r w:rsidRPr="00BC0307">
        <w:rPr>
          <w:rFonts w:ascii="Arial" w:eastAsia="Calibri" w:hAnsi="Arial" w:cs="Arial"/>
          <w:kern w:val="2"/>
          <w14:ligatures w14:val="standardContextual"/>
        </w:rPr>
        <w:t xml:space="preserve"> August 2026).</w:t>
      </w:r>
    </w:p>
    <w:p w14:paraId="4534D368" w14:textId="3FBDA37B" w:rsidR="00BC0307" w:rsidRPr="00BC0307" w:rsidRDefault="00BC0307" w:rsidP="00B442E0">
      <w:pPr>
        <w:spacing w:after="0" w:line="360" w:lineRule="auto"/>
        <w:jc w:val="both"/>
        <w:rPr>
          <w:rFonts w:ascii="Arial" w:eastAsia="Calibri" w:hAnsi="Arial" w:cs="Arial"/>
          <w:kern w:val="2"/>
          <w14:ligatures w14:val="standardContextual"/>
        </w:rPr>
      </w:pPr>
      <w:r w:rsidRPr="00BC0307">
        <w:rPr>
          <w:rFonts w:ascii="Arial" w:eastAsia="Calibri" w:hAnsi="Arial" w:cs="Arial"/>
          <w:kern w:val="2"/>
          <w14:ligatures w14:val="standardContextual"/>
        </w:rPr>
        <w:t xml:space="preserve">Department for Education (2026) Working Together to Safeguard Children: A guide to multi-agency working to help, protect and promote the welfare of children. London: </w:t>
      </w:r>
      <w:r w:rsidRPr="00BC0307">
        <w:rPr>
          <w:rFonts w:ascii="Arial" w:eastAsia="Calibri" w:hAnsi="Arial" w:cs="Arial"/>
          <w:kern w:val="2"/>
          <w14:ligatures w14:val="standardContextual"/>
        </w:rPr>
        <w:lastRenderedPageBreak/>
        <w:t xml:space="preserve">Department for Education. Available at: </w:t>
      </w:r>
      <w:hyperlink r:id="rId9" w:history="1">
        <w:r w:rsidRPr="00BC0307">
          <w:rPr>
            <w:rFonts w:ascii="Arial" w:eastAsia="MS Mincho" w:hAnsi="Arial" w:cs="Arial"/>
            <w:color w:val="0563C1"/>
            <w:u w:val="single"/>
          </w:rPr>
          <w:t>https://assets.publishing.service.gov.uk/media/69fb1c28d0e316a40f269a5b/Working_together_to_safeguard_children_2026_a_guide_to_multi_agency_working.pdf</w:t>
        </w:r>
      </w:hyperlink>
      <w:r w:rsidRPr="00BC0307">
        <w:rPr>
          <w:rFonts w:ascii="Arial" w:eastAsia="Calibri" w:hAnsi="Arial" w:cs="Arial"/>
          <w:kern w:val="2"/>
          <w14:ligatures w14:val="standardContextual"/>
        </w:rPr>
        <w:t xml:space="preserve"> (Accessed: </w:t>
      </w:r>
      <w:r w:rsidR="006252F7">
        <w:rPr>
          <w:rFonts w:ascii="Arial" w:eastAsia="Calibri" w:hAnsi="Arial" w:cs="Arial"/>
          <w:kern w:val="2"/>
          <w14:ligatures w14:val="standardContextual"/>
        </w:rPr>
        <w:t>10th</w:t>
      </w:r>
      <w:r w:rsidRPr="00BC0307">
        <w:rPr>
          <w:rFonts w:ascii="Arial" w:eastAsia="Calibri" w:hAnsi="Arial" w:cs="Arial"/>
          <w:kern w:val="2"/>
          <w14:ligatures w14:val="standardContextual"/>
        </w:rPr>
        <w:t xml:space="preserve"> August 2026).</w:t>
      </w:r>
    </w:p>
    <w:p w14:paraId="169F15A6" w14:textId="77777777" w:rsidR="00BC0307" w:rsidRDefault="00BC0307" w:rsidP="00B442E0">
      <w:pPr>
        <w:spacing w:after="160" w:line="360" w:lineRule="auto"/>
        <w:jc w:val="both"/>
        <w:rPr>
          <w:rFonts w:ascii="Arial" w:eastAsia="Calibri" w:hAnsi="Arial" w:cs="Arial"/>
          <w:kern w:val="2"/>
          <w:lang w:val="en-GB"/>
          <w14:ligatures w14:val="standardContextual"/>
        </w:rPr>
      </w:pPr>
      <w:r w:rsidRPr="00BC0307">
        <w:rPr>
          <w:rFonts w:ascii="Arial" w:eastAsia="Calibri" w:hAnsi="Arial" w:cs="Arial"/>
          <w:kern w:val="2"/>
          <w:lang w:val="en-GB"/>
          <w14:ligatures w14:val="standardContextual"/>
        </w:rPr>
        <w:t xml:space="preserve">Equality Act (2010) UK Public General Acts. London: The Stationery Office. Available at: </w:t>
      </w:r>
      <w:hyperlink r:id="rId10" w:history="1">
        <w:r w:rsidRPr="00BC0307">
          <w:rPr>
            <w:rFonts w:ascii="Arial" w:eastAsia="Calibri" w:hAnsi="Arial" w:cs="Arial"/>
            <w:color w:val="0563C1"/>
            <w:kern w:val="2"/>
            <w:u w:val="single"/>
            <w:lang w:val="en-GB"/>
            <w14:ligatures w14:val="standardContextual"/>
          </w:rPr>
          <w:t>https://www.legislation.gov.uk/ukpga/2010/15/part/2</w:t>
        </w:r>
      </w:hyperlink>
      <w:r w:rsidRPr="00BC0307">
        <w:rPr>
          <w:rFonts w:ascii="Arial" w:eastAsia="Calibri" w:hAnsi="Arial" w:cs="Arial"/>
          <w:kern w:val="2"/>
          <w:lang w:val="en-GB"/>
          <w14:ligatures w14:val="standardContextual"/>
        </w:rPr>
        <w:t xml:space="preserve"> (Accessed: 12 July 2026).</w:t>
      </w:r>
    </w:p>
    <w:p w14:paraId="4DEB92A8" w14:textId="270F977B" w:rsidR="00073FEE" w:rsidRPr="00BC0307" w:rsidRDefault="00073FEE" w:rsidP="00B442E0">
      <w:pPr>
        <w:spacing w:after="160" w:line="360" w:lineRule="auto"/>
        <w:jc w:val="both"/>
        <w:rPr>
          <w:rFonts w:ascii="Arial" w:eastAsia="Calibri" w:hAnsi="Arial" w:cs="Arial"/>
          <w:kern w:val="2"/>
          <w:lang w:val="en-GB"/>
          <w14:ligatures w14:val="standardContextual"/>
        </w:rPr>
      </w:pPr>
      <w:r w:rsidRPr="00073FEE">
        <w:rPr>
          <w:rFonts w:ascii="Arial" w:eastAsia="Calibri" w:hAnsi="Arial" w:cs="Arial"/>
          <w:kern w:val="2"/>
          <w14:ligatures w14:val="standardContextual"/>
        </w:rPr>
        <w:t xml:space="preserve">Featherstone, B., White, S. and Morris, K. (2014) </w:t>
      </w:r>
      <w:r w:rsidRPr="00073FEE">
        <w:rPr>
          <w:rFonts w:ascii="Arial" w:eastAsia="Calibri" w:hAnsi="Arial" w:cs="Arial"/>
          <w:i/>
          <w:iCs/>
          <w:kern w:val="2"/>
          <w14:ligatures w14:val="standardContextual"/>
        </w:rPr>
        <w:t>Re-imagining Child Protection: Towards Humane Social Work with Families</w:t>
      </w:r>
      <w:r w:rsidRPr="00073FEE">
        <w:rPr>
          <w:rFonts w:ascii="Arial" w:eastAsia="Calibri" w:hAnsi="Arial" w:cs="Arial"/>
          <w:kern w:val="2"/>
          <w14:ligatures w14:val="standardContextual"/>
        </w:rPr>
        <w:t>. Bristol: Policy Press.</w:t>
      </w:r>
    </w:p>
    <w:p w14:paraId="700E451D" w14:textId="77777777" w:rsidR="00BC0307" w:rsidRPr="00BC0307" w:rsidRDefault="00BC0307" w:rsidP="00B442E0">
      <w:pPr>
        <w:spacing w:after="160" w:line="360" w:lineRule="auto"/>
        <w:jc w:val="both"/>
        <w:rPr>
          <w:rFonts w:ascii="Arial" w:eastAsia="Calibri" w:hAnsi="Arial" w:cs="Arial"/>
          <w:kern w:val="2"/>
          <w:lang w:val="en-GB"/>
          <w14:ligatures w14:val="standardContextual"/>
        </w:rPr>
      </w:pPr>
      <w:r w:rsidRPr="00BC0307">
        <w:rPr>
          <w:rFonts w:ascii="Arial" w:eastAsia="Calibri" w:hAnsi="Arial" w:cs="Arial"/>
          <w:kern w:val="2"/>
          <w:lang w:val="en-GB"/>
          <w14:ligatures w14:val="standardContextual"/>
        </w:rPr>
        <w:t>Ghate, D. and Hazel, N. (2002) Parenting in Poor Neighbourhoods: Stress, Support and Coping. London: Joseph Rowntree Foundation.</w:t>
      </w:r>
    </w:p>
    <w:p w14:paraId="6E7E5222" w14:textId="03833B71" w:rsidR="00BC0307" w:rsidRPr="00BC0307" w:rsidRDefault="00BC0307" w:rsidP="007267BF">
      <w:pPr>
        <w:spacing w:line="360" w:lineRule="auto"/>
        <w:jc w:val="both"/>
      </w:pPr>
      <w:r w:rsidRPr="00BC0307">
        <w:t xml:space="preserve">Leeds City Council (2026) Services for families. Available at: </w:t>
      </w:r>
      <w:hyperlink r:id="rId11" w:history="1">
        <w:r w:rsidRPr="00BC0307">
          <w:rPr>
            <w:rStyle w:val="Hyperlink"/>
            <w:rFonts w:ascii="Arial" w:eastAsia="Calibri" w:hAnsi="Arial" w:cs="Arial"/>
          </w:rPr>
          <w:t>https://www.leeds.gov.uk/children-and-families/services-for-families</w:t>
        </w:r>
      </w:hyperlink>
      <w:r w:rsidRPr="00BC0307">
        <w:t xml:space="preserve"> (Accessed: 2</w:t>
      </w:r>
      <w:r w:rsidR="00D0729C">
        <w:t>nd</w:t>
      </w:r>
      <w:r w:rsidRPr="00BC0307">
        <w:t xml:space="preserve"> August 2026).</w:t>
      </w:r>
    </w:p>
    <w:p w14:paraId="7F21D211" w14:textId="04F394EF" w:rsidR="00BC0307" w:rsidRPr="005D5B88" w:rsidRDefault="00BC0307" w:rsidP="005D5B88">
      <w:pPr>
        <w:spacing w:line="360" w:lineRule="auto"/>
        <w:jc w:val="both"/>
        <w:rPr>
          <w:rFonts w:ascii="Arial" w:hAnsi="Arial" w:cs="Arial"/>
        </w:rPr>
      </w:pPr>
      <w:r w:rsidRPr="00BC0307">
        <w:rPr>
          <w:rFonts w:ascii="Arial" w:hAnsi="Arial" w:cs="Arial"/>
        </w:rPr>
        <w:t xml:space="preserve">Leicestershire County Council (2026) Family Help. Available at: </w:t>
      </w:r>
      <w:hyperlink r:id="rId12" w:history="1">
        <w:r w:rsidRPr="00BC0307">
          <w:rPr>
            <w:rStyle w:val="Hyperlink"/>
            <w:rFonts w:ascii="Arial" w:hAnsi="Arial" w:cs="Arial"/>
          </w:rPr>
          <w:t>https://leicestershiretradedservices.org.uk/Page/6896</w:t>
        </w:r>
      </w:hyperlink>
      <w:r w:rsidRPr="00BC0307">
        <w:rPr>
          <w:rFonts w:ascii="Arial" w:hAnsi="Arial" w:cs="Arial"/>
        </w:rPr>
        <w:t xml:space="preserve"> (Accessed: 2</w:t>
      </w:r>
      <w:r w:rsidR="00D0729C">
        <w:rPr>
          <w:rFonts w:ascii="Arial" w:hAnsi="Arial" w:cs="Arial"/>
        </w:rPr>
        <w:t>nd</w:t>
      </w:r>
      <w:r w:rsidRPr="00BC0307">
        <w:rPr>
          <w:rFonts w:ascii="Arial" w:hAnsi="Arial" w:cs="Arial"/>
        </w:rPr>
        <w:t xml:space="preserve"> August 2026).</w:t>
      </w:r>
    </w:p>
    <w:p w14:paraId="4F84CFC9" w14:textId="77777777" w:rsidR="00BC0307" w:rsidRPr="00BC0307" w:rsidRDefault="00BC0307" w:rsidP="00B442E0">
      <w:pPr>
        <w:spacing w:after="160" w:line="360" w:lineRule="auto"/>
        <w:jc w:val="both"/>
        <w:rPr>
          <w:rFonts w:ascii="Arial" w:eastAsia="Calibri" w:hAnsi="Arial" w:cs="Arial"/>
          <w:kern w:val="2"/>
          <w:lang w:val="en-GB"/>
          <w14:ligatures w14:val="standardContextual"/>
        </w:rPr>
      </w:pPr>
      <w:r w:rsidRPr="00BC0307">
        <w:rPr>
          <w:rFonts w:ascii="Arial" w:eastAsia="Calibri" w:hAnsi="Arial" w:cs="Arial"/>
          <w:color w:val="222222"/>
          <w:kern w:val="2"/>
          <w:shd w:val="clear" w:color="auto" w:fill="FFFFFF"/>
          <w:lang w:val="en-GB"/>
          <w14:ligatures w14:val="standardContextual"/>
        </w:rPr>
        <w:t>Lucas, S. and John Archard, P., 2021. Early help and children’s services: exploring provision and practice across English local authorities Introduction. </w:t>
      </w:r>
      <w:r w:rsidRPr="00BC0307">
        <w:rPr>
          <w:rFonts w:ascii="Arial" w:eastAsia="Calibri" w:hAnsi="Arial" w:cs="Arial"/>
          <w:i/>
          <w:iCs/>
          <w:color w:val="222222"/>
          <w:kern w:val="2"/>
          <w:shd w:val="clear" w:color="auto" w:fill="FFFFFF"/>
          <w:lang w:val="en-GB"/>
          <w14:ligatures w14:val="standardContextual"/>
        </w:rPr>
        <w:t>Journal of Children's Services</w:t>
      </w:r>
      <w:r w:rsidRPr="00BC0307">
        <w:rPr>
          <w:rFonts w:ascii="Arial" w:eastAsia="Calibri" w:hAnsi="Arial" w:cs="Arial"/>
          <w:color w:val="222222"/>
          <w:kern w:val="2"/>
          <w:shd w:val="clear" w:color="auto" w:fill="FFFFFF"/>
          <w:lang w:val="en-GB"/>
          <w14:ligatures w14:val="standardContextual"/>
        </w:rPr>
        <w:t>, </w:t>
      </w:r>
      <w:r w:rsidRPr="00BC0307">
        <w:rPr>
          <w:rFonts w:ascii="Arial" w:eastAsia="Calibri" w:hAnsi="Arial" w:cs="Arial"/>
          <w:i/>
          <w:iCs/>
          <w:color w:val="222222"/>
          <w:kern w:val="2"/>
          <w:shd w:val="clear" w:color="auto" w:fill="FFFFFF"/>
          <w:lang w:val="en-GB"/>
          <w14:ligatures w14:val="standardContextual"/>
        </w:rPr>
        <w:t>16</w:t>
      </w:r>
      <w:r w:rsidRPr="00BC0307">
        <w:rPr>
          <w:rFonts w:ascii="Arial" w:eastAsia="Calibri" w:hAnsi="Arial" w:cs="Arial"/>
          <w:color w:val="222222"/>
          <w:kern w:val="2"/>
          <w:shd w:val="clear" w:color="auto" w:fill="FFFFFF"/>
          <w:lang w:val="en-GB"/>
          <w14:ligatures w14:val="standardContextual"/>
        </w:rPr>
        <w:t>(1), pp.74-86.</w:t>
      </w:r>
    </w:p>
    <w:p w14:paraId="3524245E" w14:textId="52E7A2BD" w:rsidR="00BC0307" w:rsidRPr="00BC0307" w:rsidRDefault="00BC0307" w:rsidP="00B442E0">
      <w:pPr>
        <w:spacing w:after="160" w:line="360" w:lineRule="auto"/>
        <w:jc w:val="both"/>
        <w:rPr>
          <w:rFonts w:ascii="Arial" w:eastAsia="Calibri" w:hAnsi="Arial" w:cs="Arial"/>
          <w:kern w:val="2"/>
          <w:lang w:val="en-GB"/>
          <w14:ligatures w14:val="standardContextual"/>
        </w:rPr>
      </w:pPr>
      <w:r w:rsidRPr="00BC0307">
        <w:rPr>
          <w:rFonts w:ascii="Arial" w:eastAsia="Calibri" w:hAnsi="Arial" w:cs="Arial"/>
          <w:kern w:val="2"/>
          <w:lang w:val="en-GB"/>
          <w14:ligatures w14:val="standardContextual"/>
        </w:rPr>
        <w:t xml:space="preserve">Memon, A., Taylor, K., Mohebati, L.M., Sundin, J., Cooper, M., Scanlon, T. and De Visser, R., 2016. Perceived barriers to accessing mental health services among black and minority ethnic (BME) communities: a qualitative study in Southeast England. BMJ open, 6(11), p.e012337. Available at: </w:t>
      </w:r>
      <w:hyperlink r:id="rId13" w:history="1">
        <w:r w:rsidRPr="00BC0307">
          <w:rPr>
            <w:rFonts w:ascii="Arial" w:eastAsia="Calibri" w:hAnsi="Arial" w:cs="Arial"/>
            <w:color w:val="0563C1"/>
            <w:kern w:val="2"/>
            <w:u w:val="single"/>
            <w:lang w:val="en-GB"/>
            <w14:ligatures w14:val="standardContextual"/>
          </w:rPr>
          <w:t>https://bmjopen.bmj.com/content/bmjopen/6/11/e012337.full.pdf</w:t>
        </w:r>
      </w:hyperlink>
      <w:r w:rsidRPr="00BC0307">
        <w:rPr>
          <w:rFonts w:ascii="Arial" w:eastAsia="Calibri" w:hAnsi="Arial" w:cs="Arial"/>
          <w:color w:val="4472C4"/>
          <w:kern w:val="2"/>
          <w:lang w:val="en-GB"/>
          <w14:ligatures w14:val="standardContextual"/>
        </w:rPr>
        <w:t xml:space="preserve"> </w:t>
      </w:r>
      <w:r w:rsidRPr="00BC0307">
        <w:rPr>
          <w:rFonts w:ascii="Arial" w:eastAsia="Calibri" w:hAnsi="Arial" w:cs="Arial"/>
          <w:kern w:val="2"/>
          <w:lang w:val="en-GB"/>
          <w14:ligatures w14:val="standardContextual"/>
        </w:rPr>
        <w:t>(Accessed: 15</w:t>
      </w:r>
      <w:r w:rsidR="00D0729C">
        <w:rPr>
          <w:rFonts w:ascii="Arial" w:eastAsia="Calibri" w:hAnsi="Arial" w:cs="Arial"/>
          <w:kern w:val="2"/>
          <w:lang w:val="en-GB"/>
          <w14:ligatures w14:val="standardContextual"/>
        </w:rPr>
        <w:t>th</w:t>
      </w:r>
      <w:r w:rsidRPr="00BC0307">
        <w:rPr>
          <w:rFonts w:ascii="Arial" w:eastAsia="Calibri" w:hAnsi="Arial" w:cs="Arial"/>
          <w:kern w:val="2"/>
          <w:lang w:val="en-GB"/>
          <w14:ligatures w14:val="standardContextual"/>
        </w:rPr>
        <w:t xml:space="preserve"> July 2026).</w:t>
      </w:r>
    </w:p>
    <w:p w14:paraId="4693F587" w14:textId="77777777" w:rsidR="00BC0307" w:rsidRPr="00BC0307" w:rsidRDefault="00BC0307" w:rsidP="00B442E0">
      <w:pPr>
        <w:spacing w:after="0" w:line="360" w:lineRule="auto"/>
        <w:jc w:val="both"/>
        <w:rPr>
          <w:rFonts w:ascii="Arial" w:eastAsia="Calibri" w:hAnsi="Arial" w:cs="Arial"/>
          <w:kern w:val="2"/>
          <w14:ligatures w14:val="standardContextual"/>
        </w:rPr>
      </w:pPr>
      <w:r w:rsidRPr="00BC0307">
        <w:rPr>
          <w:rFonts w:ascii="Arial" w:eastAsia="Calibri" w:hAnsi="Arial" w:cs="Arial"/>
          <w:kern w:val="2"/>
          <w14:ligatures w14:val="standardContextual"/>
        </w:rPr>
        <w:t>Munro, E., 2011. The Munro Review of Child Protection: Final Report. London: Department for Education.</w:t>
      </w:r>
    </w:p>
    <w:p w14:paraId="353F0B8B" w14:textId="22219C7E" w:rsidR="00BC0307" w:rsidRPr="00BC0307" w:rsidRDefault="00BC0307" w:rsidP="00B442E0">
      <w:pPr>
        <w:spacing w:after="160" w:line="360" w:lineRule="auto"/>
        <w:jc w:val="both"/>
        <w:rPr>
          <w:rFonts w:ascii="Arial" w:eastAsia="Calibri" w:hAnsi="Arial" w:cs="Arial"/>
          <w:kern w:val="2"/>
          <w:lang w:val="en-GB"/>
          <w14:ligatures w14:val="standardContextual"/>
        </w:rPr>
      </w:pPr>
      <w:r w:rsidRPr="00BC0307">
        <w:rPr>
          <w:rFonts w:ascii="Arial" w:eastAsia="Calibri" w:hAnsi="Arial" w:cs="Arial"/>
          <w:kern w:val="2"/>
          <w:lang w:val="en-GB"/>
          <w14:ligatures w14:val="standardContextual"/>
        </w:rPr>
        <w:t xml:space="preserve">Onyango, G., 2020. Inter-institutional trust and multi-agency networks in anti-corruption efforts in public Administration in Kenya. African Studies Quarterly, 19(2), pp.17-36. Available at: </w:t>
      </w:r>
      <w:hyperlink r:id="rId14" w:history="1">
        <w:r w:rsidRPr="00BC0307">
          <w:rPr>
            <w:rFonts w:ascii="Arial" w:eastAsia="Calibri" w:hAnsi="Arial" w:cs="Arial"/>
            <w:color w:val="0563C1"/>
            <w:kern w:val="2"/>
            <w:u w:val="single"/>
            <w:lang w:val="en-GB"/>
            <w14:ligatures w14:val="standardContextual"/>
          </w:rPr>
          <w:t>https://journals.flvc.org/ASQ/article/download/136013/140432</w:t>
        </w:r>
      </w:hyperlink>
      <w:r w:rsidRPr="00BC0307">
        <w:rPr>
          <w:rFonts w:ascii="Arial" w:eastAsia="Calibri" w:hAnsi="Arial" w:cs="Arial"/>
          <w:kern w:val="2"/>
          <w:lang w:val="en-GB"/>
          <w14:ligatures w14:val="standardContextual"/>
        </w:rPr>
        <w:t xml:space="preserve"> Accessed: </w:t>
      </w:r>
      <w:r w:rsidR="00222785">
        <w:rPr>
          <w:rFonts w:ascii="Arial" w:eastAsia="Calibri" w:hAnsi="Arial" w:cs="Arial"/>
          <w:kern w:val="2"/>
          <w:lang w:val="en-GB"/>
          <w14:ligatures w14:val="standardContextual"/>
        </w:rPr>
        <w:t>9</w:t>
      </w:r>
      <w:r w:rsidR="004E7C90">
        <w:rPr>
          <w:rFonts w:ascii="Arial" w:eastAsia="Calibri" w:hAnsi="Arial" w:cs="Arial"/>
          <w:kern w:val="2"/>
          <w:lang w:val="en-GB"/>
          <w14:ligatures w14:val="standardContextual"/>
        </w:rPr>
        <w:t>th</w:t>
      </w:r>
      <w:r w:rsidRPr="00BC0307">
        <w:rPr>
          <w:rFonts w:ascii="Arial" w:eastAsia="Calibri" w:hAnsi="Arial" w:cs="Arial"/>
          <w:kern w:val="2"/>
          <w:lang w:val="en-GB"/>
          <w14:ligatures w14:val="standardContextual"/>
        </w:rPr>
        <w:t xml:space="preserve"> August 2026).</w:t>
      </w:r>
    </w:p>
    <w:p w14:paraId="4EAAA29F" w14:textId="77777777" w:rsidR="00BC0307" w:rsidRPr="00BC0307" w:rsidRDefault="00BC0307" w:rsidP="00B442E0">
      <w:pPr>
        <w:spacing w:after="160" w:line="360" w:lineRule="auto"/>
        <w:jc w:val="both"/>
        <w:rPr>
          <w:rFonts w:ascii="Arial" w:eastAsia="Calibri" w:hAnsi="Arial" w:cs="Arial"/>
          <w:kern w:val="2"/>
          <w:lang w:val="en-GB"/>
          <w14:ligatures w14:val="standardContextual"/>
        </w:rPr>
      </w:pPr>
      <w:r w:rsidRPr="00BC0307">
        <w:rPr>
          <w:rFonts w:ascii="Arial" w:eastAsia="Calibri" w:hAnsi="Arial" w:cs="Arial"/>
          <w:kern w:val="2"/>
          <w:lang w:val="en-GB"/>
          <w14:ligatures w14:val="standardContextual"/>
        </w:rPr>
        <w:lastRenderedPageBreak/>
        <w:t>Parton, N., 2014. The politics of child protection: Contemporary developments and future directions. Bloomsbury Publishing.</w:t>
      </w:r>
    </w:p>
    <w:p w14:paraId="032D8069" w14:textId="77777777" w:rsidR="00BC0307" w:rsidRPr="00BC0307" w:rsidRDefault="00BC0307" w:rsidP="00B442E0">
      <w:pPr>
        <w:spacing w:after="160" w:line="360" w:lineRule="auto"/>
        <w:jc w:val="both"/>
        <w:rPr>
          <w:rFonts w:ascii="Arial" w:eastAsia="Calibri" w:hAnsi="Arial" w:cs="Arial"/>
          <w:kern w:val="2"/>
          <w:lang w:val="en-GB"/>
          <w14:ligatures w14:val="standardContextual"/>
        </w:rPr>
      </w:pPr>
      <w:r w:rsidRPr="00BC0307">
        <w:rPr>
          <w:rFonts w:ascii="Arial" w:eastAsia="Calibri" w:hAnsi="Arial" w:cs="Arial"/>
          <w:kern w:val="2"/>
          <w:lang w:val="en-GB"/>
          <w14:ligatures w14:val="standardContextual"/>
        </w:rPr>
        <w:t>Rowlands, G., Protheroe, J., Winkley, J., Richardson, M., Seed, P.T. and Rudd, R. (2015) 'A mismatch between population health literacy and the complexity of health information: an observational study', British Journal of General Practice, 65(635), pp. e379-e386.</w:t>
      </w:r>
    </w:p>
    <w:p w14:paraId="03A3FD09" w14:textId="3F685F7E" w:rsidR="00BC0307" w:rsidRPr="00BC0307" w:rsidRDefault="00BC0307" w:rsidP="00BC0307">
      <w:pPr>
        <w:spacing w:after="0" w:line="360" w:lineRule="auto"/>
        <w:jc w:val="both"/>
        <w:rPr>
          <w:rFonts w:ascii="Arial" w:eastAsia="Calibri" w:hAnsi="Arial" w:cs="Arial"/>
          <w:kern w:val="2"/>
          <w14:ligatures w14:val="standardContextual"/>
        </w:rPr>
      </w:pPr>
      <w:r w:rsidRPr="00BC0307">
        <w:rPr>
          <w:rFonts w:ascii="Arial" w:eastAsia="Calibri" w:hAnsi="Arial" w:cs="Arial"/>
          <w:kern w:val="2"/>
          <w14:ligatures w14:val="standardContextual"/>
        </w:rPr>
        <w:t xml:space="preserve">Tilbury, C. and Osmond, J., 2006. Permanency planning in foster care: A research review and guidelines for practitioners. Australian Social Work, 59(3), pp.265-280. Available at: </w:t>
      </w:r>
      <w:hyperlink r:id="rId15" w:history="1">
        <w:r w:rsidRPr="00BC0307">
          <w:rPr>
            <w:rFonts w:ascii="Arial" w:eastAsia="Calibri" w:hAnsi="Arial" w:cs="Arial"/>
            <w:color w:val="0563C1"/>
            <w:kern w:val="2"/>
            <w:u w:val="single"/>
            <w14:ligatures w14:val="standardContextual"/>
          </w:rPr>
          <w:t>https://research-repository.griffith.edu.au/bitstreams/2232e73a-34dc-58ab-892d-10b405f0de88/download</w:t>
        </w:r>
      </w:hyperlink>
      <w:r w:rsidRPr="00BC0307">
        <w:rPr>
          <w:rFonts w:ascii="Arial" w:eastAsia="Calibri" w:hAnsi="Arial" w:cs="Arial"/>
          <w:kern w:val="2"/>
          <w14:ligatures w14:val="standardContextual"/>
        </w:rPr>
        <w:t xml:space="preserve"> (Accessed: </w:t>
      </w:r>
      <w:r w:rsidR="00632F70">
        <w:rPr>
          <w:rFonts w:ascii="Arial" w:eastAsia="Calibri" w:hAnsi="Arial" w:cs="Arial"/>
          <w:kern w:val="2"/>
          <w14:ligatures w14:val="standardContextual"/>
        </w:rPr>
        <w:t>8</w:t>
      </w:r>
      <w:r w:rsidR="00222785">
        <w:rPr>
          <w:rFonts w:ascii="Arial" w:eastAsia="Calibri" w:hAnsi="Arial" w:cs="Arial"/>
          <w:kern w:val="2"/>
          <w14:ligatures w14:val="standardContextual"/>
        </w:rPr>
        <w:t>th</w:t>
      </w:r>
      <w:r w:rsidRPr="00BC0307">
        <w:rPr>
          <w:rFonts w:ascii="Arial" w:eastAsia="Calibri" w:hAnsi="Arial" w:cs="Arial"/>
          <w:kern w:val="2"/>
          <w14:ligatures w14:val="standardContextual"/>
        </w:rPr>
        <w:t xml:space="preserve"> August 2026).</w:t>
      </w:r>
    </w:p>
    <w:p w14:paraId="452F0149" w14:textId="63BF3BFD" w:rsidR="00BC0307" w:rsidRPr="00BC0307" w:rsidRDefault="00BC0307" w:rsidP="00BC0307">
      <w:pPr>
        <w:spacing w:after="0" w:line="360" w:lineRule="auto"/>
        <w:jc w:val="both"/>
        <w:rPr>
          <w:rFonts w:ascii="Arial" w:eastAsia="Calibri" w:hAnsi="Arial" w:cs="Arial"/>
          <w:kern w:val="2"/>
          <w14:ligatures w14:val="standardContextual"/>
        </w:rPr>
      </w:pPr>
      <w:r w:rsidRPr="00BC0307">
        <w:rPr>
          <w:rFonts w:ascii="Arial" w:eastAsia="Calibri" w:hAnsi="Arial" w:cs="Arial"/>
          <w:kern w:val="2"/>
          <w:lang w:val="en-GB"/>
          <w14:ligatures w14:val="standardContextual"/>
        </w:rPr>
        <w:t xml:space="preserve">Tower Hamlets Council (2026) Tower Hamlets Best Start Family Hubs. Available at: </w:t>
      </w:r>
      <w:hyperlink r:id="rId16" w:history="1">
        <w:r w:rsidRPr="00BC0307">
          <w:rPr>
            <w:rStyle w:val="Hyperlink"/>
            <w:rFonts w:ascii="Arial" w:eastAsia="Calibri" w:hAnsi="Arial" w:cs="Arial"/>
            <w:kern w:val="2"/>
            <w:lang w:val="en-GB"/>
            <w14:ligatures w14:val="standardContextual"/>
          </w:rPr>
          <w:t>https://www.towerhamlets.gov.uk/lgnl/health__social_care/children_and_family_care/Early_Help/Tower-Hamlets-Best-Start-Family-Hubs.aspx</w:t>
        </w:r>
      </w:hyperlink>
      <w:r w:rsidRPr="00BC0307">
        <w:rPr>
          <w:rFonts w:ascii="Arial" w:eastAsia="Calibri" w:hAnsi="Arial" w:cs="Arial"/>
          <w:kern w:val="2"/>
          <w:lang w:val="en-GB"/>
          <w14:ligatures w14:val="standardContextual"/>
        </w:rPr>
        <w:t xml:space="preserve"> (Accessed: 2</w:t>
      </w:r>
      <w:r w:rsidR="00222785">
        <w:rPr>
          <w:rFonts w:ascii="Arial" w:eastAsia="Calibri" w:hAnsi="Arial" w:cs="Arial"/>
          <w:kern w:val="2"/>
          <w:lang w:val="en-GB"/>
          <w14:ligatures w14:val="standardContextual"/>
        </w:rPr>
        <w:t>nd</w:t>
      </w:r>
      <w:r w:rsidRPr="00BC0307">
        <w:rPr>
          <w:rFonts w:ascii="Arial" w:eastAsia="Calibri" w:hAnsi="Arial" w:cs="Arial"/>
          <w:kern w:val="2"/>
          <w:lang w:val="en-GB"/>
          <w14:ligatures w14:val="standardContextual"/>
        </w:rPr>
        <w:t xml:space="preserve"> August 2026).</w:t>
      </w:r>
    </w:p>
    <w:sectPr w:rsidR="00BC0307" w:rsidRPr="00BC0307" w:rsidSect="008D288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07A57B1"/>
    <w:multiLevelType w:val="hybridMultilevel"/>
    <w:tmpl w:val="DA14E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7C529C"/>
    <w:multiLevelType w:val="multilevel"/>
    <w:tmpl w:val="F0EC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2E2F6E"/>
    <w:multiLevelType w:val="hybridMultilevel"/>
    <w:tmpl w:val="B1D82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015819"/>
    <w:multiLevelType w:val="hybridMultilevel"/>
    <w:tmpl w:val="17023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244B2F"/>
    <w:multiLevelType w:val="hybridMultilevel"/>
    <w:tmpl w:val="FD66E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A46310"/>
    <w:multiLevelType w:val="hybridMultilevel"/>
    <w:tmpl w:val="6BF61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D1476C"/>
    <w:multiLevelType w:val="multilevel"/>
    <w:tmpl w:val="732E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7E1208"/>
    <w:multiLevelType w:val="hybridMultilevel"/>
    <w:tmpl w:val="D3FC078A"/>
    <w:lvl w:ilvl="0" w:tplc="95D0B380">
      <w:start w:val="1"/>
      <w:numFmt w:val="bullet"/>
      <w:lvlText w:val="●"/>
      <w:lvlJc w:val="left"/>
      <w:pPr>
        <w:ind w:left="720" w:hanging="360"/>
      </w:pPr>
    </w:lvl>
    <w:lvl w:ilvl="1" w:tplc="D8DE3C40">
      <w:start w:val="1"/>
      <w:numFmt w:val="bullet"/>
      <w:lvlText w:val="○"/>
      <w:lvlJc w:val="left"/>
      <w:pPr>
        <w:ind w:left="1440" w:hanging="360"/>
      </w:pPr>
    </w:lvl>
    <w:lvl w:ilvl="2" w:tplc="D7C8D370">
      <w:start w:val="1"/>
      <w:numFmt w:val="bullet"/>
      <w:lvlText w:val="■"/>
      <w:lvlJc w:val="left"/>
      <w:pPr>
        <w:ind w:left="2160" w:hanging="360"/>
      </w:pPr>
    </w:lvl>
    <w:lvl w:ilvl="3" w:tplc="0C5CA58C">
      <w:start w:val="1"/>
      <w:numFmt w:val="bullet"/>
      <w:lvlText w:val="●"/>
      <w:lvlJc w:val="left"/>
      <w:pPr>
        <w:ind w:left="2880" w:hanging="360"/>
      </w:pPr>
    </w:lvl>
    <w:lvl w:ilvl="4" w:tplc="89EA6004">
      <w:start w:val="1"/>
      <w:numFmt w:val="bullet"/>
      <w:lvlText w:val="○"/>
      <w:lvlJc w:val="left"/>
      <w:pPr>
        <w:ind w:left="3600" w:hanging="360"/>
      </w:pPr>
    </w:lvl>
    <w:lvl w:ilvl="5" w:tplc="CCD46E8A">
      <w:start w:val="1"/>
      <w:numFmt w:val="bullet"/>
      <w:lvlText w:val="■"/>
      <w:lvlJc w:val="left"/>
      <w:pPr>
        <w:ind w:left="4320" w:hanging="360"/>
      </w:pPr>
    </w:lvl>
    <w:lvl w:ilvl="6" w:tplc="1AD0F228">
      <w:start w:val="1"/>
      <w:numFmt w:val="bullet"/>
      <w:lvlText w:val="●"/>
      <w:lvlJc w:val="left"/>
      <w:pPr>
        <w:ind w:left="5040" w:hanging="360"/>
      </w:pPr>
    </w:lvl>
    <w:lvl w:ilvl="7" w:tplc="72FCB2B4">
      <w:start w:val="1"/>
      <w:numFmt w:val="bullet"/>
      <w:lvlText w:val="●"/>
      <w:lvlJc w:val="left"/>
      <w:pPr>
        <w:ind w:left="5760" w:hanging="360"/>
      </w:pPr>
    </w:lvl>
    <w:lvl w:ilvl="8" w:tplc="3A680AD8">
      <w:start w:val="1"/>
      <w:numFmt w:val="bullet"/>
      <w:lvlText w:val="●"/>
      <w:lvlJc w:val="left"/>
      <w:pPr>
        <w:ind w:left="6480" w:hanging="360"/>
      </w:pPr>
    </w:lvl>
  </w:abstractNum>
  <w:abstractNum w:abstractNumId="17" w15:restartNumberingAfterBreak="0">
    <w:nsid w:val="40553E36"/>
    <w:multiLevelType w:val="multilevel"/>
    <w:tmpl w:val="A1AE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EA5C2E"/>
    <w:multiLevelType w:val="hybridMultilevel"/>
    <w:tmpl w:val="5D0C32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78877F4"/>
    <w:multiLevelType w:val="hybridMultilevel"/>
    <w:tmpl w:val="5C0235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9EF26A7"/>
    <w:multiLevelType w:val="hybridMultilevel"/>
    <w:tmpl w:val="FAA8C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350A97"/>
    <w:multiLevelType w:val="multilevel"/>
    <w:tmpl w:val="CE02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513C22"/>
    <w:multiLevelType w:val="hybridMultilevel"/>
    <w:tmpl w:val="5A68A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421EDB"/>
    <w:multiLevelType w:val="hybridMultilevel"/>
    <w:tmpl w:val="E424B670"/>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4" w15:restartNumberingAfterBreak="0">
    <w:nsid w:val="4DE937A8"/>
    <w:multiLevelType w:val="hybridMultilevel"/>
    <w:tmpl w:val="C1B26DD8"/>
    <w:lvl w:ilvl="0" w:tplc="6B1CAD42">
      <w:start w:val="1"/>
      <w:numFmt w:val="bullet"/>
      <w:lvlText w:val="●"/>
      <w:lvlJc w:val="left"/>
      <w:pPr>
        <w:ind w:left="720" w:hanging="360"/>
      </w:pPr>
    </w:lvl>
    <w:lvl w:ilvl="1" w:tplc="4B92847E">
      <w:start w:val="1"/>
      <w:numFmt w:val="bullet"/>
      <w:lvlText w:val="○"/>
      <w:lvlJc w:val="left"/>
      <w:pPr>
        <w:ind w:left="1440" w:hanging="360"/>
      </w:pPr>
    </w:lvl>
    <w:lvl w:ilvl="2" w:tplc="7CBC9DDE">
      <w:start w:val="1"/>
      <w:numFmt w:val="bullet"/>
      <w:lvlText w:val="■"/>
      <w:lvlJc w:val="left"/>
      <w:pPr>
        <w:ind w:left="2160" w:hanging="360"/>
      </w:pPr>
    </w:lvl>
    <w:lvl w:ilvl="3" w:tplc="C2642D66">
      <w:start w:val="1"/>
      <w:numFmt w:val="bullet"/>
      <w:lvlText w:val="●"/>
      <w:lvlJc w:val="left"/>
      <w:pPr>
        <w:ind w:left="2880" w:hanging="360"/>
      </w:pPr>
    </w:lvl>
    <w:lvl w:ilvl="4" w:tplc="F93AD040">
      <w:start w:val="1"/>
      <w:numFmt w:val="bullet"/>
      <w:lvlText w:val="○"/>
      <w:lvlJc w:val="left"/>
      <w:pPr>
        <w:ind w:left="3600" w:hanging="360"/>
      </w:pPr>
    </w:lvl>
    <w:lvl w:ilvl="5" w:tplc="C5F034FC">
      <w:start w:val="1"/>
      <w:numFmt w:val="bullet"/>
      <w:lvlText w:val="■"/>
      <w:lvlJc w:val="left"/>
      <w:pPr>
        <w:ind w:left="4320" w:hanging="360"/>
      </w:pPr>
    </w:lvl>
    <w:lvl w:ilvl="6" w:tplc="2DB259B4">
      <w:start w:val="1"/>
      <w:numFmt w:val="bullet"/>
      <w:lvlText w:val="●"/>
      <w:lvlJc w:val="left"/>
      <w:pPr>
        <w:ind w:left="5040" w:hanging="360"/>
      </w:pPr>
    </w:lvl>
    <w:lvl w:ilvl="7" w:tplc="DC0C3B7E">
      <w:start w:val="1"/>
      <w:numFmt w:val="bullet"/>
      <w:lvlText w:val="●"/>
      <w:lvlJc w:val="left"/>
      <w:pPr>
        <w:ind w:left="5760" w:hanging="360"/>
      </w:pPr>
    </w:lvl>
    <w:lvl w:ilvl="8" w:tplc="DF207324">
      <w:start w:val="1"/>
      <w:numFmt w:val="bullet"/>
      <w:lvlText w:val="●"/>
      <w:lvlJc w:val="left"/>
      <w:pPr>
        <w:ind w:left="6480" w:hanging="360"/>
      </w:pPr>
    </w:lvl>
  </w:abstractNum>
  <w:abstractNum w:abstractNumId="25" w15:restartNumberingAfterBreak="0">
    <w:nsid w:val="5904343E"/>
    <w:multiLevelType w:val="hybridMultilevel"/>
    <w:tmpl w:val="E70A2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D653FD"/>
    <w:multiLevelType w:val="hybridMultilevel"/>
    <w:tmpl w:val="A132A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0136721">
    <w:abstractNumId w:val="8"/>
  </w:num>
  <w:num w:numId="2" w16cid:durableId="1649092264">
    <w:abstractNumId w:val="6"/>
  </w:num>
  <w:num w:numId="3" w16cid:durableId="1612711188">
    <w:abstractNumId w:val="5"/>
  </w:num>
  <w:num w:numId="4" w16cid:durableId="1658145042">
    <w:abstractNumId w:val="4"/>
  </w:num>
  <w:num w:numId="5" w16cid:durableId="417101062">
    <w:abstractNumId w:val="7"/>
  </w:num>
  <w:num w:numId="6" w16cid:durableId="1216232831">
    <w:abstractNumId w:val="3"/>
  </w:num>
  <w:num w:numId="7" w16cid:durableId="1031685621">
    <w:abstractNumId w:val="2"/>
  </w:num>
  <w:num w:numId="8" w16cid:durableId="1951010125">
    <w:abstractNumId w:val="1"/>
  </w:num>
  <w:num w:numId="9" w16cid:durableId="343632715">
    <w:abstractNumId w:val="0"/>
  </w:num>
  <w:num w:numId="10" w16cid:durableId="159086511">
    <w:abstractNumId w:val="18"/>
  </w:num>
  <w:num w:numId="11" w16cid:durableId="241646103">
    <w:abstractNumId w:val="23"/>
  </w:num>
  <w:num w:numId="12" w16cid:durableId="1637367943">
    <w:abstractNumId w:val="19"/>
  </w:num>
  <w:num w:numId="13" w16cid:durableId="70932289">
    <w:abstractNumId w:val="15"/>
  </w:num>
  <w:num w:numId="14" w16cid:durableId="138421014">
    <w:abstractNumId w:val="10"/>
  </w:num>
  <w:num w:numId="15" w16cid:durableId="679046946">
    <w:abstractNumId w:val="21"/>
  </w:num>
  <w:num w:numId="16" w16cid:durableId="462693804">
    <w:abstractNumId w:val="17"/>
  </w:num>
  <w:num w:numId="17" w16cid:durableId="672493117">
    <w:abstractNumId w:val="24"/>
    <w:lvlOverride w:ilvl="0">
      <w:startOverride w:val="1"/>
    </w:lvlOverride>
  </w:num>
  <w:num w:numId="18" w16cid:durableId="1736975686">
    <w:abstractNumId w:val="16"/>
    <w:lvlOverride w:ilvl="0">
      <w:startOverride w:val="1"/>
    </w:lvlOverride>
  </w:num>
  <w:num w:numId="19" w16cid:durableId="752776503">
    <w:abstractNumId w:val="11"/>
  </w:num>
  <w:num w:numId="20" w16cid:durableId="1708334480">
    <w:abstractNumId w:val="22"/>
  </w:num>
  <w:num w:numId="21" w16cid:durableId="65231752">
    <w:abstractNumId w:val="13"/>
  </w:num>
  <w:num w:numId="22" w16cid:durableId="1332828027">
    <w:abstractNumId w:val="25"/>
  </w:num>
  <w:num w:numId="23" w16cid:durableId="1625884657">
    <w:abstractNumId w:val="20"/>
  </w:num>
  <w:num w:numId="24" w16cid:durableId="992104727">
    <w:abstractNumId w:val="14"/>
  </w:num>
  <w:num w:numId="25" w16cid:durableId="110982268">
    <w:abstractNumId w:val="9"/>
  </w:num>
  <w:num w:numId="26" w16cid:durableId="1674991441">
    <w:abstractNumId w:val="12"/>
  </w:num>
  <w:num w:numId="27" w16cid:durableId="175165769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6738"/>
    <w:rsid w:val="000558EA"/>
    <w:rsid w:val="00057654"/>
    <w:rsid w:val="0006063C"/>
    <w:rsid w:val="00070D83"/>
    <w:rsid w:val="00073FEE"/>
    <w:rsid w:val="00080652"/>
    <w:rsid w:val="000E6E07"/>
    <w:rsid w:val="00102731"/>
    <w:rsid w:val="00122A51"/>
    <w:rsid w:val="00137DD1"/>
    <w:rsid w:val="001403F8"/>
    <w:rsid w:val="00147C19"/>
    <w:rsid w:val="0015074B"/>
    <w:rsid w:val="00151104"/>
    <w:rsid w:val="001676F5"/>
    <w:rsid w:val="001A39CF"/>
    <w:rsid w:val="001B3395"/>
    <w:rsid w:val="001B7ECD"/>
    <w:rsid w:val="001C0050"/>
    <w:rsid w:val="001D0BCD"/>
    <w:rsid w:val="00205BFE"/>
    <w:rsid w:val="00222785"/>
    <w:rsid w:val="002230B5"/>
    <w:rsid w:val="00242645"/>
    <w:rsid w:val="002515A2"/>
    <w:rsid w:val="00287532"/>
    <w:rsid w:val="0029639D"/>
    <w:rsid w:val="00297385"/>
    <w:rsid w:val="002D426F"/>
    <w:rsid w:val="002E000F"/>
    <w:rsid w:val="002F2401"/>
    <w:rsid w:val="002F4409"/>
    <w:rsid w:val="003003A8"/>
    <w:rsid w:val="00326F90"/>
    <w:rsid w:val="0038313C"/>
    <w:rsid w:val="003B5010"/>
    <w:rsid w:val="003F1219"/>
    <w:rsid w:val="003F2AF3"/>
    <w:rsid w:val="00426083"/>
    <w:rsid w:val="00430A55"/>
    <w:rsid w:val="00442557"/>
    <w:rsid w:val="00471BB2"/>
    <w:rsid w:val="00472B5E"/>
    <w:rsid w:val="004E7C90"/>
    <w:rsid w:val="004F7C7E"/>
    <w:rsid w:val="00505FA2"/>
    <w:rsid w:val="00512B7A"/>
    <w:rsid w:val="00514D27"/>
    <w:rsid w:val="0053123D"/>
    <w:rsid w:val="0054599F"/>
    <w:rsid w:val="005740AD"/>
    <w:rsid w:val="005901C8"/>
    <w:rsid w:val="00590991"/>
    <w:rsid w:val="005A13EA"/>
    <w:rsid w:val="005B259F"/>
    <w:rsid w:val="005C3D39"/>
    <w:rsid w:val="005D5B88"/>
    <w:rsid w:val="005E7262"/>
    <w:rsid w:val="005E773A"/>
    <w:rsid w:val="005F355B"/>
    <w:rsid w:val="0060261F"/>
    <w:rsid w:val="00603991"/>
    <w:rsid w:val="006252F7"/>
    <w:rsid w:val="00632F70"/>
    <w:rsid w:val="00695684"/>
    <w:rsid w:val="006C295F"/>
    <w:rsid w:val="006E4E48"/>
    <w:rsid w:val="00704D95"/>
    <w:rsid w:val="00723F15"/>
    <w:rsid w:val="007267BF"/>
    <w:rsid w:val="00744252"/>
    <w:rsid w:val="00746601"/>
    <w:rsid w:val="007566C3"/>
    <w:rsid w:val="00757CA3"/>
    <w:rsid w:val="00775BAA"/>
    <w:rsid w:val="007A26F7"/>
    <w:rsid w:val="007B598E"/>
    <w:rsid w:val="007C068B"/>
    <w:rsid w:val="00812FE5"/>
    <w:rsid w:val="00816D5B"/>
    <w:rsid w:val="008418E1"/>
    <w:rsid w:val="008632EB"/>
    <w:rsid w:val="00872AFF"/>
    <w:rsid w:val="00881835"/>
    <w:rsid w:val="008D288B"/>
    <w:rsid w:val="00914015"/>
    <w:rsid w:val="0091731B"/>
    <w:rsid w:val="009478CF"/>
    <w:rsid w:val="009800B5"/>
    <w:rsid w:val="00986F20"/>
    <w:rsid w:val="009871FB"/>
    <w:rsid w:val="00A01E2F"/>
    <w:rsid w:val="00A05913"/>
    <w:rsid w:val="00A32E0C"/>
    <w:rsid w:val="00A45868"/>
    <w:rsid w:val="00A873D7"/>
    <w:rsid w:val="00A9021B"/>
    <w:rsid w:val="00AA1D8D"/>
    <w:rsid w:val="00AF7A79"/>
    <w:rsid w:val="00B00D42"/>
    <w:rsid w:val="00B1200B"/>
    <w:rsid w:val="00B442E0"/>
    <w:rsid w:val="00B47730"/>
    <w:rsid w:val="00B579A7"/>
    <w:rsid w:val="00B85FBD"/>
    <w:rsid w:val="00B900E0"/>
    <w:rsid w:val="00BA2D7B"/>
    <w:rsid w:val="00BB4A65"/>
    <w:rsid w:val="00BB6482"/>
    <w:rsid w:val="00BC0307"/>
    <w:rsid w:val="00BD7991"/>
    <w:rsid w:val="00C22FA8"/>
    <w:rsid w:val="00C2660C"/>
    <w:rsid w:val="00C477F8"/>
    <w:rsid w:val="00C76E6D"/>
    <w:rsid w:val="00C77E1D"/>
    <w:rsid w:val="00CB0664"/>
    <w:rsid w:val="00D0729C"/>
    <w:rsid w:val="00D40D0A"/>
    <w:rsid w:val="00D45692"/>
    <w:rsid w:val="00D468FC"/>
    <w:rsid w:val="00D851DD"/>
    <w:rsid w:val="00D92138"/>
    <w:rsid w:val="00DB6ADD"/>
    <w:rsid w:val="00DC4670"/>
    <w:rsid w:val="00DF5451"/>
    <w:rsid w:val="00E25F82"/>
    <w:rsid w:val="00EB2BDE"/>
    <w:rsid w:val="00EC0659"/>
    <w:rsid w:val="00ED488E"/>
    <w:rsid w:val="00EF260C"/>
    <w:rsid w:val="00FB4FB6"/>
    <w:rsid w:val="00FC693F"/>
    <w:rsid w:val="00FD7C68"/>
    <w:rsid w:val="00FE182F"/>
    <w:rsid w:val="00FE57DF"/>
    <w:rsid w:val="00FF0417"/>
    <w:rsid w:val="00FF11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CFC57C"/>
  <w14:defaultImageDpi w14:val="300"/>
  <w15:docId w15:val="{15B3CE3B-B4CB-4F28-8C61-5FFED14C8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4-Accent1">
    <w:name w:val="Grid Table 4 Accent 1"/>
    <w:basedOn w:val="TableNormal"/>
    <w:uiPriority w:val="49"/>
    <w:rsid w:val="00704D9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FD7C68"/>
    <w:rPr>
      <w:color w:val="0000FF" w:themeColor="hyperlink"/>
      <w:u w:val="single"/>
    </w:rPr>
  </w:style>
  <w:style w:type="character" w:styleId="UnresolvedMention">
    <w:name w:val="Unresolved Mention"/>
    <w:basedOn w:val="DefaultParagraphFont"/>
    <w:uiPriority w:val="99"/>
    <w:semiHidden/>
    <w:unhideWhenUsed/>
    <w:rsid w:val="00FD7C68"/>
    <w:rPr>
      <w:color w:val="605E5C"/>
      <w:shd w:val="clear" w:color="auto" w:fill="E1DFDD"/>
    </w:rPr>
  </w:style>
  <w:style w:type="character" w:styleId="FollowedHyperlink">
    <w:name w:val="FollowedHyperlink"/>
    <w:basedOn w:val="DefaultParagraphFont"/>
    <w:uiPriority w:val="99"/>
    <w:semiHidden/>
    <w:unhideWhenUsed/>
    <w:rsid w:val="00FD7C68"/>
    <w:rPr>
      <w:color w:val="800080" w:themeColor="followedHyperlink"/>
      <w:u w:val="single"/>
    </w:rPr>
  </w:style>
  <w:style w:type="character" w:customStyle="1" w:styleId="cursor-pointer">
    <w:name w:val="cursor-pointer"/>
    <w:basedOn w:val="DefaultParagraphFont"/>
    <w:rsid w:val="009800B5"/>
  </w:style>
  <w:style w:type="paragraph" w:styleId="TOC1">
    <w:name w:val="toc 1"/>
    <w:basedOn w:val="Normal"/>
    <w:next w:val="Normal"/>
    <w:autoRedefine/>
    <w:uiPriority w:val="39"/>
    <w:unhideWhenUsed/>
    <w:rsid w:val="005F355B"/>
    <w:pPr>
      <w:spacing w:after="100"/>
    </w:pPr>
  </w:style>
  <w:style w:type="paragraph" w:styleId="TOC2">
    <w:name w:val="toc 2"/>
    <w:basedOn w:val="Normal"/>
    <w:next w:val="Normal"/>
    <w:autoRedefine/>
    <w:uiPriority w:val="39"/>
    <w:unhideWhenUsed/>
    <w:rsid w:val="005F355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28de13be90e071f5f7e1bd2/Early_Help_System_Guide.pdf" TargetMode="External"/><Relationship Id="rId13" Type="http://schemas.openxmlformats.org/officeDocument/2006/relationships/hyperlink" Target="https://bmjopen.bmj.com/content/bmjopen/6/11/e012337.full.pdf%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academia.edu/download/42891662/09_01_07.pdf" TargetMode="External"/><Relationship Id="rId12" Type="http://schemas.openxmlformats.org/officeDocument/2006/relationships/hyperlink" Target="https://leicestershiretradedservices.org.uk/Page/689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owerhamlets.gov.uk/lgnl/health__social_care/children_and_family_care/Early_Help/Tower-Hamlets-Best-Start-Family-Hubs.aspx"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eeds.gov.uk/children-and-families/services-for-families%20" TargetMode="External"/><Relationship Id="rId5" Type="http://schemas.openxmlformats.org/officeDocument/2006/relationships/webSettings" Target="webSettings.xml"/><Relationship Id="rId15" Type="http://schemas.openxmlformats.org/officeDocument/2006/relationships/hyperlink" Target="https://research-repository.griffith.edu.au/bitstreams/2232e73a-34dc-58ab-892d-10b405f0de88/download" TargetMode="External"/><Relationship Id="rId10" Type="http://schemas.openxmlformats.org/officeDocument/2006/relationships/hyperlink" Target="https://www.legislation.gov.uk/ukpga/2010/15/part/2" TargetMode="External"/><Relationship Id="rId4" Type="http://schemas.openxmlformats.org/officeDocument/2006/relationships/settings" Target="settings.xml"/><Relationship Id="rId9" Type="http://schemas.openxmlformats.org/officeDocument/2006/relationships/hyperlink" Target="https://assets.publishing.service.gov.uk/media/69fb1c28d0e316a40f269a5b/Working_together_to_safeguard_children_2026_a_guide_to_multi_agency_working.pdf" TargetMode="External"/><Relationship Id="rId14" Type="http://schemas.openxmlformats.org/officeDocument/2006/relationships/hyperlink" Target="https://journals.flvc.org/ASQ/article/download/136013/1404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3340</Words>
  <Characters>19039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22335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mercy inyang</cp:lastModifiedBy>
  <cp:revision>57</cp:revision>
  <dcterms:created xsi:type="dcterms:W3CDTF">2026-08-08T16:19:00Z</dcterms:created>
  <dcterms:modified xsi:type="dcterms:W3CDTF">2026-08-13T08:45:00Z</dcterms:modified>
  <cp:category/>
</cp:coreProperties>
</file>