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F33B7" w14:textId="77777777" w:rsidR="001B7D26" w:rsidRDefault="001B7D26" w:rsidP="001B7D26">
      <w:r>
        <w:t>Does redness exist independently of particular red things?</w:t>
      </w:r>
    </w:p>
    <w:p w14:paraId="3CDFEC1E" w14:textId="77777777" w:rsidR="001B7D26" w:rsidRDefault="001B7D26" w:rsidP="001B7D26">
      <w:r>
        <w:t xml:space="preserve">Redness, either is or is not a property. A property, according to John W. Carroll and Ned </w:t>
      </w:r>
      <w:proofErr w:type="spellStart"/>
      <w:r>
        <w:t>Markosian</w:t>
      </w:r>
      <w:proofErr w:type="spellEnd"/>
      <w:r>
        <w:t xml:space="preserve"> in their joint book </w:t>
      </w:r>
      <w:r w:rsidRPr="0004195F">
        <w:rPr>
          <w:i/>
        </w:rPr>
        <w:t>An Introduction to Metaphysics</w:t>
      </w:r>
      <w:r w:rsidR="001350A9">
        <w:rPr>
          <w:rStyle w:val="FootnoteReference"/>
          <w:i/>
        </w:rPr>
        <w:footnoteReference w:id="1"/>
      </w:r>
      <w:r>
        <w:t xml:space="preserve"> is ‘qualities, features, characteristics, or attributes’. Yet when it comes to redness and properties of colours like redness, Carroll and </w:t>
      </w:r>
      <w:proofErr w:type="spellStart"/>
      <w:r>
        <w:t>Markosian</w:t>
      </w:r>
      <w:proofErr w:type="spellEnd"/>
      <w:r>
        <w:t xml:space="preserve"> give redness a different kind of property. Purporting redness to be a ‘property of </w:t>
      </w:r>
      <w:proofErr w:type="gramStart"/>
      <w:r>
        <w:t>properties’</w:t>
      </w:r>
      <w:proofErr w:type="gramEnd"/>
      <w:r>
        <w:t xml:space="preserve">. A property in such a sense would be a second order property because the properties’ existence is dependent upon another property existing first. A first order property exists independently and on its own whereas a second order property needs to be the property of something else. The issue sparked here by both Carroll and </w:t>
      </w:r>
      <w:proofErr w:type="spellStart"/>
      <w:r>
        <w:t>Markosian</w:t>
      </w:r>
      <w:proofErr w:type="spellEnd"/>
      <w:r>
        <w:t xml:space="preserve"> is there is no common agreement upon whether there even </w:t>
      </w:r>
      <w:r>
        <w:rPr>
          <w:i/>
        </w:rPr>
        <w:t xml:space="preserve">is </w:t>
      </w:r>
      <w:r>
        <w:t xml:space="preserve">secondary properties let alone whether redness and colour properties belong there. Even if redness did belong there, would red not just be a property but a universal? It seems as though Carroll and </w:t>
      </w:r>
      <w:proofErr w:type="spellStart"/>
      <w:r>
        <w:t>Markosian</w:t>
      </w:r>
      <w:proofErr w:type="spellEnd"/>
      <w:r>
        <w:t xml:space="preserve"> have done this on purpose in an attempt to highlight the divide</w:t>
      </w:r>
      <w:r w:rsidR="00413568">
        <w:t xml:space="preserve">d opinions </w:t>
      </w:r>
      <w:r>
        <w:t xml:space="preserve">on the subject of properties. Not only do we need some ontological grounding as to whether properties exist, we need to enquire whether universals exist too. If, for instance, we were to show both, we may be able describe them as one and the same. </w:t>
      </w:r>
    </w:p>
    <w:p w14:paraId="7571FF4E" w14:textId="77777777" w:rsidR="001B7D26" w:rsidRDefault="001B7D26" w:rsidP="001B7D26">
      <w:r>
        <w:t>The 5 main different points of view on the subject of properties are the Platonists, Aristotelians, Trope Nominalists, Set Nominalists</w:t>
      </w:r>
      <w:r w:rsidR="00413568">
        <w:t xml:space="preserve"> and </w:t>
      </w:r>
      <w:r>
        <w:t xml:space="preserve">Austere Nominalists. Both the Platonists and the Aristotelians differ from the Nominalists in the respect that neither the Platonists nor the Aristotelians reject universals. Yet even more extremely, the Austere Nominalists disagree with Trope and Set Nominalists about the existence of properties outright. </w:t>
      </w:r>
      <w:r w:rsidR="0004195F">
        <w:t>Considering, both Platonism and Aristotelianism are the only 2 of the 3 which delve into existence of universals, the explanation of, and the basis for their existence will be addressed in</w:t>
      </w:r>
      <w:r w:rsidR="00413568">
        <w:t xml:space="preserve"> the</w:t>
      </w:r>
      <w:r w:rsidR="0004195F">
        <w:t xml:space="preserve"> Platonist/Aristotelean portion of the essay. The strengths of the universal view will be assessed in reference to both Platonism and Aristotelianism. Subsequently, considering the other 3 are anti-universalist, the weaknesses of universals will be extracted from the Nominalist view and in order to remain balanced, the drawbacks of the Nominalist view will be drawn out in turn. </w:t>
      </w:r>
      <w:r w:rsidR="00413568">
        <w:t xml:space="preserve">We must also, for the sake of detail, compare the positives and negatives of the universalist philosophies against each other. The same will be applied to the Nominalist philosophies against one another. </w:t>
      </w:r>
    </w:p>
    <w:p w14:paraId="315C4D52" w14:textId="2374D0CC" w:rsidR="00D035FB" w:rsidRDefault="00D035FB" w:rsidP="001B7D26">
      <w:r w:rsidRPr="00D035FB">
        <w:t>A universal must be able to represent a plurality of particulars</w:t>
      </w:r>
      <w:r w:rsidR="00830192">
        <w:t>;</w:t>
      </w:r>
      <w:r w:rsidRPr="00D035FB">
        <w:t xml:space="preserve"> </w:t>
      </w:r>
      <w:r w:rsidR="00830192">
        <w:t>a</w:t>
      </w:r>
      <w:r w:rsidRPr="00D035FB">
        <w:t xml:space="preserve"> particular, by its very nature is incapable of doing so. If an apple is red under the model of universals and particulars, the apple being the particular and redness being the universal, then the apple is red if and only if the apple represents redness. So, under such a notion we can certainly claim the particular thing to have redness but it still seems unclear how this would move to a universal redness. We can move to </w:t>
      </w:r>
      <w:r w:rsidR="00830192">
        <w:t xml:space="preserve">a </w:t>
      </w:r>
      <w:r w:rsidRPr="00D035FB">
        <w:t xml:space="preserve">relation between the apple and redness which could be of some help. We could say, “this apple is red”. The use of the singular </w:t>
      </w:r>
      <w:r w:rsidRPr="00830192">
        <w:rPr>
          <w:i/>
        </w:rPr>
        <w:t>is</w:t>
      </w:r>
      <w:r w:rsidR="00830192">
        <w:rPr>
          <w:i/>
        </w:rPr>
        <w:t>,</w:t>
      </w:r>
      <w:r w:rsidRPr="00D035FB">
        <w:t xml:space="preserve"> being the important part here. The apple has redness if and only if the apple and redness share a relation which itself is represented. The relation/representation of the apple and redness is a relation/representation of being something.</w:t>
      </w:r>
      <w:r>
        <w:t xml:space="preserve"> This only gets us so far however, since</w:t>
      </w:r>
      <w:r w:rsidR="00830192">
        <w:t xml:space="preserve"> we</w:t>
      </w:r>
      <w:r>
        <w:t xml:space="preserve"> still cannot assert redness to be independent of a particular</w:t>
      </w:r>
      <w:r w:rsidR="00830192">
        <w:t xml:space="preserve"> red</w:t>
      </w:r>
      <w:r>
        <w:t xml:space="preserve"> thing. </w:t>
      </w:r>
    </w:p>
    <w:p w14:paraId="3D0F118A" w14:textId="253A0BBA" w:rsidR="00D035FB" w:rsidRDefault="005020AB" w:rsidP="001B7D26">
      <w:r>
        <w:t>Bertrand Russell</w:t>
      </w:r>
      <w:r w:rsidR="002B0EFB">
        <w:t xml:space="preserve">, in </w:t>
      </w:r>
      <w:r w:rsidR="002B0EFB">
        <w:rPr>
          <w:i/>
        </w:rPr>
        <w:t>The History of Western Philosophy</w:t>
      </w:r>
      <w:r w:rsidR="002B0EFB">
        <w:rPr>
          <w:rStyle w:val="FootnoteReference"/>
        </w:rPr>
        <w:footnoteReference w:id="2"/>
      </w:r>
      <w:r w:rsidR="002B0EFB">
        <w:rPr>
          <w:i/>
        </w:rPr>
        <w:t xml:space="preserve"> </w:t>
      </w:r>
      <w:r w:rsidR="002B0EFB">
        <w:t xml:space="preserve">argued the way in which Plato framed universals made knowledge of the universals themselves difficult to speak of. The universals or </w:t>
      </w:r>
      <w:r w:rsidR="002B0EFB">
        <w:rPr>
          <w:i/>
        </w:rPr>
        <w:t xml:space="preserve">forms </w:t>
      </w:r>
      <w:r w:rsidR="002B0EFB">
        <w:t>exist outside of spacetime and therefore have no way of impacting upon a contingent world bound by duration</w:t>
      </w:r>
      <w:r w:rsidR="006C1387">
        <w:t xml:space="preserve"> and location. </w:t>
      </w:r>
      <w:r w:rsidR="00830192">
        <w:t xml:space="preserve">Granted, such forms must exist outside of a contingent world but </w:t>
      </w:r>
      <w:r w:rsidR="00830192">
        <w:lastRenderedPageBreak/>
        <w:t xml:space="preserve">what Russell misses is Plato’s idea of the forms is not spaciotemporal by design. In Plato’s </w:t>
      </w:r>
      <w:r w:rsidR="00830192">
        <w:rPr>
          <w:i/>
        </w:rPr>
        <w:t>Republic</w:t>
      </w:r>
      <w:r w:rsidR="00830192">
        <w:rPr>
          <w:rStyle w:val="FootnoteReference"/>
          <w:i/>
        </w:rPr>
        <w:footnoteReference w:id="3"/>
      </w:r>
      <w:r w:rsidR="00830192">
        <w:rPr>
          <w:i/>
        </w:rPr>
        <w:t xml:space="preserve"> </w:t>
      </w:r>
      <w:r w:rsidR="00830192">
        <w:t>knowledge cannot be derived from the senses</w:t>
      </w:r>
      <w:r w:rsidR="00830192">
        <w:rPr>
          <w:rStyle w:val="FootnoteReference"/>
        </w:rPr>
        <w:footnoteReference w:id="4"/>
      </w:r>
      <w:r w:rsidR="00830192">
        <w:t xml:space="preserve"> since the objects being subjected to the senses are malleable and can change. We have to use pure reason in order to push the forms into the abstract</w:t>
      </w:r>
      <w:r w:rsidR="00830192">
        <w:rPr>
          <w:rStyle w:val="FootnoteReference"/>
        </w:rPr>
        <w:footnoteReference w:id="5"/>
      </w:r>
      <w:r w:rsidR="00830192">
        <w:t xml:space="preserve">. If we go back to our red apple, the apple is only so red while it is not decomposing. After enough time, the apple will change to brown. Thus, it is hard to consider redness as a form when the redness in question is fleeting. The Platonist view of universals is universals themselves are part of a transcendental, genuine reality which exists on the abstract metaphysical level and can only be understood through rational enquiry about the particulars which represent them. </w:t>
      </w:r>
    </w:p>
    <w:p w14:paraId="489761B0" w14:textId="2EEF8C9E" w:rsidR="00830192" w:rsidRDefault="00830192" w:rsidP="001B7D26">
      <w:r>
        <w:t>Yet Russell’s initial charge against Plato still stands, since whether we acknowledge that Plato’s forms are supposed to be non-spaciotemporal, we similarly have to acknowledge if Platonic forms are transcendental, whatever is supposed to be representative of them cannot be known</w:t>
      </w:r>
      <w:r>
        <w:rPr>
          <w:rStyle w:val="FootnoteReference"/>
        </w:rPr>
        <w:footnoteReference w:id="6"/>
      </w:r>
      <w:r>
        <w:t xml:space="preserve">. If the apple represents redness as a particular, redness needs to be accessible for us to know whether redness truly is what the apple is representing. </w:t>
      </w:r>
    </w:p>
    <w:p w14:paraId="00A708F8" w14:textId="0FB87C6B" w:rsidR="00313CFE" w:rsidRDefault="00830192" w:rsidP="001B7D26">
      <w:r>
        <w:t xml:space="preserve">Aristotle too, found difficulty with the Platonic theory of forms and laid out criticism of the Platonic view in </w:t>
      </w:r>
      <w:r>
        <w:rPr>
          <w:i/>
        </w:rPr>
        <w:t>Metaphysics</w:t>
      </w:r>
      <w:r>
        <w:rPr>
          <w:rStyle w:val="FootnoteReference"/>
          <w:i/>
        </w:rPr>
        <w:footnoteReference w:id="7"/>
      </w:r>
      <w:r w:rsidR="00FF10B2">
        <w:rPr>
          <w:i/>
        </w:rPr>
        <w:t xml:space="preserve"> </w:t>
      </w:r>
      <w:r w:rsidR="00FF10B2">
        <w:t>in which Aristotle claims Platonic forms have no use in a contingent world. Aristotle explained that for a Platonist, whatever is thought to be a universal/form is outside of the particular representing the universal. If Platonic forms are outside of spacetime they cannot cause any ‘movement or changes’ to particulars</w:t>
      </w:r>
      <w:r w:rsidR="00ED7409">
        <w:rPr>
          <w:rStyle w:val="FootnoteReference"/>
        </w:rPr>
        <w:footnoteReference w:id="8"/>
      </w:r>
      <w:r w:rsidR="00FF10B2">
        <w:t xml:space="preserve">. They are not innately found within the particulars so they cannot help sustain them either. </w:t>
      </w:r>
      <w:r w:rsidR="00D75BC0">
        <w:t xml:space="preserve">Universals, in the Aristotelian sense are </w:t>
      </w:r>
      <w:r w:rsidR="00FF5EEA">
        <w:t>spatiotemporal and therefore can have an impact on the world we inhabit because they are bound by the objects/particulars which represent them</w:t>
      </w:r>
      <w:r w:rsidR="00FF5EEA">
        <w:rPr>
          <w:rStyle w:val="FootnoteReference"/>
        </w:rPr>
        <w:footnoteReference w:id="9"/>
      </w:r>
      <w:r w:rsidR="00FF5EEA">
        <w:t xml:space="preserve">. As a consequence, we can see the representations of forms in the physical world. </w:t>
      </w:r>
      <w:r w:rsidR="00ED7409">
        <w:t xml:space="preserve">If the ontological structure of forms under Aristotelianism is immanent rather than transcendent, we need to know what they are immanent in. Take the apple again, the form of redness and what redness represents is to be found within the apple itself. It can subsequently be found within any other </w:t>
      </w:r>
      <w:r w:rsidR="00ED7409">
        <w:rPr>
          <w:i/>
        </w:rPr>
        <w:t xml:space="preserve">particular </w:t>
      </w:r>
      <w:r w:rsidR="00ED7409">
        <w:t xml:space="preserve">apple. </w:t>
      </w:r>
      <w:r w:rsidR="00AB4AA2">
        <w:t xml:space="preserve">Like Plato, there is still a plurality of forms though the forms are innate within a plurality of particulars which they happen to be represented by. </w:t>
      </w:r>
    </w:p>
    <w:p w14:paraId="0620B14E" w14:textId="34B8FC74" w:rsidR="00413568" w:rsidRPr="00DC03EC" w:rsidRDefault="008E47B8" w:rsidP="001B7D26">
      <w:r>
        <w:t>Earlier we mentioned how if a form is malleable and can change then knowledge of the form at any given moment can prove laborious since the particular representing the form will appear different at every given moment. In the Aristotelian ontology, there is an answer to Plato’s problem without having to</w:t>
      </w:r>
      <w:r w:rsidR="000E02CB">
        <w:t xml:space="preserve"> keep the forms outside of the material world. </w:t>
      </w:r>
      <w:r w:rsidR="00313CFE">
        <w:t xml:space="preserve">In Aristotelian philosophy, causation of all objects is directed towards a final </w:t>
      </w:r>
      <w:r w:rsidR="008E3370">
        <w:t xml:space="preserve">end. Each object has a telos described by Aristotle in </w:t>
      </w:r>
      <w:r w:rsidR="008E3370">
        <w:rPr>
          <w:i/>
        </w:rPr>
        <w:t>Physics</w:t>
      </w:r>
      <w:r w:rsidR="008E3370">
        <w:rPr>
          <w:rStyle w:val="FootnoteReference"/>
          <w:i/>
        </w:rPr>
        <w:footnoteReference w:id="10"/>
      </w:r>
      <w:r w:rsidR="008E3370">
        <w:t xml:space="preserve"> to mean the reason something has to be done.</w:t>
      </w:r>
      <w:r w:rsidR="00DC03EC">
        <w:t xml:space="preserve"> For instance,</w:t>
      </w:r>
      <w:r w:rsidR="008E3370">
        <w:t xml:space="preserve"> </w:t>
      </w:r>
      <w:r w:rsidR="00DC03EC">
        <w:t>t</w:t>
      </w:r>
      <w:r w:rsidR="008E3370">
        <w:t xml:space="preserve">he reason the arrow is aimed at the bullseye is to hit it. The reason/telos is to hit the red in the middle. </w:t>
      </w:r>
      <w:r w:rsidR="00DC03EC">
        <w:t xml:space="preserve">Furthermore, in Aristotle’s </w:t>
      </w:r>
      <w:r w:rsidR="00DC03EC">
        <w:rPr>
          <w:i/>
        </w:rPr>
        <w:t>On Parts of Animals</w:t>
      </w:r>
      <w:r w:rsidR="00DC03EC">
        <w:rPr>
          <w:rStyle w:val="FootnoteReference"/>
          <w:i/>
        </w:rPr>
        <w:footnoteReference w:id="11"/>
      </w:r>
      <w:r w:rsidR="00DC03EC">
        <w:rPr>
          <w:i/>
        </w:rPr>
        <w:t xml:space="preserve">  </w:t>
      </w:r>
      <w:r w:rsidR="00DC03EC">
        <w:t>t</w:t>
      </w:r>
      <w:r w:rsidR="00DC03EC" w:rsidRPr="00DC03EC">
        <w:t>he end is met properly if the object is in the right environment to meet its end</w:t>
      </w:r>
      <w:r w:rsidR="00DC03EC">
        <w:t xml:space="preserve">. So if the end of an apple is to be eaten then the apple must be grown in the right environment for that end to be carried out. </w:t>
      </w:r>
      <w:bookmarkStart w:id="0" w:name="_GoBack"/>
      <w:bookmarkEnd w:id="0"/>
    </w:p>
    <w:p w14:paraId="2F3EAC78" w14:textId="77777777" w:rsidR="001B7D26" w:rsidRDefault="001B7D26"/>
    <w:sectPr w:rsidR="001B7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4246A" w14:textId="77777777" w:rsidR="001B7D26" w:rsidRDefault="001B7D26" w:rsidP="001B7D26">
      <w:pPr>
        <w:spacing w:after="0" w:line="240" w:lineRule="auto"/>
      </w:pPr>
      <w:r>
        <w:separator/>
      </w:r>
    </w:p>
  </w:endnote>
  <w:endnote w:type="continuationSeparator" w:id="0">
    <w:p w14:paraId="7783885C" w14:textId="77777777" w:rsidR="001B7D26" w:rsidRDefault="001B7D26" w:rsidP="001B7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29292C" w14:textId="77777777" w:rsidR="001B7D26" w:rsidRDefault="001B7D26" w:rsidP="001B7D26">
      <w:pPr>
        <w:spacing w:after="0" w:line="240" w:lineRule="auto"/>
      </w:pPr>
      <w:r>
        <w:separator/>
      </w:r>
    </w:p>
  </w:footnote>
  <w:footnote w:type="continuationSeparator" w:id="0">
    <w:p w14:paraId="3118022F" w14:textId="77777777" w:rsidR="001B7D26" w:rsidRDefault="001B7D26" w:rsidP="001B7D26">
      <w:pPr>
        <w:spacing w:after="0" w:line="240" w:lineRule="auto"/>
      </w:pPr>
      <w:r>
        <w:continuationSeparator/>
      </w:r>
    </w:p>
  </w:footnote>
  <w:footnote w:id="1">
    <w:p w14:paraId="1EFCBE44" w14:textId="77777777" w:rsidR="001350A9" w:rsidRPr="00182E8D" w:rsidRDefault="001350A9">
      <w:pPr>
        <w:pStyle w:val="FootnoteText"/>
      </w:pPr>
      <w:r>
        <w:rPr>
          <w:rStyle w:val="FootnoteReference"/>
        </w:rPr>
        <w:footnoteRef/>
      </w:r>
      <w:r>
        <w:t xml:space="preserve"> Carroll W. John and </w:t>
      </w:r>
      <w:proofErr w:type="spellStart"/>
      <w:r>
        <w:t>Markosian</w:t>
      </w:r>
      <w:proofErr w:type="spellEnd"/>
      <w:r>
        <w:t>, Ned</w:t>
      </w:r>
      <w:r w:rsidR="006C1387">
        <w:t>,</w:t>
      </w:r>
      <w:r>
        <w:t xml:space="preserve"> </w:t>
      </w:r>
      <w:r>
        <w:rPr>
          <w:i/>
        </w:rPr>
        <w:t>An Introduction to Metaphysics,</w:t>
      </w:r>
      <w:r w:rsidR="00182E8D">
        <w:rPr>
          <w:i/>
        </w:rPr>
        <w:t xml:space="preserve"> </w:t>
      </w:r>
      <w:r w:rsidR="00182E8D">
        <w:t>P. 229</w:t>
      </w:r>
    </w:p>
  </w:footnote>
  <w:footnote w:id="2">
    <w:p w14:paraId="611C024E" w14:textId="77777777" w:rsidR="002B0EFB" w:rsidRPr="002B0EFB" w:rsidRDefault="002B0EFB">
      <w:pPr>
        <w:pStyle w:val="FootnoteText"/>
      </w:pPr>
      <w:r>
        <w:rPr>
          <w:rStyle w:val="FootnoteReference"/>
        </w:rPr>
        <w:footnoteRef/>
      </w:r>
      <w:r>
        <w:t xml:space="preserve"> Russell, Bertrand, </w:t>
      </w:r>
      <w:r>
        <w:rPr>
          <w:i/>
        </w:rPr>
        <w:t xml:space="preserve">The History of Western Philosophy, </w:t>
      </w:r>
      <w:r>
        <w:t xml:space="preserve">(New York: Simon Schuster, 1972) P. 126-130 </w:t>
      </w:r>
    </w:p>
  </w:footnote>
  <w:footnote w:id="3">
    <w:p w14:paraId="6B5757A4" w14:textId="518CD487" w:rsidR="00830192" w:rsidRPr="00830192" w:rsidRDefault="00830192">
      <w:pPr>
        <w:pStyle w:val="FootnoteText"/>
      </w:pPr>
      <w:r>
        <w:rPr>
          <w:rStyle w:val="FootnoteReference"/>
        </w:rPr>
        <w:footnoteRef/>
      </w:r>
      <w:r>
        <w:t xml:space="preserve"> Plato, </w:t>
      </w:r>
      <w:r>
        <w:rPr>
          <w:i/>
        </w:rPr>
        <w:t xml:space="preserve">Republic, </w:t>
      </w:r>
      <w:r>
        <w:t>P. 506, 514, 523 and 528</w:t>
      </w:r>
    </w:p>
  </w:footnote>
  <w:footnote w:id="4">
    <w:p w14:paraId="3C6B8D38" w14:textId="449B8C25" w:rsidR="00830192" w:rsidRPr="00830192" w:rsidRDefault="00830192">
      <w:pPr>
        <w:pStyle w:val="FootnoteText"/>
        <w:rPr>
          <w:i/>
        </w:rPr>
      </w:pPr>
      <w:r>
        <w:rPr>
          <w:rStyle w:val="FootnoteReference"/>
        </w:rPr>
        <w:footnoteRef/>
      </w:r>
      <w:r>
        <w:t xml:space="preserve"> </w:t>
      </w:r>
      <w:r>
        <w:rPr>
          <w:i/>
        </w:rPr>
        <w:t>Ibid</w:t>
      </w:r>
    </w:p>
  </w:footnote>
  <w:footnote w:id="5">
    <w:p w14:paraId="52B1AACE" w14:textId="3A26BBDF" w:rsidR="00830192" w:rsidRPr="00830192" w:rsidRDefault="00830192">
      <w:pPr>
        <w:pStyle w:val="FootnoteText"/>
        <w:rPr>
          <w:i/>
        </w:rPr>
      </w:pPr>
      <w:r>
        <w:rPr>
          <w:rStyle w:val="FootnoteReference"/>
        </w:rPr>
        <w:footnoteRef/>
      </w:r>
      <w:r>
        <w:t xml:space="preserve"> </w:t>
      </w:r>
      <w:r>
        <w:rPr>
          <w:i/>
        </w:rPr>
        <w:t>Ibid</w:t>
      </w:r>
    </w:p>
  </w:footnote>
  <w:footnote w:id="6">
    <w:p w14:paraId="36F25BBF" w14:textId="10B639C3" w:rsidR="00830192" w:rsidRPr="00830192" w:rsidRDefault="00830192">
      <w:pPr>
        <w:pStyle w:val="FootnoteText"/>
        <w:rPr>
          <w:i/>
        </w:rPr>
      </w:pPr>
      <w:r>
        <w:rPr>
          <w:rStyle w:val="FootnoteReference"/>
        </w:rPr>
        <w:footnoteRef/>
      </w:r>
      <w:r>
        <w:t xml:space="preserve"> </w:t>
      </w:r>
      <w:r>
        <w:rPr>
          <w:i/>
        </w:rPr>
        <w:t>Ibid</w:t>
      </w:r>
    </w:p>
  </w:footnote>
  <w:footnote w:id="7">
    <w:p w14:paraId="3E1CA2FF" w14:textId="59DB8F75" w:rsidR="00830192" w:rsidRPr="00830192" w:rsidRDefault="00830192">
      <w:pPr>
        <w:pStyle w:val="FootnoteText"/>
      </w:pPr>
      <w:r>
        <w:rPr>
          <w:rStyle w:val="FootnoteReference"/>
        </w:rPr>
        <w:footnoteRef/>
      </w:r>
      <w:r>
        <w:t xml:space="preserve"> Aristotle, </w:t>
      </w:r>
      <w:r>
        <w:rPr>
          <w:i/>
        </w:rPr>
        <w:t xml:space="preserve">Metaphysics, </w:t>
      </w:r>
    </w:p>
  </w:footnote>
  <w:footnote w:id="8">
    <w:p w14:paraId="1BD67574" w14:textId="43005E56" w:rsidR="00ED7409" w:rsidRPr="00ED7409" w:rsidRDefault="00ED7409">
      <w:pPr>
        <w:pStyle w:val="FootnoteText"/>
        <w:rPr>
          <w:i/>
        </w:rPr>
      </w:pPr>
      <w:r>
        <w:rPr>
          <w:rStyle w:val="FootnoteReference"/>
        </w:rPr>
        <w:footnoteRef/>
      </w:r>
      <w:r>
        <w:t xml:space="preserve"> </w:t>
      </w:r>
      <w:r>
        <w:rPr>
          <w:i/>
        </w:rPr>
        <w:t>Ibid</w:t>
      </w:r>
    </w:p>
  </w:footnote>
  <w:footnote w:id="9">
    <w:p w14:paraId="5A8B4D7E" w14:textId="0ED0AF43" w:rsidR="00FF5EEA" w:rsidRDefault="00FF5EEA">
      <w:pPr>
        <w:pStyle w:val="FootnoteText"/>
      </w:pPr>
      <w:r>
        <w:rPr>
          <w:rStyle w:val="FootnoteReference"/>
        </w:rPr>
        <w:footnoteRef/>
      </w:r>
      <w:r>
        <w:t xml:space="preserve"> </w:t>
      </w:r>
    </w:p>
  </w:footnote>
  <w:footnote w:id="10">
    <w:p w14:paraId="1FDC6A6A" w14:textId="45E3E59E" w:rsidR="008E3370" w:rsidRPr="008E3370" w:rsidRDefault="008E3370">
      <w:pPr>
        <w:pStyle w:val="FootnoteText"/>
      </w:pPr>
      <w:r>
        <w:rPr>
          <w:rStyle w:val="FootnoteReference"/>
        </w:rPr>
        <w:footnoteRef/>
      </w:r>
      <w:r>
        <w:t xml:space="preserve"> Aristotle, </w:t>
      </w:r>
      <w:r>
        <w:rPr>
          <w:i/>
        </w:rPr>
        <w:t xml:space="preserve">Physics, </w:t>
      </w:r>
      <w:r>
        <w:t>2.3, 194 b 32</w:t>
      </w:r>
    </w:p>
  </w:footnote>
  <w:footnote w:id="11">
    <w:p w14:paraId="25584473" w14:textId="6215561F" w:rsidR="00DC03EC" w:rsidRPr="00DC03EC" w:rsidRDefault="00DC03EC">
      <w:pPr>
        <w:pStyle w:val="FootnoteText"/>
      </w:pPr>
      <w:r>
        <w:rPr>
          <w:rStyle w:val="FootnoteReference"/>
        </w:rPr>
        <w:footnoteRef/>
      </w:r>
      <w:r>
        <w:t xml:space="preserve"> Aristotle, </w:t>
      </w:r>
      <w:r>
        <w:rPr>
          <w:i/>
        </w:rPr>
        <w:t xml:space="preserve">On Parts of Animals, </w:t>
      </w:r>
      <w:proofErr w:type="gramStart"/>
      <w:r>
        <w:t>Translated</w:t>
      </w:r>
      <w:proofErr w:type="gramEnd"/>
      <w:r>
        <w:t xml:space="preserve"> by William Ogle, Book 1, Part 1, Publisher </w:t>
      </w:r>
      <w:proofErr w:type="spellStart"/>
      <w:r>
        <w:t>Nabu</w:t>
      </w:r>
      <w:proofErr w:type="spellEnd"/>
      <w:r>
        <w:t xml:space="preserve"> Press, 2011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D26"/>
    <w:rsid w:val="0004195F"/>
    <w:rsid w:val="000E02CB"/>
    <w:rsid w:val="001350A9"/>
    <w:rsid w:val="00182E8D"/>
    <w:rsid w:val="001B7D26"/>
    <w:rsid w:val="002B0EFB"/>
    <w:rsid w:val="002C19DA"/>
    <w:rsid w:val="00312613"/>
    <w:rsid w:val="00313CFE"/>
    <w:rsid w:val="00413568"/>
    <w:rsid w:val="004959B4"/>
    <w:rsid w:val="005020AB"/>
    <w:rsid w:val="006C1387"/>
    <w:rsid w:val="00830192"/>
    <w:rsid w:val="008E3370"/>
    <w:rsid w:val="008E47B8"/>
    <w:rsid w:val="00AB4AA2"/>
    <w:rsid w:val="00D035FB"/>
    <w:rsid w:val="00D32015"/>
    <w:rsid w:val="00D75BC0"/>
    <w:rsid w:val="00DC03EC"/>
    <w:rsid w:val="00ED7409"/>
    <w:rsid w:val="00FF10B2"/>
    <w:rsid w:val="00FF5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01C7E"/>
  <w15:chartTrackingRefBased/>
  <w15:docId w15:val="{6FED6125-CFA1-47F9-8FB1-D1EC727B2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B7D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7D26"/>
    <w:rPr>
      <w:sz w:val="20"/>
      <w:szCs w:val="20"/>
    </w:rPr>
  </w:style>
  <w:style w:type="character" w:styleId="FootnoteReference">
    <w:name w:val="footnote reference"/>
    <w:basedOn w:val="DefaultParagraphFont"/>
    <w:uiPriority w:val="99"/>
    <w:semiHidden/>
    <w:unhideWhenUsed/>
    <w:rsid w:val="001B7D26"/>
    <w:rPr>
      <w:vertAlign w:val="superscript"/>
    </w:rPr>
  </w:style>
  <w:style w:type="paragraph" w:styleId="EndnoteText">
    <w:name w:val="endnote text"/>
    <w:basedOn w:val="Normal"/>
    <w:link w:val="EndnoteTextChar"/>
    <w:uiPriority w:val="99"/>
    <w:semiHidden/>
    <w:unhideWhenUsed/>
    <w:rsid w:val="0083019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0192"/>
    <w:rPr>
      <w:sz w:val="20"/>
      <w:szCs w:val="20"/>
    </w:rPr>
  </w:style>
  <w:style w:type="character" w:styleId="EndnoteReference">
    <w:name w:val="endnote reference"/>
    <w:basedOn w:val="DefaultParagraphFont"/>
    <w:uiPriority w:val="99"/>
    <w:semiHidden/>
    <w:unhideWhenUsed/>
    <w:rsid w:val="0083019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4" ma:contentTypeDescription="Create a new document." ma:contentTypeScope="" ma:versionID="eda19315659f5d38db233389aefa00ef">
  <xsd:schema xmlns:xsd="http://www.w3.org/2001/XMLSchema" xmlns:xs="http://www.w3.org/2001/XMLSchema" xmlns:p="http://schemas.microsoft.com/office/2006/metadata/properties" xmlns:ns3="ada16477-4a9e-4f32-8a2f-23c8ffb0c900" targetNamespace="http://schemas.microsoft.com/office/2006/metadata/properties" ma:root="true" ma:fieldsID="726443853636746dd81eff02db59d716"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16DA0-1BEC-42F0-AC86-2BD3AF9ED887}">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ada16477-4a9e-4f32-8a2f-23c8ffb0c900"/>
    <ds:schemaRef ds:uri="http://purl.org/dc/elements/1.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85C9F870-02D9-4F71-B30F-0E8029C2E1CE}">
  <ds:schemaRefs>
    <ds:schemaRef ds:uri="http://schemas.microsoft.com/sharepoint/v3/contenttype/forms"/>
  </ds:schemaRefs>
</ds:datastoreItem>
</file>

<file path=customXml/itemProps3.xml><?xml version="1.0" encoding="utf-8"?>
<ds:datastoreItem xmlns:ds="http://schemas.openxmlformats.org/officeDocument/2006/customXml" ds:itemID="{C3A44196-6E38-4648-BE91-F6A207B7F0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C35CC7-00BA-49BA-B55B-168DA0E49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3</Pages>
  <Words>1101</Words>
  <Characters>6276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Dyer (1804962)</dc:creator>
  <cp:keywords/>
  <dc:description/>
  <cp:lastModifiedBy>Joseph Dyer (1804962)</cp:lastModifiedBy>
  <cp:revision>5</cp:revision>
  <dcterms:created xsi:type="dcterms:W3CDTF">2020-02-20T00:35:00Z</dcterms:created>
  <dcterms:modified xsi:type="dcterms:W3CDTF">2020-02-20T21:49:00Z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