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243BB1" w:rsidRDefault="00243BB1" w14:paraId="6A243844" w14:textId="77777777">
      <w:pPr>
        <w:spacing w:before="600"/>
      </w:pPr>
    </w:p>
    <w:p w:rsidR="00243BB1" w:rsidRDefault="009F1CB6" w14:paraId="0A8F65FE" w14:textId="38C51435">
      <w:pPr>
        <w:spacing w:after="40"/>
        <w:jc w:val="center"/>
      </w:pPr>
      <w:r w:rsidRPr="4FE059F7" w:rsidR="7D7A9190">
        <w:rPr>
          <w:b w:val="1"/>
          <w:bCs w:val="1"/>
          <w:color w:val="003580"/>
          <w:sz w:val="52"/>
          <w:szCs w:val="52"/>
        </w:rPr>
        <w:t>HILTON HOTELS &amp; RESORTS</w:t>
      </w:r>
    </w:p>
    <w:p w:rsidR="00243BB1" w:rsidRDefault="009F1CB6" w14:paraId="3A487A38" w14:textId="77777777">
      <w:pPr>
        <w:spacing w:after="160"/>
        <w:jc w:val="center"/>
      </w:pPr>
      <w:r>
        <w:rPr>
          <w:color w:val="D4A94B"/>
        </w:rPr>
        <w:t>─────────────────────────────────────</w:t>
      </w:r>
    </w:p>
    <w:p w:rsidR="00243BB1" w:rsidRDefault="009F1CB6" w14:paraId="098591FC" w14:textId="77777777">
      <w:pPr>
        <w:spacing w:after="80"/>
        <w:jc w:val="center"/>
      </w:pPr>
      <w:r>
        <w:rPr>
          <w:b/>
          <w:bCs/>
          <w:sz w:val="36"/>
          <w:szCs w:val="36"/>
        </w:rPr>
        <w:t>STAYSSMART+ PROJECT</w:t>
      </w:r>
    </w:p>
    <w:p w:rsidR="00243BB1" w:rsidRDefault="009F1CB6" w14:paraId="643E29A4" w14:textId="77777777">
      <w:pPr>
        <w:spacing w:after="600"/>
        <w:jc w:val="center"/>
      </w:pPr>
      <w:r>
        <w:rPr>
          <w:color w:val="003580"/>
          <w:sz w:val="28"/>
          <w:szCs w:val="28"/>
        </w:rPr>
        <w:t>Stakeholder Engagement Report</w:t>
      </w:r>
    </w:p>
    <w:tbl>
      <w:tblPr>
        <w:tblW w:w="900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 w:type="dxa"/>
          <w:right w:w="10" w:type="dxa"/>
        </w:tblCellMar>
        <w:tblLook w:val="0000" w:firstRow="0" w:lastRow="0" w:firstColumn="0" w:lastColumn="0" w:noHBand="0" w:noVBand="0"/>
      </w:tblPr>
      <w:tblGrid>
        <w:gridCol w:w="3000"/>
        <w:gridCol w:w="6000"/>
      </w:tblGrid>
      <w:tr w:rsidR="00243BB1" w:rsidTr="4FE059F7" w14:paraId="47D61EED" w14:textId="77777777">
        <w:tblPrEx>
          <w:tblCellMar>
            <w:top w:w="0" w:type="dxa"/>
            <w:bottom w:w="0" w:type="dxa"/>
          </w:tblCellMar>
        </w:tblPrEx>
        <w:tc>
          <w:tcPr>
            <w:tcW w:w="3000" w:type="dxa"/>
            <w:tcBorders>
              <w:top w:val="single" w:color="AAAAAA" w:sz="4" w:space="0"/>
              <w:left w:val="single" w:color="AAAAAA" w:sz="4" w:space="0"/>
              <w:bottom w:val="single" w:color="AAAAAA" w:sz="4" w:space="0"/>
              <w:right w:val="single" w:color="AAAAAA" w:sz="4" w:space="0"/>
            </w:tcBorders>
            <w:shd w:val="clear" w:color="auto" w:fill="003580"/>
            <w:tcMar>
              <w:top w:w="80" w:type="dxa"/>
              <w:left w:w="120" w:type="dxa"/>
              <w:bottom w:w="80" w:type="dxa"/>
              <w:right w:w="120" w:type="dxa"/>
            </w:tcMar>
            <w:vAlign w:val="center"/>
          </w:tcPr>
          <w:p w:rsidR="00243BB1" w:rsidRDefault="009F1CB6" w14:paraId="3FD06227" w14:textId="77777777">
            <w:r>
              <w:rPr>
                <w:b/>
                <w:bCs/>
                <w:color w:val="FFFFFF"/>
                <w:sz w:val="20"/>
                <w:szCs w:val="20"/>
              </w:rPr>
              <w:t>Module</w:t>
            </w:r>
          </w:p>
        </w:tc>
        <w:tc>
          <w:tcPr>
            <w:tcW w:w="6000" w:type="dxa"/>
            <w:tcBorders>
              <w:top w:val="single" w:color="AAAAAA" w:sz="4" w:space="0"/>
              <w:left w:val="single" w:color="AAAAAA" w:sz="4" w:space="0"/>
              <w:bottom w:val="single" w:color="AAAAAA" w:sz="4" w:space="0"/>
              <w:right w:val="single" w:color="AAAAAA" w:sz="4" w:space="0"/>
            </w:tcBorders>
            <w:shd w:val="clear" w:color="auto" w:fill="E8EFF8"/>
            <w:tcMar>
              <w:top w:w="80" w:type="dxa"/>
              <w:left w:w="120" w:type="dxa"/>
              <w:bottom w:w="80" w:type="dxa"/>
              <w:right w:w="120" w:type="dxa"/>
            </w:tcMar>
            <w:vAlign w:val="center"/>
          </w:tcPr>
          <w:p w:rsidR="00243BB1" w:rsidRDefault="009F1CB6" w14:paraId="38524963" w14:textId="77777777">
            <w:r>
              <w:rPr>
                <w:color w:val="000000"/>
                <w:sz w:val="20"/>
                <w:szCs w:val="20"/>
              </w:rPr>
              <w:t>Understanding and Engaging Stakeholders</w:t>
            </w:r>
          </w:p>
        </w:tc>
      </w:tr>
      <w:tr w:rsidR="4FE059F7" w:rsidTr="4FE059F7" w14:paraId="01807DB8">
        <w:tblPrEx>
          <w:tblCellMar>
            <w:top w:w="0" w:type="dxa"/>
            <w:bottom w:w="0" w:type="dxa"/>
          </w:tblCellMar>
        </w:tblPrEx>
        <w:trPr>
          <w:trHeight w:val="300"/>
        </w:trPr>
        <w:tc>
          <w:tcPr>
            <w:tcW w:w="3000" w:type="dxa"/>
            <w:tcBorders>
              <w:top w:val="single" w:color="AAAAAA" w:sz="4" w:space="0"/>
              <w:left w:val="single" w:color="AAAAAA" w:sz="4" w:space="0"/>
              <w:bottom w:val="single" w:color="AAAAAA" w:sz="4" w:space="0"/>
              <w:right w:val="single" w:color="AAAAAA" w:sz="4" w:space="0"/>
            </w:tcBorders>
            <w:shd w:val="clear" w:color="auto" w:fill="003580"/>
            <w:tcMar>
              <w:top w:w="80" w:type="dxa"/>
              <w:left w:w="120" w:type="dxa"/>
              <w:bottom w:w="80" w:type="dxa"/>
              <w:right w:w="120" w:type="dxa"/>
            </w:tcMar>
            <w:vAlign w:val="center"/>
          </w:tcPr>
          <w:p w:rsidR="5CCF434F" w:rsidP="4FE059F7" w:rsidRDefault="5CCF434F" w14:paraId="361B99F4" w14:textId="4B881191">
            <w:pPr>
              <w:pStyle w:val="Normal"/>
              <w:rPr>
                <w:b w:val="1"/>
                <w:bCs w:val="1"/>
                <w:color w:val="FFFFFF" w:themeColor="background1" w:themeTint="FF" w:themeShade="FF"/>
                <w:sz w:val="20"/>
                <w:szCs w:val="20"/>
              </w:rPr>
            </w:pPr>
            <w:r w:rsidRPr="4FE059F7" w:rsidR="5CCF434F">
              <w:rPr>
                <w:b w:val="1"/>
                <w:bCs w:val="1"/>
                <w:color w:val="FFFFFF" w:themeColor="background1" w:themeTint="FF" w:themeShade="FF"/>
                <w:sz w:val="20"/>
                <w:szCs w:val="20"/>
              </w:rPr>
              <w:t>Student Number</w:t>
            </w:r>
          </w:p>
        </w:tc>
        <w:tc>
          <w:tcPr>
            <w:tcW w:w="6000" w:type="dxa"/>
            <w:tcBorders>
              <w:top w:val="single" w:color="AAAAAA" w:sz="4" w:space="0"/>
              <w:left w:val="single" w:color="AAAAAA" w:sz="4" w:space="0"/>
              <w:bottom w:val="single" w:color="AAAAAA" w:sz="4" w:space="0"/>
              <w:right w:val="single" w:color="AAAAAA" w:sz="4" w:space="0"/>
            </w:tcBorders>
            <w:shd w:val="clear" w:color="auto" w:fill="E8EFF8"/>
            <w:tcMar>
              <w:top w:w="80" w:type="dxa"/>
              <w:left w:w="120" w:type="dxa"/>
              <w:bottom w:w="80" w:type="dxa"/>
              <w:right w:w="120" w:type="dxa"/>
            </w:tcMar>
            <w:vAlign w:val="center"/>
          </w:tcPr>
          <w:p w:rsidR="5CCF434F" w:rsidP="4FE059F7" w:rsidRDefault="5CCF434F" w14:paraId="452A2B5D" w14:textId="667463CD">
            <w:pPr>
              <w:pStyle w:val="Normal"/>
              <w:rPr>
                <w:color w:val="000000" w:themeColor="text1" w:themeTint="FF" w:themeShade="FF"/>
                <w:sz w:val="20"/>
                <w:szCs w:val="20"/>
              </w:rPr>
            </w:pPr>
            <w:r w:rsidRPr="4FE059F7" w:rsidR="5CCF434F">
              <w:rPr>
                <w:color w:val="000000" w:themeColor="text1" w:themeTint="FF" w:themeShade="FF"/>
                <w:sz w:val="20"/>
                <w:szCs w:val="20"/>
              </w:rPr>
              <w:t>2424532</w:t>
            </w:r>
          </w:p>
        </w:tc>
      </w:tr>
      <w:tr w:rsidR="4FE059F7" w:rsidTr="4FE059F7" w14:paraId="1A948A8F">
        <w:trPr>
          <w:trHeight w:val="300"/>
        </w:trPr>
        <w:tblPrEx>
          <w:tblCellMar>
            <w:top w:w="0" w:type="dxa"/>
            <w:bottom w:w="0" w:type="dxa"/>
          </w:tblCellMar>
        </w:tblPrEx>
        <w:tc>
          <w:tcPr>
            <w:tcW w:w="3000" w:type="dxa"/>
            <w:tcBorders>
              <w:top w:val="single" w:color="AAAAAA" w:sz="4" w:space="0"/>
              <w:left w:val="single" w:color="AAAAAA" w:sz="4" w:space="0"/>
              <w:bottom w:val="single" w:color="AAAAAA" w:sz="4" w:space="0"/>
              <w:right w:val="single" w:color="AAAAAA" w:sz="4" w:space="0"/>
            </w:tcBorders>
            <w:shd w:val="clear" w:color="auto" w:fill="003580"/>
            <w:tcMar>
              <w:top w:w="80" w:type="dxa"/>
              <w:left w:w="120" w:type="dxa"/>
              <w:bottom w:w="80" w:type="dxa"/>
              <w:right w:w="120" w:type="dxa"/>
            </w:tcMar>
            <w:vAlign w:val="center"/>
          </w:tcPr>
          <w:p w:rsidR="5CCF434F" w:rsidP="4FE059F7" w:rsidRDefault="5CCF434F" w14:paraId="2656A8F0" w14:textId="2F00F092">
            <w:pPr>
              <w:pStyle w:val="Normal"/>
              <w:rPr>
                <w:b w:val="1"/>
                <w:bCs w:val="1"/>
                <w:color w:val="FFFFFF" w:themeColor="background1" w:themeTint="FF" w:themeShade="FF"/>
                <w:sz w:val="20"/>
                <w:szCs w:val="20"/>
              </w:rPr>
            </w:pPr>
            <w:r w:rsidRPr="4FE059F7" w:rsidR="5CCF434F">
              <w:rPr>
                <w:b w:val="1"/>
                <w:bCs w:val="1"/>
                <w:color w:val="FFFFFF" w:themeColor="background1" w:themeTint="FF" w:themeShade="FF"/>
                <w:sz w:val="20"/>
                <w:szCs w:val="20"/>
              </w:rPr>
              <w:t xml:space="preserve">Student </w:t>
            </w:r>
          </w:p>
        </w:tc>
        <w:tc>
          <w:tcPr>
            <w:tcW w:w="6000" w:type="dxa"/>
            <w:tcBorders>
              <w:top w:val="single" w:color="AAAAAA" w:sz="4" w:space="0"/>
              <w:left w:val="single" w:color="AAAAAA" w:sz="4" w:space="0"/>
              <w:bottom w:val="single" w:color="AAAAAA" w:sz="4" w:space="0"/>
              <w:right w:val="single" w:color="AAAAAA" w:sz="4" w:space="0"/>
            </w:tcBorders>
            <w:shd w:val="clear" w:color="auto" w:fill="E8EFF8"/>
            <w:tcMar>
              <w:top w:w="80" w:type="dxa"/>
              <w:left w:w="120" w:type="dxa"/>
              <w:bottom w:w="80" w:type="dxa"/>
              <w:right w:w="120" w:type="dxa"/>
            </w:tcMar>
            <w:vAlign w:val="center"/>
          </w:tcPr>
          <w:p w:rsidR="5CCF434F" w:rsidP="4FE059F7" w:rsidRDefault="5CCF434F" w14:paraId="5B88B865" w14:textId="69C88D90">
            <w:pPr>
              <w:pStyle w:val="Normal"/>
              <w:rPr>
                <w:color w:val="000000" w:themeColor="text1" w:themeTint="FF" w:themeShade="FF"/>
                <w:sz w:val="20"/>
                <w:szCs w:val="20"/>
              </w:rPr>
            </w:pPr>
            <w:r w:rsidRPr="4FE059F7" w:rsidR="5CCF434F">
              <w:rPr>
                <w:color w:val="000000" w:themeColor="text1" w:themeTint="FF" w:themeShade="FF"/>
                <w:sz w:val="20"/>
                <w:szCs w:val="20"/>
              </w:rPr>
              <w:t>Stacey Blackwood</w:t>
            </w:r>
          </w:p>
        </w:tc>
      </w:tr>
      <w:tr w:rsidR="00243BB1" w:rsidTr="4FE059F7" w14:paraId="015BB87F" w14:textId="77777777">
        <w:tblPrEx>
          <w:tblCellMar>
            <w:top w:w="0" w:type="dxa"/>
            <w:bottom w:w="0" w:type="dxa"/>
          </w:tblCellMar>
        </w:tblPrEx>
        <w:tc>
          <w:tcPr>
            <w:tcW w:w="3000" w:type="dxa"/>
            <w:tcBorders>
              <w:top w:val="single" w:color="AAAAAA" w:sz="4" w:space="0"/>
              <w:left w:val="single" w:color="AAAAAA" w:sz="4" w:space="0"/>
              <w:bottom w:val="single" w:color="AAAAAA" w:sz="4" w:space="0"/>
              <w:right w:val="single" w:color="AAAAAA" w:sz="4" w:space="0"/>
            </w:tcBorders>
            <w:shd w:val="clear" w:color="auto" w:fill="003580"/>
            <w:tcMar>
              <w:top w:w="80" w:type="dxa"/>
              <w:left w:w="120" w:type="dxa"/>
              <w:bottom w:w="80" w:type="dxa"/>
              <w:right w:w="120" w:type="dxa"/>
            </w:tcMar>
            <w:vAlign w:val="center"/>
          </w:tcPr>
          <w:p w:rsidR="00243BB1" w:rsidRDefault="009F1CB6" w14:paraId="7C6D3A44" w14:textId="77777777">
            <w:r>
              <w:rPr>
                <w:b/>
                <w:bCs/>
                <w:color w:val="FFFFFF"/>
                <w:sz w:val="20"/>
                <w:szCs w:val="20"/>
              </w:rPr>
              <w:t>Module Code</w:t>
            </w:r>
          </w:p>
        </w:tc>
        <w:tc>
          <w:tcPr>
            <w:tcW w:w="6000" w:type="dxa"/>
            <w:tcBorders>
              <w:top w:val="single" w:color="AAAAAA" w:sz="4" w:space="0"/>
              <w:left w:val="single" w:color="AAAAAA" w:sz="4" w:space="0"/>
              <w:bottom w:val="single" w:color="AAAAAA" w:sz="4" w:space="0"/>
              <w:right w:val="single" w:color="AAAAAA" w:sz="4" w:space="0"/>
            </w:tcBorders>
            <w:shd w:val="clear" w:color="auto" w:fill="E8EFF8"/>
            <w:tcMar>
              <w:top w:w="80" w:type="dxa"/>
              <w:left w:w="120" w:type="dxa"/>
              <w:bottom w:w="80" w:type="dxa"/>
              <w:right w:w="120" w:type="dxa"/>
            </w:tcMar>
            <w:vAlign w:val="center"/>
          </w:tcPr>
          <w:p w:rsidR="00243BB1" w:rsidRDefault="009F1CB6" w14:paraId="0561508C" w14:textId="77777777">
            <w:r>
              <w:rPr>
                <w:color w:val="000000"/>
                <w:sz w:val="20"/>
                <w:szCs w:val="20"/>
              </w:rPr>
              <w:t>LCLM5001</w:t>
            </w:r>
          </w:p>
        </w:tc>
      </w:tr>
      <w:tr w:rsidR="00243BB1" w:rsidTr="4FE059F7" w14:paraId="714CBEED" w14:textId="77777777">
        <w:tblPrEx>
          <w:tblCellMar>
            <w:top w:w="0" w:type="dxa"/>
            <w:bottom w:w="0" w:type="dxa"/>
          </w:tblCellMar>
        </w:tblPrEx>
        <w:tc>
          <w:tcPr>
            <w:tcW w:w="3000" w:type="dxa"/>
            <w:tcBorders>
              <w:top w:val="single" w:color="AAAAAA" w:sz="4" w:space="0"/>
              <w:left w:val="single" w:color="AAAAAA" w:sz="4" w:space="0"/>
              <w:bottom w:val="single" w:color="AAAAAA" w:sz="4" w:space="0"/>
              <w:right w:val="single" w:color="AAAAAA" w:sz="4" w:space="0"/>
            </w:tcBorders>
            <w:shd w:val="clear" w:color="auto" w:fill="003580"/>
            <w:tcMar>
              <w:top w:w="80" w:type="dxa"/>
              <w:left w:w="120" w:type="dxa"/>
              <w:bottom w:w="80" w:type="dxa"/>
              <w:right w:w="120" w:type="dxa"/>
            </w:tcMar>
            <w:vAlign w:val="center"/>
          </w:tcPr>
          <w:p w:rsidR="00243BB1" w:rsidRDefault="009F1CB6" w14:paraId="36C18501" w14:textId="77777777">
            <w:r>
              <w:rPr>
                <w:b/>
                <w:bCs/>
                <w:color w:val="FFFFFF"/>
                <w:sz w:val="20"/>
                <w:szCs w:val="20"/>
              </w:rPr>
              <w:t>Programme</w:t>
            </w:r>
          </w:p>
        </w:tc>
        <w:tc>
          <w:tcPr>
            <w:tcW w:w="6000" w:type="dxa"/>
            <w:tcBorders>
              <w:top w:val="single" w:color="AAAAAA" w:sz="4" w:space="0"/>
              <w:left w:val="single" w:color="AAAAAA" w:sz="4" w:space="0"/>
              <w:bottom w:val="single" w:color="AAAAAA" w:sz="4" w:space="0"/>
              <w:right w:val="single" w:color="AAAAAA" w:sz="4" w:space="0"/>
            </w:tcBorders>
            <w:shd w:val="clear" w:color="auto" w:fill="E8EFF8"/>
            <w:tcMar>
              <w:top w:w="80" w:type="dxa"/>
              <w:left w:w="120" w:type="dxa"/>
              <w:bottom w:w="80" w:type="dxa"/>
              <w:right w:w="120" w:type="dxa"/>
            </w:tcMar>
            <w:vAlign w:val="center"/>
          </w:tcPr>
          <w:p w:rsidR="00243BB1" w:rsidRDefault="009F1CB6" w14:paraId="391838ED" w14:textId="77777777">
            <w:r>
              <w:rPr>
                <w:color w:val="000000"/>
                <w:sz w:val="20"/>
                <w:szCs w:val="20"/>
              </w:rPr>
              <w:t>BA (Hons) Leadership and Management Skills</w:t>
            </w:r>
          </w:p>
        </w:tc>
      </w:tr>
      <w:tr w:rsidR="00243BB1" w:rsidTr="4FE059F7" w14:paraId="3B65E19F" w14:textId="77777777">
        <w:tblPrEx>
          <w:tblCellMar>
            <w:top w:w="0" w:type="dxa"/>
            <w:bottom w:w="0" w:type="dxa"/>
          </w:tblCellMar>
        </w:tblPrEx>
        <w:tc>
          <w:tcPr>
            <w:tcW w:w="3000" w:type="dxa"/>
            <w:tcBorders>
              <w:top w:val="single" w:color="AAAAAA" w:sz="4" w:space="0"/>
              <w:left w:val="single" w:color="AAAAAA" w:sz="4" w:space="0"/>
              <w:bottom w:val="single" w:color="AAAAAA" w:sz="4" w:space="0"/>
              <w:right w:val="single" w:color="AAAAAA" w:sz="4" w:space="0"/>
            </w:tcBorders>
            <w:shd w:val="clear" w:color="auto" w:fill="003580"/>
            <w:tcMar>
              <w:top w:w="80" w:type="dxa"/>
              <w:left w:w="120" w:type="dxa"/>
              <w:bottom w:w="80" w:type="dxa"/>
              <w:right w:w="120" w:type="dxa"/>
            </w:tcMar>
            <w:vAlign w:val="center"/>
          </w:tcPr>
          <w:p w:rsidR="00243BB1" w:rsidP="295E3045" w:rsidRDefault="009F1CB6" w14:paraId="28457A58" w14:textId="6C83265B">
            <w:pPr>
              <w:rPr>
                <w:b w:val="1"/>
                <w:bCs w:val="1"/>
                <w:color w:val="FFFFFF" w:themeColor="background1" w:themeTint="FF" w:themeShade="FF"/>
                <w:sz w:val="20"/>
                <w:szCs w:val="20"/>
              </w:rPr>
            </w:pPr>
            <w:r w:rsidRPr="295E3045" w:rsidR="6E107FC1">
              <w:rPr>
                <w:b w:val="1"/>
                <w:bCs w:val="1"/>
                <w:color w:val="FFFFFF" w:themeColor="background1" w:themeTint="FF" w:themeShade="FF"/>
                <w:sz w:val="20"/>
                <w:szCs w:val="20"/>
              </w:rPr>
              <w:t>L</w:t>
            </w:r>
            <w:r w:rsidRPr="295E3045" w:rsidR="1A8726F5">
              <w:rPr>
                <w:b w:val="1"/>
                <w:bCs w:val="1"/>
                <w:color w:val="FFFFFF" w:themeColor="background1" w:themeTint="FF" w:themeShade="FF"/>
                <w:sz w:val="20"/>
                <w:szCs w:val="20"/>
              </w:rPr>
              <w:t>ect</w:t>
            </w:r>
            <w:r w:rsidRPr="295E3045" w:rsidR="3C17BA95">
              <w:rPr>
                <w:b w:val="1"/>
                <w:bCs w:val="1"/>
                <w:color w:val="FFFFFF" w:themeColor="background1" w:themeTint="FF" w:themeShade="FF"/>
                <w:sz w:val="20"/>
                <w:szCs w:val="20"/>
              </w:rPr>
              <w:t>urer</w:t>
            </w:r>
          </w:p>
        </w:tc>
        <w:tc>
          <w:tcPr>
            <w:tcW w:w="6000" w:type="dxa"/>
            <w:tcBorders>
              <w:top w:val="single" w:color="AAAAAA" w:sz="4" w:space="0"/>
              <w:left w:val="single" w:color="AAAAAA" w:sz="4" w:space="0"/>
              <w:bottom w:val="single" w:color="AAAAAA" w:sz="4" w:space="0"/>
              <w:right w:val="single" w:color="AAAAAA" w:sz="4" w:space="0"/>
            </w:tcBorders>
            <w:shd w:val="clear" w:color="auto" w:fill="E8EFF8"/>
            <w:tcMar>
              <w:top w:w="80" w:type="dxa"/>
              <w:left w:w="120" w:type="dxa"/>
              <w:bottom w:w="80" w:type="dxa"/>
              <w:right w:w="120" w:type="dxa"/>
            </w:tcMar>
            <w:vAlign w:val="center"/>
          </w:tcPr>
          <w:p w:rsidR="00243BB1" w:rsidP="295E3045" w:rsidRDefault="009F1CB6" w14:paraId="0C733932" w14:textId="691827C0">
            <w:pPr>
              <w:rPr>
                <w:color w:val="000000" w:themeColor="text1" w:themeTint="FF" w:themeShade="FF"/>
                <w:sz w:val="20"/>
                <w:szCs w:val="20"/>
              </w:rPr>
            </w:pPr>
            <w:r w:rsidRPr="295E3045" w:rsidR="3C17BA95">
              <w:rPr>
                <w:color w:val="000000" w:themeColor="text1" w:themeTint="FF" w:themeShade="FF"/>
                <w:sz w:val="20"/>
                <w:szCs w:val="20"/>
              </w:rPr>
              <w:t>Christopher Osborne</w:t>
            </w:r>
          </w:p>
        </w:tc>
      </w:tr>
      <w:tr w:rsidR="00243BB1" w:rsidTr="4FE059F7" w14:paraId="078DDF39" w14:textId="77777777">
        <w:tblPrEx>
          <w:tblCellMar>
            <w:top w:w="0" w:type="dxa"/>
            <w:bottom w:w="0" w:type="dxa"/>
          </w:tblCellMar>
        </w:tblPrEx>
        <w:tc>
          <w:tcPr>
            <w:tcW w:w="3000" w:type="dxa"/>
            <w:tcBorders>
              <w:top w:val="single" w:color="AAAAAA" w:sz="4" w:space="0"/>
              <w:left w:val="single" w:color="AAAAAA" w:sz="4" w:space="0"/>
              <w:bottom w:val="single" w:color="AAAAAA" w:sz="4" w:space="0"/>
              <w:right w:val="single" w:color="AAAAAA" w:sz="4" w:space="0"/>
            </w:tcBorders>
            <w:shd w:val="clear" w:color="auto" w:fill="003580"/>
            <w:tcMar>
              <w:top w:w="80" w:type="dxa"/>
              <w:left w:w="120" w:type="dxa"/>
              <w:bottom w:w="80" w:type="dxa"/>
              <w:right w:w="120" w:type="dxa"/>
            </w:tcMar>
            <w:vAlign w:val="center"/>
          </w:tcPr>
          <w:p w:rsidR="00243BB1" w:rsidRDefault="009F1CB6" w14:paraId="4E8D5BEA" w14:textId="77777777">
            <w:r>
              <w:rPr>
                <w:b/>
                <w:bCs/>
                <w:color w:val="FFFFFF"/>
                <w:sz w:val="20"/>
                <w:szCs w:val="20"/>
              </w:rPr>
              <w:t>Submission Date</w:t>
            </w:r>
          </w:p>
        </w:tc>
        <w:tc>
          <w:tcPr>
            <w:tcW w:w="6000" w:type="dxa"/>
            <w:tcBorders>
              <w:top w:val="single" w:color="AAAAAA" w:sz="4" w:space="0"/>
              <w:left w:val="single" w:color="AAAAAA" w:sz="4" w:space="0"/>
              <w:bottom w:val="single" w:color="AAAAAA" w:sz="4" w:space="0"/>
              <w:right w:val="single" w:color="AAAAAA" w:sz="4" w:space="0"/>
            </w:tcBorders>
            <w:shd w:val="clear" w:color="auto" w:fill="E8EFF8"/>
            <w:tcMar>
              <w:top w:w="80" w:type="dxa"/>
              <w:left w:w="120" w:type="dxa"/>
              <w:bottom w:w="80" w:type="dxa"/>
              <w:right w:w="120" w:type="dxa"/>
            </w:tcMar>
            <w:vAlign w:val="center"/>
          </w:tcPr>
          <w:p w:rsidR="00243BB1" w:rsidRDefault="009F1CB6" w14:paraId="200C00F8" w14:textId="77777777">
            <w:r>
              <w:rPr>
                <w:color w:val="000000"/>
                <w:sz w:val="20"/>
                <w:szCs w:val="20"/>
              </w:rPr>
              <w:t>28 April 2026</w:t>
            </w:r>
          </w:p>
        </w:tc>
      </w:tr>
    </w:tbl>
    <w:p w:rsidR="00243BB1" w:rsidRDefault="00243BB1" w14:paraId="68B938DD" w14:textId="77777777">
      <w:pPr>
        <w:spacing w:after="800"/>
      </w:pPr>
    </w:p>
    <w:p w:rsidR="00243BB1" w:rsidRDefault="009F1CB6" w14:paraId="24C7681A" w14:textId="77777777">
      <w:pPr>
        <w:pStyle w:val="Heading1"/>
        <w:shd w:val="clear" w:color="auto" w:fill="003580"/>
        <w:ind w:left="180"/>
      </w:pPr>
      <w:r>
        <w:t>Executive Summary</w:t>
      </w:r>
    </w:p>
    <w:p w:rsidR="00243BB1" w:rsidRDefault="009F1CB6" w14:paraId="10F183EA" w14:textId="77777777">
      <w:pPr>
        <w:spacing w:after="120"/>
        <w:jc w:val="both"/>
      </w:pPr>
      <w:r>
        <w:rPr>
          <w:color w:val="000000"/>
        </w:rPr>
        <w:t xml:space="preserve">This report critically examines the stakeholder engagement strategy for the launch of </w:t>
      </w:r>
      <w:proofErr w:type="spellStart"/>
      <w:r>
        <w:rPr>
          <w:color w:val="000000"/>
        </w:rPr>
        <w:t>StaySmart</w:t>
      </w:r>
      <w:proofErr w:type="spellEnd"/>
      <w:r>
        <w:rPr>
          <w:color w:val="000000"/>
        </w:rPr>
        <w:t xml:space="preserve">+, an AI-driven premium guest-experience service, across Hilton Hotels &amp; Resorts' global portfolio. As Project Manager, the analysis identifies and categorises internal and external stakeholders, applies Freeman's (1984) stakeholder theory and </w:t>
      </w:r>
      <w:proofErr w:type="spellStart"/>
      <w:r>
        <w:rPr>
          <w:color w:val="000000"/>
        </w:rPr>
        <w:t>Mendelow's</w:t>
      </w:r>
      <w:proofErr w:type="spellEnd"/>
      <w:r>
        <w:rPr>
          <w:color w:val="000000"/>
        </w:rPr>
        <w:t xml:space="preserve"> (1991) Power-Interest Matrix to prioritise engagement, and proposes a structured Communication and RACI Matrix to govern accountabilities.</w:t>
      </w:r>
    </w:p>
    <w:p w:rsidR="00243BB1" w:rsidRDefault="009F1CB6" w14:paraId="1C5E7303" w14:textId="77777777">
      <w:pPr>
        <w:spacing w:after="120"/>
        <w:jc w:val="both"/>
      </w:pPr>
      <w:r>
        <w:rPr>
          <w:color w:val="000000"/>
        </w:rPr>
        <w:t>The report conducts a situational analysis of Hilton through SWOT and PESTLE frameworks, demonstrating both the strategic imperative and potential risks of a technology-led hospitality innovation. Drawing on the 4Cs model – Communication, Collaboration, Consultation, and Commitment – it sets out the process for proactive stakeholder management and conflict resolution. The evaluation concludes that effective stakeholder engagement is a critical determinant of project success, with measurable impacts on brand</w:t>
      </w:r>
      <w:r>
        <w:rPr>
          <w:color w:val="000000"/>
        </w:rPr>
        <w:t xml:space="preserve"> equity, operational efficiency, and long-term market differentiation.</w:t>
      </w:r>
    </w:p>
    <w:p w:rsidR="00243BB1" w:rsidRDefault="009F1CB6" w14:paraId="6E6F0D1C" w14:textId="77777777">
      <w:pPr>
        <w:spacing w:after="120"/>
        <w:jc w:val="both"/>
      </w:pPr>
      <w:r>
        <w:rPr>
          <w:color w:val="000000"/>
        </w:rPr>
        <w:t>Key recommendations include the establishment of a Stakeholder Engagement Office, a culturally adaptive communication strategy for international markets, and iterative feedback mechanisms to sustain trust and transparency throughout the project lifecycle.</w:t>
      </w:r>
    </w:p>
    <w:p w:rsidR="00243BB1" w:rsidRDefault="00243BB1" w14:paraId="3556CEE7" w14:textId="77777777">
      <w:pPr>
        <w:spacing w:after="120"/>
      </w:pPr>
    </w:p>
    <w:p w:rsidR="00243BB1" w:rsidRDefault="009F1CB6" w14:paraId="5E4C44C4" w14:textId="77777777">
      <w:pPr>
        <w:pStyle w:val="Heading1"/>
        <w:shd w:val="clear" w:color="auto" w:fill="003580"/>
        <w:ind w:left="180"/>
      </w:pPr>
      <w:r>
        <w:t>1.  Introduction to Hilton Hotels &amp; Resorts</w:t>
      </w:r>
    </w:p>
    <w:p w:rsidR="00243BB1" w:rsidRDefault="009F1CB6" w14:paraId="2EF6ECAB" w14:textId="02484D3A">
      <w:pPr>
        <w:spacing w:after="120"/>
        <w:jc w:val="both"/>
      </w:pPr>
      <w:r w:rsidRPr="295E3045" w:rsidR="009F1CB6">
        <w:rPr>
          <w:color w:val="000000" w:themeColor="text1" w:themeTint="FF" w:themeShade="FF"/>
        </w:rPr>
        <w:t xml:space="preserve">Hilton Hotels &amp; Resorts is one of the world's largest and most recognised international hospitality corporations, founded in 1919 by Conrad Hilton. Headquartered in McLean, Virginia, USA, Hilton </w:t>
      </w:r>
      <w:r w:rsidRPr="295E3045" w:rsidR="009F1CB6">
        <w:rPr>
          <w:color w:val="000000" w:themeColor="text1" w:themeTint="FF" w:themeShade="FF"/>
        </w:rPr>
        <w:t>operates</w:t>
      </w:r>
      <w:r w:rsidRPr="295E3045" w:rsidR="009F1CB6">
        <w:rPr>
          <w:color w:val="000000" w:themeColor="text1" w:themeTint="FF" w:themeShade="FF"/>
        </w:rPr>
        <w:t xml:space="preserve"> more than 7,600 properties across 126 countries and territories, employing over 400,000 team members globally (Hilton, 2024). Its extensive portfolio encompasses 22 world-class brands, ranging </w:t>
      </w:r>
      <w:r w:rsidRPr="295E3045" w:rsidR="4EEAA407">
        <w:rPr>
          <w:color w:val="000000" w:themeColor="text1" w:themeTint="FF" w:themeShade="FF"/>
        </w:rPr>
        <w:t>from the flagship Hilton Hotels &amp; Resorts and luxury Conrad Hotels &amp; Resorts</w:t>
      </w:r>
      <w:r w:rsidRPr="295E3045" w:rsidR="009F1CB6">
        <w:rPr>
          <w:color w:val="000000" w:themeColor="text1" w:themeTint="FF" w:themeShade="FF"/>
        </w:rPr>
        <w:t xml:space="preserve"> to the mid-scale Hampton by Hilton an</w:t>
      </w:r>
      <w:r w:rsidRPr="295E3045" w:rsidR="009F1CB6">
        <w:rPr>
          <w:color w:val="000000" w:themeColor="text1" w:themeTint="FF" w:themeShade="FF"/>
        </w:rPr>
        <w:t>d lifestyle-focused Curio Collection.</w:t>
      </w:r>
    </w:p>
    <w:p w:rsidR="00243BB1" w:rsidRDefault="009F1CB6" w14:paraId="51E23150" w14:textId="77777777">
      <w:pPr>
        <w:spacing w:after="120"/>
        <w:jc w:val="both"/>
      </w:pPr>
      <w:r>
        <w:rPr>
          <w:color w:val="000000"/>
        </w:rPr>
        <w:t>Within the United Kingdom, Hilton maintains a prominent footprint, with flagship properties including the Hilton London Metropole – one of Europe's largest conference hotels – the Hilton London Bankside, and numerous properties across Birmingham, Manchester, and Edinburgh. These properties serve a diverse mix of corporate travellers, leisure guests, and international conference delegates, reflecting Hilton's dual focus on business and leisure hospitality.</w:t>
      </w:r>
    </w:p>
    <w:p w:rsidR="00243BB1" w:rsidRDefault="009F1CB6" w14:paraId="6D8AB80E" w14:textId="77777777">
      <w:pPr>
        <w:spacing w:after="120"/>
        <w:jc w:val="both"/>
      </w:pPr>
      <w:r>
        <w:rPr>
          <w:color w:val="000000"/>
        </w:rPr>
        <w:t xml:space="preserve">Hilton's operational model is anchored on three strategic pillars: hospitality excellence, digital innovation, and sustainability. Its award-winning Hilton </w:t>
      </w:r>
      <w:proofErr w:type="spellStart"/>
      <w:r>
        <w:rPr>
          <w:color w:val="000000"/>
        </w:rPr>
        <w:t>Honors</w:t>
      </w:r>
      <w:proofErr w:type="spellEnd"/>
      <w:r>
        <w:rPr>
          <w:color w:val="000000"/>
        </w:rPr>
        <w:t xml:space="preserve"> loyalty programme, with over 180 million members worldwide, exemplifies the company's commitment to personalised guest relationships (Hilton, 2024). The corporation has consistently invested in technology-led guest experience enhancements, including mobile check-in, digital room keys, and Connected Room technology.</w:t>
      </w:r>
    </w:p>
    <w:p w:rsidR="00243BB1" w:rsidRDefault="009F1CB6" w14:paraId="7DC3E3CC" w14:textId="77777777">
      <w:pPr>
        <w:spacing w:after="120"/>
        <w:jc w:val="both"/>
      </w:pPr>
      <w:r>
        <w:rPr>
          <w:color w:val="000000"/>
        </w:rPr>
        <w:t xml:space="preserve">The </w:t>
      </w:r>
      <w:proofErr w:type="spellStart"/>
      <w:r>
        <w:rPr>
          <w:color w:val="000000"/>
        </w:rPr>
        <w:t>StaySmart</w:t>
      </w:r>
      <w:proofErr w:type="spellEnd"/>
      <w:r>
        <w:rPr>
          <w:color w:val="000000"/>
        </w:rPr>
        <w:t xml:space="preserve">+ initiative represents the next evolution in Hilton's digital transformation journey. Defined as an integrated AI-driven guest experience service, </w:t>
      </w:r>
      <w:proofErr w:type="spellStart"/>
      <w:r>
        <w:rPr>
          <w:color w:val="000000"/>
        </w:rPr>
        <w:t>StaySmart</w:t>
      </w:r>
      <w:proofErr w:type="spellEnd"/>
      <w:r>
        <w:rPr>
          <w:color w:val="000000"/>
        </w:rPr>
        <w:t>+ combines personalised travel planning, AI-powered guest interaction tools, and sustainability-focused in-room amenities. The six-month global rollout across selected Hilton properties worldwide will require meticulous stakeholder coordination across corporate, operational, technology, marketing, and regulatory domains. The success of this lau</w:t>
      </w:r>
      <w:r>
        <w:rPr>
          <w:color w:val="000000"/>
        </w:rPr>
        <w:t>nch will be contingent upon the quality of stakeholder engagement strategies deployed by the project management team.</w:t>
      </w:r>
    </w:p>
    <w:p w:rsidR="00243BB1" w:rsidRDefault="00243BB1" w14:paraId="5F070CE8" w14:textId="77777777">
      <w:pPr>
        <w:spacing w:after="120"/>
      </w:pPr>
    </w:p>
    <w:p w:rsidR="00243BB1" w:rsidRDefault="009F1CB6" w14:paraId="2C870D9A" w14:textId="77777777">
      <w:pPr>
        <w:pStyle w:val="Heading1"/>
        <w:shd w:val="clear" w:color="auto" w:fill="003580"/>
        <w:ind w:left="180"/>
      </w:pPr>
      <w:r>
        <w:t>2.  Situational Analysis of Hilton Hotels &amp; Resorts</w:t>
      </w:r>
    </w:p>
    <w:p w:rsidR="00243BB1" w:rsidP="295E3045" w:rsidRDefault="009F1CB6" w14:paraId="5421A74F" w14:textId="318478E5">
      <w:pPr>
        <w:pStyle w:val="Heading2"/>
        <w:pBdr>
          <w:bottom w:val="single" w:color="D4A94B" w:sz="4" w:space="1"/>
        </w:pBdr>
      </w:pPr>
      <w:r w:rsidR="4D34ABC6">
        <w:rPr/>
        <w:t>2.1 SWOT</w:t>
      </w:r>
      <w:r w:rsidR="009F1CB6">
        <w:rPr/>
        <w:t xml:space="preserve"> Analysis</w:t>
      </w:r>
    </w:p>
    <w:p w:rsidR="00243BB1" w:rsidRDefault="009F1CB6" w14:paraId="2A1C5DCA" w14:textId="77777777">
      <w:pPr>
        <w:spacing w:after="120"/>
        <w:jc w:val="both"/>
      </w:pPr>
      <w:r>
        <w:rPr>
          <w:color w:val="000000"/>
        </w:rPr>
        <w:t xml:space="preserve">The SWOT analysis below assesses Hilton's internal strengths and weaknesses alongside the external opportunities and threats most pertinent to the </w:t>
      </w:r>
      <w:proofErr w:type="spellStart"/>
      <w:r>
        <w:rPr>
          <w:color w:val="000000"/>
        </w:rPr>
        <w:t>StaySmart</w:t>
      </w:r>
      <w:proofErr w:type="spellEnd"/>
      <w:r>
        <w:rPr>
          <w:color w:val="000000"/>
        </w:rPr>
        <w:t>+ rollout.</w:t>
      </w:r>
    </w:p>
    <w:p w:rsidR="00243BB1" w:rsidRDefault="00243BB1" w14:paraId="1D46CAED" w14:textId="77777777">
      <w:pPr>
        <w:spacing w:after="80"/>
      </w:pPr>
    </w:p>
    <w:tbl>
      <w:tblPr>
        <w:tblW w:w="900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 w:type="dxa"/>
          <w:right w:w="10" w:type="dxa"/>
        </w:tblCellMar>
        <w:tblLook w:val="0000" w:firstRow="0" w:lastRow="0" w:firstColumn="0" w:lastColumn="0" w:noHBand="0" w:noVBand="0"/>
      </w:tblPr>
      <w:tblGrid>
        <w:gridCol w:w="4500"/>
        <w:gridCol w:w="4500"/>
      </w:tblGrid>
      <w:tr w:rsidR="00243BB1" w:rsidTr="295E3045" w14:paraId="5768CD6E" w14:textId="77777777">
        <w:tblPrEx>
          <w:tblCellMar>
            <w:top w:w="0" w:type="dxa"/>
            <w:bottom w:w="0" w:type="dxa"/>
          </w:tblCellMar>
        </w:tblPrEx>
        <w:tc>
          <w:tcPr>
            <w:tcW w:w="4500" w:type="dxa"/>
            <w:tcBorders>
              <w:top w:val="single" w:color="AAAAAA" w:sz="4" w:space="0"/>
              <w:left w:val="single" w:color="AAAAAA" w:sz="4" w:space="0"/>
              <w:bottom w:val="single" w:color="AAAAAA" w:sz="4" w:space="0"/>
              <w:right w:val="single" w:color="AAAAAA" w:sz="4" w:space="0"/>
            </w:tcBorders>
            <w:shd w:val="clear" w:color="auto" w:fill="003580"/>
            <w:tcMar>
              <w:top w:w="80" w:type="dxa"/>
              <w:left w:w="120" w:type="dxa"/>
              <w:bottom w:w="80" w:type="dxa"/>
              <w:right w:w="120" w:type="dxa"/>
            </w:tcMar>
            <w:vAlign w:val="center"/>
          </w:tcPr>
          <w:p w:rsidR="00243BB1" w:rsidRDefault="009F1CB6" w14:paraId="3FE3B6F2" w14:textId="77777777">
            <w:r>
              <w:rPr>
                <w:b/>
                <w:bCs/>
                <w:color w:val="FFFFFF"/>
                <w:sz w:val="20"/>
                <w:szCs w:val="20"/>
              </w:rPr>
              <w:t>STRENGTHS</w:t>
            </w:r>
          </w:p>
        </w:tc>
        <w:tc>
          <w:tcPr>
            <w:tcW w:w="4500" w:type="dxa"/>
            <w:tcBorders>
              <w:top w:val="single" w:color="AAAAAA" w:sz="4" w:space="0"/>
              <w:left w:val="single" w:color="AAAAAA" w:sz="4" w:space="0"/>
              <w:bottom w:val="single" w:color="AAAAAA" w:sz="4" w:space="0"/>
              <w:right w:val="single" w:color="AAAAAA" w:sz="4" w:space="0"/>
            </w:tcBorders>
            <w:shd w:val="clear" w:color="auto" w:fill="003580"/>
            <w:tcMar>
              <w:top w:w="80" w:type="dxa"/>
              <w:left w:w="120" w:type="dxa"/>
              <w:bottom w:w="80" w:type="dxa"/>
              <w:right w:w="120" w:type="dxa"/>
            </w:tcMar>
            <w:vAlign w:val="center"/>
          </w:tcPr>
          <w:p w:rsidR="00243BB1" w:rsidRDefault="009F1CB6" w14:paraId="1DEE3B61" w14:textId="77777777">
            <w:r>
              <w:rPr>
                <w:b/>
                <w:bCs/>
                <w:color w:val="FFFFFF"/>
                <w:sz w:val="20"/>
                <w:szCs w:val="20"/>
              </w:rPr>
              <w:t>WEAKNESSES</w:t>
            </w:r>
          </w:p>
        </w:tc>
      </w:tr>
      <w:tr w:rsidR="00243BB1" w:rsidTr="295E3045" w14:paraId="3959896C" w14:textId="77777777">
        <w:tblPrEx>
          <w:tblCellMar>
            <w:top w:w="0" w:type="dxa"/>
            <w:bottom w:w="0" w:type="dxa"/>
          </w:tblCellMar>
        </w:tblPrEx>
        <w:tc>
          <w:tcPr>
            <w:tcW w:w="4500" w:type="dxa"/>
            <w:tcBorders>
              <w:top w:val="single" w:color="AAAAAA" w:sz="4" w:space="0"/>
              <w:left w:val="single" w:color="AAAAAA" w:sz="4" w:space="0"/>
              <w:bottom w:val="single" w:color="AAAAAA" w:sz="4" w:space="0"/>
              <w:right w:val="single" w:color="AAAAAA" w:sz="4" w:space="0"/>
            </w:tcBorders>
            <w:shd w:val="clear" w:color="auto" w:fill="E8EFF8"/>
            <w:tcMar>
              <w:top w:w="80" w:type="dxa"/>
              <w:left w:w="120" w:type="dxa"/>
              <w:bottom w:w="80" w:type="dxa"/>
              <w:right w:w="120" w:type="dxa"/>
            </w:tcMar>
            <w:vAlign w:val="center"/>
          </w:tcPr>
          <w:p w:rsidR="00243BB1" w:rsidRDefault="009F1CB6" w14:paraId="49C585FF" w14:textId="2B62A017">
            <w:r w:rsidRPr="295E3045" w:rsidR="009F1CB6">
              <w:rPr>
                <w:color w:val="000000" w:themeColor="text1" w:themeTint="FF" w:themeShade="FF"/>
                <w:sz w:val="20"/>
                <w:szCs w:val="20"/>
              </w:rPr>
              <w:t xml:space="preserve">Global brand recognition and loyalty programme (180M+ </w:t>
            </w:r>
            <w:r w:rsidRPr="295E3045" w:rsidR="009F1CB6">
              <w:rPr>
                <w:color w:val="000000" w:themeColor="text1" w:themeTint="FF" w:themeShade="FF"/>
                <w:sz w:val="20"/>
                <w:szCs w:val="20"/>
              </w:rPr>
              <w:t>Honors</w:t>
            </w:r>
            <w:r w:rsidRPr="295E3045" w:rsidR="009F1CB6">
              <w:rPr>
                <w:color w:val="000000" w:themeColor="text1" w:themeTint="FF" w:themeShade="FF"/>
                <w:sz w:val="20"/>
                <w:szCs w:val="20"/>
              </w:rPr>
              <w:t xml:space="preserve"> members) </w:t>
            </w:r>
          </w:p>
          <w:p w:rsidR="00243BB1" w:rsidP="295E3045" w:rsidRDefault="009F1CB6" w14:paraId="21D4A0B4" w14:textId="1470BD50">
            <w:pPr>
              <w:rPr>
                <w:color w:val="000000" w:themeColor="text1" w:themeTint="FF" w:themeShade="FF"/>
                <w:sz w:val="20"/>
                <w:szCs w:val="20"/>
              </w:rPr>
            </w:pPr>
          </w:p>
          <w:p w:rsidR="00243BB1" w:rsidRDefault="009F1CB6" w14:paraId="0ED7D050" w14:textId="297F02F7">
            <w:r w:rsidRPr="295E3045" w:rsidR="009F1CB6">
              <w:rPr>
                <w:color w:val="000000" w:themeColor="text1" w:themeTint="FF" w:themeShade="FF"/>
                <w:sz w:val="20"/>
                <w:szCs w:val="20"/>
              </w:rPr>
              <w:t xml:space="preserve">Established digital infrastructure (Connected </w:t>
            </w:r>
          </w:p>
          <w:p w:rsidR="00243BB1" w:rsidP="295E3045" w:rsidRDefault="009F1CB6" w14:paraId="3C3C6244" w14:textId="325B12C7">
            <w:pPr>
              <w:rPr>
                <w:color w:val="000000" w:themeColor="text1" w:themeTint="FF" w:themeShade="FF"/>
                <w:sz w:val="20"/>
                <w:szCs w:val="20"/>
              </w:rPr>
            </w:pPr>
          </w:p>
          <w:p w:rsidR="00243BB1" w:rsidRDefault="009F1CB6" w14:paraId="4CB8D0FA" w14:textId="0883E44C">
            <w:r w:rsidRPr="295E3045" w:rsidR="009F1CB6">
              <w:rPr>
                <w:color w:val="000000" w:themeColor="text1" w:themeTint="FF" w:themeShade="FF"/>
                <w:sz w:val="20"/>
                <w:szCs w:val="20"/>
              </w:rPr>
              <w:t xml:space="preserve">Room, mobile check-in) Strong financial resilience and capital investment capacity </w:t>
            </w:r>
            <w:r w:rsidRPr="295E3045" w:rsidR="6B60EBF8">
              <w:rPr>
                <w:color w:val="000000" w:themeColor="text1" w:themeTint="FF" w:themeShade="FF"/>
                <w:sz w:val="20"/>
                <w:szCs w:val="20"/>
              </w:rPr>
              <w:t xml:space="preserve">  </w:t>
            </w:r>
          </w:p>
          <w:p w:rsidR="00243BB1" w:rsidP="295E3045" w:rsidRDefault="009F1CB6" w14:paraId="14FB3091" w14:textId="45EB900C">
            <w:pPr>
              <w:rPr>
                <w:color w:val="000000" w:themeColor="text1" w:themeTint="FF" w:themeShade="FF"/>
                <w:sz w:val="20"/>
                <w:szCs w:val="20"/>
              </w:rPr>
            </w:pPr>
          </w:p>
          <w:p w:rsidR="00243BB1" w:rsidRDefault="009F1CB6" w14:paraId="6A9DE2F4" w14:textId="004B48E9">
            <w:r w:rsidRPr="295E3045" w:rsidR="009F1CB6">
              <w:rPr>
                <w:color w:val="000000" w:themeColor="text1" w:themeTint="FF" w:themeShade="FF"/>
                <w:sz w:val="20"/>
                <w:szCs w:val="20"/>
              </w:rPr>
              <w:t>Proven change management experience across global markets</w:t>
            </w:r>
          </w:p>
        </w:tc>
        <w:tc>
          <w:tcPr>
            <w:tcW w:w="4500" w:type="dxa"/>
            <w:tcBorders>
              <w:top w:val="single" w:color="AAAAAA" w:sz="4" w:space="0"/>
              <w:left w:val="single" w:color="AAAAAA" w:sz="4" w:space="0"/>
              <w:bottom w:val="single" w:color="AAAAAA" w:sz="4" w:space="0"/>
              <w:right w:val="single" w:color="AAAAAA" w:sz="4" w:space="0"/>
            </w:tcBorders>
            <w:shd w:val="clear" w:color="auto" w:fill="F2F2F2" w:themeFill="background1" w:themeFillShade="F2"/>
            <w:tcMar>
              <w:top w:w="80" w:type="dxa"/>
              <w:left w:w="120" w:type="dxa"/>
              <w:bottom w:w="80" w:type="dxa"/>
              <w:right w:w="120" w:type="dxa"/>
            </w:tcMar>
            <w:vAlign w:val="center"/>
          </w:tcPr>
          <w:p w:rsidR="00243BB1" w:rsidRDefault="009F1CB6" w14:paraId="3F022898" w14:textId="76CCE90C">
            <w:r w:rsidRPr="295E3045" w:rsidR="009F1CB6">
              <w:rPr>
                <w:color w:val="000000" w:themeColor="text1" w:themeTint="FF" w:themeShade="FF"/>
                <w:sz w:val="20"/>
                <w:szCs w:val="20"/>
              </w:rPr>
              <w:t xml:space="preserve">Legacy IT systems in older properties may impede AI integration </w:t>
            </w:r>
          </w:p>
          <w:p w:rsidR="00243BB1" w:rsidP="295E3045" w:rsidRDefault="009F1CB6" w14:paraId="6EF4CB28" w14:textId="56BF26E0">
            <w:pPr>
              <w:rPr>
                <w:color w:val="000000" w:themeColor="text1" w:themeTint="FF" w:themeShade="FF"/>
                <w:sz w:val="20"/>
                <w:szCs w:val="20"/>
              </w:rPr>
            </w:pPr>
          </w:p>
          <w:p w:rsidR="00243BB1" w:rsidRDefault="009F1CB6" w14:paraId="3A090C25" w14:textId="4E7F8EC2">
            <w:r w:rsidRPr="295E3045" w:rsidR="009F1CB6">
              <w:rPr>
                <w:color w:val="000000" w:themeColor="text1" w:themeTint="FF" w:themeShade="FF"/>
                <w:sz w:val="20"/>
                <w:szCs w:val="20"/>
              </w:rPr>
              <w:t xml:space="preserve">High operational complexity across 22 brands and diverse franchisees Variability in digital literacy among frontline staff globally </w:t>
            </w:r>
          </w:p>
          <w:p w:rsidR="00243BB1" w:rsidP="295E3045" w:rsidRDefault="009F1CB6" w14:paraId="578F42B0" w14:textId="7D02CF81">
            <w:pPr>
              <w:rPr>
                <w:color w:val="000000" w:themeColor="text1" w:themeTint="FF" w:themeShade="FF"/>
                <w:sz w:val="20"/>
                <w:szCs w:val="20"/>
              </w:rPr>
            </w:pPr>
          </w:p>
          <w:p w:rsidR="00243BB1" w:rsidRDefault="009F1CB6" w14:paraId="46189D5B" w14:textId="4E36CE9C">
            <w:r w:rsidRPr="295E3045" w:rsidR="009F1CB6">
              <w:rPr>
                <w:color w:val="000000" w:themeColor="text1" w:themeTint="FF" w:themeShade="FF"/>
                <w:sz w:val="20"/>
                <w:szCs w:val="20"/>
              </w:rPr>
              <w:t>Dependency on third-party franchise agreements may limit uniformity</w:t>
            </w:r>
          </w:p>
        </w:tc>
      </w:tr>
      <w:tr w:rsidR="00243BB1" w:rsidTr="295E3045" w14:paraId="251D42A0" w14:textId="77777777">
        <w:tblPrEx>
          <w:tblCellMar>
            <w:top w:w="0" w:type="dxa"/>
            <w:bottom w:w="0" w:type="dxa"/>
          </w:tblCellMar>
        </w:tblPrEx>
        <w:tc>
          <w:tcPr>
            <w:tcW w:w="4500" w:type="dxa"/>
            <w:tcBorders>
              <w:top w:val="single" w:color="AAAAAA" w:sz="4" w:space="0"/>
              <w:left w:val="single" w:color="AAAAAA" w:sz="4" w:space="0"/>
              <w:bottom w:val="single" w:color="AAAAAA" w:sz="4" w:space="0"/>
              <w:right w:val="single" w:color="AAAAAA" w:sz="4" w:space="0"/>
            </w:tcBorders>
            <w:shd w:val="clear" w:color="auto" w:fill="D4A94B"/>
            <w:tcMar>
              <w:top w:w="80" w:type="dxa"/>
              <w:left w:w="120" w:type="dxa"/>
              <w:bottom w:w="80" w:type="dxa"/>
              <w:right w:w="120" w:type="dxa"/>
            </w:tcMar>
            <w:vAlign w:val="center"/>
          </w:tcPr>
          <w:p w:rsidR="00243BB1" w:rsidRDefault="009F1CB6" w14:paraId="3AF9B426" w14:textId="77777777">
            <w:r>
              <w:rPr>
                <w:b/>
                <w:bCs/>
                <w:color w:val="FFFFFF"/>
                <w:sz w:val="20"/>
                <w:szCs w:val="20"/>
              </w:rPr>
              <w:t>OPPORTUNITIES</w:t>
            </w:r>
          </w:p>
        </w:tc>
        <w:tc>
          <w:tcPr>
            <w:tcW w:w="4500" w:type="dxa"/>
            <w:tcBorders>
              <w:top w:val="single" w:color="AAAAAA" w:sz="4" w:space="0"/>
              <w:left w:val="single" w:color="AAAAAA" w:sz="4" w:space="0"/>
              <w:bottom w:val="single" w:color="AAAAAA" w:sz="4" w:space="0"/>
              <w:right w:val="single" w:color="AAAAAA" w:sz="4" w:space="0"/>
            </w:tcBorders>
            <w:shd w:val="clear" w:color="auto" w:fill="8B0000"/>
            <w:tcMar>
              <w:top w:w="80" w:type="dxa"/>
              <w:left w:w="120" w:type="dxa"/>
              <w:bottom w:w="80" w:type="dxa"/>
              <w:right w:w="120" w:type="dxa"/>
            </w:tcMar>
            <w:vAlign w:val="center"/>
          </w:tcPr>
          <w:p w:rsidR="00243BB1" w:rsidRDefault="009F1CB6" w14:paraId="1880ED53" w14:textId="77777777">
            <w:r>
              <w:rPr>
                <w:b/>
                <w:bCs/>
                <w:color w:val="FFFFFF"/>
                <w:sz w:val="20"/>
                <w:szCs w:val="20"/>
              </w:rPr>
              <w:t>THREATS</w:t>
            </w:r>
          </w:p>
        </w:tc>
      </w:tr>
      <w:tr w:rsidR="00243BB1" w:rsidTr="295E3045" w14:paraId="73A9430A" w14:textId="77777777">
        <w:tblPrEx>
          <w:tblCellMar>
            <w:top w:w="0" w:type="dxa"/>
            <w:bottom w:w="0" w:type="dxa"/>
          </w:tblCellMar>
        </w:tblPrEx>
        <w:tc>
          <w:tcPr>
            <w:tcW w:w="4500" w:type="dxa"/>
            <w:tcBorders>
              <w:top w:val="single" w:color="AAAAAA" w:sz="4" w:space="0"/>
              <w:left w:val="single" w:color="AAAAAA" w:sz="4" w:space="0"/>
              <w:bottom w:val="single" w:color="AAAAAA" w:sz="4" w:space="0"/>
              <w:right w:val="single" w:color="AAAAAA" w:sz="4" w:space="0"/>
            </w:tcBorders>
            <w:shd w:val="clear" w:color="auto" w:fill="FDF6E3"/>
            <w:tcMar>
              <w:top w:w="80" w:type="dxa"/>
              <w:left w:w="120" w:type="dxa"/>
              <w:bottom w:w="80" w:type="dxa"/>
              <w:right w:w="120" w:type="dxa"/>
            </w:tcMar>
            <w:vAlign w:val="center"/>
          </w:tcPr>
          <w:p w:rsidR="00243BB1" w:rsidRDefault="009F1CB6" w14:paraId="21F854DE" w14:textId="4A9F628F">
            <w:r w:rsidRPr="295E3045" w:rsidR="009F1CB6">
              <w:rPr>
                <w:color w:val="000000" w:themeColor="text1" w:themeTint="FF" w:themeShade="FF"/>
                <w:sz w:val="20"/>
                <w:szCs w:val="20"/>
              </w:rPr>
              <w:t xml:space="preserve">Growing demand for personalised, technology-enhanced travel experiences AI adoption trend across hospitality sector creates first-mover advantage </w:t>
            </w:r>
          </w:p>
          <w:p w:rsidR="00243BB1" w:rsidRDefault="009F1CB6" w14:paraId="6E91B3D0" w14:textId="7366FC6E">
            <w:r w:rsidRPr="295E3045" w:rsidR="009F1CB6">
              <w:rPr>
                <w:color w:val="000000" w:themeColor="text1" w:themeTint="FF" w:themeShade="FF"/>
                <w:sz w:val="20"/>
                <w:szCs w:val="20"/>
              </w:rPr>
              <w:t xml:space="preserve">Expansion of sustainability expectations aligns with ESG investor priorities </w:t>
            </w:r>
            <w:r w:rsidRPr="295E3045" w:rsidR="20638D41">
              <w:rPr>
                <w:color w:val="000000" w:themeColor="text1" w:themeTint="FF" w:themeShade="FF"/>
                <w:sz w:val="20"/>
                <w:szCs w:val="20"/>
              </w:rPr>
              <w:t>post-pandemic</w:t>
            </w:r>
            <w:r w:rsidRPr="295E3045" w:rsidR="009F1CB6">
              <w:rPr>
                <w:color w:val="000000" w:themeColor="text1" w:themeTint="FF" w:themeShade="FF"/>
                <w:sz w:val="20"/>
                <w:szCs w:val="20"/>
              </w:rPr>
              <w:t xml:space="preserve"> recovery driving premium travel segment growth</w:t>
            </w:r>
          </w:p>
        </w:tc>
        <w:tc>
          <w:tcPr>
            <w:tcW w:w="4500" w:type="dxa"/>
            <w:tcBorders>
              <w:top w:val="single" w:color="AAAAAA" w:sz="4" w:space="0"/>
              <w:left w:val="single" w:color="AAAAAA" w:sz="4" w:space="0"/>
              <w:bottom w:val="single" w:color="AAAAAA" w:sz="4" w:space="0"/>
              <w:right w:val="single" w:color="AAAAAA" w:sz="4" w:space="0"/>
            </w:tcBorders>
            <w:shd w:val="clear" w:color="auto" w:fill="F2F2F2" w:themeFill="background1" w:themeFillShade="F2"/>
            <w:tcMar>
              <w:top w:w="80" w:type="dxa"/>
              <w:left w:w="120" w:type="dxa"/>
              <w:bottom w:w="80" w:type="dxa"/>
              <w:right w:w="120" w:type="dxa"/>
            </w:tcMar>
            <w:vAlign w:val="center"/>
          </w:tcPr>
          <w:p w:rsidR="00243BB1" w:rsidRDefault="009F1CB6" w14:paraId="5799D9BF" w14:textId="6A8B3A57">
            <w:r w:rsidRPr="295E3045" w:rsidR="009F1CB6">
              <w:rPr>
                <w:color w:val="000000" w:themeColor="text1" w:themeTint="FF" w:themeShade="FF"/>
                <w:sz w:val="20"/>
                <w:szCs w:val="20"/>
              </w:rPr>
              <w:t xml:space="preserve">Intense competition from Marriott, IHG, and boutique tech-enabled hotels </w:t>
            </w:r>
          </w:p>
          <w:p w:rsidR="00243BB1" w:rsidP="295E3045" w:rsidRDefault="009F1CB6" w14:paraId="76659E13" w14:textId="5219C252">
            <w:pPr>
              <w:rPr>
                <w:color w:val="000000" w:themeColor="text1" w:themeTint="FF" w:themeShade="FF"/>
                <w:sz w:val="20"/>
                <w:szCs w:val="20"/>
              </w:rPr>
            </w:pPr>
          </w:p>
          <w:p w:rsidR="00243BB1" w:rsidRDefault="009F1CB6" w14:paraId="51046C70" w14:textId="2084BE68">
            <w:r w:rsidRPr="295E3045" w:rsidR="009F1CB6">
              <w:rPr>
                <w:color w:val="000000" w:themeColor="text1" w:themeTint="FF" w:themeShade="FF"/>
                <w:sz w:val="20"/>
                <w:szCs w:val="20"/>
              </w:rPr>
              <w:t xml:space="preserve">Data privacy and GDPR regulatory compliance risks in EU/UK markets </w:t>
            </w:r>
          </w:p>
          <w:p w:rsidR="00243BB1" w:rsidRDefault="009F1CB6" w14:paraId="1B7D73DF" w14:textId="697F7CF6">
            <w:r w:rsidRPr="295E3045" w:rsidR="009F1CB6">
              <w:rPr>
                <w:color w:val="000000" w:themeColor="text1" w:themeTint="FF" w:themeShade="FF"/>
                <w:sz w:val="20"/>
                <w:szCs w:val="20"/>
              </w:rPr>
              <w:t xml:space="preserve">Cyber-security vulnerabilities associated with AI and </w:t>
            </w:r>
            <w:r w:rsidRPr="295E3045" w:rsidR="009F1CB6">
              <w:rPr>
                <w:color w:val="000000" w:themeColor="text1" w:themeTint="FF" w:themeShade="FF"/>
                <w:sz w:val="20"/>
                <w:szCs w:val="20"/>
              </w:rPr>
              <w:t>IoT</w:t>
            </w:r>
            <w:r w:rsidRPr="295E3045" w:rsidR="009F1CB6">
              <w:rPr>
                <w:color w:val="000000" w:themeColor="text1" w:themeTint="FF" w:themeShade="FF"/>
                <w:sz w:val="20"/>
                <w:szCs w:val="20"/>
              </w:rPr>
              <w:t xml:space="preserve"> deployments </w:t>
            </w:r>
          </w:p>
          <w:p w:rsidR="00243BB1" w:rsidP="295E3045" w:rsidRDefault="009F1CB6" w14:paraId="6BC297AA" w14:textId="4298DA44">
            <w:pPr>
              <w:rPr>
                <w:color w:val="000000" w:themeColor="text1" w:themeTint="FF" w:themeShade="FF"/>
                <w:sz w:val="20"/>
                <w:szCs w:val="20"/>
              </w:rPr>
            </w:pPr>
          </w:p>
          <w:p w:rsidR="00243BB1" w:rsidRDefault="009F1CB6" w14:paraId="66AC1B89" w14:textId="2CF09404">
            <w:r w:rsidRPr="295E3045" w:rsidR="009F1CB6">
              <w:rPr>
                <w:color w:val="000000" w:themeColor="text1" w:themeTint="FF" w:themeShade="FF"/>
                <w:sz w:val="20"/>
                <w:szCs w:val="20"/>
              </w:rPr>
              <w:t>Economic uncertainty affecting discretionary travel spend</w:t>
            </w:r>
          </w:p>
        </w:tc>
      </w:tr>
    </w:tbl>
    <w:p w:rsidR="00243BB1" w:rsidRDefault="00243BB1" w14:paraId="3F7DC288" w14:textId="77777777">
      <w:pPr>
        <w:spacing w:after="160"/>
      </w:pPr>
    </w:p>
    <w:p w:rsidR="00243BB1" w:rsidP="295E3045" w:rsidRDefault="009F1CB6" w14:paraId="569CA476" w14:textId="670A3393">
      <w:pPr>
        <w:pStyle w:val="Heading2"/>
        <w:pBdr>
          <w:bottom w:val="single" w:color="D4A94B" w:sz="4" w:space="1"/>
        </w:pBdr>
      </w:pPr>
      <w:r w:rsidR="0C119ECF">
        <w:rPr/>
        <w:t>2.2 PESTLE</w:t>
      </w:r>
      <w:r w:rsidR="009F1CB6">
        <w:rPr/>
        <w:t xml:space="preserve"> Analysis</w:t>
      </w:r>
    </w:p>
    <w:p w:rsidR="00243BB1" w:rsidRDefault="009F1CB6" w14:paraId="525E2087" w14:textId="77777777">
      <w:pPr>
        <w:spacing w:after="120"/>
        <w:jc w:val="both"/>
      </w:pPr>
      <w:r w:rsidRPr="295E3045" w:rsidR="009F1CB6">
        <w:rPr>
          <w:b w:val="1"/>
          <w:bCs w:val="1"/>
          <w:color w:val="000000" w:themeColor="text1" w:themeTint="FF" w:themeShade="FF"/>
        </w:rPr>
        <w:t>Political</w:t>
      </w:r>
      <w:r w:rsidRPr="295E3045" w:rsidR="009F1CB6">
        <w:rPr>
          <w:b w:val="1"/>
          <w:bCs w:val="1"/>
          <w:color w:val="000000" w:themeColor="text1" w:themeTint="FF" w:themeShade="FF"/>
        </w:rPr>
        <w:t>:</w:t>
      </w:r>
      <w:r w:rsidRPr="295E3045" w:rsidR="009F1CB6">
        <w:rPr>
          <w:color w:val="000000" w:themeColor="text1" w:themeTint="FF" w:themeShade="FF"/>
        </w:rPr>
        <w:t xml:space="preserve"> Hilton </w:t>
      </w:r>
      <w:r w:rsidRPr="295E3045" w:rsidR="009F1CB6">
        <w:rPr>
          <w:color w:val="000000" w:themeColor="text1" w:themeTint="FF" w:themeShade="FF"/>
        </w:rPr>
        <w:t>operates</w:t>
      </w:r>
      <w:r w:rsidRPr="295E3045" w:rsidR="009F1CB6">
        <w:rPr>
          <w:color w:val="000000" w:themeColor="text1" w:themeTint="FF" w:themeShade="FF"/>
        </w:rPr>
        <w:t xml:space="preserve"> in </w:t>
      </w:r>
      <w:r w:rsidRPr="295E3045" w:rsidR="009F1CB6">
        <w:rPr>
          <w:color w:val="000000" w:themeColor="text1" w:themeTint="FF" w:themeShade="FF"/>
        </w:rPr>
        <w:t>jurisdictions</w:t>
      </w:r>
      <w:r w:rsidRPr="295E3045" w:rsidR="009F1CB6">
        <w:rPr>
          <w:color w:val="000000" w:themeColor="text1" w:themeTint="FF" w:themeShade="FF"/>
        </w:rPr>
        <w:t xml:space="preserve"> with varying degrees of political stability. In the UK and EU, stringent data protection legislation (GDPR) directly affects the data collection capabilities of </w:t>
      </w:r>
      <w:r w:rsidRPr="295E3045" w:rsidR="009F1CB6">
        <w:rPr>
          <w:color w:val="000000" w:themeColor="text1" w:themeTint="FF" w:themeShade="FF"/>
        </w:rPr>
        <w:t>StaySmart</w:t>
      </w:r>
      <w:r w:rsidRPr="295E3045" w:rsidR="009F1CB6">
        <w:rPr>
          <w:color w:val="000000" w:themeColor="text1" w:themeTint="FF" w:themeShade="FF"/>
        </w:rPr>
        <w:t>+'s AI systems. Geopolitical tensions in certain international markets may delay rollout in specific regions.</w:t>
      </w:r>
    </w:p>
    <w:p w:rsidR="00243BB1" w:rsidRDefault="009F1CB6" w14:paraId="0012B6D6" w14:textId="77777777">
      <w:pPr>
        <w:spacing w:after="120"/>
        <w:jc w:val="both"/>
      </w:pPr>
      <w:r w:rsidRPr="295E3045" w:rsidR="009F1CB6">
        <w:rPr>
          <w:b w:val="1"/>
          <w:bCs w:val="1"/>
          <w:color w:val="000000" w:themeColor="text1" w:themeTint="FF" w:themeShade="FF"/>
        </w:rPr>
        <w:t>Economic:</w:t>
      </w:r>
      <w:r w:rsidRPr="295E3045" w:rsidR="009F1CB6">
        <w:rPr>
          <w:color w:val="000000" w:themeColor="text1" w:themeTint="FF" w:themeShade="FF"/>
        </w:rPr>
        <w:t xml:space="preserve"> Post-pandemic recovery of the premium travel segment presents a favourable macroeconomic climate for </w:t>
      </w:r>
      <w:r w:rsidRPr="295E3045" w:rsidR="009F1CB6">
        <w:rPr>
          <w:color w:val="000000" w:themeColor="text1" w:themeTint="FF" w:themeShade="FF"/>
        </w:rPr>
        <w:t>StaySmart</w:t>
      </w:r>
      <w:r w:rsidRPr="295E3045" w:rsidR="009F1CB6">
        <w:rPr>
          <w:color w:val="000000" w:themeColor="text1" w:themeTint="FF" w:themeShade="FF"/>
        </w:rPr>
        <w:t>+. However, inflationary pressures on technology procurement and labour costs may increase the project's capital expenditure requirements. Currency fluctuations across international markets affect budget predictability.</w:t>
      </w:r>
    </w:p>
    <w:p w:rsidR="00243BB1" w:rsidRDefault="009F1CB6" w14:paraId="68FCD069" w14:textId="2CE6C14E">
      <w:pPr>
        <w:spacing w:after="120"/>
        <w:jc w:val="both"/>
      </w:pPr>
      <w:r w:rsidRPr="295E3045" w:rsidR="009F1CB6">
        <w:rPr>
          <w:b w:val="1"/>
          <w:bCs w:val="1"/>
          <w:color w:val="000000" w:themeColor="text1" w:themeTint="FF" w:themeShade="FF"/>
        </w:rPr>
        <w:t>Social:</w:t>
      </w:r>
      <w:r w:rsidRPr="295E3045" w:rsidR="009F1CB6">
        <w:rPr>
          <w:color w:val="000000" w:themeColor="text1" w:themeTint="FF" w:themeShade="FF"/>
        </w:rPr>
        <w:t xml:space="preserve"> Evolving guest expectations, particularly among millennial and Gen Z travellers, drive demand for hyper-personalised, </w:t>
      </w:r>
      <w:r w:rsidRPr="295E3045" w:rsidR="1CEAB2D5">
        <w:rPr>
          <w:color w:val="000000" w:themeColor="text1" w:themeTint="FF" w:themeShade="FF"/>
        </w:rPr>
        <w:t>digitally enabled</w:t>
      </w:r>
      <w:r w:rsidRPr="295E3045" w:rsidR="009F1CB6">
        <w:rPr>
          <w:color w:val="000000" w:themeColor="text1" w:themeTint="FF" w:themeShade="FF"/>
        </w:rPr>
        <w:t xml:space="preserve"> experiences. There is also a growing consciousness around sustainable travel, aligning with </w:t>
      </w:r>
      <w:r w:rsidRPr="295E3045" w:rsidR="009F1CB6">
        <w:rPr>
          <w:color w:val="000000" w:themeColor="text1" w:themeTint="FF" w:themeShade="FF"/>
        </w:rPr>
        <w:t>StaySmart</w:t>
      </w:r>
      <w:r w:rsidRPr="295E3045" w:rsidR="009F1CB6">
        <w:rPr>
          <w:color w:val="000000" w:themeColor="text1" w:themeTint="FF" w:themeShade="FF"/>
        </w:rPr>
        <w:t xml:space="preserve">+'s sustainability-focused amenities. However, older demographic segments may be resistant to AI-driven interaction (Freeman and </w:t>
      </w:r>
      <w:r w:rsidRPr="295E3045" w:rsidR="009F1CB6">
        <w:rPr>
          <w:color w:val="000000" w:themeColor="text1" w:themeTint="FF" w:themeShade="FF"/>
        </w:rPr>
        <w:t>McVea</w:t>
      </w:r>
      <w:r w:rsidRPr="295E3045" w:rsidR="009F1CB6">
        <w:rPr>
          <w:color w:val="000000" w:themeColor="text1" w:themeTint="FF" w:themeShade="FF"/>
        </w:rPr>
        <w:t>, 2001).</w:t>
      </w:r>
    </w:p>
    <w:p w:rsidR="00243BB1" w:rsidRDefault="009F1CB6" w14:paraId="45D42D7A" w14:textId="77777777">
      <w:pPr>
        <w:spacing w:after="120"/>
        <w:jc w:val="both"/>
      </w:pPr>
      <w:r w:rsidRPr="295E3045" w:rsidR="009F1CB6">
        <w:rPr>
          <w:b w:val="1"/>
          <w:bCs w:val="1"/>
          <w:color w:val="000000" w:themeColor="text1" w:themeTint="FF" w:themeShade="FF"/>
        </w:rPr>
        <w:t xml:space="preserve">Technological: </w:t>
      </w:r>
      <w:r w:rsidRPr="295E3045" w:rsidR="009F1CB6">
        <w:rPr>
          <w:color w:val="000000" w:themeColor="text1" w:themeTint="FF" w:themeShade="FF"/>
        </w:rPr>
        <w:t>Rapid advances in AI, machine learning, and Internet of Things (</w:t>
      </w:r>
      <w:r w:rsidRPr="295E3045" w:rsidR="009F1CB6">
        <w:rPr>
          <w:color w:val="000000" w:themeColor="text1" w:themeTint="FF" w:themeShade="FF"/>
        </w:rPr>
        <w:t>IoT</w:t>
      </w:r>
      <w:r w:rsidRPr="295E3045" w:rsidR="009F1CB6">
        <w:rPr>
          <w:color w:val="000000" w:themeColor="text1" w:themeTint="FF" w:themeShade="FF"/>
        </w:rPr>
        <w:t xml:space="preserve">) provide the technical foundation for </w:t>
      </w:r>
      <w:r w:rsidRPr="295E3045" w:rsidR="009F1CB6">
        <w:rPr>
          <w:color w:val="000000" w:themeColor="text1" w:themeTint="FF" w:themeShade="FF"/>
        </w:rPr>
        <w:t>StaySmart</w:t>
      </w:r>
      <w:r w:rsidRPr="295E3045" w:rsidR="009F1CB6">
        <w:rPr>
          <w:color w:val="000000" w:themeColor="text1" w:themeTint="FF" w:themeShade="FF"/>
        </w:rPr>
        <w:t>+. However, the heterogeneity of Hilton's existing property-level IT infrastructure across its global estate presents significant integration challenges.</w:t>
      </w:r>
    </w:p>
    <w:p w:rsidR="00243BB1" w:rsidRDefault="009F1CB6" w14:paraId="77E186EC" w14:textId="77777777">
      <w:pPr>
        <w:spacing w:after="120"/>
        <w:jc w:val="both"/>
      </w:pPr>
      <w:r w:rsidRPr="295E3045" w:rsidR="009F1CB6">
        <w:rPr>
          <w:b w:val="1"/>
          <w:bCs w:val="1"/>
          <w:color w:val="000000" w:themeColor="text1" w:themeTint="FF" w:themeShade="FF"/>
        </w:rPr>
        <w:t xml:space="preserve">Legal: </w:t>
      </w:r>
      <w:r w:rsidRPr="295E3045" w:rsidR="009F1CB6">
        <w:rPr>
          <w:color w:val="000000" w:themeColor="text1" w:themeTint="FF" w:themeShade="FF"/>
        </w:rPr>
        <w:t>Data protection laws (GDPR in the EU, CCPA in California, PDPA in Singapore) require stringent compliance protocols for AI-driven guest data usage. Franchisee agreements may create legal complexities around technology mandates and standardisation obligations.</w:t>
      </w:r>
    </w:p>
    <w:p w:rsidR="00243BB1" w:rsidRDefault="009F1CB6" w14:paraId="2201F144" w14:textId="77777777">
      <w:pPr>
        <w:spacing w:after="120"/>
        <w:jc w:val="both"/>
      </w:pPr>
      <w:r w:rsidRPr="295E3045" w:rsidR="009F1CB6">
        <w:rPr>
          <w:b w:val="1"/>
          <w:bCs w:val="1"/>
          <w:color w:val="000000" w:themeColor="text1" w:themeTint="FF" w:themeShade="FF"/>
        </w:rPr>
        <w:t>Environmental:</w:t>
      </w:r>
      <w:r w:rsidRPr="295E3045" w:rsidR="009F1CB6">
        <w:rPr>
          <w:color w:val="000000" w:themeColor="text1" w:themeTint="FF" w:themeShade="FF"/>
        </w:rPr>
        <w:t xml:space="preserve"> Hilton's Travel with Purpose 2030 Goals commit the company to significant reductions in carbon emissions and water use. </w:t>
      </w:r>
      <w:r w:rsidRPr="295E3045" w:rsidR="009F1CB6">
        <w:rPr>
          <w:color w:val="000000" w:themeColor="text1" w:themeTint="FF" w:themeShade="FF"/>
        </w:rPr>
        <w:t>StaySmart</w:t>
      </w:r>
      <w:r w:rsidRPr="295E3045" w:rsidR="009F1CB6">
        <w:rPr>
          <w:color w:val="000000" w:themeColor="text1" w:themeTint="FF" w:themeShade="FF"/>
        </w:rPr>
        <w:t>+'s sustainability-focused amenities directly support these goals, creating alignment with Hilton's ESG commitments and stakeholder expectations from investors and regulators.</w:t>
      </w:r>
    </w:p>
    <w:p w:rsidR="00243BB1" w:rsidRDefault="00243BB1" w14:paraId="3F9175FA" w14:textId="77777777">
      <w:pPr>
        <w:spacing w:after="120"/>
      </w:pPr>
    </w:p>
    <w:p w:rsidR="00243BB1" w:rsidP="295E3045" w:rsidRDefault="009F1CB6" w14:paraId="4A67BB1B" w14:textId="6F8429A2">
      <w:pPr>
        <w:pStyle w:val="Heading2"/>
        <w:pBdr>
          <w:bottom w:val="single" w:color="D4A94B" w:sz="4" w:space="1"/>
        </w:pBdr>
      </w:pPr>
      <w:r w:rsidR="72033EC3">
        <w:rPr/>
        <w:t>2.3 SMART</w:t>
      </w:r>
      <w:r w:rsidR="009F1CB6">
        <w:rPr/>
        <w:t xml:space="preserve"> Objectives for the </w:t>
      </w:r>
      <w:r w:rsidR="009F1CB6">
        <w:rPr/>
        <w:t>StaySmart</w:t>
      </w:r>
      <w:r w:rsidR="009F1CB6">
        <w:rPr/>
        <w:t>+ Project</w:t>
      </w:r>
    </w:p>
    <w:p w:rsidR="00243BB1" w:rsidRDefault="009F1CB6" w14:paraId="0881D8FF" w14:textId="77777777">
      <w:pPr>
        <w:pStyle w:val="ListParagraph"/>
        <w:numPr>
          <w:ilvl w:val="0"/>
          <w:numId w:val="2"/>
        </w:numPr>
        <w:spacing w:after="80"/>
        <w:rPr/>
      </w:pPr>
      <w:r w:rsidRPr="295E3045" w:rsidR="009F1CB6">
        <w:rPr>
          <w:b w:val="1"/>
          <w:bCs w:val="1"/>
        </w:rPr>
        <w:t>Specific:</w:t>
      </w:r>
      <w:r w:rsidR="009F1CB6">
        <w:rPr/>
        <w:t xml:space="preserve"> Successfully launch </w:t>
      </w:r>
      <w:r w:rsidR="009F1CB6">
        <w:rPr/>
        <w:t>StaySmart</w:t>
      </w:r>
      <w:r w:rsidR="009F1CB6">
        <w:rPr/>
        <w:t>+ across a minimum of 50 Hilton properties across five continents within six months.</w:t>
      </w:r>
    </w:p>
    <w:p w:rsidR="00243BB1" w:rsidRDefault="009F1CB6" w14:paraId="786E6E79" w14:textId="77777777">
      <w:pPr>
        <w:pStyle w:val="ListParagraph"/>
        <w:numPr>
          <w:ilvl w:val="0"/>
          <w:numId w:val="2"/>
        </w:numPr>
        <w:spacing w:after="80"/>
        <w:rPr/>
      </w:pPr>
      <w:r w:rsidRPr="295E3045" w:rsidR="009F1CB6">
        <w:rPr>
          <w:b w:val="1"/>
          <w:bCs w:val="1"/>
        </w:rPr>
        <w:t>Measurable:</w:t>
      </w:r>
      <w:r w:rsidR="009F1CB6">
        <w:rPr/>
        <w:t xml:space="preserve"> Achieve a minimum guest satisfaction (NPS) increase of 15% in pilot properties within three months of launch.</w:t>
      </w:r>
    </w:p>
    <w:p w:rsidR="00243BB1" w:rsidRDefault="009F1CB6" w14:paraId="3F910EDE" w14:textId="77777777">
      <w:pPr>
        <w:pStyle w:val="ListParagraph"/>
        <w:numPr>
          <w:ilvl w:val="0"/>
          <w:numId w:val="2"/>
        </w:numPr>
        <w:spacing w:after="80"/>
        <w:rPr/>
      </w:pPr>
      <w:r w:rsidRPr="295E3045" w:rsidR="009F1CB6">
        <w:rPr>
          <w:b w:val="1"/>
          <w:bCs w:val="1"/>
        </w:rPr>
        <w:t>Achievable:</w:t>
      </w:r>
      <w:r w:rsidR="009F1CB6">
        <w:rPr/>
        <w:t xml:space="preserve"> Complete all internal stakeholder training programmes six weeks prior to the service go-live date.</w:t>
      </w:r>
    </w:p>
    <w:p w:rsidR="00243BB1" w:rsidRDefault="009F1CB6" w14:paraId="3AF43EAE" w14:textId="77777777">
      <w:pPr>
        <w:pStyle w:val="ListParagraph"/>
        <w:numPr>
          <w:ilvl w:val="0"/>
          <w:numId w:val="2"/>
        </w:numPr>
        <w:spacing w:after="80"/>
        <w:rPr/>
      </w:pPr>
      <w:r w:rsidRPr="295E3045" w:rsidR="009F1CB6">
        <w:rPr>
          <w:b w:val="1"/>
          <w:bCs w:val="1"/>
        </w:rPr>
        <w:t>Relevant:</w:t>
      </w:r>
      <w:r w:rsidR="009F1CB6">
        <w:rPr/>
        <w:t xml:space="preserve"> Align all AI-driven data processes with GDPR and applicable data protection frameworks by the project launch date.</w:t>
      </w:r>
    </w:p>
    <w:p w:rsidR="00243BB1" w:rsidRDefault="009F1CB6" w14:paraId="47155F7E" w14:textId="77777777">
      <w:pPr>
        <w:pStyle w:val="ListParagraph"/>
        <w:numPr>
          <w:ilvl w:val="0"/>
          <w:numId w:val="2"/>
        </w:numPr>
        <w:spacing w:after="80"/>
        <w:rPr/>
      </w:pPr>
      <w:r w:rsidRPr="295E3045" w:rsidR="009F1CB6">
        <w:rPr>
          <w:b w:val="1"/>
          <w:bCs w:val="1"/>
        </w:rPr>
        <w:t>Time-bound:</w:t>
      </w:r>
      <w:r w:rsidR="009F1CB6">
        <w:rPr/>
        <w:t xml:space="preserve"> Deliver full project closure report and stakeholder evaluation debrief within eight months of project commencement.</w:t>
      </w:r>
    </w:p>
    <w:p w:rsidR="00243BB1" w:rsidRDefault="00243BB1" w14:paraId="19FD4D27" w14:textId="77777777">
      <w:pPr>
        <w:spacing w:after="120"/>
      </w:pPr>
    </w:p>
    <w:p w:rsidR="00243BB1" w:rsidRDefault="009F1CB6" w14:paraId="2585859F" w14:textId="77777777">
      <w:pPr>
        <w:pStyle w:val="Heading1"/>
        <w:shd w:val="clear" w:color="auto" w:fill="003580"/>
        <w:ind w:left="180"/>
      </w:pPr>
      <w:r>
        <w:t>3.  Identification and Categorisation of Key Stakeholders</w:t>
      </w:r>
    </w:p>
    <w:p w:rsidR="00243BB1" w:rsidRDefault="009F1CB6" w14:paraId="0E63DDEF" w14:textId="77777777">
      <w:pPr>
        <w:spacing w:after="120"/>
        <w:jc w:val="both"/>
      </w:pPr>
      <w:r>
        <w:rPr>
          <w:color w:val="000000"/>
        </w:rPr>
        <w:t xml:space="preserve">Freeman (1984, p.46) defines a stakeholder as 'any group or individual who can affect or is affected by the achievement of the organisation's objectives.' For the </w:t>
      </w:r>
      <w:proofErr w:type="spellStart"/>
      <w:r>
        <w:rPr>
          <w:color w:val="000000"/>
        </w:rPr>
        <w:t>StaySmart</w:t>
      </w:r>
      <w:proofErr w:type="spellEnd"/>
      <w:r>
        <w:rPr>
          <w:color w:val="000000"/>
        </w:rPr>
        <w:t>+ project, stakeholders are categorised into internal and external groups, reflecting their proximity to Hilton's organisational boundary and the nature of their influence over the project.</w:t>
      </w:r>
    </w:p>
    <w:p w:rsidR="00243BB1" w:rsidP="295E3045" w:rsidRDefault="009F1CB6" w14:paraId="2845E401" w14:textId="1A271C02">
      <w:pPr>
        <w:pStyle w:val="Heading2"/>
        <w:pBdr>
          <w:bottom w:val="single" w:color="D4A94B" w:sz="4" w:space="1"/>
        </w:pBdr>
      </w:pPr>
      <w:r w:rsidR="043866CD">
        <w:rPr/>
        <w:t>3.1 Internal</w:t>
      </w:r>
      <w:r w:rsidR="009F1CB6">
        <w:rPr/>
        <w:t xml:space="preserve"> Stakeholders</w:t>
      </w:r>
      <w:r w:rsidR="3E890BDB">
        <w:rPr/>
        <w:t xml:space="preserve"> Engagement Plan</w:t>
      </w:r>
    </w:p>
    <w:tbl>
      <w:tblPr>
        <w:tblW w:w="973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 w:type="dxa"/>
          <w:right w:w="10" w:type="dxa"/>
        </w:tblCellMar>
        <w:tblLook w:val="0000" w:firstRow="0" w:lastRow="0" w:firstColumn="0" w:lastColumn="0" w:noHBand="0" w:noVBand="0"/>
      </w:tblPr>
      <w:tblGrid>
        <w:gridCol w:w="1622"/>
        <w:gridCol w:w="2272"/>
        <w:gridCol w:w="1947"/>
        <w:gridCol w:w="1947"/>
        <w:gridCol w:w="1947"/>
      </w:tblGrid>
      <w:tr w:rsidR="00243BB1" w:rsidTr="295E3045" w14:paraId="7769CE5D" w14:textId="77777777">
        <w:tblPrEx>
          <w:tblCellMar>
            <w:top w:w="0" w:type="dxa"/>
            <w:bottom w:w="0" w:type="dxa"/>
          </w:tblCellMar>
        </w:tblPrEx>
        <w:trPr>
          <w:trHeight w:val="300"/>
        </w:trPr>
        <w:tc>
          <w:tcPr>
            <w:tcW w:w="1622" w:type="dxa"/>
            <w:tcBorders>
              <w:top w:val="single" w:color="AAAAAA" w:sz="4" w:space="0"/>
              <w:left w:val="single" w:color="AAAAAA" w:sz="4" w:space="0"/>
              <w:bottom w:val="single" w:color="AAAAAA" w:sz="4" w:space="0"/>
              <w:right w:val="single" w:color="AAAAAA" w:sz="4" w:space="0"/>
            </w:tcBorders>
            <w:shd w:val="clear" w:color="auto" w:fill="003580"/>
            <w:tcMar>
              <w:top w:w="80" w:type="dxa"/>
              <w:left w:w="120" w:type="dxa"/>
              <w:bottom w:w="80" w:type="dxa"/>
              <w:right w:w="120" w:type="dxa"/>
            </w:tcMar>
            <w:vAlign w:val="center"/>
          </w:tcPr>
          <w:p w:rsidR="00243BB1" w:rsidRDefault="009F1CB6" w14:paraId="1C48CD76" w14:textId="77777777">
            <w:r>
              <w:rPr>
                <w:b/>
                <w:bCs/>
                <w:color w:val="FFFFFF"/>
                <w:sz w:val="20"/>
                <w:szCs w:val="20"/>
              </w:rPr>
              <w:t>Stakeholder</w:t>
            </w:r>
          </w:p>
        </w:tc>
        <w:tc>
          <w:tcPr>
            <w:tcW w:w="2272" w:type="dxa"/>
            <w:tcBorders>
              <w:top w:val="single" w:color="AAAAAA" w:sz="4" w:space="0"/>
              <w:left w:val="single" w:color="AAAAAA" w:sz="4" w:space="0"/>
              <w:bottom w:val="single" w:color="AAAAAA" w:sz="4" w:space="0"/>
              <w:right w:val="single" w:color="AAAAAA" w:sz="4" w:space="0"/>
            </w:tcBorders>
            <w:shd w:val="clear" w:color="auto" w:fill="003580"/>
            <w:tcMar>
              <w:top w:w="80" w:type="dxa"/>
              <w:left w:w="120" w:type="dxa"/>
              <w:bottom w:w="80" w:type="dxa"/>
              <w:right w:w="120" w:type="dxa"/>
            </w:tcMar>
            <w:vAlign w:val="center"/>
          </w:tcPr>
          <w:p w:rsidR="00243BB1" w:rsidRDefault="009F1CB6" w14:paraId="2FFEEC34" w14:textId="77777777">
            <w:r>
              <w:rPr>
                <w:b/>
                <w:bCs/>
                <w:color w:val="FFFFFF"/>
                <w:sz w:val="20"/>
                <w:szCs w:val="20"/>
              </w:rPr>
              <w:t>Role in Project</w:t>
            </w:r>
          </w:p>
        </w:tc>
        <w:tc>
          <w:tcPr>
            <w:tcW w:w="1947" w:type="dxa"/>
            <w:tcBorders>
              <w:top w:val="single" w:color="AAAAAA" w:sz="4" w:space="0"/>
              <w:left w:val="single" w:color="AAAAAA" w:sz="4" w:space="0"/>
              <w:bottom w:val="single" w:color="AAAAAA" w:sz="4" w:space="0"/>
              <w:right w:val="single" w:color="AAAAAA" w:sz="4" w:space="0"/>
            </w:tcBorders>
            <w:shd w:val="clear" w:color="auto" w:fill="003580"/>
            <w:tcMar>
              <w:top w:w="80" w:type="dxa"/>
              <w:left w:w="120" w:type="dxa"/>
              <w:bottom w:w="80" w:type="dxa"/>
              <w:right w:w="120" w:type="dxa"/>
            </w:tcMar>
            <w:vAlign w:val="center"/>
          </w:tcPr>
          <w:p w:rsidR="00243BB1" w:rsidRDefault="009F1CB6" w14:paraId="61B8538A" w14:textId="390237D7">
            <w:r w:rsidRPr="295E3045" w:rsidR="009F1CB6">
              <w:rPr>
                <w:b w:val="1"/>
                <w:bCs w:val="1"/>
                <w:color w:val="FFFFFF" w:themeColor="background1" w:themeTint="FF" w:themeShade="FF"/>
                <w:sz w:val="20"/>
                <w:szCs w:val="20"/>
              </w:rPr>
              <w:t>Level of In</w:t>
            </w:r>
            <w:r w:rsidRPr="295E3045" w:rsidR="01CC61A8">
              <w:rPr>
                <w:b w:val="1"/>
                <w:bCs w:val="1"/>
                <w:color w:val="FFFFFF" w:themeColor="background1" w:themeTint="FF" w:themeShade="FF"/>
                <w:sz w:val="20"/>
                <w:szCs w:val="20"/>
              </w:rPr>
              <w:t>terest</w:t>
            </w:r>
            <w:r w:rsidRPr="295E3045" w:rsidR="5D75AC94">
              <w:rPr>
                <w:b w:val="1"/>
                <w:bCs w:val="1"/>
                <w:color w:val="FFFFFF" w:themeColor="background1" w:themeTint="FF" w:themeShade="FF"/>
                <w:sz w:val="20"/>
                <w:szCs w:val="20"/>
              </w:rPr>
              <w:t xml:space="preserve"> and Purpose</w:t>
            </w:r>
          </w:p>
        </w:tc>
        <w:tc>
          <w:tcPr>
            <w:tcW w:w="1947" w:type="dxa"/>
            <w:tcBorders>
              <w:top w:val="single" w:color="AAAAAA" w:sz="4"/>
              <w:left w:val="single" w:color="AAAAAA" w:sz="4"/>
              <w:bottom w:val="single" w:color="AAAAAA" w:sz="4"/>
              <w:right w:val="single" w:color="AAAAAA" w:sz="4"/>
            </w:tcBorders>
            <w:shd w:val="clear" w:color="auto" w:fill="003580"/>
            <w:tcMar>
              <w:top w:w="80" w:type="dxa"/>
              <w:left w:w="120" w:type="dxa"/>
              <w:bottom w:w="80" w:type="dxa"/>
              <w:right w:w="120" w:type="dxa"/>
            </w:tcMar>
            <w:vAlign w:val="center"/>
          </w:tcPr>
          <w:p w:rsidR="01CC61A8" w:rsidP="295E3045" w:rsidRDefault="01CC61A8" w14:paraId="10996264" w14:textId="277818DA">
            <w:pPr>
              <w:pStyle w:val="Normal"/>
              <w:rPr>
                <w:b w:val="1"/>
                <w:bCs w:val="1"/>
                <w:color w:val="FFFFFF" w:themeColor="background1" w:themeTint="FF" w:themeShade="FF"/>
                <w:sz w:val="20"/>
                <w:szCs w:val="20"/>
              </w:rPr>
            </w:pPr>
            <w:r w:rsidRPr="295E3045" w:rsidR="01CC61A8">
              <w:rPr>
                <w:b w:val="1"/>
                <w:bCs w:val="1"/>
                <w:color w:val="FFFFFF" w:themeColor="background1" w:themeTint="FF" w:themeShade="FF"/>
                <w:sz w:val="20"/>
                <w:szCs w:val="20"/>
              </w:rPr>
              <w:t>Communication level</w:t>
            </w:r>
          </w:p>
        </w:tc>
        <w:tc>
          <w:tcPr>
            <w:tcW w:w="1947" w:type="dxa"/>
            <w:tcBorders>
              <w:top w:val="single" w:color="AAAAAA" w:sz="4"/>
              <w:left w:val="single" w:color="AAAAAA" w:sz="4"/>
              <w:bottom w:val="single" w:color="AAAAAA" w:sz="4"/>
              <w:right w:val="single" w:color="AAAAAA" w:sz="4"/>
            </w:tcBorders>
            <w:shd w:val="clear" w:color="auto" w:fill="003580"/>
            <w:tcMar>
              <w:top w:w="80" w:type="dxa"/>
              <w:left w:w="120" w:type="dxa"/>
              <w:bottom w:w="80" w:type="dxa"/>
              <w:right w:w="120" w:type="dxa"/>
            </w:tcMar>
            <w:vAlign w:val="center"/>
          </w:tcPr>
          <w:p w:rsidR="01CC61A8" w:rsidP="295E3045" w:rsidRDefault="01CC61A8" w14:paraId="0E5B04EB" w14:textId="36D23BBF">
            <w:pPr>
              <w:pStyle w:val="Normal"/>
              <w:rPr>
                <w:b w:val="1"/>
                <w:bCs w:val="1"/>
                <w:color w:val="FFFFFF" w:themeColor="background1" w:themeTint="FF" w:themeShade="FF"/>
                <w:sz w:val="20"/>
                <w:szCs w:val="20"/>
              </w:rPr>
            </w:pPr>
            <w:r w:rsidRPr="295E3045" w:rsidR="01CC61A8">
              <w:rPr>
                <w:b w:val="1"/>
                <w:bCs w:val="1"/>
                <w:color w:val="FFFFFF" w:themeColor="background1" w:themeTint="FF" w:themeShade="FF"/>
                <w:sz w:val="20"/>
                <w:szCs w:val="20"/>
              </w:rPr>
              <w:t>Frequency</w:t>
            </w:r>
          </w:p>
        </w:tc>
      </w:tr>
      <w:tr w:rsidR="00243BB1" w:rsidTr="295E3045" w14:paraId="1E29407C" w14:textId="77777777">
        <w:tblPrEx>
          <w:tblCellMar>
            <w:top w:w="0" w:type="dxa"/>
            <w:bottom w:w="0" w:type="dxa"/>
          </w:tblCellMar>
        </w:tblPrEx>
        <w:trPr>
          <w:trHeight w:val="300"/>
        </w:trPr>
        <w:tc>
          <w:tcPr>
            <w:tcW w:w="1622" w:type="dxa"/>
            <w:tcBorders>
              <w:top w:val="single" w:color="AAAAAA" w:sz="4" w:space="0"/>
              <w:left w:val="single" w:color="AAAAAA" w:sz="4" w:space="0"/>
              <w:bottom w:val="single" w:color="AAAAAA" w:sz="4" w:space="0"/>
              <w:right w:val="single" w:color="AAAAAA" w:sz="4" w:space="0"/>
            </w:tcBorders>
            <w:shd w:val="clear" w:color="auto" w:fill="E8EFF8"/>
            <w:tcMar>
              <w:top w:w="80" w:type="dxa"/>
              <w:left w:w="120" w:type="dxa"/>
              <w:bottom w:w="80" w:type="dxa"/>
              <w:right w:w="120" w:type="dxa"/>
            </w:tcMar>
            <w:vAlign w:val="center"/>
          </w:tcPr>
          <w:p w:rsidR="00243BB1" w:rsidRDefault="009F1CB6" w14:paraId="311EC1F1" w14:textId="77777777">
            <w:r>
              <w:rPr>
                <w:color w:val="000000"/>
                <w:sz w:val="20"/>
                <w:szCs w:val="20"/>
              </w:rPr>
              <w:t>Senior Leadership / Board</w:t>
            </w:r>
          </w:p>
        </w:tc>
        <w:tc>
          <w:tcPr>
            <w:tcW w:w="2272" w:type="dxa"/>
            <w:tcBorders>
              <w:top w:val="single" w:color="AAAAAA" w:sz="4" w:space="0"/>
              <w:left w:val="single" w:color="AAAAAA" w:sz="4" w:space="0"/>
              <w:bottom w:val="single" w:color="AAAAAA" w:sz="4" w:space="0"/>
              <w:right w:val="single" w:color="AAAAAA" w:sz="4" w:space="0"/>
            </w:tcBorders>
            <w:shd w:val="clear" w:color="auto" w:fill="FFFFFF" w:themeFill="background1"/>
            <w:tcMar>
              <w:top w:w="80" w:type="dxa"/>
              <w:left w:w="120" w:type="dxa"/>
              <w:bottom w:w="80" w:type="dxa"/>
              <w:right w:w="120" w:type="dxa"/>
            </w:tcMar>
            <w:vAlign w:val="center"/>
          </w:tcPr>
          <w:p w:rsidR="00243BB1" w:rsidRDefault="009F1CB6" w14:paraId="040313A5" w14:textId="77777777">
            <w:r>
              <w:rPr>
                <w:color w:val="000000"/>
                <w:sz w:val="20"/>
                <w:szCs w:val="20"/>
              </w:rPr>
              <w:t>Strategic direction, capital allocation, risk governance</w:t>
            </w:r>
          </w:p>
        </w:tc>
        <w:tc>
          <w:tcPr>
            <w:tcW w:w="1947" w:type="dxa"/>
            <w:tcBorders>
              <w:top w:val="single" w:color="AAAAAA" w:sz="4" w:space="0"/>
              <w:left w:val="single" w:color="AAAAAA" w:sz="4" w:space="0"/>
              <w:bottom w:val="single" w:color="AAAAAA" w:sz="4" w:space="0"/>
              <w:right w:val="single" w:color="AAAAAA" w:sz="4" w:space="0"/>
            </w:tcBorders>
            <w:shd w:val="clear" w:color="auto" w:fill="F2F2F2" w:themeFill="background1" w:themeFillShade="F2"/>
            <w:tcMar>
              <w:top w:w="80" w:type="dxa"/>
              <w:left w:w="120" w:type="dxa"/>
              <w:bottom w:w="80" w:type="dxa"/>
              <w:right w:w="120" w:type="dxa"/>
            </w:tcMar>
            <w:vAlign w:val="center"/>
          </w:tcPr>
          <w:p w:rsidR="00243BB1" w:rsidRDefault="009F1CB6" w14:paraId="0515534C" w14:textId="77777777">
            <w:r>
              <w:rPr>
                <w:color w:val="000000"/>
                <w:sz w:val="20"/>
                <w:szCs w:val="20"/>
              </w:rPr>
              <w:t>High – ultimate authority over project approval and resourcing</w:t>
            </w:r>
          </w:p>
        </w:tc>
        <w:tc>
          <w:tcPr>
            <w:tcW w:w="1947" w:type="dxa"/>
            <w:tcBorders>
              <w:top w:val="single" w:color="AAAAAA" w:sz="4"/>
              <w:left w:val="single" w:color="AAAAAA" w:sz="4"/>
              <w:bottom w:val="single" w:color="AAAAAA" w:sz="4"/>
              <w:right w:val="single" w:color="AAAAAA" w:sz="4"/>
            </w:tcBorders>
            <w:shd w:val="clear" w:color="auto" w:fill="F2F2F2" w:themeFill="background1" w:themeFillShade="F2"/>
            <w:tcMar>
              <w:top w:w="80" w:type="dxa"/>
              <w:left w:w="120" w:type="dxa"/>
              <w:bottom w:w="80" w:type="dxa"/>
              <w:right w:w="120" w:type="dxa"/>
            </w:tcMar>
            <w:vAlign w:val="center"/>
          </w:tcPr>
          <w:p w:rsidR="6F701467" w:rsidP="295E3045" w:rsidRDefault="6F701467" w14:paraId="6FBB542F" w14:textId="66EF7193">
            <w:pPr>
              <w:pStyle w:val="Normal"/>
              <w:rPr>
                <w:color w:val="000000" w:themeColor="text1" w:themeTint="FF" w:themeShade="FF"/>
                <w:sz w:val="20"/>
                <w:szCs w:val="20"/>
              </w:rPr>
            </w:pPr>
            <w:r w:rsidRPr="295E3045" w:rsidR="6F701467">
              <w:rPr>
                <w:color w:val="000000" w:themeColor="text1" w:themeTint="FF" w:themeShade="FF"/>
                <w:sz w:val="20"/>
                <w:szCs w:val="20"/>
              </w:rPr>
              <w:t xml:space="preserve">Project status and </w:t>
            </w:r>
            <w:r w:rsidRPr="295E3045" w:rsidR="4842EC65">
              <w:rPr>
                <w:color w:val="000000" w:themeColor="text1" w:themeTint="FF" w:themeShade="FF"/>
                <w:sz w:val="20"/>
                <w:szCs w:val="20"/>
              </w:rPr>
              <w:t xml:space="preserve">MS Teams </w:t>
            </w:r>
            <w:r w:rsidRPr="295E3045" w:rsidR="6F701467">
              <w:rPr>
                <w:color w:val="000000" w:themeColor="text1" w:themeTint="FF" w:themeShade="FF"/>
                <w:sz w:val="20"/>
                <w:szCs w:val="20"/>
              </w:rPr>
              <w:t>meeting</w:t>
            </w:r>
          </w:p>
        </w:tc>
        <w:tc>
          <w:tcPr>
            <w:tcW w:w="1947" w:type="dxa"/>
            <w:tcBorders>
              <w:top w:val="single" w:color="AAAAAA" w:sz="4"/>
              <w:left w:val="single" w:color="AAAAAA" w:sz="4"/>
              <w:bottom w:val="single" w:color="AAAAAA" w:sz="4"/>
              <w:right w:val="single" w:color="AAAAAA" w:sz="4"/>
            </w:tcBorders>
            <w:shd w:val="clear" w:color="auto" w:fill="F2F2F2" w:themeFill="background1" w:themeFillShade="F2"/>
            <w:tcMar>
              <w:top w:w="80" w:type="dxa"/>
              <w:left w:w="120" w:type="dxa"/>
              <w:bottom w:w="80" w:type="dxa"/>
              <w:right w:w="120" w:type="dxa"/>
            </w:tcMar>
            <w:vAlign w:val="center"/>
          </w:tcPr>
          <w:p w:rsidR="78DAF828" w:rsidP="295E3045" w:rsidRDefault="78DAF828" w14:paraId="36F584AC" w14:textId="05DA7DF6">
            <w:pPr>
              <w:pStyle w:val="Normal"/>
              <w:rPr>
                <w:color w:val="000000" w:themeColor="text1" w:themeTint="FF" w:themeShade="FF"/>
                <w:sz w:val="20"/>
                <w:szCs w:val="20"/>
              </w:rPr>
            </w:pPr>
            <w:r w:rsidRPr="295E3045" w:rsidR="78DAF828">
              <w:rPr>
                <w:color w:val="000000" w:themeColor="text1" w:themeTint="FF" w:themeShade="FF"/>
                <w:sz w:val="20"/>
                <w:szCs w:val="20"/>
              </w:rPr>
              <w:t>Monthly</w:t>
            </w:r>
          </w:p>
        </w:tc>
      </w:tr>
      <w:tr w:rsidR="00243BB1" w:rsidTr="295E3045" w14:paraId="09D5C479" w14:textId="77777777">
        <w:tblPrEx>
          <w:tblCellMar>
            <w:top w:w="0" w:type="dxa"/>
            <w:bottom w:w="0" w:type="dxa"/>
          </w:tblCellMar>
        </w:tblPrEx>
        <w:trPr>
          <w:trHeight w:val="300"/>
        </w:trPr>
        <w:tc>
          <w:tcPr>
            <w:tcW w:w="1622" w:type="dxa"/>
            <w:tcBorders>
              <w:top w:val="single" w:color="AAAAAA" w:sz="4" w:space="0"/>
              <w:left w:val="single" w:color="AAAAAA" w:sz="4" w:space="0"/>
              <w:bottom w:val="single" w:color="AAAAAA" w:sz="4" w:space="0"/>
              <w:right w:val="single" w:color="AAAAAA" w:sz="4" w:space="0"/>
            </w:tcBorders>
            <w:shd w:val="clear" w:color="auto" w:fill="E8EFF8"/>
            <w:tcMar>
              <w:top w:w="80" w:type="dxa"/>
              <w:left w:w="120" w:type="dxa"/>
              <w:bottom w:w="80" w:type="dxa"/>
              <w:right w:w="120" w:type="dxa"/>
            </w:tcMar>
            <w:vAlign w:val="center"/>
          </w:tcPr>
          <w:p w:rsidR="00243BB1" w:rsidRDefault="009F1CB6" w14:paraId="2F9B9F87" w14:textId="77777777">
            <w:r>
              <w:rPr>
                <w:color w:val="000000"/>
                <w:sz w:val="20"/>
                <w:szCs w:val="20"/>
              </w:rPr>
              <w:t>Project Management Team</w:t>
            </w:r>
          </w:p>
        </w:tc>
        <w:tc>
          <w:tcPr>
            <w:tcW w:w="2272" w:type="dxa"/>
            <w:tcBorders>
              <w:top w:val="single" w:color="AAAAAA" w:sz="4" w:space="0"/>
              <w:left w:val="single" w:color="AAAAAA" w:sz="4" w:space="0"/>
              <w:bottom w:val="single" w:color="AAAAAA" w:sz="4" w:space="0"/>
              <w:right w:val="single" w:color="AAAAAA" w:sz="4" w:space="0"/>
            </w:tcBorders>
            <w:shd w:val="clear" w:color="auto" w:fill="FFFFFF" w:themeFill="background1"/>
            <w:tcMar>
              <w:top w:w="80" w:type="dxa"/>
              <w:left w:w="120" w:type="dxa"/>
              <w:bottom w:w="80" w:type="dxa"/>
              <w:right w:w="120" w:type="dxa"/>
            </w:tcMar>
            <w:vAlign w:val="center"/>
          </w:tcPr>
          <w:p w:rsidR="00243BB1" w:rsidRDefault="009F1CB6" w14:paraId="0043C6A7" w14:textId="77777777">
            <w:r>
              <w:rPr>
                <w:color w:val="000000"/>
                <w:sz w:val="20"/>
                <w:szCs w:val="20"/>
              </w:rPr>
              <w:t>End-to-end project delivery, stakeholder coordination</w:t>
            </w:r>
          </w:p>
        </w:tc>
        <w:tc>
          <w:tcPr>
            <w:tcW w:w="1947" w:type="dxa"/>
            <w:tcBorders>
              <w:top w:val="single" w:color="AAAAAA" w:sz="4" w:space="0"/>
              <w:left w:val="single" w:color="AAAAAA" w:sz="4" w:space="0"/>
              <w:bottom w:val="single" w:color="AAAAAA" w:sz="4" w:space="0"/>
              <w:right w:val="single" w:color="AAAAAA" w:sz="4" w:space="0"/>
            </w:tcBorders>
            <w:shd w:val="clear" w:color="auto" w:fill="F2F2F2" w:themeFill="background1" w:themeFillShade="F2"/>
            <w:tcMar>
              <w:top w:w="80" w:type="dxa"/>
              <w:left w:w="120" w:type="dxa"/>
              <w:bottom w:w="80" w:type="dxa"/>
              <w:right w:w="120" w:type="dxa"/>
            </w:tcMar>
            <w:vAlign w:val="center"/>
          </w:tcPr>
          <w:p w:rsidR="00243BB1" w:rsidRDefault="009F1CB6" w14:paraId="4328A885" w14:textId="77777777">
            <w:r>
              <w:rPr>
                <w:color w:val="000000"/>
                <w:sz w:val="20"/>
                <w:szCs w:val="20"/>
              </w:rPr>
              <w:t>High – operational decision-making authority</w:t>
            </w:r>
          </w:p>
        </w:tc>
        <w:tc>
          <w:tcPr>
            <w:tcW w:w="1947" w:type="dxa"/>
            <w:tcBorders>
              <w:top w:val="single" w:color="AAAAAA" w:sz="4"/>
              <w:left w:val="single" w:color="AAAAAA" w:sz="4"/>
              <w:bottom w:val="single" w:color="AAAAAA" w:sz="4"/>
              <w:right w:val="single" w:color="AAAAAA" w:sz="4"/>
            </w:tcBorders>
            <w:shd w:val="clear" w:color="auto" w:fill="F2F2F2" w:themeFill="background1" w:themeFillShade="F2"/>
            <w:tcMar>
              <w:top w:w="80" w:type="dxa"/>
              <w:left w:w="120" w:type="dxa"/>
              <w:bottom w:w="80" w:type="dxa"/>
              <w:right w:w="120" w:type="dxa"/>
            </w:tcMar>
            <w:vAlign w:val="center"/>
          </w:tcPr>
          <w:p w:rsidR="0C00A49C" w:rsidP="295E3045" w:rsidRDefault="0C00A49C" w14:paraId="027BFB76" w14:textId="76C44C22">
            <w:pPr>
              <w:pStyle w:val="Normal"/>
              <w:rPr>
                <w:color w:val="000000" w:themeColor="text1" w:themeTint="FF" w:themeShade="FF"/>
                <w:sz w:val="20"/>
                <w:szCs w:val="20"/>
              </w:rPr>
            </w:pPr>
            <w:r w:rsidRPr="295E3045" w:rsidR="0C00A49C">
              <w:rPr>
                <w:color w:val="000000" w:themeColor="text1" w:themeTint="FF" w:themeShade="FF"/>
                <w:sz w:val="20"/>
                <w:szCs w:val="20"/>
              </w:rPr>
              <w:t xml:space="preserve">Stage gate meeting, </w:t>
            </w:r>
            <w:r w:rsidRPr="295E3045" w:rsidR="461AAE03">
              <w:rPr>
                <w:color w:val="000000" w:themeColor="text1" w:themeTint="FF" w:themeShade="FF"/>
                <w:sz w:val="20"/>
                <w:szCs w:val="20"/>
              </w:rPr>
              <w:t>video conferencing (MS Teams</w:t>
            </w:r>
            <w:r w:rsidRPr="295E3045" w:rsidR="461AAE03">
              <w:rPr>
                <w:color w:val="000000" w:themeColor="text1" w:themeTint="FF" w:themeShade="FF"/>
                <w:sz w:val="20"/>
                <w:szCs w:val="20"/>
              </w:rPr>
              <w:t>)</w:t>
            </w:r>
            <w:r w:rsidRPr="295E3045" w:rsidR="75BE216D">
              <w:rPr>
                <w:color w:val="000000" w:themeColor="text1" w:themeTint="FF" w:themeShade="FF"/>
                <w:sz w:val="20"/>
                <w:szCs w:val="20"/>
              </w:rPr>
              <w:t xml:space="preserve"> and Project briefing</w:t>
            </w:r>
          </w:p>
        </w:tc>
        <w:tc>
          <w:tcPr>
            <w:tcW w:w="1947" w:type="dxa"/>
            <w:tcBorders>
              <w:top w:val="single" w:color="AAAAAA" w:sz="4"/>
              <w:left w:val="single" w:color="AAAAAA" w:sz="4"/>
              <w:bottom w:val="single" w:color="AAAAAA" w:sz="4"/>
              <w:right w:val="single" w:color="AAAAAA" w:sz="4"/>
            </w:tcBorders>
            <w:shd w:val="clear" w:color="auto" w:fill="F2F2F2" w:themeFill="background1" w:themeFillShade="F2"/>
            <w:tcMar>
              <w:top w:w="80" w:type="dxa"/>
              <w:left w:w="120" w:type="dxa"/>
              <w:bottom w:w="80" w:type="dxa"/>
              <w:right w:w="120" w:type="dxa"/>
            </w:tcMar>
            <w:vAlign w:val="center"/>
          </w:tcPr>
          <w:p w:rsidR="75BE216D" w:rsidP="295E3045" w:rsidRDefault="75BE216D" w14:paraId="7AB0AC80" w14:textId="558E5B4A">
            <w:pPr>
              <w:pStyle w:val="Normal"/>
              <w:rPr>
                <w:color w:val="000000" w:themeColor="text1" w:themeTint="FF" w:themeShade="FF"/>
                <w:sz w:val="20"/>
                <w:szCs w:val="20"/>
              </w:rPr>
            </w:pPr>
            <w:r w:rsidRPr="295E3045" w:rsidR="75BE216D">
              <w:rPr>
                <w:color w:val="000000" w:themeColor="text1" w:themeTint="FF" w:themeShade="FF"/>
                <w:sz w:val="20"/>
                <w:szCs w:val="20"/>
              </w:rPr>
              <w:t>Weekly</w:t>
            </w:r>
          </w:p>
        </w:tc>
      </w:tr>
      <w:tr w:rsidR="00243BB1" w:rsidTr="295E3045" w14:paraId="76DC40B8" w14:textId="77777777">
        <w:tblPrEx>
          <w:tblCellMar>
            <w:top w:w="0" w:type="dxa"/>
            <w:bottom w:w="0" w:type="dxa"/>
          </w:tblCellMar>
        </w:tblPrEx>
        <w:trPr>
          <w:trHeight w:val="300"/>
        </w:trPr>
        <w:tc>
          <w:tcPr>
            <w:tcW w:w="1622" w:type="dxa"/>
            <w:tcBorders>
              <w:top w:val="single" w:color="AAAAAA" w:sz="4" w:space="0"/>
              <w:left w:val="single" w:color="AAAAAA" w:sz="4" w:space="0"/>
              <w:bottom w:val="single" w:color="AAAAAA" w:sz="4" w:space="0"/>
              <w:right w:val="single" w:color="AAAAAA" w:sz="4" w:space="0"/>
            </w:tcBorders>
            <w:shd w:val="clear" w:color="auto" w:fill="E8EFF8"/>
            <w:tcMar>
              <w:top w:w="80" w:type="dxa"/>
              <w:left w:w="120" w:type="dxa"/>
              <w:bottom w:w="80" w:type="dxa"/>
              <w:right w:w="120" w:type="dxa"/>
            </w:tcMar>
            <w:vAlign w:val="center"/>
          </w:tcPr>
          <w:p w:rsidR="00243BB1" w:rsidRDefault="009F1CB6" w14:paraId="68DF02C3" w14:textId="77777777">
            <w:r>
              <w:rPr>
                <w:color w:val="000000"/>
                <w:sz w:val="20"/>
                <w:szCs w:val="20"/>
              </w:rPr>
              <w:t>IT / Technology Team</w:t>
            </w:r>
          </w:p>
        </w:tc>
        <w:tc>
          <w:tcPr>
            <w:tcW w:w="2272" w:type="dxa"/>
            <w:tcBorders>
              <w:top w:val="single" w:color="AAAAAA" w:sz="4" w:space="0"/>
              <w:left w:val="single" w:color="AAAAAA" w:sz="4" w:space="0"/>
              <w:bottom w:val="single" w:color="AAAAAA" w:sz="4" w:space="0"/>
              <w:right w:val="single" w:color="AAAAAA" w:sz="4" w:space="0"/>
            </w:tcBorders>
            <w:shd w:val="clear" w:color="auto" w:fill="FFFFFF" w:themeFill="background1"/>
            <w:tcMar>
              <w:top w:w="80" w:type="dxa"/>
              <w:left w:w="120" w:type="dxa"/>
              <w:bottom w:w="80" w:type="dxa"/>
              <w:right w:w="120" w:type="dxa"/>
            </w:tcMar>
            <w:vAlign w:val="center"/>
          </w:tcPr>
          <w:p w:rsidR="00243BB1" w:rsidRDefault="009F1CB6" w14:paraId="4E79E481" w14:textId="77777777">
            <w:r>
              <w:rPr>
                <w:color w:val="000000"/>
                <w:sz w:val="20"/>
                <w:szCs w:val="20"/>
              </w:rPr>
              <w:t>AI platform development, system integration, cyber-security</w:t>
            </w:r>
          </w:p>
        </w:tc>
        <w:tc>
          <w:tcPr>
            <w:tcW w:w="1947" w:type="dxa"/>
            <w:tcBorders>
              <w:top w:val="single" w:color="AAAAAA" w:sz="4" w:space="0"/>
              <w:left w:val="single" w:color="AAAAAA" w:sz="4" w:space="0"/>
              <w:bottom w:val="single" w:color="AAAAAA" w:sz="4" w:space="0"/>
              <w:right w:val="single" w:color="AAAAAA" w:sz="4" w:space="0"/>
            </w:tcBorders>
            <w:shd w:val="clear" w:color="auto" w:fill="F2F2F2" w:themeFill="background1" w:themeFillShade="F2"/>
            <w:tcMar>
              <w:top w:w="80" w:type="dxa"/>
              <w:left w:w="120" w:type="dxa"/>
              <w:bottom w:w="80" w:type="dxa"/>
              <w:right w:w="120" w:type="dxa"/>
            </w:tcMar>
            <w:vAlign w:val="center"/>
          </w:tcPr>
          <w:p w:rsidR="00243BB1" w:rsidRDefault="009F1CB6" w14:paraId="354017C2" w14:textId="77777777">
            <w:r>
              <w:rPr>
                <w:color w:val="000000"/>
                <w:sz w:val="20"/>
                <w:szCs w:val="20"/>
              </w:rPr>
              <w:t xml:space="preserve">High – technical feasibility </w:t>
            </w:r>
            <w:proofErr w:type="spellStart"/>
            <w:r>
              <w:rPr>
                <w:color w:val="000000"/>
                <w:sz w:val="20"/>
                <w:szCs w:val="20"/>
              </w:rPr>
              <w:t>determinator</w:t>
            </w:r>
            <w:proofErr w:type="spellEnd"/>
          </w:p>
        </w:tc>
        <w:tc>
          <w:tcPr>
            <w:tcW w:w="1947" w:type="dxa"/>
            <w:tcBorders>
              <w:top w:val="single" w:color="AAAAAA" w:sz="4"/>
              <w:left w:val="single" w:color="AAAAAA" w:sz="4"/>
              <w:bottom w:val="single" w:color="AAAAAA" w:sz="4"/>
              <w:right w:val="single" w:color="AAAAAA" w:sz="4"/>
            </w:tcBorders>
            <w:shd w:val="clear" w:color="auto" w:fill="F2F2F2" w:themeFill="background1" w:themeFillShade="F2"/>
            <w:tcMar>
              <w:top w:w="80" w:type="dxa"/>
              <w:left w:w="120" w:type="dxa"/>
              <w:bottom w:w="80" w:type="dxa"/>
              <w:right w:w="120" w:type="dxa"/>
            </w:tcMar>
            <w:vAlign w:val="center"/>
          </w:tcPr>
          <w:p w:rsidR="0D424A28" w:rsidP="295E3045" w:rsidRDefault="0D424A28" w14:paraId="3421CB88" w14:textId="72BE88E8">
            <w:pPr>
              <w:pStyle w:val="Normal"/>
              <w:rPr>
                <w:color w:val="000000" w:themeColor="text1" w:themeTint="FF" w:themeShade="FF"/>
                <w:sz w:val="20"/>
                <w:szCs w:val="20"/>
              </w:rPr>
            </w:pPr>
            <w:r w:rsidRPr="295E3045" w:rsidR="0D424A28">
              <w:rPr>
                <w:color w:val="000000" w:themeColor="text1" w:themeTint="FF" w:themeShade="FF"/>
                <w:sz w:val="20"/>
                <w:szCs w:val="20"/>
              </w:rPr>
              <w:t>Fromal presentations, video conferencing (MS Teams)</w:t>
            </w:r>
            <w:r w:rsidRPr="295E3045" w:rsidR="0D16DDDE">
              <w:rPr>
                <w:color w:val="000000" w:themeColor="text1" w:themeTint="FF" w:themeShade="FF"/>
                <w:sz w:val="20"/>
                <w:szCs w:val="20"/>
              </w:rPr>
              <w:t xml:space="preserve">, Updates </w:t>
            </w:r>
            <w:r w:rsidRPr="295E3045" w:rsidR="0D16DDDE">
              <w:rPr>
                <w:color w:val="000000" w:themeColor="text1" w:themeTint="FF" w:themeShade="FF"/>
                <w:sz w:val="20"/>
                <w:szCs w:val="20"/>
              </w:rPr>
              <w:t>Emails</w:t>
            </w:r>
            <w:r w:rsidRPr="295E3045" w:rsidR="0D85E961">
              <w:rPr>
                <w:color w:val="000000" w:themeColor="text1" w:themeTint="FF" w:themeShade="FF"/>
                <w:sz w:val="20"/>
                <w:szCs w:val="20"/>
              </w:rPr>
              <w:t xml:space="preserve"> and </w:t>
            </w:r>
            <w:r w:rsidRPr="295E3045" w:rsidR="0D85E961">
              <w:rPr>
                <w:color w:val="000000" w:themeColor="text1" w:themeTint="FF" w:themeShade="FF"/>
                <w:sz w:val="20"/>
                <w:szCs w:val="20"/>
              </w:rPr>
              <w:t>wed-base</w:t>
            </w:r>
            <w:r w:rsidRPr="295E3045" w:rsidR="0D85E961">
              <w:rPr>
                <w:color w:val="000000" w:themeColor="text1" w:themeTint="FF" w:themeShade="FF"/>
                <w:sz w:val="20"/>
                <w:szCs w:val="20"/>
              </w:rPr>
              <w:t xml:space="preserve"> discussion.</w:t>
            </w:r>
          </w:p>
        </w:tc>
        <w:tc>
          <w:tcPr>
            <w:tcW w:w="1947" w:type="dxa"/>
            <w:tcBorders>
              <w:top w:val="single" w:color="AAAAAA" w:sz="4"/>
              <w:left w:val="single" w:color="AAAAAA" w:sz="4"/>
              <w:bottom w:val="single" w:color="AAAAAA" w:sz="4"/>
              <w:right w:val="single" w:color="AAAAAA" w:sz="4"/>
            </w:tcBorders>
            <w:shd w:val="clear" w:color="auto" w:fill="F2F2F2" w:themeFill="background1" w:themeFillShade="F2"/>
            <w:tcMar>
              <w:top w:w="80" w:type="dxa"/>
              <w:left w:w="120" w:type="dxa"/>
              <w:bottom w:w="80" w:type="dxa"/>
              <w:right w:w="120" w:type="dxa"/>
            </w:tcMar>
            <w:vAlign w:val="center"/>
          </w:tcPr>
          <w:p w:rsidR="0D85E961" w:rsidP="295E3045" w:rsidRDefault="0D85E961" w14:paraId="4110EFA5" w14:textId="67B3CAD4">
            <w:pPr>
              <w:pStyle w:val="Normal"/>
              <w:rPr>
                <w:color w:val="000000" w:themeColor="text1" w:themeTint="FF" w:themeShade="FF"/>
                <w:sz w:val="20"/>
                <w:szCs w:val="20"/>
              </w:rPr>
            </w:pPr>
            <w:r w:rsidRPr="295E3045" w:rsidR="0D85E961">
              <w:rPr>
                <w:color w:val="000000" w:themeColor="text1" w:themeTint="FF" w:themeShade="FF"/>
                <w:sz w:val="20"/>
                <w:szCs w:val="20"/>
              </w:rPr>
              <w:t>Weekly</w:t>
            </w:r>
          </w:p>
        </w:tc>
      </w:tr>
      <w:tr w:rsidR="00243BB1" w:rsidTr="295E3045" w14:paraId="2E34F63A" w14:textId="77777777">
        <w:tblPrEx>
          <w:tblCellMar>
            <w:top w:w="0" w:type="dxa"/>
            <w:bottom w:w="0" w:type="dxa"/>
          </w:tblCellMar>
        </w:tblPrEx>
        <w:trPr>
          <w:trHeight w:val="300"/>
        </w:trPr>
        <w:tc>
          <w:tcPr>
            <w:tcW w:w="1622" w:type="dxa"/>
            <w:tcBorders>
              <w:top w:val="single" w:color="AAAAAA" w:sz="4" w:space="0"/>
              <w:left w:val="single" w:color="AAAAAA" w:sz="4" w:space="0"/>
              <w:bottom w:val="single" w:color="AAAAAA" w:sz="4" w:space="0"/>
              <w:right w:val="single" w:color="AAAAAA" w:sz="4" w:space="0"/>
            </w:tcBorders>
            <w:shd w:val="clear" w:color="auto" w:fill="E8EFF8"/>
            <w:tcMar>
              <w:top w:w="80" w:type="dxa"/>
              <w:left w:w="120" w:type="dxa"/>
              <w:bottom w:w="80" w:type="dxa"/>
              <w:right w:w="120" w:type="dxa"/>
            </w:tcMar>
            <w:vAlign w:val="center"/>
          </w:tcPr>
          <w:p w:rsidR="00243BB1" w:rsidRDefault="009F1CB6" w14:paraId="7AABCB7A" w14:textId="77777777">
            <w:r>
              <w:rPr>
                <w:color w:val="000000"/>
                <w:sz w:val="20"/>
                <w:szCs w:val="20"/>
              </w:rPr>
              <w:t>Marketing &amp; Brand Team</w:t>
            </w:r>
          </w:p>
        </w:tc>
        <w:tc>
          <w:tcPr>
            <w:tcW w:w="2272" w:type="dxa"/>
            <w:tcBorders>
              <w:top w:val="single" w:color="AAAAAA" w:sz="4" w:space="0"/>
              <w:left w:val="single" w:color="AAAAAA" w:sz="4" w:space="0"/>
              <w:bottom w:val="single" w:color="AAAAAA" w:sz="4" w:space="0"/>
              <w:right w:val="single" w:color="AAAAAA" w:sz="4" w:space="0"/>
            </w:tcBorders>
            <w:shd w:val="clear" w:color="auto" w:fill="FFFFFF" w:themeFill="background1"/>
            <w:tcMar>
              <w:top w:w="80" w:type="dxa"/>
              <w:left w:w="120" w:type="dxa"/>
              <w:bottom w:w="80" w:type="dxa"/>
              <w:right w:w="120" w:type="dxa"/>
            </w:tcMar>
            <w:vAlign w:val="center"/>
          </w:tcPr>
          <w:p w:rsidR="00243BB1" w:rsidRDefault="009F1CB6" w14:paraId="2BA9F218" w14:textId="77777777">
            <w:r>
              <w:rPr>
                <w:color w:val="000000"/>
                <w:sz w:val="20"/>
                <w:szCs w:val="20"/>
              </w:rPr>
              <w:t>Go-to-market strategy, guest communications, brand alignment</w:t>
            </w:r>
          </w:p>
        </w:tc>
        <w:tc>
          <w:tcPr>
            <w:tcW w:w="1947" w:type="dxa"/>
            <w:tcBorders>
              <w:top w:val="single" w:color="AAAAAA" w:sz="4" w:space="0"/>
              <w:left w:val="single" w:color="AAAAAA" w:sz="4" w:space="0"/>
              <w:bottom w:val="single" w:color="AAAAAA" w:sz="4" w:space="0"/>
              <w:right w:val="single" w:color="AAAAAA" w:sz="4" w:space="0"/>
            </w:tcBorders>
            <w:shd w:val="clear" w:color="auto" w:fill="F2F2F2" w:themeFill="background1" w:themeFillShade="F2"/>
            <w:tcMar>
              <w:top w:w="80" w:type="dxa"/>
              <w:left w:w="120" w:type="dxa"/>
              <w:bottom w:w="80" w:type="dxa"/>
              <w:right w:w="120" w:type="dxa"/>
            </w:tcMar>
            <w:vAlign w:val="center"/>
          </w:tcPr>
          <w:p w:rsidR="00243BB1" w:rsidRDefault="009F1CB6" w14:paraId="31B9566A" w14:textId="77777777">
            <w:r>
              <w:rPr>
                <w:color w:val="000000"/>
                <w:sz w:val="20"/>
                <w:szCs w:val="20"/>
              </w:rPr>
              <w:t>Medium-High – controls guest-facing messaging</w:t>
            </w:r>
          </w:p>
        </w:tc>
        <w:tc>
          <w:tcPr>
            <w:tcW w:w="1947" w:type="dxa"/>
            <w:tcBorders>
              <w:top w:val="single" w:color="AAAAAA" w:sz="4"/>
              <w:left w:val="single" w:color="AAAAAA" w:sz="4"/>
              <w:bottom w:val="single" w:color="AAAAAA" w:sz="4"/>
              <w:right w:val="single" w:color="AAAAAA" w:sz="4"/>
            </w:tcBorders>
            <w:shd w:val="clear" w:color="auto" w:fill="F2F2F2" w:themeFill="background1" w:themeFillShade="F2"/>
            <w:tcMar>
              <w:top w:w="80" w:type="dxa"/>
              <w:left w:w="120" w:type="dxa"/>
              <w:bottom w:w="80" w:type="dxa"/>
              <w:right w:w="120" w:type="dxa"/>
            </w:tcMar>
            <w:vAlign w:val="center"/>
          </w:tcPr>
          <w:p w:rsidR="40AA99C9" w:rsidP="295E3045" w:rsidRDefault="40AA99C9" w14:paraId="7D7ACEB8" w14:textId="20052EB4">
            <w:pPr>
              <w:pStyle w:val="Normal"/>
              <w:rPr>
                <w:color w:val="000000" w:themeColor="text1" w:themeTint="FF" w:themeShade="FF"/>
                <w:sz w:val="20"/>
                <w:szCs w:val="20"/>
              </w:rPr>
            </w:pPr>
            <w:r w:rsidRPr="295E3045" w:rsidR="40AA99C9">
              <w:rPr>
                <w:color w:val="000000" w:themeColor="text1" w:themeTint="FF" w:themeShade="FF"/>
                <w:sz w:val="20"/>
                <w:szCs w:val="20"/>
              </w:rPr>
              <w:t>Social events, Emails, Personal meetings</w:t>
            </w:r>
            <w:r w:rsidRPr="295E3045" w:rsidR="34DB3DD4">
              <w:rPr>
                <w:color w:val="000000" w:themeColor="text1" w:themeTint="FF" w:themeShade="FF"/>
                <w:sz w:val="20"/>
                <w:szCs w:val="20"/>
              </w:rPr>
              <w:t xml:space="preserve">, internal magazines or newsletter and </w:t>
            </w:r>
            <w:r w:rsidRPr="295E3045" w:rsidR="01810A4B">
              <w:rPr>
                <w:color w:val="000000" w:themeColor="text1" w:themeTint="FF" w:themeShade="FF"/>
                <w:sz w:val="20"/>
                <w:szCs w:val="20"/>
              </w:rPr>
              <w:t>Project briefing</w:t>
            </w:r>
          </w:p>
        </w:tc>
        <w:tc>
          <w:tcPr>
            <w:tcW w:w="1947" w:type="dxa"/>
            <w:tcBorders>
              <w:top w:val="single" w:color="AAAAAA" w:sz="4"/>
              <w:left w:val="single" w:color="AAAAAA" w:sz="4"/>
              <w:bottom w:val="single" w:color="AAAAAA" w:sz="4"/>
              <w:right w:val="single" w:color="AAAAAA" w:sz="4"/>
            </w:tcBorders>
            <w:shd w:val="clear" w:color="auto" w:fill="F2F2F2" w:themeFill="background1" w:themeFillShade="F2"/>
            <w:tcMar>
              <w:top w:w="80" w:type="dxa"/>
              <w:left w:w="120" w:type="dxa"/>
              <w:bottom w:w="80" w:type="dxa"/>
              <w:right w:w="120" w:type="dxa"/>
            </w:tcMar>
            <w:vAlign w:val="center"/>
          </w:tcPr>
          <w:p w:rsidR="01810A4B" w:rsidP="295E3045" w:rsidRDefault="01810A4B" w14:paraId="5A8EE5D0" w14:textId="5CFE9AD0">
            <w:pPr>
              <w:pStyle w:val="Normal"/>
              <w:rPr>
                <w:color w:val="000000" w:themeColor="text1" w:themeTint="FF" w:themeShade="FF"/>
                <w:sz w:val="20"/>
                <w:szCs w:val="20"/>
              </w:rPr>
            </w:pPr>
            <w:r w:rsidRPr="295E3045" w:rsidR="01810A4B">
              <w:rPr>
                <w:color w:val="000000" w:themeColor="text1" w:themeTint="FF" w:themeShade="FF"/>
                <w:sz w:val="20"/>
                <w:szCs w:val="20"/>
              </w:rPr>
              <w:t>Monthly</w:t>
            </w:r>
          </w:p>
        </w:tc>
      </w:tr>
      <w:tr w:rsidR="00243BB1" w:rsidTr="295E3045" w14:paraId="0D603B11" w14:textId="77777777">
        <w:tblPrEx>
          <w:tblCellMar>
            <w:top w:w="0" w:type="dxa"/>
            <w:bottom w:w="0" w:type="dxa"/>
          </w:tblCellMar>
        </w:tblPrEx>
        <w:trPr>
          <w:trHeight w:val="300"/>
        </w:trPr>
        <w:tc>
          <w:tcPr>
            <w:tcW w:w="1622" w:type="dxa"/>
            <w:tcBorders>
              <w:top w:val="single" w:color="AAAAAA" w:sz="4" w:space="0"/>
              <w:left w:val="single" w:color="AAAAAA" w:sz="4" w:space="0"/>
              <w:bottom w:val="single" w:color="AAAAAA" w:sz="4" w:space="0"/>
              <w:right w:val="single" w:color="AAAAAA" w:sz="4" w:space="0"/>
            </w:tcBorders>
            <w:shd w:val="clear" w:color="auto" w:fill="E8EFF8"/>
            <w:tcMar>
              <w:top w:w="80" w:type="dxa"/>
              <w:left w:w="120" w:type="dxa"/>
              <w:bottom w:w="80" w:type="dxa"/>
              <w:right w:w="120" w:type="dxa"/>
            </w:tcMar>
            <w:vAlign w:val="center"/>
          </w:tcPr>
          <w:p w:rsidR="00243BB1" w:rsidRDefault="009F1CB6" w14:paraId="40D6E11E" w14:textId="77777777">
            <w:r>
              <w:rPr>
                <w:color w:val="000000"/>
                <w:sz w:val="20"/>
                <w:szCs w:val="20"/>
              </w:rPr>
              <w:t>Hotel Operations (GMs &amp; Staff)</w:t>
            </w:r>
          </w:p>
        </w:tc>
        <w:tc>
          <w:tcPr>
            <w:tcW w:w="2272" w:type="dxa"/>
            <w:tcBorders>
              <w:top w:val="single" w:color="AAAAAA" w:sz="4" w:space="0"/>
              <w:left w:val="single" w:color="AAAAAA" w:sz="4" w:space="0"/>
              <w:bottom w:val="single" w:color="AAAAAA" w:sz="4" w:space="0"/>
              <w:right w:val="single" w:color="AAAAAA" w:sz="4" w:space="0"/>
            </w:tcBorders>
            <w:shd w:val="clear" w:color="auto" w:fill="FFFFFF" w:themeFill="background1"/>
            <w:tcMar>
              <w:top w:w="80" w:type="dxa"/>
              <w:left w:w="120" w:type="dxa"/>
              <w:bottom w:w="80" w:type="dxa"/>
              <w:right w:w="120" w:type="dxa"/>
            </w:tcMar>
            <w:vAlign w:val="center"/>
          </w:tcPr>
          <w:p w:rsidR="00243BB1" w:rsidRDefault="009F1CB6" w14:paraId="0E8711C5" w14:textId="77777777">
            <w:r>
              <w:rPr>
                <w:color w:val="000000"/>
                <w:sz w:val="20"/>
                <w:szCs w:val="20"/>
              </w:rPr>
              <w:t>On-the-ground implementation, guest interaction, training</w:t>
            </w:r>
          </w:p>
        </w:tc>
        <w:tc>
          <w:tcPr>
            <w:tcW w:w="1947" w:type="dxa"/>
            <w:tcBorders>
              <w:top w:val="single" w:color="AAAAAA" w:sz="4" w:space="0"/>
              <w:left w:val="single" w:color="AAAAAA" w:sz="4" w:space="0"/>
              <w:bottom w:val="single" w:color="AAAAAA" w:sz="4" w:space="0"/>
              <w:right w:val="single" w:color="AAAAAA" w:sz="4" w:space="0"/>
            </w:tcBorders>
            <w:shd w:val="clear" w:color="auto" w:fill="F2F2F2" w:themeFill="background1" w:themeFillShade="F2"/>
            <w:tcMar>
              <w:top w:w="80" w:type="dxa"/>
              <w:left w:w="120" w:type="dxa"/>
              <w:bottom w:w="80" w:type="dxa"/>
              <w:right w:w="120" w:type="dxa"/>
            </w:tcMar>
            <w:vAlign w:val="center"/>
          </w:tcPr>
          <w:p w:rsidR="00243BB1" w:rsidRDefault="009F1CB6" w14:paraId="6EC16C2F" w14:textId="77777777">
            <w:r>
              <w:rPr>
                <w:color w:val="000000"/>
                <w:sz w:val="20"/>
                <w:szCs w:val="20"/>
              </w:rPr>
              <w:t>High – front-line adoption critical to success</w:t>
            </w:r>
          </w:p>
        </w:tc>
        <w:tc>
          <w:tcPr>
            <w:tcW w:w="1947" w:type="dxa"/>
            <w:tcBorders>
              <w:top w:val="single" w:color="AAAAAA" w:sz="4"/>
              <w:left w:val="single" w:color="AAAAAA" w:sz="4"/>
              <w:bottom w:val="single" w:color="AAAAAA" w:sz="4"/>
              <w:right w:val="single" w:color="AAAAAA" w:sz="4"/>
            </w:tcBorders>
            <w:shd w:val="clear" w:color="auto" w:fill="F2F2F2" w:themeFill="background1" w:themeFillShade="F2"/>
            <w:tcMar>
              <w:top w:w="80" w:type="dxa"/>
              <w:left w:w="120" w:type="dxa"/>
              <w:bottom w:w="80" w:type="dxa"/>
              <w:right w:w="120" w:type="dxa"/>
            </w:tcMar>
            <w:vAlign w:val="center"/>
          </w:tcPr>
          <w:p w:rsidR="4CC4D649" w:rsidP="295E3045" w:rsidRDefault="4CC4D649" w14:paraId="3B21A684" w14:textId="2EA975A0">
            <w:pPr>
              <w:pStyle w:val="Normal"/>
              <w:rPr>
                <w:color w:val="000000" w:themeColor="text1" w:themeTint="FF" w:themeShade="FF"/>
                <w:sz w:val="20"/>
                <w:szCs w:val="20"/>
              </w:rPr>
            </w:pPr>
            <w:r w:rsidRPr="295E3045" w:rsidR="4CC4D649">
              <w:rPr>
                <w:color w:val="000000" w:themeColor="text1" w:themeTint="FF" w:themeShade="FF"/>
                <w:sz w:val="20"/>
                <w:szCs w:val="20"/>
              </w:rPr>
              <w:t>Memos, Email, Letter</w:t>
            </w:r>
            <w:r w:rsidRPr="295E3045" w:rsidR="4CFDAE5A">
              <w:rPr>
                <w:color w:val="000000" w:themeColor="text1" w:themeTint="FF" w:themeShade="FF"/>
                <w:sz w:val="20"/>
                <w:szCs w:val="20"/>
              </w:rPr>
              <w:t xml:space="preserve"> and Personal meeting</w:t>
            </w:r>
          </w:p>
        </w:tc>
        <w:tc>
          <w:tcPr>
            <w:tcW w:w="1947" w:type="dxa"/>
            <w:tcBorders>
              <w:top w:val="single" w:color="AAAAAA" w:sz="4"/>
              <w:left w:val="single" w:color="AAAAAA" w:sz="4"/>
              <w:bottom w:val="single" w:color="AAAAAA" w:sz="4"/>
              <w:right w:val="single" w:color="AAAAAA" w:sz="4"/>
            </w:tcBorders>
            <w:shd w:val="clear" w:color="auto" w:fill="F2F2F2" w:themeFill="background1" w:themeFillShade="F2"/>
            <w:tcMar>
              <w:top w:w="80" w:type="dxa"/>
              <w:left w:w="120" w:type="dxa"/>
              <w:bottom w:w="80" w:type="dxa"/>
              <w:right w:w="120" w:type="dxa"/>
            </w:tcMar>
            <w:vAlign w:val="center"/>
          </w:tcPr>
          <w:p w:rsidR="50CAFEAE" w:rsidP="295E3045" w:rsidRDefault="50CAFEAE" w14:paraId="1CEA514B" w14:textId="35A9A565">
            <w:pPr>
              <w:pStyle w:val="Normal"/>
              <w:rPr>
                <w:color w:val="000000" w:themeColor="text1" w:themeTint="FF" w:themeShade="FF"/>
                <w:sz w:val="20"/>
                <w:szCs w:val="20"/>
              </w:rPr>
            </w:pPr>
            <w:r w:rsidRPr="295E3045" w:rsidR="50CAFEAE">
              <w:rPr>
                <w:color w:val="000000" w:themeColor="text1" w:themeTint="FF" w:themeShade="FF"/>
                <w:sz w:val="20"/>
                <w:szCs w:val="20"/>
              </w:rPr>
              <w:t>Monthly</w:t>
            </w:r>
          </w:p>
        </w:tc>
      </w:tr>
      <w:tr w:rsidR="00243BB1" w:rsidTr="295E3045" w14:paraId="4492EF84" w14:textId="77777777">
        <w:tblPrEx>
          <w:tblCellMar>
            <w:top w:w="0" w:type="dxa"/>
            <w:bottom w:w="0" w:type="dxa"/>
          </w:tblCellMar>
        </w:tblPrEx>
        <w:trPr>
          <w:trHeight w:val="300"/>
        </w:trPr>
        <w:tc>
          <w:tcPr>
            <w:tcW w:w="1622" w:type="dxa"/>
            <w:tcBorders>
              <w:top w:val="single" w:color="AAAAAA" w:sz="4" w:space="0"/>
              <w:left w:val="single" w:color="AAAAAA" w:sz="4" w:space="0"/>
              <w:bottom w:val="single" w:color="AAAAAA" w:sz="4" w:space="0"/>
              <w:right w:val="single" w:color="AAAAAA" w:sz="4" w:space="0"/>
            </w:tcBorders>
            <w:shd w:val="clear" w:color="auto" w:fill="E8EFF8"/>
            <w:tcMar>
              <w:top w:w="80" w:type="dxa"/>
              <w:left w:w="120" w:type="dxa"/>
              <w:bottom w:w="80" w:type="dxa"/>
              <w:right w:w="120" w:type="dxa"/>
            </w:tcMar>
            <w:vAlign w:val="center"/>
          </w:tcPr>
          <w:p w:rsidR="00243BB1" w:rsidRDefault="009F1CB6" w14:paraId="3FC6B58C" w14:textId="77777777">
            <w:r>
              <w:rPr>
                <w:color w:val="000000"/>
                <w:sz w:val="20"/>
                <w:szCs w:val="20"/>
              </w:rPr>
              <w:t>Human Resources Team</w:t>
            </w:r>
          </w:p>
        </w:tc>
        <w:tc>
          <w:tcPr>
            <w:tcW w:w="2272" w:type="dxa"/>
            <w:tcBorders>
              <w:top w:val="single" w:color="AAAAAA" w:sz="4" w:space="0"/>
              <w:left w:val="single" w:color="AAAAAA" w:sz="4" w:space="0"/>
              <w:bottom w:val="single" w:color="AAAAAA" w:sz="4" w:space="0"/>
              <w:right w:val="single" w:color="AAAAAA" w:sz="4" w:space="0"/>
            </w:tcBorders>
            <w:shd w:val="clear" w:color="auto" w:fill="FFFFFF" w:themeFill="background1"/>
            <w:tcMar>
              <w:top w:w="80" w:type="dxa"/>
              <w:left w:w="120" w:type="dxa"/>
              <w:bottom w:w="80" w:type="dxa"/>
              <w:right w:w="120" w:type="dxa"/>
            </w:tcMar>
            <w:vAlign w:val="center"/>
          </w:tcPr>
          <w:p w:rsidR="00243BB1" w:rsidRDefault="009F1CB6" w14:paraId="452F8271" w14:textId="77777777">
            <w:r>
              <w:rPr>
                <w:color w:val="000000"/>
                <w:sz w:val="20"/>
                <w:szCs w:val="20"/>
              </w:rPr>
              <w:t>Staff training, change management, recruitment</w:t>
            </w:r>
          </w:p>
        </w:tc>
        <w:tc>
          <w:tcPr>
            <w:tcW w:w="1947" w:type="dxa"/>
            <w:tcBorders>
              <w:top w:val="single" w:color="AAAAAA" w:sz="4" w:space="0"/>
              <w:left w:val="single" w:color="AAAAAA" w:sz="4" w:space="0"/>
              <w:bottom w:val="single" w:color="AAAAAA" w:sz="4" w:space="0"/>
              <w:right w:val="single" w:color="AAAAAA" w:sz="4" w:space="0"/>
            </w:tcBorders>
            <w:shd w:val="clear" w:color="auto" w:fill="F2F2F2" w:themeFill="background1" w:themeFillShade="F2"/>
            <w:tcMar>
              <w:top w:w="80" w:type="dxa"/>
              <w:left w:w="120" w:type="dxa"/>
              <w:bottom w:w="80" w:type="dxa"/>
              <w:right w:w="120" w:type="dxa"/>
            </w:tcMar>
            <w:vAlign w:val="center"/>
          </w:tcPr>
          <w:p w:rsidR="00243BB1" w:rsidRDefault="009F1CB6" w14:paraId="4AAC06F0" w14:textId="77777777">
            <w:r>
              <w:rPr>
                <w:color w:val="000000"/>
                <w:sz w:val="20"/>
                <w:szCs w:val="20"/>
              </w:rPr>
              <w:t>Medium – supports organisational readiness</w:t>
            </w:r>
          </w:p>
        </w:tc>
        <w:tc>
          <w:tcPr>
            <w:tcW w:w="1947" w:type="dxa"/>
            <w:tcBorders>
              <w:top w:val="single" w:color="AAAAAA" w:sz="4"/>
              <w:left w:val="single" w:color="AAAAAA" w:sz="4"/>
              <w:bottom w:val="single" w:color="AAAAAA" w:sz="4"/>
              <w:right w:val="single" w:color="AAAAAA" w:sz="4"/>
            </w:tcBorders>
            <w:shd w:val="clear" w:color="auto" w:fill="F2F2F2" w:themeFill="background1" w:themeFillShade="F2"/>
            <w:tcMar>
              <w:top w:w="80" w:type="dxa"/>
              <w:left w:w="120" w:type="dxa"/>
              <w:bottom w:w="80" w:type="dxa"/>
              <w:right w:w="120" w:type="dxa"/>
            </w:tcMar>
            <w:vAlign w:val="center"/>
          </w:tcPr>
          <w:p w:rsidR="73BD97F1" w:rsidP="295E3045" w:rsidRDefault="73BD97F1" w14:paraId="1E9B7A2E" w14:textId="4B451767">
            <w:pPr>
              <w:pStyle w:val="Normal"/>
              <w:rPr>
                <w:color w:val="000000" w:themeColor="text1" w:themeTint="FF" w:themeShade="FF"/>
                <w:sz w:val="20"/>
                <w:szCs w:val="20"/>
              </w:rPr>
            </w:pPr>
            <w:r w:rsidRPr="295E3045" w:rsidR="73BD97F1">
              <w:rPr>
                <w:color w:val="000000" w:themeColor="text1" w:themeTint="FF" w:themeShade="FF"/>
                <w:sz w:val="20"/>
                <w:szCs w:val="20"/>
              </w:rPr>
              <w:t xml:space="preserve">Training sessions, personal </w:t>
            </w:r>
            <w:r w:rsidRPr="295E3045" w:rsidR="73BD97F1">
              <w:rPr>
                <w:color w:val="000000" w:themeColor="text1" w:themeTint="FF" w:themeShade="FF"/>
                <w:sz w:val="20"/>
                <w:szCs w:val="20"/>
              </w:rPr>
              <w:t>meetings</w:t>
            </w:r>
            <w:r w:rsidRPr="295E3045" w:rsidR="73BD97F1">
              <w:rPr>
                <w:color w:val="000000" w:themeColor="text1" w:themeTint="FF" w:themeShade="FF"/>
                <w:sz w:val="20"/>
                <w:szCs w:val="20"/>
              </w:rPr>
              <w:t xml:space="preserve"> and Fromal presentations</w:t>
            </w:r>
          </w:p>
        </w:tc>
        <w:tc>
          <w:tcPr>
            <w:tcW w:w="1947" w:type="dxa"/>
            <w:tcBorders>
              <w:top w:val="single" w:color="AAAAAA" w:sz="4"/>
              <w:left w:val="single" w:color="AAAAAA" w:sz="4"/>
              <w:bottom w:val="single" w:color="AAAAAA" w:sz="4"/>
              <w:right w:val="single" w:color="AAAAAA" w:sz="4"/>
            </w:tcBorders>
            <w:shd w:val="clear" w:color="auto" w:fill="F2F2F2" w:themeFill="background1" w:themeFillShade="F2"/>
            <w:tcMar>
              <w:top w:w="80" w:type="dxa"/>
              <w:left w:w="120" w:type="dxa"/>
              <w:bottom w:w="80" w:type="dxa"/>
              <w:right w:w="120" w:type="dxa"/>
            </w:tcMar>
            <w:vAlign w:val="center"/>
          </w:tcPr>
          <w:p w:rsidR="167CFD7D" w:rsidP="295E3045" w:rsidRDefault="167CFD7D" w14:paraId="2EBA3F4E" w14:textId="024D26B5">
            <w:pPr>
              <w:pStyle w:val="Normal"/>
              <w:rPr>
                <w:color w:val="000000" w:themeColor="text1" w:themeTint="FF" w:themeShade="FF"/>
                <w:sz w:val="20"/>
                <w:szCs w:val="20"/>
              </w:rPr>
            </w:pPr>
            <w:r w:rsidRPr="295E3045" w:rsidR="167CFD7D">
              <w:rPr>
                <w:color w:val="000000" w:themeColor="text1" w:themeTint="FF" w:themeShade="FF"/>
                <w:sz w:val="20"/>
                <w:szCs w:val="20"/>
              </w:rPr>
              <w:t>Monthly</w:t>
            </w:r>
          </w:p>
        </w:tc>
      </w:tr>
      <w:tr w:rsidR="00243BB1" w:rsidTr="295E3045" w14:paraId="71442F1A" w14:textId="77777777">
        <w:tblPrEx>
          <w:tblCellMar>
            <w:top w:w="0" w:type="dxa"/>
            <w:bottom w:w="0" w:type="dxa"/>
          </w:tblCellMar>
        </w:tblPrEx>
        <w:trPr>
          <w:trHeight w:val="300"/>
        </w:trPr>
        <w:tc>
          <w:tcPr>
            <w:tcW w:w="1622" w:type="dxa"/>
            <w:tcBorders>
              <w:top w:val="single" w:color="AAAAAA" w:sz="4" w:space="0"/>
              <w:left w:val="single" w:color="AAAAAA" w:sz="4" w:space="0"/>
              <w:bottom w:val="single" w:color="AAAAAA" w:sz="4" w:space="0"/>
              <w:right w:val="single" w:color="AAAAAA" w:sz="4" w:space="0"/>
            </w:tcBorders>
            <w:shd w:val="clear" w:color="auto" w:fill="E8EFF8"/>
            <w:tcMar>
              <w:top w:w="80" w:type="dxa"/>
              <w:left w:w="120" w:type="dxa"/>
              <w:bottom w:w="80" w:type="dxa"/>
              <w:right w:w="120" w:type="dxa"/>
            </w:tcMar>
            <w:vAlign w:val="center"/>
          </w:tcPr>
          <w:p w:rsidR="00243BB1" w:rsidRDefault="009F1CB6" w14:paraId="53FB7BFC" w14:textId="77777777">
            <w:r>
              <w:rPr>
                <w:color w:val="000000"/>
                <w:sz w:val="20"/>
                <w:szCs w:val="20"/>
              </w:rPr>
              <w:t>Finance Department</w:t>
            </w:r>
          </w:p>
        </w:tc>
        <w:tc>
          <w:tcPr>
            <w:tcW w:w="2272" w:type="dxa"/>
            <w:tcBorders>
              <w:top w:val="single" w:color="AAAAAA" w:sz="4" w:space="0"/>
              <w:left w:val="single" w:color="AAAAAA" w:sz="4" w:space="0"/>
              <w:bottom w:val="single" w:color="AAAAAA" w:sz="4" w:space="0"/>
              <w:right w:val="single" w:color="AAAAAA" w:sz="4" w:space="0"/>
            </w:tcBorders>
            <w:shd w:val="clear" w:color="auto" w:fill="FFFFFF" w:themeFill="background1"/>
            <w:tcMar>
              <w:top w:w="80" w:type="dxa"/>
              <w:left w:w="120" w:type="dxa"/>
              <w:bottom w:w="80" w:type="dxa"/>
              <w:right w:w="120" w:type="dxa"/>
            </w:tcMar>
            <w:vAlign w:val="center"/>
          </w:tcPr>
          <w:p w:rsidR="00243BB1" w:rsidRDefault="009F1CB6" w14:paraId="71D05500" w14:textId="77777777">
            <w:r>
              <w:rPr>
                <w:color w:val="000000"/>
                <w:sz w:val="20"/>
                <w:szCs w:val="20"/>
              </w:rPr>
              <w:t>Budget management, ROI analysis, cost control</w:t>
            </w:r>
          </w:p>
        </w:tc>
        <w:tc>
          <w:tcPr>
            <w:tcW w:w="1947" w:type="dxa"/>
            <w:tcBorders>
              <w:top w:val="single" w:color="AAAAAA" w:sz="4" w:space="0"/>
              <w:left w:val="single" w:color="AAAAAA" w:sz="4" w:space="0"/>
              <w:bottom w:val="single" w:color="AAAAAA" w:sz="4" w:space="0"/>
              <w:right w:val="single" w:color="AAAAAA" w:sz="4" w:space="0"/>
            </w:tcBorders>
            <w:shd w:val="clear" w:color="auto" w:fill="F2F2F2" w:themeFill="background1" w:themeFillShade="F2"/>
            <w:tcMar>
              <w:top w:w="80" w:type="dxa"/>
              <w:left w:w="120" w:type="dxa"/>
              <w:bottom w:w="80" w:type="dxa"/>
              <w:right w:w="120" w:type="dxa"/>
            </w:tcMar>
            <w:vAlign w:val="center"/>
          </w:tcPr>
          <w:p w:rsidR="00243BB1" w:rsidRDefault="009F1CB6" w14:paraId="6059D4C3" w14:textId="77777777">
            <w:r>
              <w:rPr>
                <w:color w:val="000000"/>
                <w:sz w:val="20"/>
                <w:szCs w:val="20"/>
              </w:rPr>
              <w:t>Medium-High – controls financial approvals</w:t>
            </w:r>
          </w:p>
        </w:tc>
        <w:tc>
          <w:tcPr>
            <w:tcW w:w="1947" w:type="dxa"/>
            <w:tcBorders>
              <w:top w:val="single" w:color="AAAAAA" w:sz="4"/>
              <w:left w:val="single" w:color="AAAAAA" w:sz="4"/>
              <w:bottom w:val="single" w:color="AAAAAA" w:sz="4"/>
              <w:right w:val="single" w:color="AAAAAA" w:sz="4"/>
            </w:tcBorders>
            <w:shd w:val="clear" w:color="auto" w:fill="F2F2F2" w:themeFill="background1" w:themeFillShade="F2"/>
            <w:tcMar>
              <w:top w:w="80" w:type="dxa"/>
              <w:left w:w="120" w:type="dxa"/>
              <w:bottom w:w="80" w:type="dxa"/>
              <w:right w:w="120" w:type="dxa"/>
            </w:tcMar>
            <w:vAlign w:val="center"/>
          </w:tcPr>
          <w:p w:rsidR="021C17A8" w:rsidP="295E3045" w:rsidRDefault="021C17A8" w14:paraId="0C44A6E0" w14:textId="5DF4FA0E">
            <w:pPr>
              <w:pStyle w:val="Normal"/>
              <w:rPr>
                <w:color w:val="000000" w:themeColor="text1" w:themeTint="FF" w:themeShade="FF"/>
                <w:sz w:val="20"/>
                <w:szCs w:val="20"/>
              </w:rPr>
            </w:pPr>
            <w:r w:rsidRPr="295E3045" w:rsidR="021C17A8">
              <w:rPr>
                <w:color w:val="000000" w:themeColor="text1" w:themeTint="FF" w:themeShade="FF"/>
                <w:sz w:val="20"/>
                <w:szCs w:val="20"/>
              </w:rPr>
              <w:t xml:space="preserve">Teleconferencing, video </w:t>
            </w:r>
            <w:r w:rsidRPr="295E3045" w:rsidR="021C17A8">
              <w:rPr>
                <w:color w:val="000000" w:themeColor="text1" w:themeTint="FF" w:themeShade="FF"/>
                <w:sz w:val="20"/>
                <w:szCs w:val="20"/>
              </w:rPr>
              <w:t>conferencing, Emails</w:t>
            </w:r>
          </w:p>
        </w:tc>
        <w:tc>
          <w:tcPr>
            <w:tcW w:w="1947" w:type="dxa"/>
            <w:tcBorders>
              <w:top w:val="single" w:color="AAAAAA" w:sz="4"/>
              <w:left w:val="single" w:color="AAAAAA" w:sz="4"/>
              <w:bottom w:val="single" w:color="AAAAAA" w:sz="4"/>
              <w:right w:val="single" w:color="AAAAAA" w:sz="4"/>
            </w:tcBorders>
            <w:shd w:val="clear" w:color="auto" w:fill="F2F2F2" w:themeFill="background1" w:themeFillShade="F2"/>
            <w:tcMar>
              <w:top w:w="80" w:type="dxa"/>
              <w:left w:w="120" w:type="dxa"/>
              <w:bottom w:w="80" w:type="dxa"/>
              <w:right w:w="120" w:type="dxa"/>
            </w:tcMar>
            <w:vAlign w:val="center"/>
          </w:tcPr>
          <w:p w:rsidR="70F787CD" w:rsidP="295E3045" w:rsidRDefault="70F787CD" w14:paraId="1574A30A" w14:textId="1F576333">
            <w:pPr>
              <w:pStyle w:val="Normal"/>
              <w:rPr>
                <w:color w:val="000000" w:themeColor="text1" w:themeTint="FF" w:themeShade="FF"/>
                <w:sz w:val="20"/>
                <w:szCs w:val="20"/>
              </w:rPr>
            </w:pPr>
            <w:r w:rsidRPr="295E3045" w:rsidR="70F787CD">
              <w:rPr>
                <w:color w:val="000000" w:themeColor="text1" w:themeTint="FF" w:themeShade="FF"/>
                <w:sz w:val="20"/>
                <w:szCs w:val="20"/>
              </w:rPr>
              <w:t>Monthly</w:t>
            </w:r>
          </w:p>
        </w:tc>
      </w:tr>
    </w:tbl>
    <w:p w:rsidR="00243BB1" w:rsidRDefault="00243BB1" w14:paraId="5FCFF8B9" w14:textId="77777777">
      <w:pPr>
        <w:spacing w:after="160"/>
      </w:pPr>
    </w:p>
    <w:p w:rsidR="00243BB1" w:rsidP="295E3045" w:rsidRDefault="009F1CB6" w14:paraId="4885A9D9" w14:textId="6E9F7D23">
      <w:pPr>
        <w:pStyle w:val="Heading2"/>
        <w:pBdr>
          <w:bottom w:val="single" w:color="D4A94B" w:sz="4" w:space="1"/>
        </w:pBdr>
      </w:pPr>
      <w:r w:rsidR="66B3E72C">
        <w:rPr/>
        <w:t>3.2 External</w:t>
      </w:r>
      <w:r w:rsidR="009F1CB6">
        <w:rPr/>
        <w:t xml:space="preserve"> Stakeholders</w:t>
      </w:r>
      <w:r w:rsidR="59144B3F">
        <w:rPr/>
        <w:t xml:space="preserve"> Engagement Plan</w:t>
      </w:r>
    </w:p>
    <w:tbl>
      <w:tblPr>
        <w:tblW w:w="973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 w:type="dxa"/>
          <w:right w:w="10" w:type="dxa"/>
        </w:tblCellMar>
        <w:tblLook w:val="0000" w:firstRow="0" w:lastRow="0" w:firstColumn="0" w:lastColumn="0" w:noHBand="0" w:noVBand="0"/>
      </w:tblPr>
      <w:tblGrid>
        <w:gridCol w:w="1622"/>
        <w:gridCol w:w="2272"/>
        <w:gridCol w:w="1947"/>
        <w:gridCol w:w="1947"/>
        <w:gridCol w:w="1947"/>
      </w:tblGrid>
      <w:tr w:rsidR="00243BB1" w:rsidTr="4FE059F7" w14:paraId="3AB95197" w14:textId="77777777">
        <w:tblPrEx>
          <w:tblCellMar>
            <w:top w:w="0" w:type="dxa"/>
            <w:bottom w:w="0" w:type="dxa"/>
          </w:tblCellMar>
        </w:tblPrEx>
        <w:trPr>
          <w:trHeight w:val="300"/>
        </w:trPr>
        <w:tc>
          <w:tcPr>
            <w:tcW w:w="1622" w:type="dxa"/>
            <w:tcBorders>
              <w:top w:val="single" w:color="AAAAAA" w:sz="4" w:space="0"/>
              <w:left w:val="single" w:color="AAAAAA" w:sz="4" w:space="0"/>
              <w:bottom w:val="single" w:color="AAAAAA" w:sz="4" w:space="0"/>
              <w:right w:val="single" w:color="AAAAAA" w:sz="4" w:space="0"/>
            </w:tcBorders>
            <w:shd w:val="clear" w:color="auto" w:fill="003580"/>
            <w:tcMar>
              <w:top w:w="80" w:type="dxa"/>
              <w:left w:w="120" w:type="dxa"/>
              <w:bottom w:w="80" w:type="dxa"/>
              <w:right w:w="120" w:type="dxa"/>
            </w:tcMar>
            <w:vAlign w:val="center"/>
          </w:tcPr>
          <w:p w:rsidR="00243BB1" w:rsidRDefault="009F1CB6" w14:paraId="4AD1BF1A" w14:textId="77777777">
            <w:r>
              <w:rPr>
                <w:b/>
                <w:bCs/>
                <w:color w:val="FFFFFF"/>
                <w:sz w:val="20"/>
                <w:szCs w:val="20"/>
              </w:rPr>
              <w:t>Stakeholder</w:t>
            </w:r>
          </w:p>
        </w:tc>
        <w:tc>
          <w:tcPr>
            <w:tcW w:w="2272" w:type="dxa"/>
            <w:tcBorders>
              <w:top w:val="single" w:color="AAAAAA" w:sz="4" w:space="0"/>
              <w:left w:val="single" w:color="AAAAAA" w:sz="4" w:space="0"/>
              <w:bottom w:val="single" w:color="AAAAAA" w:sz="4" w:space="0"/>
              <w:right w:val="single" w:color="AAAAAA" w:sz="4" w:space="0"/>
            </w:tcBorders>
            <w:shd w:val="clear" w:color="auto" w:fill="003580"/>
            <w:tcMar>
              <w:top w:w="80" w:type="dxa"/>
              <w:left w:w="120" w:type="dxa"/>
              <w:bottom w:w="80" w:type="dxa"/>
              <w:right w:w="120" w:type="dxa"/>
            </w:tcMar>
            <w:vAlign w:val="center"/>
          </w:tcPr>
          <w:p w:rsidR="00243BB1" w:rsidRDefault="009F1CB6" w14:paraId="6B9D170B" w14:textId="77777777">
            <w:r>
              <w:rPr>
                <w:b/>
                <w:bCs/>
                <w:color w:val="FFFFFF"/>
                <w:sz w:val="20"/>
                <w:szCs w:val="20"/>
              </w:rPr>
              <w:t>Role in Project</w:t>
            </w:r>
          </w:p>
        </w:tc>
        <w:tc>
          <w:tcPr>
            <w:tcW w:w="1947" w:type="dxa"/>
            <w:tcBorders>
              <w:top w:val="single" w:color="AAAAAA" w:sz="4" w:space="0"/>
              <w:left w:val="single" w:color="AAAAAA" w:sz="4" w:space="0"/>
              <w:bottom w:val="single" w:color="AAAAAA" w:sz="4" w:space="0"/>
              <w:right w:val="single" w:color="AAAAAA" w:sz="4" w:space="0"/>
            </w:tcBorders>
            <w:shd w:val="clear" w:color="auto" w:fill="003580"/>
            <w:tcMar>
              <w:top w:w="80" w:type="dxa"/>
              <w:left w:w="120" w:type="dxa"/>
              <w:bottom w:w="80" w:type="dxa"/>
              <w:right w:w="120" w:type="dxa"/>
            </w:tcMar>
            <w:vAlign w:val="center"/>
          </w:tcPr>
          <w:p w:rsidR="00243BB1" w:rsidP="295E3045" w:rsidRDefault="009F1CB6" w14:paraId="0489EF98" w14:textId="49041EC8">
            <w:pPr>
              <w:rPr>
                <w:b w:val="1"/>
                <w:bCs w:val="1"/>
                <w:color w:val="FFFFFF" w:themeColor="background1" w:themeTint="FF" w:themeShade="FF"/>
                <w:sz w:val="20"/>
                <w:szCs w:val="20"/>
              </w:rPr>
            </w:pPr>
            <w:r w:rsidRPr="295E3045" w:rsidR="009F1CB6">
              <w:rPr>
                <w:b w:val="1"/>
                <w:bCs w:val="1"/>
                <w:color w:val="FFFFFF" w:themeColor="background1" w:themeTint="FF" w:themeShade="FF"/>
                <w:sz w:val="20"/>
                <w:szCs w:val="20"/>
              </w:rPr>
              <w:t>Level of In</w:t>
            </w:r>
            <w:r w:rsidRPr="295E3045" w:rsidR="3874989B">
              <w:rPr>
                <w:b w:val="1"/>
                <w:bCs w:val="1"/>
                <w:color w:val="FFFFFF" w:themeColor="background1" w:themeTint="FF" w:themeShade="FF"/>
                <w:sz w:val="20"/>
                <w:szCs w:val="20"/>
              </w:rPr>
              <w:t>terest and Purpose</w:t>
            </w:r>
          </w:p>
        </w:tc>
        <w:tc>
          <w:tcPr>
            <w:tcW w:w="1947" w:type="dxa"/>
            <w:tcBorders>
              <w:top w:val="single" w:color="AAAAAA" w:sz="4"/>
              <w:left w:val="single" w:color="AAAAAA" w:sz="4"/>
              <w:bottom w:val="single" w:color="AAAAAA" w:sz="4"/>
              <w:right w:val="single" w:color="AAAAAA" w:sz="4"/>
            </w:tcBorders>
            <w:shd w:val="clear" w:color="auto" w:fill="003580"/>
            <w:tcMar>
              <w:top w:w="80" w:type="dxa"/>
              <w:left w:w="120" w:type="dxa"/>
              <w:bottom w:w="80" w:type="dxa"/>
              <w:right w:w="120" w:type="dxa"/>
            </w:tcMar>
            <w:vAlign w:val="center"/>
          </w:tcPr>
          <w:p w:rsidR="3874989B" w:rsidP="295E3045" w:rsidRDefault="3874989B" w14:paraId="73B163F8" w14:textId="2EF56714">
            <w:pPr>
              <w:pStyle w:val="Normal"/>
              <w:rPr>
                <w:b w:val="1"/>
                <w:bCs w:val="1"/>
                <w:color w:val="FFFFFF" w:themeColor="background1" w:themeTint="FF" w:themeShade="FF"/>
                <w:sz w:val="20"/>
                <w:szCs w:val="20"/>
              </w:rPr>
            </w:pPr>
            <w:r w:rsidRPr="295E3045" w:rsidR="3874989B">
              <w:rPr>
                <w:b w:val="1"/>
                <w:bCs w:val="1"/>
                <w:color w:val="FFFFFF" w:themeColor="background1" w:themeTint="FF" w:themeShade="FF"/>
                <w:sz w:val="20"/>
                <w:szCs w:val="20"/>
              </w:rPr>
              <w:t>Communication level</w:t>
            </w:r>
          </w:p>
        </w:tc>
        <w:tc>
          <w:tcPr>
            <w:tcW w:w="1947" w:type="dxa"/>
            <w:tcBorders>
              <w:top w:val="single" w:color="AAAAAA" w:sz="4"/>
              <w:left w:val="single" w:color="AAAAAA" w:sz="4"/>
              <w:bottom w:val="single" w:color="AAAAAA" w:sz="4"/>
              <w:right w:val="single" w:color="AAAAAA" w:sz="4"/>
            </w:tcBorders>
            <w:shd w:val="clear" w:color="auto" w:fill="003580"/>
            <w:tcMar>
              <w:top w:w="80" w:type="dxa"/>
              <w:left w:w="120" w:type="dxa"/>
              <w:bottom w:w="80" w:type="dxa"/>
              <w:right w:w="120" w:type="dxa"/>
            </w:tcMar>
            <w:vAlign w:val="center"/>
          </w:tcPr>
          <w:p w:rsidR="3874989B" w:rsidP="295E3045" w:rsidRDefault="3874989B" w14:paraId="6F50EC1D" w14:textId="1760A992">
            <w:pPr>
              <w:pStyle w:val="Normal"/>
              <w:rPr>
                <w:b w:val="1"/>
                <w:bCs w:val="1"/>
                <w:color w:val="FFFFFF" w:themeColor="background1" w:themeTint="FF" w:themeShade="FF"/>
                <w:sz w:val="20"/>
                <w:szCs w:val="20"/>
              </w:rPr>
            </w:pPr>
            <w:r w:rsidRPr="295E3045" w:rsidR="3874989B">
              <w:rPr>
                <w:b w:val="1"/>
                <w:bCs w:val="1"/>
                <w:color w:val="FFFFFF" w:themeColor="background1" w:themeTint="FF" w:themeShade="FF"/>
                <w:sz w:val="20"/>
                <w:szCs w:val="20"/>
              </w:rPr>
              <w:t>Frequency</w:t>
            </w:r>
          </w:p>
        </w:tc>
      </w:tr>
      <w:tr w:rsidR="00243BB1" w:rsidTr="4FE059F7" w14:paraId="37CDFA14" w14:textId="77777777">
        <w:tblPrEx>
          <w:tblCellMar>
            <w:top w:w="0" w:type="dxa"/>
            <w:bottom w:w="0" w:type="dxa"/>
          </w:tblCellMar>
        </w:tblPrEx>
        <w:trPr>
          <w:trHeight w:val="300"/>
        </w:trPr>
        <w:tc>
          <w:tcPr>
            <w:tcW w:w="1622" w:type="dxa"/>
            <w:tcBorders>
              <w:top w:val="single" w:color="AAAAAA" w:sz="4" w:space="0"/>
              <w:left w:val="single" w:color="AAAAAA" w:sz="4" w:space="0"/>
              <w:bottom w:val="single" w:color="AAAAAA" w:sz="4" w:space="0"/>
              <w:right w:val="single" w:color="AAAAAA" w:sz="4" w:space="0"/>
            </w:tcBorders>
            <w:shd w:val="clear" w:color="auto" w:fill="FDF6E3"/>
            <w:tcMar>
              <w:top w:w="80" w:type="dxa"/>
              <w:left w:w="120" w:type="dxa"/>
              <w:bottom w:w="80" w:type="dxa"/>
              <w:right w:w="120" w:type="dxa"/>
            </w:tcMar>
            <w:vAlign w:val="center"/>
          </w:tcPr>
          <w:p w:rsidR="00243BB1" w:rsidRDefault="009F1CB6" w14:paraId="727BF09C" w14:textId="77777777">
            <w:r>
              <w:rPr>
                <w:color w:val="000000"/>
                <w:sz w:val="20"/>
                <w:szCs w:val="20"/>
              </w:rPr>
              <w:t>Guests / Customers</w:t>
            </w:r>
          </w:p>
        </w:tc>
        <w:tc>
          <w:tcPr>
            <w:tcW w:w="2272" w:type="dxa"/>
            <w:tcBorders>
              <w:top w:val="single" w:color="AAAAAA" w:sz="4" w:space="0"/>
              <w:left w:val="single" w:color="AAAAAA" w:sz="4" w:space="0"/>
              <w:bottom w:val="single" w:color="AAAAAA" w:sz="4" w:space="0"/>
              <w:right w:val="single" w:color="AAAAAA" w:sz="4" w:space="0"/>
            </w:tcBorders>
            <w:shd w:val="clear" w:color="auto" w:fill="FFFFFF" w:themeFill="background1"/>
            <w:tcMar>
              <w:top w:w="80" w:type="dxa"/>
              <w:left w:w="120" w:type="dxa"/>
              <w:bottom w:w="80" w:type="dxa"/>
              <w:right w:w="120" w:type="dxa"/>
            </w:tcMar>
            <w:vAlign w:val="center"/>
          </w:tcPr>
          <w:p w:rsidR="00243BB1" w:rsidRDefault="009F1CB6" w14:paraId="17CA79F3" w14:textId="77777777">
            <w:r>
              <w:rPr>
                <w:color w:val="000000"/>
                <w:sz w:val="20"/>
                <w:szCs w:val="20"/>
              </w:rPr>
              <w:t xml:space="preserve">End-users of </w:t>
            </w:r>
            <w:proofErr w:type="spellStart"/>
            <w:r>
              <w:rPr>
                <w:color w:val="000000"/>
                <w:sz w:val="20"/>
                <w:szCs w:val="20"/>
              </w:rPr>
              <w:t>StaySmart</w:t>
            </w:r>
            <w:proofErr w:type="spellEnd"/>
            <w:r>
              <w:rPr>
                <w:color w:val="000000"/>
                <w:sz w:val="20"/>
                <w:szCs w:val="20"/>
              </w:rPr>
              <w:t>+; provide adoption and feedback data</w:t>
            </w:r>
          </w:p>
        </w:tc>
        <w:tc>
          <w:tcPr>
            <w:tcW w:w="1947" w:type="dxa"/>
            <w:tcBorders>
              <w:top w:val="single" w:color="AAAAAA" w:sz="4" w:space="0"/>
              <w:left w:val="single" w:color="AAAAAA" w:sz="4" w:space="0"/>
              <w:bottom w:val="single" w:color="AAAAAA" w:sz="4" w:space="0"/>
              <w:right w:val="single" w:color="AAAAAA" w:sz="4" w:space="0"/>
            </w:tcBorders>
            <w:shd w:val="clear" w:color="auto" w:fill="F2F2F2" w:themeFill="background1" w:themeFillShade="F2"/>
            <w:tcMar>
              <w:top w:w="80" w:type="dxa"/>
              <w:left w:w="120" w:type="dxa"/>
              <w:bottom w:w="80" w:type="dxa"/>
              <w:right w:w="120" w:type="dxa"/>
            </w:tcMar>
            <w:vAlign w:val="center"/>
          </w:tcPr>
          <w:p w:rsidR="00243BB1" w:rsidRDefault="009F1CB6" w14:paraId="4DB51AB2" w14:textId="77777777">
            <w:r>
              <w:rPr>
                <w:color w:val="000000"/>
                <w:sz w:val="20"/>
                <w:szCs w:val="20"/>
              </w:rPr>
              <w:t>High – ultimate determinant of service success</w:t>
            </w:r>
          </w:p>
        </w:tc>
        <w:tc>
          <w:tcPr>
            <w:tcW w:w="1947" w:type="dxa"/>
            <w:tcBorders>
              <w:top w:val="single" w:color="AAAAAA" w:sz="4"/>
              <w:left w:val="single" w:color="AAAAAA" w:sz="4"/>
              <w:bottom w:val="single" w:color="AAAAAA" w:sz="4"/>
              <w:right w:val="single" w:color="AAAAAA" w:sz="4"/>
            </w:tcBorders>
            <w:shd w:val="clear" w:color="auto" w:fill="F2F2F2" w:themeFill="background1" w:themeFillShade="F2"/>
            <w:tcMar>
              <w:top w:w="80" w:type="dxa"/>
              <w:left w:w="120" w:type="dxa"/>
              <w:bottom w:w="80" w:type="dxa"/>
              <w:right w:w="120" w:type="dxa"/>
            </w:tcMar>
            <w:vAlign w:val="center"/>
          </w:tcPr>
          <w:p w:rsidR="39ABB95A" w:rsidP="295E3045" w:rsidRDefault="39ABB95A" w14:paraId="63E084B5" w14:textId="322145D3">
            <w:pPr>
              <w:pStyle w:val="Normal"/>
              <w:rPr>
                <w:color w:val="000000" w:themeColor="text1" w:themeTint="FF" w:themeShade="FF"/>
                <w:sz w:val="20"/>
                <w:szCs w:val="20"/>
              </w:rPr>
            </w:pPr>
            <w:r w:rsidRPr="295E3045" w:rsidR="39ABB95A">
              <w:rPr>
                <w:color w:val="000000" w:themeColor="text1" w:themeTint="FF" w:themeShade="FF"/>
                <w:sz w:val="20"/>
                <w:szCs w:val="20"/>
              </w:rPr>
              <w:t>Satisfaction survey, social media, blog</w:t>
            </w:r>
            <w:r w:rsidRPr="295E3045" w:rsidR="56E5EBB5">
              <w:rPr>
                <w:color w:val="000000" w:themeColor="text1" w:themeTint="FF" w:themeShade="FF"/>
                <w:sz w:val="20"/>
                <w:szCs w:val="20"/>
              </w:rPr>
              <w:t>s,</w:t>
            </w:r>
            <w:r w:rsidRPr="295E3045" w:rsidR="39ABB95A">
              <w:rPr>
                <w:color w:val="000000" w:themeColor="text1" w:themeTint="FF" w:themeShade="FF"/>
                <w:sz w:val="20"/>
                <w:szCs w:val="20"/>
              </w:rPr>
              <w:t xml:space="preserve"> </w:t>
            </w:r>
            <w:r w:rsidRPr="295E3045" w:rsidR="77AA019A">
              <w:rPr>
                <w:color w:val="000000" w:themeColor="text1" w:themeTint="FF" w:themeShade="FF"/>
                <w:sz w:val="20"/>
                <w:szCs w:val="20"/>
              </w:rPr>
              <w:t>podcasts</w:t>
            </w:r>
            <w:r w:rsidRPr="295E3045" w:rsidR="5A7A5707">
              <w:rPr>
                <w:color w:val="000000" w:themeColor="text1" w:themeTint="FF" w:themeShade="FF"/>
                <w:sz w:val="20"/>
                <w:szCs w:val="20"/>
              </w:rPr>
              <w:t>, questionnaires, leaflets and surveys</w:t>
            </w:r>
          </w:p>
        </w:tc>
        <w:tc>
          <w:tcPr>
            <w:tcW w:w="1947" w:type="dxa"/>
            <w:tcBorders>
              <w:top w:val="single" w:color="AAAAAA" w:sz="4"/>
              <w:left w:val="single" w:color="AAAAAA" w:sz="4"/>
              <w:bottom w:val="single" w:color="AAAAAA" w:sz="4"/>
              <w:right w:val="single" w:color="AAAAAA" w:sz="4"/>
            </w:tcBorders>
            <w:shd w:val="clear" w:color="auto" w:fill="F2F2F2" w:themeFill="background1" w:themeFillShade="F2"/>
            <w:tcMar>
              <w:top w:w="80" w:type="dxa"/>
              <w:left w:w="120" w:type="dxa"/>
              <w:bottom w:w="80" w:type="dxa"/>
              <w:right w:w="120" w:type="dxa"/>
            </w:tcMar>
            <w:vAlign w:val="center"/>
          </w:tcPr>
          <w:p w:rsidR="77AA019A" w:rsidP="295E3045" w:rsidRDefault="77AA019A" w14:paraId="0CBDAE47" w14:textId="6DD299C9">
            <w:pPr>
              <w:pStyle w:val="Normal"/>
              <w:rPr>
                <w:color w:val="000000" w:themeColor="text1" w:themeTint="FF" w:themeShade="FF"/>
                <w:sz w:val="20"/>
                <w:szCs w:val="20"/>
              </w:rPr>
            </w:pPr>
            <w:r w:rsidRPr="295E3045" w:rsidR="77AA019A">
              <w:rPr>
                <w:color w:val="000000" w:themeColor="text1" w:themeTint="FF" w:themeShade="FF"/>
                <w:sz w:val="20"/>
                <w:szCs w:val="20"/>
              </w:rPr>
              <w:t>End of Project</w:t>
            </w:r>
          </w:p>
        </w:tc>
      </w:tr>
      <w:tr w:rsidR="00243BB1" w:rsidTr="4FE059F7" w14:paraId="0249C1C4" w14:textId="77777777">
        <w:tblPrEx>
          <w:tblCellMar>
            <w:top w:w="0" w:type="dxa"/>
            <w:bottom w:w="0" w:type="dxa"/>
          </w:tblCellMar>
        </w:tblPrEx>
        <w:trPr>
          <w:trHeight w:val="300"/>
        </w:trPr>
        <w:tc>
          <w:tcPr>
            <w:tcW w:w="1622" w:type="dxa"/>
            <w:tcBorders>
              <w:top w:val="single" w:color="AAAAAA" w:sz="4" w:space="0"/>
              <w:left w:val="single" w:color="AAAAAA" w:sz="4" w:space="0"/>
              <w:bottom w:val="single" w:color="AAAAAA" w:sz="4" w:space="0"/>
              <w:right w:val="single" w:color="AAAAAA" w:sz="4" w:space="0"/>
            </w:tcBorders>
            <w:shd w:val="clear" w:color="auto" w:fill="FDF6E3"/>
            <w:tcMar>
              <w:top w:w="80" w:type="dxa"/>
              <w:left w:w="120" w:type="dxa"/>
              <w:bottom w:w="80" w:type="dxa"/>
              <w:right w:w="120" w:type="dxa"/>
            </w:tcMar>
            <w:vAlign w:val="center"/>
          </w:tcPr>
          <w:p w:rsidR="00243BB1" w:rsidRDefault="009F1CB6" w14:paraId="73FF9BD1" w14:textId="77777777">
            <w:r>
              <w:rPr>
                <w:color w:val="000000"/>
                <w:sz w:val="20"/>
                <w:szCs w:val="20"/>
              </w:rPr>
              <w:t>Technology Partners (AI vendors)</w:t>
            </w:r>
          </w:p>
        </w:tc>
        <w:tc>
          <w:tcPr>
            <w:tcW w:w="2272" w:type="dxa"/>
            <w:tcBorders>
              <w:top w:val="single" w:color="AAAAAA" w:sz="4" w:space="0"/>
              <w:left w:val="single" w:color="AAAAAA" w:sz="4" w:space="0"/>
              <w:bottom w:val="single" w:color="AAAAAA" w:sz="4" w:space="0"/>
              <w:right w:val="single" w:color="AAAAAA" w:sz="4" w:space="0"/>
            </w:tcBorders>
            <w:shd w:val="clear" w:color="auto" w:fill="FFFFFF" w:themeFill="background1"/>
            <w:tcMar>
              <w:top w:w="80" w:type="dxa"/>
              <w:left w:w="120" w:type="dxa"/>
              <w:bottom w:w="80" w:type="dxa"/>
              <w:right w:w="120" w:type="dxa"/>
            </w:tcMar>
            <w:vAlign w:val="center"/>
          </w:tcPr>
          <w:p w:rsidR="00243BB1" w:rsidRDefault="009F1CB6" w14:paraId="300996DD" w14:textId="77777777">
            <w:r>
              <w:rPr>
                <w:color w:val="000000"/>
                <w:sz w:val="20"/>
                <w:szCs w:val="20"/>
              </w:rPr>
              <w:t>Platform development, AI model supply, technical support</w:t>
            </w:r>
          </w:p>
        </w:tc>
        <w:tc>
          <w:tcPr>
            <w:tcW w:w="1947" w:type="dxa"/>
            <w:tcBorders>
              <w:top w:val="single" w:color="AAAAAA" w:sz="4" w:space="0"/>
              <w:left w:val="single" w:color="AAAAAA" w:sz="4" w:space="0"/>
              <w:bottom w:val="single" w:color="AAAAAA" w:sz="4" w:space="0"/>
              <w:right w:val="single" w:color="AAAAAA" w:sz="4" w:space="0"/>
            </w:tcBorders>
            <w:shd w:val="clear" w:color="auto" w:fill="F2F2F2" w:themeFill="background1" w:themeFillShade="F2"/>
            <w:tcMar>
              <w:top w:w="80" w:type="dxa"/>
              <w:left w:w="120" w:type="dxa"/>
              <w:bottom w:w="80" w:type="dxa"/>
              <w:right w:w="120" w:type="dxa"/>
            </w:tcMar>
            <w:vAlign w:val="center"/>
          </w:tcPr>
          <w:p w:rsidR="00243BB1" w:rsidRDefault="009F1CB6" w14:paraId="7AED7260" w14:textId="77777777">
            <w:r>
              <w:rPr>
                <w:color w:val="000000"/>
                <w:sz w:val="20"/>
                <w:szCs w:val="20"/>
              </w:rPr>
              <w:t>High – critical supply-chain dependency</w:t>
            </w:r>
          </w:p>
        </w:tc>
        <w:tc>
          <w:tcPr>
            <w:tcW w:w="1947" w:type="dxa"/>
            <w:tcBorders>
              <w:top w:val="single" w:color="AAAAAA" w:sz="4"/>
              <w:left w:val="single" w:color="AAAAAA" w:sz="4"/>
              <w:bottom w:val="single" w:color="AAAAAA" w:sz="4"/>
              <w:right w:val="single" w:color="AAAAAA" w:sz="4"/>
            </w:tcBorders>
            <w:shd w:val="clear" w:color="auto" w:fill="F2F2F2" w:themeFill="background1" w:themeFillShade="F2"/>
            <w:tcMar>
              <w:top w:w="80" w:type="dxa"/>
              <w:left w:w="120" w:type="dxa"/>
              <w:bottom w:w="80" w:type="dxa"/>
              <w:right w:w="120" w:type="dxa"/>
            </w:tcMar>
            <w:vAlign w:val="center"/>
          </w:tcPr>
          <w:p w:rsidR="295E3045" w:rsidP="295E3045" w:rsidRDefault="295E3045" w14:paraId="4AD9DAD1" w14:textId="0BD62B5E">
            <w:pPr>
              <w:pStyle w:val="Normal"/>
              <w:rPr>
                <w:color w:val="000000" w:themeColor="text1" w:themeTint="FF" w:themeShade="FF"/>
                <w:sz w:val="20"/>
                <w:szCs w:val="20"/>
              </w:rPr>
            </w:pPr>
            <w:r w:rsidRPr="4FE059F7" w:rsidR="2138A376">
              <w:rPr>
                <w:color w:val="000000" w:themeColor="text1" w:themeTint="FF" w:themeShade="FF"/>
                <w:sz w:val="20"/>
                <w:szCs w:val="20"/>
              </w:rPr>
              <w:t>Stage gate meeting, video conferencing (MS Teams) and Project briefing, Emails</w:t>
            </w:r>
          </w:p>
        </w:tc>
        <w:tc>
          <w:tcPr>
            <w:tcW w:w="1947" w:type="dxa"/>
            <w:tcBorders>
              <w:top w:val="single" w:color="AAAAAA" w:sz="4"/>
              <w:left w:val="single" w:color="AAAAAA" w:sz="4"/>
              <w:bottom w:val="single" w:color="AAAAAA" w:sz="4"/>
              <w:right w:val="single" w:color="AAAAAA" w:sz="4"/>
            </w:tcBorders>
            <w:shd w:val="clear" w:color="auto" w:fill="F2F2F2" w:themeFill="background1" w:themeFillShade="F2"/>
            <w:tcMar>
              <w:top w:w="80" w:type="dxa"/>
              <w:left w:w="120" w:type="dxa"/>
              <w:bottom w:w="80" w:type="dxa"/>
              <w:right w:w="120" w:type="dxa"/>
            </w:tcMar>
            <w:vAlign w:val="center"/>
          </w:tcPr>
          <w:p w:rsidR="295E3045" w:rsidP="295E3045" w:rsidRDefault="295E3045" w14:paraId="0BFF4C6A" w14:textId="697181F6">
            <w:pPr>
              <w:pStyle w:val="Normal"/>
              <w:rPr>
                <w:color w:val="000000" w:themeColor="text1" w:themeTint="FF" w:themeShade="FF"/>
                <w:sz w:val="20"/>
                <w:szCs w:val="20"/>
              </w:rPr>
            </w:pPr>
            <w:r w:rsidRPr="4FE059F7" w:rsidR="0B241C5A">
              <w:rPr>
                <w:color w:val="000000" w:themeColor="text1" w:themeTint="FF" w:themeShade="FF"/>
                <w:sz w:val="20"/>
                <w:szCs w:val="20"/>
              </w:rPr>
              <w:t>Monthly</w:t>
            </w:r>
          </w:p>
        </w:tc>
      </w:tr>
      <w:tr w:rsidR="00243BB1" w:rsidTr="4FE059F7" w14:paraId="572B379A" w14:textId="77777777">
        <w:tblPrEx>
          <w:tblCellMar>
            <w:top w:w="0" w:type="dxa"/>
            <w:bottom w:w="0" w:type="dxa"/>
          </w:tblCellMar>
        </w:tblPrEx>
        <w:trPr>
          <w:trHeight w:val="300"/>
        </w:trPr>
        <w:tc>
          <w:tcPr>
            <w:tcW w:w="1622" w:type="dxa"/>
            <w:tcBorders>
              <w:top w:val="single" w:color="AAAAAA" w:sz="4" w:space="0"/>
              <w:left w:val="single" w:color="AAAAAA" w:sz="4" w:space="0"/>
              <w:bottom w:val="single" w:color="AAAAAA" w:sz="4" w:space="0"/>
              <w:right w:val="single" w:color="AAAAAA" w:sz="4" w:space="0"/>
            </w:tcBorders>
            <w:shd w:val="clear" w:color="auto" w:fill="FDF6E3"/>
            <w:tcMar>
              <w:top w:w="80" w:type="dxa"/>
              <w:left w:w="120" w:type="dxa"/>
              <w:bottom w:w="80" w:type="dxa"/>
              <w:right w:w="120" w:type="dxa"/>
            </w:tcMar>
            <w:vAlign w:val="center"/>
          </w:tcPr>
          <w:p w:rsidR="00243BB1" w:rsidRDefault="009F1CB6" w14:paraId="629B3D77" w14:textId="77777777">
            <w:r>
              <w:rPr>
                <w:color w:val="000000"/>
                <w:sz w:val="20"/>
                <w:szCs w:val="20"/>
              </w:rPr>
              <w:t>Franchise Owners</w:t>
            </w:r>
          </w:p>
        </w:tc>
        <w:tc>
          <w:tcPr>
            <w:tcW w:w="2272" w:type="dxa"/>
            <w:tcBorders>
              <w:top w:val="single" w:color="AAAAAA" w:sz="4" w:space="0"/>
              <w:left w:val="single" w:color="AAAAAA" w:sz="4" w:space="0"/>
              <w:bottom w:val="single" w:color="AAAAAA" w:sz="4" w:space="0"/>
              <w:right w:val="single" w:color="AAAAAA" w:sz="4" w:space="0"/>
            </w:tcBorders>
            <w:shd w:val="clear" w:color="auto" w:fill="FFFFFF" w:themeFill="background1"/>
            <w:tcMar>
              <w:top w:w="80" w:type="dxa"/>
              <w:left w:w="120" w:type="dxa"/>
              <w:bottom w:w="80" w:type="dxa"/>
              <w:right w:w="120" w:type="dxa"/>
            </w:tcMar>
            <w:vAlign w:val="center"/>
          </w:tcPr>
          <w:p w:rsidR="00243BB1" w:rsidRDefault="009F1CB6" w14:paraId="7891E016" w14:textId="77777777">
            <w:r>
              <w:rPr>
                <w:color w:val="000000"/>
                <w:sz w:val="20"/>
                <w:szCs w:val="20"/>
              </w:rPr>
              <w:t>Property-level adoption, investment commitment</w:t>
            </w:r>
          </w:p>
        </w:tc>
        <w:tc>
          <w:tcPr>
            <w:tcW w:w="1947" w:type="dxa"/>
            <w:tcBorders>
              <w:top w:val="single" w:color="AAAAAA" w:sz="4" w:space="0"/>
              <w:left w:val="single" w:color="AAAAAA" w:sz="4" w:space="0"/>
              <w:bottom w:val="single" w:color="AAAAAA" w:sz="4" w:space="0"/>
              <w:right w:val="single" w:color="AAAAAA" w:sz="4" w:space="0"/>
            </w:tcBorders>
            <w:shd w:val="clear" w:color="auto" w:fill="F2F2F2" w:themeFill="background1" w:themeFillShade="F2"/>
            <w:tcMar>
              <w:top w:w="80" w:type="dxa"/>
              <w:left w:w="120" w:type="dxa"/>
              <w:bottom w:w="80" w:type="dxa"/>
              <w:right w:w="120" w:type="dxa"/>
            </w:tcMar>
            <w:vAlign w:val="center"/>
          </w:tcPr>
          <w:p w:rsidR="00243BB1" w:rsidRDefault="009F1CB6" w14:paraId="0F4EA561" w14:textId="77777777">
            <w:r>
              <w:rPr>
                <w:color w:val="000000"/>
                <w:sz w:val="20"/>
                <w:szCs w:val="20"/>
              </w:rPr>
              <w:t>High – can block or accelerate local rollout</w:t>
            </w:r>
          </w:p>
        </w:tc>
        <w:tc>
          <w:tcPr>
            <w:tcW w:w="1947" w:type="dxa"/>
            <w:tcBorders>
              <w:top w:val="single" w:color="AAAAAA" w:sz="4"/>
              <w:left w:val="single" w:color="AAAAAA" w:sz="4"/>
              <w:bottom w:val="single" w:color="AAAAAA" w:sz="4"/>
              <w:right w:val="single" w:color="AAAAAA" w:sz="4"/>
            </w:tcBorders>
            <w:shd w:val="clear" w:color="auto" w:fill="F2F2F2" w:themeFill="background1" w:themeFillShade="F2"/>
            <w:tcMar>
              <w:top w:w="80" w:type="dxa"/>
              <w:left w:w="120" w:type="dxa"/>
              <w:bottom w:w="80" w:type="dxa"/>
              <w:right w:w="120" w:type="dxa"/>
            </w:tcMar>
            <w:vAlign w:val="center"/>
          </w:tcPr>
          <w:p w:rsidR="295E3045" w:rsidP="295E3045" w:rsidRDefault="295E3045" w14:paraId="61578C75" w14:textId="6D12D3DE">
            <w:pPr>
              <w:pStyle w:val="Normal"/>
              <w:rPr>
                <w:color w:val="000000" w:themeColor="text1" w:themeTint="FF" w:themeShade="FF"/>
                <w:sz w:val="20"/>
                <w:szCs w:val="20"/>
              </w:rPr>
            </w:pPr>
            <w:r w:rsidRPr="4FE059F7" w:rsidR="6527FAE6">
              <w:rPr>
                <w:color w:val="000000" w:themeColor="text1" w:themeTint="FF" w:themeShade="FF"/>
                <w:sz w:val="20"/>
                <w:szCs w:val="20"/>
              </w:rPr>
              <w:t>Memos, Email, Letter and Personal meeting</w:t>
            </w:r>
          </w:p>
        </w:tc>
        <w:tc>
          <w:tcPr>
            <w:tcW w:w="1947" w:type="dxa"/>
            <w:tcBorders>
              <w:top w:val="single" w:color="AAAAAA" w:sz="4"/>
              <w:left w:val="single" w:color="AAAAAA" w:sz="4"/>
              <w:bottom w:val="single" w:color="AAAAAA" w:sz="4"/>
              <w:right w:val="single" w:color="AAAAAA" w:sz="4"/>
            </w:tcBorders>
            <w:shd w:val="clear" w:color="auto" w:fill="F2F2F2" w:themeFill="background1" w:themeFillShade="F2"/>
            <w:tcMar>
              <w:top w:w="80" w:type="dxa"/>
              <w:left w:w="120" w:type="dxa"/>
              <w:bottom w:w="80" w:type="dxa"/>
              <w:right w:w="120" w:type="dxa"/>
            </w:tcMar>
            <w:vAlign w:val="center"/>
          </w:tcPr>
          <w:p w:rsidR="295E3045" w:rsidP="295E3045" w:rsidRDefault="295E3045" w14:paraId="5F5CA904" w14:textId="64CC5014">
            <w:pPr>
              <w:pStyle w:val="Normal"/>
              <w:rPr>
                <w:color w:val="000000" w:themeColor="text1" w:themeTint="FF" w:themeShade="FF"/>
                <w:sz w:val="20"/>
                <w:szCs w:val="20"/>
              </w:rPr>
            </w:pPr>
            <w:r w:rsidRPr="4FE059F7" w:rsidR="6527FAE6">
              <w:rPr>
                <w:color w:val="000000" w:themeColor="text1" w:themeTint="FF" w:themeShade="FF"/>
                <w:sz w:val="20"/>
                <w:szCs w:val="20"/>
              </w:rPr>
              <w:t>Monthly</w:t>
            </w:r>
          </w:p>
        </w:tc>
      </w:tr>
      <w:tr w:rsidR="00243BB1" w:rsidTr="4FE059F7" w14:paraId="4F484ECF" w14:textId="77777777">
        <w:tblPrEx>
          <w:tblCellMar>
            <w:top w:w="0" w:type="dxa"/>
            <w:bottom w:w="0" w:type="dxa"/>
          </w:tblCellMar>
        </w:tblPrEx>
        <w:trPr>
          <w:trHeight w:val="300"/>
        </w:trPr>
        <w:tc>
          <w:tcPr>
            <w:tcW w:w="1622" w:type="dxa"/>
            <w:tcBorders>
              <w:top w:val="single" w:color="AAAAAA" w:sz="4" w:space="0"/>
              <w:left w:val="single" w:color="AAAAAA" w:sz="4" w:space="0"/>
              <w:bottom w:val="single" w:color="AAAAAA" w:sz="4" w:space="0"/>
              <w:right w:val="single" w:color="AAAAAA" w:sz="4" w:space="0"/>
            </w:tcBorders>
            <w:shd w:val="clear" w:color="auto" w:fill="FDF6E3"/>
            <w:tcMar>
              <w:top w:w="80" w:type="dxa"/>
              <w:left w:w="120" w:type="dxa"/>
              <w:bottom w:w="80" w:type="dxa"/>
              <w:right w:w="120" w:type="dxa"/>
            </w:tcMar>
            <w:vAlign w:val="center"/>
          </w:tcPr>
          <w:p w:rsidR="00243BB1" w:rsidRDefault="009F1CB6" w14:paraId="30010615" w14:textId="77777777">
            <w:r>
              <w:rPr>
                <w:color w:val="000000"/>
                <w:sz w:val="20"/>
                <w:szCs w:val="20"/>
              </w:rPr>
              <w:t>Regulatory Bodies (ICO, GDPR)</w:t>
            </w:r>
          </w:p>
        </w:tc>
        <w:tc>
          <w:tcPr>
            <w:tcW w:w="2272" w:type="dxa"/>
            <w:tcBorders>
              <w:top w:val="single" w:color="AAAAAA" w:sz="4" w:space="0"/>
              <w:left w:val="single" w:color="AAAAAA" w:sz="4" w:space="0"/>
              <w:bottom w:val="single" w:color="AAAAAA" w:sz="4" w:space="0"/>
              <w:right w:val="single" w:color="AAAAAA" w:sz="4" w:space="0"/>
            </w:tcBorders>
            <w:shd w:val="clear" w:color="auto" w:fill="FFFFFF" w:themeFill="background1"/>
            <w:tcMar>
              <w:top w:w="80" w:type="dxa"/>
              <w:left w:w="120" w:type="dxa"/>
              <w:bottom w:w="80" w:type="dxa"/>
              <w:right w:w="120" w:type="dxa"/>
            </w:tcMar>
            <w:vAlign w:val="center"/>
          </w:tcPr>
          <w:p w:rsidR="00243BB1" w:rsidRDefault="009F1CB6" w14:paraId="32532620" w14:textId="77777777">
            <w:r>
              <w:rPr>
                <w:color w:val="000000"/>
                <w:sz w:val="20"/>
                <w:szCs w:val="20"/>
              </w:rPr>
              <w:t>Data protection compliance oversight</w:t>
            </w:r>
          </w:p>
        </w:tc>
        <w:tc>
          <w:tcPr>
            <w:tcW w:w="1947" w:type="dxa"/>
            <w:tcBorders>
              <w:top w:val="single" w:color="AAAAAA" w:sz="4" w:space="0"/>
              <w:left w:val="single" w:color="AAAAAA" w:sz="4" w:space="0"/>
              <w:bottom w:val="single" w:color="AAAAAA" w:sz="4" w:space="0"/>
              <w:right w:val="single" w:color="AAAAAA" w:sz="4" w:space="0"/>
            </w:tcBorders>
            <w:shd w:val="clear" w:color="auto" w:fill="F2F2F2" w:themeFill="background1" w:themeFillShade="F2"/>
            <w:tcMar>
              <w:top w:w="80" w:type="dxa"/>
              <w:left w:w="120" w:type="dxa"/>
              <w:bottom w:w="80" w:type="dxa"/>
              <w:right w:w="120" w:type="dxa"/>
            </w:tcMar>
            <w:vAlign w:val="center"/>
          </w:tcPr>
          <w:p w:rsidR="00243BB1" w:rsidRDefault="009F1CB6" w14:paraId="3AEA72F1" w14:textId="77777777">
            <w:r>
              <w:rPr>
                <w:color w:val="000000"/>
                <w:sz w:val="20"/>
                <w:szCs w:val="20"/>
              </w:rPr>
              <w:t>High – legal compliance non-negotiable</w:t>
            </w:r>
          </w:p>
        </w:tc>
        <w:tc>
          <w:tcPr>
            <w:tcW w:w="1947" w:type="dxa"/>
            <w:tcBorders>
              <w:top w:val="single" w:color="AAAAAA" w:sz="4"/>
              <w:left w:val="single" w:color="AAAAAA" w:sz="4"/>
              <w:bottom w:val="single" w:color="AAAAAA" w:sz="4"/>
              <w:right w:val="single" w:color="AAAAAA" w:sz="4"/>
            </w:tcBorders>
            <w:shd w:val="clear" w:color="auto" w:fill="F2F2F2" w:themeFill="background1" w:themeFillShade="F2"/>
            <w:tcMar>
              <w:top w:w="80" w:type="dxa"/>
              <w:left w:w="120" w:type="dxa"/>
              <w:bottom w:w="80" w:type="dxa"/>
              <w:right w:w="120" w:type="dxa"/>
            </w:tcMar>
            <w:vAlign w:val="center"/>
          </w:tcPr>
          <w:p w:rsidR="295E3045" w:rsidP="295E3045" w:rsidRDefault="295E3045" w14:paraId="3C2E03CF" w14:textId="30D1A9AB">
            <w:pPr>
              <w:pStyle w:val="Normal"/>
              <w:rPr>
                <w:color w:val="000000" w:themeColor="text1" w:themeTint="FF" w:themeShade="FF"/>
                <w:sz w:val="20"/>
                <w:szCs w:val="20"/>
              </w:rPr>
            </w:pPr>
            <w:r w:rsidRPr="4FE059F7" w:rsidR="61314CA0">
              <w:rPr>
                <w:color w:val="000000" w:themeColor="text1" w:themeTint="FF" w:themeShade="FF"/>
                <w:sz w:val="20"/>
                <w:szCs w:val="20"/>
              </w:rPr>
              <w:t>Memos, Email, Letter and Personal meeting</w:t>
            </w:r>
          </w:p>
        </w:tc>
        <w:tc>
          <w:tcPr>
            <w:tcW w:w="1947" w:type="dxa"/>
            <w:tcBorders>
              <w:top w:val="single" w:color="AAAAAA" w:sz="4"/>
              <w:left w:val="single" w:color="AAAAAA" w:sz="4"/>
              <w:bottom w:val="single" w:color="AAAAAA" w:sz="4"/>
              <w:right w:val="single" w:color="AAAAAA" w:sz="4"/>
            </w:tcBorders>
            <w:shd w:val="clear" w:color="auto" w:fill="F2F2F2" w:themeFill="background1" w:themeFillShade="F2"/>
            <w:tcMar>
              <w:top w:w="80" w:type="dxa"/>
              <w:left w:w="120" w:type="dxa"/>
              <w:bottom w:w="80" w:type="dxa"/>
              <w:right w:w="120" w:type="dxa"/>
            </w:tcMar>
            <w:vAlign w:val="center"/>
          </w:tcPr>
          <w:p w:rsidR="295E3045" w:rsidP="295E3045" w:rsidRDefault="295E3045" w14:paraId="005AB9B5" w14:textId="706DDA75">
            <w:pPr>
              <w:pStyle w:val="Normal"/>
              <w:rPr>
                <w:color w:val="000000" w:themeColor="text1" w:themeTint="FF" w:themeShade="FF"/>
                <w:sz w:val="20"/>
                <w:szCs w:val="20"/>
              </w:rPr>
            </w:pPr>
            <w:r w:rsidRPr="4FE059F7" w:rsidR="61314CA0">
              <w:rPr>
                <w:color w:val="000000" w:themeColor="text1" w:themeTint="FF" w:themeShade="FF"/>
                <w:sz w:val="20"/>
                <w:szCs w:val="20"/>
              </w:rPr>
              <w:t>Weekly</w:t>
            </w:r>
          </w:p>
        </w:tc>
      </w:tr>
      <w:tr w:rsidR="00243BB1" w:rsidTr="4FE059F7" w14:paraId="4C4A69D4" w14:textId="77777777">
        <w:tblPrEx>
          <w:tblCellMar>
            <w:top w:w="0" w:type="dxa"/>
            <w:bottom w:w="0" w:type="dxa"/>
          </w:tblCellMar>
        </w:tblPrEx>
        <w:trPr>
          <w:trHeight w:val="300"/>
        </w:trPr>
        <w:tc>
          <w:tcPr>
            <w:tcW w:w="1622" w:type="dxa"/>
            <w:tcBorders>
              <w:top w:val="single" w:color="AAAAAA" w:sz="4" w:space="0"/>
              <w:left w:val="single" w:color="AAAAAA" w:sz="4" w:space="0"/>
              <w:bottom w:val="single" w:color="AAAAAA" w:sz="4" w:space="0"/>
              <w:right w:val="single" w:color="AAAAAA" w:sz="4" w:space="0"/>
            </w:tcBorders>
            <w:shd w:val="clear" w:color="auto" w:fill="FDF6E3"/>
            <w:tcMar>
              <w:top w:w="80" w:type="dxa"/>
              <w:left w:w="120" w:type="dxa"/>
              <w:bottom w:w="80" w:type="dxa"/>
              <w:right w:w="120" w:type="dxa"/>
            </w:tcMar>
            <w:vAlign w:val="center"/>
          </w:tcPr>
          <w:p w:rsidR="00243BB1" w:rsidRDefault="009F1CB6" w14:paraId="24042B13" w14:textId="77777777">
            <w:r>
              <w:rPr>
                <w:color w:val="000000"/>
                <w:sz w:val="20"/>
                <w:szCs w:val="20"/>
              </w:rPr>
              <w:t>Investors &amp; Shareholders</w:t>
            </w:r>
          </w:p>
        </w:tc>
        <w:tc>
          <w:tcPr>
            <w:tcW w:w="2272" w:type="dxa"/>
            <w:tcBorders>
              <w:top w:val="single" w:color="AAAAAA" w:sz="4" w:space="0"/>
              <w:left w:val="single" w:color="AAAAAA" w:sz="4" w:space="0"/>
              <w:bottom w:val="single" w:color="AAAAAA" w:sz="4" w:space="0"/>
              <w:right w:val="single" w:color="AAAAAA" w:sz="4" w:space="0"/>
            </w:tcBorders>
            <w:shd w:val="clear" w:color="auto" w:fill="FFFFFF" w:themeFill="background1"/>
            <w:tcMar>
              <w:top w:w="80" w:type="dxa"/>
              <w:left w:w="120" w:type="dxa"/>
              <w:bottom w:w="80" w:type="dxa"/>
              <w:right w:w="120" w:type="dxa"/>
            </w:tcMar>
            <w:vAlign w:val="center"/>
          </w:tcPr>
          <w:p w:rsidR="00243BB1" w:rsidRDefault="009F1CB6" w14:paraId="4EF54381" w14:textId="77777777">
            <w:r>
              <w:rPr>
                <w:color w:val="000000"/>
                <w:sz w:val="20"/>
                <w:szCs w:val="20"/>
              </w:rPr>
              <w:t>Financial performance, ESG expectations, brand risk monitoring</w:t>
            </w:r>
          </w:p>
        </w:tc>
        <w:tc>
          <w:tcPr>
            <w:tcW w:w="1947" w:type="dxa"/>
            <w:tcBorders>
              <w:top w:val="single" w:color="AAAAAA" w:sz="4" w:space="0"/>
              <w:left w:val="single" w:color="AAAAAA" w:sz="4" w:space="0"/>
              <w:bottom w:val="single" w:color="AAAAAA" w:sz="4" w:space="0"/>
              <w:right w:val="single" w:color="AAAAAA" w:sz="4" w:space="0"/>
            </w:tcBorders>
            <w:shd w:val="clear" w:color="auto" w:fill="F2F2F2" w:themeFill="background1" w:themeFillShade="F2"/>
            <w:tcMar>
              <w:top w:w="80" w:type="dxa"/>
              <w:left w:w="120" w:type="dxa"/>
              <w:bottom w:w="80" w:type="dxa"/>
              <w:right w:w="120" w:type="dxa"/>
            </w:tcMar>
            <w:vAlign w:val="center"/>
          </w:tcPr>
          <w:p w:rsidR="00243BB1" w:rsidRDefault="009F1CB6" w14:paraId="322B9045" w14:textId="77777777">
            <w:r>
              <w:rPr>
                <w:color w:val="000000"/>
                <w:sz w:val="20"/>
                <w:szCs w:val="20"/>
              </w:rPr>
              <w:t>Medium-High – influence strategic priorities</w:t>
            </w:r>
          </w:p>
        </w:tc>
        <w:tc>
          <w:tcPr>
            <w:tcW w:w="1947" w:type="dxa"/>
            <w:tcBorders>
              <w:top w:val="single" w:color="AAAAAA" w:sz="4"/>
              <w:left w:val="single" w:color="AAAAAA" w:sz="4"/>
              <w:bottom w:val="single" w:color="AAAAAA" w:sz="4"/>
              <w:right w:val="single" w:color="AAAAAA" w:sz="4"/>
            </w:tcBorders>
            <w:shd w:val="clear" w:color="auto" w:fill="F2F2F2" w:themeFill="background1" w:themeFillShade="F2"/>
            <w:tcMar>
              <w:top w:w="80" w:type="dxa"/>
              <w:left w:w="120" w:type="dxa"/>
              <w:bottom w:w="80" w:type="dxa"/>
              <w:right w:w="120" w:type="dxa"/>
            </w:tcMar>
            <w:vAlign w:val="center"/>
          </w:tcPr>
          <w:p w:rsidR="295E3045" w:rsidP="295E3045" w:rsidRDefault="295E3045" w14:paraId="1FF68F98" w14:textId="5178067E">
            <w:pPr>
              <w:pStyle w:val="Normal"/>
              <w:rPr>
                <w:color w:val="000000" w:themeColor="text1" w:themeTint="FF" w:themeShade="FF"/>
                <w:sz w:val="20"/>
                <w:szCs w:val="20"/>
              </w:rPr>
            </w:pPr>
            <w:r w:rsidRPr="4FE059F7" w:rsidR="3ABD900B">
              <w:rPr>
                <w:color w:val="000000" w:themeColor="text1" w:themeTint="FF" w:themeShade="FF"/>
                <w:sz w:val="20"/>
                <w:szCs w:val="20"/>
              </w:rPr>
              <w:t>Memos, Email, Letter and Personal meeting</w:t>
            </w:r>
          </w:p>
        </w:tc>
        <w:tc>
          <w:tcPr>
            <w:tcW w:w="1947" w:type="dxa"/>
            <w:tcBorders>
              <w:top w:val="single" w:color="AAAAAA" w:sz="4"/>
              <w:left w:val="single" w:color="AAAAAA" w:sz="4"/>
              <w:bottom w:val="single" w:color="AAAAAA" w:sz="4"/>
              <w:right w:val="single" w:color="AAAAAA" w:sz="4"/>
            </w:tcBorders>
            <w:shd w:val="clear" w:color="auto" w:fill="F2F2F2" w:themeFill="background1" w:themeFillShade="F2"/>
            <w:tcMar>
              <w:top w:w="80" w:type="dxa"/>
              <w:left w:w="120" w:type="dxa"/>
              <w:bottom w:w="80" w:type="dxa"/>
              <w:right w:w="120" w:type="dxa"/>
            </w:tcMar>
            <w:vAlign w:val="center"/>
          </w:tcPr>
          <w:p w:rsidR="295E3045" w:rsidP="295E3045" w:rsidRDefault="295E3045" w14:paraId="705D2467" w14:textId="2DDC7825">
            <w:pPr>
              <w:pStyle w:val="Normal"/>
              <w:rPr>
                <w:color w:val="000000" w:themeColor="text1" w:themeTint="FF" w:themeShade="FF"/>
                <w:sz w:val="20"/>
                <w:szCs w:val="20"/>
              </w:rPr>
            </w:pPr>
            <w:r w:rsidRPr="4FE059F7" w:rsidR="3ABD900B">
              <w:rPr>
                <w:color w:val="000000" w:themeColor="text1" w:themeTint="FF" w:themeShade="FF"/>
                <w:sz w:val="20"/>
                <w:szCs w:val="20"/>
              </w:rPr>
              <w:t>Monthly</w:t>
            </w:r>
          </w:p>
        </w:tc>
      </w:tr>
      <w:tr w:rsidR="00243BB1" w:rsidTr="4FE059F7" w14:paraId="3A81C674" w14:textId="77777777">
        <w:tblPrEx>
          <w:tblCellMar>
            <w:top w:w="0" w:type="dxa"/>
            <w:bottom w:w="0" w:type="dxa"/>
          </w:tblCellMar>
        </w:tblPrEx>
        <w:trPr>
          <w:trHeight w:val="300"/>
        </w:trPr>
        <w:tc>
          <w:tcPr>
            <w:tcW w:w="1622" w:type="dxa"/>
            <w:tcBorders>
              <w:top w:val="single" w:color="AAAAAA" w:sz="4" w:space="0"/>
              <w:left w:val="single" w:color="AAAAAA" w:sz="4" w:space="0"/>
              <w:bottom w:val="single" w:color="AAAAAA" w:sz="4" w:space="0"/>
              <w:right w:val="single" w:color="AAAAAA" w:sz="4" w:space="0"/>
            </w:tcBorders>
            <w:shd w:val="clear" w:color="auto" w:fill="FDF6E3"/>
            <w:tcMar>
              <w:top w:w="80" w:type="dxa"/>
              <w:left w:w="120" w:type="dxa"/>
              <w:bottom w:w="80" w:type="dxa"/>
              <w:right w:w="120" w:type="dxa"/>
            </w:tcMar>
            <w:vAlign w:val="center"/>
          </w:tcPr>
          <w:p w:rsidR="00243BB1" w:rsidRDefault="009F1CB6" w14:paraId="5DCABDC9" w14:textId="77777777">
            <w:r>
              <w:rPr>
                <w:color w:val="000000"/>
                <w:sz w:val="20"/>
                <w:szCs w:val="20"/>
              </w:rPr>
              <w:t>Travel Agents &amp; OTAs</w:t>
            </w:r>
          </w:p>
        </w:tc>
        <w:tc>
          <w:tcPr>
            <w:tcW w:w="2272" w:type="dxa"/>
            <w:tcBorders>
              <w:top w:val="single" w:color="AAAAAA" w:sz="4" w:space="0"/>
              <w:left w:val="single" w:color="AAAAAA" w:sz="4" w:space="0"/>
              <w:bottom w:val="single" w:color="AAAAAA" w:sz="4" w:space="0"/>
              <w:right w:val="single" w:color="AAAAAA" w:sz="4" w:space="0"/>
            </w:tcBorders>
            <w:shd w:val="clear" w:color="auto" w:fill="FFFFFF" w:themeFill="background1"/>
            <w:tcMar>
              <w:top w:w="80" w:type="dxa"/>
              <w:left w:w="120" w:type="dxa"/>
              <w:bottom w:w="80" w:type="dxa"/>
              <w:right w:w="120" w:type="dxa"/>
            </w:tcMar>
            <w:vAlign w:val="center"/>
          </w:tcPr>
          <w:p w:rsidR="00243BB1" w:rsidRDefault="009F1CB6" w14:paraId="45DFA4B5" w14:textId="77777777">
            <w:r>
              <w:rPr>
                <w:color w:val="000000"/>
                <w:sz w:val="20"/>
                <w:szCs w:val="20"/>
              </w:rPr>
              <w:t xml:space="preserve">Distribution channel partners; communicate </w:t>
            </w:r>
            <w:proofErr w:type="spellStart"/>
            <w:r>
              <w:rPr>
                <w:color w:val="000000"/>
                <w:sz w:val="20"/>
                <w:szCs w:val="20"/>
              </w:rPr>
              <w:t>StaySmart</w:t>
            </w:r>
            <w:proofErr w:type="spellEnd"/>
            <w:r>
              <w:rPr>
                <w:color w:val="000000"/>
                <w:sz w:val="20"/>
                <w:szCs w:val="20"/>
              </w:rPr>
              <w:t>+ to guests</w:t>
            </w:r>
          </w:p>
        </w:tc>
        <w:tc>
          <w:tcPr>
            <w:tcW w:w="1947" w:type="dxa"/>
            <w:tcBorders>
              <w:top w:val="single" w:color="AAAAAA" w:sz="4" w:space="0"/>
              <w:left w:val="single" w:color="AAAAAA" w:sz="4" w:space="0"/>
              <w:bottom w:val="single" w:color="AAAAAA" w:sz="4" w:space="0"/>
              <w:right w:val="single" w:color="AAAAAA" w:sz="4" w:space="0"/>
            </w:tcBorders>
            <w:shd w:val="clear" w:color="auto" w:fill="F2F2F2" w:themeFill="background1" w:themeFillShade="F2"/>
            <w:tcMar>
              <w:top w:w="80" w:type="dxa"/>
              <w:left w:w="120" w:type="dxa"/>
              <w:bottom w:w="80" w:type="dxa"/>
              <w:right w:w="120" w:type="dxa"/>
            </w:tcMar>
            <w:vAlign w:val="center"/>
          </w:tcPr>
          <w:p w:rsidR="00243BB1" w:rsidRDefault="009F1CB6" w14:paraId="2FBE81AE" w14:textId="77777777">
            <w:r>
              <w:rPr>
                <w:color w:val="000000"/>
                <w:sz w:val="20"/>
                <w:szCs w:val="20"/>
              </w:rPr>
              <w:t>Medium – affect booking volumes</w:t>
            </w:r>
          </w:p>
        </w:tc>
        <w:tc>
          <w:tcPr>
            <w:tcW w:w="1947" w:type="dxa"/>
            <w:tcBorders>
              <w:top w:val="single" w:color="AAAAAA" w:sz="4"/>
              <w:left w:val="single" w:color="AAAAAA" w:sz="4"/>
              <w:bottom w:val="single" w:color="AAAAAA" w:sz="4"/>
              <w:right w:val="single" w:color="AAAAAA" w:sz="4"/>
            </w:tcBorders>
            <w:shd w:val="clear" w:color="auto" w:fill="F2F2F2" w:themeFill="background1" w:themeFillShade="F2"/>
            <w:tcMar>
              <w:top w:w="80" w:type="dxa"/>
              <w:left w:w="120" w:type="dxa"/>
              <w:bottom w:w="80" w:type="dxa"/>
              <w:right w:w="120" w:type="dxa"/>
            </w:tcMar>
            <w:vAlign w:val="center"/>
          </w:tcPr>
          <w:p w:rsidR="295E3045" w:rsidP="295E3045" w:rsidRDefault="295E3045" w14:paraId="1893CD9F" w14:textId="4F643BD1">
            <w:pPr>
              <w:pStyle w:val="Normal"/>
              <w:rPr>
                <w:color w:val="000000" w:themeColor="text1" w:themeTint="FF" w:themeShade="FF"/>
                <w:sz w:val="20"/>
                <w:szCs w:val="20"/>
              </w:rPr>
            </w:pPr>
            <w:r w:rsidRPr="4FE059F7" w:rsidR="487A0113">
              <w:rPr>
                <w:color w:val="000000" w:themeColor="text1" w:themeTint="FF" w:themeShade="FF"/>
                <w:sz w:val="20"/>
                <w:szCs w:val="20"/>
              </w:rPr>
              <w:t>Social events, Emails, Personal meetings, internal magazines or newsletter and Project briefing</w:t>
            </w:r>
          </w:p>
        </w:tc>
        <w:tc>
          <w:tcPr>
            <w:tcW w:w="1947" w:type="dxa"/>
            <w:tcBorders>
              <w:top w:val="single" w:color="AAAAAA" w:sz="4"/>
              <w:left w:val="single" w:color="AAAAAA" w:sz="4"/>
              <w:bottom w:val="single" w:color="AAAAAA" w:sz="4"/>
              <w:right w:val="single" w:color="AAAAAA" w:sz="4"/>
            </w:tcBorders>
            <w:shd w:val="clear" w:color="auto" w:fill="F2F2F2" w:themeFill="background1" w:themeFillShade="F2"/>
            <w:tcMar>
              <w:top w:w="80" w:type="dxa"/>
              <w:left w:w="120" w:type="dxa"/>
              <w:bottom w:w="80" w:type="dxa"/>
              <w:right w:w="120" w:type="dxa"/>
            </w:tcMar>
            <w:vAlign w:val="center"/>
          </w:tcPr>
          <w:p w:rsidR="295E3045" w:rsidP="295E3045" w:rsidRDefault="295E3045" w14:paraId="6DC22507" w14:textId="454B4433">
            <w:pPr>
              <w:pStyle w:val="Normal"/>
              <w:rPr>
                <w:color w:val="000000" w:themeColor="text1" w:themeTint="FF" w:themeShade="FF"/>
                <w:sz w:val="20"/>
                <w:szCs w:val="20"/>
              </w:rPr>
            </w:pPr>
            <w:r w:rsidRPr="4FE059F7" w:rsidR="487A0113">
              <w:rPr>
                <w:color w:val="000000" w:themeColor="text1" w:themeTint="FF" w:themeShade="FF"/>
                <w:sz w:val="20"/>
                <w:szCs w:val="20"/>
              </w:rPr>
              <w:t>Monthly</w:t>
            </w:r>
          </w:p>
        </w:tc>
      </w:tr>
      <w:tr w:rsidR="00243BB1" w:rsidTr="4FE059F7" w14:paraId="5E8D1C99" w14:textId="77777777">
        <w:tblPrEx>
          <w:tblCellMar>
            <w:top w:w="0" w:type="dxa"/>
            <w:bottom w:w="0" w:type="dxa"/>
          </w:tblCellMar>
        </w:tblPrEx>
        <w:trPr>
          <w:trHeight w:val="300"/>
        </w:trPr>
        <w:tc>
          <w:tcPr>
            <w:tcW w:w="1622" w:type="dxa"/>
            <w:tcBorders>
              <w:top w:val="single" w:color="AAAAAA" w:sz="4" w:space="0"/>
              <w:left w:val="single" w:color="AAAAAA" w:sz="4" w:space="0"/>
              <w:bottom w:val="single" w:color="AAAAAA" w:sz="4" w:space="0"/>
              <w:right w:val="single" w:color="AAAAAA" w:sz="4" w:space="0"/>
            </w:tcBorders>
            <w:shd w:val="clear" w:color="auto" w:fill="FDF6E3"/>
            <w:tcMar>
              <w:top w:w="80" w:type="dxa"/>
              <w:left w:w="120" w:type="dxa"/>
              <w:bottom w:w="80" w:type="dxa"/>
              <w:right w:w="120" w:type="dxa"/>
            </w:tcMar>
            <w:vAlign w:val="center"/>
          </w:tcPr>
          <w:p w:rsidR="00243BB1" w:rsidRDefault="009F1CB6" w14:paraId="1FA72C9B" w14:textId="77777777">
            <w:r>
              <w:rPr>
                <w:color w:val="000000"/>
                <w:sz w:val="20"/>
                <w:szCs w:val="20"/>
              </w:rPr>
              <w:t>Local Communities</w:t>
            </w:r>
          </w:p>
        </w:tc>
        <w:tc>
          <w:tcPr>
            <w:tcW w:w="2272" w:type="dxa"/>
            <w:tcBorders>
              <w:top w:val="single" w:color="AAAAAA" w:sz="4" w:space="0"/>
              <w:left w:val="single" w:color="AAAAAA" w:sz="4" w:space="0"/>
              <w:bottom w:val="single" w:color="AAAAAA" w:sz="4" w:space="0"/>
              <w:right w:val="single" w:color="AAAAAA" w:sz="4" w:space="0"/>
            </w:tcBorders>
            <w:shd w:val="clear" w:color="auto" w:fill="FFFFFF" w:themeFill="background1"/>
            <w:tcMar>
              <w:top w:w="80" w:type="dxa"/>
              <w:left w:w="120" w:type="dxa"/>
              <w:bottom w:w="80" w:type="dxa"/>
              <w:right w:w="120" w:type="dxa"/>
            </w:tcMar>
            <w:vAlign w:val="center"/>
          </w:tcPr>
          <w:p w:rsidR="00243BB1" w:rsidRDefault="009F1CB6" w14:paraId="6B66EF54" w14:textId="77777777">
            <w:r>
              <w:rPr>
                <w:color w:val="000000"/>
                <w:sz w:val="20"/>
                <w:szCs w:val="20"/>
              </w:rPr>
              <w:t>Affected by Hilton's environmental and social footprint</w:t>
            </w:r>
          </w:p>
        </w:tc>
        <w:tc>
          <w:tcPr>
            <w:tcW w:w="1947" w:type="dxa"/>
            <w:tcBorders>
              <w:top w:val="single" w:color="AAAAAA" w:sz="4" w:space="0"/>
              <w:left w:val="single" w:color="AAAAAA" w:sz="4" w:space="0"/>
              <w:bottom w:val="single" w:color="AAAAAA" w:sz="4" w:space="0"/>
              <w:right w:val="single" w:color="AAAAAA" w:sz="4" w:space="0"/>
            </w:tcBorders>
            <w:shd w:val="clear" w:color="auto" w:fill="F2F2F2" w:themeFill="background1" w:themeFillShade="F2"/>
            <w:tcMar>
              <w:top w:w="80" w:type="dxa"/>
              <w:left w:w="120" w:type="dxa"/>
              <w:bottom w:w="80" w:type="dxa"/>
              <w:right w:w="120" w:type="dxa"/>
            </w:tcMar>
            <w:vAlign w:val="center"/>
          </w:tcPr>
          <w:p w:rsidR="00243BB1" w:rsidRDefault="009F1CB6" w14:paraId="66F84C1F" w14:textId="77777777">
            <w:r>
              <w:rPr>
                <w:color w:val="000000"/>
                <w:sz w:val="20"/>
                <w:szCs w:val="20"/>
              </w:rPr>
              <w:t>Low-Medium – reputational considerations</w:t>
            </w:r>
          </w:p>
        </w:tc>
        <w:tc>
          <w:tcPr>
            <w:tcW w:w="1947" w:type="dxa"/>
            <w:tcBorders>
              <w:top w:val="single" w:color="AAAAAA" w:sz="4"/>
              <w:left w:val="single" w:color="AAAAAA" w:sz="4"/>
              <w:bottom w:val="single" w:color="AAAAAA" w:sz="4"/>
              <w:right w:val="single" w:color="AAAAAA" w:sz="4"/>
            </w:tcBorders>
            <w:shd w:val="clear" w:color="auto" w:fill="F2F2F2" w:themeFill="background1" w:themeFillShade="F2"/>
            <w:tcMar>
              <w:top w:w="80" w:type="dxa"/>
              <w:left w:w="120" w:type="dxa"/>
              <w:bottom w:w="80" w:type="dxa"/>
              <w:right w:w="120" w:type="dxa"/>
            </w:tcMar>
            <w:vAlign w:val="center"/>
          </w:tcPr>
          <w:p w:rsidR="295E3045" w:rsidP="295E3045" w:rsidRDefault="295E3045" w14:paraId="60AA14C5" w14:textId="07336178">
            <w:pPr>
              <w:pStyle w:val="Normal"/>
              <w:rPr>
                <w:color w:val="000000" w:themeColor="text1" w:themeTint="FF" w:themeShade="FF"/>
                <w:sz w:val="20"/>
                <w:szCs w:val="20"/>
              </w:rPr>
            </w:pPr>
            <w:r w:rsidRPr="4FE059F7" w:rsidR="43DD2F21">
              <w:rPr>
                <w:color w:val="000000" w:themeColor="text1" w:themeTint="FF" w:themeShade="FF"/>
                <w:sz w:val="20"/>
                <w:szCs w:val="20"/>
              </w:rPr>
              <w:t>Social events, Emails, Personal meetings, internal magazines or newsletter and Project briefing</w:t>
            </w:r>
          </w:p>
        </w:tc>
        <w:tc>
          <w:tcPr>
            <w:tcW w:w="1947" w:type="dxa"/>
            <w:tcBorders>
              <w:top w:val="single" w:color="AAAAAA" w:sz="4"/>
              <w:left w:val="single" w:color="AAAAAA" w:sz="4"/>
              <w:bottom w:val="single" w:color="AAAAAA" w:sz="4"/>
              <w:right w:val="single" w:color="AAAAAA" w:sz="4"/>
            </w:tcBorders>
            <w:shd w:val="clear" w:color="auto" w:fill="F2F2F2" w:themeFill="background1" w:themeFillShade="F2"/>
            <w:tcMar>
              <w:top w:w="80" w:type="dxa"/>
              <w:left w:w="120" w:type="dxa"/>
              <w:bottom w:w="80" w:type="dxa"/>
              <w:right w:w="120" w:type="dxa"/>
            </w:tcMar>
            <w:vAlign w:val="center"/>
          </w:tcPr>
          <w:p w:rsidR="295E3045" w:rsidP="4FE059F7" w:rsidRDefault="295E3045" w14:paraId="1DBA9D94" w14:textId="1BF31BDD">
            <w:pPr>
              <w:pStyle w:val="Normal"/>
              <w:ind w:left="0"/>
              <w:rPr>
                <w:color w:val="000000" w:themeColor="text1" w:themeTint="FF" w:themeShade="FF"/>
                <w:sz w:val="20"/>
                <w:szCs w:val="20"/>
              </w:rPr>
            </w:pPr>
            <w:r w:rsidRPr="4FE059F7" w:rsidR="62D67344">
              <w:rPr>
                <w:color w:val="000000" w:themeColor="text1" w:themeTint="FF" w:themeShade="FF"/>
                <w:sz w:val="20"/>
                <w:szCs w:val="20"/>
              </w:rPr>
              <w:t>Monthly</w:t>
            </w:r>
          </w:p>
        </w:tc>
      </w:tr>
    </w:tbl>
    <w:p w:rsidR="00243BB1" w:rsidRDefault="00243BB1" w14:paraId="668F0387" w14:textId="77777777">
      <w:pPr>
        <w:spacing w:after="120"/>
      </w:pPr>
    </w:p>
    <w:p w:rsidR="00243BB1" w:rsidRDefault="009F1CB6" w14:paraId="17874C1B" w14:textId="77777777">
      <w:pPr>
        <w:pStyle w:val="Heading1"/>
        <w:shd w:val="clear" w:color="auto" w:fill="003580"/>
        <w:ind w:left="180"/>
      </w:pPr>
      <w:r>
        <w:t>4.  Roles, Responsibilities, Benefits, and Challenges of Key Stakeholders</w:t>
      </w:r>
    </w:p>
    <w:p w:rsidR="00243BB1" w:rsidRDefault="009F1CB6" w14:paraId="3C7F572A" w14:textId="77777777">
      <w:pPr>
        <w:spacing w:after="120"/>
        <w:jc w:val="both"/>
      </w:pPr>
      <w:r>
        <w:rPr>
          <w:color w:val="000000"/>
        </w:rPr>
        <w:t xml:space="preserve">Understanding the distinct roles, contributions, and potential challenges of each stakeholder group is essential to developing targeted engagement strategies. As Mitchell, </w:t>
      </w:r>
      <w:proofErr w:type="spellStart"/>
      <w:r>
        <w:rPr>
          <w:color w:val="000000"/>
        </w:rPr>
        <w:t>Agle</w:t>
      </w:r>
      <w:proofErr w:type="spellEnd"/>
      <w:r>
        <w:rPr>
          <w:color w:val="000000"/>
        </w:rPr>
        <w:t xml:space="preserve"> and Wood (1997) assert, stakeholders can be differentiated by their degree of power, legitimacy, and urgency – a framework that informs prioritisation decisions throughout the </w:t>
      </w:r>
      <w:proofErr w:type="spellStart"/>
      <w:r>
        <w:rPr>
          <w:color w:val="000000"/>
        </w:rPr>
        <w:t>StaySmart</w:t>
      </w:r>
      <w:proofErr w:type="spellEnd"/>
      <w:r>
        <w:rPr>
          <w:color w:val="000000"/>
        </w:rPr>
        <w:t>+ project lifecycle.</w:t>
      </w:r>
    </w:p>
    <w:p w:rsidR="00243BB1" w:rsidP="295E3045" w:rsidRDefault="009F1CB6" w14:paraId="7C3FB84D" w14:textId="090FF00D">
      <w:pPr>
        <w:pStyle w:val="Heading2"/>
        <w:pBdr>
          <w:bottom w:val="single" w:color="D4A94B" w:sz="4" w:space="1"/>
        </w:pBdr>
      </w:pPr>
      <w:r w:rsidR="4C4921C8">
        <w:rPr/>
        <w:t>4.1 Senior</w:t>
      </w:r>
      <w:r w:rsidR="009F1CB6">
        <w:rPr/>
        <w:t xml:space="preserve"> Leadership and Project Management Team</w:t>
      </w:r>
    </w:p>
    <w:p w:rsidR="00243BB1" w:rsidRDefault="009F1CB6" w14:paraId="338E5E34" w14:textId="77777777">
      <w:pPr>
        <w:spacing w:after="120"/>
        <w:jc w:val="both"/>
      </w:pPr>
      <w:r>
        <w:rPr>
          <w:color w:val="000000"/>
        </w:rPr>
        <w:t>Roles &amp; Responsibilities: The Senior Leadership team provides strategic mandate, resource authorisation, and risk governance. The Project Management Team (PMT) translates strategic objectives into actionable delivery plans, coordinates cross-functional work streams, and maintains stakeholder accountability.</w:t>
      </w:r>
    </w:p>
    <w:p w:rsidR="00243BB1" w:rsidRDefault="009F1CB6" w14:paraId="77C0D0DF" w14:textId="77777777">
      <w:pPr>
        <w:spacing w:after="120"/>
        <w:jc w:val="both"/>
      </w:pPr>
      <w:r>
        <w:rPr>
          <w:color w:val="000000"/>
        </w:rPr>
        <w:t>Benefits: Clear executive sponsorship accelerates decision-making and signals organisational commitment to the project, reducing resistance from other internal teams (Bourne, 2016). Strong PMT coordination minimises scope creep and ensures milestone adherence.</w:t>
      </w:r>
    </w:p>
    <w:p w:rsidR="00243BB1" w:rsidRDefault="009F1CB6" w14:paraId="3B19EF00" w14:textId="77777777">
      <w:pPr>
        <w:spacing w:after="120"/>
        <w:jc w:val="both"/>
      </w:pPr>
      <w:r>
        <w:rPr>
          <w:color w:val="000000"/>
        </w:rPr>
        <w:t>Challenges: Senior leadership may face competing strategic priorities. Misalignment between executive vision and operational realities – particularly in complex multi-market rollouts – can create governance tensions. The PMT must navigate these pressures whilst maintaining team morale and external stakeholder confidence.</w:t>
      </w:r>
    </w:p>
    <w:p w:rsidR="00243BB1" w:rsidP="295E3045" w:rsidRDefault="009F1CB6" w14:paraId="6CF2B3BB" w14:textId="70E9A57F">
      <w:pPr>
        <w:pStyle w:val="Heading2"/>
        <w:pBdr>
          <w:bottom w:val="single" w:color="D4A94B" w:sz="4" w:space="1"/>
        </w:pBdr>
      </w:pPr>
      <w:r w:rsidR="3B626477">
        <w:rPr/>
        <w:t>4.2 IT</w:t>
      </w:r>
      <w:r w:rsidR="009F1CB6">
        <w:rPr/>
        <w:t xml:space="preserve"> and Technology Team</w:t>
      </w:r>
    </w:p>
    <w:p w:rsidR="00243BB1" w:rsidRDefault="009F1CB6" w14:paraId="35E5F9E1" w14:textId="77777777">
      <w:pPr>
        <w:spacing w:after="120"/>
        <w:jc w:val="both"/>
      </w:pPr>
      <w:r>
        <w:rPr>
          <w:color w:val="000000"/>
        </w:rPr>
        <w:t xml:space="preserve">Roles &amp; Responsibilities: The IT team is responsible for the technical architecture of </w:t>
      </w:r>
      <w:proofErr w:type="spellStart"/>
      <w:r>
        <w:rPr>
          <w:color w:val="000000"/>
        </w:rPr>
        <w:t>StaySmart</w:t>
      </w:r>
      <w:proofErr w:type="spellEnd"/>
      <w:r>
        <w:rPr>
          <w:color w:val="000000"/>
        </w:rPr>
        <w:t>+, including AI model integration, data pipeline design, cyber-security frameworks, and interface development across property management systems.</w:t>
      </w:r>
    </w:p>
    <w:p w:rsidR="00243BB1" w:rsidRDefault="009F1CB6" w14:paraId="52B00A9F" w14:textId="77777777">
      <w:pPr>
        <w:spacing w:after="120"/>
        <w:jc w:val="both"/>
      </w:pPr>
      <w:r>
        <w:rPr>
          <w:color w:val="000000"/>
        </w:rPr>
        <w:t>Benefits: A technically proficient IT team enables a robust, scalable platform that can be adapted across Hilton's diverse property estate. Proactive cyber-security measures build guest and regulatory trust.</w:t>
      </w:r>
    </w:p>
    <w:p w:rsidR="00243BB1" w:rsidRDefault="009F1CB6" w14:paraId="46946674" w14:textId="77777777">
      <w:pPr>
        <w:spacing w:after="120"/>
        <w:jc w:val="both"/>
      </w:pPr>
      <w:r>
        <w:rPr>
          <w:color w:val="000000"/>
        </w:rPr>
        <w:t>Challenges: Legacy IT infrastructure at older properties presents significant compatibility challenges. Data sovereignty requirements across international jurisdictions add technical complexity, potentially extending development timelines and increasing costs (Cleland and Ireland, 2006).</w:t>
      </w:r>
    </w:p>
    <w:p w:rsidR="00243BB1" w:rsidP="295E3045" w:rsidRDefault="009F1CB6" w14:paraId="462B512C" w14:textId="585123B4">
      <w:pPr>
        <w:pStyle w:val="Heading2"/>
        <w:pBdr>
          <w:bottom w:val="single" w:color="D4A94B" w:sz="4" w:space="1"/>
        </w:pBdr>
      </w:pPr>
      <w:r w:rsidR="3BC9973C">
        <w:rPr/>
        <w:t>4.3 Hotel</w:t>
      </w:r>
      <w:r w:rsidR="009F1CB6">
        <w:rPr/>
        <w:t xml:space="preserve"> Operations Teams (General Managers and Frontline Staff)</w:t>
      </w:r>
    </w:p>
    <w:p w:rsidR="00243BB1" w:rsidRDefault="009F1CB6" w14:paraId="06D5E772" w14:textId="77777777">
      <w:pPr>
        <w:spacing w:after="120"/>
        <w:jc w:val="both"/>
      </w:pPr>
      <w:r>
        <w:rPr>
          <w:color w:val="000000"/>
        </w:rPr>
        <w:t xml:space="preserve">Roles &amp; Responsibilities: General Managers oversee property-level implementation, staff training compliance, and operational adaptation. Frontline staff are the primary point of guest interaction with </w:t>
      </w:r>
      <w:proofErr w:type="spellStart"/>
      <w:r>
        <w:rPr>
          <w:color w:val="000000"/>
        </w:rPr>
        <w:t>StaySmart</w:t>
      </w:r>
      <w:proofErr w:type="spellEnd"/>
      <w:r>
        <w:rPr>
          <w:color w:val="000000"/>
        </w:rPr>
        <w:t>+ and are responsible for supporting guests in adopting the new technology.</w:t>
      </w:r>
    </w:p>
    <w:p w:rsidR="00243BB1" w:rsidRDefault="009F1CB6" w14:paraId="571CA773" w14:textId="77777777">
      <w:pPr>
        <w:spacing w:after="120"/>
        <w:jc w:val="both"/>
      </w:pPr>
      <w:r>
        <w:rPr>
          <w:color w:val="000000"/>
        </w:rPr>
        <w:t xml:space="preserve">Benefits: Operationally engaged staff become brand ambassadors for </w:t>
      </w:r>
      <w:proofErr w:type="spellStart"/>
      <w:r>
        <w:rPr>
          <w:color w:val="000000"/>
        </w:rPr>
        <w:t>StaySmart</w:t>
      </w:r>
      <w:proofErr w:type="spellEnd"/>
      <w:r>
        <w:rPr>
          <w:color w:val="000000"/>
        </w:rPr>
        <w:t>+, directly influencing guest satisfaction scores and Net Promoter Score (NPS) outcomes. Their frontline insights provide invaluable feedback for iterative improvement.</w:t>
      </w:r>
    </w:p>
    <w:p w:rsidR="00243BB1" w:rsidRDefault="009F1CB6" w14:paraId="0150D8F9" w14:textId="77777777">
      <w:pPr>
        <w:spacing w:after="120"/>
        <w:jc w:val="both"/>
      </w:pPr>
      <w:r>
        <w:rPr>
          <w:color w:val="000000"/>
        </w:rPr>
        <w:t>Challenges: Resistance to change is a significant risk at the operational level, particularly where staff perceive AI tools as threats to job security. Cultural differences across international properties may affect training effectiveness and adoption rates (Kotter, 1996).</w:t>
      </w:r>
    </w:p>
    <w:p w:rsidR="00243BB1" w:rsidP="295E3045" w:rsidRDefault="009F1CB6" w14:paraId="15A0750B" w14:textId="696B5893">
      <w:pPr>
        <w:pStyle w:val="Heading2"/>
        <w:pBdr>
          <w:bottom w:val="single" w:color="D4A94B" w:sz="4" w:space="1"/>
        </w:pBdr>
      </w:pPr>
      <w:r w:rsidR="4926AA0F">
        <w:rPr/>
        <w:t>4.4 External</w:t>
      </w:r>
      <w:r w:rsidR="009F1CB6">
        <w:rPr/>
        <w:t xml:space="preserve"> Stakeholders: Guests and Technology Partners</w:t>
      </w:r>
    </w:p>
    <w:p w:rsidR="00243BB1" w:rsidRDefault="009F1CB6" w14:paraId="47B6DD65" w14:textId="77777777">
      <w:pPr>
        <w:spacing w:after="120"/>
        <w:jc w:val="both"/>
      </w:pPr>
      <w:r>
        <w:rPr>
          <w:color w:val="000000"/>
        </w:rPr>
        <w:t xml:space="preserve">Guests are the ultimate beneficiaries and arbiters of </w:t>
      </w:r>
      <w:proofErr w:type="spellStart"/>
      <w:r>
        <w:rPr>
          <w:color w:val="000000"/>
        </w:rPr>
        <w:t>StaySmart</w:t>
      </w:r>
      <w:proofErr w:type="spellEnd"/>
      <w:r>
        <w:rPr>
          <w:color w:val="000000"/>
        </w:rPr>
        <w:t>+'s success. Their feedback through post-stay surveys, social media, and direct interaction shapes the iterative development of the service. Technology partners (AI vendors) bear contractual responsibility for platform reliability, uptime commitments, and data processing integrity. Delays or failures in vendor delivery could critically jeopardise the project timeline. Franchise owners represent a particularly complex stakeholder group: their financial commitment to property-level upgrades is discre</w:t>
      </w:r>
      <w:r>
        <w:rPr>
          <w:color w:val="000000"/>
        </w:rPr>
        <w:t>tionary, yet their adoption is indispensable to a globally coherent rollout.</w:t>
      </w:r>
    </w:p>
    <w:p w:rsidR="00243BB1" w:rsidRDefault="00243BB1" w14:paraId="4D584C16" w14:textId="77777777">
      <w:pPr>
        <w:spacing w:after="120"/>
      </w:pPr>
    </w:p>
    <w:p w:rsidR="00243BB1" w:rsidRDefault="009F1CB6" w14:paraId="4F6BC8CD" w14:textId="77777777">
      <w:pPr>
        <w:pStyle w:val="Heading1"/>
        <w:shd w:val="clear" w:color="auto" w:fill="003580"/>
        <w:ind w:left="180"/>
      </w:pPr>
      <w:r>
        <w:t>5.  Frameworks, Models, and Theories for Stakeholder Engagement</w:t>
      </w:r>
    </w:p>
    <w:p w:rsidR="00243BB1" w:rsidP="295E3045" w:rsidRDefault="009F1CB6" w14:paraId="75032E05" w14:textId="5F798AA4">
      <w:pPr>
        <w:pStyle w:val="Heading2"/>
        <w:pBdr>
          <w:bottom w:val="single" w:color="D4A94B" w:sz="4" w:space="1"/>
        </w:pBdr>
      </w:pPr>
      <w:r w:rsidR="0A38E8D2">
        <w:rPr/>
        <w:t>5.1 Mendelow's</w:t>
      </w:r>
      <w:r w:rsidR="009F1CB6">
        <w:rPr/>
        <w:t xml:space="preserve"> Power-Interest Matrix</w:t>
      </w:r>
    </w:p>
    <w:p w:rsidR="00243BB1" w:rsidRDefault="009F1CB6" w14:paraId="160975F2" w14:textId="77777777">
      <w:pPr>
        <w:spacing w:after="120"/>
        <w:jc w:val="both"/>
      </w:pPr>
      <w:proofErr w:type="spellStart"/>
      <w:r w:rsidRPr="4FE059F7" w:rsidR="7D7A9190">
        <w:rPr>
          <w:color w:val="000000" w:themeColor="text1" w:themeTint="FF" w:themeShade="FF"/>
        </w:rPr>
        <w:t>Mendelow's</w:t>
      </w:r>
      <w:proofErr w:type="spellEnd"/>
      <w:r w:rsidRPr="4FE059F7" w:rsidR="7D7A9190">
        <w:rPr>
          <w:color w:val="000000" w:themeColor="text1" w:themeTint="FF" w:themeShade="FF"/>
        </w:rPr>
        <w:t xml:space="preserve"> (1991) Power-Interest Matrix remains one of the most widely applied tools for stakeholder prioritisation. By mapping stakeholders across axes of power (ability to influence project outcomes) and interest (degree of concern in the project's success), the PMT can tailor engagement intensity and communication frequency appropriately.</w:t>
      </w:r>
    </w:p>
    <w:p w:rsidR="50E11F8F" w:rsidP="4FE059F7" w:rsidRDefault="50E11F8F" w14:paraId="082FC176" w14:textId="034CA6DC">
      <w:pPr>
        <w:pStyle w:val="Normal"/>
        <w:spacing w:after="80"/>
      </w:pPr>
      <w:r w:rsidR="50E11F8F">
        <w:drawing>
          <wp:inline wp14:editId="7F54EC4C" wp14:anchorId="2C51A6C9">
            <wp:extent cx="5391451" cy="2726969"/>
            <wp:effectExtent l="0" t="0" r="0" b="0"/>
            <wp:docPr id="2887672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8876728" name="Picture 28876728"/>
                    <pic:cNvPicPr/>
                  </pic:nvPicPr>
                  <pic:blipFill>
                    <a:blip xmlns:r="http://schemas.openxmlformats.org/officeDocument/2006/relationships" r:embed="rId3284030">
                      <a:extLst>
                        <a:ext uri="{28A0092B-C50C-407E-A947-70E740481C1C}">
                          <a14:useLocalDpi xmlns:a14="http://schemas.microsoft.com/office/drawing/2010/main"/>
                        </a:ext>
                      </a:extLst>
                    </a:blip>
                    <a:stretch>
                      <a:fillRect/>
                    </a:stretch>
                  </pic:blipFill>
                  <pic:spPr>
                    <a:xfrm rot="0">
                      <a:off x="0" y="0"/>
                      <a:ext cx="5391451" cy="2726969"/>
                    </a:xfrm>
                    <a:prstGeom prst="rect">
                      <a:avLst/>
                    </a:prstGeom>
                  </pic:spPr>
                </pic:pic>
              </a:graphicData>
            </a:graphic>
          </wp:inline>
        </w:drawing>
      </w:r>
    </w:p>
    <w:p w:rsidR="7A7CA629" w:rsidP="25FBA3EF" w:rsidRDefault="7A7CA629" w14:paraId="10603D33" w14:textId="4C515023">
      <w:pPr>
        <w:spacing w:after="160"/>
      </w:pPr>
    </w:p>
    <w:p w:rsidR="140DD04C" w:rsidP="4FE059F7" w:rsidRDefault="140DD04C" w14:paraId="44605C43" w14:textId="6F26AE76">
      <w:pPr>
        <w:spacing w:after="160"/>
      </w:pPr>
      <w:r w:rsidR="140DD04C">
        <w:rPr/>
        <w:t>The chart visually organises Hilton’s stakeh</w:t>
      </w:r>
      <w:r w:rsidR="67944D44">
        <w:rPr/>
        <w:t>olders by thier influence and engagement level, making it clear how each gr</w:t>
      </w:r>
      <w:r w:rsidR="532AC94C">
        <w:rPr/>
        <w:t>oup should be managed</w:t>
      </w:r>
      <w:r w:rsidR="669BFD08">
        <w:rPr/>
        <w:t>.</w:t>
      </w:r>
    </w:p>
    <w:p w:rsidR="00243BB1" w:rsidP="295E3045" w:rsidRDefault="009F1CB6" w14:paraId="009CDF68" w14:textId="5EC37E46">
      <w:pPr>
        <w:pStyle w:val="Heading2"/>
        <w:pBdr>
          <w:bottom w:val="single" w:color="D4A94B" w:sz="4" w:space="1"/>
        </w:pBdr>
      </w:pPr>
      <w:r w:rsidR="5BB01459">
        <w:rPr/>
        <w:t>5.2 Stakeholder</w:t>
      </w:r>
      <w:r w:rsidR="009F1CB6">
        <w:rPr/>
        <w:t xml:space="preserve"> Engagement Plan</w:t>
      </w:r>
    </w:p>
    <w:p w:rsidR="00243BB1" w:rsidRDefault="009F1CB6" w14:paraId="1D335540" w14:textId="77777777">
      <w:pPr>
        <w:spacing w:after="120"/>
        <w:jc w:val="both"/>
      </w:pPr>
      <w:r>
        <w:rPr>
          <w:color w:val="000000"/>
        </w:rPr>
        <w:t xml:space="preserve">A structured Stakeholder Engagement Plan (SEP) translates the prioritisation from </w:t>
      </w:r>
      <w:proofErr w:type="spellStart"/>
      <w:r>
        <w:rPr>
          <w:color w:val="000000"/>
        </w:rPr>
        <w:t>Mendelow's</w:t>
      </w:r>
      <w:proofErr w:type="spellEnd"/>
      <w:r>
        <w:rPr>
          <w:color w:val="000000"/>
        </w:rPr>
        <w:t xml:space="preserve"> Matrix into time-phased actions. The SEP for </w:t>
      </w:r>
      <w:proofErr w:type="spellStart"/>
      <w:r>
        <w:rPr>
          <w:color w:val="000000"/>
        </w:rPr>
        <w:t>StaySmart</w:t>
      </w:r>
      <w:proofErr w:type="spellEnd"/>
      <w:r>
        <w:rPr>
          <w:color w:val="000000"/>
        </w:rPr>
        <w:t>+ defines engagement objectives, frequency of interaction, responsible parties, and escalation pathways for each stakeholder group across the project's six-month duration. Consistent with Bourne's (2016) Stakeholder Circle methodology, the SEP is treated as a living document, reviewed monthly by the PMT to reflect evolving stakeholder dynamics.</w:t>
      </w:r>
    </w:p>
    <w:p w:rsidR="00243BB1" w:rsidP="295E3045" w:rsidRDefault="009F1CB6" w14:paraId="555A4221" w14:textId="47969C7B">
      <w:pPr>
        <w:pStyle w:val="Heading2"/>
        <w:pBdr>
          <w:bottom w:val="single" w:color="D4A94B" w:sz="4" w:space="1"/>
        </w:pBdr>
      </w:pPr>
      <w:r w:rsidR="7B46F821">
        <w:rPr/>
        <w:t>5.3 Communication</w:t>
      </w:r>
      <w:r w:rsidR="009F1CB6">
        <w:rPr/>
        <w:t xml:space="preserve"> Plan</w:t>
      </w:r>
    </w:p>
    <w:p w:rsidR="00243BB1" w:rsidRDefault="009F1CB6" w14:paraId="02A7D514" w14:textId="77777777">
      <w:pPr>
        <w:spacing w:after="120"/>
        <w:jc w:val="both"/>
      </w:pPr>
      <w:r>
        <w:rPr>
          <w:color w:val="000000"/>
        </w:rPr>
        <w:t xml:space="preserve">The Communication Plan establishes the formal channels, frequency, and content protocols for stakeholder communication throughout the project lifecycle. It distinguishes between upward reporting (to Board and Senior Leadership), lateral coordination (with IT, Marketing, and Operations), and outward communication (with Franchise Owners, Technology Partners, and Guests). Digital collaboration platforms, regular town-hall forums, property briefing packs, and dedicated </w:t>
      </w:r>
      <w:proofErr w:type="spellStart"/>
      <w:r>
        <w:rPr>
          <w:color w:val="000000"/>
        </w:rPr>
        <w:t>StaySmart</w:t>
      </w:r>
      <w:proofErr w:type="spellEnd"/>
      <w:r>
        <w:rPr>
          <w:color w:val="000000"/>
        </w:rPr>
        <w:t>+ intranet portals form the backbone of internal communication. For external stakeholders, a combination of direct account management, co-branded press releases, and regulatory liaison meetings is prescribed.</w:t>
      </w:r>
    </w:p>
    <w:p w:rsidR="00243BB1" w:rsidP="295E3045" w:rsidRDefault="009F1CB6" w14:paraId="7BA61D67" w14:textId="51D9A184">
      <w:pPr>
        <w:pStyle w:val="Heading2"/>
        <w:pBdr>
          <w:bottom w:val="single" w:color="D4A94B" w:sz="4" w:space="1"/>
        </w:pBdr>
      </w:pPr>
      <w:r w:rsidR="245C7D94">
        <w:rPr/>
        <w:t>5.4 RACI</w:t>
      </w:r>
      <w:r w:rsidR="009F1CB6">
        <w:rPr/>
        <w:t xml:space="preserve"> Matrix</w:t>
      </w:r>
    </w:p>
    <w:p w:rsidR="00243BB1" w:rsidRDefault="009F1CB6" w14:paraId="2EC30104" w14:textId="77777777">
      <w:pPr>
        <w:spacing w:after="120"/>
        <w:jc w:val="both"/>
      </w:pPr>
      <w:r>
        <w:rPr>
          <w:color w:val="000000"/>
        </w:rPr>
        <w:t xml:space="preserve">The Responsibility Assignment (RACI) Matrix delineates accountability across key project </w:t>
      </w:r>
      <w:proofErr w:type="spellStart"/>
      <w:r>
        <w:rPr>
          <w:color w:val="000000"/>
        </w:rPr>
        <w:t>workstreams</w:t>
      </w:r>
      <w:proofErr w:type="spellEnd"/>
      <w:r>
        <w:rPr>
          <w:color w:val="000000"/>
        </w:rPr>
        <w:t>, ensuring clarity and preventing duplication of effort (Cleland and Ireland, 2006). Each stakeholder is assigned one of four roles: Responsible (executes the task), Accountable (owns the outcome), Consulted (provides input), or Informed (receives updates).</w:t>
      </w:r>
    </w:p>
    <w:p w:rsidR="00243BB1" w:rsidRDefault="00243BB1" w14:paraId="0A0AC5F5" w14:textId="77777777">
      <w:pPr>
        <w:spacing w:after="80"/>
      </w:pPr>
    </w:p>
    <w:tbl>
      <w:tblPr>
        <w:tblStyle w:val="TableGrid"/>
        <w:tblW w:w="9000" w:type="dxa"/>
        <w:tblBorders/>
        <w:tblCellMar>
          <w:left w:w="10" w:type="dxa"/>
          <w:right w:w="10" w:type="dxa"/>
        </w:tblCellMar>
        <w:tblLook w:val="0000" w:firstRow="0" w:lastRow="0" w:firstColumn="0" w:lastColumn="0" w:noHBand="0" w:noVBand="0"/>
      </w:tblPr>
      <w:tblGrid>
        <w:gridCol w:w="2122"/>
        <w:gridCol w:w="1056"/>
        <w:gridCol w:w="1066"/>
        <w:gridCol w:w="1185"/>
        <w:gridCol w:w="1296"/>
        <w:gridCol w:w="1090"/>
        <w:gridCol w:w="1185"/>
      </w:tblGrid>
      <w:tr w:rsidR="00243BB1" w:rsidTr="4FE059F7" w14:paraId="3B962B7E" w14:textId="77777777">
        <w:tblPrEx>
          <w:tblCellMar>
            <w:top w:w="0" w:type="dxa"/>
            <w:bottom w:w="0" w:type="dxa"/>
          </w:tblCellMar>
        </w:tblPrEx>
        <w:tc>
          <w:tcPr>
            <w:cnfStyle w:val="000010000000" w:firstRow="0" w:lastRow="0" w:firstColumn="0" w:lastColumn="0" w:oddVBand="1" w:evenVBand="0" w:oddHBand="0" w:evenHBand="0" w:firstRowFirstColumn="0" w:firstRowLastColumn="0" w:lastRowFirstColumn="0" w:lastRowLastColumn="0"/>
            <w:tcW w:w="2200" w:type="dxa"/>
            <w:tcBorders/>
            <w:tcMar>
              <w:top w:w="80" w:type="dxa"/>
              <w:left w:w="120" w:type="dxa"/>
              <w:bottom w:w="80" w:type="dxa"/>
              <w:right w:w="120" w:type="dxa"/>
            </w:tcMar>
            <w:vAlign w:val="center"/>
          </w:tcPr>
          <w:p w:rsidR="00243BB1" w:rsidP="4FE059F7" w:rsidRDefault="009F1CB6" w14:paraId="5A58F0C3" w14:textId="26ECA660">
            <w:pPr>
              <w:rPr>
                <w:b w:val="1"/>
                <w:bCs w:val="1"/>
                <w:color w:val="auto"/>
                <w:sz w:val="20"/>
                <w:szCs w:val="20"/>
              </w:rPr>
            </w:pPr>
            <w:r w:rsidRPr="4FE059F7" w:rsidR="7D7A9190">
              <w:rPr>
                <w:b w:val="1"/>
                <w:bCs w:val="1"/>
                <w:color w:val="auto"/>
                <w:sz w:val="20"/>
                <w:szCs w:val="20"/>
              </w:rPr>
              <w:t xml:space="preserve"> </w:t>
            </w:r>
            <w:r w:rsidRPr="4FE059F7" w:rsidR="0FD1DC2C">
              <w:rPr>
                <w:b w:val="1"/>
                <w:bCs w:val="1"/>
                <w:color w:val="auto"/>
                <w:sz w:val="20"/>
                <w:szCs w:val="20"/>
              </w:rPr>
              <w:t>Activity/</w:t>
            </w:r>
            <w:r w:rsidRPr="4FE059F7" w:rsidR="7D7A9190">
              <w:rPr>
                <w:b w:val="1"/>
                <w:bCs w:val="1"/>
                <w:color w:val="auto"/>
                <w:sz w:val="20"/>
                <w:szCs w:val="20"/>
              </w:rPr>
              <w:t>Workstream</w:t>
            </w:r>
          </w:p>
        </w:tc>
        <w:tc>
          <w:tcPr>
            <w:cnfStyle w:val="000001000000" w:firstRow="0" w:lastRow="0" w:firstColumn="0" w:lastColumn="0" w:oddVBand="0" w:evenVBand="1" w:oddHBand="0" w:evenHBand="0" w:firstRowFirstColumn="0" w:firstRowLastColumn="0" w:lastRowFirstColumn="0" w:lastRowLastColumn="0"/>
            <w:tcW w:w="1100" w:type="dxa"/>
            <w:tcBorders/>
            <w:tcMar>
              <w:top w:w="80" w:type="dxa"/>
              <w:left w:w="120" w:type="dxa"/>
              <w:bottom w:w="80" w:type="dxa"/>
              <w:right w:w="120" w:type="dxa"/>
            </w:tcMar>
            <w:vAlign w:val="center"/>
          </w:tcPr>
          <w:p w:rsidR="00243BB1" w:rsidP="4FE059F7" w:rsidRDefault="009F1CB6" w14:paraId="211961DA" w14:textId="77777777">
            <w:pPr>
              <w:rPr>
                <w:b w:val="1"/>
                <w:bCs w:val="1"/>
                <w:color w:val="auto"/>
                <w:sz w:val="20"/>
                <w:szCs w:val="20"/>
              </w:rPr>
            </w:pPr>
            <w:r w:rsidRPr="4FE059F7" w:rsidR="7D7A9190">
              <w:rPr>
                <w:b w:val="1"/>
                <w:bCs w:val="1"/>
                <w:color w:val="auto"/>
                <w:sz w:val="20"/>
                <w:szCs w:val="20"/>
              </w:rPr>
              <w:t>PMT</w:t>
            </w:r>
          </w:p>
        </w:tc>
        <w:tc>
          <w:tcPr>
            <w:cnfStyle w:val="000010000000" w:firstRow="0" w:lastRow="0" w:firstColumn="0" w:lastColumn="0" w:oddVBand="1" w:evenVBand="0" w:oddHBand="0" w:evenHBand="0" w:firstRowFirstColumn="0" w:firstRowLastColumn="0" w:lastRowFirstColumn="0" w:lastRowLastColumn="0"/>
            <w:tcW w:w="1100" w:type="dxa"/>
            <w:tcBorders/>
            <w:tcMar>
              <w:top w:w="80" w:type="dxa"/>
              <w:left w:w="120" w:type="dxa"/>
              <w:bottom w:w="80" w:type="dxa"/>
              <w:right w:w="120" w:type="dxa"/>
            </w:tcMar>
            <w:vAlign w:val="center"/>
          </w:tcPr>
          <w:p w:rsidR="00243BB1" w:rsidP="4FE059F7" w:rsidRDefault="009F1CB6" w14:paraId="65CBA915" w14:textId="77777777">
            <w:pPr>
              <w:rPr>
                <w:b w:val="1"/>
                <w:bCs w:val="1"/>
                <w:color w:val="auto"/>
                <w:sz w:val="20"/>
                <w:szCs w:val="20"/>
              </w:rPr>
            </w:pPr>
            <w:r w:rsidRPr="4FE059F7" w:rsidR="7D7A9190">
              <w:rPr>
                <w:b w:val="1"/>
                <w:bCs w:val="1"/>
                <w:color w:val="auto"/>
                <w:sz w:val="20"/>
                <w:szCs w:val="20"/>
              </w:rPr>
              <w:t>IT Team</w:t>
            </w:r>
          </w:p>
        </w:tc>
        <w:tc>
          <w:tcPr>
            <w:cnfStyle w:val="000001000000" w:firstRow="0" w:lastRow="0" w:firstColumn="0" w:lastColumn="0" w:oddVBand="0" w:evenVBand="1" w:oddHBand="0" w:evenHBand="0" w:firstRowFirstColumn="0" w:firstRowLastColumn="0" w:lastRowFirstColumn="0" w:lastRowLastColumn="0"/>
            <w:tcW w:w="1100" w:type="dxa"/>
            <w:tcBorders/>
            <w:tcMar>
              <w:top w:w="80" w:type="dxa"/>
              <w:left w:w="120" w:type="dxa"/>
              <w:bottom w:w="80" w:type="dxa"/>
              <w:right w:w="120" w:type="dxa"/>
            </w:tcMar>
            <w:vAlign w:val="center"/>
          </w:tcPr>
          <w:p w:rsidR="00243BB1" w:rsidP="4FE059F7" w:rsidRDefault="009F1CB6" w14:paraId="51227002" w14:textId="77777777">
            <w:pPr>
              <w:rPr>
                <w:b w:val="1"/>
                <w:bCs w:val="1"/>
                <w:color w:val="auto"/>
                <w:sz w:val="20"/>
                <w:szCs w:val="20"/>
              </w:rPr>
            </w:pPr>
            <w:r w:rsidRPr="4FE059F7" w:rsidR="7D7A9190">
              <w:rPr>
                <w:b w:val="1"/>
                <w:bCs w:val="1"/>
                <w:color w:val="auto"/>
                <w:sz w:val="20"/>
                <w:szCs w:val="20"/>
              </w:rPr>
              <w:t>Marketing</w:t>
            </w:r>
          </w:p>
        </w:tc>
        <w:tc>
          <w:tcPr>
            <w:cnfStyle w:val="000010000000" w:firstRow="0" w:lastRow="0" w:firstColumn="0" w:lastColumn="0" w:oddVBand="1" w:evenVBand="0" w:oddHBand="0" w:evenHBand="0" w:firstRowFirstColumn="0" w:firstRowLastColumn="0" w:lastRowFirstColumn="0" w:lastRowLastColumn="0"/>
            <w:tcW w:w="1100" w:type="dxa"/>
            <w:tcBorders/>
            <w:tcMar>
              <w:top w:w="80" w:type="dxa"/>
              <w:left w:w="120" w:type="dxa"/>
              <w:bottom w:w="80" w:type="dxa"/>
              <w:right w:w="120" w:type="dxa"/>
            </w:tcMar>
            <w:vAlign w:val="center"/>
          </w:tcPr>
          <w:p w:rsidR="00243BB1" w:rsidP="4FE059F7" w:rsidRDefault="009F1CB6" w14:paraId="312FCD5A" w14:textId="77777777">
            <w:pPr>
              <w:rPr>
                <w:b w:val="1"/>
                <w:bCs w:val="1"/>
                <w:color w:val="auto"/>
                <w:sz w:val="20"/>
                <w:szCs w:val="20"/>
              </w:rPr>
            </w:pPr>
            <w:r w:rsidRPr="4FE059F7" w:rsidR="7D7A9190">
              <w:rPr>
                <w:b w:val="1"/>
                <w:bCs w:val="1"/>
                <w:color w:val="auto"/>
                <w:sz w:val="20"/>
                <w:szCs w:val="20"/>
              </w:rPr>
              <w:t>Operations</w:t>
            </w:r>
          </w:p>
        </w:tc>
        <w:tc>
          <w:tcPr>
            <w:cnfStyle w:val="000001000000" w:firstRow="0" w:lastRow="0" w:firstColumn="0" w:lastColumn="0" w:oddVBand="0" w:evenVBand="1" w:oddHBand="0" w:evenHBand="0" w:firstRowFirstColumn="0" w:firstRowLastColumn="0" w:lastRowFirstColumn="0" w:lastRowLastColumn="0"/>
            <w:tcW w:w="1100" w:type="dxa"/>
            <w:tcBorders/>
            <w:tcMar>
              <w:top w:w="80" w:type="dxa"/>
              <w:left w:w="120" w:type="dxa"/>
              <w:bottom w:w="80" w:type="dxa"/>
              <w:right w:w="120" w:type="dxa"/>
            </w:tcMar>
            <w:vAlign w:val="center"/>
          </w:tcPr>
          <w:p w:rsidR="00243BB1" w:rsidP="4FE059F7" w:rsidRDefault="009F1CB6" w14:paraId="11E5BA42" w14:textId="77777777">
            <w:pPr>
              <w:rPr>
                <w:b w:val="1"/>
                <w:bCs w:val="1"/>
                <w:color w:val="auto"/>
                <w:sz w:val="20"/>
                <w:szCs w:val="20"/>
              </w:rPr>
            </w:pPr>
            <w:r w:rsidRPr="4FE059F7" w:rsidR="7D7A9190">
              <w:rPr>
                <w:b w:val="1"/>
                <w:bCs w:val="1"/>
                <w:color w:val="auto"/>
                <w:sz w:val="20"/>
                <w:szCs w:val="20"/>
              </w:rPr>
              <w:t>Finance</w:t>
            </w:r>
          </w:p>
        </w:tc>
        <w:tc>
          <w:tcPr>
            <w:cnfStyle w:val="000010000000" w:firstRow="0" w:lastRow="0" w:firstColumn="0" w:lastColumn="0" w:oddVBand="1" w:evenVBand="0" w:oddHBand="0" w:evenHBand="0" w:firstRowFirstColumn="0" w:firstRowLastColumn="0" w:lastRowFirstColumn="0" w:lastRowLastColumn="0"/>
            <w:tcW w:w="1100" w:type="dxa"/>
            <w:tcBorders/>
            <w:tcMar>
              <w:top w:w="80" w:type="dxa"/>
              <w:left w:w="120" w:type="dxa"/>
              <w:bottom w:w="80" w:type="dxa"/>
              <w:right w:w="120" w:type="dxa"/>
            </w:tcMar>
            <w:vAlign w:val="center"/>
          </w:tcPr>
          <w:p w:rsidR="00243BB1" w:rsidP="4FE059F7" w:rsidRDefault="009F1CB6" w14:paraId="3527312C" w14:textId="77777777">
            <w:pPr>
              <w:rPr>
                <w:b w:val="1"/>
                <w:bCs w:val="1"/>
                <w:color w:val="auto"/>
                <w:sz w:val="20"/>
                <w:szCs w:val="20"/>
              </w:rPr>
            </w:pPr>
            <w:r w:rsidRPr="4FE059F7" w:rsidR="7D7A9190">
              <w:rPr>
                <w:b w:val="1"/>
                <w:bCs w:val="1"/>
                <w:color w:val="auto"/>
                <w:sz w:val="20"/>
                <w:szCs w:val="20"/>
              </w:rPr>
              <w:t>Franchise Owners</w:t>
            </w:r>
          </w:p>
        </w:tc>
      </w:tr>
      <w:tr w:rsidR="00243BB1" w:rsidTr="4FE059F7" w14:paraId="0345B74A" w14:textId="77777777">
        <w:tblPrEx>
          <w:tblCellMar>
            <w:top w:w="0" w:type="dxa"/>
            <w:bottom w:w="0" w:type="dxa"/>
          </w:tblCellMar>
        </w:tblPrEx>
        <w:tc>
          <w:tcPr>
            <w:cnfStyle w:val="000010000000" w:firstRow="0" w:lastRow="0" w:firstColumn="0" w:lastColumn="0" w:oddVBand="1" w:evenVBand="0" w:oddHBand="0" w:evenHBand="0" w:firstRowFirstColumn="0" w:firstRowLastColumn="0" w:lastRowFirstColumn="0" w:lastRowLastColumn="0"/>
            <w:tcW w:w="2200" w:type="dxa"/>
            <w:tcBorders/>
            <w:tcMar>
              <w:top w:w="80" w:type="dxa"/>
              <w:left w:w="120" w:type="dxa"/>
              <w:bottom w:w="80" w:type="dxa"/>
              <w:right w:w="120" w:type="dxa"/>
            </w:tcMar>
            <w:vAlign w:val="center"/>
          </w:tcPr>
          <w:p w:rsidR="00243BB1" w:rsidRDefault="009F1CB6" w14:paraId="0B0F57B2" w14:textId="77777777">
            <w:r>
              <w:rPr>
                <w:color w:val="000000"/>
                <w:sz w:val="20"/>
                <w:szCs w:val="20"/>
              </w:rPr>
              <w:t>Project Planning &amp; Governance</w:t>
            </w:r>
          </w:p>
        </w:tc>
        <w:tc>
          <w:tcPr>
            <w:cnfStyle w:val="000001000000" w:firstRow="0" w:lastRow="0" w:firstColumn="0" w:lastColumn="0" w:oddVBand="0" w:evenVBand="1" w:oddHBand="0" w:evenHBand="0" w:firstRowFirstColumn="0" w:firstRowLastColumn="0" w:lastRowFirstColumn="0" w:lastRowLastColumn="0"/>
            <w:tcW w:w="1100" w:type="dxa"/>
            <w:tcBorders/>
            <w:shd w:val="clear" w:color="auto" w:fill="E97132" w:themeFill="accent2"/>
            <w:tcMar>
              <w:top w:w="80" w:type="dxa"/>
              <w:left w:w="120" w:type="dxa"/>
              <w:bottom w:w="80" w:type="dxa"/>
              <w:right w:w="120" w:type="dxa"/>
            </w:tcMar>
            <w:vAlign w:val="center"/>
          </w:tcPr>
          <w:p w:rsidR="00243BB1" w:rsidRDefault="009F1CB6" w14:paraId="66A3EFC0" w14:textId="77777777">
            <w:r>
              <w:rPr>
                <w:b/>
                <w:bCs/>
                <w:color w:val="000000"/>
                <w:sz w:val="20"/>
                <w:szCs w:val="20"/>
              </w:rPr>
              <w:t>A</w:t>
            </w:r>
          </w:p>
        </w:tc>
        <w:tc>
          <w:tcPr>
            <w:cnfStyle w:val="000010000000" w:firstRow="0" w:lastRow="0" w:firstColumn="0" w:lastColumn="0" w:oddVBand="1" w:evenVBand="0" w:oddHBand="0" w:evenHBand="0" w:firstRowFirstColumn="0" w:firstRowLastColumn="0" w:lastRowFirstColumn="0" w:lastRowLastColumn="0"/>
            <w:tcW w:w="1100" w:type="dxa"/>
            <w:tcBorders/>
            <w:shd w:val="clear" w:color="auto" w:fill="0F9ED5" w:themeFill="accent4"/>
            <w:tcMar>
              <w:top w:w="80" w:type="dxa"/>
              <w:left w:w="120" w:type="dxa"/>
              <w:bottom w:w="80" w:type="dxa"/>
              <w:right w:w="120" w:type="dxa"/>
            </w:tcMar>
            <w:vAlign w:val="center"/>
          </w:tcPr>
          <w:p w:rsidR="00243BB1" w:rsidRDefault="009F1CB6" w14:paraId="3A317968" w14:textId="77777777">
            <w:r>
              <w:rPr>
                <w:color w:val="000000"/>
                <w:sz w:val="20"/>
                <w:szCs w:val="20"/>
              </w:rPr>
              <w:t>C</w:t>
            </w:r>
          </w:p>
        </w:tc>
        <w:tc>
          <w:tcPr>
            <w:cnfStyle w:val="000001000000" w:firstRow="0" w:lastRow="0" w:firstColumn="0" w:lastColumn="0" w:oddVBand="0" w:evenVBand="1" w:oddHBand="0" w:evenHBand="0" w:firstRowFirstColumn="0" w:firstRowLastColumn="0" w:lastRowFirstColumn="0" w:lastRowLastColumn="0"/>
            <w:tcW w:w="1100" w:type="dxa"/>
            <w:tcBorders/>
            <w:shd w:val="clear" w:color="auto" w:fill="0F9ED5" w:themeFill="accent4"/>
            <w:tcMar>
              <w:top w:w="80" w:type="dxa"/>
              <w:left w:w="120" w:type="dxa"/>
              <w:bottom w:w="80" w:type="dxa"/>
              <w:right w:w="120" w:type="dxa"/>
            </w:tcMar>
            <w:vAlign w:val="center"/>
          </w:tcPr>
          <w:p w:rsidR="00243BB1" w:rsidRDefault="009F1CB6" w14:paraId="170B70C3" w14:textId="77777777">
            <w:r>
              <w:rPr>
                <w:color w:val="000000"/>
                <w:sz w:val="20"/>
                <w:szCs w:val="20"/>
              </w:rPr>
              <w:t>C</w:t>
            </w:r>
          </w:p>
        </w:tc>
        <w:tc>
          <w:tcPr>
            <w:cnfStyle w:val="000010000000" w:firstRow="0" w:lastRow="0" w:firstColumn="0" w:lastColumn="0" w:oddVBand="1" w:evenVBand="0" w:oddHBand="0" w:evenHBand="0" w:firstRowFirstColumn="0" w:firstRowLastColumn="0" w:lastRowFirstColumn="0" w:lastRowLastColumn="0"/>
            <w:tcW w:w="1100" w:type="dxa"/>
            <w:tcBorders/>
            <w:shd w:val="clear" w:color="auto" w:fill="FFC000"/>
            <w:tcMar>
              <w:top w:w="80" w:type="dxa"/>
              <w:left w:w="120" w:type="dxa"/>
              <w:bottom w:w="80" w:type="dxa"/>
              <w:right w:w="120" w:type="dxa"/>
            </w:tcMar>
            <w:vAlign w:val="center"/>
          </w:tcPr>
          <w:p w:rsidR="00243BB1" w:rsidRDefault="009F1CB6" w14:paraId="2CF1A47C" w14:textId="77777777">
            <w:r>
              <w:rPr>
                <w:color w:val="000000"/>
                <w:sz w:val="20"/>
                <w:szCs w:val="20"/>
              </w:rPr>
              <w:t>I</w:t>
            </w:r>
          </w:p>
        </w:tc>
        <w:tc>
          <w:tcPr>
            <w:cnfStyle w:val="000001000000" w:firstRow="0" w:lastRow="0" w:firstColumn="0" w:lastColumn="0" w:oddVBand="0" w:evenVBand="1" w:oddHBand="0" w:evenHBand="0" w:firstRowFirstColumn="0" w:firstRowLastColumn="0" w:lastRowFirstColumn="0" w:lastRowLastColumn="0"/>
            <w:tcW w:w="1100" w:type="dxa"/>
            <w:tcBorders/>
            <w:shd w:val="clear" w:color="auto" w:fill="0F9ED5" w:themeFill="accent4"/>
            <w:tcMar>
              <w:top w:w="80" w:type="dxa"/>
              <w:left w:w="120" w:type="dxa"/>
              <w:bottom w:w="80" w:type="dxa"/>
              <w:right w:w="120" w:type="dxa"/>
            </w:tcMar>
            <w:vAlign w:val="center"/>
          </w:tcPr>
          <w:p w:rsidR="00243BB1" w:rsidRDefault="009F1CB6" w14:paraId="4D3FF300" w14:textId="77777777">
            <w:r>
              <w:rPr>
                <w:color w:val="000000"/>
                <w:sz w:val="20"/>
                <w:szCs w:val="20"/>
              </w:rPr>
              <w:t>C</w:t>
            </w:r>
          </w:p>
        </w:tc>
        <w:tc>
          <w:tcPr>
            <w:cnfStyle w:val="000010000000" w:firstRow="0" w:lastRow="0" w:firstColumn="0" w:lastColumn="0" w:oddVBand="1" w:evenVBand="0" w:oddHBand="0" w:evenHBand="0" w:firstRowFirstColumn="0" w:firstRowLastColumn="0" w:lastRowFirstColumn="0" w:lastRowLastColumn="0"/>
            <w:tcW w:w="1100" w:type="dxa"/>
            <w:tcBorders/>
            <w:shd w:val="clear" w:color="auto" w:fill="FFC000"/>
            <w:tcMar>
              <w:top w:w="80" w:type="dxa"/>
              <w:left w:w="120" w:type="dxa"/>
              <w:bottom w:w="80" w:type="dxa"/>
              <w:right w:w="120" w:type="dxa"/>
            </w:tcMar>
            <w:vAlign w:val="center"/>
          </w:tcPr>
          <w:p w:rsidR="00243BB1" w:rsidRDefault="009F1CB6" w14:paraId="295A2B8E" w14:textId="77777777">
            <w:r>
              <w:rPr>
                <w:color w:val="000000"/>
                <w:sz w:val="20"/>
                <w:szCs w:val="20"/>
              </w:rPr>
              <w:t>I</w:t>
            </w:r>
          </w:p>
        </w:tc>
      </w:tr>
      <w:tr w:rsidR="00243BB1" w:rsidTr="4FE059F7" w14:paraId="268679EB" w14:textId="77777777">
        <w:tblPrEx>
          <w:tblCellMar>
            <w:top w:w="0" w:type="dxa"/>
            <w:bottom w:w="0" w:type="dxa"/>
          </w:tblCellMar>
        </w:tblPrEx>
        <w:tc>
          <w:tcPr>
            <w:cnfStyle w:val="000010000000" w:firstRow="0" w:lastRow="0" w:firstColumn="0" w:lastColumn="0" w:oddVBand="1" w:evenVBand="0" w:oddHBand="0" w:evenHBand="0" w:firstRowFirstColumn="0" w:firstRowLastColumn="0" w:lastRowFirstColumn="0" w:lastRowLastColumn="0"/>
            <w:tcW w:w="2200" w:type="dxa"/>
            <w:tcBorders/>
            <w:tcMar>
              <w:top w:w="80" w:type="dxa"/>
              <w:left w:w="120" w:type="dxa"/>
              <w:bottom w:w="80" w:type="dxa"/>
              <w:right w:w="120" w:type="dxa"/>
            </w:tcMar>
            <w:vAlign w:val="center"/>
          </w:tcPr>
          <w:p w:rsidR="00243BB1" w:rsidRDefault="009F1CB6" w14:paraId="2495370D" w14:textId="77777777">
            <w:r>
              <w:rPr>
                <w:color w:val="000000"/>
                <w:sz w:val="20"/>
                <w:szCs w:val="20"/>
              </w:rPr>
              <w:t>AI Platform Development</w:t>
            </w:r>
          </w:p>
        </w:tc>
        <w:tc>
          <w:tcPr>
            <w:cnfStyle w:val="000001000000" w:firstRow="0" w:lastRow="0" w:firstColumn="0" w:lastColumn="0" w:oddVBand="0" w:evenVBand="1" w:oddHBand="0" w:evenHBand="0" w:firstRowFirstColumn="0" w:firstRowLastColumn="0" w:lastRowFirstColumn="0" w:lastRowLastColumn="0"/>
            <w:tcW w:w="1100" w:type="dxa"/>
            <w:tcBorders/>
            <w:shd w:val="clear" w:color="auto" w:fill="E97132" w:themeFill="accent2"/>
            <w:tcMar>
              <w:top w:w="80" w:type="dxa"/>
              <w:left w:w="120" w:type="dxa"/>
              <w:bottom w:w="80" w:type="dxa"/>
              <w:right w:w="120" w:type="dxa"/>
            </w:tcMar>
            <w:vAlign w:val="center"/>
          </w:tcPr>
          <w:p w:rsidR="00243BB1" w:rsidRDefault="009F1CB6" w14:paraId="0B6DA4CD" w14:textId="77777777">
            <w:r>
              <w:rPr>
                <w:b/>
                <w:bCs/>
                <w:color w:val="000000"/>
                <w:sz w:val="20"/>
                <w:szCs w:val="20"/>
              </w:rPr>
              <w:t>A</w:t>
            </w:r>
          </w:p>
        </w:tc>
        <w:tc>
          <w:tcPr>
            <w:cnfStyle w:val="000010000000" w:firstRow="0" w:lastRow="0" w:firstColumn="0" w:lastColumn="0" w:oddVBand="1" w:evenVBand="0" w:oddHBand="0" w:evenHBand="0" w:firstRowFirstColumn="0" w:firstRowLastColumn="0" w:lastRowFirstColumn="0" w:lastRowLastColumn="0"/>
            <w:tcW w:w="1100" w:type="dxa"/>
            <w:tcBorders/>
            <w:shd w:val="clear" w:color="auto" w:fill="C00000"/>
            <w:tcMar>
              <w:top w:w="80" w:type="dxa"/>
              <w:left w:w="120" w:type="dxa"/>
              <w:bottom w:w="80" w:type="dxa"/>
              <w:right w:w="120" w:type="dxa"/>
            </w:tcMar>
            <w:vAlign w:val="center"/>
          </w:tcPr>
          <w:p w:rsidR="00243BB1" w:rsidRDefault="009F1CB6" w14:paraId="08580400" w14:textId="77777777">
            <w:r>
              <w:rPr>
                <w:b/>
                <w:bCs/>
                <w:color w:val="000000"/>
                <w:sz w:val="20"/>
                <w:szCs w:val="20"/>
              </w:rPr>
              <w:t>R</w:t>
            </w:r>
          </w:p>
        </w:tc>
        <w:tc>
          <w:tcPr>
            <w:cnfStyle w:val="000001000000" w:firstRow="0" w:lastRow="0" w:firstColumn="0" w:lastColumn="0" w:oddVBand="0" w:evenVBand="1" w:oddHBand="0" w:evenHBand="0" w:firstRowFirstColumn="0" w:firstRowLastColumn="0" w:lastRowFirstColumn="0" w:lastRowLastColumn="0"/>
            <w:tcW w:w="1100" w:type="dxa"/>
            <w:tcBorders/>
            <w:shd w:val="clear" w:color="auto" w:fill="0F9ED5" w:themeFill="accent4"/>
            <w:tcMar>
              <w:top w:w="80" w:type="dxa"/>
              <w:left w:w="120" w:type="dxa"/>
              <w:bottom w:w="80" w:type="dxa"/>
              <w:right w:w="120" w:type="dxa"/>
            </w:tcMar>
            <w:vAlign w:val="center"/>
          </w:tcPr>
          <w:p w:rsidR="00243BB1" w:rsidRDefault="009F1CB6" w14:paraId="339E17F7" w14:textId="77777777">
            <w:r>
              <w:rPr>
                <w:color w:val="000000"/>
                <w:sz w:val="20"/>
                <w:szCs w:val="20"/>
              </w:rPr>
              <w:t>C</w:t>
            </w:r>
          </w:p>
        </w:tc>
        <w:tc>
          <w:tcPr>
            <w:cnfStyle w:val="000010000000" w:firstRow="0" w:lastRow="0" w:firstColumn="0" w:lastColumn="0" w:oddVBand="1" w:evenVBand="0" w:oddHBand="0" w:evenHBand="0" w:firstRowFirstColumn="0" w:firstRowLastColumn="0" w:lastRowFirstColumn="0" w:lastRowLastColumn="0"/>
            <w:tcW w:w="1100" w:type="dxa"/>
            <w:tcBorders/>
            <w:shd w:val="clear" w:color="auto" w:fill="0F9ED5" w:themeFill="accent4"/>
            <w:tcMar>
              <w:top w:w="80" w:type="dxa"/>
              <w:left w:w="120" w:type="dxa"/>
              <w:bottom w:w="80" w:type="dxa"/>
              <w:right w:w="120" w:type="dxa"/>
            </w:tcMar>
            <w:vAlign w:val="center"/>
          </w:tcPr>
          <w:p w:rsidR="00243BB1" w:rsidRDefault="009F1CB6" w14:paraId="530A3FC3" w14:textId="77777777">
            <w:r>
              <w:rPr>
                <w:color w:val="000000"/>
                <w:sz w:val="20"/>
                <w:szCs w:val="20"/>
              </w:rPr>
              <w:t>C</w:t>
            </w:r>
          </w:p>
        </w:tc>
        <w:tc>
          <w:tcPr>
            <w:cnfStyle w:val="000001000000" w:firstRow="0" w:lastRow="0" w:firstColumn="0" w:lastColumn="0" w:oddVBand="0" w:evenVBand="1" w:oddHBand="0" w:evenHBand="0" w:firstRowFirstColumn="0" w:firstRowLastColumn="0" w:lastRowFirstColumn="0" w:lastRowLastColumn="0"/>
            <w:tcW w:w="1100" w:type="dxa"/>
            <w:tcBorders/>
            <w:shd w:val="clear" w:color="auto" w:fill="FFC000"/>
            <w:tcMar>
              <w:top w:w="80" w:type="dxa"/>
              <w:left w:w="120" w:type="dxa"/>
              <w:bottom w:w="80" w:type="dxa"/>
              <w:right w:w="120" w:type="dxa"/>
            </w:tcMar>
            <w:vAlign w:val="center"/>
          </w:tcPr>
          <w:p w:rsidR="00243BB1" w:rsidRDefault="009F1CB6" w14:paraId="4B3CFE4C" w14:textId="77777777">
            <w:r>
              <w:rPr>
                <w:color w:val="000000"/>
                <w:sz w:val="20"/>
                <w:szCs w:val="20"/>
              </w:rPr>
              <w:t>I</w:t>
            </w:r>
          </w:p>
        </w:tc>
        <w:tc>
          <w:tcPr>
            <w:cnfStyle w:val="000010000000" w:firstRow="0" w:lastRow="0" w:firstColumn="0" w:lastColumn="0" w:oddVBand="1" w:evenVBand="0" w:oddHBand="0" w:evenHBand="0" w:firstRowFirstColumn="0" w:firstRowLastColumn="0" w:lastRowFirstColumn="0" w:lastRowLastColumn="0"/>
            <w:tcW w:w="1100" w:type="dxa"/>
            <w:tcBorders/>
            <w:shd w:val="clear" w:color="auto" w:fill="FFC000"/>
            <w:tcMar>
              <w:top w:w="80" w:type="dxa"/>
              <w:left w:w="120" w:type="dxa"/>
              <w:bottom w:w="80" w:type="dxa"/>
              <w:right w:w="120" w:type="dxa"/>
            </w:tcMar>
            <w:vAlign w:val="center"/>
          </w:tcPr>
          <w:p w:rsidR="00243BB1" w:rsidRDefault="009F1CB6" w14:paraId="7DF47702" w14:textId="77777777">
            <w:r>
              <w:rPr>
                <w:color w:val="000000"/>
                <w:sz w:val="20"/>
                <w:szCs w:val="20"/>
              </w:rPr>
              <w:t>I</w:t>
            </w:r>
          </w:p>
        </w:tc>
      </w:tr>
      <w:tr w:rsidR="00243BB1" w:rsidTr="4FE059F7" w14:paraId="7D265C7A" w14:textId="77777777">
        <w:tblPrEx>
          <w:tblCellMar>
            <w:top w:w="0" w:type="dxa"/>
            <w:bottom w:w="0" w:type="dxa"/>
          </w:tblCellMar>
        </w:tblPrEx>
        <w:tc>
          <w:tcPr>
            <w:cnfStyle w:val="000010000000" w:firstRow="0" w:lastRow="0" w:firstColumn="0" w:lastColumn="0" w:oddVBand="1" w:evenVBand="0" w:oddHBand="0" w:evenHBand="0" w:firstRowFirstColumn="0" w:firstRowLastColumn="0" w:lastRowFirstColumn="0" w:lastRowLastColumn="0"/>
            <w:tcW w:w="2200" w:type="dxa"/>
            <w:tcBorders/>
            <w:tcMar>
              <w:top w:w="80" w:type="dxa"/>
              <w:left w:w="120" w:type="dxa"/>
              <w:bottom w:w="80" w:type="dxa"/>
              <w:right w:w="120" w:type="dxa"/>
            </w:tcMar>
            <w:vAlign w:val="center"/>
          </w:tcPr>
          <w:p w:rsidR="00243BB1" w:rsidRDefault="009F1CB6" w14:paraId="0FFFFF52" w14:textId="77777777">
            <w:r>
              <w:rPr>
                <w:color w:val="000000"/>
                <w:sz w:val="20"/>
                <w:szCs w:val="20"/>
              </w:rPr>
              <w:t>Staff Training Programme</w:t>
            </w:r>
          </w:p>
        </w:tc>
        <w:tc>
          <w:tcPr>
            <w:cnfStyle w:val="000001000000" w:firstRow="0" w:lastRow="0" w:firstColumn="0" w:lastColumn="0" w:oddVBand="0" w:evenVBand="1" w:oddHBand="0" w:evenHBand="0" w:firstRowFirstColumn="0" w:firstRowLastColumn="0" w:lastRowFirstColumn="0" w:lastRowLastColumn="0"/>
            <w:tcW w:w="1100" w:type="dxa"/>
            <w:tcBorders/>
            <w:shd w:val="clear" w:color="auto" w:fill="E97132" w:themeFill="accent2"/>
            <w:tcMar>
              <w:top w:w="80" w:type="dxa"/>
              <w:left w:w="120" w:type="dxa"/>
              <w:bottom w:w="80" w:type="dxa"/>
              <w:right w:w="120" w:type="dxa"/>
            </w:tcMar>
            <w:vAlign w:val="center"/>
          </w:tcPr>
          <w:p w:rsidR="00243BB1" w:rsidRDefault="009F1CB6" w14:paraId="6AF2A32F" w14:textId="77777777">
            <w:r>
              <w:rPr>
                <w:b/>
                <w:bCs/>
                <w:color w:val="000000"/>
                <w:sz w:val="20"/>
                <w:szCs w:val="20"/>
              </w:rPr>
              <w:t>A</w:t>
            </w:r>
          </w:p>
        </w:tc>
        <w:tc>
          <w:tcPr>
            <w:cnfStyle w:val="000010000000" w:firstRow="0" w:lastRow="0" w:firstColumn="0" w:lastColumn="0" w:oddVBand="1" w:evenVBand="0" w:oddHBand="0" w:evenHBand="0" w:firstRowFirstColumn="0" w:firstRowLastColumn="0" w:lastRowFirstColumn="0" w:lastRowLastColumn="0"/>
            <w:tcW w:w="1100" w:type="dxa"/>
            <w:tcBorders/>
            <w:shd w:val="clear" w:color="auto" w:fill="0F9ED5" w:themeFill="accent4"/>
            <w:tcMar>
              <w:top w:w="80" w:type="dxa"/>
              <w:left w:w="120" w:type="dxa"/>
              <w:bottom w:w="80" w:type="dxa"/>
              <w:right w:w="120" w:type="dxa"/>
            </w:tcMar>
            <w:vAlign w:val="center"/>
          </w:tcPr>
          <w:p w:rsidR="00243BB1" w:rsidRDefault="009F1CB6" w14:paraId="796B3D54" w14:textId="77777777">
            <w:r>
              <w:rPr>
                <w:color w:val="000000"/>
                <w:sz w:val="20"/>
                <w:szCs w:val="20"/>
              </w:rPr>
              <w:t>C</w:t>
            </w:r>
          </w:p>
        </w:tc>
        <w:tc>
          <w:tcPr>
            <w:cnfStyle w:val="000001000000" w:firstRow="0" w:lastRow="0" w:firstColumn="0" w:lastColumn="0" w:oddVBand="0" w:evenVBand="1" w:oddHBand="0" w:evenHBand="0" w:firstRowFirstColumn="0" w:firstRowLastColumn="0" w:lastRowFirstColumn="0" w:lastRowLastColumn="0"/>
            <w:tcW w:w="1100" w:type="dxa"/>
            <w:tcBorders/>
            <w:shd w:val="clear" w:color="auto" w:fill="0F9ED5" w:themeFill="accent4"/>
            <w:tcMar>
              <w:top w:w="80" w:type="dxa"/>
              <w:left w:w="120" w:type="dxa"/>
              <w:bottom w:w="80" w:type="dxa"/>
              <w:right w:w="120" w:type="dxa"/>
            </w:tcMar>
            <w:vAlign w:val="center"/>
          </w:tcPr>
          <w:p w:rsidR="00243BB1" w:rsidRDefault="009F1CB6" w14:paraId="221CB814" w14:textId="77777777">
            <w:r>
              <w:rPr>
                <w:color w:val="000000"/>
                <w:sz w:val="20"/>
                <w:szCs w:val="20"/>
              </w:rPr>
              <w:t>C</w:t>
            </w:r>
          </w:p>
        </w:tc>
        <w:tc>
          <w:tcPr>
            <w:cnfStyle w:val="000010000000" w:firstRow="0" w:lastRow="0" w:firstColumn="0" w:lastColumn="0" w:oddVBand="1" w:evenVBand="0" w:oddHBand="0" w:evenHBand="0" w:firstRowFirstColumn="0" w:firstRowLastColumn="0" w:lastRowFirstColumn="0" w:lastRowLastColumn="0"/>
            <w:tcW w:w="1100" w:type="dxa"/>
            <w:tcBorders/>
            <w:shd w:val="clear" w:color="auto" w:fill="C00000"/>
            <w:tcMar>
              <w:top w:w="80" w:type="dxa"/>
              <w:left w:w="120" w:type="dxa"/>
              <w:bottom w:w="80" w:type="dxa"/>
              <w:right w:w="120" w:type="dxa"/>
            </w:tcMar>
            <w:vAlign w:val="center"/>
          </w:tcPr>
          <w:p w:rsidR="00243BB1" w:rsidRDefault="009F1CB6" w14:paraId="42CE94C8" w14:textId="77777777">
            <w:r>
              <w:rPr>
                <w:b/>
                <w:bCs/>
                <w:color w:val="000000"/>
                <w:sz w:val="20"/>
                <w:szCs w:val="20"/>
              </w:rPr>
              <w:t>R</w:t>
            </w:r>
          </w:p>
        </w:tc>
        <w:tc>
          <w:tcPr>
            <w:cnfStyle w:val="000001000000" w:firstRow="0" w:lastRow="0" w:firstColumn="0" w:lastColumn="0" w:oddVBand="0" w:evenVBand="1" w:oddHBand="0" w:evenHBand="0" w:firstRowFirstColumn="0" w:firstRowLastColumn="0" w:lastRowFirstColumn="0" w:lastRowLastColumn="0"/>
            <w:tcW w:w="1100" w:type="dxa"/>
            <w:tcBorders/>
            <w:shd w:val="clear" w:color="auto" w:fill="FFC000"/>
            <w:tcMar>
              <w:top w:w="80" w:type="dxa"/>
              <w:left w:w="120" w:type="dxa"/>
              <w:bottom w:w="80" w:type="dxa"/>
              <w:right w:w="120" w:type="dxa"/>
            </w:tcMar>
            <w:vAlign w:val="center"/>
          </w:tcPr>
          <w:p w:rsidR="00243BB1" w:rsidRDefault="009F1CB6" w14:paraId="0A2E9B5F" w14:textId="77777777">
            <w:r>
              <w:rPr>
                <w:color w:val="000000"/>
                <w:sz w:val="20"/>
                <w:szCs w:val="20"/>
              </w:rPr>
              <w:t>I</w:t>
            </w:r>
          </w:p>
        </w:tc>
        <w:tc>
          <w:tcPr>
            <w:cnfStyle w:val="000010000000" w:firstRow="0" w:lastRow="0" w:firstColumn="0" w:lastColumn="0" w:oddVBand="1" w:evenVBand="0" w:oddHBand="0" w:evenHBand="0" w:firstRowFirstColumn="0" w:firstRowLastColumn="0" w:lastRowFirstColumn="0" w:lastRowLastColumn="0"/>
            <w:tcW w:w="1100" w:type="dxa"/>
            <w:tcBorders/>
            <w:shd w:val="clear" w:color="auto" w:fill="C00000"/>
            <w:tcMar>
              <w:top w:w="80" w:type="dxa"/>
              <w:left w:w="120" w:type="dxa"/>
              <w:bottom w:w="80" w:type="dxa"/>
              <w:right w:w="120" w:type="dxa"/>
            </w:tcMar>
            <w:vAlign w:val="center"/>
          </w:tcPr>
          <w:p w:rsidR="00243BB1" w:rsidRDefault="009F1CB6" w14:paraId="390B2F67" w14:textId="77777777">
            <w:r>
              <w:rPr>
                <w:b/>
                <w:bCs/>
                <w:color w:val="000000"/>
                <w:sz w:val="20"/>
                <w:szCs w:val="20"/>
              </w:rPr>
              <w:t>R</w:t>
            </w:r>
          </w:p>
        </w:tc>
      </w:tr>
      <w:tr w:rsidR="00243BB1" w:rsidTr="4FE059F7" w14:paraId="596C3BAE" w14:textId="77777777">
        <w:tblPrEx>
          <w:tblCellMar>
            <w:top w:w="0" w:type="dxa"/>
            <w:bottom w:w="0" w:type="dxa"/>
          </w:tblCellMar>
        </w:tblPrEx>
        <w:tc>
          <w:tcPr>
            <w:cnfStyle w:val="000010000000" w:firstRow="0" w:lastRow="0" w:firstColumn="0" w:lastColumn="0" w:oddVBand="1" w:evenVBand="0" w:oddHBand="0" w:evenHBand="0" w:firstRowFirstColumn="0" w:firstRowLastColumn="0" w:lastRowFirstColumn="0" w:lastRowLastColumn="0"/>
            <w:tcW w:w="2200" w:type="dxa"/>
            <w:tcBorders/>
            <w:tcMar>
              <w:top w:w="80" w:type="dxa"/>
              <w:left w:w="120" w:type="dxa"/>
              <w:bottom w:w="80" w:type="dxa"/>
              <w:right w:w="120" w:type="dxa"/>
            </w:tcMar>
            <w:vAlign w:val="center"/>
          </w:tcPr>
          <w:p w:rsidR="00243BB1" w:rsidRDefault="009F1CB6" w14:paraId="43B6C143" w14:textId="77777777">
            <w:r>
              <w:rPr>
                <w:color w:val="000000"/>
                <w:sz w:val="20"/>
                <w:szCs w:val="20"/>
              </w:rPr>
              <w:t>Go-To-Market Campaign</w:t>
            </w:r>
          </w:p>
        </w:tc>
        <w:tc>
          <w:tcPr>
            <w:cnfStyle w:val="000001000000" w:firstRow="0" w:lastRow="0" w:firstColumn="0" w:lastColumn="0" w:oddVBand="0" w:evenVBand="1" w:oddHBand="0" w:evenHBand="0" w:firstRowFirstColumn="0" w:firstRowLastColumn="0" w:lastRowFirstColumn="0" w:lastRowLastColumn="0"/>
            <w:tcW w:w="1100" w:type="dxa"/>
            <w:tcBorders/>
            <w:shd w:val="clear" w:color="auto" w:fill="0F9ED5" w:themeFill="accent4"/>
            <w:tcMar>
              <w:top w:w="80" w:type="dxa"/>
              <w:left w:w="120" w:type="dxa"/>
              <w:bottom w:w="80" w:type="dxa"/>
              <w:right w:w="120" w:type="dxa"/>
            </w:tcMar>
            <w:vAlign w:val="center"/>
          </w:tcPr>
          <w:p w:rsidR="00243BB1" w:rsidRDefault="009F1CB6" w14:paraId="5520F471" w14:textId="77777777">
            <w:r>
              <w:rPr>
                <w:color w:val="000000"/>
                <w:sz w:val="20"/>
                <w:szCs w:val="20"/>
              </w:rPr>
              <w:t>C</w:t>
            </w:r>
          </w:p>
        </w:tc>
        <w:tc>
          <w:tcPr>
            <w:cnfStyle w:val="000010000000" w:firstRow="0" w:lastRow="0" w:firstColumn="0" w:lastColumn="0" w:oddVBand="1" w:evenVBand="0" w:oddHBand="0" w:evenHBand="0" w:firstRowFirstColumn="0" w:firstRowLastColumn="0" w:lastRowFirstColumn="0" w:lastRowLastColumn="0"/>
            <w:tcW w:w="1100" w:type="dxa"/>
            <w:tcBorders/>
            <w:shd w:val="clear" w:color="auto" w:fill="FFC000"/>
            <w:tcMar>
              <w:top w:w="80" w:type="dxa"/>
              <w:left w:w="120" w:type="dxa"/>
              <w:bottom w:w="80" w:type="dxa"/>
              <w:right w:w="120" w:type="dxa"/>
            </w:tcMar>
            <w:vAlign w:val="center"/>
          </w:tcPr>
          <w:p w:rsidR="00243BB1" w:rsidRDefault="009F1CB6" w14:paraId="6C4E695E" w14:textId="77777777">
            <w:r>
              <w:rPr>
                <w:color w:val="000000"/>
                <w:sz w:val="20"/>
                <w:szCs w:val="20"/>
              </w:rPr>
              <w:t>I</w:t>
            </w:r>
          </w:p>
        </w:tc>
        <w:tc>
          <w:tcPr>
            <w:cnfStyle w:val="000001000000" w:firstRow="0" w:lastRow="0" w:firstColumn="0" w:lastColumn="0" w:oddVBand="0" w:evenVBand="1" w:oddHBand="0" w:evenHBand="0" w:firstRowFirstColumn="0" w:firstRowLastColumn="0" w:lastRowFirstColumn="0" w:lastRowLastColumn="0"/>
            <w:tcW w:w="1100" w:type="dxa"/>
            <w:tcBorders/>
            <w:shd w:val="clear" w:color="auto" w:fill="E97132" w:themeFill="accent2"/>
            <w:tcMar>
              <w:top w:w="80" w:type="dxa"/>
              <w:left w:w="120" w:type="dxa"/>
              <w:bottom w:w="80" w:type="dxa"/>
              <w:right w:w="120" w:type="dxa"/>
            </w:tcMar>
            <w:vAlign w:val="center"/>
          </w:tcPr>
          <w:p w:rsidR="00243BB1" w:rsidRDefault="009F1CB6" w14:paraId="172D1E95" w14:textId="77777777">
            <w:r>
              <w:rPr>
                <w:b/>
                <w:bCs/>
                <w:color w:val="000000"/>
                <w:sz w:val="20"/>
                <w:szCs w:val="20"/>
              </w:rPr>
              <w:t>R/A</w:t>
            </w:r>
          </w:p>
        </w:tc>
        <w:tc>
          <w:tcPr>
            <w:cnfStyle w:val="000010000000" w:firstRow="0" w:lastRow="0" w:firstColumn="0" w:lastColumn="0" w:oddVBand="1" w:evenVBand="0" w:oddHBand="0" w:evenHBand="0" w:firstRowFirstColumn="0" w:firstRowLastColumn="0" w:lastRowFirstColumn="0" w:lastRowLastColumn="0"/>
            <w:tcW w:w="1100" w:type="dxa"/>
            <w:tcBorders/>
            <w:shd w:val="clear" w:color="auto" w:fill="0F9ED5" w:themeFill="accent4"/>
            <w:tcMar>
              <w:top w:w="80" w:type="dxa"/>
              <w:left w:w="120" w:type="dxa"/>
              <w:bottom w:w="80" w:type="dxa"/>
              <w:right w:w="120" w:type="dxa"/>
            </w:tcMar>
            <w:vAlign w:val="center"/>
          </w:tcPr>
          <w:p w:rsidR="00243BB1" w:rsidRDefault="009F1CB6" w14:paraId="38FAEF1B" w14:textId="77777777">
            <w:r>
              <w:rPr>
                <w:color w:val="000000"/>
                <w:sz w:val="20"/>
                <w:szCs w:val="20"/>
              </w:rPr>
              <w:t>C</w:t>
            </w:r>
          </w:p>
        </w:tc>
        <w:tc>
          <w:tcPr>
            <w:cnfStyle w:val="000001000000" w:firstRow="0" w:lastRow="0" w:firstColumn="0" w:lastColumn="0" w:oddVBand="0" w:evenVBand="1" w:oddHBand="0" w:evenHBand="0" w:firstRowFirstColumn="0" w:firstRowLastColumn="0" w:lastRowFirstColumn="0" w:lastRowLastColumn="0"/>
            <w:tcW w:w="1100" w:type="dxa"/>
            <w:tcBorders/>
            <w:shd w:val="clear" w:color="auto" w:fill="0F9ED5" w:themeFill="accent4"/>
            <w:tcMar>
              <w:top w:w="80" w:type="dxa"/>
              <w:left w:w="120" w:type="dxa"/>
              <w:bottom w:w="80" w:type="dxa"/>
              <w:right w:w="120" w:type="dxa"/>
            </w:tcMar>
            <w:vAlign w:val="center"/>
          </w:tcPr>
          <w:p w:rsidR="00243BB1" w:rsidRDefault="009F1CB6" w14:paraId="0DB3A266" w14:textId="77777777">
            <w:r>
              <w:rPr>
                <w:color w:val="000000"/>
                <w:sz w:val="20"/>
                <w:szCs w:val="20"/>
              </w:rPr>
              <w:t>C</w:t>
            </w:r>
          </w:p>
        </w:tc>
        <w:tc>
          <w:tcPr>
            <w:cnfStyle w:val="000010000000" w:firstRow="0" w:lastRow="0" w:firstColumn="0" w:lastColumn="0" w:oddVBand="1" w:evenVBand="0" w:oddHBand="0" w:evenHBand="0" w:firstRowFirstColumn="0" w:firstRowLastColumn="0" w:lastRowFirstColumn="0" w:lastRowLastColumn="0"/>
            <w:tcW w:w="1100" w:type="dxa"/>
            <w:tcBorders/>
            <w:shd w:val="clear" w:color="auto" w:fill="0F9ED5" w:themeFill="accent4"/>
            <w:tcMar>
              <w:top w:w="80" w:type="dxa"/>
              <w:left w:w="120" w:type="dxa"/>
              <w:bottom w:w="80" w:type="dxa"/>
              <w:right w:w="120" w:type="dxa"/>
            </w:tcMar>
            <w:vAlign w:val="center"/>
          </w:tcPr>
          <w:p w:rsidR="00243BB1" w:rsidRDefault="009F1CB6" w14:paraId="3F69D063" w14:textId="77777777">
            <w:r>
              <w:rPr>
                <w:color w:val="000000"/>
                <w:sz w:val="20"/>
                <w:szCs w:val="20"/>
              </w:rPr>
              <w:t>C</w:t>
            </w:r>
          </w:p>
        </w:tc>
      </w:tr>
      <w:tr w:rsidR="00243BB1" w:rsidTr="4FE059F7" w14:paraId="53E3BFFD" w14:textId="77777777">
        <w:tblPrEx>
          <w:tblCellMar>
            <w:top w:w="0" w:type="dxa"/>
            <w:bottom w:w="0" w:type="dxa"/>
          </w:tblCellMar>
        </w:tblPrEx>
        <w:tc>
          <w:tcPr>
            <w:cnfStyle w:val="000010000000" w:firstRow="0" w:lastRow="0" w:firstColumn="0" w:lastColumn="0" w:oddVBand="1" w:evenVBand="0" w:oddHBand="0" w:evenHBand="0" w:firstRowFirstColumn="0" w:firstRowLastColumn="0" w:lastRowFirstColumn="0" w:lastRowLastColumn="0"/>
            <w:tcW w:w="2200" w:type="dxa"/>
            <w:tcBorders/>
            <w:tcMar>
              <w:top w:w="80" w:type="dxa"/>
              <w:left w:w="120" w:type="dxa"/>
              <w:bottom w:w="80" w:type="dxa"/>
              <w:right w:w="120" w:type="dxa"/>
            </w:tcMar>
            <w:vAlign w:val="center"/>
          </w:tcPr>
          <w:p w:rsidR="00243BB1" w:rsidRDefault="009F1CB6" w14:paraId="283A7A9F" w14:textId="77777777">
            <w:r>
              <w:rPr>
                <w:color w:val="000000"/>
                <w:sz w:val="20"/>
                <w:szCs w:val="20"/>
              </w:rPr>
              <w:t>Regulatory Compliance</w:t>
            </w:r>
          </w:p>
        </w:tc>
        <w:tc>
          <w:tcPr>
            <w:cnfStyle w:val="000001000000" w:firstRow="0" w:lastRow="0" w:firstColumn="0" w:lastColumn="0" w:oddVBand="0" w:evenVBand="1" w:oddHBand="0" w:evenHBand="0" w:firstRowFirstColumn="0" w:firstRowLastColumn="0" w:lastRowFirstColumn="0" w:lastRowLastColumn="0"/>
            <w:tcW w:w="1100" w:type="dxa"/>
            <w:tcBorders/>
            <w:shd w:val="clear" w:color="auto" w:fill="E97132" w:themeFill="accent2"/>
            <w:tcMar>
              <w:top w:w="80" w:type="dxa"/>
              <w:left w:w="120" w:type="dxa"/>
              <w:bottom w:w="80" w:type="dxa"/>
              <w:right w:w="120" w:type="dxa"/>
            </w:tcMar>
            <w:vAlign w:val="center"/>
          </w:tcPr>
          <w:p w:rsidR="00243BB1" w:rsidRDefault="009F1CB6" w14:paraId="667EFBA1" w14:textId="77777777">
            <w:r>
              <w:rPr>
                <w:b/>
                <w:bCs/>
                <w:color w:val="000000"/>
                <w:sz w:val="20"/>
                <w:szCs w:val="20"/>
              </w:rPr>
              <w:t>A</w:t>
            </w:r>
          </w:p>
        </w:tc>
        <w:tc>
          <w:tcPr>
            <w:cnfStyle w:val="000010000000" w:firstRow="0" w:lastRow="0" w:firstColumn="0" w:lastColumn="0" w:oddVBand="1" w:evenVBand="0" w:oddHBand="0" w:evenHBand="0" w:firstRowFirstColumn="0" w:firstRowLastColumn="0" w:lastRowFirstColumn="0" w:lastRowLastColumn="0"/>
            <w:tcW w:w="1100" w:type="dxa"/>
            <w:tcBorders/>
            <w:shd w:val="clear" w:color="auto" w:fill="C00000"/>
            <w:tcMar>
              <w:top w:w="80" w:type="dxa"/>
              <w:left w:w="120" w:type="dxa"/>
              <w:bottom w:w="80" w:type="dxa"/>
              <w:right w:w="120" w:type="dxa"/>
            </w:tcMar>
            <w:vAlign w:val="center"/>
          </w:tcPr>
          <w:p w:rsidR="00243BB1" w:rsidRDefault="009F1CB6" w14:paraId="30882F79" w14:textId="77777777">
            <w:r>
              <w:rPr>
                <w:b/>
                <w:bCs/>
                <w:color w:val="000000"/>
                <w:sz w:val="20"/>
                <w:szCs w:val="20"/>
              </w:rPr>
              <w:t>R</w:t>
            </w:r>
          </w:p>
        </w:tc>
        <w:tc>
          <w:tcPr>
            <w:cnfStyle w:val="000001000000" w:firstRow="0" w:lastRow="0" w:firstColumn="0" w:lastColumn="0" w:oddVBand="0" w:evenVBand="1" w:oddHBand="0" w:evenHBand="0" w:firstRowFirstColumn="0" w:firstRowLastColumn="0" w:lastRowFirstColumn="0" w:lastRowLastColumn="0"/>
            <w:tcW w:w="1100" w:type="dxa"/>
            <w:tcBorders/>
            <w:shd w:val="clear" w:color="auto" w:fill="FFC000"/>
            <w:tcMar>
              <w:top w:w="80" w:type="dxa"/>
              <w:left w:w="120" w:type="dxa"/>
              <w:bottom w:w="80" w:type="dxa"/>
              <w:right w:w="120" w:type="dxa"/>
            </w:tcMar>
            <w:vAlign w:val="center"/>
          </w:tcPr>
          <w:p w:rsidR="00243BB1" w:rsidRDefault="009F1CB6" w14:paraId="73920294" w14:textId="77777777">
            <w:r>
              <w:rPr>
                <w:color w:val="000000"/>
                <w:sz w:val="20"/>
                <w:szCs w:val="20"/>
              </w:rPr>
              <w:t>I</w:t>
            </w:r>
          </w:p>
        </w:tc>
        <w:tc>
          <w:tcPr>
            <w:cnfStyle w:val="000010000000" w:firstRow="0" w:lastRow="0" w:firstColumn="0" w:lastColumn="0" w:oddVBand="1" w:evenVBand="0" w:oddHBand="0" w:evenHBand="0" w:firstRowFirstColumn="0" w:firstRowLastColumn="0" w:lastRowFirstColumn="0" w:lastRowLastColumn="0"/>
            <w:tcW w:w="1100" w:type="dxa"/>
            <w:tcBorders/>
            <w:shd w:val="clear" w:color="auto" w:fill="FFC000"/>
            <w:tcMar>
              <w:top w:w="80" w:type="dxa"/>
              <w:left w:w="120" w:type="dxa"/>
              <w:bottom w:w="80" w:type="dxa"/>
              <w:right w:w="120" w:type="dxa"/>
            </w:tcMar>
            <w:vAlign w:val="center"/>
          </w:tcPr>
          <w:p w:rsidR="00243BB1" w:rsidRDefault="009F1CB6" w14:paraId="4379EEDD" w14:textId="77777777">
            <w:r>
              <w:rPr>
                <w:color w:val="000000"/>
                <w:sz w:val="20"/>
                <w:szCs w:val="20"/>
              </w:rPr>
              <w:t>I</w:t>
            </w:r>
          </w:p>
        </w:tc>
        <w:tc>
          <w:tcPr>
            <w:cnfStyle w:val="000001000000" w:firstRow="0" w:lastRow="0" w:firstColumn="0" w:lastColumn="0" w:oddVBand="0" w:evenVBand="1" w:oddHBand="0" w:evenHBand="0" w:firstRowFirstColumn="0" w:firstRowLastColumn="0" w:lastRowFirstColumn="0" w:lastRowLastColumn="0"/>
            <w:tcW w:w="1100" w:type="dxa"/>
            <w:tcBorders/>
            <w:shd w:val="clear" w:color="auto" w:fill="0F9ED5" w:themeFill="accent4"/>
            <w:tcMar>
              <w:top w:w="80" w:type="dxa"/>
              <w:left w:w="120" w:type="dxa"/>
              <w:bottom w:w="80" w:type="dxa"/>
              <w:right w:w="120" w:type="dxa"/>
            </w:tcMar>
            <w:vAlign w:val="center"/>
          </w:tcPr>
          <w:p w:rsidR="00243BB1" w:rsidRDefault="009F1CB6" w14:paraId="37CD5AF2" w14:textId="77777777">
            <w:r>
              <w:rPr>
                <w:color w:val="000000"/>
                <w:sz w:val="20"/>
                <w:szCs w:val="20"/>
              </w:rPr>
              <w:t>C</w:t>
            </w:r>
          </w:p>
        </w:tc>
        <w:tc>
          <w:tcPr>
            <w:cnfStyle w:val="000010000000" w:firstRow="0" w:lastRow="0" w:firstColumn="0" w:lastColumn="0" w:oddVBand="1" w:evenVBand="0" w:oddHBand="0" w:evenHBand="0" w:firstRowFirstColumn="0" w:firstRowLastColumn="0" w:lastRowFirstColumn="0" w:lastRowLastColumn="0"/>
            <w:tcW w:w="1100" w:type="dxa"/>
            <w:tcBorders/>
            <w:shd w:val="clear" w:color="auto" w:fill="0F9ED5" w:themeFill="accent4"/>
            <w:tcMar>
              <w:top w:w="80" w:type="dxa"/>
              <w:left w:w="120" w:type="dxa"/>
              <w:bottom w:w="80" w:type="dxa"/>
              <w:right w:w="120" w:type="dxa"/>
            </w:tcMar>
            <w:vAlign w:val="center"/>
          </w:tcPr>
          <w:p w:rsidR="00243BB1" w:rsidRDefault="009F1CB6" w14:paraId="5C26B467" w14:textId="77777777">
            <w:r>
              <w:rPr>
                <w:color w:val="000000"/>
                <w:sz w:val="20"/>
                <w:szCs w:val="20"/>
              </w:rPr>
              <w:t>C</w:t>
            </w:r>
          </w:p>
        </w:tc>
      </w:tr>
      <w:tr w:rsidR="00243BB1" w:rsidTr="4FE059F7" w14:paraId="52612497" w14:textId="77777777">
        <w:tblPrEx>
          <w:tblCellMar>
            <w:top w:w="0" w:type="dxa"/>
            <w:bottom w:w="0" w:type="dxa"/>
          </w:tblCellMar>
        </w:tblPrEx>
        <w:tc>
          <w:tcPr>
            <w:cnfStyle w:val="000010000000" w:firstRow="0" w:lastRow="0" w:firstColumn="0" w:lastColumn="0" w:oddVBand="1" w:evenVBand="0" w:oddHBand="0" w:evenHBand="0" w:firstRowFirstColumn="0" w:firstRowLastColumn="0" w:lastRowFirstColumn="0" w:lastRowLastColumn="0"/>
            <w:tcW w:w="2200" w:type="dxa"/>
            <w:tcBorders/>
            <w:tcMar>
              <w:top w:w="80" w:type="dxa"/>
              <w:left w:w="120" w:type="dxa"/>
              <w:bottom w:w="80" w:type="dxa"/>
              <w:right w:w="120" w:type="dxa"/>
            </w:tcMar>
            <w:vAlign w:val="center"/>
          </w:tcPr>
          <w:p w:rsidR="00243BB1" w:rsidRDefault="009F1CB6" w14:paraId="63492E51" w14:textId="77777777">
            <w:r>
              <w:rPr>
                <w:color w:val="000000"/>
                <w:sz w:val="20"/>
                <w:szCs w:val="20"/>
              </w:rPr>
              <w:t>Budget Control</w:t>
            </w:r>
          </w:p>
        </w:tc>
        <w:tc>
          <w:tcPr>
            <w:cnfStyle w:val="000001000000" w:firstRow="0" w:lastRow="0" w:firstColumn="0" w:lastColumn="0" w:oddVBand="0" w:evenVBand="1" w:oddHBand="0" w:evenHBand="0" w:firstRowFirstColumn="0" w:firstRowLastColumn="0" w:lastRowFirstColumn="0" w:lastRowLastColumn="0"/>
            <w:tcW w:w="1100" w:type="dxa"/>
            <w:tcBorders/>
            <w:shd w:val="clear" w:color="auto" w:fill="E97132" w:themeFill="accent2"/>
            <w:tcMar>
              <w:top w:w="80" w:type="dxa"/>
              <w:left w:w="120" w:type="dxa"/>
              <w:bottom w:w="80" w:type="dxa"/>
              <w:right w:w="120" w:type="dxa"/>
            </w:tcMar>
            <w:vAlign w:val="center"/>
          </w:tcPr>
          <w:p w:rsidR="00243BB1" w:rsidRDefault="009F1CB6" w14:paraId="0982B85D" w14:textId="77777777">
            <w:r>
              <w:rPr>
                <w:b/>
                <w:bCs/>
                <w:color w:val="000000"/>
                <w:sz w:val="20"/>
                <w:szCs w:val="20"/>
              </w:rPr>
              <w:t>A</w:t>
            </w:r>
          </w:p>
        </w:tc>
        <w:tc>
          <w:tcPr>
            <w:cnfStyle w:val="000010000000" w:firstRow="0" w:lastRow="0" w:firstColumn="0" w:lastColumn="0" w:oddVBand="1" w:evenVBand="0" w:oddHBand="0" w:evenHBand="0" w:firstRowFirstColumn="0" w:firstRowLastColumn="0" w:lastRowFirstColumn="0" w:lastRowLastColumn="0"/>
            <w:tcW w:w="1100" w:type="dxa"/>
            <w:tcBorders/>
            <w:shd w:val="clear" w:color="auto" w:fill="FFC000"/>
            <w:tcMar>
              <w:top w:w="80" w:type="dxa"/>
              <w:left w:w="120" w:type="dxa"/>
              <w:bottom w:w="80" w:type="dxa"/>
              <w:right w:w="120" w:type="dxa"/>
            </w:tcMar>
            <w:vAlign w:val="center"/>
          </w:tcPr>
          <w:p w:rsidR="00243BB1" w:rsidRDefault="009F1CB6" w14:paraId="76E78094" w14:textId="77777777">
            <w:r>
              <w:rPr>
                <w:color w:val="000000"/>
                <w:sz w:val="20"/>
                <w:szCs w:val="20"/>
              </w:rPr>
              <w:t>I</w:t>
            </w:r>
          </w:p>
        </w:tc>
        <w:tc>
          <w:tcPr>
            <w:cnfStyle w:val="000001000000" w:firstRow="0" w:lastRow="0" w:firstColumn="0" w:lastColumn="0" w:oddVBand="0" w:evenVBand="1" w:oddHBand="0" w:evenHBand="0" w:firstRowFirstColumn="0" w:firstRowLastColumn="0" w:lastRowFirstColumn="0" w:lastRowLastColumn="0"/>
            <w:tcW w:w="1100" w:type="dxa"/>
            <w:tcBorders/>
            <w:shd w:val="clear" w:color="auto" w:fill="FFC000"/>
            <w:tcMar>
              <w:top w:w="80" w:type="dxa"/>
              <w:left w:w="120" w:type="dxa"/>
              <w:bottom w:w="80" w:type="dxa"/>
              <w:right w:w="120" w:type="dxa"/>
            </w:tcMar>
            <w:vAlign w:val="center"/>
          </w:tcPr>
          <w:p w:rsidR="00243BB1" w:rsidRDefault="009F1CB6" w14:paraId="2A3CA1D5" w14:textId="77777777">
            <w:r>
              <w:rPr>
                <w:color w:val="000000"/>
                <w:sz w:val="20"/>
                <w:szCs w:val="20"/>
              </w:rPr>
              <w:t>I</w:t>
            </w:r>
          </w:p>
        </w:tc>
        <w:tc>
          <w:tcPr>
            <w:cnfStyle w:val="000010000000" w:firstRow="0" w:lastRow="0" w:firstColumn="0" w:lastColumn="0" w:oddVBand="1" w:evenVBand="0" w:oddHBand="0" w:evenHBand="0" w:firstRowFirstColumn="0" w:firstRowLastColumn="0" w:lastRowFirstColumn="0" w:lastRowLastColumn="0"/>
            <w:tcW w:w="1100" w:type="dxa"/>
            <w:tcBorders/>
            <w:shd w:val="clear" w:color="auto" w:fill="FFC000"/>
            <w:tcMar>
              <w:top w:w="80" w:type="dxa"/>
              <w:left w:w="120" w:type="dxa"/>
              <w:bottom w:w="80" w:type="dxa"/>
              <w:right w:w="120" w:type="dxa"/>
            </w:tcMar>
            <w:vAlign w:val="center"/>
          </w:tcPr>
          <w:p w:rsidR="00243BB1" w:rsidRDefault="009F1CB6" w14:paraId="731929CA" w14:textId="77777777">
            <w:r>
              <w:rPr>
                <w:color w:val="000000"/>
                <w:sz w:val="20"/>
                <w:szCs w:val="20"/>
              </w:rPr>
              <w:t>I</w:t>
            </w:r>
          </w:p>
        </w:tc>
        <w:tc>
          <w:tcPr>
            <w:cnfStyle w:val="000001000000" w:firstRow="0" w:lastRow="0" w:firstColumn="0" w:lastColumn="0" w:oddVBand="0" w:evenVBand="1" w:oddHBand="0" w:evenHBand="0" w:firstRowFirstColumn="0" w:firstRowLastColumn="0" w:lastRowFirstColumn="0" w:lastRowLastColumn="0"/>
            <w:tcW w:w="1100" w:type="dxa"/>
            <w:tcBorders/>
            <w:shd w:val="clear" w:color="auto" w:fill="C00000"/>
            <w:tcMar>
              <w:top w:w="80" w:type="dxa"/>
              <w:left w:w="120" w:type="dxa"/>
              <w:bottom w:w="80" w:type="dxa"/>
              <w:right w:w="120" w:type="dxa"/>
            </w:tcMar>
            <w:vAlign w:val="center"/>
          </w:tcPr>
          <w:p w:rsidR="00243BB1" w:rsidRDefault="009F1CB6" w14:paraId="27651A2D" w14:textId="77777777">
            <w:r>
              <w:rPr>
                <w:b/>
                <w:bCs/>
                <w:color w:val="000000"/>
                <w:sz w:val="20"/>
                <w:szCs w:val="20"/>
              </w:rPr>
              <w:t>R</w:t>
            </w:r>
          </w:p>
        </w:tc>
        <w:tc>
          <w:tcPr>
            <w:cnfStyle w:val="000010000000" w:firstRow="0" w:lastRow="0" w:firstColumn="0" w:lastColumn="0" w:oddVBand="1" w:evenVBand="0" w:oddHBand="0" w:evenHBand="0" w:firstRowFirstColumn="0" w:firstRowLastColumn="0" w:lastRowFirstColumn="0" w:lastRowLastColumn="0"/>
            <w:tcW w:w="1100" w:type="dxa"/>
            <w:tcBorders/>
            <w:shd w:val="clear" w:color="auto" w:fill="0F9ED5" w:themeFill="accent4"/>
            <w:tcMar>
              <w:top w:w="80" w:type="dxa"/>
              <w:left w:w="120" w:type="dxa"/>
              <w:bottom w:w="80" w:type="dxa"/>
              <w:right w:w="120" w:type="dxa"/>
            </w:tcMar>
            <w:vAlign w:val="center"/>
          </w:tcPr>
          <w:p w:rsidR="00243BB1" w:rsidRDefault="009F1CB6" w14:paraId="6CAA0A7C" w14:textId="77777777">
            <w:r>
              <w:rPr>
                <w:color w:val="000000"/>
                <w:sz w:val="20"/>
                <w:szCs w:val="20"/>
              </w:rPr>
              <w:t>C</w:t>
            </w:r>
          </w:p>
        </w:tc>
      </w:tr>
    </w:tbl>
    <w:p w:rsidR="00243BB1" w:rsidP="4FE059F7" w:rsidRDefault="009F1CB6" w14:paraId="73C5A41F" w14:textId="3D6F2B0F">
      <w:pPr>
        <w:pStyle w:val="Normal"/>
        <w:suppressLineNumbers w:val="0"/>
        <w:bidi w:val="0"/>
        <w:spacing w:before="80" w:beforeAutospacing="off" w:after="160" w:afterAutospacing="off" w:line="259" w:lineRule="auto"/>
        <w:ind w:left="0" w:right="0"/>
        <w:jc w:val="left"/>
      </w:pPr>
      <w:r w:rsidRPr="4FE059F7" w:rsidR="7D7A9190">
        <w:rPr>
          <w:i w:val="1"/>
          <w:iCs w:val="1"/>
          <w:color w:val="555555"/>
          <w:sz w:val="18"/>
          <w:szCs w:val="18"/>
        </w:rPr>
        <w:t>Key:</w:t>
      </w:r>
      <w:r w:rsidRPr="4FE059F7" w:rsidR="35BB32F0">
        <w:rPr>
          <w:i w:val="1"/>
          <w:iCs w:val="1"/>
          <w:color w:val="555555"/>
          <w:sz w:val="18"/>
          <w:szCs w:val="18"/>
        </w:rPr>
        <w:t xml:space="preserve"> </w:t>
      </w:r>
      <w:r w:rsidRPr="4FE059F7" w:rsidR="29B4F6C0">
        <w:rPr>
          <w:i w:val="1"/>
          <w:iCs w:val="1"/>
          <w:color w:val="555555"/>
          <w:sz w:val="18"/>
          <w:szCs w:val="18"/>
        </w:rPr>
        <w:t xml:space="preserve"> </w:t>
      </w:r>
      <w:r w:rsidRPr="4FE059F7" w:rsidR="7D7A9190">
        <w:rPr>
          <w:i w:val="1"/>
          <w:iCs w:val="1"/>
          <w:color w:val="555555"/>
          <w:sz w:val="18"/>
          <w:szCs w:val="18"/>
        </w:rPr>
        <w:t xml:space="preserve"> </w:t>
      </w:r>
      <w:r w:rsidRPr="4FE059F7" w:rsidR="37A12EEA">
        <w:rPr>
          <w:i w:val="1"/>
          <w:iCs w:val="1"/>
          <w:color w:val="555555"/>
          <w:sz w:val="18"/>
          <w:szCs w:val="18"/>
        </w:rPr>
        <w:t>R</w:t>
      </w:r>
      <w:r w:rsidRPr="4FE059F7" w:rsidR="279133CD">
        <w:rPr>
          <w:i w:val="1"/>
          <w:iCs w:val="1"/>
          <w:color w:val="555555"/>
          <w:sz w:val="18"/>
          <w:szCs w:val="18"/>
        </w:rPr>
        <w:t xml:space="preserve"> =</w:t>
      </w:r>
      <w:r w:rsidRPr="4FE059F7" w:rsidR="7D7A9190">
        <w:rPr>
          <w:i w:val="1"/>
          <w:iCs w:val="1"/>
          <w:color w:val="555555"/>
          <w:sz w:val="18"/>
          <w:szCs w:val="18"/>
        </w:rPr>
        <w:t xml:space="preserve"> </w:t>
      </w:r>
      <w:r w:rsidRPr="4FE059F7" w:rsidR="103282B4">
        <w:rPr>
          <w:i w:val="1"/>
          <w:iCs w:val="1"/>
          <w:color w:val="555555"/>
          <w:sz w:val="18"/>
          <w:szCs w:val="18"/>
        </w:rPr>
        <w:t xml:space="preserve">Responsible </w:t>
      </w:r>
      <w:r w:rsidRPr="4FE059F7" w:rsidR="3FBB90EC">
        <w:rPr>
          <w:i w:val="1"/>
          <w:iCs w:val="1"/>
          <w:color w:val="555555"/>
          <w:sz w:val="18"/>
          <w:szCs w:val="18"/>
        </w:rPr>
        <w:t>| A</w:t>
      </w:r>
      <w:r w:rsidRPr="4FE059F7" w:rsidR="7D7A9190">
        <w:rPr>
          <w:i w:val="1"/>
          <w:iCs w:val="1"/>
          <w:color w:val="555555"/>
          <w:sz w:val="18"/>
          <w:szCs w:val="18"/>
        </w:rPr>
        <w:t xml:space="preserve"> = </w:t>
      </w:r>
      <w:r w:rsidRPr="4FE059F7" w:rsidR="347FF4C4">
        <w:rPr>
          <w:i w:val="1"/>
          <w:iCs w:val="1"/>
          <w:color w:val="555555"/>
          <w:sz w:val="18"/>
          <w:szCs w:val="18"/>
        </w:rPr>
        <w:t xml:space="preserve">Accountable </w:t>
      </w:r>
      <w:r w:rsidRPr="4FE059F7" w:rsidR="6A9CC589">
        <w:rPr>
          <w:i w:val="1"/>
          <w:iCs w:val="1"/>
          <w:color w:val="555555"/>
          <w:sz w:val="18"/>
          <w:szCs w:val="18"/>
        </w:rPr>
        <w:t xml:space="preserve">| </w:t>
      </w:r>
      <w:r w:rsidRPr="4FE059F7" w:rsidR="6A9CC589">
        <w:rPr>
          <w:i w:val="1"/>
          <w:iCs w:val="1"/>
          <w:color w:val="555555"/>
          <w:sz w:val="18"/>
          <w:szCs w:val="18"/>
        </w:rPr>
        <w:t>C</w:t>
      </w:r>
      <w:r w:rsidRPr="4FE059F7" w:rsidR="7D7A9190">
        <w:rPr>
          <w:i w:val="1"/>
          <w:iCs w:val="1"/>
          <w:color w:val="555555"/>
          <w:sz w:val="18"/>
          <w:szCs w:val="18"/>
        </w:rPr>
        <w:t xml:space="preserve"> = </w:t>
      </w:r>
      <w:r w:rsidRPr="4FE059F7" w:rsidR="2AE8321C">
        <w:rPr>
          <w:i w:val="1"/>
          <w:iCs w:val="1"/>
          <w:color w:val="555555"/>
          <w:sz w:val="18"/>
          <w:szCs w:val="18"/>
        </w:rPr>
        <w:t xml:space="preserve">Consulted </w:t>
      </w:r>
      <w:r w:rsidRPr="4FE059F7" w:rsidR="5DFFBE2D">
        <w:rPr>
          <w:i w:val="1"/>
          <w:iCs w:val="1"/>
          <w:color w:val="555555"/>
          <w:sz w:val="18"/>
          <w:szCs w:val="18"/>
        </w:rPr>
        <w:t>| I</w:t>
      </w:r>
      <w:r w:rsidRPr="4FE059F7" w:rsidR="7D7A9190">
        <w:rPr>
          <w:i w:val="1"/>
          <w:iCs w:val="1"/>
          <w:color w:val="555555"/>
          <w:sz w:val="18"/>
          <w:szCs w:val="18"/>
        </w:rPr>
        <w:t xml:space="preserve"> = Informed</w:t>
      </w:r>
    </w:p>
    <w:p w:rsidR="65B18DDF" w:rsidP="4FE059F7" w:rsidRDefault="65B18DDF" w14:paraId="53171CB6" w14:textId="00B43D8F">
      <w:pPr>
        <w:pStyle w:val="Normal"/>
        <w:suppressLineNumbers w:val="0"/>
        <w:bidi w:val="0"/>
        <w:spacing w:before="0" w:beforeAutospacing="off" w:after="120" w:afterAutospacing="off" w:line="259" w:lineRule="auto"/>
        <w:ind w:left="0" w:right="0"/>
        <w:jc w:val="left"/>
      </w:pPr>
      <w:r w:rsidR="65B18DDF">
        <w:rPr/>
        <w:t>The colour-coded RACI Matrix reinforces Hilton’s structured goveran</w:t>
      </w:r>
      <w:r w:rsidR="0826C832">
        <w:rPr/>
        <w:t>ace approach by clearly delineating accountability across stakehol</w:t>
      </w:r>
      <w:r w:rsidR="108965C0">
        <w:rPr/>
        <w:t>der group a defined role- Responsible</w:t>
      </w:r>
      <w:r w:rsidR="0B3B7CAD">
        <w:rPr/>
        <w:t xml:space="preserve">, Accountable, </w:t>
      </w:r>
      <w:r w:rsidR="0B3B7CAD">
        <w:rPr/>
        <w:t>Consulted</w:t>
      </w:r>
      <w:r w:rsidR="0B3B7CAD">
        <w:rPr/>
        <w:t xml:space="preserve"> and Inform</w:t>
      </w:r>
      <w:r w:rsidR="68D27C0F">
        <w:rPr/>
        <w:t xml:space="preserve">ed, the Matrix ensures transparency, prevents duplication of </w:t>
      </w:r>
      <w:r w:rsidR="68D27C0F">
        <w:rPr/>
        <w:t>eff</w:t>
      </w:r>
      <w:r w:rsidR="7FB01FD7">
        <w:rPr/>
        <w:t>ort</w:t>
      </w:r>
      <w:r w:rsidR="7FB01FD7">
        <w:rPr/>
        <w:t xml:space="preserve"> and supports </w:t>
      </w:r>
      <w:r w:rsidR="0544BEBA">
        <w:rPr/>
        <w:t>efficient</w:t>
      </w:r>
      <w:r w:rsidR="7FB01FD7">
        <w:rPr/>
        <w:t xml:space="preserve"> collaboration. This visual</w:t>
      </w:r>
      <w:r w:rsidR="5D1A0B6A">
        <w:rPr/>
        <w:t xml:space="preserve"> clarity strengthens communication between departments such as Operation</w:t>
      </w:r>
      <w:r w:rsidR="4CAC8915">
        <w:rPr/>
        <w:t xml:space="preserve">s, Marketing, Finance and </w:t>
      </w:r>
      <w:r w:rsidR="55AD779F">
        <w:rPr/>
        <w:t>aligning</w:t>
      </w:r>
      <w:r w:rsidR="63FA1AB3">
        <w:rPr/>
        <w:t xml:space="preserve"> decision-making with Hilton’s strategic </w:t>
      </w:r>
      <w:r w:rsidR="63FA1AB3">
        <w:rPr/>
        <w:t>objectives</w:t>
      </w:r>
      <w:r w:rsidR="63FA1AB3">
        <w:rPr/>
        <w:t xml:space="preserve">. </w:t>
      </w:r>
      <w:r w:rsidR="64B099CA">
        <w:rPr/>
        <w:t xml:space="preserve">The use colour </w:t>
      </w:r>
      <w:r w:rsidR="0EAD5038">
        <w:rPr/>
        <w:t xml:space="preserve">coding </w:t>
      </w:r>
      <w:r w:rsidR="1A918B07">
        <w:rPr/>
        <w:t>enhances</w:t>
      </w:r>
      <w:r w:rsidR="0EAD5038">
        <w:rPr/>
        <w:t xml:space="preserve"> readability and enables quick </w:t>
      </w:r>
      <w:r w:rsidR="3F40C643">
        <w:rPr/>
        <w:t>identification</w:t>
      </w:r>
      <w:r w:rsidR="1EAF5DB6">
        <w:rPr/>
        <w:t xml:space="preserve"> of </w:t>
      </w:r>
      <w:r w:rsidR="401B3725">
        <w:rPr/>
        <w:t>responsibility</w:t>
      </w:r>
      <w:r w:rsidR="1EAF5DB6">
        <w:rPr/>
        <w:t xml:space="preserve"> levels, prom</w:t>
      </w:r>
      <w:r w:rsidR="25BBB130">
        <w:rPr/>
        <w:t>ot</w:t>
      </w:r>
      <w:r w:rsidR="1EAF5DB6">
        <w:rPr/>
        <w:t>ing a cu</w:t>
      </w:r>
      <w:r w:rsidR="383893B3">
        <w:rPr/>
        <w:t xml:space="preserve">lture of shared ownership and continuous improvement within the </w:t>
      </w:r>
      <w:r w:rsidR="383893B3">
        <w:rPr/>
        <w:t>StaySmart</w:t>
      </w:r>
      <w:r w:rsidR="34D74EC8">
        <w:rPr/>
        <w:t>+ project,</w:t>
      </w:r>
      <w:r w:rsidR="383893B3">
        <w:rPr/>
        <w:t xml:space="preserve"> </w:t>
      </w:r>
    </w:p>
    <w:p w:rsidR="00243BB1" w:rsidRDefault="009F1CB6" w14:paraId="39C34D5D" w14:textId="77777777">
      <w:pPr>
        <w:pStyle w:val="Heading1"/>
        <w:shd w:val="clear" w:color="auto" w:fill="003580"/>
        <w:ind w:left="180"/>
      </w:pPr>
      <w:r>
        <w:t>6.  The Stakeholder Engagement Process: The 4Cs Model</w:t>
      </w:r>
    </w:p>
    <w:p w:rsidR="00243BB1" w:rsidRDefault="009F1CB6" w14:paraId="147BAF13" w14:textId="77777777">
      <w:pPr>
        <w:spacing w:after="120"/>
        <w:jc w:val="both"/>
      </w:pPr>
      <w:r>
        <w:rPr>
          <w:color w:val="000000"/>
        </w:rPr>
        <w:t>As Project Manager, my responsibility extends beyond mere identification and categorisation of stakeholders; it encompasses the design and management of a dynamic, trust-based engagement process. This section critically examines the engagement process through the lens of the 4Cs Model – Communication, Collaboration, Consultation, and Commitment – and evaluates methodologies for conflict management.</w:t>
      </w:r>
    </w:p>
    <w:p w:rsidR="00243BB1" w:rsidRDefault="009F1CB6" w14:paraId="67F815EF" w14:textId="77777777">
      <w:pPr>
        <w:pStyle w:val="Heading2"/>
        <w:pBdr>
          <w:bottom w:val="single" w:color="D4A94B" w:sz="4" w:space="1"/>
        </w:pBdr>
      </w:pPr>
      <w:r>
        <w:t>6.1  Communication</w:t>
      </w:r>
    </w:p>
    <w:p w:rsidR="00243BB1" w:rsidRDefault="009F1CB6" w14:paraId="336E6E35" w14:textId="77777777">
      <w:pPr>
        <w:spacing w:after="120"/>
        <w:jc w:val="both"/>
      </w:pPr>
      <w:r>
        <w:rPr>
          <w:color w:val="000000"/>
        </w:rPr>
        <w:t xml:space="preserve">Effective communication is the cornerstone of stakeholder engagement. Scholars such as Clutterbuck and </w:t>
      </w:r>
      <w:proofErr w:type="spellStart"/>
      <w:r>
        <w:rPr>
          <w:color w:val="000000"/>
        </w:rPr>
        <w:t>Hirst</w:t>
      </w:r>
      <w:proofErr w:type="spellEnd"/>
      <w:r>
        <w:rPr>
          <w:color w:val="000000"/>
        </w:rPr>
        <w:t xml:space="preserve"> (2002) and Christopher, Payne and Ballantyne (2013) emphasise that relational communication must be consistent, transparent, and audience-adapted. For </w:t>
      </w:r>
      <w:proofErr w:type="spellStart"/>
      <w:r>
        <w:rPr>
          <w:color w:val="000000"/>
        </w:rPr>
        <w:t>StaySmart</w:t>
      </w:r>
      <w:proofErr w:type="spellEnd"/>
      <w:r>
        <w:rPr>
          <w:color w:val="000000"/>
        </w:rPr>
        <w:t>+, a multi-channel communication architecture is essential given the geographic spread and functional diversity of the stakeholder landscape.</w:t>
      </w:r>
    </w:p>
    <w:p w:rsidR="00243BB1" w:rsidRDefault="009F1CB6" w14:paraId="2E86AED0" w14:textId="77777777">
      <w:pPr>
        <w:spacing w:after="120"/>
        <w:jc w:val="both"/>
      </w:pPr>
      <w:r>
        <w:rPr>
          <w:color w:val="000000"/>
        </w:rPr>
        <w:t xml:space="preserve">Internally, I will deploy a tiered communication model: fortnightly project steering committee reports for Senior Leadership; weekly cross-functional team stand-ups for IT, Marketing, and Operations; and monthly digital bulletins to General Managers across participating properties. Externally, a dedicated </w:t>
      </w:r>
      <w:proofErr w:type="spellStart"/>
      <w:r>
        <w:rPr>
          <w:color w:val="000000"/>
        </w:rPr>
        <w:t>StaySmart</w:t>
      </w:r>
      <w:proofErr w:type="spellEnd"/>
      <w:r>
        <w:rPr>
          <w:color w:val="000000"/>
        </w:rPr>
        <w:t>+ Partner Portal will provide Franchise Owners with real-time project updates, training resources, and technical documentation. Technology partners will be engaged through structured service review meetings aligned with contractual milestones.</w:t>
      </w:r>
    </w:p>
    <w:p w:rsidR="00243BB1" w:rsidRDefault="009F1CB6" w14:paraId="7FED26F1" w14:textId="77777777">
      <w:pPr>
        <w:spacing w:after="120"/>
        <w:jc w:val="both"/>
      </w:pPr>
      <w:r>
        <w:rPr>
          <w:color w:val="000000"/>
        </w:rPr>
        <w:t xml:space="preserve">Cultural sensitivity in communication is particularly critical for international markets. As Hofstede's (1980) cultural dimensions theory demonstrates, communication preferences differ significantly across high-context cultures (such as Japan and China, where indirect communication and relationship-building precede formal engagement) and low-context cultures (such as the USA and Germany, where direct, data-driven communication is preferred). The Communication Plan incorporates culturally adapted messaging, </w:t>
      </w:r>
      <w:r>
        <w:rPr>
          <w:color w:val="000000"/>
        </w:rPr>
        <w:t>with regional Communication Leads appointed in key markets (Asia-Pacific, Middle East, Europe, and the Americas) to ensure localisation and contextual appropriateness.</w:t>
      </w:r>
    </w:p>
    <w:p w:rsidR="00243BB1" w:rsidP="295E3045" w:rsidRDefault="009F1CB6" w14:paraId="47FBF365" w14:textId="7EDBFFE9">
      <w:pPr>
        <w:pStyle w:val="Heading2"/>
        <w:pBdr>
          <w:bottom w:val="single" w:color="D4A94B" w:sz="4" w:space="1"/>
        </w:pBdr>
      </w:pPr>
      <w:r w:rsidR="371C88AB">
        <w:rPr/>
        <w:t>6.2 Collaboration</w:t>
      </w:r>
    </w:p>
    <w:p w:rsidR="00243BB1" w:rsidRDefault="009F1CB6" w14:paraId="27B54FAC" w14:textId="77777777">
      <w:pPr>
        <w:spacing w:after="120"/>
        <w:jc w:val="both"/>
      </w:pPr>
      <w:r>
        <w:rPr>
          <w:color w:val="000000"/>
        </w:rPr>
        <w:t xml:space="preserve">Collaboration transforms stakeholder relationships from transactional to transformational. For </w:t>
      </w:r>
      <w:proofErr w:type="spellStart"/>
      <w:r>
        <w:rPr>
          <w:color w:val="000000"/>
        </w:rPr>
        <w:t>StaySmart</w:t>
      </w:r>
      <w:proofErr w:type="spellEnd"/>
      <w:r>
        <w:rPr>
          <w:color w:val="000000"/>
        </w:rPr>
        <w:t>+, the creation of a cross-functional Project Steering Committee, co-chaired by the Chief Technology Officer and Chief Operating Officer, establishes a formal collaborative governance structure. This body brings together representatives from IT, Marketing, Operations, Finance, HR, and Legal, ensuring that all functional perspectives are integrated into key project decisions.</w:t>
      </w:r>
    </w:p>
    <w:p w:rsidR="00243BB1" w:rsidRDefault="009F1CB6" w14:paraId="71BE3520" w14:textId="77777777">
      <w:pPr>
        <w:spacing w:after="120"/>
        <w:jc w:val="both"/>
      </w:pPr>
      <w:r>
        <w:rPr>
          <w:color w:val="000000"/>
        </w:rPr>
        <w:t xml:space="preserve">At the property level, pilot hotel General Managers will participate in a </w:t>
      </w:r>
      <w:proofErr w:type="spellStart"/>
      <w:r>
        <w:rPr>
          <w:color w:val="000000"/>
        </w:rPr>
        <w:t>StaySmart</w:t>
      </w:r>
      <w:proofErr w:type="spellEnd"/>
      <w:r>
        <w:rPr>
          <w:color w:val="000000"/>
        </w:rPr>
        <w:t>+ Champion Network – a peer community of practice that facilitates knowledge sharing, problem-solving, and collective advocacy. This co-creation approach, advocated by Bowen and Schneider (1988) in their service quality framework, ensures that operational realities inform the service design iteratively, rather than having a technology solution imposed top-down.</w:t>
      </w:r>
    </w:p>
    <w:p w:rsidR="00243BB1" w:rsidRDefault="009F1CB6" w14:paraId="2908FCF2" w14:textId="77777777">
      <w:pPr>
        <w:spacing w:after="120"/>
        <w:jc w:val="both"/>
      </w:pPr>
      <w:r>
        <w:rPr>
          <w:color w:val="000000"/>
        </w:rPr>
        <w:t xml:space="preserve">Externally, co-innovation workshops with AI technology partners in the first two months of the project will foster shared ownership of technical outcomes, reducing the risk of adversarial supplier-client dynamics. For Franchise Owners, a collaborative commercial model – including performance-linked incentives for early </w:t>
      </w:r>
      <w:proofErr w:type="spellStart"/>
      <w:r>
        <w:rPr>
          <w:color w:val="000000"/>
        </w:rPr>
        <w:t>StaySmart</w:t>
      </w:r>
      <w:proofErr w:type="spellEnd"/>
      <w:r>
        <w:rPr>
          <w:color w:val="000000"/>
        </w:rPr>
        <w:t>+ adopters – is proposed to align their financial interests with project success.</w:t>
      </w:r>
    </w:p>
    <w:p w:rsidR="00243BB1" w:rsidP="295E3045" w:rsidRDefault="009F1CB6" w14:paraId="58DC8E2E" w14:textId="6B39D31C">
      <w:pPr>
        <w:pStyle w:val="Heading2"/>
        <w:pBdr>
          <w:bottom w:val="single" w:color="D4A94B" w:sz="4" w:space="1"/>
        </w:pBdr>
      </w:pPr>
      <w:r w:rsidR="1657CABE">
        <w:rPr/>
        <w:t>6.3 Consultation</w:t>
      </w:r>
    </w:p>
    <w:p w:rsidR="00243BB1" w:rsidRDefault="009F1CB6" w14:paraId="20475261" w14:textId="77777777">
      <w:pPr>
        <w:spacing w:after="120"/>
        <w:jc w:val="both"/>
      </w:pPr>
      <w:r>
        <w:rPr>
          <w:color w:val="000000"/>
        </w:rPr>
        <w:t xml:space="preserve">Consultation ensures that stakeholder knowledge and perspectives are systematically incorporated into project decision-making. Following </w:t>
      </w:r>
      <w:proofErr w:type="spellStart"/>
      <w:r>
        <w:rPr>
          <w:color w:val="000000"/>
        </w:rPr>
        <w:t>Arnstein's</w:t>
      </w:r>
      <w:proofErr w:type="spellEnd"/>
      <w:r>
        <w:rPr>
          <w:color w:val="000000"/>
        </w:rPr>
        <w:t xml:space="preserve"> (1969) Ladder of Participation, meaningful consultation moves beyond tokenistic information-sharing towards genuine influence on outcomes.</w:t>
      </w:r>
    </w:p>
    <w:p w:rsidR="00243BB1" w:rsidRDefault="009F1CB6" w14:paraId="6B301AA5" w14:textId="77777777">
      <w:pPr>
        <w:spacing w:after="120"/>
        <w:jc w:val="both"/>
      </w:pPr>
      <w:r>
        <w:rPr>
          <w:color w:val="000000"/>
        </w:rPr>
        <w:t xml:space="preserve">For the </w:t>
      </w:r>
      <w:proofErr w:type="spellStart"/>
      <w:r>
        <w:rPr>
          <w:color w:val="000000"/>
        </w:rPr>
        <w:t>StaySmart</w:t>
      </w:r>
      <w:proofErr w:type="spellEnd"/>
      <w:r>
        <w:rPr>
          <w:color w:val="000000"/>
        </w:rPr>
        <w:t>+ project, pre-launch guest research – encompassing focus groups across London, New York, Dubai, and Singapore – will provide evidence-based insights into guest expectations and potential resistance points. Staff consultation through structured discovery workshops at pilot properties will surface operational challenges before go-live, enabling pre-emptive solutions. Regular pulse surveys will be conducted with property teams throughout the rollout to monitor morale, adoption confidence, and emergin</w:t>
      </w:r>
      <w:r>
        <w:rPr>
          <w:color w:val="000000"/>
        </w:rPr>
        <w:t>g issues.</w:t>
      </w:r>
    </w:p>
    <w:p w:rsidR="00243BB1" w:rsidRDefault="009F1CB6" w14:paraId="2F7B09C1" w14:textId="77777777">
      <w:pPr>
        <w:spacing w:after="120"/>
        <w:jc w:val="both"/>
      </w:pPr>
      <w:r>
        <w:rPr>
          <w:color w:val="000000"/>
        </w:rPr>
        <w:t>For Franchise Owners, a Franchise Advisory Panel – comprising ten elected representatives from major markets – will be convened quarterly to consult on commercial terms, property investment requirements, and go-live sequencing. This mechanism acknowledges the legitimate autonomy of franchise operators whilst maintaining overall project coherence.</w:t>
      </w:r>
    </w:p>
    <w:p w:rsidR="00243BB1" w:rsidP="295E3045" w:rsidRDefault="009F1CB6" w14:paraId="1E31F47A" w14:textId="6FD812DA">
      <w:pPr>
        <w:pStyle w:val="Heading2"/>
        <w:pBdr>
          <w:bottom w:val="single" w:color="D4A94B" w:sz="4" w:space="1"/>
        </w:pBdr>
      </w:pPr>
      <w:r w:rsidR="11C8091B">
        <w:rPr/>
        <w:t>6.4 Commitment</w:t>
      </w:r>
    </w:p>
    <w:p w:rsidR="00243BB1" w:rsidRDefault="009F1CB6" w14:paraId="7D7CAB1B" w14:textId="77777777">
      <w:pPr>
        <w:spacing w:after="120"/>
        <w:jc w:val="both"/>
      </w:pPr>
      <w:r>
        <w:rPr>
          <w:color w:val="000000"/>
        </w:rPr>
        <w:t>Sustained commitment from stakeholders cannot be mandated; it must be cultivated through demonstrated reciprocity, transparency, and consistent delivery. As Ashcroft (2017) argues, relational value is built through the alignment of organisational actions with stakeholder expectations over time.</w:t>
      </w:r>
    </w:p>
    <w:p w:rsidR="00243BB1" w:rsidRDefault="009F1CB6" w14:paraId="32BD3341" w14:textId="77777777">
      <w:pPr>
        <w:spacing w:after="120"/>
        <w:jc w:val="both"/>
      </w:pPr>
      <w:r>
        <w:rPr>
          <w:color w:val="000000"/>
        </w:rPr>
        <w:t xml:space="preserve">To foster commitment from Senior Leadership, monthly Executive Dashboard reporting will provide a concise view of project KPIs, risk status, and financial performance. Public endorsement of </w:t>
      </w:r>
      <w:proofErr w:type="spellStart"/>
      <w:r>
        <w:rPr>
          <w:color w:val="000000"/>
        </w:rPr>
        <w:t>StaySmart</w:t>
      </w:r>
      <w:proofErr w:type="spellEnd"/>
      <w:r>
        <w:rPr>
          <w:color w:val="000000"/>
        </w:rPr>
        <w:t>+ by the Hilton CEO through shareholder communications and industry press will reinforce strategic commitment and signal confidence to external stakeholders.</w:t>
      </w:r>
    </w:p>
    <w:p w:rsidR="00243BB1" w:rsidRDefault="009F1CB6" w14:paraId="1F64159D" w14:textId="77777777">
      <w:pPr>
        <w:spacing w:after="120"/>
        <w:jc w:val="both"/>
      </w:pPr>
      <w:r>
        <w:rPr>
          <w:color w:val="000000"/>
        </w:rPr>
        <w:t xml:space="preserve">For frontline staff, commitment will be cultivated through a comprehensive </w:t>
      </w:r>
      <w:proofErr w:type="spellStart"/>
      <w:r>
        <w:rPr>
          <w:color w:val="000000"/>
        </w:rPr>
        <w:t>StaySmart</w:t>
      </w:r>
      <w:proofErr w:type="spellEnd"/>
      <w:r>
        <w:rPr>
          <w:color w:val="000000"/>
        </w:rPr>
        <w:t xml:space="preserve">+ Ambassador Programme, recognising and rewarding staff who exemplify excellence in deploying the new service. Clear career development pathways linked to digital hospitality competencies will demonstrate that </w:t>
      </w:r>
      <w:proofErr w:type="spellStart"/>
      <w:r>
        <w:rPr>
          <w:color w:val="000000"/>
        </w:rPr>
        <w:t>StaySmart</w:t>
      </w:r>
      <w:proofErr w:type="spellEnd"/>
      <w:r>
        <w:rPr>
          <w:color w:val="000000"/>
        </w:rPr>
        <w:t>+ represents an investment in staff futures, not a threat.</w:t>
      </w:r>
    </w:p>
    <w:p w:rsidR="00243BB1" w:rsidP="295E3045" w:rsidRDefault="009F1CB6" w14:paraId="5D9DE912" w14:textId="38D9793F">
      <w:pPr>
        <w:pStyle w:val="Heading2"/>
        <w:pBdr>
          <w:bottom w:val="single" w:color="D4A94B" w:sz="4" w:space="1"/>
        </w:pBdr>
      </w:pPr>
      <w:r w:rsidR="5120C9EA">
        <w:rPr/>
        <w:t>6.5 Conflict</w:t>
      </w:r>
      <w:r w:rsidR="009F1CB6">
        <w:rPr/>
        <w:t xml:space="preserve"> Management</w:t>
      </w:r>
    </w:p>
    <w:p w:rsidR="00243BB1" w:rsidRDefault="009F1CB6" w14:paraId="0E034ADB" w14:textId="480D0837">
      <w:pPr>
        <w:spacing w:after="120"/>
        <w:jc w:val="both"/>
      </w:pPr>
      <w:r w:rsidRPr="295E3045" w:rsidR="009F1CB6">
        <w:rPr>
          <w:color w:val="000000" w:themeColor="text1" w:themeTint="FF" w:themeShade="FF"/>
        </w:rPr>
        <w:t xml:space="preserve">Despite structured engagement, stakeholder conflicts are inevitable in a complex multi-market project. Potential conflict typologies </w:t>
      </w:r>
      <w:r w:rsidRPr="295E3045" w:rsidR="392FED70">
        <w:rPr>
          <w:color w:val="000000" w:themeColor="text1" w:themeTint="FF" w:themeShade="FF"/>
        </w:rPr>
        <w:t xml:space="preserve">include, </w:t>
      </w:r>
      <w:r w:rsidRPr="295E3045" w:rsidR="009F1CB6">
        <w:rPr>
          <w:color w:val="000000" w:themeColor="text1" w:themeTint="FF" w:themeShade="FF"/>
        </w:rPr>
        <w:t>budget disputes between Finance and IT over technology investment; franchise owner resistance to mandated capital expenditure; and regulatory challenges related to AI data processing in the EU.</w:t>
      </w:r>
    </w:p>
    <w:p w:rsidR="00243BB1" w:rsidRDefault="009F1CB6" w14:paraId="2F5B7BF1" w14:textId="77777777">
      <w:pPr>
        <w:spacing w:after="120"/>
        <w:jc w:val="both"/>
      </w:pPr>
      <w:r>
        <w:rPr>
          <w:color w:val="000000"/>
        </w:rPr>
        <w:t xml:space="preserve">As Project Manager, my conflict management strategy is grounded in interest-based negotiation, as articulated by Fisher and </w:t>
      </w:r>
      <w:proofErr w:type="spellStart"/>
      <w:r>
        <w:rPr>
          <w:color w:val="000000"/>
        </w:rPr>
        <w:t>Ury</w:t>
      </w:r>
      <w:proofErr w:type="spellEnd"/>
      <w:r>
        <w:rPr>
          <w:color w:val="000000"/>
        </w:rPr>
        <w:t xml:space="preserve"> (1991) in 'Getting to Yes'. Rather than positional bargaining, I will focus on identifying the underlying interests of conflicting parties and seeking integrative solutions that address core concerns. For example, franchise owner concerns about capital expenditure will be addressed through a phased investment model with demonstrable ROI projections, converting resistance into conditional commitment.</w:t>
      </w:r>
    </w:p>
    <w:p w:rsidR="00243BB1" w:rsidRDefault="009F1CB6" w14:paraId="63AE91DC" w14:textId="77777777">
      <w:pPr>
        <w:spacing w:after="120"/>
        <w:jc w:val="both"/>
      </w:pPr>
      <w:r>
        <w:rPr>
          <w:color w:val="000000"/>
        </w:rPr>
        <w:t>A formal Escalation Protocol will be embedded in the project governance framework: Tier 1 conflicts (operational disagreements) are resolved at team lead level within 48 hours; Tier 2 conflicts (cross-functional disputes) are escalated to the Steering Committee; Tier 3 conflicts (strategic disagreements) are referred to Senior Leadership. This tiered approach ensures rapid resolution without over-burdening senior governance structures.</w:t>
      </w:r>
    </w:p>
    <w:p w:rsidR="00243BB1" w:rsidRDefault="00243BB1" w14:paraId="3B1E7F70" w14:textId="77777777">
      <w:pPr>
        <w:spacing w:after="120"/>
      </w:pPr>
    </w:p>
    <w:p w:rsidR="00243BB1" w:rsidRDefault="009F1CB6" w14:paraId="1C0BAF5A" w14:textId="77777777">
      <w:pPr>
        <w:pStyle w:val="Heading1"/>
        <w:shd w:val="clear" w:color="auto" w:fill="003580"/>
        <w:ind w:left="180"/>
      </w:pPr>
      <w:r>
        <w:t>7.  Impact of Stakeholder Engagement on Business Performance</w:t>
      </w:r>
    </w:p>
    <w:p w:rsidR="00243BB1" w:rsidP="295E3045" w:rsidRDefault="009F1CB6" w14:paraId="0752C400" w14:textId="54E42F73">
      <w:pPr>
        <w:pStyle w:val="Heading2"/>
        <w:pBdr>
          <w:bottom w:val="single" w:color="D4A94B" w:sz="4" w:space="1"/>
        </w:pBdr>
      </w:pPr>
      <w:r w:rsidR="540B5062">
        <w:rPr/>
        <w:t>7.1 Evaluation</w:t>
      </w:r>
      <w:r w:rsidR="009F1CB6">
        <w:rPr/>
        <w:t xml:space="preserve"> of Impact</w:t>
      </w:r>
    </w:p>
    <w:p w:rsidR="00243BB1" w:rsidRDefault="009F1CB6" w14:paraId="0D35DF3D" w14:textId="77777777">
      <w:pPr>
        <w:spacing w:after="120"/>
        <w:jc w:val="both"/>
      </w:pPr>
      <w:r>
        <w:rPr>
          <w:color w:val="000000"/>
        </w:rPr>
        <w:t xml:space="preserve">The quality of stakeholder engagement is not merely a process consideration; it is a direct determinant of business performance outcomes. Empirical research consistently demonstrates that organisations with structured stakeholder engagement programmes achieve superior project delivery rates, higher employee retention, and stronger financial returns (Eccles, </w:t>
      </w:r>
      <w:proofErr w:type="spellStart"/>
      <w:r>
        <w:rPr>
          <w:color w:val="000000"/>
        </w:rPr>
        <w:t>Ioannou</w:t>
      </w:r>
      <w:proofErr w:type="spellEnd"/>
      <w:r>
        <w:rPr>
          <w:color w:val="000000"/>
        </w:rPr>
        <w:t xml:space="preserve"> and </w:t>
      </w:r>
      <w:proofErr w:type="spellStart"/>
      <w:r>
        <w:rPr>
          <w:color w:val="000000"/>
        </w:rPr>
        <w:t>Serafeim</w:t>
      </w:r>
      <w:proofErr w:type="spellEnd"/>
      <w:r>
        <w:rPr>
          <w:color w:val="000000"/>
        </w:rPr>
        <w:t>, 2014).</w:t>
      </w:r>
    </w:p>
    <w:p w:rsidR="00243BB1" w:rsidRDefault="009F1CB6" w14:paraId="66C1D337" w14:textId="77777777">
      <w:pPr>
        <w:spacing w:after="120"/>
        <w:jc w:val="both"/>
      </w:pPr>
      <w:r>
        <w:rPr>
          <w:color w:val="000000"/>
        </w:rPr>
        <w:t xml:space="preserve">For Hilton's </w:t>
      </w:r>
      <w:proofErr w:type="spellStart"/>
      <w:r>
        <w:rPr>
          <w:color w:val="000000"/>
        </w:rPr>
        <w:t>StaySmart</w:t>
      </w:r>
      <w:proofErr w:type="spellEnd"/>
      <w:r>
        <w:rPr>
          <w:color w:val="000000"/>
        </w:rPr>
        <w:t>+ project, the following performance impact areas are identified and evaluated:</w:t>
      </w:r>
    </w:p>
    <w:p w:rsidR="00243BB1" w:rsidRDefault="009F1CB6" w14:paraId="34D0DDB1" w14:textId="77777777">
      <w:pPr>
        <w:pStyle w:val="Heading3"/>
      </w:pPr>
      <w:r>
        <w:t>Guest Satisfaction and Revenue</w:t>
      </w:r>
    </w:p>
    <w:p w:rsidR="00243BB1" w:rsidRDefault="009F1CB6" w14:paraId="4BD59AAE" w14:textId="77777777">
      <w:pPr>
        <w:spacing w:after="120"/>
        <w:jc w:val="both"/>
      </w:pPr>
      <w:r>
        <w:rPr>
          <w:color w:val="000000"/>
        </w:rPr>
        <w:t xml:space="preserve">Effective guest engagement through consultation and communication will drive higher awareness and adoption of </w:t>
      </w:r>
      <w:proofErr w:type="spellStart"/>
      <w:r>
        <w:rPr>
          <w:color w:val="000000"/>
        </w:rPr>
        <w:t>StaySmart</w:t>
      </w:r>
      <w:proofErr w:type="spellEnd"/>
      <w:r>
        <w:rPr>
          <w:color w:val="000000"/>
        </w:rPr>
        <w:t xml:space="preserve">+ features. Research by Lemon and </w:t>
      </w:r>
      <w:proofErr w:type="spellStart"/>
      <w:r>
        <w:rPr>
          <w:color w:val="000000"/>
        </w:rPr>
        <w:t>Verhoef</w:t>
      </w:r>
      <w:proofErr w:type="spellEnd"/>
      <w:r>
        <w:rPr>
          <w:color w:val="000000"/>
        </w:rPr>
        <w:t xml:space="preserve"> (2016) demonstrates that AI-personalised service experiences generate significantly higher guest satisfaction scores and increased revenue per available room (RevPAR). Hilton's own data from Connected Room deployments indicated a 12% uplift in repeat booking rates among technology-engaged guests (Hilton, 2022), suggesting that </w:t>
      </w:r>
      <w:proofErr w:type="spellStart"/>
      <w:r>
        <w:rPr>
          <w:color w:val="000000"/>
        </w:rPr>
        <w:t>StaySmart</w:t>
      </w:r>
      <w:proofErr w:type="spellEnd"/>
      <w:r>
        <w:rPr>
          <w:color w:val="000000"/>
        </w:rPr>
        <w:t>+ could deliver comparable or superior returns.</w:t>
      </w:r>
    </w:p>
    <w:p w:rsidR="00243BB1" w:rsidRDefault="009F1CB6" w14:paraId="5C9BD4B5" w14:textId="77777777">
      <w:pPr>
        <w:spacing w:after="120"/>
        <w:jc w:val="both"/>
      </w:pPr>
      <w:r>
        <w:rPr>
          <w:color w:val="000000"/>
        </w:rPr>
        <w:t>Furthermore, strong engagement with Travel Agents and Online Travel Agencies (OTAs) as distribution partners will amplify market reach, driving incremental booking volumes in the months following launch.</w:t>
      </w:r>
    </w:p>
    <w:p w:rsidR="00243BB1" w:rsidRDefault="009F1CB6" w14:paraId="613C193D" w14:textId="77777777">
      <w:pPr>
        <w:pStyle w:val="Heading3"/>
      </w:pPr>
      <w:r>
        <w:t>Brand Equity and Competitive Differentiation</w:t>
      </w:r>
    </w:p>
    <w:p w:rsidR="00243BB1" w:rsidRDefault="009F1CB6" w14:paraId="59A1322B" w14:textId="73192AC6">
      <w:pPr>
        <w:spacing w:after="120"/>
        <w:jc w:val="both"/>
      </w:pPr>
      <w:r w:rsidRPr="295E3045" w:rsidR="009F1CB6">
        <w:rPr>
          <w:color w:val="000000" w:themeColor="text1" w:themeTint="FF" w:themeShade="FF"/>
        </w:rPr>
        <w:t xml:space="preserve">Transparent stakeholder communication and </w:t>
      </w:r>
      <w:r w:rsidRPr="295E3045" w:rsidR="009F1CB6">
        <w:rPr>
          <w:color w:val="000000" w:themeColor="text1" w:themeTint="FF" w:themeShade="FF"/>
        </w:rPr>
        <w:t>demonstrated</w:t>
      </w:r>
      <w:r w:rsidRPr="295E3045" w:rsidR="009F1CB6">
        <w:rPr>
          <w:color w:val="000000" w:themeColor="text1" w:themeTint="FF" w:themeShade="FF"/>
        </w:rPr>
        <w:t xml:space="preserve"> commitment to ethical AI use will strengthen Hilton's brand equity among </w:t>
      </w:r>
      <w:r w:rsidRPr="295E3045" w:rsidR="2B1B479A">
        <w:rPr>
          <w:color w:val="000000" w:themeColor="text1" w:themeTint="FF" w:themeShade="FF"/>
        </w:rPr>
        <w:t>ethically conscious</w:t>
      </w:r>
      <w:r w:rsidRPr="295E3045" w:rsidR="009F1CB6">
        <w:rPr>
          <w:color w:val="000000" w:themeColor="text1" w:themeTint="FF" w:themeShade="FF"/>
        </w:rPr>
        <w:t xml:space="preserve"> travellers and institutional investors. Porter and Kramer (2011) argue that 'creating shared value' – aligning business performance with societal and stakeholder benefit – generates sustainable competitive advantage. By positioning </w:t>
      </w:r>
      <w:r w:rsidRPr="295E3045" w:rsidR="009F1CB6">
        <w:rPr>
          <w:color w:val="000000" w:themeColor="text1" w:themeTint="FF" w:themeShade="FF"/>
        </w:rPr>
        <w:t>StaySmart</w:t>
      </w:r>
      <w:r w:rsidRPr="295E3045" w:rsidR="009F1CB6">
        <w:rPr>
          <w:color w:val="000000" w:themeColor="text1" w:themeTint="FF" w:themeShade="FF"/>
        </w:rPr>
        <w:t>+ as a vehicle for personalised, sustainable hospitality, Hilton can differentiate itself from competitors while simultaneously advancing its ESG commitments.</w:t>
      </w:r>
    </w:p>
    <w:p w:rsidR="00243BB1" w:rsidRDefault="009F1CB6" w14:paraId="180E82E0" w14:textId="77777777">
      <w:pPr>
        <w:pStyle w:val="Heading3"/>
      </w:pPr>
      <w:r>
        <w:t>Operational Efficiency</w:t>
      </w:r>
    </w:p>
    <w:p w:rsidR="00243BB1" w:rsidRDefault="009F1CB6" w14:paraId="7FBF8A63" w14:textId="77777777">
      <w:pPr>
        <w:spacing w:after="120"/>
        <w:jc w:val="both"/>
      </w:pPr>
      <w:r>
        <w:rPr>
          <w:color w:val="000000"/>
        </w:rPr>
        <w:t xml:space="preserve">Collaborative engagement with Operations teams and Franchise Owners in the design and testing phases of </w:t>
      </w:r>
      <w:proofErr w:type="spellStart"/>
      <w:r>
        <w:rPr>
          <w:color w:val="000000"/>
        </w:rPr>
        <w:t>StaySmart</w:t>
      </w:r>
      <w:proofErr w:type="spellEnd"/>
      <w:r>
        <w:rPr>
          <w:color w:val="000000"/>
        </w:rPr>
        <w:t>+ will reduce implementation errors, minimise post-launch disruption, and accelerate time-to-competency for frontline staff. Evidence from comparable hospitality technology deployments suggests that co-designed implementation programmes reduce rollout delays by up to 30% (Deloitte, 2023).</w:t>
      </w:r>
    </w:p>
    <w:p w:rsidR="00243BB1" w:rsidRDefault="009F1CB6" w14:paraId="722CEEF3" w14:textId="77777777">
      <w:pPr>
        <w:pStyle w:val="Heading3"/>
      </w:pPr>
      <w:r>
        <w:t>Investor and Regulatory Confidence</w:t>
      </w:r>
    </w:p>
    <w:p w:rsidR="00243BB1" w:rsidRDefault="009F1CB6" w14:paraId="40D7CB33" w14:textId="77777777">
      <w:pPr>
        <w:spacing w:after="120"/>
        <w:jc w:val="both"/>
      </w:pPr>
      <w:r>
        <w:rPr>
          <w:color w:val="000000"/>
        </w:rPr>
        <w:t xml:space="preserve">Proactive regulatory engagement, particularly around GDPR compliance and AI ethics, will mitigate the risk of costly regulatory sanctions and reputational damage. Investor relations benefits accrue through transparent ESG reporting that demonstrates the alignment of </w:t>
      </w:r>
      <w:proofErr w:type="spellStart"/>
      <w:r>
        <w:rPr>
          <w:color w:val="000000"/>
        </w:rPr>
        <w:t>StaySmart</w:t>
      </w:r>
      <w:proofErr w:type="spellEnd"/>
      <w:r>
        <w:rPr>
          <w:color w:val="000000"/>
        </w:rPr>
        <w:t>+ with Hilton's Travel with Purpose 2030 sustainability goals, supporting premium valuation multiples in capital markets.</w:t>
      </w:r>
    </w:p>
    <w:p w:rsidR="00243BB1" w:rsidP="295E3045" w:rsidRDefault="009F1CB6" w14:paraId="319B4529" w14:textId="75B79EF0">
      <w:pPr>
        <w:pStyle w:val="Heading2"/>
        <w:pBdr>
          <w:bottom w:val="single" w:color="D4A94B" w:sz="4" w:space="1"/>
        </w:pBdr>
      </w:pPr>
      <w:r w:rsidR="1F3F0603">
        <w:rPr/>
        <w:t>7.2 Recommendations</w:t>
      </w:r>
    </w:p>
    <w:p w:rsidR="00243BB1" w:rsidRDefault="009F1CB6" w14:paraId="2CB9035F" w14:textId="77777777">
      <w:pPr>
        <w:spacing w:after="120"/>
        <w:jc w:val="both"/>
      </w:pPr>
      <w:r>
        <w:rPr>
          <w:color w:val="000000"/>
        </w:rPr>
        <w:t xml:space="preserve">Based on the analysis conducted in this report, the following recommendations are made to Hilton's leadership and the </w:t>
      </w:r>
      <w:proofErr w:type="spellStart"/>
      <w:r>
        <w:rPr>
          <w:color w:val="000000"/>
        </w:rPr>
        <w:t>StaySmart</w:t>
      </w:r>
      <w:proofErr w:type="spellEnd"/>
      <w:r>
        <w:rPr>
          <w:color w:val="000000"/>
        </w:rPr>
        <w:t>+ Project Management Team:</w:t>
      </w:r>
    </w:p>
    <w:p w:rsidR="00243BB1" w:rsidRDefault="009F1CB6" w14:paraId="50C3264F" w14:textId="77777777">
      <w:pPr>
        <w:pStyle w:val="ListParagraph"/>
        <w:numPr>
          <w:ilvl w:val="0"/>
          <w:numId w:val="2"/>
        </w:numPr>
        <w:spacing w:after="80"/>
      </w:pPr>
      <w:r>
        <w:t>Establish a Stakeholder Engagement Office (SEO): A dedicated SEO, staffed by experienced stakeholder relationship managers, should be created to coordinate all engagement activities across the project. This institutionalises stakeholder management as a strategic competency rather than an ad hoc function, consistent with Bourne's (2016) advocacy for systematic stakeholder relationship management.</w:t>
      </w:r>
    </w:p>
    <w:p w:rsidR="00243BB1" w:rsidRDefault="009F1CB6" w14:paraId="69A17386" w14:textId="77777777">
      <w:pPr>
        <w:pStyle w:val="ListParagraph"/>
        <w:numPr>
          <w:ilvl w:val="0"/>
          <w:numId w:val="2"/>
        </w:numPr>
        <w:spacing w:after="80"/>
      </w:pPr>
      <w:r>
        <w:t>Invest in Culturally Adaptive Communication: The Communication Plan must be resourced with regional Communication Leads who possess deep cultural and linguistic competency in key international markets. Generic, corporate communications will fail to engage high-context cultures or resonate with diverse guest demographics. Translation, localisation, and cultural adaptation of all guest-facing materials should be budgeted as a project deliverable in its own right.</w:t>
      </w:r>
    </w:p>
    <w:p w:rsidR="00243BB1" w:rsidRDefault="009F1CB6" w14:paraId="71D9B8D0" w14:textId="77777777">
      <w:pPr>
        <w:pStyle w:val="ListParagraph"/>
        <w:numPr>
          <w:ilvl w:val="0"/>
          <w:numId w:val="2"/>
        </w:numPr>
        <w:spacing w:after="80"/>
      </w:pPr>
      <w:r>
        <w:t>Implement a Continuous Stakeholder Feedback Loop: Rather than treating consultation as a discrete phase, a rolling digital feedback mechanism (surveys, app-based sentiment analysis, and quarterly stakeholder review panels) should be embedded throughout the project lifecycle. This 'always-on' approach enables the PMT to detect and address emerging concerns before they escalate into conflicts.</w:t>
      </w:r>
    </w:p>
    <w:p w:rsidR="00243BB1" w:rsidRDefault="009F1CB6" w14:paraId="4893FB4C" w14:textId="77777777">
      <w:pPr>
        <w:pStyle w:val="ListParagraph"/>
        <w:numPr>
          <w:ilvl w:val="0"/>
          <w:numId w:val="2"/>
        </w:numPr>
        <w:spacing w:after="80"/>
      </w:pPr>
      <w:r>
        <w:t>Develop a Franchise Owner Value Proposition: Given the critical role of Franchise Owners in enabling property-level adoption, a bespoke commercial value proposition – including ROI modelling tools, phased investment models, and peer benchmarking reports – should be developed in partnership with the Franchise Advisory Panel. This addresses their primary concern of commercial viability and converts conditional adoption into enthusiastic commitment.</w:t>
      </w:r>
    </w:p>
    <w:p w:rsidR="00243BB1" w:rsidRDefault="009F1CB6" w14:paraId="701C767C" w14:textId="77777777">
      <w:pPr>
        <w:pStyle w:val="ListParagraph"/>
        <w:numPr>
          <w:ilvl w:val="0"/>
          <w:numId w:val="2"/>
        </w:numPr>
        <w:spacing w:after="80"/>
      </w:pPr>
      <w:r>
        <w:t xml:space="preserve">Embed Ethical AI Governance: To sustain trust among guests, regulators, and investors, Hilton should establish an AI Ethics Advisory Group comprising external data privacy experts, guest representatives, and sustainability specialists. This group should review the AI systems underpinning </w:t>
      </w:r>
      <w:proofErr w:type="spellStart"/>
      <w:r>
        <w:t>StaySmart</w:t>
      </w:r>
      <w:proofErr w:type="spellEnd"/>
      <w:r>
        <w:t>+ on a bi-annual basis, publishing a publicly available report on data governance standards. This commitment to transparent AI ethics will become an increasingly significant differentiator as AI regulation intensifies across global markets.</w:t>
      </w:r>
    </w:p>
    <w:p w:rsidR="00243BB1" w:rsidRDefault="009F1CB6" w14:paraId="0EFA781F" w14:textId="77777777">
      <w:pPr>
        <w:pStyle w:val="ListParagraph"/>
        <w:numPr>
          <w:ilvl w:val="0"/>
          <w:numId w:val="2"/>
        </w:numPr>
        <w:spacing w:after="80"/>
      </w:pPr>
      <w:r>
        <w:t>Measure and Report Stakeholder Engagement KPIs: Stakeholder engagement should be treated as a measurable business function. Key Performance Indicators including Stakeholder Net Promoter Scores, engagement activity completion rates, conflict resolution times, and staff adoption confidence indices should be reported monthly to the Project Steering Committee and quarterly to the Board.</w:t>
      </w:r>
    </w:p>
    <w:p w:rsidR="00243BB1" w:rsidRDefault="00243BB1" w14:paraId="39DF0784" w14:textId="77777777">
      <w:pPr>
        <w:spacing w:after="120"/>
      </w:pPr>
    </w:p>
    <w:p w:rsidR="00243BB1" w:rsidRDefault="009F1CB6" w14:paraId="3C302D04" w14:textId="77777777">
      <w:pPr>
        <w:pStyle w:val="Heading1"/>
        <w:shd w:val="clear" w:color="auto" w:fill="003580"/>
        <w:ind w:left="180"/>
      </w:pPr>
      <w:r>
        <w:t>8.  Conclusion</w:t>
      </w:r>
    </w:p>
    <w:p w:rsidR="00243BB1" w:rsidRDefault="009F1CB6" w14:paraId="1F3BD908" w14:textId="77777777">
      <w:pPr>
        <w:spacing w:after="120"/>
        <w:jc w:val="both"/>
      </w:pPr>
      <w:r>
        <w:rPr>
          <w:color w:val="000000"/>
        </w:rPr>
        <w:t xml:space="preserve">This report has demonstrated that the successful launch of </w:t>
      </w:r>
      <w:proofErr w:type="spellStart"/>
      <w:r>
        <w:rPr>
          <w:color w:val="000000"/>
        </w:rPr>
        <w:t>StaySmart</w:t>
      </w:r>
      <w:proofErr w:type="spellEnd"/>
      <w:r>
        <w:rPr>
          <w:color w:val="000000"/>
        </w:rPr>
        <w:t xml:space="preserve">+ across Hilton Hotels &amp; Resorts' global portfolio is inseparably linked to the quality and rigour of stakeholder engagement throughout the project lifecycle. Drawing on Freeman's (1984) foundational stakeholder theory, </w:t>
      </w:r>
      <w:proofErr w:type="spellStart"/>
      <w:r>
        <w:rPr>
          <w:color w:val="000000"/>
        </w:rPr>
        <w:t>Mendelow's</w:t>
      </w:r>
      <w:proofErr w:type="spellEnd"/>
      <w:r>
        <w:rPr>
          <w:color w:val="000000"/>
        </w:rPr>
        <w:t xml:space="preserve"> (1991) prioritisation framework, and the 4Cs Model of Communication, Collaboration, Consultation, and Commitment, a comprehensive engagement strategy has been developed that addresses the diverse needs, interests, and power dynamics of both internal and external stakehold</w:t>
      </w:r>
      <w:r>
        <w:rPr>
          <w:color w:val="000000"/>
        </w:rPr>
        <w:t>er groups.</w:t>
      </w:r>
    </w:p>
    <w:p w:rsidR="00243BB1" w:rsidRDefault="009F1CB6" w14:paraId="5601D4EE" w14:textId="77777777">
      <w:pPr>
        <w:spacing w:after="120"/>
        <w:jc w:val="both"/>
      </w:pPr>
      <w:r>
        <w:rPr>
          <w:color w:val="000000"/>
        </w:rPr>
        <w:t xml:space="preserve">The situational analysis revealed that Hilton is well-positioned to leverage its brand strength, digital infrastructure, and loyalty ecosystem to deliver </w:t>
      </w:r>
      <w:proofErr w:type="spellStart"/>
      <w:r>
        <w:rPr>
          <w:color w:val="000000"/>
        </w:rPr>
        <w:t>StaySmart</w:t>
      </w:r>
      <w:proofErr w:type="spellEnd"/>
      <w:r>
        <w:rPr>
          <w:color w:val="000000"/>
        </w:rPr>
        <w:t>+ effectively. However, the complexity of its franchised global estate, combined with significant regulatory and technological challenges, underscores the imperative of proactive, structured stakeholder management rather than reactive crisis communication.</w:t>
      </w:r>
    </w:p>
    <w:p w:rsidR="00243BB1" w:rsidRDefault="009F1CB6" w14:paraId="1F52A42D" w14:textId="77777777">
      <w:pPr>
        <w:spacing w:after="120"/>
        <w:jc w:val="both"/>
      </w:pPr>
      <w:r>
        <w:rPr>
          <w:color w:val="000000"/>
        </w:rPr>
        <w:t xml:space="preserve">The RACI Matrix, Stakeholder Engagement Plan, and Communication Plan collectively provide a governance architecture that assigns clear accountability, ensures information flows reach the right stakeholders at the right time, and creates the conditions for sustained commitment. The 4Cs framework, particularly the emphasis on genuine consultation and co-creation, distinguishes this approach from tokenistic stakeholder management and positions it as a strategic capability aligned with Hilton's long-term brand </w:t>
      </w:r>
      <w:r>
        <w:rPr>
          <w:color w:val="000000"/>
        </w:rPr>
        <w:t>values.</w:t>
      </w:r>
    </w:p>
    <w:p w:rsidR="00243BB1" w:rsidRDefault="009F1CB6" w14:paraId="40711389" w14:textId="274C7A60">
      <w:pPr>
        <w:spacing w:after="120"/>
        <w:jc w:val="both"/>
      </w:pPr>
      <w:r w:rsidRPr="295E3045" w:rsidR="009F1CB6">
        <w:rPr>
          <w:color w:val="000000" w:themeColor="text1" w:themeTint="FF" w:themeShade="FF"/>
        </w:rPr>
        <w:t xml:space="preserve">The impact evaluation confirmed that effective stakeholder engagement generates tangible returns across guest satisfaction, brand equity, operational efficiency, and investor confidence – reinforcing the argument that stakeholder management is not a cost centre but a value-creation function. The recommendations provided chart a clear pathway for Hilton to institutionalise these capabilities, equipping the organisation to navigate the challenges of </w:t>
      </w:r>
      <w:r w:rsidRPr="295E3045" w:rsidR="009F1CB6">
        <w:rPr>
          <w:color w:val="000000" w:themeColor="text1" w:themeTint="FF" w:themeShade="FF"/>
        </w:rPr>
        <w:t>StaySmart</w:t>
      </w:r>
      <w:r w:rsidRPr="295E3045" w:rsidR="009F1CB6">
        <w:rPr>
          <w:color w:val="000000" w:themeColor="text1" w:themeTint="FF" w:themeShade="FF"/>
        </w:rPr>
        <w:t xml:space="preserve">+'s global rollout and position itself as a global leader in </w:t>
      </w:r>
      <w:r w:rsidRPr="295E3045" w:rsidR="78CBF19C">
        <w:rPr>
          <w:color w:val="000000" w:themeColor="text1" w:themeTint="FF" w:themeShade="FF"/>
        </w:rPr>
        <w:t>ethically led</w:t>
      </w:r>
      <w:r w:rsidRPr="295E3045" w:rsidR="009F1CB6">
        <w:rPr>
          <w:color w:val="000000" w:themeColor="text1" w:themeTint="FF" w:themeShade="FF"/>
        </w:rPr>
        <w:t>, AI-enhanced hospitality.</w:t>
      </w:r>
    </w:p>
    <w:p w:rsidR="00243BB1" w:rsidRDefault="00243BB1" w14:paraId="4D0749A8" w14:textId="77777777">
      <w:pPr>
        <w:spacing w:after="120"/>
      </w:pPr>
    </w:p>
    <w:p w:rsidR="00243BB1" w:rsidRDefault="009F1CB6" w14:paraId="2BA19889" w14:textId="77777777">
      <w:pPr>
        <w:pStyle w:val="Heading1"/>
        <w:shd w:val="clear" w:color="auto" w:fill="003580"/>
        <w:ind w:left="180"/>
      </w:pPr>
      <w:r>
        <w:t>References</w:t>
      </w:r>
    </w:p>
    <w:p w:rsidR="00243BB1" w:rsidRDefault="009F1CB6" w14:paraId="716585D3" w14:textId="77777777">
      <w:pPr>
        <w:spacing w:after="120"/>
        <w:jc w:val="both"/>
      </w:pPr>
      <w:proofErr w:type="spellStart"/>
      <w:r>
        <w:rPr>
          <w:color w:val="000000"/>
        </w:rPr>
        <w:t>Arnstein</w:t>
      </w:r>
      <w:proofErr w:type="spellEnd"/>
      <w:r>
        <w:rPr>
          <w:color w:val="000000"/>
        </w:rPr>
        <w:t>, S.R. (1969) 'A ladder of citizen participation', Journal of the American Institute of Planners, 35(4), pp. 216–224.</w:t>
      </w:r>
    </w:p>
    <w:p w:rsidR="00243BB1" w:rsidRDefault="009F1CB6" w14:paraId="5ECBE97C" w14:textId="77777777">
      <w:pPr>
        <w:spacing w:after="120"/>
        <w:jc w:val="both"/>
      </w:pPr>
      <w:r>
        <w:rPr>
          <w:color w:val="000000"/>
        </w:rPr>
        <w:t>Ashcroft, J. (2017) The relational lens: understanding, measuring, and managing stakeholder relationships. Cambridge: Cambridge University Press.</w:t>
      </w:r>
    </w:p>
    <w:p w:rsidR="00243BB1" w:rsidRDefault="009F1CB6" w14:paraId="4FC92139" w14:textId="77777777">
      <w:pPr>
        <w:spacing w:after="120"/>
        <w:jc w:val="both"/>
      </w:pPr>
      <w:r>
        <w:rPr>
          <w:color w:val="000000"/>
        </w:rPr>
        <w:t>Bourne, L. (2016) Stakeholder relationship management: a maturity model for organisational implementation. Abingdon: Routledge.</w:t>
      </w:r>
    </w:p>
    <w:p w:rsidR="00243BB1" w:rsidRDefault="009F1CB6" w14:paraId="720C661D" w14:textId="77777777">
      <w:pPr>
        <w:spacing w:after="120"/>
        <w:jc w:val="both"/>
      </w:pPr>
      <w:r>
        <w:rPr>
          <w:color w:val="000000"/>
        </w:rPr>
        <w:t>Bowen, D.E. and Schneider, B. (1988) 'Services marketing and management: implications for organisational behaviour', Research in Organisational Behaviour, 10, pp. 43–80.</w:t>
      </w:r>
    </w:p>
    <w:p w:rsidR="00243BB1" w:rsidRDefault="009F1CB6" w14:paraId="60B661A4" w14:textId="77777777">
      <w:pPr>
        <w:spacing w:after="120"/>
        <w:jc w:val="both"/>
      </w:pPr>
      <w:r>
        <w:rPr>
          <w:color w:val="000000"/>
        </w:rPr>
        <w:t>Christopher, M., Payne, A. and Ballantyne, D. (2013) Relationship marketing: creating stakeholder value. Abingdon: Taylor and Francis.</w:t>
      </w:r>
    </w:p>
    <w:p w:rsidR="00243BB1" w:rsidRDefault="009F1CB6" w14:paraId="4FCCBB33" w14:textId="77777777">
      <w:pPr>
        <w:spacing w:after="120"/>
        <w:jc w:val="both"/>
      </w:pPr>
      <w:r>
        <w:rPr>
          <w:color w:val="000000"/>
        </w:rPr>
        <w:t xml:space="preserve">Cleland, D.I. and Ireland, L.R. (2006) Project management: strategic design and implementation. 5th </w:t>
      </w:r>
      <w:proofErr w:type="spellStart"/>
      <w:r>
        <w:rPr>
          <w:color w:val="000000"/>
        </w:rPr>
        <w:t>edn</w:t>
      </w:r>
      <w:proofErr w:type="spellEnd"/>
      <w:r>
        <w:rPr>
          <w:color w:val="000000"/>
        </w:rPr>
        <w:t>. New York: McGraw-Hill.</w:t>
      </w:r>
    </w:p>
    <w:p w:rsidR="00243BB1" w:rsidRDefault="009F1CB6" w14:paraId="7C367F92" w14:textId="77777777">
      <w:pPr>
        <w:spacing w:after="120"/>
        <w:jc w:val="both"/>
      </w:pPr>
      <w:r>
        <w:rPr>
          <w:color w:val="000000"/>
        </w:rPr>
        <w:t xml:space="preserve">Clutterbuck, D. and </w:t>
      </w:r>
      <w:proofErr w:type="spellStart"/>
      <w:r>
        <w:rPr>
          <w:color w:val="000000"/>
        </w:rPr>
        <w:t>Hirst</w:t>
      </w:r>
      <w:proofErr w:type="spellEnd"/>
      <w:r>
        <w:rPr>
          <w:color w:val="000000"/>
        </w:rPr>
        <w:t>, S. (2002) Talking business: making communication work. Oxford: Butterworth-Heinemann.</w:t>
      </w:r>
    </w:p>
    <w:p w:rsidR="00243BB1" w:rsidRDefault="009F1CB6" w14:paraId="51C90165" w14:textId="77777777">
      <w:pPr>
        <w:spacing w:after="120"/>
        <w:jc w:val="both"/>
      </w:pPr>
      <w:r>
        <w:rPr>
          <w:color w:val="000000"/>
        </w:rPr>
        <w:t>Deloitte (2023) The future of hospitality technology: AI and the guest experience. London: Deloitte LLP.</w:t>
      </w:r>
    </w:p>
    <w:p w:rsidR="00243BB1" w:rsidRDefault="009F1CB6" w14:paraId="27475530" w14:textId="77777777">
      <w:pPr>
        <w:spacing w:after="120"/>
        <w:jc w:val="both"/>
      </w:pPr>
      <w:r>
        <w:rPr>
          <w:color w:val="000000"/>
        </w:rPr>
        <w:t xml:space="preserve">Eccles, R.G., </w:t>
      </w:r>
      <w:proofErr w:type="spellStart"/>
      <w:r>
        <w:rPr>
          <w:color w:val="000000"/>
        </w:rPr>
        <w:t>Ioannou</w:t>
      </w:r>
      <w:proofErr w:type="spellEnd"/>
      <w:r>
        <w:rPr>
          <w:color w:val="000000"/>
        </w:rPr>
        <w:t xml:space="preserve">, I. and </w:t>
      </w:r>
      <w:proofErr w:type="spellStart"/>
      <w:r>
        <w:rPr>
          <w:color w:val="000000"/>
        </w:rPr>
        <w:t>Serafeim</w:t>
      </w:r>
      <w:proofErr w:type="spellEnd"/>
      <w:r>
        <w:rPr>
          <w:color w:val="000000"/>
        </w:rPr>
        <w:t>, G. (2014) 'The impact of corporate sustainability on organisational processes and performance', Management Science, 60(11), pp. 2835–2857.</w:t>
      </w:r>
    </w:p>
    <w:p w:rsidR="00243BB1" w:rsidRDefault="009F1CB6" w14:paraId="769BCF93" w14:textId="77777777">
      <w:pPr>
        <w:spacing w:after="120"/>
        <w:jc w:val="both"/>
      </w:pPr>
      <w:r>
        <w:rPr>
          <w:color w:val="000000"/>
        </w:rPr>
        <w:t xml:space="preserve">Fisher, R. and </w:t>
      </w:r>
      <w:proofErr w:type="spellStart"/>
      <w:r>
        <w:rPr>
          <w:color w:val="000000"/>
        </w:rPr>
        <w:t>Ury</w:t>
      </w:r>
      <w:proofErr w:type="spellEnd"/>
      <w:r>
        <w:rPr>
          <w:color w:val="000000"/>
        </w:rPr>
        <w:t xml:space="preserve">, W. (1991) Getting to yes: negotiating agreement without giving in. 2nd </w:t>
      </w:r>
      <w:proofErr w:type="spellStart"/>
      <w:r>
        <w:rPr>
          <w:color w:val="000000"/>
        </w:rPr>
        <w:t>edn</w:t>
      </w:r>
      <w:proofErr w:type="spellEnd"/>
      <w:r>
        <w:rPr>
          <w:color w:val="000000"/>
        </w:rPr>
        <w:t>. New York: Penguin Books.</w:t>
      </w:r>
    </w:p>
    <w:p w:rsidR="00243BB1" w:rsidRDefault="009F1CB6" w14:paraId="527742FF" w14:textId="77777777">
      <w:pPr>
        <w:spacing w:after="120"/>
        <w:jc w:val="both"/>
      </w:pPr>
      <w:r>
        <w:rPr>
          <w:color w:val="000000"/>
        </w:rPr>
        <w:t>Freeman, R.E. (1984) Strategic management: a stakeholder approach. Boston: Pitman.</w:t>
      </w:r>
    </w:p>
    <w:p w:rsidR="00243BB1" w:rsidRDefault="009F1CB6" w14:paraId="44520F92" w14:textId="77777777">
      <w:pPr>
        <w:spacing w:after="120"/>
        <w:jc w:val="both"/>
      </w:pPr>
      <w:r>
        <w:rPr>
          <w:color w:val="000000"/>
        </w:rPr>
        <w:t xml:space="preserve">Freeman, R.E. and </w:t>
      </w:r>
      <w:proofErr w:type="spellStart"/>
      <w:r>
        <w:rPr>
          <w:color w:val="000000"/>
        </w:rPr>
        <w:t>McVea</w:t>
      </w:r>
      <w:proofErr w:type="spellEnd"/>
      <w:r>
        <w:rPr>
          <w:color w:val="000000"/>
        </w:rPr>
        <w:t xml:space="preserve">, J. (2001) 'A stakeholder approach to strategic management', in </w:t>
      </w:r>
      <w:proofErr w:type="spellStart"/>
      <w:r>
        <w:rPr>
          <w:color w:val="000000"/>
        </w:rPr>
        <w:t>Hitt</w:t>
      </w:r>
      <w:proofErr w:type="spellEnd"/>
      <w:r>
        <w:rPr>
          <w:color w:val="000000"/>
        </w:rPr>
        <w:t>, M.A., Freeman, R.E. and Harrison, J.S. (eds.) Handbook of strategic management. Oxford: Blackwell Publishers, pp. 189–207.</w:t>
      </w:r>
    </w:p>
    <w:p w:rsidR="00243BB1" w:rsidRDefault="009F1CB6" w14:paraId="1B2C3333" w14:textId="77777777">
      <w:pPr>
        <w:spacing w:after="120"/>
        <w:jc w:val="both"/>
      </w:pPr>
      <w:r>
        <w:rPr>
          <w:color w:val="000000"/>
        </w:rPr>
        <w:t>Hilton (2022) 2022 environmental, social and governance report. McLean: Hilton Worldwide Holdings Inc.</w:t>
      </w:r>
    </w:p>
    <w:p w:rsidR="00243BB1" w:rsidRDefault="009F1CB6" w14:paraId="09B4F93B" w14:textId="77777777">
      <w:pPr>
        <w:spacing w:after="120"/>
        <w:jc w:val="both"/>
      </w:pPr>
      <w:r>
        <w:rPr>
          <w:color w:val="000000"/>
        </w:rPr>
        <w:t>Hilton (2024) Hilton annual report 2023. McLean: Hilton Worldwide Holdings Inc.</w:t>
      </w:r>
    </w:p>
    <w:p w:rsidR="00243BB1" w:rsidRDefault="009F1CB6" w14:paraId="7ECA0DC4" w14:textId="77777777">
      <w:pPr>
        <w:spacing w:after="120"/>
        <w:jc w:val="both"/>
      </w:pPr>
      <w:r>
        <w:rPr>
          <w:color w:val="000000"/>
        </w:rPr>
        <w:t>Hofstede, G. (1980) Culture's consequences: international differences in work-related values. Beverly Hills: Sage Publications.</w:t>
      </w:r>
    </w:p>
    <w:p w:rsidR="00243BB1" w:rsidRDefault="009F1CB6" w14:paraId="287F2765" w14:textId="77777777">
      <w:pPr>
        <w:spacing w:after="120"/>
        <w:jc w:val="both"/>
      </w:pPr>
      <w:r>
        <w:rPr>
          <w:color w:val="000000"/>
        </w:rPr>
        <w:t>Kotter, J.P. (1996) Leading change. Boston: Harvard Business School Press.</w:t>
      </w:r>
    </w:p>
    <w:p w:rsidR="00243BB1" w:rsidRDefault="009F1CB6" w14:paraId="311705AA" w14:textId="77777777">
      <w:pPr>
        <w:spacing w:after="120"/>
        <w:jc w:val="both"/>
      </w:pPr>
      <w:r>
        <w:rPr>
          <w:color w:val="000000"/>
        </w:rPr>
        <w:t xml:space="preserve">Lemon, K.N. and </w:t>
      </w:r>
      <w:proofErr w:type="spellStart"/>
      <w:r>
        <w:rPr>
          <w:color w:val="000000"/>
        </w:rPr>
        <w:t>Verhoef</w:t>
      </w:r>
      <w:proofErr w:type="spellEnd"/>
      <w:r>
        <w:rPr>
          <w:color w:val="000000"/>
        </w:rPr>
        <w:t>, P.C. (2016) 'Understanding customer experience throughout the customer journey', Journal of Marketing, 80(6), pp. 69–96.</w:t>
      </w:r>
    </w:p>
    <w:p w:rsidR="00243BB1" w:rsidRDefault="009F1CB6" w14:paraId="5B411888" w14:textId="77777777">
      <w:pPr>
        <w:spacing w:after="120"/>
        <w:jc w:val="both"/>
      </w:pPr>
      <w:proofErr w:type="spellStart"/>
      <w:r>
        <w:rPr>
          <w:color w:val="000000"/>
        </w:rPr>
        <w:t>Mendelow</w:t>
      </w:r>
      <w:proofErr w:type="spellEnd"/>
      <w:r>
        <w:rPr>
          <w:color w:val="000000"/>
        </w:rPr>
        <w:t>, A.L. (1991) 'Environmental scanning: the impact of the stakeholder concept', Proceedings of the 2nd International Conference on Information Systems. Cambridge, MA, 23–25 October 1991.</w:t>
      </w:r>
    </w:p>
    <w:p w:rsidR="00243BB1" w:rsidRDefault="009F1CB6" w14:paraId="6B570813" w14:textId="77777777">
      <w:pPr>
        <w:spacing w:after="120"/>
        <w:jc w:val="both"/>
      </w:pPr>
      <w:r>
        <w:rPr>
          <w:color w:val="000000"/>
        </w:rPr>
        <w:t xml:space="preserve">Mitchell, R.K., </w:t>
      </w:r>
      <w:proofErr w:type="spellStart"/>
      <w:r>
        <w:rPr>
          <w:color w:val="000000"/>
        </w:rPr>
        <w:t>Agle</w:t>
      </w:r>
      <w:proofErr w:type="spellEnd"/>
      <w:r>
        <w:rPr>
          <w:color w:val="000000"/>
        </w:rPr>
        <w:t>, B.R. and Wood, D.J. (1997) 'Toward a theory of stakeholder identification and salience: defining the principle of who and what really counts', Academy of Management Review, 22(4), pp. 853–886.</w:t>
      </w:r>
    </w:p>
    <w:p w:rsidR="00243BB1" w:rsidRDefault="009F1CB6" w14:paraId="04DDA59C" w14:textId="77777777">
      <w:pPr>
        <w:spacing w:after="120"/>
        <w:jc w:val="both"/>
      </w:pPr>
      <w:r>
        <w:rPr>
          <w:color w:val="000000"/>
        </w:rPr>
        <w:t>Porter, M.E. and Kramer, M.R. (2011) 'Creating shared value', Harvard Business Review, 89(1/2), pp. 62–77.</w:t>
      </w:r>
    </w:p>
    <w:p w:rsidR="00243BB1" w:rsidRDefault="00243BB1" w14:paraId="462709F1" w14:textId="77777777">
      <w:pPr>
        <w:spacing w:after="120"/>
      </w:pPr>
    </w:p>
    <w:sectPr w:rsidR="00243BB1">
      <w:headerReference w:type="default" r:id="rId7"/>
      <w:footerReference w:type="default" r:id="rId8"/>
      <w:pgSz w:w="11906" w:h="16838" w:orient="portrait"/>
      <w:pgMar w:top="1440" w:right="1080" w:bottom="1440" w:left="108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9F1CB6" w:rsidRDefault="009F1CB6" w14:paraId="73BF72D7" w14:textId="77777777">
      <w:r>
        <w:separator/>
      </w:r>
    </w:p>
  </w:endnote>
  <w:endnote w:type="continuationSeparator" w:id="0">
    <w:p w:rsidR="009F1CB6" w:rsidRDefault="009F1CB6" w14:paraId="745C8462"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00000003" w:usb1="00000000" w:usb2="00000000" w:usb3="00000000" w:csb0="00000001" w:csb1="00000000"/>
  </w:font>
  <w:font w:name="Aptos Display">
    <w:panose1 w:val="020B0004020202020204"/>
    <w:charset w:val="00"/>
    <w:family w:val="roman"/>
    <w:notTrueType/>
    <w:pitch w:val="default"/>
  </w:font>
  <w:font w:name="Aptos">
    <w:panose1 w:val="020B00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243BB1" w:rsidP="295E3045" w:rsidRDefault="009F1CB6" w14:paraId="43887FBF" w14:textId="0E9981A0">
    <w:pPr>
      <w:pBdr>
        <w:top w:val="single" w:color="D4A94B" w:sz="4" w:space="1"/>
      </w:pBdr>
      <w:spacing w:before="80"/>
      <w:jc w:val="center"/>
    </w:pPr>
    <w:r w:rsidRPr="295E3045" w:rsidR="295E3045">
      <w:rPr>
        <w:color w:val="777777"/>
        <w:sz w:val="18"/>
        <w:szCs w:val="18"/>
      </w:rPr>
      <w:t xml:space="preserve">LCLM5001 – Understanding and Engaging </w:t>
    </w:r>
    <w:r w:rsidRPr="295E3045" w:rsidR="295E3045">
      <w:rPr>
        <w:color w:val="777777"/>
        <w:sz w:val="18"/>
        <w:szCs w:val="18"/>
      </w:rPr>
      <w:t xml:space="preserve">Stakeholders </w:t>
    </w:r>
    <w:r w:rsidRPr="295E3045" w:rsidR="295E3045">
      <w:rPr>
        <w:color w:val="777777"/>
        <w:sz w:val="18"/>
        <w:szCs w:val="18"/>
      </w:rPr>
      <w:t>| Page</w:t>
    </w:r>
    <w:r w:rsidRPr="295E3045" w:rsidR="295E3045">
      <w:rPr>
        <w:color w:val="777777"/>
        <w:sz w:val="18"/>
        <w:szCs w:val="18"/>
      </w:rPr>
      <w:t xml:space="preserve"> </w:t>
    </w:r>
    <w:r w:rsidRPr="295E3045">
      <w:rPr>
        <w:color w:val="777777"/>
        <w:sz w:val="18"/>
        <w:szCs w:val="18"/>
      </w:rPr>
      <w:fldChar w:fldCharType="begin"/>
    </w:r>
    <w:r w:rsidRPr="295E3045">
      <w:rPr>
        <w:color w:val="777777"/>
        <w:sz w:val="18"/>
        <w:szCs w:val="18"/>
      </w:rPr>
      <w:instrText xml:space="preserve">PAGE</w:instrText>
    </w:r>
    <w:r w:rsidRPr="295E3045">
      <w:rPr>
        <w:color w:val="777777"/>
        <w:sz w:val="18"/>
        <w:szCs w:val="18"/>
      </w:rPr>
      <w:fldChar w:fldCharType="separate"/>
    </w:r>
    <w:r w:rsidRPr="295E3045">
      <w:rPr>
        <w:color w:val="777777"/>
        <w:sz w:val="18"/>
        <w:szCs w:val="18"/>
      </w:rPr>
      <w:fldChar w:fldCharType="end"/>
    </w:r>
    <w:r w:rsidRPr="295E3045" w:rsidR="295E3045">
      <w:rPr>
        <w:color w:val="777777"/>
        <w:sz w:val="18"/>
        <w:szCs w:val="18"/>
      </w:rPr>
      <w:t xml:space="preserve"> of </w:t>
    </w:r>
    <w:r w:rsidRPr="295E3045">
      <w:rPr>
        <w:color w:val="777777"/>
        <w:sz w:val="18"/>
        <w:szCs w:val="18"/>
      </w:rPr>
      <w:fldChar w:fldCharType="begin"/>
    </w:r>
    <w:r w:rsidRPr="295E3045">
      <w:rPr>
        <w:color w:val="777777"/>
        <w:sz w:val="18"/>
        <w:szCs w:val="18"/>
      </w:rPr>
      <w:instrText xml:space="preserve">NUMPAGES</w:instrText>
    </w:r>
    <w:r w:rsidRPr="295E3045">
      <w:rPr>
        <w:color w:val="777777"/>
        <w:sz w:val="18"/>
        <w:szCs w:val="18"/>
      </w:rPr>
      <w:fldChar w:fldCharType="separate"/>
    </w:r>
    <w:r w:rsidRPr="295E3045">
      <w:rPr>
        <w:color w:val="777777"/>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9F1CB6" w:rsidRDefault="009F1CB6" w14:paraId="60391EB6" w14:textId="77777777">
      <w:r>
        <w:separator/>
      </w:r>
    </w:p>
  </w:footnote>
  <w:footnote w:type="continuationSeparator" w:id="0">
    <w:p w:rsidR="009F1CB6" w:rsidRDefault="009F1CB6" w14:paraId="0937A457"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243BB1" w:rsidP="295E3045" w:rsidRDefault="009F1CB6" w14:paraId="31EDB9D1" w14:textId="4814E2C4">
    <w:pPr>
      <w:pBdr>
        <w:bottom w:val="single" w:color="D4A94B" w:sz="4" w:space="1"/>
      </w:pBdr>
      <w:spacing w:after="80"/>
    </w:pPr>
    <w:r w:rsidRPr="295E3045" w:rsidR="295E3045">
      <w:rPr>
        <w:color w:val="777777"/>
        <w:sz w:val="18"/>
        <w:szCs w:val="18"/>
      </w:rPr>
      <w:t xml:space="preserve">Hilton Hotels &amp; </w:t>
    </w:r>
    <w:r w:rsidRPr="295E3045" w:rsidR="295E3045">
      <w:rPr>
        <w:color w:val="777777"/>
        <w:sz w:val="18"/>
        <w:szCs w:val="18"/>
      </w:rPr>
      <w:t>Resorts |</w:t>
    </w:r>
    <w:r w:rsidRPr="295E3045" w:rsidR="295E3045">
      <w:rPr>
        <w:color w:val="777777"/>
        <w:sz w:val="18"/>
        <w:szCs w:val="18"/>
      </w:rPr>
      <w:t xml:space="preserve">  </w:t>
    </w:r>
    <w:r w:rsidRPr="295E3045" w:rsidR="295E3045">
      <w:rPr>
        <w:color w:val="777777"/>
        <w:sz w:val="18"/>
        <w:szCs w:val="18"/>
      </w:rPr>
      <w:t>StaySmart</w:t>
    </w:r>
    <w:r w:rsidRPr="295E3045" w:rsidR="295E3045">
      <w:rPr>
        <w:color w:val="777777"/>
        <w:sz w:val="18"/>
        <w:szCs w:val="18"/>
      </w:rPr>
      <w:t xml:space="preserve">+ </w:t>
    </w:r>
    <w:r w:rsidRPr="295E3045" w:rsidR="295E3045">
      <w:rPr>
        <w:color w:val="777777"/>
        <w:sz w:val="18"/>
        <w:szCs w:val="18"/>
      </w:rPr>
      <w:t xml:space="preserve">Project </w:t>
    </w:r>
    <w:r w:rsidRPr="295E3045" w:rsidR="295E3045">
      <w:rPr>
        <w:color w:val="777777"/>
        <w:sz w:val="18"/>
        <w:szCs w:val="18"/>
      </w:rPr>
      <w:t>| Stakeholder</w:t>
    </w:r>
    <w:r w:rsidRPr="295E3045" w:rsidR="295E3045">
      <w:rPr>
        <w:color w:val="777777"/>
        <w:sz w:val="18"/>
        <w:szCs w:val="18"/>
      </w:rPr>
      <w:t xml:space="preserve"> Engagement Report</w:t>
    </w:r>
  </w:p>
</w:hdr>
</file>

<file path=word/intelligence2.xml><?xml version="1.0" encoding="utf-8"?>
<int2:intelligence xmlns:int2="http://schemas.microsoft.com/office/intelligence/2020/intelligence">
  <int2:observations>
    <int2:textHash int2:hashCode="c7pB5/QQ4NiMbW" int2:id="jfj3Xism">
      <int2:state int2:type="spell"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CB6EC0"/>
    <w:multiLevelType w:val="hybridMultilevel"/>
    <w:tmpl w:val="FFFFFFFF"/>
    <w:lvl w:ilvl="0" w:tplc="060C76D0">
      <w:start w:val="1"/>
      <w:numFmt w:val="bullet"/>
      <w:lvlText w:val="●"/>
      <w:lvlJc w:val="left"/>
      <w:pPr>
        <w:ind w:left="720" w:hanging="360"/>
      </w:pPr>
    </w:lvl>
    <w:lvl w:ilvl="1" w:tplc="98D247C6">
      <w:start w:val="1"/>
      <w:numFmt w:val="bullet"/>
      <w:lvlText w:val="○"/>
      <w:lvlJc w:val="left"/>
      <w:pPr>
        <w:ind w:left="1440" w:hanging="360"/>
      </w:pPr>
    </w:lvl>
    <w:lvl w:ilvl="2" w:tplc="C63A2C94">
      <w:start w:val="1"/>
      <w:numFmt w:val="bullet"/>
      <w:lvlText w:val="■"/>
      <w:lvlJc w:val="left"/>
      <w:pPr>
        <w:ind w:left="2160" w:hanging="360"/>
      </w:pPr>
    </w:lvl>
    <w:lvl w:ilvl="3" w:tplc="B150B766">
      <w:start w:val="1"/>
      <w:numFmt w:val="bullet"/>
      <w:lvlText w:val="●"/>
      <w:lvlJc w:val="left"/>
      <w:pPr>
        <w:ind w:left="2880" w:hanging="360"/>
      </w:pPr>
    </w:lvl>
    <w:lvl w:ilvl="4" w:tplc="63308BAA">
      <w:start w:val="1"/>
      <w:numFmt w:val="bullet"/>
      <w:lvlText w:val="○"/>
      <w:lvlJc w:val="left"/>
      <w:pPr>
        <w:ind w:left="3600" w:hanging="360"/>
      </w:pPr>
    </w:lvl>
    <w:lvl w:ilvl="5" w:tplc="5A54D7AE">
      <w:start w:val="1"/>
      <w:numFmt w:val="bullet"/>
      <w:lvlText w:val="■"/>
      <w:lvlJc w:val="left"/>
      <w:pPr>
        <w:ind w:left="4320" w:hanging="360"/>
      </w:pPr>
    </w:lvl>
    <w:lvl w:ilvl="6" w:tplc="BE2C16D0">
      <w:start w:val="1"/>
      <w:numFmt w:val="bullet"/>
      <w:lvlText w:val="●"/>
      <w:lvlJc w:val="left"/>
      <w:pPr>
        <w:ind w:left="5040" w:hanging="360"/>
      </w:pPr>
    </w:lvl>
    <w:lvl w:ilvl="7" w:tplc="8340CADC">
      <w:start w:val="1"/>
      <w:numFmt w:val="bullet"/>
      <w:lvlText w:val="●"/>
      <w:lvlJc w:val="left"/>
      <w:pPr>
        <w:ind w:left="5760" w:hanging="360"/>
      </w:pPr>
    </w:lvl>
    <w:lvl w:ilvl="8" w:tplc="F1B0A02E">
      <w:start w:val="1"/>
      <w:numFmt w:val="bullet"/>
      <w:lvlText w:val="●"/>
      <w:lvlJc w:val="left"/>
      <w:pPr>
        <w:ind w:left="6480" w:hanging="360"/>
      </w:pPr>
    </w:lvl>
  </w:abstractNum>
  <w:abstractNum w:abstractNumId="1" w15:restartNumberingAfterBreak="0">
    <w:nsid w:val="796E548E"/>
    <w:multiLevelType w:val="hybridMultilevel"/>
    <w:tmpl w:val="FFFFFFFF"/>
    <w:lvl w:ilvl="0" w:tplc="0EDC5B4C">
      <w:start w:val="1"/>
      <w:numFmt w:val="bullet"/>
      <w:lvlText w:val="•"/>
      <w:lvlJc w:val="left"/>
      <w:pPr>
        <w:ind w:left="720" w:hanging="360"/>
      </w:pPr>
    </w:lvl>
    <w:lvl w:ilvl="1" w:tplc="FDC04B40">
      <w:numFmt w:val="decimal"/>
      <w:lvlText w:val=""/>
      <w:lvlJc w:val="left"/>
    </w:lvl>
    <w:lvl w:ilvl="2" w:tplc="273A3980">
      <w:numFmt w:val="decimal"/>
      <w:lvlText w:val=""/>
      <w:lvlJc w:val="left"/>
    </w:lvl>
    <w:lvl w:ilvl="3" w:tplc="441EABD0">
      <w:numFmt w:val="decimal"/>
      <w:lvlText w:val=""/>
      <w:lvlJc w:val="left"/>
    </w:lvl>
    <w:lvl w:ilvl="4" w:tplc="E00A7FA0">
      <w:numFmt w:val="decimal"/>
      <w:lvlText w:val=""/>
      <w:lvlJc w:val="left"/>
    </w:lvl>
    <w:lvl w:ilvl="5" w:tplc="A23C5FFA">
      <w:numFmt w:val="decimal"/>
      <w:lvlText w:val=""/>
      <w:lvlJc w:val="left"/>
    </w:lvl>
    <w:lvl w:ilvl="6" w:tplc="91CA86CC">
      <w:numFmt w:val="decimal"/>
      <w:lvlText w:val=""/>
      <w:lvlJc w:val="left"/>
    </w:lvl>
    <w:lvl w:ilvl="7" w:tplc="D21AC200">
      <w:numFmt w:val="decimal"/>
      <w:lvlText w:val=""/>
      <w:lvlJc w:val="left"/>
    </w:lvl>
    <w:lvl w:ilvl="8" w:tplc="19AC32EA">
      <w:numFmt w:val="decimal"/>
      <w:lvlText w:val=""/>
      <w:lvlJc w:val="left"/>
    </w:lvl>
  </w:abstractNum>
  <w:num w:numId="1" w16cid:durableId="350111880">
    <w:abstractNumId w:val="0"/>
    <w:lvlOverride w:ilvl="0">
      <w:startOverride w:val="1"/>
    </w:lvlOverride>
  </w:num>
  <w:num w:numId="2" w16cid:durableId="287206988">
    <w:abstractNumId w:val="1"/>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51"/>
  <w:displayBackgroundShape/>
  <w:proofState w:spelling="clean" w:grammar="dirty"/>
  <w:revisionView w:inkAnnotations="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43BB1"/>
    <w:rsid w:val="00243BB1"/>
    <w:rsid w:val="004C2D3E"/>
    <w:rsid w:val="009F1CB6"/>
    <w:rsid w:val="00B34AC3"/>
    <w:rsid w:val="00BC5CA5"/>
    <w:rsid w:val="01810A4B"/>
    <w:rsid w:val="01CC61A8"/>
    <w:rsid w:val="021C17A8"/>
    <w:rsid w:val="022C6F76"/>
    <w:rsid w:val="024EEDBD"/>
    <w:rsid w:val="0436953E"/>
    <w:rsid w:val="043866CD"/>
    <w:rsid w:val="0544BEBA"/>
    <w:rsid w:val="059B7768"/>
    <w:rsid w:val="05A4CBB0"/>
    <w:rsid w:val="06342139"/>
    <w:rsid w:val="063B955A"/>
    <w:rsid w:val="064793AB"/>
    <w:rsid w:val="079F82B6"/>
    <w:rsid w:val="07DDA0D8"/>
    <w:rsid w:val="08106BE1"/>
    <w:rsid w:val="0826C832"/>
    <w:rsid w:val="08B40F53"/>
    <w:rsid w:val="0967185A"/>
    <w:rsid w:val="09AC36E3"/>
    <w:rsid w:val="0A05BA75"/>
    <w:rsid w:val="0A38E8D2"/>
    <w:rsid w:val="0B241C5A"/>
    <w:rsid w:val="0B3B7CAD"/>
    <w:rsid w:val="0BB62989"/>
    <w:rsid w:val="0C00A49C"/>
    <w:rsid w:val="0C119ECF"/>
    <w:rsid w:val="0CFBC4AD"/>
    <w:rsid w:val="0D16DDDE"/>
    <w:rsid w:val="0D424A28"/>
    <w:rsid w:val="0D85E961"/>
    <w:rsid w:val="0E19E387"/>
    <w:rsid w:val="0E77A04D"/>
    <w:rsid w:val="0EAD5038"/>
    <w:rsid w:val="0F3DEE5C"/>
    <w:rsid w:val="0FD1DC2C"/>
    <w:rsid w:val="100E34D2"/>
    <w:rsid w:val="103282B4"/>
    <w:rsid w:val="108965C0"/>
    <w:rsid w:val="115A10FF"/>
    <w:rsid w:val="11C8091B"/>
    <w:rsid w:val="12510622"/>
    <w:rsid w:val="12822EE2"/>
    <w:rsid w:val="1345D34B"/>
    <w:rsid w:val="139FA44F"/>
    <w:rsid w:val="140DD04C"/>
    <w:rsid w:val="14769294"/>
    <w:rsid w:val="155B7EB7"/>
    <w:rsid w:val="1657CABE"/>
    <w:rsid w:val="167CFD7D"/>
    <w:rsid w:val="17822E83"/>
    <w:rsid w:val="17AC297F"/>
    <w:rsid w:val="17CAA5A7"/>
    <w:rsid w:val="181B6E0E"/>
    <w:rsid w:val="1858E924"/>
    <w:rsid w:val="186ADF1E"/>
    <w:rsid w:val="19BF6807"/>
    <w:rsid w:val="1A8726F5"/>
    <w:rsid w:val="1A918B07"/>
    <w:rsid w:val="1BFAF5AD"/>
    <w:rsid w:val="1BFB02F5"/>
    <w:rsid w:val="1C165B8C"/>
    <w:rsid w:val="1CEAB2D5"/>
    <w:rsid w:val="1D2CBD42"/>
    <w:rsid w:val="1DD9DC15"/>
    <w:rsid w:val="1E25EE63"/>
    <w:rsid w:val="1E8A15AA"/>
    <w:rsid w:val="1EAF5DB6"/>
    <w:rsid w:val="1ED7D38D"/>
    <w:rsid w:val="1F3F0603"/>
    <w:rsid w:val="1F421517"/>
    <w:rsid w:val="1F63F6EE"/>
    <w:rsid w:val="1F9780E1"/>
    <w:rsid w:val="1FEA98A6"/>
    <w:rsid w:val="2000CC8E"/>
    <w:rsid w:val="2039C0B6"/>
    <w:rsid w:val="20638D41"/>
    <w:rsid w:val="213885AF"/>
    <w:rsid w:val="2138A376"/>
    <w:rsid w:val="232C2A9F"/>
    <w:rsid w:val="233377EB"/>
    <w:rsid w:val="23469D71"/>
    <w:rsid w:val="23D96245"/>
    <w:rsid w:val="2410C9F2"/>
    <w:rsid w:val="24146F12"/>
    <w:rsid w:val="2453807A"/>
    <w:rsid w:val="245C7D94"/>
    <w:rsid w:val="24AAA999"/>
    <w:rsid w:val="24B82FD8"/>
    <w:rsid w:val="25909695"/>
    <w:rsid w:val="25BBB130"/>
    <w:rsid w:val="25FBA3EF"/>
    <w:rsid w:val="2623795D"/>
    <w:rsid w:val="2748A27E"/>
    <w:rsid w:val="279133CD"/>
    <w:rsid w:val="295E3045"/>
    <w:rsid w:val="29747213"/>
    <w:rsid w:val="29B4F6C0"/>
    <w:rsid w:val="2A79F078"/>
    <w:rsid w:val="2AE8321C"/>
    <w:rsid w:val="2B1B479A"/>
    <w:rsid w:val="2BB832BA"/>
    <w:rsid w:val="2C3562A5"/>
    <w:rsid w:val="2C5098DF"/>
    <w:rsid w:val="2DCBE0F6"/>
    <w:rsid w:val="2E0E9A86"/>
    <w:rsid w:val="2E68784F"/>
    <w:rsid w:val="3036DFD6"/>
    <w:rsid w:val="307F41E1"/>
    <w:rsid w:val="316EC3CA"/>
    <w:rsid w:val="347FF4C4"/>
    <w:rsid w:val="34D74EC8"/>
    <w:rsid w:val="34DB3DD4"/>
    <w:rsid w:val="3580C6C6"/>
    <w:rsid w:val="35843FD2"/>
    <w:rsid w:val="35BB32F0"/>
    <w:rsid w:val="35C28931"/>
    <w:rsid w:val="36622EA4"/>
    <w:rsid w:val="371C88AB"/>
    <w:rsid w:val="3730F2B6"/>
    <w:rsid w:val="376AD303"/>
    <w:rsid w:val="37A12EEA"/>
    <w:rsid w:val="37DE6A64"/>
    <w:rsid w:val="37E1F949"/>
    <w:rsid w:val="383893B3"/>
    <w:rsid w:val="3874989B"/>
    <w:rsid w:val="392FED70"/>
    <w:rsid w:val="39ABB95A"/>
    <w:rsid w:val="3ABD900B"/>
    <w:rsid w:val="3B16F2CA"/>
    <w:rsid w:val="3B626477"/>
    <w:rsid w:val="3BC8EDDD"/>
    <w:rsid w:val="3BC9973C"/>
    <w:rsid w:val="3C17BA95"/>
    <w:rsid w:val="3C38D344"/>
    <w:rsid w:val="3C48874B"/>
    <w:rsid w:val="3C7B55AB"/>
    <w:rsid w:val="3C84ACEB"/>
    <w:rsid w:val="3D47049C"/>
    <w:rsid w:val="3DE2B54D"/>
    <w:rsid w:val="3E890BDB"/>
    <w:rsid w:val="3EA78146"/>
    <w:rsid w:val="3F40C643"/>
    <w:rsid w:val="3FBB90EC"/>
    <w:rsid w:val="401B3725"/>
    <w:rsid w:val="40AA99C9"/>
    <w:rsid w:val="410B213F"/>
    <w:rsid w:val="420E227E"/>
    <w:rsid w:val="42744D0B"/>
    <w:rsid w:val="43312FE5"/>
    <w:rsid w:val="43DD2F21"/>
    <w:rsid w:val="442EACC9"/>
    <w:rsid w:val="44F48749"/>
    <w:rsid w:val="451713F1"/>
    <w:rsid w:val="45463948"/>
    <w:rsid w:val="455C1C27"/>
    <w:rsid w:val="45E34FBB"/>
    <w:rsid w:val="461AAE03"/>
    <w:rsid w:val="47407C88"/>
    <w:rsid w:val="475FAD01"/>
    <w:rsid w:val="4842EC65"/>
    <w:rsid w:val="487A0113"/>
    <w:rsid w:val="4884DF0C"/>
    <w:rsid w:val="4926AA0F"/>
    <w:rsid w:val="49334442"/>
    <w:rsid w:val="4A308062"/>
    <w:rsid w:val="4A594FEC"/>
    <w:rsid w:val="4AADA2EA"/>
    <w:rsid w:val="4AE55CFE"/>
    <w:rsid w:val="4C4921C8"/>
    <w:rsid w:val="4CAC8915"/>
    <w:rsid w:val="4CC4D649"/>
    <w:rsid w:val="4CFDAE5A"/>
    <w:rsid w:val="4D34ABC6"/>
    <w:rsid w:val="4D3830DA"/>
    <w:rsid w:val="4D63AB24"/>
    <w:rsid w:val="4D7BA11F"/>
    <w:rsid w:val="4D94C043"/>
    <w:rsid w:val="4E4FFAD8"/>
    <w:rsid w:val="4ECE5E13"/>
    <w:rsid w:val="4EEAA407"/>
    <w:rsid w:val="4F4F52EF"/>
    <w:rsid w:val="4FE059F7"/>
    <w:rsid w:val="5038EA9A"/>
    <w:rsid w:val="508B558D"/>
    <w:rsid w:val="50CAFEAE"/>
    <w:rsid w:val="50E11F8F"/>
    <w:rsid w:val="5120C9EA"/>
    <w:rsid w:val="52FDE232"/>
    <w:rsid w:val="532AC94C"/>
    <w:rsid w:val="53EE8014"/>
    <w:rsid w:val="540B5062"/>
    <w:rsid w:val="542C374F"/>
    <w:rsid w:val="54D491BC"/>
    <w:rsid w:val="54F2816A"/>
    <w:rsid w:val="55532564"/>
    <w:rsid w:val="556618AE"/>
    <w:rsid w:val="557D707F"/>
    <w:rsid w:val="55AD779F"/>
    <w:rsid w:val="567F1B59"/>
    <w:rsid w:val="56CF9227"/>
    <w:rsid w:val="56E5EBB5"/>
    <w:rsid w:val="58092B07"/>
    <w:rsid w:val="58BD719A"/>
    <w:rsid w:val="58C93514"/>
    <w:rsid w:val="59144B3F"/>
    <w:rsid w:val="596F8308"/>
    <w:rsid w:val="59E0AD0C"/>
    <w:rsid w:val="5A6914C9"/>
    <w:rsid w:val="5A7A5707"/>
    <w:rsid w:val="5AFB3EDB"/>
    <w:rsid w:val="5BB01459"/>
    <w:rsid w:val="5BE95CF1"/>
    <w:rsid w:val="5CA5B0F1"/>
    <w:rsid w:val="5CCF434F"/>
    <w:rsid w:val="5D1A0B6A"/>
    <w:rsid w:val="5D325830"/>
    <w:rsid w:val="5D75AC94"/>
    <w:rsid w:val="5DFFBE2D"/>
    <w:rsid w:val="5F0A12A3"/>
    <w:rsid w:val="61012E48"/>
    <w:rsid w:val="610FB264"/>
    <w:rsid w:val="61314CA0"/>
    <w:rsid w:val="62D4B297"/>
    <w:rsid w:val="62D67344"/>
    <w:rsid w:val="62FB47D1"/>
    <w:rsid w:val="63FA1AB3"/>
    <w:rsid w:val="64B099CA"/>
    <w:rsid w:val="6527FAE6"/>
    <w:rsid w:val="65B18DDF"/>
    <w:rsid w:val="65CA0A73"/>
    <w:rsid w:val="6605BD29"/>
    <w:rsid w:val="664BB041"/>
    <w:rsid w:val="66971072"/>
    <w:rsid w:val="669BFD08"/>
    <w:rsid w:val="66B3E72C"/>
    <w:rsid w:val="66C3B8D9"/>
    <w:rsid w:val="671D8446"/>
    <w:rsid w:val="67944D44"/>
    <w:rsid w:val="68D27C0F"/>
    <w:rsid w:val="6A9CC589"/>
    <w:rsid w:val="6B60EBF8"/>
    <w:rsid w:val="6C3D1FE6"/>
    <w:rsid w:val="6C9D9D64"/>
    <w:rsid w:val="6CC2642E"/>
    <w:rsid w:val="6CFA77FB"/>
    <w:rsid w:val="6E107FC1"/>
    <w:rsid w:val="6F701467"/>
    <w:rsid w:val="70828ADF"/>
    <w:rsid w:val="70F5AA66"/>
    <w:rsid w:val="70F787CD"/>
    <w:rsid w:val="72033EC3"/>
    <w:rsid w:val="72C01BDC"/>
    <w:rsid w:val="73BD97F1"/>
    <w:rsid w:val="75637C3F"/>
    <w:rsid w:val="757B8B93"/>
    <w:rsid w:val="75BE216D"/>
    <w:rsid w:val="75FDF828"/>
    <w:rsid w:val="76F16BA9"/>
    <w:rsid w:val="77318A16"/>
    <w:rsid w:val="77AA019A"/>
    <w:rsid w:val="78CBF19C"/>
    <w:rsid w:val="78DAF828"/>
    <w:rsid w:val="7940E39C"/>
    <w:rsid w:val="796F46A1"/>
    <w:rsid w:val="79D14C6C"/>
    <w:rsid w:val="7A1F94C4"/>
    <w:rsid w:val="7A5A6767"/>
    <w:rsid w:val="7A7CA629"/>
    <w:rsid w:val="7B0B99D9"/>
    <w:rsid w:val="7B46F821"/>
    <w:rsid w:val="7BACD052"/>
    <w:rsid w:val="7D7A9190"/>
    <w:rsid w:val="7EEFB064"/>
    <w:rsid w:val="7EFD9988"/>
    <w:rsid w:val="7F78B5FB"/>
    <w:rsid w:val="7FB01F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6336C38"/>
  <w15:docId w15:val="{639169F4-DDB9-4F4F-A28F-BABA5CC9B3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hAnsi="Arial" w:eastAsia="Arial" w:cs="Arial"/>
        <w:color w:val="1A1A2E"/>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uiPriority w:val="9"/>
    <w:qFormat/>
    <w:pPr>
      <w:spacing w:before="360" w:after="160"/>
      <w:outlineLvl w:val="0"/>
    </w:pPr>
    <w:rPr>
      <w:b/>
      <w:bCs/>
      <w:color w:val="FFFFFF"/>
      <w:sz w:val="28"/>
      <w:szCs w:val="28"/>
    </w:rPr>
  </w:style>
  <w:style w:type="paragraph" w:styleId="Heading2">
    <w:name w:val="heading 2"/>
    <w:uiPriority w:val="9"/>
    <w:unhideWhenUsed/>
    <w:qFormat/>
    <w:pPr>
      <w:spacing w:before="240" w:after="120"/>
      <w:outlineLvl w:val="1"/>
    </w:pPr>
    <w:rPr>
      <w:b/>
      <w:bCs/>
      <w:color w:val="003580"/>
      <w:sz w:val="24"/>
      <w:szCs w:val="24"/>
    </w:rPr>
  </w:style>
  <w:style w:type="paragraph" w:styleId="Heading3">
    <w:name w:val="heading 3"/>
    <w:uiPriority w:val="9"/>
    <w:unhideWhenUsed/>
    <w:qFormat/>
    <w:pPr>
      <w:spacing w:before="160" w:after="80"/>
      <w:outlineLvl w:val="2"/>
    </w:pPr>
    <w:rPr>
      <w:b/>
      <w:bCs/>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uiPriority w:val="10"/>
    <w:qFormat/>
    <w:rPr>
      <w:sz w:val="56"/>
      <w:szCs w:val="56"/>
    </w:rPr>
  </w:style>
  <w:style w:type="paragraph" w:styleId="Strong1" w:customStyle="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styleId="FootnoteTextChar" w:customStyle="1">
    <w:name w:val="Footnote Text Char"/>
    <w:link w:val="FootnoteText"/>
    <w:uiPriority w:val="99"/>
    <w:semiHidden/>
    <w:unhideWhenUsed/>
    <w:rPr>
      <w:sz w:val="20"/>
      <w:szCs w:val="20"/>
    </w:rPr>
  </w:style>
  <w:style xmlns:w14="http://schemas.microsoft.com/office/word/2010/wordml" xmlns:mc="http://schemas.openxmlformats.org/markup-compatibility/2006" xmlns:w="http://schemas.openxmlformats.org/wordprocessingml/2006/main" w:type="table" w:styleId="TableGrid" mc:Ignorable="w14">
    <w:name xmlns:w="http://schemas.openxmlformats.org/wordprocessingml/2006/main" w:val="Table Grid"/>
    <w:basedOn xmlns:w="http://schemas.openxmlformats.org/wordprocessingml/2006/main" w:val="TableNormal"/>
    <w:uiPriority xmlns:w="http://schemas.openxmlformats.org/wordprocessingml/2006/main" w:val="39"/>
    <w:pPr xmlns:w="http://schemas.openxmlformats.org/wordprocessingml/2006/main">
      <w:spacing xmlns:w="http://schemas.openxmlformats.org/wordprocessingml/2006/main" w:after="0" w:line="240" w:lineRule="auto"/>
    </w:pPr>
    <w:tblPr xmlns:w="http://schemas.openxmlformats.org/wordprocessingml/2006/main">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ettings" Target="settings.xml" Id="rId3" /><Relationship Type="http://schemas.openxmlformats.org/officeDocument/2006/relationships/header" Target="header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 Type="http://schemas.microsoft.com/office/2020/10/relationships/intelligence" Target="intelligence2.xml" Id="Rf258b08ccc7b4b8d" /><Relationship Type="http://schemas.openxmlformats.org/officeDocument/2006/relationships/image" Target="/media/image.png" Id="rId3284030"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Un-named</dc:creator>
  <lastModifiedBy>Stacey Samantha Blackwood (2424532)</lastModifiedBy>
  <revision>6</revision>
  <dcterms:created xsi:type="dcterms:W3CDTF">2026-03-24T19:57:00.0000000Z</dcterms:created>
  <dcterms:modified xsi:type="dcterms:W3CDTF">2026-04-28T06:05:50.7841654Z</dcterms:modified>
</coreProperties>
</file>