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35" w:type="dxa"/>
        <w:jc w:val="center"/>
        <w:tblLayout w:type="fixed"/>
        <w:tblLook w:val="04A0" w:firstRow="1" w:lastRow="0" w:firstColumn="1" w:lastColumn="0" w:noHBand="0" w:noVBand="1"/>
      </w:tblPr>
      <w:tblGrid>
        <w:gridCol w:w="9835"/>
      </w:tblGrid>
      <w:tr w:rsidR="00B1670F" w14:paraId="66C5A97B" w14:textId="77777777">
        <w:trPr>
          <w:jc w:val="center"/>
        </w:trPr>
        <w:tc>
          <w:tcPr>
            <w:tcW w:w="9835" w:type="dxa"/>
            <w:shd w:val="clear" w:color="auto" w:fill="17324D"/>
          </w:tcPr>
          <w:p w14:paraId="66C5A979" w14:textId="77777777" w:rsidR="00B1670F" w:rsidRDefault="00B23735">
            <w:pPr>
              <w:spacing w:before="360"/>
              <w:jc w:val="center"/>
            </w:pPr>
            <w:r>
              <w:rPr>
                <w:rFonts w:ascii="Aptos Display" w:hAnsi="Aptos Display"/>
                <w:b/>
                <w:color w:val="FFFFFF"/>
                <w:sz w:val="32"/>
              </w:rPr>
              <w:t>CONSTRUCTION TECHNOLOGY 2</w:t>
            </w:r>
          </w:p>
          <w:p w14:paraId="66C5A97A" w14:textId="77777777" w:rsidR="00B1670F" w:rsidRDefault="00B23735">
            <w:pPr>
              <w:jc w:val="center"/>
            </w:pPr>
            <w:r>
              <w:rPr>
                <w:color w:val="D5E7F2"/>
              </w:rPr>
              <w:t>ACBA5019 | Level 5 Assessment 2</w:t>
            </w:r>
          </w:p>
        </w:tc>
      </w:tr>
    </w:tbl>
    <w:p w14:paraId="66C5A97C" w14:textId="77777777" w:rsidR="00B1670F" w:rsidRDefault="00B23735">
      <w:pPr>
        <w:spacing w:before="520"/>
        <w:jc w:val="center"/>
      </w:pPr>
      <w:r>
        <w:rPr>
          <w:rFonts w:ascii="Aptos Display" w:hAnsi="Aptos Display"/>
          <w:b/>
          <w:color w:val="17324D"/>
          <w:sz w:val="60"/>
        </w:rPr>
        <w:t>Buildability and</w:t>
      </w:r>
      <w:r>
        <w:rPr>
          <w:rFonts w:ascii="Aptos Display" w:hAnsi="Aptos Display"/>
          <w:b/>
          <w:color w:val="17324D"/>
          <w:sz w:val="60"/>
        </w:rPr>
        <w:br/>
        <w:t>Sustainability Analysis</w:t>
      </w:r>
    </w:p>
    <w:tbl>
      <w:tblPr>
        <w:tblW w:w="9360" w:type="dxa"/>
        <w:jc w:val="center"/>
        <w:tblLayout w:type="fixed"/>
        <w:tblLook w:val="04A0" w:firstRow="1" w:lastRow="0" w:firstColumn="1" w:lastColumn="0" w:noHBand="0" w:noVBand="1"/>
      </w:tblPr>
      <w:tblGrid>
        <w:gridCol w:w="3096"/>
        <w:gridCol w:w="6264"/>
      </w:tblGrid>
      <w:tr w:rsidR="00B1670F" w14:paraId="66C5A97F" w14:textId="77777777">
        <w:trPr>
          <w:jc w:val="center"/>
        </w:trPr>
        <w:tc>
          <w:tcPr>
            <w:tcW w:w="3096" w:type="dxa"/>
            <w:tcBorders>
              <w:top w:val="single" w:sz="6" w:space="0" w:color="E2E8F0"/>
              <w:left w:val="single" w:sz="6" w:space="0" w:color="E2E8F0"/>
              <w:bottom w:val="single" w:sz="6" w:space="0" w:color="E2E8F0"/>
              <w:right w:val="single" w:sz="6" w:space="0" w:color="E2E8F0"/>
            </w:tcBorders>
            <w:shd w:val="clear" w:color="auto" w:fill="0A7C7C"/>
            <w:vAlign w:val="center"/>
          </w:tcPr>
          <w:p w14:paraId="66C5A97D" w14:textId="77777777" w:rsidR="00B1670F" w:rsidRDefault="00B23735">
            <w:r>
              <w:rPr>
                <w:b/>
                <w:color w:val="FFFFFF"/>
                <w:sz w:val="18"/>
              </w:rPr>
              <w:t>Student name</w:t>
            </w:r>
          </w:p>
        </w:tc>
        <w:tc>
          <w:tcPr>
            <w:tcW w:w="6263" w:type="dxa"/>
            <w:tcBorders>
              <w:top w:val="single" w:sz="6" w:space="0" w:color="E2E8F0"/>
              <w:left w:val="single" w:sz="6" w:space="0" w:color="E2E8F0"/>
              <w:bottom w:val="single" w:sz="6" w:space="0" w:color="E2E8F0"/>
              <w:right w:val="single" w:sz="6" w:space="0" w:color="E2E8F0"/>
            </w:tcBorders>
            <w:shd w:val="clear" w:color="auto" w:fill="FFFFFF"/>
            <w:vAlign w:val="center"/>
          </w:tcPr>
          <w:p w14:paraId="66C5A97E" w14:textId="77777777" w:rsidR="00B1670F" w:rsidRDefault="00B23735">
            <w:r>
              <w:rPr>
                <w:color w:val="334155"/>
                <w:sz w:val="19"/>
              </w:rPr>
              <w:t>Mikey Scourfield</w:t>
            </w:r>
          </w:p>
        </w:tc>
      </w:tr>
      <w:tr w:rsidR="00B1670F" w14:paraId="66C5A982" w14:textId="77777777">
        <w:trPr>
          <w:jc w:val="center"/>
        </w:trPr>
        <w:tc>
          <w:tcPr>
            <w:tcW w:w="3096" w:type="dxa"/>
            <w:tcBorders>
              <w:top w:val="single" w:sz="6" w:space="0" w:color="E2E8F0"/>
              <w:left w:val="single" w:sz="6" w:space="0" w:color="E2E8F0"/>
              <w:bottom w:val="single" w:sz="6" w:space="0" w:color="E2E8F0"/>
              <w:right w:val="single" w:sz="6" w:space="0" w:color="E2E8F0"/>
            </w:tcBorders>
            <w:shd w:val="clear" w:color="auto" w:fill="0A7C7C"/>
            <w:vAlign w:val="center"/>
          </w:tcPr>
          <w:p w14:paraId="66C5A980" w14:textId="77777777" w:rsidR="00B1670F" w:rsidRDefault="00B23735">
            <w:r>
              <w:rPr>
                <w:b/>
                <w:color w:val="FFFFFF"/>
                <w:sz w:val="18"/>
              </w:rPr>
              <w:t>Student ID</w:t>
            </w:r>
          </w:p>
        </w:tc>
        <w:tc>
          <w:tcPr>
            <w:tcW w:w="6263" w:type="dxa"/>
            <w:tcBorders>
              <w:top w:val="single" w:sz="6" w:space="0" w:color="E2E8F0"/>
              <w:left w:val="single" w:sz="6" w:space="0" w:color="E2E8F0"/>
              <w:bottom w:val="single" w:sz="6" w:space="0" w:color="E2E8F0"/>
              <w:right w:val="single" w:sz="6" w:space="0" w:color="E2E8F0"/>
            </w:tcBorders>
            <w:shd w:val="clear" w:color="auto" w:fill="F4F7F9"/>
            <w:vAlign w:val="center"/>
          </w:tcPr>
          <w:p w14:paraId="66C5A981" w14:textId="77777777" w:rsidR="00B1670F" w:rsidRDefault="00B23735">
            <w:r>
              <w:rPr>
                <w:color w:val="334155"/>
                <w:sz w:val="19"/>
              </w:rPr>
              <w:t>2410362</w:t>
            </w:r>
          </w:p>
        </w:tc>
      </w:tr>
      <w:tr w:rsidR="00B1670F" w14:paraId="66C5A985" w14:textId="77777777">
        <w:trPr>
          <w:jc w:val="center"/>
        </w:trPr>
        <w:tc>
          <w:tcPr>
            <w:tcW w:w="3096" w:type="dxa"/>
            <w:tcBorders>
              <w:top w:val="single" w:sz="6" w:space="0" w:color="E2E8F0"/>
              <w:left w:val="single" w:sz="6" w:space="0" w:color="E2E8F0"/>
              <w:bottom w:val="single" w:sz="6" w:space="0" w:color="E2E8F0"/>
              <w:right w:val="single" w:sz="6" w:space="0" w:color="E2E8F0"/>
            </w:tcBorders>
            <w:shd w:val="clear" w:color="auto" w:fill="0A7C7C"/>
            <w:vAlign w:val="center"/>
          </w:tcPr>
          <w:p w14:paraId="66C5A983" w14:textId="77777777" w:rsidR="00B1670F" w:rsidRDefault="00B23735">
            <w:proofErr w:type="spellStart"/>
            <w:r>
              <w:rPr>
                <w:b/>
                <w:color w:val="FFFFFF"/>
                <w:sz w:val="18"/>
              </w:rPr>
              <w:t>Programme</w:t>
            </w:r>
            <w:proofErr w:type="spellEnd"/>
          </w:p>
        </w:tc>
        <w:tc>
          <w:tcPr>
            <w:tcW w:w="6263" w:type="dxa"/>
            <w:tcBorders>
              <w:top w:val="single" w:sz="6" w:space="0" w:color="E2E8F0"/>
              <w:left w:val="single" w:sz="6" w:space="0" w:color="E2E8F0"/>
              <w:bottom w:val="single" w:sz="6" w:space="0" w:color="E2E8F0"/>
              <w:right w:val="single" w:sz="6" w:space="0" w:color="E2E8F0"/>
            </w:tcBorders>
            <w:shd w:val="clear" w:color="auto" w:fill="FFFFFF"/>
            <w:vAlign w:val="center"/>
          </w:tcPr>
          <w:p w14:paraId="66C5A984" w14:textId="77777777" w:rsidR="00B1670F" w:rsidRDefault="00B23735">
            <w:r>
              <w:rPr>
                <w:color w:val="334155"/>
                <w:sz w:val="19"/>
              </w:rPr>
              <w:t>HND/BSc Quantity Surveying</w:t>
            </w:r>
          </w:p>
        </w:tc>
      </w:tr>
      <w:tr w:rsidR="00B1670F" w14:paraId="66C5A988" w14:textId="77777777">
        <w:trPr>
          <w:jc w:val="center"/>
        </w:trPr>
        <w:tc>
          <w:tcPr>
            <w:tcW w:w="3096" w:type="dxa"/>
            <w:tcBorders>
              <w:top w:val="single" w:sz="6" w:space="0" w:color="E2E8F0"/>
              <w:left w:val="single" w:sz="6" w:space="0" w:color="E2E8F0"/>
              <w:bottom w:val="single" w:sz="6" w:space="0" w:color="E2E8F0"/>
              <w:right w:val="single" w:sz="6" w:space="0" w:color="E2E8F0"/>
            </w:tcBorders>
            <w:shd w:val="clear" w:color="auto" w:fill="0A7C7C"/>
            <w:vAlign w:val="center"/>
          </w:tcPr>
          <w:p w14:paraId="66C5A986" w14:textId="77777777" w:rsidR="00B1670F" w:rsidRDefault="00B23735">
            <w:r>
              <w:rPr>
                <w:b/>
                <w:color w:val="FFFFFF"/>
                <w:sz w:val="18"/>
              </w:rPr>
              <w:t>Module</w:t>
            </w:r>
          </w:p>
        </w:tc>
        <w:tc>
          <w:tcPr>
            <w:tcW w:w="6263" w:type="dxa"/>
            <w:tcBorders>
              <w:top w:val="single" w:sz="6" w:space="0" w:color="E2E8F0"/>
              <w:left w:val="single" w:sz="6" w:space="0" w:color="E2E8F0"/>
              <w:bottom w:val="single" w:sz="6" w:space="0" w:color="E2E8F0"/>
              <w:right w:val="single" w:sz="6" w:space="0" w:color="E2E8F0"/>
            </w:tcBorders>
            <w:shd w:val="clear" w:color="auto" w:fill="F4F7F9"/>
            <w:vAlign w:val="center"/>
          </w:tcPr>
          <w:p w14:paraId="66C5A987" w14:textId="77777777" w:rsidR="00B1670F" w:rsidRDefault="00B23735">
            <w:r>
              <w:rPr>
                <w:color w:val="334155"/>
                <w:sz w:val="19"/>
              </w:rPr>
              <w:t>Construction Technology 2</w:t>
            </w:r>
          </w:p>
        </w:tc>
      </w:tr>
      <w:tr w:rsidR="00B1670F" w14:paraId="66C5A98B" w14:textId="77777777">
        <w:trPr>
          <w:jc w:val="center"/>
        </w:trPr>
        <w:tc>
          <w:tcPr>
            <w:tcW w:w="3096" w:type="dxa"/>
            <w:tcBorders>
              <w:top w:val="single" w:sz="6" w:space="0" w:color="E2E8F0"/>
              <w:left w:val="single" w:sz="6" w:space="0" w:color="E2E8F0"/>
              <w:bottom w:val="single" w:sz="6" w:space="0" w:color="E2E8F0"/>
              <w:right w:val="single" w:sz="6" w:space="0" w:color="E2E8F0"/>
            </w:tcBorders>
            <w:shd w:val="clear" w:color="auto" w:fill="0A7C7C"/>
            <w:vAlign w:val="center"/>
          </w:tcPr>
          <w:p w14:paraId="66C5A989" w14:textId="77777777" w:rsidR="00B1670F" w:rsidRDefault="00B23735">
            <w:r>
              <w:rPr>
                <w:b/>
                <w:color w:val="FFFFFF"/>
                <w:sz w:val="18"/>
              </w:rPr>
              <w:t>Module code</w:t>
            </w:r>
          </w:p>
        </w:tc>
        <w:tc>
          <w:tcPr>
            <w:tcW w:w="6263" w:type="dxa"/>
            <w:tcBorders>
              <w:top w:val="single" w:sz="6" w:space="0" w:color="E2E8F0"/>
              <w:left w:val="single" w:sz="6" w:space="0" w:color="E2E8F0"/>
              <w:bottom w:val="single" w:sz="6" w:space="0" w:color="E2E8F0"/>
              <w:right w:val="single" w:sz="6" w:space="0" w:color="E2E8F0"/>
            </w:tcBorders>
            <w:shd w:val="clear" w:color="auto" w:fill="FFFFFF"/>
            <w:vAlign w:val="center"/>
          </w:tcPr>
          <w:p w14:paraId="66C5A98A" w14:textId="77777777" w:rsidR="00B1670F" w:rsidRDefault="00B23735">
            <w:r>
              <w:rPr>
                <w:color w:val="334155"/>
                <w:sz w:val="19"/>
              </w:rPr>
              <w:t>ACBA5019</w:t>
            </w:r>
          </w:p>
        </w:tc>
      </w:tr>
      <w:tr w:rsidR="00B1670F" w14:paraId="66C5A98E" w14:textId="77777777">
        <w:trPr>
          <w:jc w:val="center"/>
        </w:trPr>
        <w:tc>
          <w:tcPr>
            <w:tcW w:w="3096" w:type="dxa"/>
            <w:tcBorders>
              <w:top w:val="single" w:sz="6" w:space="0" w:color="E2E8F0"/>
              <w:left w:val="single" w:sz="6" w:space="0" w:color="E2E8F0"/>
              <w:bottom w:val="single" w:sz="6" w:space="0" w:color="E2E8F0"/>
              <w:right w:val="single" w:sz="6" w:space="0" w:color="E2E8F0"/>
            </w:tcBorders>
            <w:shd w:val="clear" w:color="auto" w:fill="0A7C7C"/>
            <w:vAlign w:val="center"/>
          </w:tcPr>
          <w:p w14:paraId="66C5A98C" w14:textId="77777777" w:rsidR="00B1670F" w:rsidRDefault="00B23735">
            <w:r>
              <w:rPr>
                <w:b/>
                <w:color w:val="FFFFFF"/>
                <w:sz w:val="18"/>
              </w:rPr>
              <w:t>Assessment title</w:t>
            </w:r>
          </w:p>
        </w:tc>
        <w:tc>
          <w:tcPr>
            <w:tcW w:w="6263" w:type="dxa"/>
            <w:tcBorders>
              <w:top w:val="single" w:sz="6" w:space="0" w:color="E2E8F0"/>
              <w:left w:val="single" w:sz="6" w:space="0" w:color="E2E8F0"/>
              <w:bottom w:val="single" w:sz="6" w:space="0" w:color="E2E8F0"/>
              <w:right w:val="single" w:sz="6" w:space="0" w:color="E2E8F0"/>
            </w:tcBorders>
            <w:shd w:val="clear" w:color="auto" w:fill="F4F7F9"/>
            <w:vAlign w:val="center"/>
          </w:tcPr>
          <w:p w14:paraId="66C5A98D" w14:textId="77777777" w:rsidR="00B1670F" w:rsidRDefault="00B23735">
            <w:r>
              <w:rPr>
                <w:color w:val="334155"/>
                <w:sz w:val="19"/>
              </w:rPr>
              <w:t>Buildability and Sustainability Analysis</w:t>
            </w:r>
          </w:p>
        </w:tc>
      </w:tr>
      <w:tr w:rsidR="00B1670F" w14:paraId="66C5A991" w14:textId="77777777">
        <w:trPr>
          <w:jc w:val="center"/>
        </w:trPr>
        <w:tc>
          <w:tcPr>
            <w:tcW w:w="3096" w:type="dxa"/>
            <w:tcBorders>
              <w:top w:val="single" w:sz="6" w:space="0" w:color="E2E8F0"/>
              <w:left w:val="single" w:sz="6" w:space="0" w:color="E2E8F0"/>
              <w:bottom w:val="single" w:sz="6" w:space="0" w:color="E2E8F0"/>
              <w:right w:val="single" w:sz="6" w:space="0" w:color="E2E8F0"/>
            </w:tcBorders>
            <w:shd w:val="clear" w:color="auto" w:fill="0A7C7C"/>
            <w:vAlign w:val="center"/>
          </w:tcPr>
          <w:p w14:paraId="66C5A98F" w14:textId="77777777" w:rsidR="00B1670F" w:rsidRDefault="00B23735">
            <w:r>
              <w:rPr>
                <w:b/>
                <w:color w:val="FFFFFF"/>
                <w:sz w:val="18"/>
              </w:rPr>
              <w:t>Word count</w:t>
            </w:r>
          </w:p>
        </w:tc>
        <w:tc>
          <w:tcPr>
            <w:tcW w:w="6263" w:type="dxa"/>
            <w:tcBorders>
              <w:top w:val="single" w:sz="6" w:space="0" w:color="E2E8F0"/>
              <w:left w:val="single" w:sz="6" w:space="0" w:color="E2E8F0"/>
              <w:bottom w:val="single" w:sz="6" w:space="0" w:color="E2E8F0"/>
              <w:right w:val="single" w:sz="6" w:space="0" w:color="E2E8F0"/>
            </w:tcBorders>
            <w:shd w:val="clear" w:color="auto" w:fill="FFFFFF"/>
            <w:vAlign w:val="center"/>
          </w:tcPr>
          <w:p w14:paraId="66C5A990" w14:textId="77777777" w:rsidR="00B1670F" w:rsidRDefault="00B23735">
            <w:r>
              <w:rPr>
                <w:color w:val="334155"/>
                <w:sz w:val="19"/>
              </w:rPr>
              <w:t>2500 words +/- 10%</w:t>
            </w:r>
          </w:p>
        </w:tc>
      </w:tr>
      <w:tr w:rsidR="00B1670F" w14:paraId="66C5A994" w14:textId="77777777">
        <w:trPr>
          <w:jc w:val="center"/>
        </w:trPr>
        <w:tc>
          <w:tcPr>
            <w:tcW w:w="3096" w:type="dxa"/>
            <w:tcBorders>
              <w:top w:val="single" w:sz="6" w:space="0" w:color="E2E8F0"/>
              <w:left w:val="single" w:sz="6" w:space="0" w:color="E2E8F0"/>
              <w:bottom w:val="single" w:sz="6" w:space="0" w:color="E2E8F0"/>
              <w:right w:val="single" w:sz="6" w:space="0" w:color="E2E8F0"/>
            </w:tcBorders>
            <w:shd w:val="clear" w:color="auto" w:fill="0A7C7C"/>
            <w:vAlign w:val="center"/>
          </w:tcPr>
          <w:p w14:paraId="66C5A992" w14:textId="77777777" w:rsidR="00B1670F" w:rsidRDefault="00B23735">
            <w:r>
              <w:rPr>
                <w:b/>
                <w:color w:val="FFFFFF"/>
                <w:sz w:val="18"/>
              </w:rPr>
              <w:t>Submission deadline</w:t>
            </w:r>
          </w:p>
        </w:tc>
        <w:tc>
          <w:tcPr>
            <w:tcW w:w="6263" w:type="dxa"/>
            <w:tcBorders>
              <w:top w:val="single" w:sz="6" w:space="0" w:color="E2E8F0"/>
              <w:left w:val="single" w:sz="6" w:space="0" w:color="E2E8F0"/>
              <w:bottom w:val="single" w:sz="6" w:space="0" w:color="E2E8F0"/>
              <w:right w:val="single" w:sz="6" w:space="0" w:color="E2E8F0"/>
            </w:tcBorders>
            <w:shd w:val="clear" w:color="auto" w:fill="F4F7F9"/>
            <w:vAlign w:val="center"/>
          </w:tcPr>
          <w:p w14:paraId="66C5A993" w14:textId="77777777" w:rsidR="00B1670F" w:rsidRDefault="00B23735">
            <w:r>
              <w:rPr>
                <w:color w:val="334155"/>
                <w:sz w:val="19"/>
              </w:rPr>
              <w:t>11/05/2026</w:t>
            </w:r>
          </w:p>
        </w:tc>
      </w:tr>
    </w:tbl>
    <w:p w14:paraId="66C5A995" w14:textId="77777777" w:rsidR="00B1670F" w:rsidRDefault="00B1670F"/>
    <w:sdt>
      <w:sdtPr>
        <w:rPr>
          <w:rFonts w:ascii="Aptos" w:eastAsia="Aptos" w:hAnsi="Aptos" w:cstheme="minorBidi"/>
          <w:b w:val="0"/>
          <w:bCs w:val="0"/>
          <w:color w:val="111827"/>
          <w:sz w:val="21"/>
          <w:szCs w:val="22"/>
        </w:rPr>
        <w:id w:val="-1700620596"/>
        <w:docPartObj>
          <w:docPartGallery w:val="Table of Contents"/>
          <w:docPartUnique/>
        </w:docPartObj>
      </w:sdtPr>
      <w:sdtEndPr/>
      <w:sdtContent>
        <w:p w14:paraId="66C5A996" w14:textId="77777777" w:rsidR="00B1670F" w:rsidRDefault="00B23735">
          <w:pPr>
            <w:pStyle w:val="TOCHeading"/>
          </w:pPr>
          <w:r>
            <w:br w:type="page"/>
          </w:r>
          <w:r>
            <w:lastRenderedPageBreak/>
            <w:t>Table of Contents</w:t>
          </w:r>
        </w:p>
        <w:p w14:paraId="6B7A82CE" w14:textId="05E86DBB" w:rsidR="00C74867" w:rsidRDefault="00B23735">
          <w:pPr>
            <w:pStyle w:val="TOC1"/>
            <w:tabs>
              <w:tab w:val="right" w:leader="dot" w:pos="9822"/>
            </w:tabs>
            <w:rPr>
              <w:rFonts w:asciiTheme="minorHAnsi" w:eastAsiaTheme="minorEastAsia" w:hAnsiTheme="minorHAnsi"/>
              <w:noProof/>
              <w:color w:val="auto"/>
              <w:kern w:val="2"/>
              <w:sz w:val="24"/>
              <w:szCs w:val="24"/>
              <w:lang w:val="en-GB" w:eastAsia="en-GB"/>
              <w14:ligatures w14:val="standardContextual"/>
            </w:rPr>
          </w:pPr>
          <w:r>
            <w:fldChar w:fldCharType="begin"/>
          </w:r>
          <w:r>
            <w:rPr>
              <w:rStyle w:val="IndexLink"/>
              <w:webHidden/>
            </w:rPr>
            <w:instrText xml:space="preserve"> TOC \z \o "1-3" \u \h</w:instrText>
          </w:r>
          <w:r>
            <w:rPr>
              <w:rStyle w:val="IndexLink"/>
            </w:rPr>
            <w:fldChar w:fldCharType="separate"/>
          </w:r>
          <w:hyperlink w:anchor="_Toc229426318" w:history="1">
            <w:r w:rsidR="00C74867" w:rsidRPr="00B37642">
              <w:rPr>
                <w:rStyle w:val="Hyperlink"/>
                <w:noProof/>
              </w:rPr>
              <w:t>1. Introduction</w:t>
            </w:r>
            <w:r w:rsidR="00C74867">
              <w:rPr>
                <w:noProof/>
                <w:webHidden/>
              </w:rPr>
              <w:tab/>
            </w:r>
            <w:r w:rsidR="00C74867">
              <w:rPr>
                <w:noProof/>
                <w:webHidden/>
              </w:rPr>
              <w:fldChar w:fldCharType="begin"/>
            </w:r>
            <w:r w:rsidR="00C74867">
              <w:rPr>
                <w:noProof/>
                <w:webHidden/>
              </w:rPr>
              <w:instrText xml:space="preserve"> PAGEREF _Toc229426318 \h </w:instrText>
            </w:r>
            <w:r w:rsidR="00C74867">
              <w:rPr>
                <w:noProof/>
                <w:webHidden/>
              </w:rPr>
            </w:r>
            <w:r w:rsidR="00C74867">
              <w:rPr>
                <w:noProof/>
                <w:webHidden/>
              </w:rPr>
              <w:fldChar w:fldCharType="separate"/>
            </w:r>
            <w:r w:rsidR="00C74867">
              <w:rPr>
                <w:noProof/>
                <w:webHidden/>
              </w:rPr>
              <w:t>3</w:t>
            </w:r>
            <w:r w:rsidR="00C74867">
              <w:rPr>
                <w:noProof/>
                <w:webHidden/>
              </w:rPr>
              <w:fldChar w:fldCharType="end"/>
            </w:r>
          </w:hyperlink>
        </w:p>
        <w:p w14:paraId="55F908DA" w14:textId="11910C20" w:rsidR="00C74867" w:rsidRDefault="00C74867">
          <w:pPr>
            <w:pStyle w:val="TOC1"/>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19" w:history="1">
            <w:r w:rsidRPr="00B37642">
              <w:rPr>
                <w:rStyle w:val="Hyperlink"/>
                <w:noProof/>
              </w:rPr>
              <w:t>2. AS1 Design Context Summary</w:t>
            </w:r>
            <w:r>
              <w:rPr>
                <w:noProof/>
                <w:webHidden/>
              </w:rPr>
              <w:tab/>
            </w:r>
            <w:r>
              <w:rPr>
                <w:noProof/>
                <w:webHidden/>
              </w:rPr>
              <w:fldChar w:fldCharType="begin"/>
            </w:r>
            <w:r>
              <w:rPr>
                <w:noProof/>
                <w:webHidden/>
              </w:rPr>
              <w:instrText xml:space="preserve"> PAGEREF _Toc229426319 \h </w:instrText>
            </w:r>
            <w:r>
              <w:rPr>
                <w:noProof/>
                <w:webHidden/>
              </w:rPr>
            </w:r>
            <w:r>
              <w:rPr>
                <w:noProof/>
                <w:webHidden/>
              </w:rPr>
              <w:fldChar w:fldCharType="separate"/>
            </w:r>
            <w:r>
              <w:rPr>
                <w:noProof/>
                <w:webHidden/>
              </w:rPr>
              <w:t>3</w:t>
            </w:r>
            <w:r>
              <w:rPr>
                <w:noProof/>
                <w:webHidden/>
              </w:rPr>
              <w:fldChar w:fldCharType="end"/>
            </w:r>
          </w:hyperlink>
        </w:p>
        <w:p w14:paraId="4DD58250" w14:textId="5D2CAFD1" w:rsidR="00C74867" w:rsidRDefault="00C74867">
          <w:pPr>
            <w:pStyle w:val="TOC2"/>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20" w:history="1">
            <w:r w:rsidRPr="00B37642">
              <w:rPr>
                <w:rStyle w:val="Hyperlink"/>
                <w:noProof/>
              </w:rPr>
              <w:t>2.1 Project / Building Overview</w:t>
            </w:r>
            <w:r>
              <w:rPr>
                <w:noProof/>
                <w:webHidden/>
              </w:rPr>
              <w:tab/>
            </w:r>
            <w:r>
              <w:rPr>
                <w:noProof/>
                <w:webHidden/>
              </w:rPr>
              <w:fldChar w:fldCharType="begin"/>
            </w:r>
            <w:r>
              <w:rPr>
                <w:noProof/>
                <w:webHidden/>
              </w:rPr>
              <w:instrText xml:space="preserve"> PAGEREF _Toc229426320 \h </w:instrText>
            </w:r>
            <w:r>
              <w:rPr>
                <w:noProof/>
                <w:webHidden/>
              </w:rPr>
            </w:r>
            <w:r>
              <w:rPr>
                <w:noProof/>
                <w:webHidden/>
              </w:rPr>
              <w:fldChar w:fldCharType="separate"/>
            </w:r>
            <w:r>
              <w:rPr>
                <w:noProof/>
                <w:webHidden/>
              </w:rPr>
              <w:t>3</w:t>
            </w:r>
            <w:r>
              <w:rPr>
                <w:noProof/>
                <w:webHidden/>
              </w:rPr>
              <w:fldChar w:fldCharType="end"/>
            </w:r>
          </w:hyperlink>
        </w:p>
        <w:p w14:paraId="12F51F37" w14:textId="3F2253E7" w:rsidR="00C74867" w:rsidRDefault="00C74867">
          <w:pPr>
            <w:pStyle w:val="TOC2"/>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21" w:history="1">
            <w:r w:rsidRPr="00B37642">
              <w:rPr>
                <w:rStyle w:val="Hyperlink"/>
                <w:noProof/>
              </w:rPr>
              <w:t>2.2 AS1-to-AS2 Expansion Tracker</w:t>
            </w:r>
            <w:r>
              <w:rPr>
                <w:noProof/>
                <w:webHidden/>
              </w:rPr>
              <w:tab/>
            </w:r>
            <w:r>
              <w:rPr>
                <w:noProof/>
                <w:webHidden/>
              </w:rPr>
              <w:fldChar w:fldCharType="begin"/>
            </w:r>
            <w:r>
              <w:rPr>
                <w:noProof/>
                <w:webHidden/>
              </w:rPr>
              <w:instrText xml:space="preserve"> PAGEREF _Toc229426321 \h </w:instrText>
            </w:r>
            <w:r>
              <w:rPr>
                <w:noProof/>
                <w:webHidden/>
              </w:rPr>
            </w:r>
            <w:r>
              <w:rPr>
                <w:noProof/>
                <w:webHidden/>
              </w:rPr>
              <w:fldChar w:fldCharType="separate"/>
            </w:r>
            <w:r>
              <w:rPr>
                <w:noProof/>
                <w:webHidden/>
              </w:rPr>
              <w:t>3</w:t>
            </w:r>
            <w:r>
              <w:rPr>
                <w:noProof/>
                <w:webHidden/>
              </w:rPr>
              <w:fldChar w:fldCharType="end"/>
            </w:r>
          </w:hyperlink>
        </w:p>
        <w:p w14:paraId="60BB46E3" w14:textId="5A864A17" w:rsidR="00C74867" w:rsidRDefault="00C74867">
          <w:pPr>
            <w:pStyle w:val="TOC1"/>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22" w:history="1">
            <w:r w:rsidRPr="00B37642">
              <w:rPr>
                <w:rStyle w:val="Hyperlink"/>
                <w:noProof/>
              </w:rPr>
              <w:t>3. Evaluation Framework: Buildability, Sustainability and Flexibility</w:t>
            </w:r>
            <w:r>
              <w:rPr>
                <w:noProof/>
                <w:webHidden/>
              </w:rPr>
              <w:tab/>
            </w:r>
            <w:r>
              <w:rPr>
                <w:noProof/>
                <w:webHidden/>
              </w:rPr>
              <w:fldChar w:fldCharType="begin"/>
            </w:r>
            <w:r>
              <w:rPr>
                <w:noProof/>
                <w:webHidden/>
              </w:rPr>
              <w:instrText xml:space="preserve"> PAGEREF _Toc229426322 \h </w:instrText>
            </w:r>
            <w:r>
              <w:rPr>
                <w:noProof/>
                <w:webHidden/>
              </w:rPr>
            </w:r>
            <w:r>
              <w:rPr>
                <w:noProof/>
                <w:webHidden/>
              </w:rPr>
              <w:fldChar w:fldCharType="separate"/>
            </w:r>
            <w:r>
              <w:rPr>
                <w:noProof/>
                <w:webHidden/>
              </w:rPr>
              <w:t>4</w:t>
            </w:r>
            <w:r>
              <w:rPr>
                <w:noProof/>
                <w:webHidden/>
              </w:rPr>
              <w:fldChar w:fldCharType="end"/>
            </w:r>
          </w:hyperlink>
        </w:p>
        <w:p w14:paraId="0B9B5E5D" w14:textId="4C59834E" w:rsidR="00C74867" w:rsidRDefault="00C74867">
          <w:pPr>
            <w:pStyle w:val="TOC2"/>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23" w:history="1">
            <w:r w:rsidRPr="00B37642">
              <w:rPr>
                <w:rStyle w:val="Hyperlink"/>
                <w:noProof/>
              </w:rPr>
              <w:t>3.1 Key Definitions</w:t>
            </w:r>
            <w:r>
              <w:rPr>
                <w:noProof/>
                <w:webHidden/>
              </w:rPr>
              <w:tab/>
            </w:r>
            <w:r>
              <w:rPr>
                <w:noProof/>
                <w:webHidden/>
              </w:rPr>
              <w:fldChar w:fldCharType="begin"/>
            </w:r>
            <w:r>
              <w:rPr>
                <w:noProof/>
                <w:webHidden/>
              </w:rPr>
              <w:instrText xml:space="preserve"> PAGEREF _Toc229426323 \h </w:instrText>
            </w:r>
            <w:r>
              <w:rPr>
                <w:noProof/>
                <w:webHidden/>
              </w:rPr>
            </w:r>
            <w:r>
              <w:rPr>
                <w:noProof/>
                <w:webHidden/>
              </w:rPr>
              <w:fldChar w:fldCharType="separate"/>
            </w:r>
            <w:r>
              <w:rPr>
                <w:noProof/>
                <w:webHidden/>
              </w:rPr>
              <w:t>5</w:t>
            </w:r>
            <w:r>
              <w:rPr>
                <w:noProof/>
                <w:webHidden/>
              </w:rPr>
              <w:fldChar w:fldCharType="end"/>
            </w:r>
          </w:hyperlink>
        </w:p>
        <w:p w14:paraId="627FDED7" w14:textId="5E3EB896" w:rsidR="00C74867" w:rsidRDefault="00C74867">
          <w:pPr>
            <w:pStyle w:val="TOC2"/>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24" w:history="1">
            <w:r w:rsidRPr="00B37642">
              <w:rPr>
                <w:rStyle w:val="Hyperlink"/>
                <w:noProof/>
              </w:rPr>
              <w:t>3.2 Evaluation Criteria</w:t>
            </w:r>
            <w:r>
              <w:rPr>
                <w:noProof/>
                <w:webHidden/>
              </w:rPr>
              <w:tab/>
            </w:r>
            <w:r>
              <w:rPr>
                <w:noProof/>
                <w:webHidden/>
              </w:rPr>
              <w:fldChar w:fldCharType="begin"/>
            </w:r>
            <w:r>
              <w:rPr>
                <w:noProof/>
                <w:webHidden/>
              </w:rPr>
              <w:instrText xml:space="preserve"> PAGEREF _Toc229426324 \h </w:instrText>
            </w:r>
            <w:r>
              <w:rPr>
                <w:noProof/>
                <w:webHidden/>
              </w:rPr>
            </w:r>
            <w:r>
              <w:rPr>
                <w:noProof/>
                <w:webHidden/>
              </w:rPr>
              <w:fldChar w:fldCharType="separate"/>
            </w:r>
            <w:r>
              <w:rPr>
                <w:noProof/>
                <w:webHidden/>
              </w:rPr>
              <w:t>6</w:t>
            </w:r>
            <w:r>
              <w:rPr>
                <w:noProof/>
                <w:webHidden/>
              </w:rPr>
              <w:fldChar w:fldCharType="end"/>
            </w:r>
          </w:hyperlink>
        </w:p>
        <w:p w14:paraId="5E94BBC4" w14:textId="4A948984" w:rsidR="00C74867" w:rsidRDefault="00C74867">
          <w:pPr>
            <w:pStyle w:val="TOC1"/>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25" w:history="1">
            <w:r w:rsidRPr="00B37642">
              <w:rPr>
                <w:rStyle w:val="Hyperlink"/>
                <w:noProof/>
              </w:rPr>
              <w:t>4. Buildability Analysis</w:t>
            </w:r>
            <w:r>
              <w:rPr>
                <w:noProof/>
                <w:webHidden/>
              </w:rPr>
              <w:tab/>
            </w:r>
            <w:r>
              <w:rPr>
                <w:noProof/>
                <w:webHidden/>
              </w:rPr>
              <w:fldChar w:fldCharType="begin"/>
            </w:r>
            <w:r>
              <w:rPr>
                <w:noProof/>
                <w:webHidden/>
              </w:rPr>
              <w:instrText xml:space="preserve"> PAGEREF _Toc229426325 \h </w:instrText>
            </w:r>
            <w:r>
              <w:rPr>
                <w:noProof/>
                <w:webHidden/>
              </w:rPr>
            </w:r>
            <w:r>
              <w:rPr>
                <w:noProof/>
                <w:webHidden/>
              </w:rPr>
              <w:fldChar w:fldCharType="separate"/>
            </w:r>
            <w:r>
              <w:rPr>
                <w:noProof/>
                <w:webHidden/>
              </w:rPr>
              <w:t>7</w:t>
            </w:r>
            <w:r>
              <w:rPr>
                <w:noProof/>
                <w:webHidden/>
              </w:rPr>
              <w:fldChar w:fldCharType="end"/>
            </w:r>
          </w:hyperlink>
        </w:p>
        <w:p w14:paraId="0AF429FE" w14:textId="3D6E02E2" w:rsidR="00C74867" w:rsidRDefault="00C74867">
          <w:pPr>
            <w:pStyle w:val="TOC2"/>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26" w:history="1">
            <w:r w:rsidRPr="00B37642">
              <w:rPr>
                <w:rStyle w:val="Hyperlink"/>
                <w:noProof/>
              </w:rPr>
              <w:t>4.1 Site Logistics and Access</w:t>
            </w:r>
            <w:r>
              <w:rPr>
                <w:noProof/>
                <w:webHidden/>
              </w:rPr>
              <w:tab/>
            </w:r>
            <w:r>
              <w:rPr>
                <w:noProof/>
                <w:webHidden/>
              </w:rPr>
              <w:fldChar w:fldCharType="begin"/>
            </w:r>
            <w:r>
              <w:rPr>
                <w:noProof/>
                <w:webHidden/>
              </w:rPr>
              <w:instrText xml:space="preserve"> PAGEREF _Toc229426326 \h </w:instrText>
            </w:r>
            <w:r>
              <w:rPr>
                <w:noProof/>
                <w:webHidden/>
              </w:rPr>
            </w:r>
            <w:r>
              <w:rPr>
                <w:noProof/>
                <w:webHidden/>
              </w:rPr>
              <w:fldChar w:fldCharType="separate"/>
            </w:r>
            <w:r>
              <w:rPr>
                <w:noProof/>
                <w:webHidden/>
              </w:rPr>
              <w:t>7</w:t>
            </w:r>
            <w:r>
              <w:rPr>
                <w:noProof/>
                <w:webHidden/>
              </w:rPr>
              <w:fldChar w:fldCharType="end"/>
            </w:r>
          </w:hyperlink>
        </w:p>
        <w:p w14:paraId="53FBBC4E" w14:textId="5A9782F2" w:rsidR="00C74867" w:rsidRDefault="00C74867">
          <w:pPr>
            <w:pStyle w:val="TOC2"/>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27" w:history="1">
            <w:r w:rsidRPr="00B37642">
              <w:rPr>
                <w:rStyle w:val="Hyperlink"/>
                <w:noProof/>
              </w:rPr>
              <w:t>4.2 Construction Sequence and Method</w:t>
            </w:r>
            <w:r>
              <w:rPr>
                <w:noProof/>
                <w:webHidden/>
              </w:rPr>
              <w:tab/>
            </w:r>
            <w:r>
              <w:rPr>
                <w:noProof/>
                <w:webHidden/>
              </w:rPr>
              <w:fldChar w:fldCharType="begin"/>
            </w:r>
            <w:r>
              <w:rPr>
                <w:noProof/>
                <w:webHidden/>
              </w:rPr>
              <w:instrText xml:space="preserve"> PAGEREF _Toc229426327 \h </w:instrText>
            </w:r>
            <w:r>
              <w:rPr>
                <w:noProof/>
                <w:webHidden/>
              </w:rPr>
            </w:r>
            <w:r>
              <w:rPr>
                <w:noProof/>
                <w:webHidden/>
              </w:rPr>
              <w:fldChar w:fldCharType="separate"/>
            </w:r>
            <w:r>
              <w:rPr>
                <w:noProof/>
                <w:webHidden/>
              </w:rPr>
              <w:t>8</w:t>
            </w:r>
            <w:r>
              <w:rPr>
                <w:noProof/>
                <w:webHidden/>
              </w:rPr>
              <w:fldChar w:fldCharType="end"/>
            </w:r>
          </w:hyperlink>
        </w:p>
        <w:p w14:paraId="7B73DDAA" w14:textId="438B72C3" w:rsidR="00C74867" w:rsidRDefault="00C74867">
          <w:pPr>
            <w:pStyle w:val="TOC2"/>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28" w:history="1">
            <w:r w:rsidRPr="00B37642">
              <w:rPr>
                <w:rStyle w:val="Hyperlink"/>
                <w:noProof/>
              </w:rPr>
              <w:t>4.3 Plant, Labour and Temporary Works</w:t>
            </w:r>
            <w:r>
              <w:rPr>
                <w:noProof/>
                <w:webHidden/>
              </w:rPr>
              <w:tab/>
            </w:r>
            <w:r>
              <w:rPr>
                <w:noProof/>
                <w:webHidden/>
              </w:rPr>
              <w:fldChar w:fldCharType="begin"/>
            </w:r>
            <w:r>
              <w:rPr>
                <w:noProof/>
                <w:webHidden/>
              </w:rPr>
              <w:instrText xml:space="preserve"> PAGEREF _Toc229426328 \h </w:instrText>
            </w:r>
            <w:r>
              <w:rPr>
                <w:noProof/>
                <w:webHidden/>
              </w:rPr>
            </w:r>
            <w:r>
              <w:rPr>
                <w:noProof/>
                <w:webHidden/>
              </w:rPr>
              <w:fldChar w:fldCharType="separate"/>
            </w:r>
            <w:r>
              <w:rPr>
                <w:noProof/>
                <w:webHidden/>
              </w:rPr>
              <w:t>8</w:t>
            </w:r>
            <w:r>
              <w:rPr>
                <w:noProof/>
                <w:webHidden/>
              </w:rPr>
              <w:fldChar w:fldCharType="end"/>
            </w:r>
          </w:hyperlink>
        </w:p>
        <w:p w14:paraId="270BC117" w14:textId="4417E172" w:rsidR="00C74867" w:rsidRDefault="00C74867">
          <w:pPr>
            <w:pStyle w:val="TOC2"/>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29" w:history="1">
            <w:r w:rsidRPr="00B37642">
              <w:rPr>
                <w:rStyle w:val="Hyperlink"/>
                <w:noProof/>
              </w:rPr>
              <w:t>4.4 Health, Safety, Quality and Programme</w:t>
            </w:r>
            <w:r>
              <w:rPr>
                <w:noProof/>
                <w:webHidden/>
              </w:rPr>
              <w:tab/>
            </w:r>
            <w:r>
              <w:rPr>
                <w:noProof/>
                <w:webHidden/>
              </w:rPr>
              <w:fldChar w:fldCharType="begin"/>
            </w:r>
            <w:r>
              <w:rPr>
                <w:noProof/>
                <w:webHidden/>
              </w:rPr>
              <w:instrText xml:space="preserve"> PAGEREF _Toc229426329 \h </w:instrText>
            </w:r>
            <w:r>
              <w:rPr>
                <w:noProof/>
                <w:webHidden/>
              </w:rPr>
            </w:r>
            <w:r>
              <w:rPr>
                <w:noProof/>
                <w:webHidden/>
              </w:rPr>
              <w:fldChar w:fldCharType="separate"/>
            </w:r>
            <w:r>
              <w:rPr>
                <w:noProof/>
                <w:webHidden/>
              </w:rPr>
              <w:t>9</w:t>
            </w:r>
            <w:r>
              <w:rPr>
                <w:noProof/>
                <w:webHidden/>
              </w:rPr>
              <w:fldChar w:fldCharType="end"/>
            </w:r>
          </w:hyperlink>
        </w:p>
        <w:p w14:paraId="08FB4C6D" w14:textId="5FCE0E72" w:rsidR="00C74867" w:rsidRDefault="00C74867">
          <w:pPr>
            <w:pStyle w:val="TOC2"/>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30" w:history="1">
            <w:r w:rsidRPr="00B37642">
              <w:rPr>
                <w:rStyle w:val="Hyperlink"/>
                <w:noProof/>
              </w:rPr>
              <w:t>4.5 Buildability Risk Register</w:t>
            </w:r>
            <w:r>
              <w:rPr>
                <w:noProof/>
                <w:webHidden/>
              </w:rPr>
              <w:tab/>
            </w:r>
            <w:r>
              <w:rPr>
                <w:noProof/>
                <w:webHidden/>
              </w:rPr>
              <w:fldChar w:fldCharType="begin"/>
            </w:r>
            <w:r>
              <w:rPr>
                <w:noProof/>
                <w:webHidden/>
              </w:rPr>
              <w:instrText xml:space="preserve"> PAGEREF _Toc229426330 \h </w:instrText>
            </w:r>
            <w:r>
              <w:rPr>
                <w:noProof/>
                <w:webHidden/>
              </w:rPr>
            </w:r>
            <w:r>
              <w:rPr>
                <w:noProof/>
                <w:webHidden/>
              </w:rPr>
              <w:fldChar w:fldCharType="separate"/>
            </w:r>
            <w:r>
              <w:rPr>
                <w:noProof/>
                <w:webHidden/>
              </w:rPr>
              <w:t>9</w:t>
            </w:r>
            <w:r>
              <w:rPr>
                <w:noProof/>
                <w:webHidden/>
              </w:rPr>
              <w:fldChar w:fldCharType="end"/>
            </w:r>
          </w:hyperlink>
        </w:p>
        <w:p w14:paraId="2BAFA680" w14:textId="31C03E16" w:rsidR="00C74867" w:rsidRDefault="00C74867">
          <w:pPr>
            <w:pStyle w:val="TOC1"/>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31" w:history="1">
            <w:r w:rsidRPr="00B37642">
              <w:rPr>
                <w:rStyle w:val="Hyperlink"/>
                <w:noProof/>
              </w:rPr>
              <w:t>5. Sustainability Analysis</w:t>
            </w:r>
            <w:r>
              <w:rPr>
                <w:noProof/>
                <w:webHidden/>
              </w:rPr>
              <w:tab/>
            </w:r>
            <w:r>
              <w:rPr>
                <w:noProof/>
                <w:webHidden/>
              </w:rPr>
              <w:fldChar w:fldCharType="begin"/>
            </w:r>
            <w:r>
              <w:rPr>
                <w:noProof/>
                <w:webHidden/>
              </w:rPr>
              <w:instrText xml:space="preserve"> PAGEREF _Toc229426331 \h </w:instrText>
            </w:r>
            <w:r>
              <w:rPr>
                <w:noProof/>
                <w:webHidden/>
              </w:rPr>
            </w:r>
            <w:r>
              <w:rPr>
                <w:noProof/>
                <w:webHidden/>
              </w:rPr>
              <w:fldChar w:fldCharType="separate"/>
            </w:r>
            <w:r>
              <w:rPr>
                <w:noProof/>
                <w:webHidden/>
              </w:rPr>
              <w:t>9</w:t>
            </w:r>
            <w:r>
              <w:rPr>
                <w:noProof/>
                <w:webHidden/>
              </w:rPr>
              <w:fldChar w:fldCharType="end"/>
            </w:r>
          </w:hyperlink>
        </w:p>
        <w:p w14:paraId="0C93391F" w14:textId="16305131" w:rsidR="00C74867" w:rsidRDefault="00C74867">
          <w:pPr>
            <w:pStyle w:val="TOC2"/>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32" w:history="1">
            <w:r w:rsidRPr="00B37642">
              <w:rPr>
                <w:rStyle w:val="Hyperlink"/>
                <w:noProof/>
              </w:rPr>
              <w:t>5.1 Materials and Embodied Carbon</w:t>
            </w:r>
            <w:r>
              <w:rPr>
                <w:noProof/>
                <w:webHidden/>
              </w:rPr>
              <w:tab/>
            </w:r>
            <w:r>
              <w:rPr>
                <w:noProof/>
                <w:webHidden/>
              </w:rPr>
              <w:fldChar w:fldCharType="begin"/>
            </w:r>
            <w:r>
              <w:rPr>
                <w:noProof/>
                <w:webHidden/>
              </w:rPr>
              <w:instrText xml:space="preserve"> PAGEREF _Toc229426332 \h </w:instrText>
            </w:r>
            <w:r>
              <w:rPr>
                <w:noProof/>
                <w:webHidden/>
              </w:rPr>
            </w:r>
            <w:r>
              <w:rPr>
                <w:noProof/>
                <w:webHidden/>
              </w:rPr>
              <w:fldChar w:fldCharType="separate"/>
            </w:r>
            <w:r>
              <w:rPr>
                <w:noProof/>
                <w:webHidden/>
              </w:rPr>
              <w:t>10</w:t>
            </w:r>
            <w:r>
              <w:rPr>
                <w:noProof/>
                <w:webHidden/>
              </w:rPr>
              <w:fldChar w:fldCharType="end"/>
            </w:r>
          </w:hyperlink>
        </w:p>
        <w:p w14:paraId="07030BB8" w14:textId="718A4FCA" w:rsidR="00C74867" w:rsidRDefault="00C74867">
          <w:pPr>
            <w:pStyle w:val="TOC2"/>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33" w:history="1">
            <w:r w:rsidRPr="00B37642">
              <w:rPr>
                <w:rStyle w:val="Hyperlink"/>
                <w:noProof/>
              </w:rPr>
              <w:t>5.2 Operational Energy and Building Performance</w:t>
            </w:r>
            <w:r>
              <w:rPr>
                <w:noProof/>
                <w:webHidden/>
              </w:rPr>
              <w:tab/>
            </w:r>
            <w:r>
              <w:rPr>
                <w:noProof/>
                <w:webHidden/>
              </w:rPr>
              <w:fldChar w:fldCharType="begin"/>
            </w:r>
            <w:r>
              <w:rPr>
                <w:noProof/>
                <w:webHidden/>
              </w:rPr>
              <w:instrText xml:space="preserve"> PAGEREF _Toc229426333 \h </w:instrText>
            </w:r>
            <w:r>
              <w:rPr>
                <w:noProof/>
                <w:webHidden/>
              </w:rPr>
            </w:r>
            <w:r>
              <w:rPr>
                <w:noProof/>
                <w:webHidden/>
              </w:rPr>
              <w:fldChar w:fldCharType="separate"/>
            </w:r>
            <w:r>
              <w:rPr>
                <w:noProof/>
                <w:webHidden/>
              </w:rPr>
              <w:t>10</w:t>
            </w:r>
            <w:r>
              <w:rPr>
                <w:noProof/>
                <w:webHidden/>
              </w:rPr>
              <w:fldChar w:fldCharType="end"/>
            </w:r>
          </w:hyperlink>
        </w:p>
        <w:p w14:paraId="1AE540D4" w14:textId="1891696A" w:rsidR="00C74867" w:rsidRDefault="00C74867">
          <w:pPr>
            <w:pStyle w:val="TOC2"/>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34" w:history="1">
            <w:r w:rsidRPr="00B37642">
              <w:rPr>
                <w:rStyle w:val="Hyperlink"/>
                <w:noProof/>
              </w:rPr>
              <w:t>5.3 Waste, Water and Circular Economy</w:t>
            </w:r>
            <w:r>
              <w:rPr>
                <w:noProof/>
                <w:webHidden/>
              </w:rPr>
              <w:tab/>
            </w:r>
            <w:r>
              <w:rPr>
                <w:noProof/>
                <w:webHidden/>
              </w:rPr>
              <w:fldChar w:fldCharType="begin"/>
            </w:r>
            <w:r>
              <w:rPr>
                <w:noProof/>
                <w:webHidden/>
              </w:rPr>
              <w:instrText xml:space="preserve"> PAGEREF _Toc229426334 \h </w:instrText>
            </w:r>
            <w:r>
              <w:rPr>
                <w:noProof/>
                <w:webHidden/>
              </w:rPr>
            </w:r>
            <w:r>
              <w:rPr>
                <w:noProof/>
                <w:webHidden/>
              </w:rPr>
              <w:fldChar w:fldCharType="separate"/>
            </w:r>
            <w:r>
              <w:rPr>
                <w:noProof/>
                <w:webHidden/>
              </w:rPr>
              <w:t>10</w:t>
            </w:r>
            <w:r>
              <w:rPr>
                <w:noProof/>
                <w:webHidden/>
              </w:rPr>
              <w:fldChar w:fldCharType="end"/>
            </w:r>
          </w:hyperlink>
        </w:p>
        <w:p w14:paraId="67F4B438" w14:textId="31122850" w:rsidR="00C74867" w:rsidRDefault="00C74867">
          <w:pPr>
            <w:pStyle w:val="TOC2"/>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35" w:history="1">
            <w:r w:rsidRPr="00B37642">
              <w:rPr>
                <w:rStyle w:val="Hyperlink"/>
                <w:noProof/>
              </w:rPr>
              <w:t>5.4 Durability, Maintenance and Lifecycle Value</w:t>
            </w:r>
            <w:r>
              <w:rPr>
                <w:noProof/>
                <w:webHidden/>
              </w:rPr>
              <w:tab/>
            </w:r>
            <w:r>
              <w:rPr>
                <w:noProof/>
                <w:webHidden/>
              </w:rPr>
              <w:fldChar w:fldCharType="begin"/>
            </w:r>
            <w:r>
              <w:rPr>
                <w:noProof/>
                <w:webHidden/>
              </w:rPr>
              <w:instrText xml:space="preserve"> PAGEREF _Toc229426335 \h </w:instrText>
            </w:r>
            <w:r>
              <w:rPr>
                <w:noProof/>
                <w:webHidden/>
              </w:rPr>
            </w:r>
            <w:r>
              <w:rPr>
                <w:noProof/>
                <w:webHidden/>
              </w:rPr>
              <w:fldChar w:fldCharType="separate"/>
            </w:r>
            <w:r>
              <w:rPr>
                <w:noProof/>
                <w:webHidden/>
              </w:rPr>
              <w:t>10</w:t>
            </w:r>
            <w:r>
              <w:rPr>
                <w:noProof/>
                <w:webHidden/>
              </w:rPr>
              <w:fldChar w:fldCharType="end"/>
            </w:r>
          </w:hyperlink>
        </w:p>
        <w:p w14:paraId="31B2B2D1" w14:textId="65D1A2FB" w:rsidR="00C74867" w:rsidRDefault="00C74867">
          <w:pPr>
            <w:pStyle w:val="TOC2"/>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36" w:history="1">
            <w:r w:rsidRPr="00B37642">
              <w:rPr>
                <w:rStyle w:val="Hyperlink"/>
                <w:noProof/>
              </w:rPr>
              <w:t>5.5 Sustainability Evidence Table</w:t>
            </w:r>
            <w:r>
              <w:rPr>
                <w:noProof/>
                <w:webHidden/>
              </w:rPr>
              <w:tab/>
            </w:r>
            <w:r>
              <w:rPr>
                <w:noProof/>
                <w:webHidden/>
              </w:rPr>
              <w:fldChar w:fldCharType="begin"/>
            </w:r>
            <w:r>
              <w:rPr>
                <w:noProof/>
                <w:webHidden/>
              </w:rPr>
              <w:instrText xml:space="preserve"> PAGEREF _Toc229426336 \h </w:instrText>
            </w:r>
            <w:r>
              <w:rPr>
                <w:noProof/>
                <w:webHidden/>
              </w:rPr>
            </w:r>
            <w:r>
              <w:rPr>
                <w:noProof/>
                <w:webHidden/>
              </w:rPr>
              <w:fldChar w:fldCharType="separate"/>
            </w:r>
            <w:r>
              <w:rPr>
                <w:noProof/>
                <w:webHidden/>
              </w:rPr>
              <w:t>11</w:t>
            </w:r>
            <w:r>
              <w:rPr>
                <w:noProof/>
                <w:webHidden/>
              </w:rPr>
              <w:fldChar w:fldCharType="end"/>
            </w:r>
          </w:hyperlink>
        </w:p>
        <w:p w14:paraId="2F82DA09" w14:textId="123B96F2" w:rsidR="00C74867" w:rsidRDefault="00C74867">
          <w:pPr>
            <w:pStyle w:val="TOC1"/>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37" w:history="1">
            <w:r w:rsidRPr="00B37642">
              <w:rPr>
                <w:rStyle w:val="Hyperlink"/>
                <w:noProof/>
              </w:rPr>
              <w:t>6. Flexibility and Future Adaptability Analysis</w:t>
            </w:r>
            <w:r>
              <w:rPr>
                <w:noProof/>
                <w:webHidden/>
              </w:rPr>
              <w:tab/>
            </w:r>
            <w:r>
              <w:rPr>
                <w:noProof/>
                <w:webHidden/>
              </w:rPr>
              <w:fldChar w:fldCharType="begin"/>
            </w:r>
            <w:r>
              <w:rPr>
                <w:noProof/>
                <w:webHidden/>
              </w:rPr>
              <w:instrText xml:space="preserve"> PAGEREF _Toc229426337 \h </w:instrText>
            </w:r>
            <w:r>
              <w:rPr>
                <w:noProof/>
                <w:webHidden/>
              </w:rPr>
            </w:r>
            <w:r>
              <w:rPr>
                <w:noProof/>
                <w:webHidden/>
              </w:rPr>
              <w:fldChar w:fldCharType="separate"/>
            </w:r>
            <w:r>
              <w:rPr>
                <w:noProof/>
                <w:webHidden/>
              </w:rPr>
              <w:t>11</w:t>
            </w:r>
            <w:r>
              <w:rPr>
                <w:noProof/>
                <w:webHidden/>
              </w:rPr>
              <w:fldChar w:fldCharType="end"/>
            </w:r>
          </w:hyperlink>
        </w:p>
        <w:p w14:paraId="49F36A81" w14:textId="783EB8B2" w:rsidR="00C74867" w:rsidRDefault="00C74867">
          <w:pPr>
            <w:pStyle w:val="TOC2"/>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38" w:history="1">
            <w:r w:rsidRPr="00B37642">
              <w:rPr>
                <w:rStyle w:val="Hyperlink"/>
                <w:noProof/>
              </w:rPr>
              <w:t>6.1 Adaptability Checklist</w:t>
            </w:r>
            <w:r>
              <w:rPr>
                <w:noProof/>
                <w:webHidden/>
              </w:rPr>
              <w:tab/>
            </w:r>
            <w:r>
              <w:rPr>
                <w:noProof/>
                <w:webHidden/>
              </w:rPr>
              <w:fldChar w:fldCharType="begin"/>
            </w:r>
            <w:r>
              <w:rPr>
                <w:noProof/>
                <w:webHidden/>
              </w:rPr>
              <w:instrText xml:space="preserve"> PAGEREF _Toc229426338 \h </w:instrText>
            </w:r>
            <w:r>
              <w:rPr>
                <w:noProof/>
                <w:webHidden/>
              </w:rPr>
            </w:r>
            <w:r>
              <w:rPr>
                <w:noProof/>
                <w:webHidden/>
              </w:rPr>
              <w:fldChar w:fldCharType="separate"/>
            </w:r>
            <w:r>
              <w:rPr>
                <w:noProof/>
                <w:webHidden/>
              </w:rPr>
              <w:t>12</w:t>
            </w:r>
            <w:r>
              <w:rPr>
                <w:noProof/>
                <w:webHidden/>
              </w:rPr>
              <w:fldChar w:fldCharType="end"/>
            </w:r>
          </w:hyperlink>
        </w:p>
        <w:p w14:paraId="1A49AB89" w14:textId="5B78277F" w:rsidR="00C74867" w:rsidRDefault="00C74867">
          <w:pPr>
            <w:pStyle w:val="TOC1"/>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39" w:history="1">
            <w:r w:rsidRPr="00B37642">
              <w:rPr>
                <w:rStyle w:val="Hyperlink"/>
                <w:noProof/>
              </w:rPr>
              <w:t>7. Comparative Evaluation of Alternatives</w:t>
            </w:r>
            <w:r>
              <w:rPr>
                <w:noProof/>
                <w:webHidden/>
              </w:rPr>
              <w:tab/>
            </w:r>
            <w:r>
              <w:rPr>
                <w:noProof/>
                <w:webHidden/>
              </w:rPr>
              <w:fldChar w:fldCharType="begin"/>
            </w:r>
            <w:r>
              <w:rPr>
                <w:noProof/>
                <w:webHidden/>
              </w:rPr>
              <w:instrText xml:space="preserve"> PAGEREF _Toc229426339 \h </w:instrText>
            </w:r>
            <w:r>
              <w:rPr>
                <w:noProof/>
                <w:webHidden/>
              </w:rPr>
            </w:r>
            <w:r>
              <w:rPr>
                <w:noProof/>
                <w:webHidden/>
              </w:rPr>
              <w:fldChar w:fldCharType="separate"/>
            </w:r>
            <w:r>
              <w:rPr>
                <w:noProof/>
                <w:webHidden/>
              </w:rPr>
              <w:t>13</w:t>
            </w:r>
            <w:r>
              <w:rPr>
                <w:noProof/>
                <w:webHidden/>
              </w:rPr>
              <w:fldChar w:fldCharType="end"/>
            </w:r>
          </w:hyperlink>
        </w:p>
        <w:p w14:paraId="174663FD" w14:textId="4F9F4C61" w:rsidR="00C74867" w:rsidRDefault="00C74867">
          <w:pPr>
            <w:pStyle w:val="TOC2"/>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40" w:history="1">
            <w:r w:rsidRPr="00B37642">
              <w:rPr>
                <w:rStyle w:val="Hyperlink"/>
                <w:noProof/>
              </w:rPr>
              <w:t>7.1 Options to Compare</w:t>
            </w:r>
            <w:r>
              <w:rPr>
                <w:noProof/>
                <w:webHidden/>
              </w:rPr>
              <w:tab/>
            </w:r>
            <w:r>
              <w:rPr>
                <w:noProof/>
                <w:webHidden/>
              </w:rPr>
              <w:fldChar w:fldCharType="begin"/>
            </w:r>
            <w:r>
              <w:rPr>
                <w:noProof/>
                <w:webHidden/>
              </w:rPr>
              <w:instrText xml:space="preserve"> PAGEREF _Toc229426340 \h </w:instrText>
            </w:r>
            <w:r>
              <w:rPr>
                <w:noProof/>
                <w:webHidden/>
              </w:rPr>
            </w:r>
            <w:r>
              <w:rPr>
                <w:noProof/>
                <w:webHidden/>
              </w:rPr>
              <w:fldChar w:fldCharType="separate"/>
            </w:r>
            <w:r>
              <w:rPr>
                <w:noProof/>
                <w:webHidden/>
              </w:rPr>
              <w:t>13</w:t>
            </w:r>
            <w:r>
              <w:rPr>
                <w:noProof/>
                <w:webHidden/>
              </w:rPr>
              <w:fldChar w:fldCharType="end"/>
            </w:r>
          </w:hyperlink>
        </w:p>
        <w:p w14:paraId="0276A3C0" w14:textId="5AFFB01D" w:rsidR="00C74867" w:rsidRDefault="00C74867">
          <w:pPr>
            <w:pStyle w:val="TOC2"/>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41" w:history="1">
            <w:r w:rsidRPr="00B37642">
              <w:rPr>
                <w:rStyle w:val="Hyperlink"/>
                <w:noProof/>
              </w:rPr>
              <w:t>7.2 Decision Matrix</w:t>
            </w:r>
            <w:r>
              <w:rPr>
                <w:noProof/>
                <w:webHidden/>
              </w:rPr>
              <w:tab/>
            </w:r>
            <w:r>
              <w:rPr>
                <w:noProof/>
                <w:webHidden/>
              </w:rPr>
              <w:fldChar w:fldCharType="begin"/>
            </w:r>
            <w:r>
              <w:rPr>
                <w:noProof/>
                <w:webHidden/>
              </w:rPr>
              <w:instrText xml:space="preserve"> PAGEREF _Toc229426341 \h </w:instrText>
            </w:r>
            <w:r>
              <w:rPr>
                <w:noProof/>
                <w:webHidden/>
              </w:rPr>
            </w:r>
            <w:r>
              <w:rPr>
                <w:noProof/>
                <w:webHidden/>
              </w:rPr>
              <w:fldChar w:fldCharType="separate"/>
            </w:r>
            <w:r>
              <w:rPr>
                <w:noProof/>
                <w:webHidden/>
              </w:rPr>
              <w:t>13</w:t>
            </w:r>
            <w:r>
              <w:rPr>
                <w:noProof/>
                <w:webHidden/>
              </w:rPr>
              <w:fldChar w:fldCharType="end"/>
            </w:r>
          </w:hyperlink>
        </w:p>
        <w:p w14:paraId="1C74B121" w14:textId="06CD9F29" w:rsidR="00C74867" w:rsidRDefault="00C74867">
          <w:pPr>
            <w:pStyle w:val="TOC1"/>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42" w:history="1">
            <w:r w:rsidRPr="00B37642">
              <w:rPr>
                <w:rStyle w:val="Hyperlink"/>
                <w:noProof/>
              </w:rPr>
              <w:t>8. Recommendations</w:t>
            </w:r>
            <w:r>
              <w:rPr>
                <w:noProof/>
                <w:webHidden/>
              </w:rPr>
              <w:tab/>
            </w:r>
            <w:r>
              <w:rPr>
                <w:noProof/>
                <w:webHidden/>
              </w:rPr>
              <w:fldChar w:fldCharType="begin"/>
            </w:r>
            <w:r>
              <w:rPr>
                <w:noProof/>
                <w:webHidden/>
              </w:rPr>
              <w:instrText xml:space="preserve"> PAGEREF _Toc229426342 \h </w:instrText>
            </w:r>
            <w:r>
              <w:rPr>
                <w:noProof/>
                <w:webHidden/>
              </w:rPr>
            </w:r>
            <w:r>
              <w:rPr>
                <w:noProof/>
                <w:webHidden/>
              </w:rPr>
              <w:fldChar w:fldCharType="separate"/>
            </w:r>
            <w:r>
              <w:rPr>
                <w:noProof/>
                <w:webHidden/>
              </w:rPr>
              <w:t>14</w:t>
            </w:r>
            <w:r>
              <w:rPr>
                <w:noProof/>
                <w:webHidden/>
              </w:rPr>
              <w:fldChar w:fldCharType="end"/>
            </w:r>
          </w:hyperlink>
        </w:p>
        <w:p w14:paraId="43BBF131" w14:textId="05062F9C" w:rsidR="00C74867" w:rsidRDefault="00C74867">
          <w:pPr>
            <w:pStyle w:val="TOC1"/>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43" w:history="1">
            <w:r w:rsidRPr="00B37642">
              <w:rPr>
                <w:rStyle w:val="Hyperlink"/>
                <w:noProof/>
              </w:rPr>
              <w:t>9. Conclusion</w:t>
            </w:r>
            <w:r>
              <w:rPr>
                <w:noProof/>
                <w:webHidden/>
              </w:rPr>
              <w:tab/>
            </w:r>
            <w:r>
              <w:rPr>
                <w:noProof/>
                <w:webHidden/>
              </w:rPr>
              <w:fldChar w:fldCharType="begin"/>
            </w:r>
            <w:r>
              <w:rPr>
                <w:noProof/>
                <w:webHidden/>
              </w:rPr>
              <w:instrText xml:space="preserve"> PAGEREF _Toc229426343 \h </w:instrText>
            </w:r>
            <w:r>
              <w:rPr>
                <w:noProof/>
                <w:webHidden/>
              </w:rPr>
            </w:r>
            <w:r>
              <w:rPr>
                <w:noProof/>
                <w:webHidden/>
              </w:rPr>
              <w:fldChar w:fldCharType="separate"/>
            </w:r>
            <w:r>
              <w:rPr>
                <w:noProof/>
                <w:webHidden/>
              </w:rPr>
              <w:t>16</w:t>
            </w:r>
            <w:r>
              <w:rPr>
                <w:noProof/>
                <w:webHidden/>
              </w:rPr>
              <w:fldChar w:fldCharType="end"/>
            </w:r>
          </w:hyperlink>
        </w:p>
        <w:p w14:paraId="1C20CA1B" w14:textId="640761BF" w:rsidR="00C74867" w:rsidRDefault="00C74867">
          <w:pPr>
            <w:pStyle w:val="TOC1"/>
            <w:tabs>
              <w:tab w:val="right" w:leader="dot" w:pos="9822"/>
            </w:tabs>
            <w:rPr>
              <w:rFonts w:asciiTheme="minorHAnsi" w:eastAsiaTheme="minorEastAsia" w:hAnsiTheme="minorHAnsi"/>
              <w:noProof/>
              <w:color w:val="auto"/>
              <w:kern w:val="2"/>
              <w:sz w:val="24"/>
              <w:szCs w:val="24"/>
              <w:lang w:val="en-GB" w:eastAsia="en-GB"/>
              <w14:ligatures w14:val="standardContextual"/>
            </w:rPr>
          </w:pPr>
          <w:hyperlink w:anchor="_Toc229426344" w:history="1">
            <w:r w:rsidRPr="00B37642">
              <w:rPr>
                <w:rStyle w:val="Hyperlink"/>
                <w:noProof/>
              </w:rPr>
              <w:t>10. Reference List</w:t>
            </w:r>
            <w:r>
              <w:rPr>
                <w:noProof/>
                <w:webHidden/>
              </w:rPr>
              <w:tab/>
            </w:r>
            <w:r>
              <w:rPr>
                <w:noProof/>
                <w:webHidden/>
              </w:rPr>
              <w:fldChar w:fldCharType="begin"/>
            </w:r>
            <w:r>
              <w:rPr>
                <w:noProof/>
                <w:webHidden/>
              </w:rPr>
              <w:instrText xml:space="preserve"> PAGEREF _Toc229426344 \h </w:instrText>
            </w:r>
            <w:r>
              <w:rPr>
                <w:noProof/>
                <w:webHidden/>
              </w:rPr>
            </w:r>
            <w:r>
              <w:rPr>
                <w:noProof/>
                <w:webHidden/>
              </w:rPr>
              <w:fldChar w:fldCharType="separate"/>
            </w:r>
            <w:r>
              <w:rPr>
                <w:noProof/>
                <w:webHidden/>
              </w:rPr>
              <w:t>17</w:t>
            </w:r>
            <w:r>
              <w:rPr>
                <w:noProof/>
                <w:webHidden/>
              </w:rPr>
              <w:fldChar w:fldCharType="end"/>
            </w:r>
          </w:hyperlink>
        </w:p>
        <w:p w14:paraId="66C5A9B1" w14:textId="30F63777" w:rsidR="00B1670F" w:rsidRDefault="00B23735">
          <w:pPr>
            <w:pStyle w:val="TOC1"/>
            <w:tabs>
              <w:tab w:val="right" w:leader="dot" w:pos="9831"/>
            </w:tabs>
          </w:pPr>
          <w:r>
            <w:rPr>
              <w:rStyle w:val="IndexLink"/>
            </w:rPr>
            <w:fldChar w:fldCharType="end"/>
          </w:r>
        </w:p>
      </w:sdtContent>
    </w:sdt>
    <w:p w14:paraId="66C5A9B2" w14:textId="77777777" w:rsidR="00B1670F" w:rsidRDefault="00B23735">
      <w:r>
        <w:br w:type="page"/>
      </w:r>
    </w:p>
    <w:p w14:paraId="66C5A9B3" w14:textId="77777777" w:rsidR="00B1670F" w:rsidRDefault="00B23735">
      <w:pPr>
        <w:pStyle w:val="Heading1"/>
        <w:spacing w:before="0"/>
      </w:pPr>
      <w:bookmarkStart w:id="0" w:name="_Toc229404611"/>
      <w:bookmarkStart w:id="1" w:name="_Toc229426318"/>
      <w:r>
        <w:lastRenderedPageBreak/>
        <w:t>1. Introduction</w:t>
      </w:r>
      <w:bookmarkEnd w:id="0"/>
      <w:bookmarkEnd w:id="1"/>
    </w:p>
    <w:p w14:paraId="66C5A9B4" w14:textId="77777777" w:rsidR="00B1670F" w:rsidRDefault="00B23735">
      <w:pPr>
        <w:pStyle w:val="Placeholder"/>
        <w:rPr>
          <w:i w:val="0"/>
          <w:iCs/>
          <w:color w:val="auto"/>
        </w:rPr>
      </w:pPr>
      <w:r>
        <w:rPr>
          <w:i w:val="0"/>
          <w:iCs/>
          <w:color w:val="auto"/>
        </w:rPr>
        <w:t xml:space="preserve">This report develops the AS1 concept for a proposed 8–12 </w:t>
      </w:r>
      <w:proofErr w:type="spellStart"/>
      <w:r>
        <w:rPr>
          <w:i w:val="0"/>
          <w:iCs/>
          <w:color w:val="auto"/>
        </w:rPr>
        <w:t>storey</w:t>
      </w:r>
      <w:proofErr w:type="spellEnd"/>
      <w:r>
        <w:rPr>
          <w:i w:val="0"/>
          <w:iCs/>
          <w:color w:val="auto"/>
        </w:rPr>
        <w:t xml:space="preserve"> hotel in Swansea, near Singleton Hospital. The project is carried forward as a medium/high-rise building in a coastal, operationally sensitive location, with the baseline concept comprising a steel composite frame with reinforced concrete core, masonry cavity wall envelope and a hybrid </w:t>
      </w:r>
      <w:proofErr w:type="spellStart"/>
      <w:r>
        <w:rPr>
          <w:i w:val="0"/>
          <w:iCs/>
          <w:color w:val="auto"/>
        </w:rPr>
        <w:t>DfMA</w:t>
      </w:r>
      <w:proofErr w:type="spellEnd"/>
      <w:r>
        <w:rPr>
          <w:i w:val="0"/>
          <w:iCs/>
          <w:color w:val="auto"/>
        </w:rPr>
        <w:t>/MMC construction strategy. The AS1 proposal assumed piled foundations, but this report treats the substructure strategy as provisional until site-specific ground investigation confirms whether shallow foundations, a raft, a piled raft, ground improvement or full piling is technically justified (British Geological Survey, n.d.; British Standards Institution, 2020; BRE, 2005).</w:t>
      </w:r>
    </w:p>
    <w:p w14:paraId="66C5A9B5" w14:textId="77777777" w:rsidR="00B1670F" w:rsidRDefault="00B23735">
      <w:pPr>
        <w:pStyle w:val="Placeholder"/>
        <w:rPr>
          <w:i w:val="0"/>
          <w:iCs/>
          <w:color w:val="auto"/>
        </w:rPr>
      </w:pPr>
      <w:r>
        <w:rPr>
          <w:i w:val="0"/>
          <w:iCs/>
          <w:color w:val="auto"/>
        </w:rPr>
        <w:t>The aim of this AS2 report is to critically evaluate the proposal in terms of buildability, sustainability and flexibility, rather than simply describe the building form. Buildability is considered through site logistics, construction sequencing, cranage, ground conditions, envelope installation and fire-safety coordination. Sustainability is assessed using lifecycle thinking, with attention to embodied carbon, durability, material efficiency, waste reduction, operational performance and long-term maintenance. Flexibility is considered through structural grid choice, services integration, adaptability of hotel layouts and the implications of different construction methods.</w:t>
      </w:r>
    </w:p>
    <w:p w14:paraId="66C5A9B6" w14:textId="77777777" w:rsidR="00B1670F" w:rsidRDefault="00B23735">
      <w:pPr>
        <w:pStyle w:val="Placeholder"/>
        <w:rPr>
          <w:i w:val="0"/>
          <w:iCs/>
          <w:color w:val="auto"/>
        </w:rPr>
      </w:pPr>
      <w:r>
        <w:rPr>
          <w:i w:val="0"/>
          <w:iCs/>
          <w:color w:val="auto"/>
        </w:rPr>
        <w:t>The evaluation uses relevant literature, technical standards, lifecycle principles and comparative option appraisal to test the selected approach. The report concludes with practical recommendations for design development, procurement, construction planning and risk control.</w:t>
      </w:r>
    </w:p>
    <w:p w14:paraId="66C5A9B7" w14:textId="77777777" w:rsidR="00B1670F" w:rsidRDefault="00B23735">
      <w:pPr>
        <w:pStyle w:val="Heading1"/>
        <w:spacing w:before="0"/>
      </w:pPr>
      <w:bookmarkStart w:id="2" w:name="_Toc229404612"/>
      <w:bookmarkStart w:id="3" w:name="_Toc229426319"/>
      <w:r>
        <w:t>2. AS1 Design Context Summary</w:t>
      </w:r>
      <w:bookmarkEnd w:id="2"/>
      <w:bookmarkEnd w:id="3"/>
    </w:p>
    <w:p w14:paraId="66C5A9B8" w14:textId="77777777" w:rsidR="00B1670F" w:rsidRDefault="00B23735">
      <w:pPr>
        <w:pStyle w:val="Heading2"/>
      </w:pPr>
      <w:bookmarkStart w:id="4" w:name="_Toc229404613"/>
      <w:bookmarkStart w:id="5" w:name="_Toc229426320"/>
      <w:r>
        <w:t>2.1 Project / Building Overview</w:t>
      </w:r>
      <w:bookmarkEnd w:id="4"/>
      <w:bookmarkEnd w:id="5"/>
    </w:p>
    <w:p w14:paraId="2961E894" w14:textId="77777777" w:rsidR="00F9204A" w:rsidRPr="00F9204A" w:rsidRDefault="00F9204A" w:rsidP="00F9204A">
      <w:pPr>
        <w:pStyle w:val="Placeholder"/>
        <w:rPr>
          <w:i w:val="0"/>
          <w:iCs/>
          <w:color w:val="auto"/>
        </w:rPr>
      </w:pPr>
      <w:r w:rsidRPr="00F9204A">
        <w:rPr>
          <w:i w:val="0"/>
          <w:iCs/>
          <w:color w:val="auto"/>
        </w:rPr>
        <w:t>The Swansea AS1 project proposed a medium/high-rise hotel near Singleton Hospital and Mumbles Road. The 8–12-story hotel addresses medium/high-rise construction issues like vertical load transfer, wind stability, fire strategy, façade performance, site logistics, and construction sequencing.</w:t>
      </w:r>
    </w:p>
    <w:p w14:paraId="2C242F63" w14:textId="77777777" w:rsidR="00F9204A" w:rsidRPr="00F9204A" w:rsidRDefault="00F9204A" w:rsidP="00F9204A">
      <w:pPr>
        <w:pStyle w:val="Placeholder"/>
        <w:rPr>
          <w:i w:val="0"/>
          <w:iCs/>
          <w:color w:val="auto"/>
        </w:rPr>
      </w:pPr>
      <w:r w:rsidRPr="00F9204A">
        <w:rPr>
          <w:i w:val="0"/>
          <w:iCs/>
          <w:color w:val="auto"/>
        </w:rPr>
        <w:t xml:space="preserve">Steel composite frames with reinforced concrete cores were chosen. The site context suggested </w:t>
      </w:r>
      <w:proofErr w:type="gramStart"/>
      <w:r w:rsidRPr="00F9204A">
        <w:rPr>
          <w:i w:val="0"/>
          <w:iCs/>
          <w:color w:val="auto"/>
        </w:rPr>
        <w:t>made</w:t>
      </w:r>
      <w:proofErr w:type="gramEnd"/>
      <w:r w:rsidRPr="00F9204A">
        <w:rPr>
          <w:i w:val="0"/>
          <w:iCs/>
          <w:color w:val="auto"/>
        </w:rPr>
        <w:t xml:space="preserve"> ground, groundwater uncertainty, and settlement risk, so AS1 assumed deep piled foundations with ground beams and a suspended slab. Please note that this assumption is not a final foundation commitment. Swansea evidence suggests variable ground and groundwater conditions, but it does not replace a boundary-specific GI for the hotel footprint. The foundation strategy should remain open until boreholes, in-situ testing, groundwater monitoring, contamination testing, and aggressive-ground testing determine whether piles are needed or if a lower-carbon shallow, raft, piled-raft, or ground-improvement solution is feasible. For fire compliance, acoustic performance, and durability in coastal exposure, masonry cavity walls with non-combustible insulation and cavity barriers are the main envelope strategy.</w:t>
      </w:r>
    </w:p>
    <w:p w14:paraId="66C5A9BB" w14:textId="033AB698" w:rsidR="00B1670F" w:rsidRDefault="00F9204A" w:rsidP="00F9204A">
      <w:pPr>
        <w:pStyle w:val="Placeholder"/>
        <w:rPr>
          <w:i w:val="0"/>
          <w:iCs/>
          <w:color w:val="auto"/>
        </w:rPr>
      </w:pPr>
      <w:r w:rsidRPr="00F9204A">
        <w:rPr>
          <w:i w:val="0"/>
          <w:iCs/>
          <w:color w:val="auto"/>
        </w:rPr>
        <w:t xml:space="preserve">A hybrid </w:t>
      </w:r>
      <w:proofErr w:type="spellStart"/>
      <w:r w:rsidRPr="00F9204A">
        <w:rPr>
          <w:i w:val="0"/>
          <w:iCs/>
          <w:color w:val="auto"/>
        </w:rPr>
        <w:t>DfMA</w:t>
      </w:r>
      <w:proofErr w:type="spellEnd"/>
      <w:r w:rsidRPr="00F9204A">
        <w:rPr>
          <w:i w:val="0"/>
          <w:iCs/>
          <w:color w:val="auto"/>
        </w:rPr>
        <w:t>/MMC construction strategy was carried over into AS2. This uses off-site manufacturing for repeatable elements like steelwork, windows, MEP modules, plant skids and possibly bathroom pods while keeping the frame and core on-site. AS2 evaluation is needed for coastal wind exposure, very severe wind-driven rain, marine corrosion risk, operational sensitivity near the hospital, restricted logistics, abnormal-load control, and fire-safety coordination.</w:t>
      </w:r>
    </w:p>
    <w:p w14:paraId="66C5A9BC" w14:textId="77777777" w:rsidR="00B1670F" w:rsidRDefault="00B23735">
      <w:pPr>
        <w:pStyle w:val="Heading2"/>
      </w:pPr>
      <w:bookmarkStart w:id="6" w:name="_Toc229404614"/>
      <w:bookmarkStart w:id="7" w:name="_Toc229426321"/>
      <w:r>
        <w:t>2.2 AS1-to-AS2 Expansion Tracker</w:t>
      </w:r>
      <w:bookmarkEnd w:id="6"/>
      <w:bookmarkEnd w:id="7"/>
    </w:p>
    <w:tbl>
      <w:tblPr>
        <w:tblStyle w:val="TableGrid"/>
        <w:tblW w:w="10051" w:type="dxa"/>
        <w:jc w:val="center"/>
        <w:tblLayout w:type="fixed"/>
        <w:tblLook w:val="04A0" w:firstRow="1" w:lastRow="0" w:firstColumn="1" w:lastColumn="0" w:noHBand="0" w:noVBand="1"/>
      </w:tblPr>
      <w:tblGrid>
        <w:gridCol w:w="1689"/>
        <w:gridCol w:w="1938"/>
        <w:gridCol w:w="1873"/>
        <w:gridCol w:w="2212"/>
        <w:gridCol w:w="2339"/>
      </w:tblGrid>
      <w:tr w:rsidR="00B1670F" w14:paraId="66C5A9C2" w14:textId="77777777">
        <w:trPr>
          <w:tblHeader/>
          <w:jc w:val="center"/>
        </w:trPr>
        <w:tc>
          <w:tcPr>
            <w:tcW w:w="1689"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9BD" w14:textId="77777777" w:rsidR="00B1670F" w:rsidRDefault="00B23735">
            <w:pPr>
              <w:spacing w:after="0" w:line="240" w:lineRule="auto"/>
              <w:rPr>
                <w:color w:val="auto"/>
              </w:rPr>
            </w:pPr>
            <w:r>
              <w:rPr>
                <w:b/>
                <w:bCs/>
                <w:color w:val="auto"/>
              </w:rPr>
              <w:t>AS1 point</w:t>
            </w:r>
          </w:p>
        </w:tc>
        <w:tc>
          <w:tcPr>
            <w:tcW w:w="1938"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9BE" w14:textId="77777777" w:rsidR="00B1670F" w:rsidRDefault="00B23735">
            <w:pPr>
              <w:spacing w:after="0" w:line="240" w:lineRule="auto"/>
              <w:rPr>
                <w:color w:val="auto"/>
              </w:rPr>
            </w:pPr>
            <w:r>
              <w:rPr>
                <w:b/>
                <w:bCs/>
                <w:color w:val="auto"/>
              </w:rPr>
              <w:t>Why it matters for AS2</w:t>
            </w:r>
          </w:p>
        </w:tc>
        <w:tc>
          <w:tcPr>
            <w:tcW w:w="1873"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9BF" w14:textId="77777777" w:rsidR="00B1670F" w:rsidRDefault="00B23735">
            <w:pPr>
              <w:spacing w:after="0" w:line="240" w:lineRule="auto"/>
              <w:rPr>
                <w:color w:val="auto"/>
              </w:rPr>
            </w:pPr>
            <w:r>
              <w:rPr>
                <w:b/>
                <w:bCs/>
                <w:color w:val="auto"/>
              </w:rPr>
              <w:t>Buildability link</w:t>
            </w:r>
          </w:p>
        </w:tc>
        <w:tc>
          <w:tcPr>
            <w:tcW w:w="2212"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9C0" w14:textId="77777777" w:rsidR="00B1670F" w:rsidRDefault="00B23735">
            <w:pPr>
              <w:spacing w:after="0" w:line="240" w:lineRule="auto"/>
              <w:rPr>
                <w:color w:val="auto"/>
              </w:rPr>
            </w:pPr>
            <w:r>
              <w:rPr>
                <w:b/>
                <w:bCs/>
                <w:color w:val="auto"/>
              </w:rPr>
              <w:t>Sustainability / flexibility link</w:t>
            </w:r>
          </w:p>
        </w:tc>
        <w:tc>
          <w:tcPr>
            <w:tcW w:w="2339"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9C1" w14:textId="77777777" w:rsidR="00B1670F" w:rsidRDefault="00B23735">
            <w:pPr>
              <w:spacing w:after="0" w:line="240" w:lineRule="auto"/>
              <w:rPr>
                <w:color w:val="auto"/>
              </w:rPr>
            </w:pPr>
            <w:r>
              <w:rPr>
                <w:b/>
                <w:bCs/>
                <w:color w:val="auto"/>
              </w:rPr>
              <w:t>Source</w:t>
            </w:r>
          </w:p>
        </w:tc>
      </w:tr>
      <w:tr w:rsidR="00B1670F" w14:paraId="66C5A9C8" w14:textId="77777777">
        <w:trPr>
          <w:jc w:val="center"/>
        </w:trPr>
        <w:tc>
          <w:tcPr>
            <w:tcW w:w="1689"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C3" w14:textId="77777777" w:rsidR="00B1670F" w:rsidRDefault="00B23735">
            <w:pPr>
              <w:spacing w:after="0" w:line="240" w:lineRule="auto"/>
            </w:pPr>
            <w:r>
              <w:t xml:space="preserve">Proposed 8–12 </w:t>
            </w:r>
            <w:proofErr w:type="spellStart"/>
            <w:r>
              <w:t>storey</w:t>
            </w:r>
            <w:proofErr w:type="spellEnd"/>
            <w:r>
              <w:t xml:space="preserve"> hotel near Singleton Hospital</w:t>
            </w:r>
          </w:p>
        </w:tc>
        <w:tc>
          <w:tcPr>
            <w:tcW w:w="193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C4" w14:textId="77777777" w:rsidR="00B1670F" w:rsidRDefault="00B23735">
            <w:pPr>
              <w:spacing w:after="0" w:line="240" w:lineRule="auto"/>
            </w:pPr>
            <w:r>
              <w:t>Establishes the building type, height range and operational context for a medium/high-rise evaluation.</w:t>
            </w:r>
          </w:p>
        </w:tc>
        <w:tc>
          <w:tcPr>
            <w:tcW w:w="1873"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C5" w14:textId="77777777" w:rsidR="00B1670F" w:rsidRDefault="00B23735">
            <w:pPr>
              <w:spacing w:after="0" w:line="240" w:lineRule="auto"/>
            </w:pPr>
            <w:r>
              <w:t xml:space="preserve">Requires assessment of vertical logistics, craneage, emergency access, hospital-adjacent </w:t>
            </w:r>
            <w:r>
              <w:lastRenderedPageBreak/>
              <w:t>disruption and construction sequencing.</w:t>
            </w:r>
          </w:p>
        </w:tc>
        <w:tc>
          <w:tcPr>
            <w:tcW w:w="2212"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C6" w14:textId="77777777" w:rsidR="00B1670F" w:rsidRDefault="00B23735">
            <w:pPr>
              <w:spacing w:after="0" w:line="240" w:lineRule="auto"/>
            </w:pPr>
            <w:r>
              <w:lastRenderedPageBreak/>
              <w:t xml:space="preserve">Hotel layouts use repetitive room modules, creating potential for </w:t>
            </w:r>
            <w:proofErr w:type="spellStart"/>
            <w:r>
              <w:t>standardisation</w:t>
            </w:r>
            <w:proofErr w:type="spellEnd"/>
            <w:r>
              <w:t xml:space="preserve">, efficient servicing and future internal </w:t>
            </w:r>
            <w:r>
              <w:lastRenderedPageBreak/>
              <w:t>reconfiguration.</w:t>
            </w:r>
          </w:p>
        </w:tc>
        <w:tc>
          <w:tcPr>
            <w:tcW w:w="2339"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C7" w14:textId="77777777" w:rsidR="00B1670F" w:rsidRDefault="00B23735">
            <w:pPr>
              <w:spacing w:after="0" w:line="240" w:lineRule="auto"/>
            </w:pPr>
            <w:r>
              <w:lastRenderedPageBreak/>
              <w:t xml:space="preserve">Swansea tall-building context and fire-safety requirements should inform the evaluation (City and County of Swansea, n.d.; Welsh Government, 2021; </w:t>
            </w:r>
            <w:r>
              <w:lastRenderedPageBreak/>
              <w:t>Welsh Government, 2025d).</w:t>
            </w:r>
          </w:p>
        </w:tc>
      </w:tr>
      <w:tr w:rsidR="00B1670F" w14:paraId="66C5A9CE" w14:textId="77777777">
        <w:trPr>
          <w:jc w:val="center"/>
        </w:trPr>
        <w:tc>
          <w:tcPr>
            <w:tcW w:w="1689"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9C9" w14:textId="77777777" w:rsidR="00B1670F" w:rsidRDefault="00B23735">
            <w:pPr>
              <w:spacing w:after="0" w:line="240" w:lineRule="auto"/>
            </w:pPr>
            <w:r>
              <w:lastRenderedPageBreak/>
              <w:t>Steel composite frame with reinforced concrete core</w:t>
            </w:r>
          </w:p>
        </w:tc>
        <w:tc>
          <w:tcPr>
            <w:tcW w:w="1938"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9CA" w14:textId="77777777" w:rsidR="00B1670F" w:rsidRDefault="00B23735">
            <w:pPr>
              <w:spacing w:after="0" w:line="240" w:lineRule="auto"/>
            </w:pPr>
            <w:r>
              <w:t>This is the main structural form carried forward from AS1 and must be tested critically rather than simply accepted.</w:t>
            </w:r>
          </w:p>
        </w:tc>
        <w:tc>
          <w:tcPr>
            <w:tcW w:w="1873"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9CB" w14:textId="77777777" w:rsidR="00B1670F" w:rsidRDefault="00B23735">
            <w:pPr>
              <w:spacing w:after="0" w:line="240" w:lineRule="auto"/>
            </w:pPr>
            <w:r>
              <w:t>Faster frame erection and lighter superstructure, but dependent on cranage, temporary stability, tolerance control and fire protection.</w:t>
            </w:r>
          </w:p>
        </w:tc>
        <w:tc>
          <w:tcPr>
            <w:tcW w:w="2212"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9CC" w14:textId="77777777" w:rsidR="00B1670F" w:rsidRDefault="00B23735">
            <w:pPr>
              <w:spacing w:after="0" w:line="240" w:lineRule="auto"/>
            </w:pPr>
            <w:r>
              <w:t>Regular grids can support internal adaptability; embodied carbon depends on efficient steel design, procurement and EPD-led specification.</w:t>
            </w:r>
          </w:p>
        </w:tc>
        <w:tc>
          <w:tcPr>
            <w:tcW w:w="2339"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9CD" w14:textId="77777777" w:rsidR="00B1670F" w:rsidRDefault="00B23735">
            <w:pPr>
              <w:spacing w:after="0" w:line="240" w:lineRule="auto"/>
            </w:pPr>
            <w:r>
              <w:t>Wind design, steel construction guidance and embodied-carbon principles should be applied (British Standards Institution, 2010; SteelConstruction.info, n.d.; Institution of Structural Engineers, 2020; RICS, 2024).</w:t>
            </w:r>
          </w:p>
        </w:tc>
      </w:tr>
      <w:tr w:rsidR="00B1670F" w14:paraId="66C5A9D4" w14:textId="77777777">
        <w:trPr>
          <w:jc w:val="center"/>
        </w:trPr>
        <w:tc>
          <w:tcPr>
            <w:tcW w:w="1689"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CF" w14:textId="77777777" w:rsidR="00B1670F" w:rsidRDefault="00B23735">
            <w:pPr>
              <w:spacing w:after="0" w:line="240" w:lineRule="auto"/>
            </w:pPr>
            <w:r>
              <w:t>Provisional substructure strategy: AS1 assumed piles, but GI must confirm the final foundation form</w:t>
            </w:r>
          </w:p>
        </w:tc>
        <w:tc>
          <w:tcPr>
            <w:tcW w:w="193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D0" w14:textId="77777777" w:rsidR="00B1670F" w:rsidRDefault="00B23735">
            <w:pPr>
              <w:spacing w:after="0" w:line="240" w:lineRule="auto"/>
            </w:pPr>
            <w:r>
              <w:t>Ground uncertainty is a major design risk for the Swansea site, but desk-study evidence alone is not enough to prove that full piling is the only justified option.</w:t>
            </w:r>
          </w:p>
        </w:tc>
        <w:tc>
          <w:tcPr>
            <w:tcW w:w="1873"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D1" w14:textId="77777777" w:rsidR="00B1670F" w:rsidRDefault="00B23735">
            <w:pPr>
              <w:spacing w:after="0" w:line="240" w:lineRule="auto"/>
            </w:pPr>
            <w:r>
              <w:t xml:space="preserve">GI affects foundation choice, working-platform design, spoil handling, groundwater control, obstruction risk, concrete deliveries and </w:t>
            </w:r>
            <w:proofErr w:type="spellStart"/>
            <w:r>
              <w:t>programme</w:t>
            </w:r>
            <w:proofErr w:type="spellEnd"/>
            <w:r>
              <w:t xml:space="preserve"> certainty.</w:t>
            </w:r>
          </w:p>
        </w:tc>
        <w:tc>
          <w:tcPr>
            <w:tcW w:w="2212"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D2" w14:textId="77777777" w:rsidR="00B1670F" w:rsidRDefault="00B23735">
            <w:pPr>
              <w:spacing w:after="0" w:line="240" w:lineRule="auto"/>
            </w:pPr>
            <w:r>
              <w:t>GI-led foundation selection can avoid unnecessary concrete and reinforcement if shallow foundations, a raft, piled raft or ground improvement are viable.</w:t>
            </w:r>
          </w:p>
        </w:tc>
        <w:tc>
          <w:tcPr>
            <w:tcW w:w="2339"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D3" w14:textId="77777777" w:rsidR="00B1670F" w:rsidRDefault="00B23735">
            <w:pPr>
              <w:spacing w:after="0" w:line="240" w:lineRule="auto"/>
            </w:pPr>
            <w:r>
              <w:t>British Geological Survey (n.d.); British Standards Institution (2020); BRE (2005); British Standards Institution (2023); RICS (2024).</w:t>
            </w:r>
          </w:p>
        </w:tc>
      </w:tr>
      <w:tr w:rsidR="00B1670F" w14:paraId="66C5A9DA" w14:textId="77777777">
        <w:trPr>
          <w:jc w:val="center"/>
        </w:trPr>
        <w:tc>
          <w:tcPr>
            <w:tcW w:w="1689"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9D5" w14:textId="77777777" w:rsidR="00B1670F" w:rsidRDefault="00B23735">
            <w:pPr>
              <w:spacing w:after="0" w:line="240" w:lineRule="auto"/>
            </w:pPr>
            <w:r>
              <w:t>Masonry cavity wall with non-combustible insulation</w:t>
            </w:r>
          </w:p>
        </w:tc>
        <w:tc>
          <w:tcPr>
            <w:tcW w:w="1938"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9D6" w14:textId="77777777" w:rsidR="00B1670F" w:rsidRDefault="00B23735">
            <w:pPr>
              <w:spacing w:after="0" w:line="240" w:lineRule="auto"/>
            </w:pPr>
            <w:r>
              <w:t>The envelope is central to fire compliance, weather resistance, acoustic performance and durability.</w:t>
            </w:r>
          </w:p>
        </w:tc>
        <w:tc>
          <w:tcPr>
            <w:tcW w:w="1873"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9D7" w14:textId="77777777" w:rsidR="00B1670F" w:rsidRDefault="00B23735">
            <w:pPr>
              <w:spacing w:after="0" w:line="240" w:lineRule="auto"/>
            </w:pPr>
            <w:r>
              <w:t>Requires workmanship control, cavity trays, wall ties, cavity barriers, scaffold/access strategy and interface inspection.</w:t>
            </w:r>
          </w:p>
        </w:tc>
        <w:tc>
          <w:tcPr>
            <w:tcW w:w="2212"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9D8" w14:textId="77777777" w:rsidR="00B1670F" w:rsidRDefault="00B23735">
            <w:pPr>
              <w:spacing w:after="0" w:line="240" w:lineRule="auto"/>
            </w:pPr>
            <w:r>
              <w:t xml:space="preserve">Durable façades can reduce replacement cycles; good acoustic and thermal performance </w:t>
            </w:r>
            <w:proofErr w:type="gramStart"/>
            <w:r>
              <w:t>supports</w:t>
            </w:r>
            <w:proofErr w:type="gramEnd"/>
            <w:r>
              <w:t xml:space="preserve"> hotel use, but the wall build-up may reduce façade adaptability.</w:t>
            </w:r>
          </w:p>
        </w:tc>
        <w:tc>
          <w:tcPr>
            <w:tcW w:w="2339"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9D9" w14:textId="77777777" w:rsidR="00B1670F" w:rsidRDefault="00B23735">
            <w:pPr>
              <w:spacing w:after="0" w:line="240" w:lineRule="auto"/>
            </w:pPr>
            <w:r>
              <w:t>External wall fire guidance, exposure guidance and masonry detailing sources should be used (Welsh Government, 2025b; Welsh Government, 2025d; British Standards Institution, n.d.; LABC Warranty, n.d.; Marshalls, n.d.).</w:t>
            </w:r>
          </w:p>
        </w:tc>
      </w:tr>
      <w:tr w:rsidR="00B1670F" w14:paraId="66C5A9E0" w14:textId="77777777">
        <w:trPr>
          <w:jc w:val="center"/>
        </w:trPr>
        <w:tc>
          <w:tcPr>
            <w:tcW w:w="1689"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DB" w14:textId="77777777" w:rsidR="00B1670F" w:rsidRDefault="00B23735">
            <w:pPr>
              <w:spacing w:after="0" w:line="240" w:lineRule="auto"/>
            </w:pPr>
            <w:r>
              <w:t xml:space="preserve">Hybrid </w:t>
            </w:r>
            <w:proofErr w:type="spellStart"/>
            <w:r>
              <w:t>DfMA</w:t>
            </w:r>
            <w:proofErr w:type="spellEnd"/>
            <w:r>
              <w:t>/MMC construction strategy</w:t>
            </w:r>
          </w:p>
        </w:tc>
        <w:tc>
          <w:tcPr>
            <w:tcW w:w="193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DC" w14:textId="77777777" w:rsidR="00B1670F" w:rsidRDefault="00B23735">
            <w:pPr>
              <w:spacing w:after="0" w:line="240" w:lineRule="auto"/>
            </w:pPr>
            <w:r>
              <w:t>AS1 identified off-site manufacture as beneficial but not suitable for every element.</w:t>
            </w:r>
          </w:p>
        </w:tc>
        <w:tc>
          <w:tcPr>
            <w:tcW w:w="1873"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DD" w14:textId="77777777" w:rsidR="00B1670F" w:rsidRDefault="00B23735">
            <w:pPr>
              <w:spacing w:after="0" w:line="240" w:lineRule="auto"/>
            </w:pPr>
            <w:r>
              <w:t>Prefabricated steelwork, MEP modules, plant skids and possible bathroom pods can reduce site congestion, but wind and logistics constrain large modules.</w:t>
            </w:r>
          </w:p>
        </w:tc>
        <w:tc>
          <w:tcPr>
            <w:tcW w:w="2212"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DE" w14:textId="77777777" w:rsidR="00B1670F" w:rsidRDefault="00B23735">
            <w:pPr>
              <w:spacing w:after="0" w:line="240" w:lineRule="auto"/>
            </w:pPr>
            <w:r>
              <w:t xml:space="preserve">Reduces waste and improves quality control; repeated components support </w:t>
            </w:r>
            <w:proofErr w:type="spellStart"/>
            <w:r>
              <w:t>standardisation</w:t>
            </w:r>
            <w:proofErr w:type="spellEnd"/>
            <w:r>
              <w:t>, but full volumetric construction may reduce design adaptability.</w:t>
            </w:r>
          </w:p>
        </w:tc>
        <w:tc>
          <w:tcPr>
            <w:tcW w:w="2339"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DF" w14:textId="77777777" w:rsidR="00B1670F" w:rsidRDefault="00B23735">
            <w:pPr>
              <w:spacing w:after="0" w:line="240" w:lineRule="auto"/>
            </w:pPr>
            <w:r>
              <w:t>MMC and lifting-risk evidence should support the comparison (UK Government, n.d.; SCI, n.d.; Construction Plant-hire Association, 2025; Construction Leadership Council, 2020).</w:t>
            </w:r>
          </w:p>
        </w:tc>
      </w:tr>
    </w:tbl>
    <w:p w14:paraId="66C5A9E1" w14:textId="77777777" w:rsidR="00B1670F" w:rsidRDefault="00B1670F"/>
    <w:p w14:paraId="66C5A9E2" w14:textId="77777777" w:rsidR="00B1670F" w:rsidRDefault="00B23735">
      <w:pPr>
        <w:pStyle w:val="Heading1"/>
        <w:spacing w:before="0"/>
      </w:pPr>
      <w:bookmarkStart w:id="8" w:name="_Toc229404615"/>
      <w:bookmarkStart w:id="9" w:name="_Toc229426322"/>
      <w:r>
        <w:t>3. Evaluation Framework: Buildability, Sustainability and Flexibility</w:t>
      </w:r>
      <w:bookmarkEnd w:id="8"/>
      <w:bookmarkEnd w:id="9"/>
    </w:p>
    <w:p w14:paraId="66C5A9E3" w14:textId="77777777" w:rsidR="00B1670F" w:rsidRDefault="00B23735">
      <w:r>
        <w:t xml:space="preserve">This section defines the criteria used to evaluate the AS1 proposal. The purpose is to create a consistent assessment framework before judging the selected structural frame, provisional foundation strategy, envelope and construction method. The assessment uses a qualitative approach, supported by technical </w:t>
      </w:r>
      <w:r>
        <w:lastRenderedPageBreak/>
        <w:t xml:space="preserve">guidance, standards, lifecycle thinking and project-specific constraints identified in AS1. The criteria are applied to the proposed 8–12 </w:t>
      </w:r>
      <w:proofErr w:type="spellStart"/>
      <w:r>
        <w:t>storey</w:t>
      </w:r>
      <w:proofErr w:type="spellEnd"/>
      <w:r>
        <w:t xml:space="preserve"> hotel in Swansea, where coastal exposure, hospital-adjacent logistics, ground uncertainty and fire-safety compliance are key design drivers.</w:t>
      </w:r>
    </w:p>
    <w:p w14:paraId="66C5A9E4" w14:textId="77777777" w:rsidR="00B1670F" w:rsidRDefault="00B23735">
      <w:pPr>
        <w:pStyle w:val="Heading2"/>
      </w:pPr>
      <w:bookmarkStart w:id="10" w:name="_Toc229404616"/>
      <w:bookmarkStart w:id="11" w:name="_Toc229426323"/>
      <w:r>
        <w:t>3.1 Key Definitions</w:t>
      </w:r>
      <w:bookmarkEnd w:id="10"/>
      <w:bookmarkEnd w:id="11"/>
    </w:p>
    <w:tbl>
      <w:tblPr>
        <w:tblStyle w:val="TableGrid"/>
        <w:tblW w:w="9792" w:type="dxa"/>
        <w:jc w:val="center"/>
        <w:tblLayout w:type="fixed"/>
        <w:tblLook w:val="04A0" w:firstRow="1" w:lastRow="0" w:firstColumn="1" w:lastColumn="0" w:noHBand="0" w:noVBand="1"/>
      </w:tblPr>
      <w:tblGrid>
        <w:gridCol w:w="1729"/>
        <w:gridCol w:w="3168"/>
        <w:gridCol w:w="2879"/>
        <w:gridCol w:w="2016"/>
      </w:tblGrid>
      <w:tr w:rsidR="00B1670F" w14:paraId="66C5A9E9" w14:textId="77777777">
        <w:trPr>
          <w:tblHeader/>
          <w:jc w:val="center"/>
        </w:trPr>
        <w:tc>
          <w:tcPr>
            <w:tcW w:w="1728"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9E5" w14:textId="77777777" w:rsidR="00B1670F" w:rsidRDefault="00B23735">
            <w:pPr>
              <w:spacing w:after="0" w:line="240" w:lineRule="auto"/>
              <w:rPr>
                <w:color w:val="auto"/>
              </w:rPr>
            </w:pPr>
            <w:r>
              <w:rPr>
                <w:b/>
                <w:bCs/>
                <w:color w:val="auto"/>
              </w:rPr>
              <w:t>Concept</w:t>
            </w:r>
          </w:p>
        </w:tc>
        <w:tc>
          <w:tcPr>
            <w:tcW w:w="3168"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9E6" w14:textId="77777777" w:rsidR="00B1670F" w:rsidRDefault="00B23735">
            <w:pPr>
              <w:spacing w:after="0" w:line="240" w:lineRule="auto"/>
              <w:rPr>
                <w:color w:val="auto"/>
              </w:rPr>
            </w:pPr>
            <w:r>
              <w:rPr>
                <w:b/>
                <w:bCs/>
                <w:color w:val="auto"/>
              </w:rPr>
              <w:t>Working definition for this report</w:t>
            </w:r>
          </w:p>
        </w:tc>
        <w:tc>
          <w:tcPr>
            <w:tcW w:w="2879"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9E7" w14:textId="77777777" w:rsidR="00B1670F" w:rsidRDefault="00B23735">
            <w:pPr>
              <w:spacing w:after="0" w:line="240" w:lineRule="auto"/>
              <w:rPr>
                <w:color w:val="auto"/>
              </w:rPr>
            </w:pPr>
            <w:r>
              <w:rPr>
                <w:b/>
                <w:bCs/>
                <w:color w:val="auto"/>
              </w:rPr>
              <w:t>How it will be assessed</w:t>
            </w:r>
          </w:p>
        </w:tc>
        <w:tc>
          <w:tcPr>
            <w:tcW w:w="2016"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9E8" w14:textId="77777777" w:rsidR="00B1670F" w:rsidRDefault="00B23735">
            <w:pPr>
              <w:spacing w:after="0" w:line="240" w:lineRule="auto"/>
              <w:rPr>
                <w:color w:val="auto"/>
              </w:rPr>
            </w:pPr>
            <w:r>
              <w:rPr>
                <w:b/>
                <w:bCs/>
                <w:color w:val="auto"/>
              </w:rPr>
              <w:t>Source</w:t>
            </w:r>
          </w:p>
        </w:tc>
      </w:tr>
      <w:tr w:rsidR="00B1670F" w14:paraId="66C5A9EE" w14:textId="77777777">
        <w:trPr>
          <w:jc w:val="center"/>
        </w:trPr>
        <w:tc>
          <w:tcPr>
            <w:tcW w:w="172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EA" w14:textId="77777777" w:rsidR="00B1670F" w:rsidRDefault="00B23735">
            <w:pPr>
              <w:spacing w:after="0" w:line="240" w:lineRule="auto"/>
              <w:rPr>
                <w:color w:val="auto"/>
              </w:rPr>
            </w:pPr>
            <w:r>
              <w:rPr>
                <w:color w:val="auto"/>
              </w:rPr>
              <w:t>Buildability</w:t>
            </w:r>
          </w:p>
        </w:tc>
        <w:tc>
          <w:tcPr>
            <w:tcW w:w="316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EB" w14:textId="77777777" w:rsidR="00B1670F" w:rsidRDefault="00B23735">
            <w:pPr>
              <w:spacing w:after="0" w:line="240" w:lineRule="auto"/>
              <w:rPr>
                <w:color w:val="auto"/>
              </w:rPr>
            </w:pPr>
            <w:r>
              <w:rPr>
                <w:color w:val="auto"/>
              </w:rPr>
              <w:t>The ease, safety, efficiency and reliability with which the proposed building can be constructed within the specific Swansea site context.</w:t>
            </w:r>
          </w:p>
        </w:tc>
        <w:tc>
          <w:tcPr>
            <w:tcW w:w="2879"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EC" w14:textId="77777777" w:rsidR="00B1670F" w:rsidRDefault="00B23735">
            <w:pPr>
              <w:spacing w:after="0" w:line="240" w:lineRule="auto"/>
              <w:rPr>
                <w:color w:val="auto"/>
              </w:rPr>
            </w:pPr>
            <w:r>
              <w:rPr>
                <w:color w:val="auto"/>
              </w:rPr>
              <w:t xml:space="preserve">Assessed through site access, logistics, sequencing, craneage, temporary works, </w:t>
            </w:r>
            <w:proofErr w:type="spellStart"/>
            <w:r>
              <w:rPr>
                <w:color w:val="auto"/>
              </w:rPr>
              <w:t>labour</w:t>
            </w:r>
            <w:proofErr w:type="spellEnd"/>
            <w:r>
              <w:rPr>
                <w:color w:val="auto"/>
              </w:rPr>
              <w:t xml:space="preserve"> intensity, tolerance control, weather sensitivity, fire coordination and interface risk.</w:t>
            </w:r>
          </w:p>
        </w:tc>
        <w:tc>
          <w:tcPr>
            <w:tcW w:w="2016"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ED" w14:textId="77777777" w:rsidR="00B1670F" w:rsidRDefault="00B23735">
            <w:pPr>
              <w:spacing w:after="0" w:line="240" w:lineRule="auto"/>
              <w:rPr>
                <w:color w:val="auto"/>
              </w:rPr>
            </w:pPr>
            <w:r>
              <w:rPr>
                <w:color w:val="auto"/>
              </w:rPr>
              <w:t>Construction logistics guidance, lifting guidance, site constraints, frame/envelope sequencing evidence and construction-phase risk controls (Construction Plant-hire Association, 2025; Transport for London and CLOCS, 2021; Health and Safety Executive, n.d.).</w:t>
            </w:r>
          </w:p>
        </w:tc>
      </w:tr>
      <w:tr w:rsidR="00B1670F" w14:paraId="66C5A9F3" w14:textId="77777777">
        <w:trPr>
          <w:jc w:val="center"/>
        </w:trPr>
        <w:tc>
          <w:tcPr>
            <w:tcW w:w="1728"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9EF" w14:textId="77777777" w:rsidR="00B1670F" w:rsidRDefault="00B23735">
            <w:pPr>
              <w:spacing w:after="0" w:line="240" w:lineRule="auto"/>
              <w:rPr>
                <w:color w:val="auto"/>
              </w:rPr>
            </w:pPr>
            <w:r>
              <w:rPr>
                <w:color w:val="auto"/>
              </w:rPr>
              <w:t>Sustainability</w:t>
            </w:r>
          </w:p>
        </w:tc>
        <w:tc>
          <w:tcPr>
            <w:tcW w:w="3168"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9F0" w14:textId="77777777" w:rsidR="00B1670F" w:rsidRDefault="00B23735">
            <w:pPr>
              <w:spacing w:after="0" w:line="240" w:lineRule="auto"/>
              <w:rPr>
                <w:color w:val="auto"/>
              </w:rPr>
            </w:pPr>
            <w:r>
              <w:rPr>
                <w:color w:val="auto"/>
              </w:rPr>
              <w:t>The environmental, economic and social performance of the building across construction, operation, maintenance and end-of-life stages.</w:t>
            </w:r>
          </w:p>
        </w:tc>
        <w:tc>
          <w:tcPr>
            <w:tcW w:w="2879"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9F1" w14:textId="77777777" w:rsidR="00B1670F" w:rsidRDefault="00B23735">
            <w:pPr>
              <w:spacing w:after="0" w:line="240" w:lineRule="auto"/>
              <w:rPr>
                <w:color w:val="auto"/>
              </w:rPr>
            </w:pPr>
            <w:r>
              <w:rPr>
                <w:color w:val="auto"/>
              </w:rPr>
              <w:t xml:space="preserve">Assessed </w:t>
            </w:r>
            <w:proofErr w:type="gramStart"/>
            <w:r>
              <w:rPr>
                <w:color w:val="auto"/>
              </w:rPr>
              <w:t>through whole-life</w:t>
            </w:r>
            <w:proofErr w:type="gramEnd"/>
            <w:r>
              <w:rPr>
                <w:color w:val="auto"/>
              </w:rPr>
              <w:t xml:space="preserve"> carbon, material efficiency, durability, waste, transport impacts, operational energy, maintenance burden and resilience to coastal exposure.</w:t>
            </w:r>
          </w:p>
        </w:tc>
        <w:tc>
          <w:tcPr>
            <w:tcW w:w="2016"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9F2" w14:textId="77777777" w:rsidR="00B1670F" w:rsidRDefault="00B23735">
            <w:pPr>
              <w:spacing w:after="0" w:line="240" w:lineRule="auto"/>
              <w:rPr>
                <w:color w:val="auto"/>
              </w:rPr>
            </w:pPr>
            <w:r>
              <w:rPr>
                <w:color w:val="auto"/>
              </w:rPr>
              <w:t>Whole-life carbon guidance, Planning Policy Wales, PAS 2080 principles, EPDs, durability standards and waste-reduction guidance (RICS, 2024; Welsh Government, 2024; Institution of Civil Engineers, 2025; Construction Leadership Council, 2020).</w:t>
            </w:r>
          </w:p>
        </w:tc>
      </w:tr>
      <w:tr w:rsidR="00B1670F" w14:paraId="66C5A9F8" w14:textId="77777777">
        <w:trPr>
          <w:jc w:val="center"/>
        </w:trPr>
        <w:tc>
          <w:tcPr>
            <w:tcW w:w="172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F4" w14:textId="77777777" w:rsidR="00B1670F" w:rsidRDefault="00B23735">
            <w:pPr>
              <w:spacing w:after="0" w:line="240" w:lineRule="auto"/>
              <w:rPr>
                <w:color w:val="auto"/>
              </w:rPr>
            </w:pPr>
            <w:r>
              <w:rPr>
                <w:color w:val="auto"/>
              </w:rPr>
              <w:t>Flexibility</w:t>
            </w:r>
          </w:p>
        </w:tc>
        <w:tc>
          <w:tcPr>
            <w:tcW w:w="316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F5" w14:textId="77777777" w:rsidR="00B1670F" w:rsidRDefault="00B23735">
            <w:pPr>
              <w:spacing w:after="0" w:line="240" w:lineRule="auto"/>
              <w:rPr>
                <w:color w:val="auto"/>
              </w:rPr>
            </w:pPr>
            <w:r>
              <w:rPr>
                <w:color w:val="auto"/>
              </w:rPr>
              <w:t>The ability of the building to accommodate future changes in use, layout, services, maintenance access or performance requirements without disproportionate cost, waste or disruption.</w:t>
            </w:r>
          </w:p>
        </w:tc>
        <w:tc>
          <w:tcPr>
            <w:tcW w:w="2879"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F6" w14:textId="77777777" w:rsidR="00B1670F" w:rsidRDefault="00B23735">
            <w:pPr>
              <w:spacing w:after="0" w:line="240" w:lineRule="auto"/>
              <w:rPr>
                <w:color w:val="auto"/>
              </w:rPr>
            </w:pPr>
            <w:r>
              <w:rPr>
                <w:color w:val="auto"/>
              </w:rPr>
              <w:t>Assessed through structural grid regularity, floorplate adaptability, services distribution, façade maintainability, hotel-room repetition, plant replacement routes and capacity for future refurbishment.</w:t>
            </w:r>
          </w:p>
        </w:tc>
        <w:tc>
          <w:tcPr>
            <w:tcW w:w="2016"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9F7" w14:textId="77777777" w:rsidR="00B1670F" w:rsidRDefault="00B23735">
            <w:pPr>
              <w:spacing w:after="0" w:line="240" w:lineRule="auto"/>
              <w:rPr>
                <w:color w:val="auto"/>
              </w:rPr>
            </w:pPr>
            <w:r>
              <w:rPr>
                <w:color w:val="auto"/>
              </w:rPr>
              <w:t>Adaptability guidance, structural grid principles, MMC/modular guidance, maintenance-access planning and service-life considerations (International Organization for Standardization, 2020; SCI, n.d.; UK Government, n.d.; RICS, 2024).</w:t>
            </w:r>
          </w:p>
        </w:tc>
      </w:tr>
    </w:tbl>
    <w:p w14:paraId="66C5A9F9" w14:textId="77777777" w:rsidR="00B1670F" w:rsidRDefault="00B1670F"/>
    <w:p w14:paraId="66C5A9FA" w14:textId="77777777" w:rsidR="00B1670F" w:rsidRDefault="00B23735">
      <w:pPr>
        <w:pStyle w:val="Heading2"/>
      </w:pPr>
      <w:bookmarkStart w:id="12" w:name="_Toc229404617"/>
      <w:bookmarkStart w:id="13" w:name="_Toc229426324"/>
      <w:r>
        <w:lastRenderedPageBreak/>
        <w:t>3.2 Evaluation Criteria</w:t>
      </w:r>
      <w:bookmarkEnd w:id="12"/>
      <w:bookmarkEnd w:id="13"/>
    </w:p>
    <w:p w14:paraId="66C5A9FB" w14:textId="77777777" w:rsidR="00B1670F" w:rsidRDefault="00B23735">
      <w:r>
        <w:t xml:space="preserve">For this report, each criterion is rated </w:t>
      </w:r>
      <w:proofErr w:type="gramStart"/>
      <w:r>
        <w:t>by</w:t>
      </w:r>
      <w:proofErr w:type="gramEnd"/>
      <w:r>
        <w:t xml:space="preserve"> impact: </w:t>
      </w:r>
      <w:r>
        <w:rPr>
          <w:b/>
          <w:bCs/>
        </w:rPr>
        <w:t>High</w:t>
      </w:r>
      <w:r>
        <w:t xml:space="preserve"> where it could significantly affect safety, compliance, </w:t>
      </w:r>
      <w:proofErr w:type="spellStart"/>
      <w:r>
        <w:t>programme</w:t>
      </w:r>
      <w:proofErr w:type="spellEnd"/>
      <w:r>
        <w:t xml:space="preserve">, cost, carbon or long-term performance; </w:t>
      </w:r>
      <w:r>
        <w:rPr>
          <w:b/>
          <w:bCs/>
        </w:rPr>
        <w:t>Medium</w:t>
      </w:r>
      <w:r>
        <w:t xml:space="preserve"> where it affects coordination, efficiency or future performance; and </w:t>
      </w:r>
      <w:r>
        <w:rPr>
          <w:b/>
          <w:bCs/>
        </w:rPr>
        <w:t>Low</w:t>
      </w:r>
      <w:r>
        <w:t xml:space="preserve"> where the effect is limited or easily mitigated.</w:t>
      </w:r>
    </w:p>
    <w:tbl>
      <w:tblPr>
        <w:tblStyle w:val="TableGrid"/>
        <w:tblW w:w="10051" w:type="dxa"/>
        <w:jc w:val="center"/>
        <w:tblLayout w:type="fixed"/>
        <w:tblLook w:val="04A0" w:firstRow="1" w:lastRow="0" w:firstColumn="1" w:lastColumn="0" w:noHBand="0" w:noVBand="1"/>
      </w:tblPr>
      <w:tblGrid>
        <w:gridCol w:w="2011"/>
        <w:gridCol w:w="3731"/>
        <w:gridCol w:w="2584"/>
        <w:gridCol w:w="1725"/>
      </w:tblGrid>
      <w:tr w:rsidR="00B1670F" w14:paraId="66C5AA00" w14:textId="77777777">
        <w:trPr>
          <w:tblHeader/>
          <w:jc w:val="center"/>
        </w:trPr>
        <w:tc>
          <w:tcPr>
            <w:tcW w:w="2010"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9FC" w14:textId="77777777" w:rsidR="00B1670F" w:rsidRDefault="00B23735">
            <w:pPr>
              <w:spacing w:after="0" w:line="240" w:lineRule="auto"/>
              <w:rPr>
                <w:color w:val="auto"/>
              </w:rPr>
            </w:pPr>
            <w:r>
              <w:rPr>
                <w:b/>
                <w:bCs/>
                <w:color w:val="auto"/>
              </w:rPr>
              <w:t>Criterion</w:t>
            </w:r>
          </w:p>
        </w:tc>
        <w:tc>
          <w:tcPr>
            <w:tcW w:w="3731"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9FD" w14:textId="77777777" w:rsidR="00B1670F" w:rsidRDefault="00B23735">
            <w:pPr>
              <w:spacing w:after="0" w:line="240" w:lineRule="auto"/>
              <w:rPr>
                <w:color w:val="auto"/>
              </w:rPr>
            </w:pPr>
            <w:r>
              <w:rPr>
                <w:b/>
                <w:bCs/>
                <w:color w:val="auto"/>
              </w:rPr>
              <w:t>Questions to ask</w:t>
            </w:r>
          </w:p>
        </w:tc>
        <w:tc>
          <w:tcPr>
            <w:tcW w:w="2584"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9FE" w14:textId="77777777" w:rsidR="00B1670F" w:rsidRDefault="00B23735">
            <w:pPr>
              <w:spacing w:after="0" w:line="240" w:lineRule="auto"/>
              <w:rPr>
                <w:color w:val="auto"/>
              </w:rPr>
            </w:pPr>
            <w:r>
              <w:rPr>
                <w:b/>
                <w:bCs/>
                <w:color w:val="auto"/>
              </w:rPr>
              <w:t>Source</w:t>
            </w:r>
          </w:p>
        </w:tc>
        <w:tc>
          <w:tcPr>
            <w:tcW w:w="1725"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9FF" w14:textId="77777777" w:rsidR="00B1670F" w:rsidRDefault="00B23735">
            <w:pPr>
              <w:spacing w:after="0" w:line="240" w:lineRule="auto"/>
              <w:rPr>
                <w:color w:val="auto"/>
              </w:rPr>
            </w:pPr>
            <w:r>
              <w:rPr>
                <w:b/>
                <w:bCs/>
                <w:color w:val="auto"/>
              </w:rPr>
              <w:t>Impact rating: Low/Med/High</w:t>
            </w:r>
          </w:p>
        </w:tc>
      </w:tr>
      <w:tr w:rsidR="00B1670F" w14:paraId="66C5AA05" w14:textId="77777777">
        <w:trPr>
          <w:jc w:val="center"/>
        </w:trPr>
        <w:tc>
          <w:tcPr>
            <w:tcW w:w="2010"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01" w14:textId="77777777" w:rsidR="00B1670F" w:rsidRDefault="00B23735">
            <w:pPr>
              <w:spacing w:after="0" w:line="240" w:lineRule="auto"/>
              <w:rPr>
                <w:color w:val="auto"/>
              </w:rPr>
            </w:pPr>
            <w:r>
              <w:rPr>
                <w:color w:val="auto"/>
              </w:rPr>
              <w:t>Site logistics and construction access</w:t>
            </w:r>
          </w:p>
        </w:tc>
        <w:tc>
          <w:tcPr>
            <w:tcW w:w="3731"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02" w14:textId="77777777" w:rsidR="00B1670F" w:rsidRDefault="00B23735">
            <w:pPr>
              <w:spacing w:after="0" w:line="240" w:lineRule="auto"/>
              <w:rPr>
                <w:color w:val="auto"/>
              </w:rPr>
            </w:pPr>
            <w:r>
              <w:rPr>
                <w:color w:val="auto"/>
              </w:rPr>
              <w:t>Can materials, plant, operatives and deliveries be managed without disrupting the hospital, road network or emergency access? Are abnormal loads or off-site holding areas required?</w:t>
            </w:r>
          </w:p>
        </w:tc>
        <w:tc>
          <w:tcPr>
            <w:tcW w:w="2584"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03" w14:textId="77777777" w:rsidR="00B1670F" w:rsidRDefault="00B23735">
            <w:pPr>
              <w:spacing w:after="0" w:line="240" w:lineRule="auto"/>
              <w:rPr>
                <w:color w:val="auto"/>
              </w:rPr>
            </w:pPr>
            <w:r>
              <w:rPr>
                <w:color w:val="auto"/>
              </w:rPr>
              <w:t xml:space="preserve">Construction logistics plan, delivery route review, abnormal-load checks, site access drawings, </w:t>
            </w:r>
            <w:proofErr w:type="spellStart"/>
            <w:r>
              <w:rPr>
                <w:color w:val="auto"/>
              </w:rPr>
              <w:t>neighbour</w:t>
            </w:r>
            <w:proofErr w:type="spellEnd"/>
            <w:r>
              <w:rPr>
                <w:color w:val="auto"/>
              </w:rPr>
              <w:t xml:space="preserve"> constraints and traffic-management proposals (Transport for London and CLOCS, 2021; National Highways, n.d.).</w:t>
            </w:r>
          </w:p>
        </w:tc>
        <w:tc>
          <w:tcPr>
            <w:tcW w:w="1725"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04" w14:textId="77777777" w:rsidR="00B1670F" w:rsidRDefault="00B23735">
            <w:pPr>
              <w:spacing w:after="0" w:line="240" w:lineRule="auto"/>
              <w:rPr>
                <w:color w:val="auto"/>
              </w:rPr>
            </w:pPr>
            <w:r>
              <w:rPr>
                <w:color w:val="auto"/>
              </w:rPr>
              <w:t>High</w:t>
            </w:r>
          </w:p>
        </w:tc>
      </w:tr>
      <w:tr w:rsidR="00B1670F" w14:paraId="66C5AA0A" w14:textId="77777777">
        <w:trPr>
          <w:jc w:val="center"/>
        </w:trPr>
        <w:tc>
          <w:tcPr>
            <w:tcW w:w="2010"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06" w14:textId="77777777" w:rsidR="00B1670F" w:rsidRDefault="00B23735">
            <w:pPr>
              <w:spacing w:after="0" w:line="240" w:lineRule="auto"/>
              <w:rPr>
                <w:color w:val="auto"/>
              </w:rPr>
            </w:pPr>
            <w:r>
              <w:rPr>
                <w:color w:val="auto"/>
              </w:rPr>
              <w:t>Structural frame buildability</w:t>
            </w:r>
          </w:p>
        </w:tc>
        <w:tc>
          <w:tcPr>
            <w:tcW w:w="3731"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07" w14:textId="77777777" w:rsidR="00B1670F" w:rsidRDefault="00B23735">
            <w:pPr>
              <w:spacing w:after="0" w:line="240" w:lineRule="auto"/>
              <w:rPr>
                <w:color w:val="auto"/>
              </w:rPr>
            </w:pPr>
            <w:r>
              <w:rPr>
                <w:color w:val="auto"/>
              </w:rPr>
              <w:t>Does the steel composite frame with RC core provide a practical balance between speed, stability, fire protection, tolerance control and floorplate repetition?</w:t>
            </w:r>
          </w:p>
        </w:tc>
        <w:tc>
          <w:tcPr>
            <w:tcW w:w="2584"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08" w14:textId="77777777" w:rsidR="00B1670F" w:rsidRDefault="00B23735">
            <w:pPr>
              <w:spacing w:after="0" w:line="240" w:lineRule="auto"/>
              <w:rPr>
                <w:color w:val="auto"/>
              </w:rPr>
            </w:pPr>
            <w:r>
              <w:rPr>
                <w:color w:val="auto"/>
              </w:rPr>
              <w:t xml:space="preserve">Frame option appraisal, stability strategy, lifting plan, fire-protection strategy, erection sequence and </w:t>
            </w:r>
            <w:proofErr w:type="spellStart"/>
            <w:r>
              <w:rPr>
                <w:color w:val="auto"/>
              </w:rPr>
              <w:t>programme</w:t>
            </w:r>
            <w:proofErr w:type="spellEnd"/>
            <w:r>
              <w:rPr>
                <w:color w:val="auto"/>
              </w:rPr>
              <w:t xml:space="preserve"> comparison (British Standards Institution, 2010; SteelConstruction.info, n.d.; Construction Plant-hire Association, 2025).</w:t>
            </w:r>
          </w:p>
        </w:tc>
        <w:tc>
          <w:tcPr>
            <w:tcW w:w="1725"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09" w14:textId="77777777" w:rsidR="00B1670F" w:rsidRDefault="00B23735">
            <w:pPr>
              <w:spacing w:after="0" w:line="240" w:lineRule="auto"/>
              <w:rPr>
                <w:color w:val="auto"/>
              </w:rPr>
            </w:pPr>
            <w:r>
              <w:rPr>
                <w:color w:val="auto"/>
              </w:rPr>
              <w:t>High</w:t>
            </w:r>
          </w:p>
        </w:tc>
      </w:tr>
      <w:tr w:rsidR="00B1670F" w14:paraId="66C5AA0F" w14:textId="77777777">
        <w:trPr>
          <w:jc w:val="center"/>
        </w:trPr>
        <w:tc>
          <w:tcPr>
            <w:tcW w:w="2010"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0B" w14:textId="77777777" w:rsidR="00B1670F" w:rsidRDefault="00B23735">
            <w:pPr>
              <w:spacing w:after="0" w:line="240" w:lineRule="auto"/>
              <w:rPr>
                <w:color w:val="auto"/>
              </w:rPr>
            </w:pPr>
            <w:r>
              <w:rPr>
                <w:color w:val="auto"/>
              </w:rPr>
              <w:t>Ground and foundation risk</w:t>
            </w:r>
          </w:p>
        </w:tc>
        <w:tc>
          <w:tcPr>
            <w:tcW w:w="3731"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0C" w14:textId="77777777" w:rsidR="00B1670F" w:rsidRDefault="00B23735">
            <w:pPr>
              <w:spacing w:after="0" w:line="240" w:lineRule="auto"/>
              <w:rPr>
                <w:color w:val="auto"/>
              </w:rPr>
            </w:pPr>
            <w:r>
              <w:rPr>
                <w:color w:val="auto"/>
              </w:rPr>
              <w:t>Is full piling justified by site-specific GI, or could shallow foundations, a raft, a piled raft or ground improvement provide adequate performance with lower carbon and reduced construction risk?</w:t>
            </w:r>
          </w:p>
        </w:tc>
        <w:tc>
          <w:tcPr>
            <w:tcW w:w="2584"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0D" w14:textId="77777777" w:rsidR="00B1670F" w:rsidRDefault="00B23735">
            <w:pPr>
              <w:spacing w:after="0" w:line="240" w:lineRule="auto"/>
              <w:rPr>
                <w:color w:val="auto"/>
              </w:rPr>
            </w:pPr>
            <w:r>
              <w:rPr>
                <w:color w:val="auto"/>
              </w:rPr>
              <w:t>Ground investigation, BGS data, groundwater monitoring, contamination/aggressive ground testing, utility proving and foundation option appraisal (British Geological Survey, n.d.; British Standards Institution, 2020; BRE, 2005; British Standards Institution, 2023).</w:t>
            </w:r>
          </w:p>
        </w:tc>
        <w:tc>
          <w:tcPr>
            <w:tcW w:w="1725"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0E" w14:textId="77777777" w:rsidR="00B1670F" w:rsidRDefault="00B23735">
            <w:pPr>
              <w:spacing w:after="0" w:line="240" w:lineRule="auto"/>
              <w:rPr>
                <w:color w:val="auto"/>
              </w:rPr>
            </w:pPr>
            <w:r>
              <w:rPr>
                <w:color w:val="auto"/>
              </w:rPr>
              <w:t>High</w:t>
            </w:r>
          </w:p>
        </w:tc>
      </w:tr>
      <w:tr w:rsidR="00B1670F" w14:paraId="66C5AA14" w14:textId="77777777">
        <w:trPr>
          <w:jc w:val="center"/>
        </w:trPr>
        <w:tc>
          <w:tcPr>
            <w:tcW w:w="2010"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10" w14:textId="77777777" w:rsidR="00B1670F" w:rsidRDefault="00B23735">
            <w:pPr>
              <w:spacing w:after="0" w:line="240" w:lineRule="auto"/>
              <w:rPr>
                <w:color w:val="auto"/>
              </w:rPr>
            </w:pPr>
            <w:r>
              <w:rPr>
                <w:color w:val="auto"/>
              </w:rPr>
              <w:t>Envelope performance and installation risk</w:t>
            </w:r>
          </w:p>
        </w:tc>
        <w:tc>
          <w:tcPr>
            <w:tcW w:w="3731"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11" w14:textId="77777777" w:rsidR="00B1670F" w:rsidRDefault="00B23735">
            <w:pPr>
              <w:spacing w:after="0" w:line="240" w:lineRule="auto"/>
              <w:rPr>
                <w:color w:val="auto"/>
              </w:rPr>
            </w:pPr>
            <w:r>
              <w:rPr>
                <w:color w:val="auto"/>
              </w:rPr>
              <w:t>Can the masonry cavity wall resist very severe wind-driven rain, marine exposure and fire-safety requirements while remaining buildable?</w:t>
            </w:r>
          </w:p>
        </w:tc>
        <w:tc>
          <w:tcPr>
            <w:tcW w:w="2584"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12" w14:textId="77777777" w:rsidR="00B1670F" w:rsidRDefault="00B23735">
            <w:pPr>
              <w:spacing w:after="0" w:line="240" w:lineRule="auto"/>
              <w:rPr>
                <w:color w:val="auto"/>
              </w:rPr>
            </w:pPr>
            <w:r>
              <w:rPr>
                <w:color w:val="auto"/>
              </w:rPr>
              <w:t>Façade detailing, cavity barrier strategy, wall-tie specification, sample panel, inspection hold points, WDR exposure evidence and corrosion guidance (British Standards Institution, n.d.; Welsh Government, 2025b; Welsh Government, 2025d; International Organization for Standardization, 2017).</w:t>
            </w:r>
          </w:p>
        </w:tc>
        <w:tc>
          <w:tcPr>
            <w:tcW w:w="1725"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13" w14:textId="77777777" w:rsidR="00B1670F" w:rsidRDefault="00B23735">
            <w:pPr>
              <w:spacing w:after="0" w:line="240" w:lineRule="auto"/>
              <w:rPr>
                <w:color w:val="auto"/>
              </w:rPr>
            </w:pPr>
            <w:r>
              <w:rPr>
                <w:color w:val="auto"/>
              </w:rPr>
              <w:t>High</w:t>
            </w:r>
          </w:p>
        </w:tc>
      </w:tr>
      <w:tr w:rsidR="00B1670F" w14:paraId="66C5AA19" w14:textId="77777777">
        <w:trPr>
          <w:jc w:val="center"/>
        </w:trPr>
        <w:tc>
          <w:tcPr>
            <w:tcW w:w="2010"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15" w14:textId="77777777" w:rsidR="00B1670F" w:rsidRDefault="00B23735">
            <w:pPr>
              <w:spacing w:after="0" w:line="240" w:lineRule="auto"/>
              <w:rPr>
                <w:color w:val="auto"/>
              </w:rPr>
            </w:pPr>
            <w:r>
              <w:rPr>
                <w:color w:val="auto"/>
              </w:rPr>
              <w:t>Fire safety and compliance</w:t>
            </w:r>
          </w:p>
        </w:tc>
        <w:tc>
          <w:tcPr>
            <w:tcW w:w="3731"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16" w14:textId="77777777" w:rsidR="00B1670F" w:rsidRDefault="00B23735">
            <w:pPr>
              <w:spacing w:after="0" w:line="240" w:lineRule="auto"/>
              <w:rPr>
                <w:color w:val="auto"/>
              </w:rPr>
            </w:pPr>
            <w:r>
              <w:rPr>
                <w:color w:val="auto"/>
              </w:rPr>
              <w:t xml:space="preserve">Does the selected structure, core, façade and construction method </w:t>
            </w:r>
            <w:r>
              <w:rPr>
                <w:color w:val="auto"/>
              </w:rPr>
              <w:lastRenderedPageBreak/>
              <w:t>support a clear fire strategy for a sleeping-risk hotel?</w:t>
            </w:r>
          </w:p>
        </w:tc>
        <w:tc>
          <w:tcPr>
            <w:tcW w:w="2584"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17" w14:textId="77777777" w:rsidR="00B1670F" w:rsidRDefault="00B23735">
            <w:pPr>
              <w:spacing w:after="0" w:line="240" w:lineRule="auto"/>
              <w:rPr>
                <w:color w:val="auto"/>
              </w:rPr>
            </w:pPr>
            <w:r>
              <w:rPr>
                <w:color w:val="auto"/>
              </w:rPr>
              <w:lastRenderedPageBreak/>
              <w:t xml:space="preserve">Approved Document B review, fire strategy, </w:t>
            </w:r>
            <w:r>
              <w:rPr>
                <w:color w:val="auto"/>
              </w:rPr>
              <w:lastRenderedPageBreak/>
              <w:t>compartmentation drawings, protected core/stair strategy, fire stopping inspections and temporary fire controls (Welsh Government, 2021; Welsh Government, 2025d; Health and Safety Executive, n.d.).</w:t>
            </w:r>
          </w:p>
        </w:tc>
        <w:tc>
          <w:tcPr>
            <w:tcW w:w="1725"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18" w14:textId="77777777" w:rsidR="00B1670F" w:rsidRDefault="00B23735">
            <w:pPr>
              <w:spacing w:after="0" w:line="240" w:lineRule="auto"/>
              <w:rPr>
                <w:color w:val="auto"/>
              </w:rPr>
            </w:pPr>
            <w:r>
              <w:rPr>
                <w:color w:val="auto"/>
              </w:rPr>
              <w:lastRenderedPageBreak/>
              <w:t>High</w:t>
            </w:r>
          </w:p>
        </w:tc>
      </w:tr>
      <w:tr w:rsidR="00B1670F" w14:paraId="66C5AA1E" w14:textId="77777777">
        <w:trPr>
          <w:jc w:val="center"/>
        </w:trPr>
        <w:tc>
          <w:tcPr>
            <w:tcW w:w="2010"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1A" w14:textId="77777777" w:rsidR="00B1670F" w:rsidRDefault="00B23735">
            <w:pPr>
              <w:spacing w:after="0" w:line="240" w:lineRule="auto"/>
              <w:rPr>
                <w:color w:val="auto"/>
              </w:rPr>
            </w:pPr>
            <w:r>
              <w:rPr>
                <w:color w:val="auto"/>
              </w:rPr>
              <w:t>Whole-life carbon and resource efficiency</w:t>
            </w:r>
          </w:p>
        </w:tc>
        <w:tc>
          <w:tcPr>
            <w:tcW w:w="3731"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1B" w14:textId="77777777" w:rsidR="00B1670F" w:rsidRDefault="00B23735">
            <w:pPr>
              <w:spacing w:after="0" w:line="240" w:lineRule="auto"/>
              <w:rPr>
                <w:color w:val="auto"/>
              </w:rPr>
            </w:pPr>
            <w:r>
              <w:rPr>
                <w:color w:val="auto"/>
              </w:rPr>
              <w:t>Are the structural frame, foundations, envelope and MMC strategy efficient in embodied carbon, waste, transport and replacement cycles?</w:t>
            </w:r>
          </w:p>
        </w:tc>
        <w:tc>
          <w:tcPr>
            <w:tcW w:w="2584"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1C" w14:textId="77777777" w:rsidR="00B1670F" w:rsidRDefault="00B23735">
            <w:pPr>
              <w:spacing w:after="0" w:line="240" w:lineRule="auto"/>
              <w:rPr>
                <w:color w:val="auto"/>
              </w:rPr>
            </w:pPr>
            <w:r>
              <w:rPr>
                <w:color w:val="auto"/>
              </w:rPr>
              <w:t>Whole-life carbon screening, EPDs, material quantities, waste strategy, procurement data and durability assessment (RICS, 2024; Institution of Structural Engineers, 2020; Construction Leadership Council, 2020).</w:t>
            </w:r>
          </w:p>
        </w:tc>
        <w:tc>
          <w:tcPr>
            <w:tcW w:w="1725"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1D" w14:textId="77777777" w:rsidR="00B1670F" w:rsidRDefault="00B23735">
            <w:pPr>
              <w:spacing w:after="0" w:line="240" w:lineRule="auto"/>
              <w:rPr>
                <w:color w:val="auto"/>
              </w:rPr>
            </w:pPr>
            <w:r>
              <w:rPr>
                <w:color w:val="auto"/>
              </w:rPr>
              <w:t>High</w:t>
            </w:r>
          </w:p>
        </w:tc>
      </w:tr>
      <w:tr w:rsidR="00B1670F" w14:paraId="66C5AA23" w14:textId="77777777">
        <w:trPr>
          <w:jc w:val="center"/>
        </w:trPr>
        <w:tc>
          <w:tcPr>
            <w:tcW w:w="2010"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1F" w14:textId="77777777" w:rsidR="00B1670F" w:rsidRDefault="00B23735">
            <w:pPr>
              <w:spacing w:after="0" w:line="240" w:lineRule="auto"/>
              <w:rPr>
                <w:color w:val="auto"/>
              </w:rPr>
            </w:pPr>
            <w:r>
              <w:rPr>
                <w:color w:val="auto"/>
              </w:rPr>
              <w:t>Flexibility, adaptability and maintainability</w:t>
            </w:r>
          </w:p>
        </w:tc>
        <w:tc>
          <w:tcPr>
            <w:tcW w:w="3731"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20" w14:textId="77777777" w:rsidR="00B1670F" w:rsidRDefault="00B23735">
            <w:pPr>
              <w:spacing w:after="0" w:line="240" w:lineRule="auto"/>
              <w:rPr>
                <w:color w:val="auto"/>
              </w:rPr>
            </w:pPr>
            <w:r>
              <w:rPr>
                <w:color w:val="auto"/>
              </w:rPr>
              <w:t>Can the hotel accommodate future layout changes, services replacement, façade maintenance and performance upgrades without major disruption?</w:t>
            </w:r>
          </w:p>
        </w:tc>
        <w:tc>
          <w:tcPr>
            <w:tcW w:w="2584"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21" w14:textId="77777777" w:rsidR="00B1670F" w:rsidRDefault="00B23735">
            <w:pPr>
              <w:spacing w:after="0" w:line="240" w:lineRule="auto"/>
              <w:rPr>
                <w:color w:val="auto"/>
              </w:rPr>
            </w:pPr>
            <w:r>
              <w:rPr>
                <w:color w:val="auto"/>
              </w:rPr>
              <w:t>Structural grid review, servicing strategy, plant replacement routes, façade access strategy, modular room/pod assessment and maintenance plan (International Organization for Standardization, 2020; SCI, n.d.; UK Government, n.d.).</w:t>
            </w:r>
          </w:p>
        </w:tc>
        <w:tc>
          <w:tcPr>
            <w:tcW w:w="1725"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22" w14:textId="77777777" w:rsidR="00B1670F" w:rsidRDefault="00B23735">
            <w:pPr>
              <w:spacing w:after="0" w:line="240" w:lineRule="auto"/>
              <w:rPr>
                <w:color w:val="auto"/>
              </w:rPr>
            </w:pPr>
            <w:r>
              <w:rPr>
                <w:color w:val="auto"/>
              </w:rPr>
              <w:t>Medium</w:t>
            </w:r>
          </w:p>
        </w:tc>
      </w:tr>
    </w:tbl>
    <w:p w14:paraId="66C5AA24" w14:textId="77777777" w:rsidR="00B1670F" w:rsidRDefault="00B1670F"/>
    <w:p w14:paraId="66C5AA25" w14:textId="77777777" w:rsidR="00B1670F" w:rsidRDefault="00B23735">
      <w:pPr>
        <w:pStyle w:val="Heading1"/>
        <w:spacing w:before="0"/>
      </w:pPr>
      <w:bookmarkStart w:id="14" w:name="_Toc229404618"/>
      <w:bookmarkStart w:id="15" w:name="_Toc229426325"/>
      <w:r>
        <w:t>4. Buildability Analysis</w:t>
      </w:r>
      <w:bookmarkEnd w:id="14"/>
      <w:bookmarkEnd w:id="15"/>
    </w:p>
    <w:p w14:paraId="66C5AA26" w14:textId="77777777" w:rsidR="00B1670F" w:rsidRDefault="00B23735">
      <w:pPr>
        <w:rPr>
          <w:sz w:val="18"/>
          <w:szCs w:val="18"/>
        </w:rPr>
      </w:pPr>
      <w:r>
        <w:rPr>
          <w:sz w:val="20"/>
          <w:szCs w:val="20"/>
        </w:rPr>
        <w:t xml:space="preserve">This section evaluates whether the AS1 proposal is practical to construct. The assessment focuses on logistics, sequencing, plant, </w:t>
      </w:r>
      <w:proofErr w:type="spellStart"/>
      <w:r>
        <w:rPr>
          <w:sz w:val="20"/>
          <w:szCs w:val="20"/>
        </w:rPr>
        <w:t>labour</w:t>
      </w:r>
      <w:proofErr w:type="spellEnd"/>
      <w:r>
        <w:rPr>
          <w:sz w:val="20"/>
          <w:szCs w:val="20"/>
        </w:rPr>
        <w:t xml:space="preserve">, temporary </w:t>
      </w:r>
      <w:proofErr w:type="gramStart"/>
      <w:r>
        <w:rPr>
          <w:sz w:val="20"/>
          <w:szCs w:val="20"/>
        </w:rPr>
        <w:t>works</w:t>
      </w:r>
      <w:proofErr w:type="gramEnd"/>
      <w:r>
        <w:rPr>
          <w:sz w:val="20"/>
          <w:szCs w:val="20"/>
        </w:rPr>
        <w:t xml:space="preserve">, health and safety, quality and </w:t>
      </w:r>
      <w:proofErr w:type="spellStart"/>
      <w:r>
        <w:rPr>
          <w:sz w:val="20"/>
          <w:szCs w:val="20"/>
        </w:rPr>
        <w:t>programme</w:t>
      </w:r>
      <w:proofErr w:type="spellEnd"/>
      <w:r>
        <w:rPr>
          <w:sz w:val="20"/>
          <w:szCs w:val="20"/>
        </w:rPr>
        <w:t xml:space="preserve"> risk. The AS1 design is based on an 8–12 </w:t>
      </w:r>
      <w:proofErr w:type="spellStart"/>
      <w:r>
        <w:rPr>
          <w:sz w:val="20"/>
          <w:szCs w:val="20"/>
        </w:rPr>
        <w:t>storey</w:t>
      </w:r>
      <w:proofErr w:type="spellEnd"/>
      <w:r>
        <w:rPr>
          <w:sz w:val="20"/>
          <w:szCs w:val="20"/>
        </w:rPr>
        <w:t xml:space="preserve"> hotel near Singleton Hospital, with a steel composite frame, reinforced concrete core, provisional substructure strategy, masonry cavity wall envelope and hybrid </w:t>
      </w:r>
      <w:proofErr w:type="spellStart"/>
      <w:r>
        <w:rPr>
          <w:sz w:val="20"/>
          <w:szCs w:val="20"/>
        </w:rPr>
        <w:t>DfMA</w:t>
      </w:r>
      <w:proofErr w:type="spellEnd"/>
      <w:r>
        <w:rPr>
          <w:sz w:val="20"/>
          <w:szCs w:val="20"/>
        </w:rPr>
        <w:t>/MMC strategy. The assessment specification requires practical application and critical evaluation of construction forms for medium/high-rise buildings, so this section tests the proposal against site and construction constraints rather than restating the design.</w:t>
      </w:r>
    </w:p>
    <w:p w14:paraId="66C5AA27" w14:textId="77777777" w:rsidR="00B1670F" w:rsidRDefault="00B23735">
      <w:pPr>
        <w:pStyle w:val="Heading2"/>
      </w:pPr>
      <w:bookmarkStart w:id="16" w:name="_Toc229404619"/>
      <w:bookmarkStart w:id="17" w:name="_Toc229426326"/>
      <w:r>
        <w:t>4.1 Site Logistics and Access</w:t>
      </w:r>
      <w:bookmarkEnd w:id="16"/>
      <w:bookmarkEnd w:id="17"/>
    </w:p>
    <w:p w14:paraId="66C5AA28" w14:textId="77777777" w:rsidR="00B1670F" w:rsidRDefault="00B23735">
      <w:pPr>
        <w:pStyle w:val="Placeholder"/>
        <w:rPr>
          <w:i w:val="0"/>
          <w:iCs/>
          <w:color w:val="auto"/>
        </w:rPr>
      </w:pPr>
      <w:r>
        <w:rPr>
          <w:i w:val="0"/>
          <w:iCs/>
          <w:color w:val="auto"/>
        </w:rPr>
        <w:t>The site context creates a high-risk logistics environment because it is close to Singleton Hospital, the Mumbles Road corridor and university/</w:t>
      </w:r>
      <w:proofErr w:type="gramStart"/>
      <w:r>
        <w:rPr>
          <w:i w:val="0"/>
          <w:iCs/>
          <w:color w:val="auto"/>
        </w:rPr>
        <w:t>open-space</w:t>
      </w:r>
      <w:proofErr w:type="gramEnd"/>
      <w:r>
        <w:rPr>
          <w:i w:val="0"/>
          <w:iCs/>
          <w:color w:val="auto"/>
        </w:rPr>
        <w:t xml:space="preserve"> uses. The site should be treated as a live institutional frontage rather than a conventional construction plot, because construction traffic would interact with hospital users, university movement, bus-served frontage and constrained Mumbles Road access. AS1 already identifies limited tolerance for queuing, unmanaged deliveries and disruption to emergency or strategic routes. This makes a formal Construction Logistics Plan essential, with timed deliveries, off-site holding, banksmen, segregated pedestrian routes, off-corridor call-forward arrangements and no highway waiting (Swansea Bay University Health Board, n.d.; Swansea University, n.d.; Transport for London and CLOCS, 2021).</w:t>
      </w:r>
    </w:p>
    <w:p w14:paraId="66C5AA29" w14:textId="77777777" w:rsidR="00B1670F" w:rsidRDefault="00B23735">
      <w:pPr>
        <w:pStyle w:val="Placeholder"/>
        <w:rPr>
          <w:i w:val="0"/>
          <w:iCs/>
          <w:color w:val="auto"/>
        </w:rPr>
      </w:pPr>
      <w:r>
        <w:rPr>
          <w:i w:val="0"/>
          <w:iCs/>
          <w:color w:val="auto"/>
        </w:rPr>
        <w:lastRenderedPageBreak/>
        <w:t xml:space="preserve">The construction method increases logistics pressure. If piles are confirmed by GI, the substructure will need rig access, working-platform control, spoil removal and concrete deliveries; if a raft or ground-improved shallow solution is viable, excavation, groundwater and material handling will still need careful coordination. The RC core needs reinforcement, formwork and pumping; the steel frame needs craneage and sequenced deliveries; and the masonry envelope needs scaffold or mast-climber access. A tower crane is likely to be required, but crane position must consider oversailing, hospital operations, wind limits and possible aviation safeguarding. </w:t>
      </w:r>
      <w:proofErr w:type="gramStart"/>
      <w:r>
        <w:rPr>
          <w:i w:val="0"/>
          <w:iCs/>
          <w:color w:val="auto"/>
        </w:rPr>
        <w:t>Large prefabricated</w:t>
      </w:r>
      <w:proofErr w:type="gramEnd"/>
      <w:r>
        <w:rPr>
          <w:i w:val="0"/>
          <w:iCs/>
          <w:color w:val="auto"/>
        </w:rPr>
        <w:t xml:space="preserve"> components should be limited unless transport routes, abnormal-load controls and lifting windows are proven (National Highways, n.d.; Construction Plant-hire Association, 2025).</w:t>
      </w:r>
    </w:p>
    <w:p w14:paraId="66C5AA2A" w14:textId="77777777" w:rsidR="00B1670F" w:rsidRDefault="00B23735">
      <w:pPr>
        <w:pStyle w:val="Heading2"/>
      </w:pPr>
      <w:bookmarkStart w:id="18" w:name="_Toc229404620"/>
      <w:bookmarkStart w:id="19" w:name="_Toc229426327"/>
      <w:r>
        <w:t>4.2 Construction Sequence and Method</w:t>
      </w:r>
      <w:bookmarkEnd w:id="18"/>
      <w:bookmarkEnd w:id="19"/>
    </w:p>
    <w:p w14:paraId="66C5AA2B" w14:textId="77777777" w:rsidR="00B1670F" w:rsidRDefault="00B23735">
      <w:pPr>
        <w:pStyle w:val="Placeholder"/>
        <w:rPr>
          <w:i w:val="0"/>
          <w:iCs/>
          <w:color w:val="auto"/>
        </w:rPr>
      </w:pPr>
      <w:r>
        <w:rPr>
          <w:i w:val="0"/>
          <w:iCs/>
          <w:color w:val="auto"/>
        </w:rPr>
        <w:t xml:space="preserve">The likely sequence is enabling works, GI-confirmed substructure, RC core, steel frame, composite floors, envelope, MEP, fit-out and commissioning. This sequence is logical because the RC core can provide stability while the steel frame follows in repeated floor cycles. The </w:t>
      </w:r>
      <w:proofErr w:type="gramStart"/>
      <w:r>
        <w:rPr>
          <w:i w:val="0"/>
          <w:iCs/>
          <w:color w:val="auto"/>
        </w:rPr>
        <w:t>hotel</w:t>
      </w:r>
      <w:proofErr w:type="gramEnd"/>
      <w:r>
        <w:rPr>
          <w:i w:val="0"/>
          <w:iCs/>
          <w:color w:val="auto"/>
        </w:rPr>
        <w:t xml:space="preserve"> </w:t>
      </w:r>
      <w:proofErr w:type="gramStart"/>
      <w:r>
        <w:rPr>
          <w:i w:val="0"/>
          <w:iCs/>
          <w:color w:val="auto"/>
        </w:rPr>
        <w:t>use</w:t>
      </w:r>
      <w:proofErr w:type="gramEnd"/>
      <w:r>
        <w:rPr>
          <w:i w:val="0"/>
          <w:iCs/>
          <w:color w:val="auto"/>
        </w:rPr>
        <w:t xml:space="preserve"> also supports repetition through </w:t>
      </w:r>
      <w:proofErr w:type="spellStart"/>
      <w:r>
        <w:rPr>
          <w:i w:val="0"/>
          <w:iCs/>
          <w:color w:val="auto"/>
        </w:rPr>
        <w:t>standardised</w:t>
      </w:r>
      <w:proofErr w:type="spellEnd"/>
      <w:r>
        <w:rPr>
          <w:i w:val="0"/>
          <w:iCs/>
          <w:color w:val="auto"/>
        </w:rPr>
        <w:t xml:space="preserve"> rooms, risers and MEP layouts. If piles are confirmed, the </w:t>
      </w:r>
      <w:proofErr w:type="spellStart"/>
      <w:r>
        <w:rPr>
          <w:i w:val="0"/>
          <w:iCs/>
          <w:color w:val="auto"/>
        </w:rPr>
        <w:t>programme</w:t>
      </w:r>
      <w:proofErr w:type="spellEnd"/>
      <w:r>
        <w:rPr>
          <w:i w:val="0"/>
          <w:iCs/>
          <w:color w:val="auto"/>
        </w:rPr>
        <w:t xml:space="preserve"> must include piling mat design, obstruction probing, spoil classification and noise/vibration controls; if a shallow or raft option is viable, the emphasis shifts toward excavation control, bearing verification and groundwater management.</w:t>
      </w:r>
    </w:p>
    <w:p w14:paraId="66C5AA2C" w14:textId="77777777" w:rsidR="00B1670F" w:rsidRDefault="00B23735">
      <w:pPr>
        <w:pStyle w:val="Placeholder"/>
        <w:rPr>
          <w:i w:val="0"/>
          <w:iCs/>
          <w:color w:val="auto"/>
        </w:rPr>
      </w:pPr>
      <w:r>
        <w:rPr>
          <w:i w:val="0"/>
          <w:iCs/>
          <w:color w:val="auto"/>
        </w:rPr>
        <w:t xml:space="preserve">The main buildability weakness is interface risk. Core-to-steel connections require accurate cast-in plates and tolerance, while steel-to-façade interfaces must allow movement, deflection, cavity barriers and weathering. MEP penetrations must be coordinated before fabrication to avoid cutting, delay and fire-stopping defects. The </w:t>
      </w:r>
      <w:proofErr w:type="spellStart"/>
      <w:r>
        <w:rPr>
          <w:i w:val="0"/>
          <w:iCs/>
          <w:color w:val="auto"/>
        </w:rPr>
        <w:t>programme</w:t>
      </w:r>
      <w:proofErr w:type="spellEnd"/>
      <w:r>
        <w:rPr>
          <w:i w:val="0"/>
          <w:iCs/>
          <w:color w:val="auto"/>
        </w:rPr>
        <w:t xml:space="preserve"> risk is therefore concentrated </w:t>
      </w:r>
      <w:proofErr w:type="gramStart"/>
      <w:r>
        <w:rPr>
          <w:i w:val="0"/>
          <w:iCs/>
          <w:color w:val="auto"/>
        </w:rPr>
        <w:t>at</w:t>
      </w:r>
      <w:proofErr w:type="gramEnd"/>
      <w:r>
        <w:rPr>
          <w:i w:val="0"/>
          <w:iCs/>
          <w:color w:val="auto"/>
        </w:rPr>
        <w:t xml:space="preserve"> GI/substructure confirmation, core construction, wind-sensitive steel erection and envelope closure. Early contractor input, sample bays, coordinated BIM/service zones and clear inspection hold points should reduce this risk.</w:t>
      </w:r>
    </w:p>
    <w:tbl>
      <w:tblPr>
        <w:tblStyle w:val="TableGrid"/>
        <w:tblW w:w="10051" w:type="dxa"/>
        <w:jc w:val="center"/>
        <w:tblLayout w:type="fixed"/>
        <w:tblLook w:val="04A0" w:firstRow="1" w:lastRow="0" w:firstColumn="1" w:lastColumn="0" w:noHBand="0" w:noVBand="1"/>
      </w:tblPr>
      <w:tblGrid>
        <w:gridCol w:w="1660"/>
        <w:gridCol w:w="2627"/>
        <w:gridCol w:w="3037"/>
        <w:gridCol w:w="2727"/>
      </w:tblGrid>
      <w:tr w:rsidR="00B1670F" w14:paraId="66C5AA31" w14:textId="77777777">
        <w:trPr>
          <w:tblHeader/>
          <w:jc w:val="center"/>
        </w:trPr>
        <w:tc>
          <w:tcPr>
            <w:tcW w:w="1659"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2D" w14:textId="77777777" w:rsidR="00B1670F" w:rsidRDefault="00B23735">
            <w:pPr>
              <w:spacing w:after="0" w:line="240" w:lineRule="auto"/>
              <w:rPr>
                <w:color w:val="auto"/>
                <w:sz w:val="20"/>
                <w:szCs w:val="20"/>
              </w:rPr>
            </w:pPr>
            <w:r>
              <w:rPr>
                <w:b/>
                <w:bCs/>
                <w:color w:val="auto"/>
                <w:sz w:val="20"/>
                <w:szCs w:val="20"/>
              </w:rPr>
              <w:t>Stage</w:t>
            </w:r>
          </w:p>
        </w:tc>
        <w:tc>
          <w:tcPr>
            <w:tcW w:w="2627"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2E" w14:textId="77777777" w:rsidR="00B1670F" w:rsidRDefault="00B23735">
            <w:pPr>
              <w:spacing w:after="0" w:line="240" w:lineRule="auto"/>
              <w:rPr>
                <w:color w:val="auto"/>
                <w:sz w:val="20"/>
                <w:szCs w:val="20"/>
              </w:rPr>
            </w:pPr>
            <w:r>
              <w:rPr>
                <w:b/>
                <w:bCs/>
                <w:color w:val="auto"/>
                <w:sz w:val="20"/>
                <w:szCs w:val="20"/>
              </w:rPr>
              <w:t>Main work package</w:t>
            </w:r>
          </w:p>
        </w:tc>
        <w:tc>
          <w:tcPr>
            <w:tcW w:w="3037"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2F" w14:textId="77777777" w:rsidR="00B1670F" w:rsidRDefault="00B23735">
            <w:pPr>
              <w:spacing w:after="0" w:line="240" w:lineRule="auto"/>
              <w:rPr>
                <w:color w:val="auto"/>
                <w:sz w:val="20"/>
                <w:szCs w:val="20"/>
              </w:rPr>
            </w:pPr>
            <w:r>
              <w:rPr>
                <w:b/>
                <w:bCs/>
                <w:color w:val="auto"/>
                <w:sz w:val="20"/>
                <w:szCs w:val="20"/>
              </w:rPr>
              <w:t>Main buildability risk</w:t>
            </w:r>
          </w:p>
        </w:tc>
        <w:tc>
          <w:tcPr>
            <w:tcW w:w="2727"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30" w14:textId="77777777" w:rsidR="00B1670F" w:rsidRDefault="00B23735">
            <w:pPr>
              <w:spacing w:after="0" w:line="240" w:lineRule="auto"/>
              <w:rPr>
                <w:color w:val="auto"/>
                <w:sz w:val="20"/>
                <w:szCs w:val="20"/>
              </w:rPr>
            </w:pPr>
            <w:r>
              <w:rPr>
                <w:b/>
                <w:bCs/>
                <w:color w:val="auto"/>
                <w:sz w:val="20"/>
                <w:szCs w:val="20"/>
              </w:rPr>
              <w:t>Control measure</w:t>
            </w:r>
          </w:p>
        </w:tc>
      </w:tr>
      <w:tr w:rsidR="00B1670F" w14:paraId="66C5AA36" w14:textId="77777777">
        <w:trPr>
          <w:jc w:val="center"/>
        </w:trPr>
        <w:tc>
          <w:tcPr>
            <w:tcW w:w="1659"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32" w14:textId="77777777" w:rsidR="00B1670F" w:rsidRDefault="00B23735">
            <w:pPr>
              <w:spacing w:after="0" w:line="240" w:lineRule="auto"/>
              <w:rPr>
                <w:color w:val="auto"/>
                <w:sz w:val="20"/>
                <w:szCs w:val="20"/>
              </w:rPr>
            </w:pPr>
            <w:r>
              <w:rPr>
                <w:color w:val="auto"/>
                <w:sz w:val="20"/>
                <w:szCs w:val="20"/>
              </w:rPr>
              <w:t>1. Enabling</w:t>
            </w:r>
          </w:p>
        </w:tc>
        <w:tc>
          <w:tcPr>
            <w:tcW w:w="2627"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33" w14:textId="77777777" w:rsidR="00B1670F" w:rsidRDefault="00B23735">
            <w:pPr>
              <w:spacing w:after="0" w:line="240" w:lineRule="auto"/>
              <w:rPr>
                <w:color w:val="auto"/>
                <w:sz w:val="20"/>
                <w:szCs w:val="20"/>
              </w:rPr>
            </w:pPr>
            <w:r>
              <w:rPr>
                <w:color w:val="auto"/>
                <w:sz w:val="20"/>
                <w:szCs w:val="20"/>
              </w:rPr>
              <w:t>Hoarding, welfare, temporary services, access setup</w:t>
            </w:r>
          </w:p>
        </w:tc>
        <w:tc>
          <w:tcPr>
            <w:tcW w:w="3037"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34" w14:textId="77777777" w:rsidR="00B1670F" w:rsidRDefault="00B23735">
            <w:pPr>
              <w:spacing w:after="0" w:line="240" w:lineRule="auto"/>
              <w:rPr>
                <w:color w:val="auto"/>
                <w:sz w:val="20"/>
                <w:szCs w:val="20"/>
              </w:rPr>
            </w:pPr>
            <w:r>
              <w:rPr>
                <w:color w:val="auto"/>
                <w:sz w:val="20"/>
                <w:szCs w:val="20"/>
              </w:rPr>
              <w:t>Conflict with hospital/public routes</w:t>
            </w:r>
          </w:p>
        </w:tc>
        <w:tc>
          <w:tcPr>
            <w:tcW w:w="2727"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35" w14:textId="77777777" w:rsidR="00B1670F" w:rsidRDefault="00B23735">
            <w:pPr>
              <w:spacing w:after="0" w:line="240" w:lineRule="auto"/>
              <w:rPr>
                <w:color w:val="auto"/>
                <w:sz w:val="20"/>
                <w:szCs w:val="20"/>
              </w:rPr>
            </w:pPr>
            <w:r>
              <w:rPr>
                <w:color w:val="auto"/>
                <w:sz w:val="20"/>
                <w:szCs w:val="20"/>
              </w:rPr>
              <w:t>Construction Logistics Plan; segregated routes; delivery booking system</w:t>
            </w:r>
          </w:p>
        </w:tc>
      </w:tr>
      <w:tr w:rsidR="00B1670F" w14:paraId="66C5AA3B" w14:textId="77777777">
        <w:trPr>
          <w:jc w:val="center"/>
        </w:trPr>
        <w:tc>
          <w:tcPr>
            <w:tcW w:w="1659"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37" w14:textId="77777777" w:rsidR="00B1670F" w:rsidRDefault="00B23735">
            <w:pPr>
              <w:spacing w:after="0" w:line="240" w:lineRule="auto"/>
              <w:rPr>
                <w:color w:val="auto"/>
                <w:sz w:val="20"/>
                <w:szCs w:val="20"/>
              </w:rPr>
            </w:pPr>
            <w:r>
              <w:rPr>
                <w:color w:val="auto"/>
                <w:sz w:val="20"/>
                <w:szCs w:val="20"/>
              </w:rPr>
              <w:t>2. Substructure</w:t>
            </w:r>
          </w:p>
        </w:tc>
        <w:tc>
          <w:tcPr>
            <w:tcW w:w="2627"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38" w14:textId="77777777" w:rsidR="00B1670F" w:rsidRDefault="00B23735">
            <w:pPr>
              <w:spacing w:after="0" w:line="240" w:lineRule="auto"/>
              <w:rPr>
                <w:color w:val="auto"/>
                <w:sz w:val="20"/>
                <w:szCs w:val="20"/>
              </w:rPr>
            </w:pPr>
            <w:r>
              <w:rPr>
                <w:color w:val="auto"/>
                <w:sz w:val="20"/>
                <w:szCs w:val="20"/>
              </w:rPr>
              <w:t>GI-confirmed foundation solution: shallow, raft, piled raft, ground improvement or piles</w:t>
            </w:r>
          </w:p>
        </w:tc>
        <w:tc>
          <w:tcPr>
            <w:tcW w:w="3037"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39" w14:textId="77777777" w:rsidR="00B1670F" w:rsidRDefault="00B23735">
            <w:pPr>
              <w:spacing w:after="0" w:line="240" w:lineRule="auto"/>
              <w:rPr>
                <w:color w:val="auto"/>
                <w:sz w:val="20"/>
                <w:szCs w:val="20"/>
              </w:rPr>
            </w:pPr>
            <w:r>
              <w:rPr>
                <w:color w:val="auto"/>
                <w:sz w:val="20"/>
                <w:szCs w:val="20"/>
              </w:rPr>
              <w:t>Obstructions, groundwater, spoil, noise, overdesign risk</w:t>
            </w:r>
          </w:p>
        </w:tc>
        <w:tc>
          <w:tcPr>
            <w:tcW w:w="2727"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3A" w14:textId="77777777" w:rsidR="00B1670F" w:rsidRDefault="00B23735">
            <w:pPr>
              <w:spacing w:after="0" w:line="240" w:lineRule="auto"/>
              <w:rPr>
                <w:color w:val="auto"/>
                <w:sz w:val="20"/>
                <w:szCs w:val="20"/>
              </w:rPr>
            </w:pPr>
            <w:r>
              <w:rPr>
                <w:color w:val="auto"/>
                <w:sz w:val="20"/>
                <w:szCs w:val="20"/>
              </w:rPr>
              <w:t xml:space="preserve">Intrusive GI; foundation option appraisal; </w:t>
            </w:r>
            <w:proofErr w:type="gramStart"/>
            <w:r>
              <w:rPr>
                <w:color w:val="auto"/>
                <w:sz w:val="20"/>
                <w:szCs w:val="20"/>
              </w:rPr>
              <w:t>working-platform</w:t>
            </w:r>
            <w:proofErr w:type="gramEnd"/>
            <w:r>
              <w:rPr>
                <w:color w:val="auto"/>
                <w:sz w:val="20"/>
                <w:szCs w:val="20"/>
              </w:rPr>
              <w:t>/spoil plan; monitoring</w:t>
            </w:r>
          </w:p>
        </w:tc>
      </w:tr>
      <w:tr w:rsidR="00B1670F" w14:paraId="66C5AA40" w14:textId="77777777">
        <w:trPr>
          <w:jc w:val="center"/>
        </w:trPr>
        <w:tc>
          <w:tcPr>
            <w:tcW w:w="1659"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3C" w14:textId="77777777" w:rsidR="00B1670F" w:rsidRDefault="00B23735">
            <w:pPr>
              <w:spacing w:after="0" w:line="240" w:lineRule="auto"/>
              <w:rPr>
                <w:color w:val="auto"/>
                <w:sz w:val="20"/>
                <w:szCs w:val="20"/>
              </w:rPr>
            </w:pPr>
            <w:r>
              <w:rPr>
                <w:color w:val="auto"/>
                <w:sz w:val="20"/>
                <w:szCs w:val="20"/>
              </w:rPr>
              <w:t>3. Core</w:t>
            </w:r>
          </w:p>
        </w:tc>
        <w:tc>
          <w:tcPr>
            <w:tcW w:w="2627"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3D" w14:textId="77777777" w:rsidR="00B1670F" w:rsidRDefault="00B23735">
            <w:pPr>
              <w:spacing w:after="0" w:line="240" w:lineRule="auto"/>
              <w:rPr>
                <w:color w:val="auto"/>
                <w:sz w:val="20"/>
                <w:szCs w:val="20"/>
              </w:rPr>
            </w:pPr>
            <w:r>
              <w:rPr>
                <w:color w:val="auto"/>
                <w:sz w:val="20"/>
                <w:szCs w:val="20"/>
              </w:rPr>
              <w:t>RC core construction</w:t>
            </w:r>
          </w:p>
        </w:tc>
        <w:tc>
          <w:tcPr>
            <w:tcW w:w="3037"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3E" w14:textId="77777777" w:rsidR="00B1670F" w:rsidRDefault="00B23735">
            <w:pPr>
              <w:spacing w:after="0" w:line="240" w:lineRule="auto"/>
              <w:rPr>
                <w:color w:val="auto"/>
                <w:sz w:val="20"/>
                <w:szCs w:val="20"/>
              </w:rPr>
            </w:pPr>
            <w:r>
              <w:rPr>
                <w:color w:val="auto"/>
                <w:sz w:val="20"/>
                <w:szCs w:val="20"/>
              </w:rPr>
              <w:t>Tolerance error, slow concrete cycle</w:t>
            </w:r>
          </w:p>
        </w:tc>
        <w:tc>
          <w:tcPr>
            <w:tcW w:w="2727"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3F" w14:textId="77777777" w:rsidR="00B1670F" w:rsidRDefault="00B23735">
            <w:pPr>
              <w:spacing w:after="0" w:line="240" w:lineRule="auto"/>
              <w:rPr>
                <w:color w:val="auto"/>
                <w:sz w:val="20"/>
                <w:szCs w:val="20"/>
              </w:rPr>
            </w:pPr>
            <w:r>
              <w:rPr>
                <w:color w:val="auto"/>
                <w:sz w:val="20"/>
                <w:szCs w:val="20"/>
              </w:rPr>
              <w:t>Core survey checks; coordinated cast-in plates; reliable concrete supply</w:t>
            </w:r>
          </w:p>
        </w:tc>
      </w:tr>
      <w:tr w:rsidR="00B1670F" w14:paraId="66C5AA45" w14:textId="77777777">
        <w:trPr>
          <w:jc w:val="center"/>
        </w:trPr>
        <w:tc>
          <w:tcPr>
            <w:tcW w:w="1659"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41" w14:textId="77777777" w:rsidR="00B1670F" w:rsidRDefault="00B23735">
            <w:pPr>
              <w:spacing w:after="0" w:line="240" w:lineRule="auto"/>
              <w:rPr>
                <w:color w:val="auto"/>
                <w:sz w:val="20"/>
                <w:szCs w:val="20"/>
              </w:rPr>
            </w:pPr>
            <w:r>
              <w:rPr>
                <w:color w:val="auto"/>
                <w:sz w:val="20"/>
                <w:szCs w:val="20"/>
              </w:rPr>
              <w:t>4. Frame/floors</w:t>
            </w:r>
          </w:p>
        </w:tc>
        <w:tc>
          <w:tcPr>
            <w:tcW w:w="2627"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42" w14:textId="77777777" w:rsidR="00B1670F" w:rsidRDefault="00B23735">
            <w:pPr>
              <w:spacing w:after="0" w:line="240" w:lineRule="auto"/>
              <w:rPr>
                <w:color w:val="auto"/>
                <w:sz w:val="20"/>
                <w:szCs w:val="20"/>
              </w:rPr>
            </w:pPr>
            <w:r>
              <w:rPr>
                <w:color w:val="auto"/>
                <w:sz w:val="20"/>
                <w:szCs w:val="20"/>
              </w:rPr>
              <w:t>Steel frame, metal deck, topping</w:t>
            </w:r>
          </w:p>
        </w:tc>
        <w:tc>
          <w:tcPr>
            <w:tcW w:w="3037"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43" w14:textId="77777777" w:rsidR="00B1670F" w:rsidRDefault="00B23735">
            <w:pPr>
              <w:spacing w:after="0" w:line="240" w:lineRule="auto"/>
              <w:rPr>
                <w:color w:val="auto"/>
                <w:sz w:val="20"/>
                <w:szCs w:val="20"/>
              </w:rPr>
            </w:pPr>
            <w:r>
              <w:rPr>
                <w:color w:val="auto"/>
                <w:sz w:val="20"/>
                <w:szCs w:val="20"/>
              </w:rPr>
              <w:t>Wind stoppages, temporary instability</w:t>
            </w:r>
          </w:p>
        </w:tc>
        <w:tc>
          <w:tcPr>
            <w:tcW w:w="2727"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44" w14:textId="77777777" w:rsidR="00B1670F" w:rsidRDefault="00B23735">
            <w:pPr>
              <w:spacing w:after="0" w:line="240" w:lineRule="auto"/>
              <w:rPr>
                <w:color w:val="auto"/>
                <w:sz w:val="20"/>
                <w:szCs w:val="20"/>
              </w:rPr>
            </w:pPr>
            <w:r>
              <w:rPr>
                <w:color w:val="auto"/>
                <w:sz w:val="20"/>
                <w:szCs w:val="20"/>
              </w:rPr>
              <w:t>Engineered erection sequence; temporary bracing; wind limits</w:t>
            </w:r>
          </w:p>
        </w:tc>
      </w:tr>
      <w:tr w:rsidR="00B1670F" w14:paraId="66C5AA4A" w14:textId="77777777">
        <w:trPr>
          <w:jc w:val="center"/>
        </w:trPr>
        <w:tc>
          <w:tcPr>
            <w:tcW w:w="1659"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46" w14:textId="77777777" w:rsidR="00B1670F" w:rsidRDefault="00B23735">
            <w:pPr>
              <w:spacing w:after="0" w:line="240" w:lineRule="auto"/>
              <w:rPr>
                <w:color w:val="auto"/>
                <w:sz w:val="20"/>
                <w:szCs w:val="20"/>
              </w:rPr>
            </w:pPr>
            <w:r>
              <w:rPr>
                <w:color w:val="auto"/>
                <w:sz w:val="20"/>
                <w:szCs w:val="20"/>
              </w:rPr>
              <w:t>5. Envelope</w:t>
            </w:r>
          </w:p>
        </w:tc>
        <w:tc>
          <w:tcPr>
            <w:tcW w:w="2627"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47" w14:textId="77777777" w:rsidR="00B1670F" w:rsidRDefault="00B23735">
            <w:pPr>
              <w:spacing w:after="0" w:line="240" w:lineRule="auto"/>
              <w:rPr>
                <w:color w:val="auto"/>
                <w:sz w:val="20"/>
                <w:szCs w:val="20"/>
              </w:rPr>
            </w:pPr>
            <w:r>
              <w:rPr>
                <w:color w:val="auto"/>
                <w:sz w:val="20"/>
                <w:szCs w:val="20"/>
              </w:rPr>
              <w:t>Masonry cavity wall, windows, fire barriers</w:t>
            </w:r>
          </w:p>
        </w:tc>
        <w:tc>
          <w:tcPr>
            <w:tcW w:w="3037"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48" w14:textId="77777777" w:rsidR="00B1670F" w:rsidRDefault="00B23735">
            <w:pPr>
              <w:spacing w:after="0" w:line="240" w:lineRule="auto"/>
              <w:rPr>
                <w:color w:val="auto"/>
                <w:sz w:val="20"/>
                <w:szCs w:val="20"/>
              </w:rPr>
            </w:pPr>
            <w:r>
              <w:rPr>
                <w:color w:val="auto"/>
                <w:sz w:val="20"/>
                <w:szCs w:val="20"/>
              </w:rPr>
              <w:t>Water ingress, fire-stopping defects</w:t>
            </w:r>
          </w:p>
        </w:tc>
        <w:tc>
          <w:tcPr>
            <w:tcW w:w="2727"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49" w14:textId="77777777" w:rsidR="00B1670F" w:rsidRDefault="00B23735">
            <w:pPr>
              <w:spacing w:after="0" w:line="240" w:lineRule="auto"/>
              <w:rPr>
                <w:color w:val="auto"/>
                <w:sz w:val="20"/>
                <w:szCs w:val="20"/>
              </w:rPr>
            </w:pPr>
            <w:r>
              <w:rPr>
                <w:color w:val="auto"/>
                <w:sz w:val="20"/>
                <w:szCs w:val="20"/>
              </w:rPr>
              <w:t>Sample bay; hold-point inspections; cavity/fire-stopping register</w:t>
            </w:r>
          </w:p>
        </w:tc>
      </w:tr>
      <w:tr w:rsidR="00B1670F" w14:paraId="66C5AA4F" w14:textId="77777777">
        <w:trPr>
          <w:jc w:val="center"/>
        </w:trPr>
        <w:tc>
          <w:tcPr>
            <w:tcW w:w="1659"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4B" w14:textId="77777777" w:rsidR="00B1670F" w:rsidRDefault="00B23735">
            <w:pPr>
              <w:spacing w:after="0" w:line="240" w:lineRule="auto"/>
              <w:rPr>
                <w:color w:val="auto"/>
                <w:sz w:val="20"/>
                <w:szCs w:val="20"/>
              </w:rPr>
            </w:pPr>
            <w:r>
              <w:rPr>
                <w:color w:val="auto"/>
                <w:sz w:val="20"/>
                <w:szCs w:val="20"/>
              </w:rPr>
              <w:t>6. MEP/fit-out</w:t>
            </w:r>
          </w:p>
        </w:tc>
        <w:tc>
          <w:tcPr>
            <w:tcW w:w="2627"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4C" w14:textId="77777777" w:rsidR="00B1670F" w:rsidRDefault="00B23735">
            <w:pPr>
              <w:spacing w:after="0" w:line="240" w:lineRule="auto"/>
              <w:rPr>
                <w:color w:val="auto"/>
                <w:sz w:val="20"/>
                <w:szCs w:val="20"/>
              </w:rPr>
            </w:pPr>
            <w:r>
              <w:rPr>
                <w:color w:val="auto"/>
                <w:sz w:val="20"/>
                <w:szCs w:val="20"/>
              </w:rPr>
              <w:t>Risers, rooms, bathrooms, corridors</w:t>
            </w:r>
          </w:p>
        </w:tc>
        <w:tc>
          <w:tcPr>
            <w:tcW w:w="3037"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4D" w14:textId="77777777" w:rsidR="00B1670F" w:rsidRDefault="00B23735">
            <w:pPr>
              <w:spacing w:after="0" w:line="240" w:lineRule="auto"/>
              <w:rPr>
                <w:color w:val="auto"/>
                <w:sz w:val="20"/>
                <w:szCs w:val="20"/>
              </w:rPr>
            </w:pPr>
            <w:r>
              <w:rPr>
                <w:color w:val="auto"/>
                <w:sz w:val="20"/>
                <w:szCs w:val="20"/>
              </w:rPr>
              <w:t>Trade congestion, rework</w:t>
            </w:r>
          </w:p>
        </w:tc>
        <w:tc>
          <w:tcPr>
            <w:tcW w:w="2727"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4E" w14:textId="77777777" w:rsidR="00B1670F" w:rsidRDefault="00B23735">
            <w:pPr>
              <w:spacing w:after="0" w:line="240" w:lineRule="auto"/>
              <w:rPr>
                <w:color w:val="auto"/>
                <w:sz w:val="20"/>
                <w:szCs w:val="20"/>
              </w:rPr>
            </w:pPr>
            <w:proofErr w:type="spellStart"/>
            <w:r>
              <w:rPr>
                <w:color w:val="auto"/>
                <w:sz w:val="20"/>
                <w:szCs w:val="20"/>
              </w:rPr>
              <w:t>Standardised</w:t>
            </w:r>
            <w:proofErr w:type="spellEnd"/>
            <w:r>
              <w:rPr>
                <w:color w:val="auto"/>
                <w:sz w:val="20"/>
                <w:szCs w:val="20"/>
              </w:rPr>
              <w:t xml:space="preserve"> room zones; coordinated services; floor-by-floor handover</w:t>
            </w:r>
          </w:p>
        </w:tc>
      </w:tr>
    </w:tbl>
    <w:p w14:paraId="66C5AA50" w14:textId="77777777" w:rsidR="00B1670F" w:rsidRDefault="00B1670F">
      <w:pPr>
        <w:pStyle w:val="Placeholder"/>
        <w:rPr>
          <w:i w:val="0"/>
          <w:iCs/>
          <w:color w:val="auto"/>
        </w:rPr>
      </w:pPr>
    </w:p>
    <w:p w14:paraId="66C5AA51" w14:textId="77777777" w:rsidR="00B1670F" w:rsidRDefault="00B23735">
      <w:pPr>
        <w:pStyle w:val="Heading2"/>
      </w:pPr>
      <w:bookmarkStart w:id="20" w:name="_Toc229404621"/>
      <w:bookmarkStart w:id="21" w:name="_Toc229426328"/>
      <w:r>
        <w:t xml:space="preserve">4.3 Plant, </w:t>
      </w:r>
      <w:proofErr w:type="spellStart"/>
      <w:r>
        <w:t>Labour</w:t>
      </w:r>
      <w:proofErr w:type="spellEnd"/>
      <w:r>
        <w:t xml:space="preserve"> and Temporary Works</w:t>
      </w:r>
      <w:bookmarkEnd w:id="20"/>
      <w:bookmarkEnd w:id="21"/>
    </w:p>
    <w:p w14:paraId="66C5AA52" w14:textId="77777777" w:rsidR="00B1670F" w:rsidRDefault="00B23735">
      <w:pPr>
        <w:pStyle w:val="Placeholder"/>
        <w:rPr>
          <w:i w:val="0"/>
          <w:iCs/>
          <w:color w:val="auto"/>
        </w:rPr>
      </w:pPr>
      <w:r>
        <w:rPr>
          <w:i w:val="0"/>
          <w:iCs/>
          <w:color w:val="auto"/>
        </w:rPr>
        <w:t xml:space="preserve">The main plant will include excavators, concrete pumps, tower crane, mobile crane, telehandlers, hoists, scaffold or mast climbers, MEWPs and cutting/fixing equipment. If GI confirms deep foundations, piling rigs and certified working platforms will also be required; if ground improvement or raft construction is selected, specialist treatment plant, compaction equipment or larger excavation plant may be needed instead. Specialist </w:t>
      </w:r>
      <w:proofErr w:type="spellStart"/>
      <w:r>
        <w:rPr>
          <w:i w:val="0"/>
          <w:iCs/>
          <w:color w:val="auto"/>
        </w:rPr>
        <w:t>labour</w:t>
      </w:r>
      <w:proofErr w:type="spellEnd"/>
      <w:r>
        <w:rPr>
          <w:i w:val="0"/>
          <w:iCs/>
          <w:color w:val="auto"/>
        </w:rPr>
        <w:t xml:space="preserve"> will include substructure contractors, steel erectors, slingers/</w:t>
      </w:r>
      <w:proofErr w:type="spellStart"/>
      <w:r>
        <w:rPr>
          <w:i w:val="0"/>
          <w:iCs/>
          <w:color w:val="auto"/>
        </w:rPr>
        <w:t>signallers</w:t>
      </w:r>
      <w:proofErr w:type="spellEnd"/>
      <w:r>
        <w:rPr>
          <w:i w:val="0"/>
          <w:iCs/>
          <w:color w:val="auto"/>
        </w:rPr>
        <w:t>, formwork teams, rebar fixers, masonry/façade operatives, fire-stopping installers and MEP specialists.</w:t>
      </w:r>
    </w:p>
    <w:p w14:paraId="66C5AA53" w14:textId="77777777" w:rsidR="00B1670F" w:rsidRDefault="00B23735">
      <w:pPr>
        <w:pStyle w:val="Placeholder"/>
        <w:rPr>
          <w:i w:val="0"/>
          <w:iCs/>
          <w:color w:val="auto"/>
        </w:rPr>
      </w:pPr>
      <w:r>
        <w:rPr>
          <w:i w:val="0"/>
          <w:iCs/>
          <w:color w:val="auto"/>
        </w:rPr>
        <w:t xml:space="preserve">Temporary </w:t>
      </w:r>
      <w:proofErr w:type="gramStart"/>
      <w:r>
        <w:rPr>
          <w:i w:val="0"/>
          <w:iCs/>
          <w:color w:val="auto"/>
        </w:rPr>
        <w:t>works are</w:t>
      </w:r>
      <w:proofErr w:type="gramEnd"/>
      <w:r>
        <w:rPr>
          <w:i w:val="0"/>
          <w:iCs/>
          <w:color w:val="auto"/>
        </w:rPr>
        <w:t xml:space="preserve"> significant. A piled option requires a designed and certified piling mat, while a raft or shallow solution still requires temporary excavation support, groundwater control and safe access. The RC core requires </w:t>
      </w:r>
      <w:r>
        <w:rPr>
          <w:i w:val="0"/>
          <w:iCs/>
          <w:color w:val="auto"/>
        </w:rPr>
        <w:lastRenderedPageBreak/>
        <w:t>formwork platforms, edge protection and concrete pumping arrangements. Steel erection requires temporary bracing, exclusion zones and safe decking systems. The masonry envelope requires stable access and inspection before cavities are closed. Productivity depends on zoning the works so that structure, façade, MEP and fit-out trades do not congest the same floors.</w:t>
      </w:r>
    </w:p>
    <w:p w14:paraId="66C5AA54" w14:textId="77777777" w:rsidR="00B1670F" w:rsidRDefault="00B23735">
      <w:pPr>
        <w:pStyle w:val="Heading2"/>
      </w:pPr>
      <w:bookmarkStart w:id="22" w:name="_Toc229404622"/>
      <w:bookmarkStart w:id="23" w:name="_Toc229426329"/>
      <w:r>
        <w:t xml:space="preserve">4.4 Health, Safety, Quality and </w:t>
      </w:r>
      <w:proofErr w:type="spellStart"/>
      <w:r>
        <w:t>Programme</w:t>
      </w:r>
      <w:bookmarkEnd w:id="22"/>
      <w:bookmarkEnd w:id="23"/>
      <w:proofErr w:type="spellEnd"/>
    </w:p>
    <w:p w14:paraId="6AF1BA13" w14:textId="77777777" w:rsidR="00B75885" w:rsidRPr="00B75885" w:rsidRDefault="00B75885" w:rsidP="00B75885">
      <w:pPr>
        <w:rPr>
          <w:sz w:val="20"/>
          <w:szCs w:val="20"/>
          <w:lang w:val="en-GB"/>
        </w:rPr>
      </w:pPr>
      <w:r w:rsidRPr="00B75885">
        <w:rPr>
          <w:sz w:val="20"/>
          <w:szCs w:val="20"/>
          <w:lang w:val="en-GB"/>
        </w:rPr>
        <w:t>Working at height, lifting, falling materials, manual handling, noise, dust, hot work, and vehicle movement are the main health and safety risks. The building's height and hospital proximity exacerbate these. Program risks include coastal exposure: Mumbles Head climate data shows 1,277.37 mm average annual rainfall and 160.38 days with at least 1 mm rainfall, making it wetter and more exposed than an inland comparator (Met Office, n.d.). When lifting steelwork, pods, or plant skids, weather limits, exclusion zones, and competent supervision should be considered.</w:t>
      </w:r>
    </w:p>
    <w:p w14:paraId="66C5AA56" w14:textId="567C62DD" w:rsidR="00B1670F" w:rsidRPr="00B75885" w:rsidRDefault="00B75885" w:rsidP="00B75885">
      <w:pPr>
        <w:rPr>
          <w:i/>
          <w:sz w:val="20"/>
          <w:szCs w:val="20"/>
          <w:lang w:val="en-GB"/>
        </w:rPr>
      </w:pPr>
      <w:r w:rsidRPr="00B75885">
        <w:rPr>
          <w:sz w:val="20"/>
          <w:szCs w:val="20"/>
          <w:lang w:val="en-GB"/>
        </w:rPr>
        <w:t>Quality control is key to buildability. Although factory-made steelwork, windows, MEP modules, and plant skids can improve consistency, the masonry cavity wall is still handmade. Poor cavity trays, weeps, wall ties, cavity barriers, or window interfaces can allow water in and require costly remediation in severe wind-driven rain. Mandate façade sample bays, photographic records, and hold-point inspections. The hotel is a sleeping-risk building, so fire stopping must be inspected before closing. Only with disciplined logistics, weather contingency, early coordination, and thorough inspection can the proposal be built.</w:t>
      </w:r>
    </w:p>
    <w:p w14:paraId="66C5AA57" w14:textId="77777777" w:rsidR="00B1670F" w:rsidRDefault="00B23735">
      <w:pPr>
        <w:pStyle w:val="Heading2"/>
      </w:pPr>
      <w:bookmarkStart w:id="24" w:name="_Toc229404623"/>
      <w:bookmarkStart w:id="25" w:name="_Toc229426330"/>
      <w:r>
        <w:t>4.5 Buildability Risk Register</w:t>
      </w:r>
      <w:bookmarkEnd w:id="24"/>
      <w:bookmarkEnd w:id="25"/>
    </w:p>
    <w:tbl>
      <w:tblPr>
        <w:tblStyle w:val="TableGrid"/>
        <w:tblW w:w="10051" w:type="dxa"/>
        <w:jc w:val="center"/>
        <w:tblLayout w:type="fixed"/>
        <w:tblLook w:val="04A0" w:firstRow="1" w:lastRow="0" w:firstColumn="1" w:lastColumn="0" w:noHBand="0" w:noVBand="1"/>
      </w:tblPr>
      <w:tblGrid>
        <w:gridCol w:w="1642"/>
        <w:gridCol w:w="1562"/>
        <w:gridCol w:w="968"/>
        <w:gridCol w:w="1432"/>
        <w:gridCol w:w="2194"/>
        <w:gridCol w:w="2253"/>
      </w:tblGrid>
      <w:tr w:rsidR="00B1670F" w14:paraId="66C5AA5E" w14:textId="77777777">
        <w:trPr>
          <w:tblHeader/>
          <w:jc w:val="center"/>
        </w:trPr>
        <w:tc>
          <w:tcPr>
            <w:tcW w:w="1641"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58" w14:textId="77777777" w:rsidR="00B1670F" w:rsidRDefault="00B23735">
            <w:pPr>
              <w:spacing w:after="0" w:line="240" w:lineRule="auto"/>
              <w:rPr>
                <w:color w:val="auto"/>
                <w:sz w:val="20"/>
                <w:szCs w:val="20"/>
              </w:rPr>
            </w:pPr>
            <w:r>
              <w:rPr>
                <w:b/>
                <w:bCs/>
                <w:color w:val="auto"/>
                <w:sz w:val="20"/>
                <w:szCs w:val="20"/>
              </w:rPr>
              <w:t>Buildability risk</w:t>
            </w:r>
          </w:p>
        </w:tc>
        <w:tc>
          <w:tcPr>
            <w:tcW w:w="1562"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59" w14:textId="77777777" w:rsidR="00B1670F" w:rsidRDefault="00B23735">
            <w:pPr>
              <w:spacing w:after="0" w:line="240" w:lineRule="auto"/>
              <w:rPr>
                <w:color w:val="auto"/>
                <w:sz w:val="20"/>
                <w:szCs w:val="20"/>
              </w:rPr>
            </w:pPr>
            <w:r>
              <w:rPr>
                <w:b/>
                <w:bCs/>
                <w:color w:val="auto"/>
                <w:sz w:val="20"/>
                <w:szCs w:val="20"/>
              </w:rPr>
              <w:t>Cause</w:t>
            </w:r>
          </w:p>
        </w:tc>
        <w:tc>
          <w:tcPr>
            <w:tcW w:w="968"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5A" w14:textId="77777777" w:rsidR="00B1670F" w:rsidRDefault="00B23735">
            <w:pPr>
              <w:spacing w:after="0" w:line="240" w:lineRule="auto"/>
              <w:rPr>
                <w:color w:val="auto"/>
                <w:sz w:val="20"/>
                <w:szCs w:val="20"/>
              </w:rPr>
            </w:pPr>
            <w:r>
              <w:rPr>
                <w:b/>
                <w:bCs/>
                <w:color w:val="auto"/>
                <w:sz w:val="20"/>
                <w:szCs w:val="20"/>
              </w:rPr>
              <w:t>Impact</w:t>
            </w:r>
          </w:p>
        </w:tc>
        <w:tc>
          <w:tcPr>
            <w:tcW w:w="1432"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5B" w14:textId="77777777" w:rsidR="00B1670F" w:rsidRDefault="00B23735">
            <w:pPr>
              <w:spacing w:after="0" w:line="240" w:lineRule="auto"/>
              <w:rPr>
                <w:color w:val="auto"/>
                <w:sz w:val="20"/>
                <w:szCs w:val="20"/>
              </w:rPr>
            </w:pPr>
            <w:r>
              <w:rPr>
                <w:b/>
                <w:bCs/>
                <w:color w:val="auto"/>
                <w:sz w:val="20"/>
                <w:szCs w:val="20"/>
              </w:rPr>
              <w:t>Likelihood</w:t>
            </w:r>
          </w:p>
        </w:tc>
        <w:tc>
          <w:tcPr>
            <w:tcW w:w="2194"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5C" w14:textId="77777777" w:rsidR="00B1670F" w:rsidRDefault="00B23735">
            <w:pPr>
              <w:spacing w:after="0" w:line="240" w:lineRule="auto"/>
              <w:rPr>
                <w:color w:val="auto"/>
                <w:sz w:val="20"/>
                <w:szCs w:val="20"/>
              </w:rPr>
            </w:pPr>
            <w:r>
              <w:rPr>
                <w:b/>
                <w:bCs/>
                <w:color w:val="auto"/>
                <w:sz w:val="20"/>
                <w:szCs w:val="20"/>
              </w:rPr>
              <w:t>Mitigation / design response</w:t>
            </w:r>
          </w:p>
        </w:tc>
        <w:tc>
          <w:tcPr>
            <w:tcW w:w="2253"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5D" w14:textId="77777777" w:rsidR="00B1670F" w:rsidRDefault="00B23735">
            <w:pPr>
              <w:spacing w:after="0" w:line="240" w:lineRule="auto"/>
              <w:rPr>
                <w:color w:val="auto"/>
                <w:sz w:val="20"/>
                <w:szCs w:val="20"/>
              </w:rPr>
            </w:pPr>
            <w:r>
              <w:rPr>
                <w:b/>
                <w:bCs/>
                <w:color w:val="auto"/>
                <w:sz w:val="20"/>
                <w:szCs w:val="20"/>
              </w:rPr>
              <w:t>Evidence</w:t>
            </w:r>
          </w:p>
        </w:tc>
      </w:tr>
      <w:tr w:rsidR="00B1670F" w14:paraId="66C5AA65" w14:textId="77777777">
        <w:trPr>
          <w:jc w:val="center"/>
        </w:trPr>
        <w:tc>
          <w:tcPr>
            <w:tcW w:w="1641"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5F" w14:textId="77777777" w:rsidR="00B1670F" w:rsidRDefault="00B23735">
            <w:pPr>
              <w:spacing w:after="0" w:line="240" w:lineRule="auto"/>
              <w:rPr>
                <w:color w:val="auto"/>
                <w:sz w:val="20"/>
                <w:szCs w:val="20"/>
              </w:rPr>
            </w:pPr>
            <w:r>
              <w:rPr>
                <w:color w:val="auto"/>
                <w:sz w:val="20"/>
                <w:szCs w:val="20"/>
              </w:rPr>
              <w:t>Delivery congestion</w:t>
            </w:r>
          </w:p>
        </w:tc>
        <w:tc>
          <w:tcPr>
            <w:tcW w:w="1562"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60" w14:textId="77777777" w:rsidR="00B1670F" w:rsidRDefault="00B23735">
            <w:pPr>
              <w:spacing w:after="0" w:line="240" w:lineRule="auto"/>
              <w:rPr>
                <w:color w:val="auto"/>
                <w:sz w:val="20"/>
                <w:szCs w:val="20"/>
              </w:rPr>
            </w:pPr>
            <w:r>
              <w:rPr>
                <w:color w:val="auto"/>
                <w:sz w:val="20"/>
                <w:szCs w:val="20"/>
              </w:rPr>
              <w:t>Hospital-adjacent roads and limited holding space</w:t>
            </w:r>
          </w:p>
        </w:tc>
        <w:tc>
          <w:tcPr>
            <w:tcW w:w="96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61" w14:textId="77777777" w:rsidR="00B1670F" w:rsidRDefault="00B23735">
            <w:pPr>
              <w:spacing w:after="0" w:line="240" w:lineRule="auto"/>
              <w:rPr>
                <w:color w:val="auto"/>
                <w:sz w:val="20"/>
                <w:szCs w:val="20"/>
              </w:rPr>
            </w:pPr>
            <w:r>
              <w:rPr>
                <w:color w:val="auto"/>
                <w:sz w:val="20"/>
                <w:szCs w:val="20"/>
              </w:rPr>
              <w:t>High</w:t>
            </w:r>
          </w:p>
        </w:tc>
        <w:tc>
          <w:tcPr>
            <w:tcW w:w="1432"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62" w14:textId="77777777" w:rsidR="00B1670F" w:rsidRDefault="00B23735">
            <w:pPr>
              <w:spacing w:after="0" w:line="240" w:lineRule="auto"/>
              <w:rPr>
                <w:color w:val="auto"/>
                <w:sz w:val="20"/>
                <w:szCs w:val="20"/>
              </w:rPr>
            </w:pPr>
            <w:r>
              <w:rPr>
                <w:color w:val="auto"/>
                <w:sz w:val="20"/>
                <w:szCs w:val="20"/>
              </w:rPr>
              <w:t>High</w:t>
            </w:r>
          </w:p>
        </w:tc>
        <w:tc>
          <w:tcPr>
            <w:tcW w:w="2194"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63" w14:textId="77777777" w:rsidR="00B1670F" w:rsidRDefault="00B23735">
            <w:pPr>
              <w:spacing w:after="0" w:line="240" w:lineRule="auto"/>
              <w:rPr>
                <w:color w:val="auto"/>
                <w:sz w:val="20"/>
                <w:szCs w:val="20"/>
              </w:rPr>
            </w:pPr>
            <w:r>
              <w:rPr>
                <w:color w:val="auto"/>
                <w:sz w:val="20"/>
                <w:szCs w:val="20"/>
              </w:rPr>
              <w:t>Timed deliveries, off-site holding, banksmen, no highway queuing</w:t>
            </w:r>
          </w:p>
        </w:tc>
        <w:tc>
          <w:tcPr>
            <w:tcW w:w="2253"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64" w14:textId="77777777" w:rsidR="00B1670F" w:rsidRDefault="00B23735">
            <w:pPr>
              <w:spacing w:after="0" w:line="240" w:lineRule="auto"/>
              <w:rPr>
                <w:color w:val="auto"/>
                <w:sz w:val="20"/>
                <w:szCs w:val="20"/>
              </w:rPr>
            </w:pPr>
            <w:r>
              <w:rPr>
                <w:color w:val="auto"/>
                <w:sz w:val="20"/>
                <w:szCs w:val="20"/>
              </w:rPr>
              <w:t>Transport for London and CLOCS (2021); National Highways (n.d.)</w:t>
            </w:r>
          </w:p>
        </w:tc>
      </w:tr>
      <w:tr w:rsidR="00B1670F" w14:paraId="66C5AA6C" w14:textId="77777777">
        <w:trPr>
          <w:jc w:val="center"/>
        </w:trPr>
        <w:tc>
          <w:tcPr>
            <w:tcW w:w="1641"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66" w14:textId="77777777" w:rsidR="00B1670F" w:rsidRDefault="00B23735">
            <w:pPr>
              <w:spacing w:after="0" w:line="240" w:lineRule="auto"/>
              <w:rPr>
                <w:color w:val="auto"/>
                <w:sz w:val="20"/>
                <w:szCs w:val="20"/>
              </w:rPr>
            </w:pPr>
            <w:r>
              <w:rPr>
                <w:color w:val="auto"/>
                <w:sz w:val="20"/>
                <w:szCs w:val="20"/>
              </w:rPr>
              <w:t>Crane stoppages</w:t>
            </w:r>
          </w:p>
        </w:tc>
        <w:tc>
          <w:tcPr>
            <w:tcW w:w="1562"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67" w14:textId="77777777" w:rsidR="00B1670F" w:rsidRDefault="00B23735">
            <w:pPr>
              <w:spacing w:after="0" w:line="240" w:lineRule="auto"/>
              <w:rPr>
                <w:color w:val="auto"/>
                <w:sz w:val="20"/>
                <w:szCs w:val="20"/>
              </w:rPr>
            </w:pPr>
            <w:r>
              <w:rPr>
                <w:color w:val="auto"/>
                <w:sz w:val="20"/>
                <w:szCs w:val="20"/>
              </w:rPr>
              <w:t>Coastal wind, wet weather and high-sail loads</w:t>
            </w:r>
          </w:p>
        </w:tc>
        <w:tc>
          <w:tcPr>
            <w:tcW w:w="968"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68" w14:textId="77777777" w:rsidR="00B1670F" w:rsidRDefault="00B23735">
            <w:pPr>
              <w:spacing w:after="0" w:line="240" w:lineRule="auto"/>
              <w:rPr>
                <w:color w:val="auto"/>
                <w:sz w:val="20"/>
                <w:szCs w:val="20"/>
              </w:rPr>
            </w:pPr>
            <w:r>
              <w:rPr>
                <w:color w:val="auto"/>
                <w:sz w:val="20"/>
                <w:szCs w:val="20"/>
              </w:rPr>
              <w:t>High</w:t>
            </w:r>
          </w:p>
        </w:tc>
        <w:tc>
          <w:tcPr>
            <w:tcW w:w="1432"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69" w14:textId="77777777" w:rsidR="00B1670F" w:rsidRDefault="00B23735">
            <w:pPr>
              <w:spacing w:after="0" w:line="240" w:lineRule="auto"/>
              <w:rPr>
                <w:color w:val="auto"/>
                <w:sz w:val="20"/>
                <w:szCs w:val="20"/>
              </w:rPr>
            </w:pPr>
            <w:r>
              <w:rPr>
                <w:color w:val="auto"/>
                <w:sz w:val="20"/>
                <w:szCs w:val="20"/>
              </w:rPr>
              <w:t>Medium/High</w:t>
            </w:r>
          </w:p>
        </w:tc>
        <w:tc>
          <w:tcPr>
            <w:tcW w:w="2194"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6A" w14:textId="77777777" w:rsidR="00B1670F" w:rsidRDefault="00B23735">
            <w:pPr>
              <w:spacing w:after="0" w:line="240" w:lineRule="auto"/>
              <w:rPr>
                <w:color w:val="auto"/>
                <w:sz w:val="20"/>
                <w:szCs w:val="20"/>
              </w:rPr>
            </w:pPr>
            <w:r>
              <w:rPr>
                <w:color w:val="auto"/>
                <w:sz w:val="20"/>
                <w:szCs w:val="20"/>
              </w:rPr>
              <w:t>Wind limits, smaller loads, weather float, temporary weather protection, avoid over-reliance on volumetric modules</w:t>
            </w:r>
          </w:p>
        </w:tc>
        <w:tc>
          <w:tcPr>
            <w:tcW w:w="2253"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6B" w14:textId="77777777" w:rsidR="00B1670F" w:rsidRDefault="00B23735">
            <w:pPr>
              <w:spacing w:after="0" w:line="240" w:lineRule="auto"/>
              <w:rPr>
                <w:color w:val="auto"/>
                <w:sz w:val="20"/>
                <w:szCs w:val="20"/>
              </w:rPr>
            </w:pPr>
            <w:r>
              <w:rPr>
                <w:color w:val="auto"/>
                <w:sz w:val="20"/>
                <w:szCs w:val="20"/>
              </w:rPr>
              <w:t>Met Office (n.d.); Construction Plant-hire Association (2025); SCI (n.d.)</w:t>
            </w:r>
          </w:p>
        </w:tc>
      </w:tr>
      <w:tr w:rsidR="00B1670F" w14:paraId="66C5AA73" w14:textId="77777777">
        <w:trPr>
          <w:jc w:val="center"/>
        </w:trPr>
        <w:tc>
          <w:tcPr>
            <w:tcW w:w="1641"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6D" w14:textId="77777777" w:rsidR="00B1670F" w:rsidRDefault="00B23735">
            <w:pPr>
              <w:spacing w:after="0" w:line="240" w:lineRule="auto"/>
              <w:rPr>
                <w:color w:val="auto"/>
                <w:sz w:val="20"/>
                <w:szCs w:val="20"/>
              </w:rPr>
            </w:pPr>
            <w:r>
              <w:rPr>
                <w:color w:val="auto"/>
                <w:sz w:val="20"/>
                <w:szCs w:val="20"/>
              </w:rPr>
              <w:t>Substructure delay or overdesign</w:t>
            </w:r>
          </w:p>
        </w:tc>
        <w:tc>
          <w:tcPr>
            <w:tcW w:w="1562"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6E" w14:textId="77777777" w:rsidR="00B1670F" w:rsidRDefault="00B23735">
            <w:pPr>
              <w:spacing w:after="0" w:line="240" w:lineRule="auto"/>
              <w:rPr>
                <w:color w:val="auto"/>
                <w:sz w:val="20"/>
                <w:szCs w:val="20"/>
              </w:rPr>
            </w:pPr>
            <w:r>
              <w:rPr>
                <w:color w:val="auto"/>
                <w:sz w:val="20"/>
                <w:szCs w:val="20"/>
              </w:rPr>
              <w:t>Unconfirmed ground model, groundwater, obstructions or contamination</w:t>
            </w:r>
          </w:p>
        </w:tc>
        <w:tc>
          <w:tcPr>
            <w:tcW w:w="96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6F" w14:textId="77777777" w:rsidR="00B1670F" w:rsidRDefault="00B23735">
            <w:pPr>
              <w:spacing w:after="0" w:line="240" w:lineRule="auto"/>
              <w:rPr>
                <w:color w:val="auto"/>
                <w:sz w:val="20"/>
                <w:szCs w:val="20"/>
              </w:rPr>
            </w:pPr>
            <w:r>
              <w:rPr>
                <w:color w:val="auto"/>
                <w:sz w:val="20"/>
                <w:szCs w:val="20"/>
              </w:rPr>
              <w:t>High</w:t>
            </w:r>
          </w:p>
        </w:tc>
        <w:tc>
          <w:tcPr>
            <w:tcW w:w="1432"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70" w14:textId="77777777" w:rsidR="00B1670F" w:rsidRDefault="00B23735">
            <w:pPr>
              <w:spacing w:after="0" w:line="240" w:lineRule="auto"/>
              <w:rPr>
                <w:color w:val="auto"/>
                <w:sz w:val="20"/>
                <w:szCs w:val="20"/>
              </w:rPr>
            </w:pPr>
            <w:r>
              <w:rPr>
                <w:color w:val="auto"/>
                <w:sz w:val="20"/>
                <w:szCs w:val="20"/>
              </w:rPr>
              <w:t>Medium/High</w:t>
            </w:r>
          </w:p>
        </w:tc>
        <w:tc>
          <w:tcPr>
            <w:tcW w:w="2194"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71" w14:textId="77777777" w:rsidR="00B1670F" w:rsidRDefault="00B23735">
            <w:pPr>
              <w:spacing w:after="0" w:line="240" w:lineRule="auto"/>
              <w:rPr>
                <w:color w:val="auto"/>
                <w:sz w:val="20"/>
                <w:szCs w:val="20"/>
              </w:rPr>
            </w:pPr>
            <w:r>
              <w:rPr>
                <w:color w:val="auto"/>
                <w:sz w:val="20"/>
                <w:szCs w:val="20"/>
              </w:rPr>
              <w:t>Boundary-specific GI, utility proving, foundation option appraisal, working-platform/spoil strategy</w:t>
            </w:r>
          </w:p>
        </w:tc>
        <w:tc>
          <w:tcPr>
            <w:tcW w:w="2253"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72" w14:textId="77777777" w:rsidR="00B1670F" w:rsidRDefault="00B23735">
            <w:pPr>
              <w:spacing w:after="0" w:line="240" w:lineRule="auto"/>
              <w:rPr>
                <w:color w:val="auto"/>
                <w:sz w:val="20"/>
                <w:szCs w:val="20"/>
              </w:rPr>
            </w:pPr>
            <w:r>
              <w:rPr>
                <w:color w:val="auto"/>
                <w:sz w:val="20"/>
                <w:szCs w:val="20"/>
              </w:rPr>
              <w:t>British Geological Survey (n.d.); British Standards Institution (2020); BRE (2005)</w:t>
            </w:r>
          </w:p>
        </w:tc>
      </w:tr>
      <w:tr w:rsidR="00B1670F" w14:paraId="66C5AA7A" w14:textId="77777777">
        <w:trPr>
          <w:jc w:val="center"/>
        </w:trPr>
        <w:tc>
          <w:tcPr>
            <w:tcW w:w="1641"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74" w14:textId="77777777" w:rsidR="00B1670F" w:rsidRDefault="00B23735">
            <w:pPr>
              <w:spacing w:after="0" w:line="240" w:lineRule="auto"/>
              <w:rPr>
                <w:color w:val="auto"/>
                <w:sz w:val="20"/>
                <w:szCs w:val="20"/>
              </w:rPr>
            </w:pPr>
            <w:r>
              <w:rPr>
                <w:color w:val="auto"/>
                <w:sz w:val="20"/>
                <w:szCs w:val="20"/>
              </w:rPr>
              <w:t>Frame tolerance issues</w:t>
            </w:r>
          </w:p>
        </w:tc>
        <w:tc>
          <w:tcPr>
            <w:tcW w:w="1562"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75" w14:textId="77777777" w:rsidR="00B1670F" w:rsidRDefault="00B23735">
            <w:pPr>
              <w:spacing w:after="0" w:line="240" w:lineRule="auto"/>
              <w:rPr>
                <w:color w:val="auto"/>
                <w:sz w:val="20"/>
                <w:szCs w:val="20"/>
              </w:rPr>
            </w:pPr>
            <w:r>
              <w:rPr>
                <w:color w:val="auto"/>
                <w:sz w:val="20"/>
                <w:szCs w:val="20"/>
              </w:rPr>
              <w:t>Core/steel interface errors</w:t>
            </w:r>
          </w:p>
        </w:tc>
        <w:tc>
          <w:tcPr>
            <w:tcW w:w="968"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76" w14:textId="77777777" w:rsidR="00B1670F" w:rsidRDefault="00B23735">
            <w:pPr>
              <w:spacing w:after="0" w:line="240" w:lineRule="auto"/>
              <w:rPr>
                <w:color w:val="auto"/>
                <w:sz w:val="20"/>
                <w:szCs w:val="20"/>
              </w:rPr>
            </w:pPr>
            <w:r>
              <w:rPr>
                <w:color w:val="auto"/>
                <w:sz w:val="20"/>
                <w:szCs w:val="20"/>
              </w:rPr>
              <w:t>High</w:t>
            </w:r>
          </w:p>
        </w:tc>
        <w:tc>
          <w:tcPr>
            <w:tcW w:w="1432"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77" w14:textId="77777777" w:rsidR="00B1670F" w:rsidRDefault="00B23735">
            <w:pPr>
              <w:spacing w:after="0" w:line="240" w:lineRule="auto"/>
              <w:rPr>
                <w:color w:val="auto"/>
                <w:sz w:val="20"/>
                <w:szCs w:val="20"/>
              </w:rPr>
            </w:pPr>
            <w:r>
              <w:rPr>
                <w:color w:val="auto"/>
                <w:sz w:val="20"/>
                <w:szCs w:val="20"/>
              </w:rPr>
              <w:t>Medium</w:t>
            </w:r>
          </w:p>
        </w:tc>
        <w:tc>
          <w:tcPr>
            <w:tcW w:w="2194"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78" w14:textId="77777777" w:rsidR="00B1670F" w:rsidRDefault="00B23735">
            <w:pPr>
              <w:spacing w:after="0" w:line="240" w:lineRule="auto"/>
              <w:rPr>
                <w:color w:val="auto"/>
                <w:sz w:val="20"/>
                <w:szCs w:val="20"/>
              </w:rPr>
            </w:pPr>
            <w:r>
              <w:rPr>
                <w:color w:val="auto"/>
                <w:sz w:val="20"/>
                <w:szCs w:val="20"/>
              </w:rPr>
              <w:t>Survey control, early steel contractor input, coordinated cast-in plates</w:t>
            </w:r>
          </w:p>
        </w:tc>
        <w:tc>
          <w:tcPr>
            <w:tcW w:w="2253"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79" w14:textId="77777777" w:rsidR="00B1670F" w:rsidRDefault="00B23735">
            <w:pPr>
              <w:spacing w:after="0" w:line="240" w:lineRule="auto"/>
              <w:rPr>
                <w:color w:val="auto"/>
                <w:sz w:val="20"/>
                <w:szCs w:val="20"/>
              </w:rPr>
            </w:pPr>
            <w:r>
              <w:rPr>
                <w:color w:val="auto"/>
                <w:sz w:val="20"/>
                <w:szCs w:val="20"/>
              </w:rPr>
              <w:t>BS EN 1991-1-4; SteelConstruction.info (n.d.)</w:t>
            </w:r>
          </w:p>
        </w:tc>
      </w:tr>
      <w:tr w:rsidR="00B1670F" w14:paraId="66C5AA81" w14:textId="77777777">
        <w:trPr>
          <w:jc w:val="center"/>
        </w:trPr>
        <w:tc>
          <w:tcPr>
            <w:tcW w:w="1641"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7B" w14:textId="77777777" w:rsidR="00B1670F" w:rsidRDefault="00B23735">
            <w:pPr>
              <w:spacing w:after="0" w:line="240" w:lineRule="auto"/>
              <w:rPr>
                <w:color w:val="auto"/>
                <w:sz w:val="20"/>
                <w:szCs w:val="20"/>
              </w:rPr>
            </w:pPr>
            <w:r>
              <w:rPr>
                <w:color w:val="auto"/>
                <w:sz w:val="20"/>
                <w:szCs w:val="20"/>
              </w:rPr>
              <w:t>Façade leakage</w:t>
            </w:r>
          </w:p>
        </w:tc>
        <w:tc>
          <w:tcPr>
            <w:tcW w:w="1562"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7C" w14:textId="77777777" w:rsidR="00B1670F" w:rsidRDefault="00B23735">
            <w:pPr>
              <w:spacing w:after="0" w:line="240" w:lineRule="auto"/>
              <w:rPr>
                <w:color w:val="auto"/>
                <w:sz w:val="20"/>
                <w:szCs w:val="20"/>
              </w:rPr>
            </w:pPr>
            <w:r>
              <w:rPr>
                <w:color w:val="auto"/>
                <w:sz w:val="20"/>
                <w:szCs w:val="20"/>
              </w:rPr>
              <w:t>Poor cavity detailing in wind-driven rain</w:t>
            </w:r>
          </w:p>
        </w:tc>
        <w:tc>
          <w:tcPr>
            <w:tcW w:w="96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7D" w14:textId="77777777" w:rsidR="00B1670F" w:rsidRDefault="00B23735">
            <w:pPr>
              <w:spacing w:after="0" w:line="240" w:lineRule="auto"/>
              <w:rPr>
                <w:color w:val="auto"/>
                <w:sz w:val="20"/>
                <w:szCs w:val="20"/>
              </w:rPr>
            </w:pPr>
            <w:r>
              <w:rPr>
                <w:color w:val="auto"/>
                <w:sz w:val="20"/>
                <w:szCs w:val="20"/>
              </w:rPr>
              <w:t>High</w:t>
            </w:r>
          </w:p>
        </w:tc>
        <w:tc>
          <w:tcPr>
            <w:tcW w:w="1432"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7E" w14:textId="77777777" w:rsidR="00B1670F" w:rsidRDefault="00B23735">
            <w:pPr>
              <w:spacing w:after="0" w:line="240" w:lineRule="auto"/>
              <w:rPr>
                <w:color w:val="auto"/>
                <w:sz w:val="20"/>
                <w:szCs w:val="20"/>
              </w:rPr>
            </w:pPr>
            <w:r>
              <w:rPr>
                <w:color w:val="auto"/>
                <w:sz w:val="20"/>
                <w:szCs w:val="20"/>
              </w:rPr>
              <w:t>Medium</w:t>
            </w:r>
          </w:p>
        </w:tc>
        <w:tc>
          <w:tcPr>
            <w:tcW w:w="2194"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7F" w14:textId="77777777" w:rsidR="00B1670F" w:rsidRDefault="00B23735">
            <w:pPr>
              <w:spacing w:after="0" w:line="240" w:lineRule="auto"/>
              <w:rPr>
                <w:color w:val="auto"/>
                <w:sz w:val="20"/>
                <w:szCs w:val="20"/>
              </w:rPr>
            </w:pPr>
            <w:r>
              <w:rPr>
                <w:color w:val="auto"/>
                <w:sz w:val="20"/>
                <w:szCs w:val="20"/>
              </w:rPr>
              <w:t>Sample bay, cavity inspections, robust trays/weeps/ties</w:t>
            </w:r>
          </w:p>
        </w:tc>
        <w:tc>
          <w:tcPr>
            <w:tcW w:w="2253"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80" w14:textId="77777777" w:rsidR="00B1670F" w:rsidRDefault="00B23735">
            <w:pPr>
              <w:spacing w:after="0" w:line="240" w:lineRule="auto"/>
              <w:rPr>
                <w:color w:val="auto"/>
                <w:sz w:val="20"/>
                <w:szCs w:val="20"/>
              </w:rPr>
            </w:pPr>
            <w:r>
              <w:rPr>
                <w:color w:val="auto"/>
                <w:sz w:val="20"/>
                <w:szCs w:val="20"/>
              </w:rPr>
              <w:t>BS 8104; LABC Warranty (n.d.); Marshalls (n.d.)</w:t>
            </w:r>
          </w:p>
        </w:tc>
      </w:tr>
      <w:tr w:rsidR="00B1670F" w14:paraId="66C5AA88" w14:textId="77777777">
        <w:trPr>
          <w:jc w:val="center"/>
        </w:trPr>
        <w:tc>
          <w:tcPr>
            <w:tcW w:w="1641"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82" w14:textId="77777777" w:rsidR="00B1670F" w:rsidRDefault="00B23735">
            <w:pPr>
              <w:spacing w:after="0" w:line="240" w:lineRule="auto"/>
              <w:rPr>
                <w:color w:val="auto"/>
                <w:sz w:val="20"/>
                <w:szCs w:val="20"/>
              </w:rPr>
            </w:pPr>
            <w:r>
              <w:rPr>
                <w:color w:val="auto"/>
                <w:sz w:val="20"/>
                <w:szCs w:val="20"/>
              </w:rPr>
              <w:t>Fire-stopping defects</w:t>
            </w:r>
          </w:p>
        </w:tc>
        <w:tc>
          <w:tcPr>
            <w:tcW w:w="1562"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83" w14:textId="77777777" w:rsidR="00B1670F" w:rsidRDefault="00B23735">
            <w:pPr>
              <w:spacing w:after="0" w:line="240" w:lineRule="auto"/>
              <w:rPr>
                <w:color w:val="auto"/>
                <w:sz w:val="20"/>
                <w:szCs w:val="20"/>
              </w:rPr>
            </w:pPr>
            <w:r>
              <w:rPr>
                <w:color w:val="auto"/>
                <w:sz w:val="20"/>
                <w:szCs w:val="20"/>
              </w:rPr>
              <w:t>Late coordination of MEP/façade penetrations</w:t>
            </w:r>
          </w:p>
        </w:tc>
        <w:tc>
          <w:tcPr>
            <w:tcW w:w="968"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84" w14:textId="77777777" w:rsidR="00B1670F" w:rsidRDefault="00B23735">
            <w:pPr>
              <w:spacing w:after="0" w:line="240" w:lineRule="auto"/>
              <w:rPr>
                <w:color w:val="auto"/>
                <w:sz w:val="20"/>
                <w:szCs w:val="20"/>
              </w:rPr>
            </w:pPr>
            <w:r>
              <w:rPr>
                <w:color w:val="auto"/>
                <w:sz w:val="20"/>
                <w:szCs w:val="20"/>
              </w:rPr>
              <w:t>High</w:t>
            </w:r>
          </w:p>
        </w:tc>
        <w:tc>
          <w:tcPr>
            <w:tcW w:w="1432"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85" w14:textId="77777777" w:rsidR="00B1670F" w:rsidRDefault="00B23735">
            <w:pPr>
              <w:spacing w:after="0" w:line="240" w:lineRule="auto"/>
              <w:rPr>
                <w:color w:val="auto"/>
                <w:sz w:val="20"/>
                <w:szCs w:val="20"/>
              </w:rPr>
            </w:pPr>
            <w:r>
              <w:rPr>
                <w:color w:val="auto"/>
                <w:sz w:val="20"/>
                <w:szCs w:val="20"/>
              </w:rPr>
              <w:t>Medium</w:t>
            </w:r>
          </w:p>
        </w:tc>
        <w:tc>
          <w:tcPr>
            <w:tcW w:w="2194"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86" w14:textId="77777777" w:rsidR="00B1670F" w:rsidRDefault="00B23735">
            <w:pPr>
              <w:spacing w:after="0" w:line="240" w:lineRule="auto"/>
              <w:rPr>
                <w:color w:val="auto"/>
                <w:sz w:val="20"/>
                <w:szCs w:val="20"/>
              </w:rPr>
            </w:pPr>
            <w:r>
              <w:rPr>
                <w:color w:val="auto"/>
                <w:sz w:val="20"/>
                <w:szCs w:val="20"/>
              </w:rPr>
              <w:t>Fire-stopping register, inspections before closure, coordinated risers</w:t>
            </w:r>
          </w:p>
        </w:tc>
        <w:tc>
          <w:tcPr>
            <w:tcW w:w="2253"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87" w14:textId="77777777" w:rsidR="00B1670F" w:rsidRDefault="00B23735">
            <w:pPr>
              <w:spacing w:after="0" w:line="240" w:lineRule="auto"/>
              <w:rPr>
                <w:color w:val="auto"/>
                <w:sz w:val="20"/>
                <w:szCs w:val="20"/>
              </w:rPr>
            </w:pPr>
            <w:r>
              <w:rPr>
                <w:color w:val="auto"/>
                <w:sz w:val="20"/>
                <w:szCs w:val="20"/>
              </w:rPr>
              <w:t>Welsh Government (2021; 2025d); Health and Safety Executive (n.d.)</w:t>
            </w:r>
          </w:p>
        </w:tc>
      </w:tr>
    </w:tbl>
    <w:p w14:paraId="66C5AA89" w14:textId="77777777" w:rsidR="00B1670F" w:rsidRDefault="00B1670F"/>
    <w:p w14:paraId="66C5AA8A" w14:textId="77777777" w:rsidR="00B1670F" w:rsidRDefault="00B23735">
      <w:pPr>
        <w:pStyle w:val="Heading1"/>
        <w:spacing w:before="0"/>
      </w:pPr>
      <w:bookmarkStart w:id="26" w:name="_Toc229404624"/>
      <w:bookmarkStart w:id="27" w:name="_Toc229426331"/>
      <w:r>
        <w:t>5. Sustainability Analysis</w:t>
      </w:r>
      <w:bookmarkEnd w:id="26"/>
      <w:bookmarkEnd w:id="27"/>
    </w:p>
    <w:p w14:paraId="66C5AA8B" w14:textId="77777777" w:rsidR="00B1670F" w:rsidRDefault="00B23735">
      <w:pPr>
        <w:rPr>
          <w:sz w:val="20"/>
          <w:szCs w:val="20"/>
        </w:rPr>
      </w:pPr>
      <w:r>
        <w:rPr>
          <w:sz w:val="20"/>
          <w:szCs w:val="20"/>
        </w:rPr>
        <w:t xml:space="preserve">This section evaluates the AS1 proposal using lifecycle sustainability criteria. The assessment considers embodied carbon, operational energy, waste, water, circular economy, durability and maintenance. As no detailed </w:t>
      </w:r>
      <w:r>
        <w:rPr>
          <w:sz w:val="20"/>
          <w:szCs w:val="20"/>
        </w:rPr>
        <w:lastRenderedPageBreak/>
        <w:t xml:space="preserve">quantities, EPDs or energy </w:t>
      </w:r>
      <w:proofErr w:type="gramStart"/>
      <w:r>
        <w:rPr>
          <w:sz w:val="20"/>
          <w:szCs w:val="20"/>
        </w:rPr>
        <w:t>model</w:t>
      </w:r>
      <w:proofErr w:type="gramEnd"/>
      <w:r>
        <w:rPr>
          <w:sz w:val="20"/>
          <w:szCs w:val="20"/>
        </w:rPr>
        <w:t xml:space="preserve"> are currently available, the appraisal is qualitative. A formal whole-life carbon assessment should therefore be completed at the next design stage using RICS guidance (RICS, 2024).</w:t>
      </w:r>
    </w:p>
    <w:p w14:paraId="66C5AA8C" w14:textId="77777777" w:rsidR="00B1670F" w:rsidRDefault="00B23735">
      <w:pPr>
        <w:pStyle w:val="Heading2"/>
      </w:pPr>
      <w:bookmarkStart w:id="28" w:name="_Toc229404625"/>
      <w:bookmarkStart w:id="29" w:name="_Toc229426332"/>
      <w:r>
        <w:t>5.1 Materials and Embodied Carbon</w:t>
      </w:r>
      <w:bookmarkEnd w:id="28"/>
      <w:bookmarkEnd w:id="29"/>
    </w:p>
    <w:p w14:paraId="2B640F1A" w14:textId="77777777" w:rsidR="00AC734E" w:rsidRPr="00AC734E" w:rsidRDefault="00AC734E" w:rsidP="00AC734E">
      <w:pPr>
        <w:rPr>
          <w:sz w:val="20"/>
          <w:szCs w:val="20"/>
          <w:lang w:val="en-GB"/>
        </w:rPr>
      </w:pPr>
      <w:bookmarkStart w:id="30" w:name="_Toc229404626"/>
      <w:r w:rsidRPr="00AC734E">
        <w:rPr>
          <w:sz w:val="20"/>
          <w:szCs w:val="20"/>
          <w:lang w:val="en-GB"/>
        </w:rPr>
        <w:t>High-embodied-carbon areas include steel composite frame reinforced concrete core, provisional substructure, masonry cavity wall, and insulation. Steel composite frames are better than concrete frames for AS1 because they reduce superstructure weight and foundation demand. The frame should be rationalised through efficient grid design, standardised member sizes, and EPD-led procurement because steel has a high upfront carbon impact. RICS (2024; ISBE 2020) wants supply-chain data to prove recycled-content steel's impact.</w:t>
      </w:r>
    </w:p>
    <w:p w14:paraId="66932EA6" w14:textId="38A43535" w:rsidR="00F113FC" w:rsidRPr="00AC734E" w:rsidRDefault="00AC734E" w:rsidP="00AC734E">
      <w:pPr>
        <w:rPr>
          <w:sz w:val="20"/>
          <w:szCs w:val="20"/>
          <w:lang w:val="en-GB"/>
        </w:rPr>
      </w:pPr>
      <w:r w:rsidRPr="00AC734E">
        <w:rPr>
          <w:sz w:val="20"/>
          <w:szCs w:val="20"/>
          <w:lang w:val="en-GB"/>
        </w:rPr>
        <w:t>Concrete dominates core and substructure. Overdesigning structure-critical elements increases embodied carbon. Not overcommitting to piles may boost sustainability most. Pads, rafts, piled rafts, or ground improvement may reduce concrete and reinforcement if investigation shows competent shallow strata or manageable settlement risk. Pile construction may be justified if the site has uncontrolled fill, soft deposits, high groundwater, or unacceptable settlement risk. Though not wrong, unproven piling is a carbon, cost, and programme risk (British Geological Survey, n.d.; BRE, 2005; British Standards Institution, 2020; RICS, 2024). When strength, program, and exposure requirements are met, consider lower-carbon concrete mixes. Coastline durability is supported by BS 8500:2023.</w:t>
      </w:r>
    </w:p>
    <w:p w14:paraId="66C5AA8F" w14:textId="5CEF6219" w:rsidR="00B1670F" w:rsidRDefault="00B23735" w:rsidP="00F113FC">
      <w:pPr>
        <w:pStyle w:val="Heading2"/>
      </w:pPr>
      <w:bookmarkStart w:id="31" w:name="_Toc229426333"/>
      <w:r>
        <w:t>5.2 Operational Energy and Building Performance</w:t>
      </w:r>
      <w:bookmarkEnd w:id="30"/>
      <w:bookmarkEnd w:id="31"/>
    </w:p>
    <w:p w14:paraId="66C5AA90" w14:textId="77777777" w:rsidR="00B1670F" w:rsidRDefault="00B23735">
      <w:pPr>
        <w:pStyle w:val="Placeholder"/>
        <w:rPr>
          <w:i w:val="0"/>
          <w:color w:val="auto"/>
          <w:lang w:val="en-GB"/>
        </w:rPr>
      </w:pPr>
      <w:r>
        <w:rPr>
          <w:i w:val="0"/>
          <w:color w:val="auto"/>
          <w:lang w:val="en-GB"/>
        </w:rPr>
        <w:t>Operational energy will depend mainly on the façade, airtightness, thermal bridging, glazing and building services. The masonry cavity wall can support good thermal and acoustic performance for hotel bedrooms, but only if insulation continuity, cavity barriers, window interfaces and slab-edge details are properly coordinated. Poor detailing would increase heat loss, condensation risk and long-term maintenance.</w:t>
      </w:r>
    </w:p>
    <w:p w14:paraId="66C5AA91" w14:textId="77777777" w:rsidR="00B1670F" w:rsidRDefault="00B23735">
      <w:pPr>
        <w:pStyle w:val="Placeholder"/>
        <w:rPr>
          <w:i w:val="0"/>
          <w:color w:val="auto"/>
          <w:lang w:val="en-GB"/>
        </w:rPr>
      </w:pPr>
      <w:r>
        <w:rPr>
          <w:i w:val="0"/>
          <w:color w:val="auto"/>
          <w:lang w:val="en-GB"/>
        </w:rPr>
        <w:t>The design should avoid excessive glazing because this can increase solar gain, overheating and cooling demand. A balanced façade strategy should combine controlled glazing ratios, solar-control glass, airtight construction, efficient ventilation and careful thermal bridge detailing. At detailed design stage, CIBSE TM54 should be used to assess likely operational energy more realistically than compliance-only modelling, while the whole-life carbon assessment should test both upfront carbon and replacement cycles for façade, services and substructure options (CIBSE, 2022; RICS, 2024).</w:t>
      </w:r>
    </w:p>
    <w:p w14:paraId="66C5AA92" w14:textId="77777777" w:rsidR="00B1670F" w:rsidRDefault="00B23735">
      <w:pPr>
        <w:pStyle w:val="Heading2"/>
      </w:pPr>
      <w:bookmarkStart w:id="32" w:name="_Toc229404627"/>
      <w:bookmarkStart w:id="33" w:name="_Toc229426334"/>
      <w:r>
        <w:t>5.3 Waste, Water and Circular Economy</w:t>
      </w:r>
      <w:bookmarkEnd w:id="32"/>
      <w:bookmarkEnd w:id="33"/>
    </w:p>
    <w:p w14:paraId="7959E25A" w14:textId="77777777" w:rsidR="005E613A" w:rsidRPr="005E613A" w:rsidRDefault="005E613A" w:rsidP="005E613A">
      <w:pPr>
        <w:pStyle w:val="Placeholder"/>
        <w:rPr>
          <w:i w:val="0"/>
          <w:color w:val="auto"/>
          <w:lang w:val="en-GB"/>
        </w:rPr>
      </w:pPr>
      <w:r w:rsidRPr="005E613A">
        <w:rPr>
          <w:i w:val="0"/>
          <w:color w:val="auto"/>
          <w:lang w:val="en-GB"/>
        </w:rPr>
        <w:t xml:space="preserve">The hybrid </w:t>
      </w:r>
      <w:proofErr w:type="spellStart"/>
      <w:r w:rsidRPr="005E613A">
        <w:rPr>
          <w:i w:val="0"/>
          <w:color w:val="auto"/>
          <w:lang w:val="en-GB"/>
        </w:rPr>
        <w:t>DfMA</w:t>
      </w:r>
      <w:proofErr w:type="spellEnd"/>
      <w:r w:rsidRPr="005E613A">
        <w:rPr>
          <w:i w:val="0"/>
          <w:color w:val="auto"/>
          <w:lang w:val="en-GB"/>
        </w:rPr>
        <w:t>/MMC strategy reduces waste by producing steelwork, windows, MEP modules, plant skids and possibly bathroom pods in a controlled factory. Offcuts, site congestion, and rework can decrease. The site-built masonry envelope may generate bricks, blocks, insulation, pallets, mortar, and packaging waste. Standard dimensions, material take-off accuracy, and supplier take-back are recommended.</w:t>
      </w:r>
    </w:p>
    <w:p w14:paraId="66C5AA94" w14:textId="084D95DA" w:rsidR="00B1670F" w:rsidRDefault="005E613A" w:rsidP="005E613A">
      <w:pPr>
        <w:pStyle w:val="Placeholder"/>
        <w:rPr>
          <w:i w:val="0"/>
          <w:color w:val="auto"/>
          <w:lang w:val="en-GB"/>
        </w:rPr>
      </w:pPr>
      <w:r w:rsidRPr="005E613A">
        <w:rPr>
          <w:i w:val="0"/>
          <w:color w:val="auto"/>
          <w:lang w:val="en-GB"/>
        </w:rPr>
        <w:t xml:space="preserve">Water sustainability should include construction and operation. Runoff, cement washout, fuel storage, and dust-suppression water must be controlled during construction to avoid pollution. The completed hotel should manage surface water using a </w:t>
      </w:r>
      <w:proofErr w:type="spellStart"/>
      <w:r w:rsidRPr="005E613A">
        <w:rPr>
          <w:i w:val="0"/>
          <w:color w:val="auto"/>
          <w:lang w:val="en-GB"/>
        </w:rPr>
        <w:t>SuDS</w:t>
      </w:r>
      <w:proofErr w:type="spellEnd"/>
      <w:r w:rsidRPr="005E613A">
        <w:rPr>
          <w:i w:val="0"/>
          <w:color w:val="auto"/>
          <w:lang w:val="en-GB"/>
        </w:rPr>
        <w:t xml:space="preserve"> strategy in accordance with Welsh drainage standards (Welsh Government, 2019). Because the Singleton/Mumbles Road corridor is coastal and flood/drainage screening is plot-dependent, </w:t>
      </w:r>
      <w:proofErr w:type="spellStart"/>
      <w:r w:rsidRPr="005E613A">
        <w:rPr>
          <w:i w:val="0"/>
          <w:color w:val="auto"/>
          <w:lang w:val="en-GB"/>
        </w:rPr>
        <w:t>SuDS</w:t>
      </w:r>
      <w:proofErr w:type="spellEnd"/>
      <w:r w:rsidRPr="005E613A">
        <w:rPr>
          <w:i w:val="0"/>
          <w:color w:val="auto"/>
          <w:lang w:val="en-GB"/>
        </w:rPr>
        <w:t xml:space="preserve">, exceedance routing, and access resilience should be </w:t>
      </w:r>
      <w:proofErr w:type="gramStart"/>
      <w:r w:rsidRPr="005E613A">
        <w:rPr>
          <w:i w:val="0"/>
          <w:color w:val="auto"/>
          <w:lang w:val="en-GB"/>
        </w:rPr>
        <w:t>design</w:t>
      </w:r>
      <w:proofErr w:type="gramEnd"/>
      <w:r w:rsidRPr="005E613A">
        <w:rPr>
          <w:i w:val="0"/>
          <w:color w:val="auto"/>
          <w:lang w:val="en-GB"/>
        </w:rPr>
        <w:t xml:space="preserve"> issues, not late compliance items (Welsh Government, 2025a).</w:t>
      </w:r>
    </w:p>
    <w:p w14:paraId="66C5AA95" w14:textId="499DFEA1" w:rsidR="00B1670F" w:rsidRDefault="00B23735">
      <w:pPr>
        <w:pStyle w:val="Heading2"/>
      </w:pPr>
      <w:bookmarkStart w:id="34" w:name="_Toc229404628"/>
      <w:bookmarkStart w:id="35" w:name="_Toc229426335"/>
      <w:r>
        <w:t>5.4 Durability, Maintenance and Lifecycle Value</w:t>
      </w:r>
      <w:bookmarkEnd w:id="34"/>
      <w:bookmarkEnd w:id="35"/>
    </w:p>
    <w:p w14:paraId="66C5AA96" w14:textId="77777777" w:rsidR="00B1670F" w:rsidRDefault="00B23735">
      <w:pPr>
        <w:pStyle w:val="Placeholder"/>
        <w:rPr>
          <w:i w:val="0"/>
          <w:color w:val="auto"/>
          <w:lang w:val="en-GB"/>
        </w:rPr>
      </w:pPr>
      <w:r>
        <w:rPr>
          <w:i w:val="0"/>
          <w:color w:val="auto"/>
          <w:lang w:val="en-GB"/>
        </w:rPr>
        <w:t>In a coastal Swansea location, durability is central to sustainability. The lowest upfront-carbon option is not automatically the best whole-life option if it leads to corrosion, water ingress, early replacement or difficult maintenance. The masonry cavity wall has relatively high material mass, but it may be justified if it provides fire robustness, acoustic performance, weather resistance and long service life.</w:t>
      </w:r>
    </w:p>
    <w:p w14:paraId="66C5AA97" w14:textId="77777777" w:rsidR="00B1670F" w:rsidRDefault="00B23735">
      <w:pPr>
        <w:pStyle w:val="Placeholder"/>
        <w:rPr>
          <w:i w:val="0"/>
          <w:color w:val="auto"/>
          <w:lang w:val="en-GB"/>
        </w:rPr>
      </w:pPr>
      <w:r>
        <w:rPr>
          <w:i w:val="0"/>
          <w:color w:val="auto"/>
          <w:lang w:val="en-GB"/>
        </w:rPr>
        <w:t xml:space="preserve">Steelwork, façade fixings, wall ties and support systems should be specified for marine-influenced corrosion risk. Maintenance access must also be considered early, because inaccessible façades and plant areas increase cost, </w:t>
      </w:r>
      <w:r>
        <w:rPr>
          <w:i w:val="0"/>
          <w:color w:val="auto"/>
          <w:lang w:val="en-GB"/>
        </w:rPr>
        <w:lastRenderedPageBreak/>
        <w:t>disruption and carbon from repair works. Sealant replacement, façade inspection, cleaning access and rooftop plant replacement routes should be coordinated from the outset. The most sustainable AS1 outcome is therefore a durable, maintainable and material-efficient design supported by WLCA, energy modelling and EPD-based procurement.</w:t>
      </w:r>
    </w:p>
    <w:p w14:paraId="66C5AA98" w14:textId="77777777" w:rsidR="00B1670F" w:rsidRDefault="00B23735">
      <w:pPr>
        <w:pStyle w:val="Heading2"/>
      </w:pPr>
      <w:bookmarkStart w:id="36" w:name="_Toc229404629"/>
      <w:bookmarkStart w:id="37" w:name="_Toc229426336"/>
      <w:r>
        <w:t>5.5 Sustainability Evidence Table</w:t>
      </w:r>
      <w:bookmarkEnd w:id="36"/>
      <w:bookmarkEnd w:id="37"/>
    </w:p>
    <w:tbl>
      <w:tblPr>
        <w:tblStyle w:val="TableGrid"/>
        <w:tblW w:w="10051" w:type="dxa"/>
        <w:jc w:val="center"/>
        <w:tblLayout w:type="fixed"/>
        <w:tblLook w:val="04A0" w:firstRow="1" w:lastRow="0" w:firstColumn="1" w:lastColumn="0" w:noHBand="0" w:noVBand="1"/>
      </w:tblPr>
      <w:tblGrid>
        <w:gridCol w:w="1414"/>
        <w:gridCol w:w="1393"/>
        <w:gridCol w:w="1580"/>
        <w:gridCol w:w="1756"/>
        <w:gridCol w:w="2278"/>
        <w:gridCol w:w="1630"/>
      </w:tblGrid>
      <w:tr w:rsidR="00B1670F" w14:paraId="66C5AA9F" w14:textId="77777777">
        <w:trPr>
          <w:tblHeader/>
          <w:jc w:val="center"/>
        </w:trPr>
        <w:tc>
          <w:tcPr>
            <w:tcW w:w="1413"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99" w14:textId="77777777" w:rsidR="00B1670F" w:rsidRDefault="00B23735">
            <w:pPr>
              <w:spacing w:after="0" w:line="240" w:lineRule="auto"/>
              <w:rPr>
                <w:color w:val="auto"/>
              </w:rPr>
            </w:pPr>
            <w:r>
              <w:rPr>
                <w:b/>
                <w:bCs/>
                <w:color w:val="auto"/>
              </w:rPr>
              <w:t>Issue</w:t>
            </w:r>
          </w:p>
        </w:tc>
        <w:tc>
          <w:tcPr>
            <w:tcW w:w="1393"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9A" w14:textId="77777777" w:rsidR="00B1670F" w:rsidRDefault="00B23735">
            <w:pPr>
              <w:spacing w:after="0" w:line="240" w:lineRule="auto"/>
              <w:rPr>
                <w:color w:val="auto"/>
              </w:rPr>
            </w:pPr>
            <w:r>
              <w:rPr>
                <w:b/>
                <w:bCs/>
                <w:color w:val="auto"/>
              </w:rPr>
              <w:t>Current AS1 position</w:t>
            </w:r>
          </w:p>
        </w:tc>
        <w:tc>
          <w:tcPr>
            <w:tcW w:w="1580"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9B" w14:textId="77777777" w:rsidR="00B1670F" w:rsidRDefault="00B23735">
            <w:pPr>
              <w:spacing w:after="0" w:line="240" w:lineRule="auto"/>
              <w:rPr>
                <w:color w:val="auto"/>
              </w:rPr>
            </w:pPr>
            <w:r>
              <w:rPr>
                <w:b/>
                <w:bCs/>
                <w:color w:val="auto"/>
              </w:rPr>
              <w:t>Sustainability concern</w:t>
            </w:r>
          </w:p>
        </w:tc>
        <w:tc>
          <w:tcPr>
            <w:tcW w:w="1756"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9C" w14:textId="77777777" w:rsidR="00B1670F" w:rsidRDefault="00B23735">
            <w:pPr>
              <w:spacing w:after="0" w:line="240" w:lineRule="auto"/>
              <w:rPr>
                <w:color w:val="auto"/>
              </w:rPr>
            </w:pPr>
            <w:r>
              <w:rPr>
                <w:b/>
                <w:bCs/>
                <w:color w:val="auto"/>
              </w:rPr>
              <w:t>Possible improvement</w:t>
            </w:r>
          </w:p>
        </w:tc>
        <w:tc>
          <w:tcPr>
            <w:tcW w:w="2278"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9D" w14:textId="77777777" w:rsidR="00B1670F" w:rsidRDefault="00B23735">
            <w:pPr>
              <w:spacing w:after="0" w:line="240" w:lineRule="auto"/>
              <w:rPr>
                <w:color w:val="auto"/>
              </w:rPr>
            </w:pPr>
            <w:r>
              <w:rPr>
                <w:b/>
                <w:bCs/>
                <w:color w:val="auto"/>
              </w:rPr>
              <w:t>Evidence/source</w:t>
            </w:r>
          </w:p>
        </w:tc>
        <w:tc>
          <w:tcPr>
            <w:tcW w:w="1630"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9E" w14:textId="77777777" w:rsidR="00B1670F" w:rsidRDefault="00B23735">
            <w:pPr>
              <w:spacing w:after="0" w:line="240" w:lineRule="auto"/>
              <w:rPr>
                <w:color w:val="auto"/>
              </w:rPr>
            </w:pPr>
            <w:r>
              <w:rPr>
                <w:b/>
                <w:bCs/>
                <w:color w:val="auto"/>
              </w:rPr>
              <w:t>Expected benefit</w:t>
            </w:r>
          </w:p>
        </w:tc>
      </w:tr>
      <w:tr w:rsidR="00B1670F" w14:paraId="66C5AAA6" w14:textId="77777777">
        <w:trPr>
          <w:jc w:val="center"/>
        </w:trPr>
        <w:tc>
          <w:tcPr>
            <w:tcW w:w="1413"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A0" w14:textId="77777777" w:rsidR="00B1670F" w:rsidRDefault="00B23735">
            <w:pPr>
              <w:spacing w:after="0" w:line="240" w:lineRule="auto"/>
              <w:rPr>
                <w:color w:val="auto"/>
              </w:rPr>
            </w:pPr>
            <w:r>
              <w:rPr>
                <w:color w:val="auto"/>
              </w:rPr>
              <w:t>Structural frame</w:t>
            </w:r>
          </w:p>
        </w:tc>
        <w:tc>
          <w:tcPr>
            <w:tcW w:w="1393"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A1" w14:textId="77777777" w:rsidR="00B1670F" w:rsidRDefault="00B23735">
            <w:pPr>
              <w:spacing w:after="0" w:line="240" w:lineRule="auto"/>
              <w:rPr>
                <w:color w:val="auto"/>
              </w:rPr>
            </w:pPr>
            <w:r>
              <w:rPr>
                <w:color w:val="auto"/>
              </w:rPr>
              <w:t>Steel composite frame with RC core</w:t>
            </w:r>
          </w:p>
        </w:tc>
        <w:tc>
          <w:tcPr>
            <w:tcW w:w="1580"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A2" w14:textId="77777777" w:rsidR="00B1670F" w:rsidRDefault="00B23735">
            <w:pPr>
              <w:spacing w:after="0" w:line="240" w:lineRule="auto"/>
              <w:rPr>
                <w:color w:val="auto"/>
              </w:rPr>
            </w:pPr>
            <w:r>
              <w:rPr>
                <w:color w:val="auto"/>
              </w:rPr>
              <w:t>High upfront embodied carbon from steel and concrete</w:t>
            </w:r>
          </w:p>
        </w:tc>
        <w:tc>
          <w:tcPr>
            <w:tcW w:w="1756"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A3" w14:textId="77777777" w:rsidR="00B1670F" w:rsidRDefault="00B23735">
            <w:pPr>
              <w:spacing w:after="0" w:line="240" w:lineRule="auto"/>
              <w:rPr>
                <w:color w:val="auto"/>
              </w:rPr>
            </w:pPr>
            <w:proofErr w:type="spellStart"/>
            <w:r>
              <w:rPr>
                <w:color w:val="auto"/>
              </w:rPr>
              <w:t>Optimise</w:t>
            </w:r>
            <w:proofErr w:type="spellEnd"/>
            <w:r>
              <w:rPr>
                <w:color w:val="auto"/>
              </w:rPr>
              <w:t xml:space="preserve"> grid, reduce member sizes, require EPDs, use verified recycled-content steel</w:t>
            </w:r>
          </w:p>
        </w:tc>
        <w:tc>
          <w:tcPr>
            <w:tcW w:w="227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A4" w14:textId="77777777" w:rsidR="00B1670F" w:rsidRDefault="00B23735">
            <w:pPr>
              <w:spacing w:after="0" w:line="240" w:lineRule="auto"/>
              <w:rPr>
                <w:color w:val="auto"/>
              </w:rPr>
            </w:pPr>
            <w:r>
              <w:rPr>
                <w:color w:val="auto"/>
              </w:rPr>
              <w:t>RICS (2024); Institution of Structural Engineers (2020); SteelConstruction.info (n.d.)</w:t>
            </w:r>
          </w:p>
        </w:tc>
        <w:tc>
          <w:tcPr>
            <w:tcW w:w="1630"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A5" w14:textId="77777777" w:rsidR="00B1670F" w:rsidRDefault="00B23735">
            <w:pPr>
              <w:spacing w:after="0" w:line="240" w:lineRule="auto"/>
              <w:rPr>
                <w:color w:val="auto"/>
              </w:rPr>
            </w:pPr>
            <w:r>
              <w:rPr>
                <w:color w:val="auto"/>
              </w:rPr>
              <w:t>Lower embodied carbon and improved adaptability</w:t>
            </w:r>
          </w:p>
        </w:tc>
      </w:tr>
      <w:tr w:rsidR="00B1670F" w14:paraId="66C5AAAD" w14:textId="77777777">
        <w:trPr>
          <w:jc w:val="center"/>
        </w:trPr>
        <w:tc>
          <w:tcPr>
            <w:tcW w:w="1413"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A7" w14:textId="77777777" w:rsidR="00B1670F" w:rsidRDefault="00B23735">
            <w:pPr>
              <w:spacing w:after="0" w:line="240" w:lineRule="auto"/>
              <w:rPr>
                <w:color w:val="auto"/>
              </w:rPr>
            </w:pPr>
            <w:r>
              <w:rPr>
                <w:color w:val="auto"/>
              </w:rPr>
              <w:t>Provisional foundations</w:t>
            </w:r>
          </w:p>
        </w:tc>
        <w:tc>
          <w:tcPr>
            <w:tcW w:w="1393"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A8" w14:textId="77777777" w:rsidR="00B1670F" w:rsidRDefault="00B23735">
            <w:pPr>
              <w:spacing w:after="0" w:line="240" w:lineRule="auto"/>
              <w:rPr>
                <w:color w:val="auto"/>
              </w:rPr>
            </w:pPr>
            <w:r>
              <w:rPr>
                <w:color w:val="auto"/>
              </w:rPr>
              <w:t>AS1 assumed deep piles with ground beams and suspended slab</w:t>
            </w:r>
          </w:p>
        </w:tc>
        <w:tc>
          <w:tcPr>
            <w:tcW w:w="1580"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A9" w14:textId="77777777" w:rsidR="00B1670F" w:rsidRDefault="00B23735">
            <w:pPr>
              <w:spacing w:after="0" w:line="240" w:lineRule="auto"/>
              <w:rPr>
                <w:color w:val="auto"/>
              </w:rPr>
            </w:pPr>
            <w:r>
              <w:rPr>
                <w:color w:val="auto"/>
              </w:rPr>
              <w:t xml:space="preserve">Concrete and reinforcement volumes may be unnecessary if full piling is not </w:t>
            </w:r>
            <w:proofErr w:type="gramStart"/>
            <w:r>
              <w:rPr>
                <w:color w:val="auto"/>
              </w:rPr>
              <w:t>GI-justified</w:t>
            </w:r>
            <w:proofErr w:type="gramEnd"/>
          </w:p>
        </w:tc>
        <w:tc>
          <w:tcPr>
            <w:tcW w:w="1756"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AA" w14:textId="77777777" w:rsidR="00B1670F" w:rsidRDefault="00B23735">
            <w:pPr>
              <w:spacing w:after="0" w:line="240" w:lineRule="auto"/>
              <w:rPr>
                <w:color w:val="auto"/>
              </w:rPr>
            </w:pPr>
            <w:r>
              <w:rPr>
                <w:color w:val="auto"/>
              </w:rPr>
              <w:t>Use GI to test shallow foundations, raft, piled raft, ground improvement and piles before design freeze</w:t>
            </w:r>
          </w:p>
        </w:tc>
        <w:tc>
          <w:tcPr>
            <w:tcW w:w="2278"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AB" w14:textId="77777777" w:rsidR="00B1670F" w:rsidRDefault="00B23735">
            <w:pPr>
              <w:spacing w:after="0" w:line="240" w:lineRule="auto"/>
              <w:rPr>
                <w:color w:val="auto"/>
              </w:rPr>
            </w:pPr>
            <w:r>
              <w:rPr>
                <w:color w:val="auto"/>
              </w:rPr>
              <w:t>British Geological Survey (n.d.); British Standards Institution (2020); BRE (2005); RICS (2024)</w:t>
            </w:r>
          </w:p>
        </w:tc>
        <w:tc>
          <w:tcPr>
            <w:tcW w:w="1630"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AC" w14:textId="77777777" w:rsidR="00B1670F" w:rsidRDefault="00B23735">
            <w:pPr>
              <w:spacing w:after="0" w:line="240" w:lineRule="auto"/>
              <w:rPr>
                <w:color w:val="auto"/>
              </w:rPr>
            </w:pPr>
            <w:r>
              <w:rPr>
                <w:color w:val="auto"/>
              </w:rPr>
              <w:t>Lower material use, reduced carbon and better cost/</w:t>
            </w:r>
            <w:proofErr w:type="spellStart"/>
            <w:r>
              <w:rPr>
                <w:color w:val="auto"/>
              </w:rPr>
              <w:t>programme</w:t>
            </w:r>
            <w:proofErr w:type="spellEnd"/>
            <w:r>
              <w:rPr>
                <w:color w:val="auto"/>
              </w:rPr>
              <w:t xml:space="preserve"> certainty</w:t>
            </w:r>
          </w:p>
        </w:tc>
      </w:tr>
      <w:tr w:rsidR="00B1670F" w14:paraId="66C5AAB4" w14:textId="77777777">
        <w:trPr>
          <w:jc w:val="center"/>
        </w:trPr>
        <w:tc>
          <w:tcPr>
            <w:tcW w:w="1413"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AE" w14:textId="77777777" w:rsidR="00B1670F" w:rsidRDefault="00B23735">
            <w:pPr>
              <w:spacing w:after="0" w:line="240" w:lineRule="auto"/>
              <w:rPr>
                <w:color w:val="auto"/>
              </w:rPr>
            </w:pPr>
            <w:r>
              <w:rPr>
                <w:color w:val="auto"/>
              </w:rPr>
              <w:t>Masonry envelope</w:t>
            </w:r>
          </w:p>
        </w:tc>
        <w:tc>
          <w:tcPr>
            <w:tcW w:w="1393"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AF" w14:textId="77777777" w:rsidR="00B1670F" w:rsidRDefault="00B23735">
            <w:pPr>
              <w:spacing w:after="0" w:line="240" w:lineRule="auto"/>
              <w:rPr>
                <w:color w:val="auto"/>
              </w:rPr>
            </w:pPr>
            <w:r>
              <w:rPr>
                <w:color w:val="auto"/>
              </w:rPr>
              <w:t>Masonry cavity wall with non-combustible insulation</w:t>
            </w:r>
          </w:p>
        </w:tc>
        <w:tc>
          <w:tcPr>
            <w:tcW w:w="1580"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B0" w14:textId="77777777" w:rsidR="00B1670F" w:rsidRDefault="00B23735">
            <w:pPr>
              <w:spacing w:after="0" w:line="240" w:lineRule="auto"/>
              <w:rPr>
                <w:color w:val="auto"/>
              </w:rPr>
            </w:pPr>
            <w:r>
              <w:rPr>
                <w:color w:val="auto"/>
              </w:rPr>
              <w:t>High material mass and workmanship risk</w:t>
            </w:r>
          </w:p>
        </w:tc>
        <w:tc>
          <w:tcPr>
            <w:tcW w:w="1756"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B1" w14:textId="77777777" w:rsidR="00B1670F" w:rsidRDefault="00B23735">
            <w:pPr>
              <w:spacing w:after="0" w:line="240" w:lineRule="auto"/>
              <w:rPr>
                <w:color w:val="auto"/>
              </w:rPr>
            </w:pPr>
            <w:r>
              <w:rPr>
                <w:color w:val="auto"/>
              </w:rPr>
              <w:t>Improve detailing, reduce waste, inspect cavities and use durable ties</w:t>
            </w:r>
          </w:p>
        </w:tc>
        <w:tc>
          <w:tcPr>
            <w:tcW w:w="227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B2" w14:textId="77777777" w:rsidR="00B1670F" w:rsidRDefault="00B23735">
            <w:pPr>
              <w:spacing w:after="0" w:line="240" w:lineRule="auto"/>
              <w:rPr>
                <w:color w:val="auto"/>
              </w:rPr>
            </w:pPr>
            <w:r>
              <w:rPr>
                <w:color w:val="auto"/>
              </w:rPr>
              <w:t>British Standards Institution (n.d.); LABC Warranty (n.d.)</w:t>
            </w:r>
          </w:p>
        </w:tc>
        <w:tc>
          <w:tcPr>
            <w:tcW w:w="1630"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B3" w14:textId="77777777" w:rsidR="00B1670F" w:rsidRDefault="00B23735">
            <w:pPr>
              <w:spacing w:after="0" w:line="240" w:lineRule="auto"/>
              <w:rPr>
                <w:color w:val="auto"/>
              </w:rPr>
            </w:pPr>
            <w:r>
              <w:rPr>
                <w:color w:val="auto"/>
              </w:rPr>
              <w:t>Longer service life and lower defect risk</w:t>
            </w:r>
          </w:p>
        </w:tc>
      </w:tr>
      <w:tr w:rsidR="00B1670F" w14:paraId="66C5AABB" w14:textId="77777777">
        <w:trPr>
          <w:jc w:val="center"/>
        </w:trPr>
        <w:tc>
          <w:tcPr>
            <w:tcW w:w="1413"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B5" w14:textId="77777777" w:rsidR="00B1670F" w:rsidRDefault="00B23735">
            <w:pPr>
              <w:spacing w:after="0" w:line="240" w:lineRule="auto"/>
              <w:rPr>
                <w:color w:val="auto"/>
              </w:rPr>
            </w:pPr>
            <w:r>
              <w:rPr>
                <w:color w:val="auto"/>
              </w:rPr>
              <w:t>Operational energy</w:t>
            </w:r>
          </w:p>
        </w:tc>
        <w:tc>
          <w:tcPr>
            <w:tcW w:w="1393"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B6" w14:textId="77777777" w:rsidR="00B1670F" w:rsidRDefault="00B23735">
            <w:pPr>
              <w:spacing w:after="0" w:line="240" w:lineRule="auto"/>
              <w:rPr>
                <w:color w:val="auto"/>
              </w:rPr>
            </w:pPr>
            <w:r>
              <w:rPr>
                <w:color w:val="auto"/>
              </w:rPr>
              <w:t>Fabric-first approach assumed</w:t>
            </w:r>
          </w:p>
        </w:tc>
        <w:tc>
          <w:tcPr>
            <w:tcW w:w="1580"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B7" w14:textId="77777777" w:rsidR="00B1670F" w:rsidRDefault="00B23735">
            <w:pPr>
              <w:spacing w:after="0" w:line="240" w:lineRule="auto"/>
              <w:rPr>
                <w:color w:val="auto"/>
              </w:rPr>
            </w:pPr>
            <w:proofErr w:type="gramStart"/>
            <w:r>
              <w:rPr>
                <w:color w:val="auto"/>
              </w:rPr>
              <w:t xml:space="preserve">Actual </w:t>
            </w:r>
            <w:proofErr w:type="gramEnd"/>
            <w:r>
              <w:rPr>
                <w:color w:val="auto"/>
              </w:rPr>
              <w:t xml:space="preserve">energy </w:t>
            </w:r>
            <w:proofErr w:type="gramStart"/>
            <w:r>
              <w:rPr>
                <w:color w:val="auto"/>
              </w:rPr>
              <w:t>use</w:t>
            </w:r>
            <w:proofErr w:type="gramEnd"/>
            <w:r>
              <w:rPr>
                <w:color w:val="auto"/>
              </w:rPr>
              <w:t xml:space="preserve"> not yet tested</w:t>
            </w:r>
          </w:p>
        </w:tc>
        <w:tc>
          <w:tcPr>
            <w:tcW w:w="1756"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B8" w14:textId="77777777" w:rsidR="00B1670F" w:rsidRDefault="00B23735">
            <w:pPr>
              <w:spacing w:after="0" w:line="240" w:lineRule="auto"/>
              <w:rPr>
                <w:color w:val="auto"/>
              </w:rPr>
            </w:pPr>
            <w:r>
              <w:rPr>
                <w:color w:val="auto"/>
              </w:rPr>
              <w:t>Undertake CIBSE TM54 modelling and thermal bridge review</w:t>
            </w:r>
          </w:p>
        </w:tc>
        <w:tc>
          <w:tcPr>
            <w:tcW w:w="2278"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B9" w14:textId="77777777" w:rsidR="00B1670F" w:rsidRDefault="00B23735">
            <w:pPr>
              <w:spacing w:after="0" w:line="240" w:lineRule="auto"/>
              <w:rPr>
                <w:color w:val="auto"/>
              </w:rPr>
            </w:pPr>
            <w:r>
              <w:rPr>
                <w:color w:val="auto"/>
              </w:rPr>
              <w:t>CIBSE (2022)</w:t>
            </w:r>
          </w:p>
        </w:tc>
        <w:tc>
          <w:tcPr>
            <w:tcW w:w="1630"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BA" w14:textId="77777777" w:rsidR="00B1670F" w:rsidRDefault="00B23735">
            <w:pPr>
              <w:spacing w:after="0" w:line="240" w:lineRule="auto"/>
              <w:rPr>
                <w:color w:val="auto"/>
              </w:rPr>
            </w:pPr>
            <w:r>
              <w:rPr>
                <w:color w:val="auto"/>
              </w:rPr>
              <w:t>Better prediction of heating/cooling demand</w:t>
            </w:r>
          </w:p>
        </w:tc>
      </w:tr>
      <w:tr w:rsidR="00B1670F" w14:paraId="66C5AAC2" w14:textId="77777777">
        <w:trPr>
          <w:jc w:val="center"/>
        </w:trPr>
        <w:tc>
          <w:tcPr>
            <w:tcW w:w="1413"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BC" w14:textId="77777777" w:rsidR="00B1670F" w:rsidRDefault="00B23735">
            <w:pPr>
              <w:spacing w:after="0" w:line="240" w:lineRule="auto"/>
              <w:rPr>
                <w:color w:val="auto"/>
              </w:rPr>
            </w:pPr>
            <w:r>
              <w:rPr>
                <w:color w:val="auto"/>
              </w:rPr>
              <w:t>Construction waste</w:t>
            </w:r>
          </w:p>
        </w:tc>
        <w:tc>
          <w:tcPr>
            <w:tcW w:w="1393"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BD" w14:textId="77777777" w:rsidR="00B1670F" w:rsidRDefault="00B23735">
            <w:pPr>
              <w:spacing w:after="0" w:line="240" w:lineRule="auto"/>
              <w:rPr>
                <w:color w:val="auto"/>
              </w:rPr>
            </w:pPr>
            <w:r>
              <w:rPr>
                <w:color w:val="auto"/>
              </w:rPr>
              <w:t>Hybrid MMC plus site-built masonry</w:t>
            </w:r>
          </w:p>
        </w:tc>
        <w:tc>
          <w:tcPr>
            <w:tcW w:w="1580"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BE" w14:textId="77777777" w:rsidR="00B1670F" w:rsidRDefault="00B23735">
            <w:pPr>
              <w:spacing w:after="0" w:line="240" w:lineRule="auto"/>
              <w:rPr>
                <w:color w:val="auto"/>
              </w:rPr>
            </w:pPr>
            <w:r>
              <w:rPr>
                <w:color w:val="auto"/>
              </w:rPr>
              <w:t>Offcuts, pallets, packaging and rework</w:t>
            </w:r>
          </w:p>
        </w:tc>
        <w:tc>
          <w:tcPr>
            <w:tcW w:w="1756"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BF" w14:textId="77777777" w:rsidR="00B1670F" w:rsidRDefault="00B23735">
            <w:pPr>
              <w:spacing w:after="0" w:line="240" w:lineRule="auto"/>
              <w:rPr>
                <w:color w:val="auto"/>
              </w:rPr>
            </w:pPr>
            <w:proofErr w:type="spellStart"/>
            <w:r>
              <w:rPr>
                <w:color w:val="auto"/>
              </w:rPr>
              <w:t>Standardisation</w:t>
            </w:r>
            <w:proofErr w:type="spellEnd"/>
            <w:r>
              <w:rPr>
                <w:color w:val="auto"/>
              </w:rPr>
              <w:t>, take-back schemes and waste segregation</w:t>
            </w:r>
          </w:p>
        </w:tc>
        <w:tc>
          <w:tcPr>
            <w:tcW w:w="227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C0" w14:textId="77777777" w:rsidR="00B1670F" w:rsidRDefault="00B23735">
            <w:pPr>
              <w:spacing w:after="0" w:line="240" w:lineRule="auto"/>
              <w:rPr>
                <w:color w:val="auto"/>
              </w:rPr>
            </w:pPr>
            <w:r>
              <w:rPr>
                <w:color w:val="auto"/>
              </w:rPr>
              <w:t>Construction Leadership Council (2020); WRAP (2011)</w:t>
            </w:r>
          </w:p>
        </w:tc>
        <w:tc>
          <w:tcPr>
            <w:tcW w:w="1630"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C1" w14:textId="77777777" w:rsidR="00B1670F" w:rsidRDefault="00B23735">
            <w:pPr>
              <w:spacing w:after="0" w:line="240" w:lineRule="auto"/>
              <w:rPr>
                <w:color w:val="auto"/>
              </w:rPr>
            </w:pPr>
            <w:r>
              <w:rPr>
                <w:color w:val="auto"/>
              </w:rPr>
              <w:t>Less landfill and improved material recovery</w:t>
            </w:r>
          </w:p>
        </w:tc>
      </w:tr>
      <w:tr w:rsidR="00B1670F" w14:paraId="66C5AAC9" w14:textId="77777777">
        <w:trPr>
          <w:jc w:val="center"/>
        </w:trPr>
        <w:tc>
          <w:tcPr>
            <w:tcW w:w="1413"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C3" w14:textId="77777777" w:rsidR="00B1670F" w:rsidRDefault="00B23735">
            <w:pPr>
              <w:spacing w:after="0" w:line="240" w:lineRule="auto"/>
              <w:rPr>
                <w:color w:val="auto"/>
              </w:rPr>
            </w:pPr>
            <w:r>
              <w:rPr>
                <w:color w:val="auto"/>
              </w:rPr>
              <w:t>Water and drainage</w:t>
            </w:r>
          </w:p>
        </w:tc>
        <w:tc>
          <w:tcPr>
            <w:tcW w:w="1393"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C4" w14:textId="77777777" w:rsidR="00B1670F" w:rsidRDefault="00B23735">
            <w:pPr>
              <w:spacing w:after="0" w:line="240" w:lineRule="auto"/>
              <w:rPr>
                <w:color w:val="auto"/>
              </w:rPr>
            </w:pPr>
            <w:r>
              <w:rPr>
                <w:color w:val="auto"/>
              </w:rPr>
              <w:t>Drainage not yet developed</w:t>
            </w:r>
          </w:p>
        </w:tc>
        <w:tc>
          <w:tcPr>
            <w:tcW w:w="1580"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C5" w14:textId="77777777" w:rsidR="00B1670F" w:rsidRDefault="00B23735">
            <w:pPr>
              <w:spacing w:after="0" w:line="240" w:lineRule="auto"/>
              <w:rPr>
                <w:color w:val="auto"/>
              </w:rPr>
            </w:pPr>
            <w:r>
              <w:rPr>
                <w:color w:val="auto"/>
              </w:rPr>
              <w:t xml:space="preserve">Runoff, flood screening and SAB approval may affect layout and </w:t>
            </w:r>
            <w:proofErr w:type="spellStart"/>
            <w:r>
              <w:rPr>
                <w:color w:val="auto"/>
              </w:rPr>
              <w:t>programme</w:t>
            </w:r>
            <w:proofErr w:type="spellEnd"/>
          </w:p>
        </w:tc>
        <w:tc>
          <w:tcPr>
            <w:tcW w:w="1756"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C6" w14:textId="77777777" w:rsidR="00B1670F" w:rsidRDefault="00B23735">
            <w:pPr>
              <w:spacing w:after="0" w:line="240" w:lineRule="auto"/>
              <w:rPr>
                <w:color w:val="auto"/>
              </w:rPr>
            </w:pPr>
            <w:r>
              <w:rPr>
                <w:color w:val="auto"/>
              </w:rPr>
              <w:t xml:space="preserve">Develop </w:t>
            </w:r>
            <w:proofErr w:type="spellStart"/>
            <w:r>
              <w:rPr>
                <w:color w:val="auto"/>
              </w:rPr>
              <w:t>SuDS</w:t>
            </w:r>
            <w:proofErr w:type="spellEnd"/>
            <w:r>
              <w:rPr>
                <w:color w:val="auto"/>
              </w:rPr>
              <w:t>, exceedance routing and construction water-control plan early</w:t>
            </w:r>
          </w:p>
        </w:tc>
        <w:tc>
          <w:tcPr>
            <w:tcW w:w="2278"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C7" w14:textId="77777777" w:rsidR="00B1670F" w:rsidRDefault="00B23735">
            <w:pPr>
              <w:spacing w:after="0" w:line="240" w:lineRule="auto"/>
              <w:rPr>
                <w:color w:val="auto"/>
              </w:rPr>
            </w:pPr>
            <w:r>
              <w:rPr>
                <w:color w:val="auto"/>
              </w:rPr>
              <w:t>Welsh Government (2019); Welsh Government (2025a)</w:t>
            </w:r>
          </w:p>
        </w:tc>
        <w:tc>
          <w:tcPr>
            <w:tcW w:w="1630"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C8" w14:textId="77777777" w:rsidR="00B1670F" w:rsidRDefault="00B23735">
            <w:pPr>
              <w:spacing w:after="0" w:line="240" w:lineRule="auto"/>
              <w:rPr>
                <w:color w:val="auto"/>
              </w:rPr>
            </w:pPr>
            <w:r>
              <w:rPr>
                <w:color w:val="auto"/>
              </w:rPr>
              <w:t>Better runoff control, resilience and compliance</w:t>
            </w:r>
          </w:p>
        </w:tc>
      </w:tr>
    </w:tbl>
    <w:p w14:paraId="66C5AACA" w14:textId="77777777" w:rsidR="00B1670F" w:rsidRDefault="00B1670F"/>
    <w:p w14:paraId="66C5AACB" w14:textId="77777777" w:rsidR="00B1670F" w:rsidRDefault="00B23735">
      <w:pPr>
        <w:pStyle w:val="Heading1"/>
        <w:spacing w:before="0"/>
      </w:pPr>
      <w:bookmarkStart w:id="38" w:name="_Toc229404630"/>
      <w:bookmarkStart w:id="39" w:name="_Toc229426337"/>
      <w:r>
        <w:t>6. Flexibility and Future Adaptability Analysis</w:t>
      </w:r>
      <w:bookmarkEnd w:id="38"/>
      <w:bookmarkEnd w:id="39"/>
    </w:p>
    <w:p w14:paraId="5D2B9474" w14:textId="77777777" w:rsidR="00275249" w:rsidRPr="00275249" w:rsidRDefault="00275249" w:rsidP="00275249">
      <w:pPr>
        <w:pStyle w:val="Placeholder"/>
        <w:rPr>
          <w:i w:val="0"/>
          <w:iCs/>
          <w:color w:val="auto"/>
          <w:lang w:val="en-GB"/>
        </w:rPr>
      </w:pPr>
      <w:r w:rsidRPr="00275249">
        <w:rPr>
          <w:i w:val="0"/>
          <w:iCs/>
          <w:color w:val="auto"/>
          <w:lang w:val="en-GB"/>
        </w:rPr>
        <w:t xml:space="preserve">Flexible buildings are less likely to need early demolition, major structural changes, or carbon-intensive refurbishment. The steel composite frame with reinforced concrete core gives the AS1 hotel flexibility because internal partitions can be changed without changing the main structure. This is more flexible than full volumetric modular construction, which may limit future reconfiguration due to module widths, stacked load paths, and fixed service zones (SCI, n.d.; UK Government, n.d.). Hotel bedrooms, corridors, and risers are likely to repeat, increasing flexibility. Standard layouts, repeated MEP distribution, and easier refurbishment are possible with a regular grid and floorplate. Insufficient space for service upgrades in the final grid, floor-to-floor heights, and core </w:t>
      </w:r>
      <w:r w:rsidRPr="00275249">
        <w:rPr>
          <w:i w:val="0"/>
          <w:iCs/>
          <w:color w:val="auto"/>
          <w:lang w:val="en-GB"/>
        </w:rPr>
        <w:lastRenderedPageBreak/>
        <w:t>position limits flexibility. Thus, the design should avoid tight ceiling voids and include accessible risers, coordinated service zones, and spare capacity for ventilation, electrical, and low-carbon technology upgrades.</w:t>
      </w:r>
    </w:p>
    <w:p w14:paraId="6BEB1CAD" w14:textId="77777777" w:rsidR="00275249" w:rsidRPr="00275249" w:rsidRDefault="00275249" w:rsidP="00275249">
      <w:pPr>
        <w:pStyle w:val="Placeholder"/>
        <w:rPr>
          <w:i w:val="0"/>
          <w:iCs/>
          <w:color w:val="auto"/>
          <w:lang w:val="en-GB"/>
        </w:rPr>
      </w:pPr>
      <w:r w:rsidRPr="00275249">
        <w:rPr>
          <w:i w:val="0"/>
          <w:iCs/>
          <w:color w:val="auto"/>
          <w:lang w:val="en-GB"/>
        </w:rPr>
        <w:t>Do not consider the reinforced concrete core background structure. It fixes main circulation, risers, vertical servicing, floorplate planning strategy, and fire-protected escape. Thus, future layout changes are most likely in the bedroom and public-area zones, not the core. Due to their cellular room layouts, they could be used as student housing, serviced apartments, or healthcare accommodations. Different daylight, servicing, floorplate, and occupancy requirements make office conversion harder.</w:t>
      </w:r>
    </w:p>
    <w:p w14:paraId="35B80053" w14:textId="77777777" w:rsidR="00275249" w:rsidRPr="00275249" w:rsidRDefault="00275249" w:rsidP="00275249">
      <w:pPr>
        <w:pStyle w:val="Placeholder"/>
        <w:rPr>
          <w:i w:val="0"/>
          <w:iCs/>
          <w:color w:val="auto"/>
          <w:lang w:val="en-GB"/>
        </w:rPr>
      </w:pPr>
      <w:r w:rsidRPr="00275249">
        <w:rPr>
          <w:i w:val="0"/>
          <w:iCs/>
          <w:color w:val="auto"/>
          <w:lang w:val="en-GB"/>
        </w:rPr>
        <w:t xml:space="preserve">Masonry cavity walls are durable but less flexible than </w:t>
      </w:r>
      <w:proofErr w:type="spellStart"/>
      <w:r w:rsidRPr="00275249">
        <w:rPr>
          <w:i w:val="0"/>
          <w:iCs/>
          <w:color w:val="auto"/>
          <w:lang w:val="en-GB"/>
        </w:rPr>
        <w:t>panelized</w:t>
      </w:r>
      <w:proofErr w:type="spellEnd"/>
      <w:r w:rsidRPr="00275249">
        <w:rPr>
          <w:i w:val="0"/>
          <w:iCs/>
          <w:color w:val="auto"/>
          <w:lang w:val="en-GB"/>
        </w:rPr>
        <w:t xml:space="preserve"> façades for major façade upgrades. Windows, insulation interfaces, and façade access should allow glazing units, seals, and internal linings to be replaced without disruption to improve adaptability. ISO 20887 principles of adaptability and design for future change are supported (ISO, 2020).</w:t>
      </w:r>
    </w:p>
    <w:p w14:paraId="66C5AAD1" w14:textId="6EF14425" w:rsidR="00B1670F" w:rsidRDefault="00275249" w:rsidP="00275249">
      <w:pPr>
        <w:pStyle w:val="Placeholder"/>
        <w:rPr>
          <w:color w:val="auto"/>
        </w:rPr>
      </w:pPr>
      <w:r w:rsidRPr="00275249">
        <w:rPr>
          <w:i w:val="0"/>
          <w:iCs/>
          <w:color w:val="auto"/>
          <w:lang w:val="en-GB"/>
        </w:rPr>
        <w:t>The AS1 proposal adapts moderately to well. The structural concept is less important than grid regularity, service capacity, façade access, riser space, and maintainable components, which determine its flexibility.</w:t>
      </w:r>
    </w:p>
    <w:p w14:paraId="66C5AAD2" w14:textId="77777777" w:rsidR="00B1670F" w:rsidRDefault="00B23735">
      <w:pPr>
        <w:pStyle w:val="Heading2"/>
      </w:pPr>
      <w:bookmarkStart w:id="40" w:name="_Toc229404631"/>
      <w:bookmarkStart w:id="41" w:name="_Toc229426338"/>
      <w:r>
        <w:t>6.1 Adaptability Checklist</w:t>
      </w:r>
      <w:bookmarkEnd w:id="40"/>
      <w:bookmarkEnd w:id="41"/>
    </w:p>
    <w:tbl>
      <w:tblPr>
        <w:tblStyle w:val="TableGrid"/>
        <w:tblW w:w="10051" w:type="dxa"/>
        <w:jc w:val="center"/>
        <w:tblLayout w:type="fixed"/>
        <w:tblLook w:val="04A0" w:firstRow="1" w:lastRow="0" w:firstColumn="1" w:lastColumn="0" w:noHBand="0" w:noVBand="1"/>
      </w:tblPr>
      <w:tblGrid>
        <w:gridCol w:w="2317"/>
        <w:gridCol w:w="2172"/>
        <w:gridCol w:w="2172"/>
        <w:gridCol w:w="2319"/>
        <w:gridCol w:w="1071"/>
      </w:tblGrid>
      <w:tr w:rsidR="00B1670F" w14:paraId="66C5AAD8" w14:textId="77777777">
        <w:trPr>
          <w:tblHeader/>
          <w:jc w:val="center"/>
        </w:trPr>
        <w:tc>
          <w:tcPr>
            <w:tcW w:w="2317"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D3" w14:textId="77777777" w:rsidR="00B1670F" w:rsidRDefault="00B23735">
            <w:pPr>
              <w:spacing w:after="0" w:line="240" w:lineRule="auto"/>
              <w:rPr>
                <w:color w:val="auto"/>
              </w:rPr>
            </w:pPr>
            <w:r>
              <w:rPr>
                <w:b/>
                <w:bCs/>
                <w:color w:val="auto"/>
              </w:rPr>
              <w:t>Adaptability factor</w:t>
            </w:r>
          </w:p>
        </w:tc>
        <w:tc>
          <w:tcPr>
            <w:tcW w:w="2172"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D4" w14:textId="77777777" w:rsidR="00B1670F" w:rsidRDefault="00B23735">
            <w:pPr>
              <w:spacing w:after="0" w:line="240" w:lineRule="auto"/>
              <w:rPr>
                <w:color w:val="auto"/>
              </w:rPr>
            </w:pPr>
            <w:r>
              <w:rPr>
                <w:b/>
                <w:bCs/>
                <w:color w:val="auto"/>
              </w:rPr>
              <w:t>Current provision</w:t>
            </w:r>
          </w:p>
        </w:tc>
        <w:tc>
          <w:tcPr>
            <w:tcW w:w="2172"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D5" w14:textId="77777777" w:rsidR="00B1670F" w:rsidRDefault="00B23735">
            <w:pPr>
              <w:spacing w:after="0" w:line="240" w:lineRule="auto"/>
              <w:rPr>
                <w:color w:val="auto"/>
              </w:rPr>
            </w:pPr>
            <w:r>
              <w:rPr>
                <w:b/>
                <w:bCs/>
                <w:color w:val="auto"/>
              </w:rPr>
              <w:t>Limitation</w:t>
            </w:r>
          </w:p>
        </w:tc>
        <w:tc>
          <w:tcPr>
            <w:tcW w:w="2319"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D6" w14:textId="77777777" w:rsidR="00B1670F" w:rsidRDefault="00B23735">
            <w:pPr>
              <w:spacing w:after="0" w:line="240" w:lineRule="auto"/>
              <w:rPr>
                <w:color w:val="auto"/>
              </w:rPr>
            </w:pPr>
            <w:r>
              <w:rPr>
                <w:b/>
                <w:bCs/>
                <w:color w:val="auto"/>
              </w:rPr>
              <w:t>Improvement</w:t>
            </w:r>
          </w:p>
        </w:tc>
        <w:tc>
          <w:tcPr>
            <w:tcW w:w="1071"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AD7" w14:textId="77777777" w:rsidR="00B1670F" w:rsidRDefault="00B23735">
            <w:pPr>
              <w:spacing w:after="0" w:line="240" w:lineRule="auto"/>
              <w:rPr>
                <w:color w:val="auto"/>
              </w:rPr>
            </w:pPr>
            <w:r>
              <w:rPr>
                <w:b/>
                <w:bCs/>
                <w:color w:val="auto"/>
              </w:rPr>
              <w:t>Priority</w:t>
            </w:r>
          </w:p>
        </w:tc>
      </w:tr>
      <w:tr w:rsidR="00B1670F" w14:paraId="66C5AADE" w14:textId="77777777">
        <w:trPr>
          <w:jc w:val="center"/>
        </w:trPr>
        <w:tc>
          <w:tcPr>
            <w:tcW w:w="2317"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D9" w14:textId="77777777" w:rsidR="00B1670F" w:rsidRDefault="00B23735">
            <w:pPr>
              <w:spacing w:after="0" w:line="240" w:lineRule="auto"/>
              <w:rPr>
                <w:color w:val="auto"/>
              </w:rPr>
            </w:pPr>
            <w:r>
              <w:rPr>
                <w:color w:val="auto"/>
              </w:rPr>
              <w:t>Structural grid</w:t>
            </w:r>
          </w:p>
        </w:tc>
        <w:tc>
          <w:tcPr>
            <w:tcW w:w="2172"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DA" w14:textId="77777777" w:rsidR="00B1670F" w:rsidRDefault="00B23735">
            <w:pPr>
              <w:spacing w:after="0" w:line="240" w:lineRule="auto"/>
              <w:rPr>
                <w:color w:val="auto"/>
              </w:rPr>
            </w:pPr>
            <w:r>
              <w:rPr>
                <w:color w:val="auto"/>
              </w:rPr>
              <w:t>Steel composite frame likely allows non-loadbearing internal partitions</w:t>
            </w:r>
          </w:p>
        </w:tc>
        <w:tc>
          <w:tcPr>
            <w:tcW w:w="2172"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DB" w14:textId="77777777" w:rsidR="00B1670F" w:rsidRDefault="00B23735">
            <w:pPr>
              <w:spacing w:after="0" w:line="240" w:lineRule="auto"/>
              <w:rPr>
                <w:color w:val="auto"/>
              </w:rPr>
            </w:pPr>
            <w:r>
              <w:rPr>
                <w:color w:val="auto"/>
              </w:rPr>
              <w:t>Exact grid/span not confirmed</w:t>
            </w:r>
          </w:p>
        </w:tc>
        <w:tc>
          <w:tcPr>
            <w:tcW w:w="2319"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DC" w14:textId="77777777" w:rsidR="00B1670F" w:rsidRDefault="00B23735">
            <w:pPr>
              <w:spacing w:after="0" w:line="240" w:lineRule="auto"/>
              <w:rPr>
                <w:color w:val="auto"/>
              </w:rPr>
            </w:pPr>
            <w:r>
              <w:rPr>
                <w:color w:val="auto"/>
              </w:rPr>
              <w:t>Use regular grid and avoid unnecessary transfer structures</w:t>
            </w:r>
          </w:p>
        </w:tc>
        <w:tc>
          <w:tcPr>
            <w:tcW w:w="1071"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DD" w14:textId="77777777" w:rsidR="00B1670F" w:rsidRDefault="00B23735">
            <w:pPr>
              <w:spacing w:after="0" w:line="240" w:lineRule="auto"/>
              <w:rPr>
                <w:color w:val="auto"/>
              </w:rPr>
            </w:pPr>
            <w:r>
              <w:rPr>
                <w:color w:val="auto"/>
              </w:rPr>
              <w:t>High</w:t>
            </w:r>
          </w:p>
        </w:tc>
      </w:tr>
      <w:tr w:rsidR="00B1670F" w14:paraId="66C5AAE4" w14:textId="77777777">
        <w:trPr>
          <w:jc w:val="center"/>
        </w:trPr>
        <w:tc>
          <w:tcPr>
            <w:tcW w:w="2317"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DF" w14:textId="77777777" w:rsidR="00B1670F" w:rsidRDefault="00B23735">
            <w:pPr>
              <w:spacing w:after="0" w:line="240" w:lineRule="auto"/>
              <w:rPr>
                <w:color w:val="auto"/>
              </w:rPr>
            </w:pPr>
            <w:r>
              <w:rPr>
                <w:color w:val="auto"/>
              </w:rPr>
              <w:t>Core position</w:t>
            </w:r>
          </w:p>
        </w:tc>
        <w:tc>
          <w:tcPr>
            <w:tcW w:w="2172"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E0" w14:textId="77777777" w:rsidR="00B1670F" w:rsidRDefault="00B23735">
            <w:pPr>
              <w:spacing w:after="0" w:line="240" w:lineRule="auto"/>
              <w:rPr>
                <w:color w:val="auto"/>
              </w:rPr>
            </w:pPr>
            <w:r>
              <w:rPr>
                <w:color w:val="auto"/>
              </w:rPr>
              <w:t>RC core provides stability, stairs, lifts and service routes</w:t>
            </w:r>
          </w:p>
        </w:tc>
        <w:tc>
          <w:tcPr>
            <w:tcW w:w="2172"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E1" w14:textId="77777777" w:rsidR="00B1670F" w:rsidRDefault="00B23735">
            <w:pPr>
              <w:spacing w:after="0" w:line="240" w:lineRule="auto"/>
              <w:rPr>
                <w:color w:val="auto"/>
              </w:rPr>
            </w:pPr>
            <w:r>
              <w:rPr>
                <w:color w:val="auto"/>
              </w:rPr>
              <w:t>Core fixes circulation, risers and major re-planning options</w:t>
            </w:r>
          </w:p>
        </w:tc>
        <w:tc>
          <w:tcPr>
            <w:tcW w:w="2319"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E2" w14:textId="77777777" w:rsidR="00B1670F" w:rsidRDefault="00B23735">
            <w:pPr>
              <w:spacing w:after="0" w:line="240" w:lineRule="auto"/>
              <w:rPr>
                <w:color w:val="auto"/>
              </w:rPr>
            </w:pPr>
            <w:r>
              <w:rPr>
                <w:color w:val="auto"/>
              </w:rPr>
              <w:t>Test core location against future room, servicing and plant replacement options</w:t>
            </w:r>
          </w:p>
        </w:tc>
        <w:tc>
          <w:tcPr>
            <w:tcW w:w="1071"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E3" w14:textId="77777777" w:rsidR="00B1670F" w:rsidRDefault="00B23735">
            <w:pPr>
              <w:spacing w:after="0" w:line="240" w:lineRule="auto"/>
              <w:rPr>
                <w:color w:val="auto"/>
              </w:rPr>
            </w:pPr>
            <w:r>
              <w:rPr>
                <w:color w:val="auto"/>
              </w:rPr>
              <w:t>High</w:t>
            </w:r>
          </w:p>
        </w:tc>
      </w:tr>
      <w:tr w:rsidR="00B1670F" w14:paraId="66C5AAEA" w14:textId="77777777">
        <w:trPr>
          <w:jc w:val="center"/>
        </w:trPr>
        <w:tc>
          <w:tcPr>
            <w:tcW w:w="2317"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E5" w14:textId="77777777" w:rsidR="00B1670F" w:rsidRDefault="00B23735">
            <w:pPr>
              <w:spacing w:after="0" w:line="240" w:lineRule="auto"/>
              <w:rPr>
                <w:color w:val="auto"/>
              </w:rPr>
            </w:pPr>
            <w:r>
              <w:rPr>
                <w:color w:val="auto"/>
              </w:rPr>
              <w:t>Floor-to-floor height</w:t>
            </w:r>
          </w:p>
        </w:tc>
        <w:tc>
          <w:tcPr>
            <w:tcW w:w="2172"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E6" w14:textId="77777777" w:rsidR="00B1670F" w:rsidRDefault="00B23735">
            <w:pPr>
              <w:spacing w:after="0" w:line="240" w:lineRule="auto"/>
              <w:rPr>
                <w:color w:val="auto"/>
              </w:rPr>
            </w:pPr>
            <w:r>
              <w:rPr>
                <w:color w:val="auto"/>
              </w:rPr>
              <w:t>Not confirmed at AS1 stage</w:t>
            </w:r>
          </w:p>
        </w:tc>
        <w:tc>
          <w:tcPr>
            <w:tcW w:w="2172"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E7" w14:textId="77777777" w:rsidR="00B1670F" w:rsidRDefault="00B23735">
            <w:pPr>
              <w:spacing w:after="0" w:line="240" w:lineRule="auto"/>
              <w:rPr>
                <w:color w:val="auto"/>
              </w:rPr>
            </w:pPr>
            <w:r>
              <w:rPr>
                <w:color w:val="auto"/>
              </w:rPr>
              <w:t>Tight voids could restrict future MEP upgrades</w:t>
            </w:r>
          </w:p>
        </w:tc>
        <w:tc>
          <w:tcPr>
            <w:tcW w:w="2319"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E8" w14:textId="77777777" w:rsidR="00B1670F" w:rsidRDefault="00B23735">
            <w:pPr>
              <w:spacing w:after="0" w:line="240" w:lineRule="auto"/>
              <w:rPr>
                <w:color w:val="auto"/>
              </w:rPr>
            </w:pPr>
            <w:r>
              <w:rPr>
                <w:color w:val="auto"/>
              </w:rPr>
              <w:t>Allow adequate ceiling/service zones</w:t>
            </w:r>
          </w:p>
        </w:tc>
        <w:tc>
          <w:tcPr>
            <w:tcW w:w="1071"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E9" w14:textId="77777777" w:rsidR="00B1670F" w:rsidRDefault="00B23735">
            <w:pPr>
              <w:spacing w:after="0" w:line="240" w:lineRule="auto"/>
              <w:rPr>
                <w:color w:val="auto"/>
              </w:rPr>
            </w:pPr>
            <w:r>
              <w:rPr>
                <w:color w:val="auto"/>
              </w:rPr>
              <w:t>High</w:t>
            </w:r>
          </w:p>
        </w:tc>
      </w:tr>
      <w:tr w:rsidR="00B1670F" w14:paraId="66C5AAF0" w14:textId="77777777">
        <w:trPr>
          <w:jc w:val="center"/>
        </w:trPr>
        <w:tc>
          <w:tcPr>
            <w:tcW w:w="2317"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EB" w14:textId="77777777" w:rsidR="00B1670F" w:rsidRDefault="00B23735">
            <w:pPr>
              <w:spacing w:after="0" w:line="240" w:lineRule="auto"/>
              <w:rPr>
                <w:color w:val="auto"/>
              </w:rPr>
            </w:pPr>
            <w:r>
              <w:rPr>
                <w:color w:val="auto"/>
              </w:rPr>
              <w:t>Internal layouts</w:t>
            </w:r>
          </w:p>
        </w:tc>
        <w:tc>
          <w:tcPr>
            <w:tcW w:w="2172"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EC" w14:textId="77777777" w:rsidR="00B1670F" w:rsidRDefault="00B23735">
            <w:pPr>
              <w:spacing w:after="0" w:line="240" w:lineRule="auto"/>
              <w:rPr>
                <w:color w:val="auto"/>
              </w:rPr>
            </w:pPr>
            <w:r>
              <w:rPr>
                <w:color w:val="auto"/>
              </w:rPr>
              <w:t>Hotel bedrooms support repetition</w:t>
            </w:r>
          </w:p>
        </w:tc>
        <w:tc>
          <w:tcPr>
            <w:tcW w:w="2172"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ED" w14:textId="77777777" w:rsidR="00B1670F" w:rsidRDefault="00B23735">
            <w:pPr>
              <w:spacing w:after="0" w:line="240" w:lineRule="auto"/>
              <w:rPr>
                <w:color w:val="auto"/>
              </w:rPr>
            </w:pPr>
            <w:r>
              <w:rPr>
                <w:color w:val="auto"/>
              </w:rPr>
              <w:t xml:space="preserve">Cellular layout </w:t>
            </w:r>
            <w:proofErr w:type="gramStart"/>
            <w:r>
              <w:rPr>
                <w:color w:val="auto"/>
              </w:rPr>
              <w:t>less</w:t>
            </w:r>
            <w:proofErr w:type="gramEnd"/>
            <w:r>
              <w:rPr>
                <w:color w:val="auto"/>
              </w:rPr>
              <w:t xml:space="preserve"> suited to open-plan office conversion</w:t>
            </w:r>
          </w:p>
        </w:tc>
        <w:tc>
          <w:tcPr>
            <w:tcW w:w="2319"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EE" w14:textId="77777777" w:rsidR="00B1670F" w:rsidRDefault="00B23735">
            <w:pPr>
              <w:spacing w:after="0" w:line="240" w:lineRule="auto"/>
              <w:rPr>
                <w:color w:val="auto"/>
              </w:rPr>
            </w:pPr>
            <w:r>
              <w:rPr>
                <w:color w:val="auto"/>
              </w:rPr>
              <w:t>Design partitions as non-structural where possible</w:t>
            </w:r>
          </w:p>
        </w:tc>
        <w:tc>
          <w:tcPr>
            <w:tcW w:w="1071"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EF" w14:textId="77777777" w:rsidR="00B1670F" w:rsidRDefault="00B23735">
            <w:pPr>
              <w:spacing w:after="0" w:line="240" w:lineRule="auto"/>
              <w:rPr>
                <w:color w:val="auto"/>
              </w:rPr>
            </w:pPr>
            <w:r>
              <w:rPr>
                <w:color w:val="auto"/>
              </w:rPr>
              <w:t>Medium</w:t>
            </w:r>
          </w:p>
        </w:tc>
      </w:tr>
      <w:tr w:rsidR="00B1670F" w14:paraId="66C5AAF6" w14:textId="77777777">
        <w:trPr>
          <w:jc w:val="center"/>
        </w:trPr>
        <w:tc>
          <w:tcPr>
            <w:tcW w:w="2317"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F1" w14:textId="77777777" w:rsidR="00B1670F" w:rsidRDefault="00B23735">
            <w:pPr>
              <w:spacing w:after="0" w:line="240" w:lineRule="auto"/>
              <w:rPr>
                <w:color w:val="auto"/>
              </w:rPr>
            </w:pPr>
            <w:r>
              <w:rPr>
                <w:color w:val="auto"/>
              </w:rPr>
              <w:t>MEP risers</w:t>
            </w:r>
          </w:p>
        </w:tc>
        <w:tc>
          <w:tcPr>
            <w:tcW w:w="2172"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F2" w14:textId="77777777" w:rsidR="00B1670F" w:rsidRDefault="00B23735">
            <w:pPr>
              <w:spacing w:after="0" w:line="240" w:lineRule="auto"/>
              <w:rPr>
                <w:color w:val="auto"/>
              </w:rPr>
            </w:pPr>
            <w:r>
              <w:rPr>
                <w:color w:val="auto"/>
              </w:rPr>
              <w:t>Hybrid MEP/module strategy assumed</w:t>
            </w:r>
          </w:p>
        </w:tc>
        <w:tc>
          <w:tcPr>
            <w:tcW w:w="2172"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F3" w14:textId="77777777" w:rsidR="00B1670F" w:rsidRDefault="00B23735">
            <w:pPr>
              <w:spacing w:after="0" w:line="240" w:lineRule="auto"/>
              <w:rPr>
                <w:color w:val="auto"/>
              </w:rPr>
            </w:pPr>
            <w:r>
              <w:rPr>
                <w:color w:val="auto"/>
              </w:rPr>
              <w:t>Future capacity unknown</w:t>
            </w:r>
          </w:p>
        </w:tc>
        <w:tc>
          <w:tcPr>
            <w:tcW w:w="2319"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F4" w14:textId="77777777" w:rsidR="00B1670F" w:rsidRDefault="00B23735">
            <w:pPr>
              <w:spacing w:after="0" w:line="240" w:lineRule="auto"/>
              <w:rPr>
                <w:color w:val="auto"/>
              </w:rPr>
            </w:pPr>
            <w:r>
              <w:rPr>
                <w:color w:val="auto"/>
              </w:rPr>
              <w:t>Include accessible risers and spare service capacity</w:t>
            </w:r>
          </w:p>
        </w:tc>
        <w:tc>
          <w:tcPr>
            <w:tcW w:w="1071"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F5" w14:textId="77777777" w:rsidR="00B1670F" w:rsidRDefault="00B23735">
            <w:pPr>
              <w:spacing w:after="0" w:line="240" w:lineRule="auto"/>
              <w:rPr>
                <w:color w:val="auto"/>
              </w:rPr>
            </w:pPr>
            <w:r>
              <w:rPr>
                <w:color w:val="auto"/>
              </w:rPr>
              <w:t>High</w:t>
            </w:r>
          </w:p>
        </w:tc>
      </w:tr>
      <w:tr w:rsidR="00B1670F" w14:paraId="66C5AAFC" w14:textId="77777777">
        <w:trPr>
          <w:jc w:val="center"/>
        </w:trPr>
        <w:tc>
          <w:tcPr>
            <w:tcW w:w="2317"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F7" w14:textId="77777777" w:rsidR="00B1670F" w:rsidRDefault="00B23735">
            <w:pPr>
              <w:spacing w:after="0" w:line="240" w:lineRule="auto"/>
              <w:rPr>
                <w:color w:val="auto"/>
              </w:rPr>
            </w:pPr>
            <w:r>
              <w:rPr>
                <w:color w:val="auto"/>
              </w:rPr>
              <w:t>Façade upgrade potential</w:t>
            </w:r>
          </w:p>
        </w:tc>
        <w:tc>
          <w:tcPr>
            <w:tcW w:w="2172"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F8" w14:textId="77777777" w:rsidR="00B1670F" w:rsidRDefault="00B23735">
            <w:pPr>
              <w:spacing w:after="0" w:line="240" w:lineRule="auto"/>
              <w:rPr>
                <w:color w:val="auto"/>
              </w:rPr>
            </w:pPr>
            <w:r>
              <w:rPr>
                <w:color w:val="auto"/>
              </w:rPr>
              <w:t>Masonry cavity wall gives durability</w:t>
            </w:r>
          </w:p>
        </w:tc>
        <w:tc>
          <w:tcPr>
            <w:tcW w:w="2172"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F9" w14:textId="77777777" w:rsidR="00B1670F" w:rsidRDefault="00B23735">
            <w:pPr>
              <w:spacing w:after="0" w:line="240" w:lineRule="auto"/>
              <w:rPr>
                <w:color w:val="auto"/>
              </w:rPr>
            </w:pPr>
            <w:r>
              <w:rPr>
                <w:color w:val="auto"/>
              </w:rPr>
              <w:t>Major façade retrofit may be disruptive</w:t>
            </w:r>
          </w:p>
        </w:tc>
        <w:tc>
          <w:tcPr>
            <w:tcW w:w="2319"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FA" w14:textId="77777777" w:rsidR="00B1670F" w:rsidRDefault="00B23735">
            <w:pPr>
              <w:spacing w:after="0" w:line="240" w:lineRule="auto"/>
              <w:rPr>
                <w:color w:val="auto"/>
              </w:rPr>
            </w:pPr>
            <w:r>
              <w:rPr>
                <w:color w:val="auto"/>
              </w:rPr>
              <w:t>Use replaceable windows, accessible seals, maintainable fixings and inspection/cleaning access</w:t>
            </w:r>
          </w:p>
        </w:tc>
        <w:tc>
          <w:tcPr>
            <w:tcW w:w="1071"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AFB" w14:textId="77777777" w:rsidR="00B1670F" w:rsidRDefault="00B23735">
            <w:pPr>
              <w:spacing w:after="0" w:line="240" w:lineRule="auto"/>
              <w:rPr>
                <w:color w:val="auto"/>
              </w:rPr>
            </w:pPr>
            <w:r>
              <w:rPr>
                <w:color w:val="auto"/>
              </w:rPr>
              <w:t>Medium</w:t>
            </w:r>
          </w:p>
        </w:tc>
      </w:tr>
      <w:tr w:rsidR="00B1670F" w14:paraId="66C5AB02" w14:textId="77777777">
        <w:trPr>
          <w:jc w:val="center"/>
        </w:trPr>
        <w:tc>
          <w:tcPr>
            <w:tcW w:w="2317"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FD" w14:textId="77777777" w:rsidR="00B1670F" w:rsidRDefault="00B23735">
            <w:pPr>
              <w:spacing w:after="0" w:line="240" w:lineRule="auto"/>
              <w:rPr>
                <w:color w:val="auto"/>
              </w:rPr>
            </w:pPr>
            <w:r>
              <w:rPr>
                <w:color w:val="auto"/>
              </w:rPr>
              <w:t>Alternative future use</w:t>
            </w:r>
          </w:p>
        </w:tc>
        <w:tc>
          <w:tcPr>
            <w:tcW w:w="2172"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FE" w14:textId="77777777" w:rsidR="00B1670F" w:rsidRDefault="00B23735">
            <w:pPr>
              <w:spacing w:after="0" w:line="240" w:lineRule="auto"/>
              <w:rPr>
                <w:color w:val="auto"/>
              </w:rPr>
            </w:pPr>
            <w:r>
              <w:rPr>
                <w:color w:val="auto"/>
              </w:rPr>
              <w:t>Could suit student accommodation, serviced apartments or key-worker accommodation</w:t>
            </w:r>
          </w:p>
        </w:tc>
        <w:tc>
          <w:tcPr>
            <w:tcW w:w="2172"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AFF" w14:textId="77777777" w:rsidR="00B1670F" w:rsidRDefault="00B23735">
            <w:pPr>
              <w:spacing w:after="0" w:line="240" w:lineRule="auto"/>
              <w:rPr>
                <w:color w:val="auto"/>
              </w:rPr>
            </w:pPr>
            <w:r>
              <w:rPr>
                <w:color w:val="auto"/>
              </w:rPr>
              <w:t>Less suited to open-plan office use</w:t>
            </w:r>
          </w:p>
        </w:tc>
        <w:tc>
          <w:tcPr>
            <w:tcW w:w="2319"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00" w14:textId="77777777" w:rsidR="00B1670F" w:rsidRDefault="00B23735">
            <w:pPr>
              <w:spacing w:after="0" w:line="240" w:lineRule="auto"/>
              <w:rPr>
                <w:color w:val="auto"/>
              </w:rPr>
            </w:pPr>
            <w:r>
              <w:rPr>
                <w:color w:val="auto"/>
              </w:rPr>
              <w:t>Keep room modules and service zones adaptable</w:t>
            </w:r>
          </w:p>
        </w:tc>
        <w:tc>
          <w:tcPr>
            <w:tcW w:w="1071"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01" w14:textId="77777777" w:rsidR="00B1670F" w:rsidRDefault="00B23735">
            <w:pPr>
              <w:spacing w:after="0" w:line="240" w:lineRule="auto"/>
              <w:rPr>
                <w:color w:val="auto"/>
              </w:rPr>
            </w:pPr>
            <w:r>
              <w:rPr>
                <w:color w:val="auto"/>
              </w:rPr>
              <w:t>Medium</w:t>
            </w:r>
          </w:p>
        </w:tc>
      </w:tr>
    </w:tbl>
    <w:p w14:paraId="66C5AB03" w14:textId="77777777" w:rsidR="00B1670F" w:rsidRDefault="00B1670F"/>
    <w:p w14:paraId="66C5AB04" w14:textId="77777777" w:rsidR="00B1670F" w:rsidRDefault="00B23735">
      <w:r>
        <w:br w:type="page"/>
      </w:r>
    </w:p>
    <w:p w14:paraId="66C5AB05" w14:textId="77777777" w:rsidR="00B1670F" w:rsidRDefault="00B23735">
      <w:pPr>
        <w:pStyle w:val="Heading1"/>
        <w:spacing w:before="0"/>
      </w:pPr>
      <w:bookmarkStart w:id="42" w:name="_Toc229404632"/>
      <w:bookmarkStart w:id="43" w:name="_Toc229426339"/>
      <w:r>
        <w:lastRenderedPageBreak/>
        <w:t>7. Comparative Evaluation of Alternatives</w:t>
      </w:r>
      <w:bookmarkEnd w:id="42"/>
      <w:bookmarkEnd w:id="43"/>
    </w:p>
    <w:p w14:paraId="66C5AB06" w14:textId="77777777" w:rsidR="00B1670F" w:rsidRDefault="00B23735">
      <w:pPr>
        <w:rPr>
          <w:sz w:val="20"/>
          <w:szCs w:val="20"/>
        </w:rPr>
      </w:pPr>
      <w:r>
        <w:rPr>
          <w:sz w:val="20"/>
          <w:szCs w:val="20"/>
        </w:rPr>
        <w:t xml:space="preserve">This section compares the AS1 preferred solution with reasonable alternatives. A weighted appraisal is used because the options cannot be judged on one criterion alone. Buildability/logistics and embodied carbon are </w:t>
      </w:r>
      <w:proofErr w:type="gramStart"/>
      <w:r>
        <w:rPr>
          <w:sz w:val="20"/>
          <w:szCs w:val="20"/>
        </w:rPr>
        <w:t>weighted</w:t>
      </w:r>
      <w:proofErr w:type="gramEnd"/>
      <w:r>
        <w:rPr>
          <w:sz w:val="20"/>
          <w:szCs w:val="20"/>
        </w:rPr>
        <w:t xml:space="preserve"> heavily because the site is constrained and the likely carbon hotspots are the frame, core and foundations. The scores are pre-GI and pre-contractor judgements, not final procurement decisions.</w:t>
      </w:r>
    </w:p>
    <w:p w14:paraId="66C5AB07" w14:textId="77777777" w:rsidR="00B1670F" w:rsidRDefault="00B23735">
      <w:pPr>
        <w:pStyle w:val="Heading2"/>
      </w:pPr>
      <w:bookmarkStart w:id="44" w:name="_Toc229404633"/>
      <w:bookmarkStart w:id="45" w:name="_Toc229426340"/>
      <w:r>
        <w:t>7.1 Options to Compare</w:t>
      </w:r>
      <w:bookmarkEnd w:id="44"/>
      <w:bookmarkEnd w:id="45"/>
    </w:p>
    <w:tbl>
      <w:tblPr>
        <w:tblStyle w:val="TableGrid"/>
        <w:tblW w:w="10051" w:type="dxa"/>
        <w:jc w:val="center"/>
        <w:tblLayout w:type="fixed"/>
        <w:tblLook w:val="04A0" w:firstRow="1" w:lastRow="0" w:firstColumn="1" w:lastColumn="0" w:noHBand="0" w:noVBand="1"/>
      </w:tblPr>
      <w:tblGrid>
        <w:gridCol w:w="1791"/>
        <w:gridCol w:w="3410"/>
        <w:gridCol w:w="2848"/>
        <w:gridCol w:w="2002"/>
      </w:tblGrid>
      <w:tr w:rsidR="00B1670F" w14:paraId="66C5AB0C" w14:textId="77777777">
        <w:trPr>
          <w:tblHeader/>
          <w:jc w:val="center"/>
        </w:trPr>
        <w:tc>
          <w:tcPr>
            <w:tcW w:w="1790"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B08" w14:textId="77777777" w:rsidR="00B1670F" w:rsidRDefault="00B23735">
            <w:pPr>
              <w:spacing w:after="0" w:line="240" w:lineRule="auto"/>
              <w:rPr>
                <w:color w:val="auto"/>
                <w:sz w:val="20"/>
                <w:szCs w:val="20"/>
              </w:rPr>
            </w:pPr>
            <w:r>
              <w:rPr>
                <w:b/>
                <w:bCs/>
                <w:color w:val="auto"/>
                <w:sz w:val="20"/>
                <w:szCs w:val="20"/>
              </w:rPr>
              <w:t>Option</w:t>
            </w:r>
          </w:p>
        </w:tc>
        <w:tc>
          <w:tcPr>
            <w:tcW w:w="3410"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B09" w14:textId="77777777" w:rsidR="00B1670F" w:rsidRDefault="00B23735">
            <w:pPr>
              <w:spacing w:after="0" w:line="240" w:lineRule="auto"/>
              <w:rPr>
                <w:color w:val="auto"/>
                <w:sz w:val="20"/>
                <w:szCs w:val="20"/>
              </w:rPr>
            </w:pPr>
            <w:r>
              <w:rPr>
                <w:b/>
                <w:bCs/>
                <w:color w:val="auto"/>
                <w:sz w:val="20"/>
                <w:szCs w:val="20"/>
              </w:rPr>
              <w:t>Description</w:t>
            </w:r>
          </w:p>
        </w:tc>
        <w:tc>
          <w:tcPr>
            <w:tcW w:w="2848"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B0A" w14:textId="77777777" w:rsidR="00B1670F" w:rsidRDefault="00B23735">
            <w:pPr>
              <w:spacing w:after="0" w:line="240" w:lineRule="auto"/>
              <w:rPr>
                <w:color w:val="auto"/>
                <w:sz w:val="20"/>
                <w:szCs w:val="20"/>
              </w:rPr>
            </w:pPr>
            <w:r>
              <w:rPr>
                <w:b/>
                <w:bCs/>
                <w:color w:val="auto"/>
                <w:sz w:val="20"/>
                <w:szCs w:val="20"/>
              </w:rPr>
              <w:t>Why it is relevant</w:t>
            </w:r>
          </w:p>
        </w:tc>
        <w:tc>
          <w:tcPr>
            <w:tcW w:w="2002"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B0B" w14:textId="77777777" w:rsidR="00B1670F" w:rsidRDefault="00B23735">
            <w:pPr>
              <w:spacing w:after="0" w:line="240" w:lineRule="auto"/>
              <w:rPr>
                <w:color w:val="auto"/>
                <w:sz w:val="20"/>
                <w:szCs w:val="20"/>
              </w:rPr>
            </w:pPr>
            <w:r>
              <w:rPr>
                <w:b/>
                <w:bCs/>
                <w:color w:val="auto"/>
                <w:sz w:val="20"/>
                <w:szCs w:val="20"/>
              </w:rPr>
              <w:t>Key assumptions</w:t>
            </w:r>
          </w:p>
        </w:tc>
      </w:tr>
      <w:tr w:rsidR="00B1670F" w14:paraId="66C5AB11" w14:textId="77777777">
        <w:trPr>
          <w:jc w:val="center"/>
        </w:trPr>
        <w:tc>
          <w:tcPr>
            <w:tcW w:w="1790"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0D" w14:textId="77777777" w:rsidR="00B1670F" w:rsidRDefault="00B23735">
            <w:pPr>
              <w:spacing w:after="0" w:line="240" w:lineRule="auto"/>
              <w:rPr>
                <w:color w:val="auto"/>
                <w:sz w:val="20"/>
                <w:szCs w:val="20"/>
              </w:rPr>
            </w:pPr>
            <w:r>
              <w:rPr>
                <w:color w:val="auto"/>
                <w:sz w:val="20"/>
                <w:szCs w:val="20"/>
              </w:rPr>
              <w:t>A. AS1 preferred solution</w:t>
            </w:r>
          </w:p>
        </w:tc>
        <w:tc>
          <w:tcPr>
            <w:tcW w:w="3410"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0E" w14:textId="77777777" w:rsidR="00B1670F" w:rsidRDefault="00B23735">
            <w:pPr>
              <w:spacing w:after="0" w:line="240" w:lineRule="auto"/>
              <w:rPr>
                <w:color w:val="auto"/>
                <w:sz w:val="20"/>
                <w:szCs w:val="20"/>
              </w:rPr>
            </w:pPr>
            <w:r>
              <w:rPr>
                <w:color w:val="auto"/>
                <w:sz w:val="20"/>
                <w:szCs w:val="20"/>
              </w:rPr>
              <w:t xml:space="preserve">Steel composite frame, RC core, provisional foundation strategy, masonry cavity wall and selective </w:t>
            </w:r>
            <w:proofErr w:type="spellStart"/>
            <w:r>
              <w:rPr>
                <w:color w:val="auto"/>
                <w:sz w:val="20"/>
                <w:szCs w:val="20"/>
              </w:rPr>
              <w:t>DfMA</w:t>
            </w:r>
            <w:proofErr w:type="spellEnd"/>
            <w:r>
              <w:rPr>
                <w:color w:val="auto"/>
                <w:sz w:val="20"/>
                <w:szCs w:val="20"/>
              </w:rPr>
              <w:t>/MMC</w:t>
            </w:r>
          </w:p>
        </w:tc>
        <w:tc>
          <w:tcPr>
            <w:tcW w:w="284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0F" w14:textId="77777777" w:rsidR="00B1670F" w:rsidRDefault="00B23735">
            <w:pPr>
              <w:spacing w:after="0" w:line="240" w:lineRule="auto"/>
              <w:rPr>
                <w:color w:val="auto"/>
                <w:sz w:val="20"/>
                <w:szCs w:val="20"/>
              </w:rPr>
            </w:pPr>
            <w:r>
              <w:rPr>
                <w:color w:val="auto"/>
                <w:sz w:val="20"/>
                <w:szCs w:val="20"/>
              </w:rPr>
              <w:t>Baseline proposal carried forward from AS1</w:t>
            </w:r>
          </w:p>
        </w:tc>
        <w:tc>
          <w:tcPr>
            <w:tcW w:w="2002"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10" w14:textId="77777777" w:rsidR="00B1670F" w:rsidRDefault="00B23735">
            <w:pPr>
              <w:spacing w:after="0" w:line="240" w:lineRule="auto"/>
              <w:rPr>
                <w:color w:val="auto"/>
                <w:sz w:val="20"/>
                <w:szCs w:val="20"/>
              </w:rPr>
            </w:pPr>
            <w:r>
              <w:rPr>
                <w:color w:val="auto"/>
                <w:sz w:val="20"/>
                <w:szCs w:val="20"/>
              </w:rPr>
              <w:t>Steel frame reduces weight; RC core provides stability; foundations remain GI-dependent</w:t>
            </w:r>
          </w:p>
        </w:tc>
      </w:tr>
      <w:tr w:rsidR="00B1670F" w14:paraId="66C5AB16" w14:textId="77777777">
        <w:trPr>
          <w:jc w:val="center"/>
        </w:trPr>
        <w:tc>
          <w:tcPr>
            <w:tcW w:w="1790"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12" w14:textId="77777777" w:rsidR="00B1670F" w:rsidRDefault="00B23735">
            <w:pPr>
              <w:spacing w:after="0" w:line="240" w:lineRule="auto"/>
              <w:rPr>
                <w:color w:val="auto"/>
                <w:sz w:val="20"/>
                <w:szCs w:val="20"/>
              </w:rPr>
            </w:pPr>
            <w:r>
              <w:rPr>
                <w:color w:val="auto"/>
                <w:sz w:val="20"/>
                <w:szCs w:val="20"/>
              </w:rPr>
              <w:t>B. RC flat slab frame</w:t>
            </w:r>
          </w:p>
        </w:tc>
        <w:tc>
          <w:tcPr>
            <w:tcW w:w="3410"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13" w14:textId="77777777" w:rsidR="00B1670F" w:rsidRDefault="00B23735">
            <w:pPr>
              <w:spacing w:after="0" w:line="240" w:lineRule="auto"/>
              <w:rPr>
                <w:color w:val="auto"/>
                <w:sz w:val="20"/>
                <w:szCs w:val="20"/>
              </w:rPr>
            </w:pPr>
            <w:r>
              <w:rPr>
                <w:color w:val="auto"/>
                <w:sz w:val="20"/>
                <w:szCs w:val="20"/>
              </w:rPr>
              <w:t>Reinforced concrete flat slab frame with RC core</w:t>
            </w:r>
          </w:p>
        </w:tc>
        <w:tc>
          <w:tcPr>
            <w:tcW w:w="2848"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14" w14:textId="77777777" w:rsidR="00B1670F" w:rsidRDefault="00B23735">
            <w:pPr>
              <w:spacing w:after="0" w:line="240" w:lineRule="auto"/>
              <w:rPr>
                <w:color w:val="auto"/>
                <w:sz w:val="20"/>
                <w:szCs w:val="20"/>
              </w:rPr>
            </w:pPr>
            <w:r>
              <w:rPr>
                <w:color w:val="auto"/>
                <w:sz w:val="20"/>
                <w:szCs w:val="20"/>
              </w:rPr>
              <w:t>Common hotel/residential medium-rise option</w:t>
            </w:r>
          </w:p>
        </w:tc>
        <w:tc>
          <w:tcPr>
            <w:tcW w:w="2002"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15" w14:textId="77777777" w:rsidR="00B1670F" w:rsidRDefault="00B23735">
            <w:pPr>
              <w:spacing w:after="0" w:line="240" w:lineRule="auto"/>
              <w:rPr>
                <w:color w:val="auto"/>
                <w:sz w:val="20"/>
                <w:szCs w:val="20"/>
              </w:rPr>
            </w:pPr>
            <w:r>
              <w:rPr>
                <w:color w:val="auto"/>
                <w:sz w:val="20"/>
                <w:szCs w:val="20"/>
              </w:rPr>
              <w:t>Better fire/acoustic mass and flat soffits, but heavier and slower than steel</w:t>
            </w:r>
          </w:p>
        </w:tc>
      </w:tr>
      <w:tr w:rsidR="00B1670F" w14:paraId="66C5AB1B" w14:textId="77777777">
        <w:trPr>
          <w:jc w:val="center"/>
        </w:trPr>
        <w:tc>
          <w:tcPr>
            <w:tcW w:w="1790"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17" w14:textId="77777777" w:rsidR="00B1670F" w:rsidRDefault="00B23735">
            <w:pPr>
              <w:spacing w:after="0" w:line="240" w:lineRule="auto"/>
              <w:rPr>
                <w:color w:val="auto"/>
                <w:sz w:val="20"/>
                <w:szCs w:val="20"/>
              </w:rPr>
            </w:pPr>
            <w:r>
              <w:rPr>
                <w:color w:val="auto"/>
                <w:sz w:val="20"/>
                <w:szCs w:val="20"/>
              </w:rPr>
              <w:t>C. Precast concrete frame</w:t>
            </w:r>
          </w:p>
        </w:tc>
        <w:tc>
          <w:tcPr>
            <w:tcW w:w="3410"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18" w14:textId="77777777" w:rsidR="00B1670F" w:rsidRDefault="00B23735">
            <w:pPr>
              <w:spacing w:after="0" w:line="240" w:lineRule="auto"/>
              <w:rPr>
                <w:color w:val="auto"/>
                <w:sz w:val="20"/>
                <w:szCs w:val="20"/>
              </w:rPr>
            </w:pPr>
            <w:r>
              <w:rPr>
                <w:color w:val="auto"/>
                <w:sz w:val="20"/>
                <w:szCs w:val="20"/>
              </w:rPr>
              <w:t>Factory-made concrete frame or hybrid concrete components</w:t>
            </w:r>
          </w:p>
        </w:tc>
        <w:tc>
          <w:tcPr>
            <w:tcW w:w="284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19" w14:textId="77777777" w:rsidR="00B1670F" w:rsidRDefault="00B23735">
            <w:pPr>
              <w:spacing w:after="0" w:line="240" w:lineRule="auto"/>
              <w:rPr>
                <w:color w:val="auto"/>
                <w:sz w:val="20"/>
                <w:szCs w:val="20"/>
              </w:rPr>
            </w:pPr>
            <w:proofErr w:type="gramStart"/>
            <w:r>
              <w:rPr>
                <w:color w:val="auto"/>
                <w:sz w:val="20"/>
                <w:szCs w:val="20"/>
              </w:rPr>
              <w:t>Tests</w:t>
            </w:r>
            <w:proofErr w:type="gramEnd"/>
            <w:r>
              <w:rPr>
                <w:color w:val="auto"/>
                <w:sz w:val="20"/>
                <w:szCs w:val="20"/>
              </w:rPr>
              <w:t xml:space="preserve"> whether more off-site structural manufacture improves quality and </w:t>
            </w:r>
            <w:proofErr w:type="spellStart"/>
            <w:r>
              <w:rPr>
                <w:color w:val="auto"/>
                <w:sz w:val="20"/>
                <w:szCs w:val="20"/>
              </w:rPr>
              <w:t>programme</w:t>
            </w:r>
            <w:proofErr w:type="spellEnd"/>
          </w:p>
        </w:tc>
        <w:tc>
          <w:tcPr>
            <w:tcW w:w="2002"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1A" w14:textId="77777777" w:rsidR="00B1670F" w:rsidRDefault="00B23735">
            <w:pPr>
              <w:spacing w:after="0" w:line="240" w:lineRule="auto"/>
              <w:rPr>
                <w:color w:val="auto"/>
                <w:sz w:val="20"/>
                <w:szCs w:val="20"/>
              </w:rPr>
            </w:pPr>
            <w:r>
              <w:rPr>
                <w:color w:val="auto"/>
                <w:sz w:val="20"/>
                <w:szCs w:val="20"/>
              </w:rPr>
              <w:t>Connection, lifting, transport and disproportionate-collapse design must be controlled</w:t>
            </w:r>
          </w:p>
        </w:tc>
      </w:tr>
      <w:tr w:rsidR="00B1670F" w14:paraId="66C5AB20" w14:textId="77777777" w:rsidTr="00820A7C">
        <w:trPr>
          <w:jc w:val="center"/>
        </w:trPr>
        <w:tc>
          <w:tcPr>
            <w:tcW w:w="1790"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1C" w14:textId="77777777" w:rsidR="00B1670F" w:rsidRDefault="00B23735">
            <w:pPr>
              <w:spacing w:after="0" w:line="240" w:lineRule="auto"/>
              <w:rPr>
                <w:color w:val="auto"/>
                <w:sz w:val="20"/>
                <w:szCs w:val="20"/>
              </w:rPr>
            </w:pPr>
            <w:r>
              <w:rPr>
                <w:color w:val="auto"/>
                <w:sz w:val="20"/>
                <w:szCs w:val="20"/>
              </w:rPr>
              <w:t>D. Volumetric modular</w:t>
            </w:r>
          </w:p>
        </w:tc>
        <w:tc>
          <w:tcPr>
            <w:tcW w:w="3410"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1D" w14:textId="77777777" w:rsidR="00B1670F" w:rsidRDefault="00B23735">
            <w:pPr>
              <w:spacing w:after="0" w:line="240" w:lineRule="auto"/>
              <w:rPr>
                <w:color w:val="auto"/>
                <w:sz w:val="20"/>
                <w:szCs w:val="20"/>
              </w:rPr>
            </w:pPr>
            <w:r>
              <w:rPr>
                <w:color w:val="auto"/>
                <w:sz w:val="20"/>
                <w:szCs w:val="20"/>
              </w:rPr>
              <w:t>Factory-made hotel room modules with core/transfer structure</w:t>
            </w:r>
          </w:p>
        </w:tc>
        <w:tc>
          <w:tcPr>
            <w:tcW w:w="2848"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1E" w14:textId="77777777" w:rsidR="00B1670F" w:rsidRDefault="00B23735">
            <w:pPr>
              <w:spacing w:after="0" w:line="240" w:lineRule="auto"/>
              <w:rPr>
                <w:color w:val="auto"/>
                <w:sz w:val="20"/>
                <w:szCs w:val="20"/>
              </w:rPr>
            </w:pPr>
            <w:r>
              <w:rPr>
                <w:color w:val="auto"/>
                <w:sz w:val="20"/>
                <w:szCs w:val="20"/>
              </w:rPr>
              <w:t>Relevant because hotels use repeated room layouts</w:t>
            </w:r>
          </w:p>
        </w:tc>
        <w:tc>
          <w:tcPr>
            <w:tcW w:w="2002"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1F" w14:textId="77777777" w:rsidR="00B1670F" w:rsidRDefault="00B23735">
            <w:pPr>
              <w:spacing w:after="0" w:line="240" w:lineRule="auto"/>
              <w:rPr>
                <w:color w:val="auto"/>
                <w:sz w:val="20"/>
                <w:szCs w:val="20"/>
              </w:rPr>
            </w:pPr>
            <w:r>
              <w:rPr>
                <w:color w:val="auto"/>
                <w:sz w:val="20"/>
                <w:szCs w:val="20"/>
              </w:rPr>
              <w:t xml:space="preserve">Fast in </w:t>
            </w:r>
            <w:proofErr w:type="gramStart"/>
            <w:r>
              <w:rPr>
                <w:color w:val="auto"/>
                <w:sz w:val="20"/>
                <w:szCs w:val="20"/>
              </w:rPr>
              <w:t>theory, but</w:t>
            </w:r>
            <w:proofErr w:type="gramEnd"/>
            <w:r>
              <w:rPr>
                <w:color w:val="auto"/>
                <w:sz w:val="20"/>
                <w:szCs w:val="20"/>
              </w:rPr>
              <w:t xml:space="preserve"> transport, cranage, tolerance and early design-freeze risks are significant</w:t>
            </w:r>
          </w:p>
        </w:tc>
      </w:tr>
      <w:tr w:rsidR="00B1670F" w14:paraId="66C5AB25" w14:textId="77777777" w:rsidTr="00820A7C">
        <w:trPr>
          <w:jc w:val="center"/>
        </w:trPr>
        <w:tc>
          <w:tcPr>
            <w:tcW w:w="1790" w:type="dxa"/>
            <w:tcBorders>
              <w:top w:val="single" w:sz="6" w:space="0" w:color="D9E2EA"/>
              <w:left w:val="single" w:sz="6" w:space="0" w:color="D9E2EA"/>
              <w:bottom w:val="single" w:sz="6" w:space="0" w:color="D9E2EA"/>
              <w:right w:val="single" w:sz="6" w:space="0" w:color="D9E2EA"/>
            </w:tcBorders>
          </w:tcPr>
          <w:p w14:paraId="66C5AB21" w14:textId="77777777" w:rsidR="00B1670F" w:rsidRDefault="00B23735">
            <w:pPr>
              <w:spacing w:after="0" w:line="240" w:lineRule="auto"/>
            </w:pPr>
            <w:r>
              <w:t>E. CLT / hybrid timber</w:t>
            </w:r>
          </w:p>
        </w:tc>
        <w:tc>
          <w:tcPr>
            <w:tcW w:w="3410" w:type="dxa"/>
            <w:tcBorders>
              <w:top w:val="single" w:sz="6" w:space="0" w:color="D9E2EA"/>
              <w:left w:val="single" w:sz="6" w:space="0" w:color="D9E2EA"/>
              <w:bottom w:val="single" w:sz="6" w:space="0" w:color="D9E2EA"/>
              <w:right w:val="single" w:sz="6" w:space="0" w:color="D9E2EA"/>
            </w:tcBorders>
          </w:tcPr>
          <w:p w14:paraId="66C5AB22" w14:textId="77777777" w:rsidR="00B1670F" w:rsidRDefault="00B23735">
            <w:pPr>
              <w:spacing w:after="0" w:line="240" w:lineRule="auto"/>
            </w:pPr>
            <w:r>
              <w:t>Mass timber or timber-hybrid frame with non-combustible compliant external wall strategy</w:t>
            </w:r>
          </w:p>
        </w:tc>
        <w:tc>
          <w:tcPr>
            <w:tcW w:w="2848" w:type="dxa"/>
            <w:tcBorders>
              <w:top w:val="single" w:sz="6" w:space="0" w:color="D9E2EA"/>
              <w:left w:val="single" w:sz="6" w:space="0" w:color="D9E2EA"/>
              <w:bottom w:val="single" w:sz="6" w:space="0" w:color="D9E2EA"/>
              <w:right w:val="single" w:sz="6" w:space="0" w:color="D9E2EA"/>
            </w:tcBorders>
          </w:tcPr>
          <w:p w14:paraId="66C5AB23" w14:textId="77777777" w:rsidR="00B1670F" w:rsidRDefault="00B23735">
            <w:pPr>
              <w:spacing w:after="0" w:line="240" w:lineRule="auto"/>
            </w:pPr>
            <w:r>
              <w:t>Tests the low-carbon structural narrative</w:t>
            </w:r>
          </w:p>
        </w:tc>
        <w:tc>
          <w:tcPr>
            <w:tcW w:w="2002" w:type="dxa"/>
            <w:tcBorders>
              <w:top w:val="single" w:sz="6" w:space="0" w:color="D9E2EA"/>
              <w:left w:val="single" w:sz="6" w:space="0" w:color="D9E2EA"/>
              <w:bottom w:val="single" w:sz="6" w:space="0" w:color="D9E2EA"/>
              <w:right w:val="single" w:sz="6" w:space="0" w:color="D9E2EA"/>
            </w:tcBorders>
          </w:tcPr>
          <w:p w14:paraId="66C5AB24" w14:textId="77777777" w:rsidR="00B1670F" w:rsidRDefault="00B23735">
            <w:pPr>
              <w:spacing w:after="0" w:line="240" w:lineRule="auto"/>
            </w:pPr>
            <w:r>
              <w:t>Requires specialist fire, moisture and acoustic strategy; external wall compliance is critical</w:t>
            </w:r>
          </w:p>
        </w:tc>
      </w:tr>
      <w:tr w:rsidR="00B1670F" w14:paraId="66C5AB2A" w14:textId="77777777" w:rsidTr="00820A7C">
        <w:trPr>
          <w:jc w:val="center"/>
        </w:trPr>
        <w:tc>
          <w:tcPr>
            <w:tcW w:w="1790" w:type="dxa"/>
            <w:tcBorders>
              <w:top w:val="single" w:sz="6" w:space="0" w:color="D9E2EA"/>
              <w:left w:val="single" w:sz="6" w:space="0" w:color="D9E2EA"/>
              <w:bottom w:val="single" w:sz="6" w:space="0" w:color="D9E2EA"/>
              <w:right w:val="single" w:sz="6" w:space="0" w:color="D9E2EA"/>
            </w:tcBorders>
          </w:tcPr>
          <w:p w14:paraId="66C5AB26" w14:textId="77777777" w:rsidR="00B1670F" w:rsidRDefault="00B23735">
            <w:pPr>
              <w:spacing w:after="0" w:line="240" w:lineRule="auto"/>
            </w:pPr>
            <w:r>
              <w:t xml:space="preserve">F. Steel frame with </w:t>
            </w:r>
            <w:proofErr w:type="spellStart"/>
            <w:r>
              <w:t>panelised</w:t>
            </w:r>
            <w:proofErr w:type="spellEnd"/>
            <w:r>
              <w:t xml:space="preserve"> façade</w:t>
            </w:r>
          </w:p>
        </w:tc>
        <w:tc>
          <w:tcPr>
            <w:tcW w:w="3410" w:type="dxa"/>
            <w:tcBorders>
              <w:top w:val="single" w:sz="6" w:space="0" w:color="D9E2EA"/>
              <w:left w:val="single" w:sz="6" w:space="0" w:color="D9E2EA"/>
              <w:bottom w:val="single" w:sz="6" w:space="0" w:color="D9E2EA"/>
              <w:right w:val="single" w:sz="6" w:space="0" w:color="D9E2EA"/>
            </w:tcBorders>
          </w:tcPr>
          <w:p w14:paraId="66C5AB27" w14:textId="77777777" w:rsidR="00B1670F" w:rsidRDefault="00B23735">
            <w:pPr>
              <w:spacing w:after="0" w:line="240" w:lineRule="auto"/>
            </w:pPr>
            <w:r>
              <w:t>Steel composite frame with more off-site envelope manufacture</w:t>
            </w:r>
          </w:p>
        </w:tc>
        <w:tc>
          <w:tcPr>
            <w:tcW w:w="2848" w:type="dxa"/>
            <w:tcBorders>
              <w:top w:val="single" w:sz="6" w:space="0" w:color="D9E2EA"/>
              <w:left w:val="single" w:sz="6" w:space="0" w:color="D9E2EA"/>
              <w:bottom w:val="single" w:sz="6" w:space="0" w:color="D9E2EA"/>
              <w:right w:val="single" w:sz="6" w:space="0" w:color="D9E2EA"/>
            </w:tcBorders>
          </w:tcPr>
          <w:p w14:paraId="66C5AB28" w14:textId="77777777" w:rsidR="00B1670F" w:rsidRDefault="00B23735">
            <w:pPr>
              <w:spacing w:after="0" w:line="240" w:lineRule="auto"/>
            </w:pPr>
            <w:proofErr w:type="gramStart"/>
            <w:r>
              <w:t>Tests</w:t>
            </w:r>
            <w:proofErr w:type="gramEnd"/>
            <w:r>
              <w:t xml:space="preserve"> whether more prefabrication improves </w:t>
            </w:r>
            <w:proofErr w:type="spellStart"/>
            <w:r>
              <w:t>programme</w:t>
            </w:r>
            <w:proofErr w:type="spellEnd"/>
          </w:p>
        </w:tc>
        <w:tc>
          <w:tcPr>
            <w:tcW w:w="2002" w:type="dxa"/>
            <w:tcBorders>
              <w:top w:val="single" w:sz="6" w:space="0" w:color="D9E2EA"/>
              <w:left w:val="single" w:sz="6" w:space="0" w:color="D9E2EA"/>
              <w:bottom w:val="single" w:sz="6" w:space="0" w:color="D9E2EA"/>
              <w:right w:val="single" w:sz="6" w:space="0" w:color="D9E2EA"/>
            </w:tcBorders>
          </w:tcPr>
          <w:p w14:paraId="66C5AB29" w14:textId="77777777" w:rsidR="00B1670F" w:rsidRDefault="00B23735">
            <w:pPr>
              <w:spacing w:after="0" w:line="240" w:lineRule="auto"/>
            </w:pPr>
            <w:r>
              <w:t>Faster enclosure, but joints, lifting, fire-stopping and coastal durability need careful control</w:t>
            </w:r>
          </w:p>
        </w:tc>
      </w:tr>
    </w:tbl>
    <w:p w14:paraId="66C5AB2B" w14:textId="77777777" w:rsidR="00B1670F" w:rsidRDefault="00B1670F"/>
    <w:p w14:paraId="66C5AB2C" w14:textId="77777777" w:rsidR="00B1670F" w:rsidRDefault="00B23735">
      <w:pPr>
        <w:pStyle w:val="Heading2"/>
      </w:pPr>
      <w:bookmarkStart w:id="46" w:name="_Toc229404634"/>
      <w:bookmarkStart w:id="47" w:name="_Toc229426341"/>
      <w:r>
        <w:t>7.2 Decision Matrix</w:t>
      </w:r>
      <w:bookmarkEnd w:id="46"/>
      <w:bookmarkEnd w:id="47"/>
    </w:p>
    <w:tbl>
      <w:tblPr>
        <w:tblStyle w:val="TableGrid"/>
        <w:tblW w:w="10051" w:type="dxa"/>
        <w:jc w:val="center"/>
        <w:tblLayout w:type="fixed"/>
        <w:tblLook w:val="04A0" w:firstRow="1" w:lastRow="0" w:firstColumn="1" w:lastColumn="0" w:noHBand="0" w:noVBand="1"/>
      </w:tblPr>
      <w:tblGrid>
        <w:gridCol w:w="1791"/>
        <w:gridCol w:w="1567"/>
        <w:gridCol w:w="1591"/>
        <w:gridCol w:w="1496"/>
        <w:gridCol w:w="1798"/>
        <w:gridCol w:w="1808"/>
      </w:tblGrid>
      <w:tr w:rsidR="00B1670F" w14:paraId="66C5AB33" w14:textId="77777777">
        <w:trPr>
          <w:tblHeader/>
          <w:jc w:val="center"/>
        </w:trPr>
        <w:tc>
          <w:tcPr>
            <w:tcW w:w="1790"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B2D" w14:textId="77777777" w:rsidR="00B1670F" w:rsidRDefault="00B23735">
            <w:pPr>
              <w:spacing w:after="0" w:line="240" w:lineRule="auto"/>
              <w:rPr>
                <w:color w:val="auto"/>
                <w:sz w:val="20"/>
                <w:szCs w:val="20"/>
              </w:rPr>
            </w:pPr>
            <w:r>
              <w:rPr>
                <w:b/>
                <w:bCs/>
                <w:color w:val="auto"/>
                <w:sz w:val="20"/>
                <w:szCs w:val="20"/>
              </w:rPr>
              <w:t>Option</w:t>
            </w:r>
          </w:p>
        </w:tc>
        <w:tc>
          <w:tcPr>
            <w:tcW w:w="1567"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B2E" w14:textId="77777777" w:rsidR="00B1670F" w:rsidRDefault="00B23735">
            <w:pPr>
              <w:spacing w:after="0" w:line="240" w:lineRule="auto"/>
              <w:rPr>
                <w:color w:val="auto"/>
                <w:sz w:val="20"/>
                <w:szCs w:val="20"/>
              </w:rPr>
            </w:pPr>
            <w:r>
              <w:rPr>
                <w:b/>
                <w:bCs/>
                <w:color w:val="auto"/>
                <w:sz w:val="20"/>
                <w:szCs w:val="20"/>
              </w:rPr>
              <w:t>Buildability/logistics</w:t>
            </w:r>
          </w:p>
        </w:tc>
        <w:tc>
          <w:tcPr>
            <w:tcW w:w="1591"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B2F" w14:textId="77777777" w:rsidR="00B1670F" w:rsidRDefault="00B23735">
            <w:pPr>
              <w:spacing w:after="0" w:line="240" w:lineRule="auto"/>
              <w:rPr>
                <w:color w:val="auto"/>
                <w:sz w:val="20"/>
                <w:szCs w:val="20"/>
              </w:rPr>
            </w:pPr>
            <w:proofErr w:type="spellStart"/>
            <w:r>
              <w:rPr>
                <w:b/>
                <w:bCs/>
                <w:color w:val="auto"/>
                <w:sz w:val="20"/>
                <w:szCs w:val="20"/>
              </w:rPr>
              <w:t>Programme</w:t>
            </w:r>
            <w:proofErr w:type="spellEnd"/>
            <w:r>
              <w:rPr>
                <w:b/>
                <w:bCs/>
                <w:color w:val="auto"/>
                <w:sz w:val="20"/>
                <w:szCs w:val="20"/>
              </w:rPr>
              <w:t xml:space="preserve"> and certainty</w:t>
            </w:r>
          </w:p>
        </w:tc>
        <w:tc>
          <w:tcPr>
            <w:tcW w:w="1496"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B30" w14:textId="77777777" w:rsidR="00B1670F" w:rsidRDefault="00B23735">
            <w:pPr>
              <w:spacing w:after="0" w:line="240" w:lineRule="auto"/>
              <w:rPr>
                <w:color w:val="auto"/>
                <w:sz w:val="20"/>
                <w:szCs w:val="20"/>
              </w:rPr>
            </w:pPr>
            <w:r>
              <w:rPr>
                <w:b/>
                <w:bCs/>
                <w:color w:val="auto"/>
                <w:sz w:val="20"/>
                <w:szCs w:val="20"/>
              </w:rPr>
              <w:t>Embodied carbon</w:t>
            </w:r>
          </w:p>
        </w:tc>
        <w:tc>
          <w:tcPr>
            <w:tcW w:w="1798"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B31" w14:textId="77777777" w:rsidR="00B1670F" w:rsidRDefault="00B23735">
            <w:pPr>
              <w:spacing w:after="0" w:line="240" w:lineRule="auto"/>
              <w:rPr>
                <w:color w:val="auto"/>
                <w:sz w:val="20"/>
                <w:szCs w:val="20"/>
              </w:rPr>
            </w:pPr>
            <w:r>
              <w:rPr>
                <w:b/>
                <w:bCs/>
                <w:color w:val="auto"/>
                <w:sz w:val="20"/>
                <w:szCs w:val="20"/>
              </w:rPr>
              <w:t>Fire/durability/flexibility</w:t>
            </w:r>
          </w:p>
        </w:tc>
        <w:tc>
          <w:tcPr>
            <w:tcW w:w="1808"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B32" w14:textId="77777777" w:rsidR="00B1670F" w:rsidRDefault="00B23735">
            <w:pPr>
              <w:spacing w:after="0" w:line="240" w:lineRule="auto"/>
              <w:rPr>
                <w:color w:val="auto"/>
                <w:sz w:val="20"/>
                <w:szCs w:val="20"/>
              </w:rPr>
            </w:pPr>
            <w:r>
              <w:rPr>
                <w:b/>
                <w:bCs/>
                <w:color w:val="auto"/>
                <w:sz w:val="20"/>
                <w:szCs w:val="20"/>
              </w:rPr>
              <w:t>Weighted judgement</w:t>
            </w:r>
          </w:p>
        </w:tc>
      </w:tr>
      <w:tr w:rsidR="00B1670F" w14:paraId="66C5AB3A" w14:textId="77777777">
        <w:trPr>
          <w:jc w:val="center"/>
        </w:trPr>
        <w:tc>
          <w:tcPr>
            <w:tcW w:w="1790"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34" w14:textId="77777777" w:rsidR="00B1670F" w:rsidRDefault="00B23735">
            <w:pPr>
              <w:spacing w:after="0" w:line="240" w:lineRule="auto"/>
              <w:rPr>
                <w:color w:val="auto"/>
                <w:sz w:val="20"/>
                <w:szCs w:val="20"/>
              </w:rPr>
            </w:pPr>
            <w:r>
              <w:rPr>
                <w:color w:val="auto"/>
                <w:sz w:val="20"/>
                <w:szCs w:val="20"/>
              </w:rPr>
              <w:t>A. Steel composite frame + RC core</w:t>
            </w:r>
          </w:p>
        </w:tc>
        <w:tc>
          <w:tcPr>
            <w:tcW w:w="1567"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35" w14:textId="77777777" w:rsidR="00B1670F" w:rsidRDefault="00B23735">
            <w:pPr>
              <w:spacing w:after="0" w:line="240" w:lineRule="auto"/>
              <w:rPr>
                <w:color w:val="auto"/>
                <w:sz w:val="20"/>
                <w:szCs w:val="20"/>
              </w:rPr>
            </w:pPr>
            <w:r>
              <w:rPr>
                <w:color w:val="auto"/>
                <w:sz w:val="20"/>
                <w:szCs w:val="20"/>
              </w:rPr>
              <w:t>Strong: familiar frame, repeatable floors, selective MMC</w:t>
            </w:r>
          </w:p>
        </w:tc>
        <w:tc>
          <w:tcPr>
            <w:tcW w:w="1591"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36" w14:textId="77777777" w:rsidR="00B1670F" w:rsidRDefault="00B23735">
            <w:pPr>
              <w:spacing w:after="0" w:line="240" w:lineRule="auto"/>
              <w:rPr>
                <w:color w:val="auto"/>
                <w:sz w:val="20"/>
                <w:szCs w:val="20"/>
              </w:rPr>
            </w:pPr>
            <w:r>
              <w:rPr>
                <w:color w:val="auto"/>
                <w:sz w:val="20"/>
                <w:szCs w:val="20"/>
              </w:rPr>
              <w:t>Strong: fast dry frame and known UK supply chain</w:t>
            </w:r>
          </w:p>
        </w:tc>
        <w:tc>
          <w:tcPr>
            <w:tcW w:w="1496"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37" w14:textId="77777777" w:rsidR="00B1670F" w:rsidRDefault="00B23735">
            <w:pPr>
              <w:spacing w:after="0" w:line="240" w:lineRule="auto"/>
              <w:rPr>
                <w:color w:val="auto"/>
                <w:sz w:val="20"/>
                <w:szCs w:val="20"/>
              </w:rPr>
            </w:pPr>
            <w:r>
              <w:rPr>
                <w:color w:val="auto"/>
                <w:sz w:val="20"/>
                <w:szCs w:val="20"/>
              </w:rPr>
              <w:t xml:space="preserve">Moderate: steel/core carbon needs EPD-led </w:t>
            </w:r>
            <w:proofErr w:type="spellStart"/>
            <w:r>
              <w:rPr>
                <w:color w:val="auto"/>
                <w:sz w:val="20"/>
                <w:szCs w:val="20"/>
              </w:rPr>
              <w:t>optimisation</w:t>
            </w:r>
            <w:proofErr w:type="spellEnd"/>
          </w:p>
        </w:tc>
        <w:tc>
          <w:tcPr>
            <w:tcW w:w="179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38" w14:textId="77777777" w:rsidR="00B1670F" w:rsidRDefault="00B23735">
            <w:pPr>
              <w:spacing w:after="0" w:line="240" w:lineRule="auto"/>
              <w:rPr>
                <w:color w:val="auto"/>
                <w:sz w:val="20"/>
                <w:szCs w:val="20"/>
              </w:rPr>
            </w:pPr>
            <w:r>
              <w:rPr>
                <w:color w:val="auto"/>
                <w:sz w:val="20"/>
                <w:szCs w:val="20"/>
              </w:rPr>
              <w:t>Good: adaptable floorplate; core fixes risers</w:t>
            </w:r>
          </w:p>
        </w:tc>
        <w:tc>
          <w:tcPr>
            <w:tcW w:w="180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39" w14:textId="77777777" w:rsidR="00B1670F" w:rsidRDefault="00B23735">
            <w:pPr>
              <w:spacing w:after="0" w:line="240" w:lineRule="auto"/>
              <w:rPr>
                <w:color w:val="auto"/>
                <w:sz w:val="20"/>
                <w:szCs w:val="20"/>
              </w:rPr>
            </w:pPr>
            <w:r>
              <w:rPr>
                <w:color w:val="auto"/>
                <w:sz w:val="20"/>
                <w:szCs w:val="20"/>
              </w:rPr>
              <w:t>85/100 - preferred balanced baseline</w:t>
            </w:r>
          </w:p>
        </w:tc>
      </w:tr>
      <w:tr w:rsidR="00B1670F" w14:paraId="66C5AB41" w14:textId="77777777">
        <w:trPr>
          <w:jc w:val="center"/>
        </w:trPr>
        <w:tc>
          <w:tcPr>
            <w:tcW w:w="1790"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3B" w14:textId="77777777" w:rsidR="00B1670F" w:rsidRDefault="00B23735">
            <w:pPr>
              <w:spacing w:after="0" w:line="240" w:lineRule="auto"/>
              <w:rPr>
                <w:color w:val="auto"/>
                <w:sz w:val="20"/>
                <w:szCs w:val="20"/>
              </w:rPr>
            </w:pPr>
            <w:r>
              <w:rPr>
                <w:color w:val="auto"/>
                <w:sz w:val="20"/>
                <w:szCs w:val="20"/>
              </w:rPr>
              <w:t xml:space="preserve">B. Steel frame + </w:t>
            </w:r>
            <w:proofErr w:type="spellStart"/>
            <w:r>
              <w:rPr>
                <w:color w:val="auto"/>
                <w:sz w:val="20"/>
                <w:szCs w:val="20"/>
              </w:rPr>
              <w:t>panelised</w:t>
            </w:r>
            <w:proofErr w:type="spellEnd"/>
            <w:r>
              <w:rPr>
                <w:color w:val="auto"/>
                <w:sz w:val="20"/>
                <w:szCs w:val="20"/>
              </w:rPr>
              <w:t xml:space="preserve"> façade</w:t>
            </w:r>
          </w:p>
        </w:tc>
        <w:tc>
          <w:tcPr>
            <w:tcW w:w="1567"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3C" w14:textId="77777777" w:rsidR="00B1670F" w:rsidRDefault="00B23735">
            <w:pPr>
              <w:spacing w:after="0" w:line="240" w:lineRule="auto"/>
              <w:rPr>
                <w:color w:val="auto"/>
                <w:sz w:val="20"/>
                <w:szCs w:val="20"/>
              </w:rPr>
            </w:pPr>
            <w:r>
              <w:rPr>
                <w:color w:val="auto"/>
                <w:sz w:val="20"/>
                <w:szCs w:val="20"/>
              </w:rPr>
              <w:t>Good but tolerance/jointing risk increases</w:t>
            </w:r>
          </w:p>
        </w:tc>
        <w:tc>
          <w:tcPr>
            <w:tcW w:w="1591"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3D" w14:textId="77777777" w:rsidR="00B1670F" w:rsidRDefault="00B23735">
            <w:pPr>
              <w:spacing w:after="0" w:line="240" w:lineRule="auto"/>
              <w:rPr>
                <w:color w:val="auto"/>
                <w:sz w:val="20"/>
                <w:szCs w:val="20"/>
              </w:rPr>
            </w:pPr>
            <w:r>
              <w:rPr>
                <w:color w:val="auto"/>
                <w:sz w:val="20"/>
                <w:szCs w:val="20"/>
              </w:rPr>
              <w:t>Strong: faster enclosure if supplier is mature</w:t>
            </w:r>
          </w:p>
        </w:tc>
        <w:tc>
          <w:tcPr>
            <w:tcW w:w="1496"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3E" w14:textId="77777777" w:rsidR="00B1670F" w:rsidRDefault="00B23735">
            <w:pPr>
              <w:spacing w:after="0" w:line="240" w:lineRule="auto"/>
              <w:rPr>
                <w:color w:val="auto"/>
                <w:sz w:val="20"/>
                <w:szCs w:val="20"/>
              </w:rPr>
            </w:pPr>
            <w:r>
              <w:rPr>
                <w:color w:val="auto"/>
                <w:sz w:val="20"/>
                <w:szCs w:val="20"/>
              </w:rPr>
              <w:t>Moderate: depends on panel and steel EPDs</w:t>
            </w:r>
          </w:p>
        </w:tc>
        <w:tc>
          <w:tcPr>
            <w:tcW w:w="1798"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3F" w14:textId="77777777" w:rsidR="00B1670F" w:rsidRDefault="00B23735">
            <w:pPr>
              <w:spacing w:after="0" w:line="240" w:lineRule="auto"/>
              <w:rPr>
                <w:color w:val="auto"/>
                <w:sz w:val="20"/>
                <w:szCs w:val="20"/>
              </w:rPr>
            </w:pPr>
            <w:r>
              <w:rPr>
                <w:color w:val="auto"/>
                <w:sz w:val="20"/>
                <w:szCs w:val="20"/>
              </w:rPr>
              <w:t xml:space="preserve">Moderate: façade replacement and </w:t>
            </w:r>
            <w:proofErr w:type="gramStart"/>
            <w:r>
              <w:rPr>
                <w:color w:val="auto"/>
                <w:sz w:val="20"/>
                <w:szCs w:val="20"/>
              </w:rPr>
              <w:t>fire-stops</w:t>
            </w:r>
            <w:proofErr w:type="gramEnd"/>
            <w:r>
              <w:rPr>
                <w:color w:val="auto"/>
                <w:sz w:val="20"/>
                <w:szCs w:val="20"/>
              </w:rPr>
              <w:t xml:space="preserve"> need QA</w:t>
            </w:r>
          </w:p>
        </w:tc>
        <w:tc>
          <w:tcPr>
            <w:tcW w:w="1808"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40" w14:textId="77777777" w:rsidR="00B1670F" w:rsidRDefault="00B23735">
            <w:pPr>
              <w:spacing w:after="0" w:line="240" w:lineRule="auto"/>
              <w:rPr>
                <w:color w:val="auto"/>
                <w:sz w:val="20"/>
                <w:szCs w:val="20"/>
              </w:rPr>
            </w:pPr>
            <w:r>
              <w:rPr>
                <w:color w:val="auto"/>
                <w:sz w:val="20"/>
                <w:szCs w:val="20"/>
              </w:rPr>
              <w:t xml:space="preserve">78/100 - strong alternative if </w:t>
            </w:r>
            <w:proofErr w:type="spellStart"/>
            <w:r>
              <w:rPr>
                <w:color w:val="auto"/>
                <w:sz w:val="20"/>
                <w:szCs w:val="20"/>
              </w:rPr>
              <w:t>programme</w:t>
            </w:r>
            <w:proofErr w:type="spellEnd"/>
            <w:r>
              <w:rPr>
                <w:color w:val="auto"/>
                <w:sz w:val="20"/>
                <w:szCs w:val="20"/>
              </w:rPr>
              <w:t xml:space="preserve"> dominates</w:t>
            </w:r>
          </w:p>
        </w:tc>
      </w:tr>
      <w:tr w:rsidR="00B1670F" w14:paraId="66C5AB48" w14:textId="77777777">
        <w:trPr>
          <w:jc w:val="center"/>
        </w:trPr>
        <w:tc>
          <w:tcPr>
            <w:tcW w:w="1790"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42" w14:textId="77777777" w:rsidR="00B1670F" w:rsidRDefault="00B23735">
            <w:pPr>
              <w:spacing w:after="0" w:line="240" w:lineRule="auto"/>
              <w:rPr>
                <w:color w:val="auto"/>
                <w:sz w:val="20"/>
                <w:szCs w:val="20"/>
              </w:rPr>
            </w:pPr>
            <w:r>
              <w:rPr>
                <w:color w:val="auto"/>
                <w:sz w:val="20"/>
                <w:szCs w:val="20"/>
              </w:rPr>
              <w:t>C. RC flat slab + RC core</w:t>
            </w:r>
          </w:p>
        </w:tc>
        <w:tc>
          <w:tcPr>
            <w:tcW w:w="1567"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43" w14:textId="77777777" w:rsidR="00B1670F" w:rsidRDefault="00B23735">
            <w:pPr>
              <w:spacing w:after="0" w:line="240" w:lineRule="auto"/>
              <w:rPr>
                <w:color w:val="auto"/>
                <w:sz w:val="20"/>
                <w:szCs w:val="20"/>
              </w:rPr>
            </w:pPr>
            <w:r>
              <w:rPr>
                <w:color w:val="auto"/>
                <w:sz w:val="20"/>
                <w:szCs w:val="20"/>
              </w:rPr>
              <w:t xml:space="preserve">Moderate: slower wet </w:t>
            </w:r>
            <w:r>
              <w:rPr>
                <w:color w:val="auto"/>
                <w:sz w:val="20"/>
                <w:szCs w:val="20"/>
              </w:rPr>
              <w:lastRenderedPageBreak/>
              <w:t>trades and heavier frame</w:t>
            </w:r>
          </w:p>
        </w:tc>
        <w:tc>
          <w:tcPr>
            <w:tcW w:w="1591"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44" w14:textId="77777777" w:rsidR="00B1670F" w:rsidRDefault="00B23735">
            <w:pPr>
              <w:spacing w:after="0" w:line="240" w:lineRule="auto"/>
              <w:rPr>
                <w:color w:val="auto"/>
                <w:sz w:val="20"/>
                <w:szCs w:val="20"/>
              </w:rPr>
            </w:pPr>
            <w:r>
              <w:rPr>
                <w:color w:val="auto"/>
                <w:sz w:val="20"/>
                <w:szCs w:val="20"/>
              </w:rPr>
              <w:lastRenderedPageBreak/>
              <w:t xml:space="preserve">Moderate/low: longer curing </w:t>
            </w:r>
            <w:r>
              <w:rPr>
                <w:color w:val="auto"/>
                <w:sz w:val="20"/>
                <w:szCs w:val="20"/>
              </w:rPr>
              <w:lastRenderedPageBreak/>
              <w:t>and follow-on sequencing</w:t>
            </w:r>
          </w:p>
        </w:tc>
        <w:tc>
          <w:tcPr>
            <w:tcW w:w="1496"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45" w14:textId="77777777" w:rsidR="00B1670F" w:rsidRDefault="00B23735">
            <w:pPr>
              <w:spacing w:after="0" w:line="240" w:lineRule="auto"/>
              <w:rPr>
                <w:color w:val="auto"/>
                <w:sz w:val="20"/>
                <w:szCs w:val="20"/>
              </w:rPr>
            </w:pPr>
            <w:r>
              <w:rPr>
                <w:color w:val="auto"/>
                <w:sz w:val="20"/>
                <w:szCs w:val="20"/>
              </w:rPr>
              <w:lastRenderedPageBreak/>
              <w:t xml:space="preserve">Weaker: higher </w:t>
            </w:r>
            <w:r>
              <w:rPr>
                <w:color w:val="auto"/>
                <w:sz w:val="20"/>
                <w:szCs w:val="20"/>
              </w:rPr>
              <w:lastRenderedPageBreak/>
              <w:t>concrete volume and foundation demand</w:t>
            </w:r>
          </w:p>
        </w:tc>
        <w:tc>
          <w:tcPr>
            <w:tcW w:w="179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46" w14:textId="77777777" w:rsidR="00B1670F" w:rsidRDefault="00B23735">
            <w:pPr>
              <w:spacing w:after="0" w:line="240" w:lineRule="auto"/>
              <w:rPr>
                <w:color w:val="auto"/>
                <w:sz w:val="20"/>
                <w:szCs w:val="20"/>
              </w:rPr>
            </w:pPr>
            <w:r>
              <w:rPr>
                <w:color w:val="auto"/>
                <w:sz w:val="20"/>
                <w:szCs w:val="20"/>
              </w:rPr>
              <w:lastRenderedPageBreak/>
              <w:t xml:space="preserve">Strong: acoustic mass, fire </w:t>
            </w:r>
            <w:r>
              <w:rPr>
                <w:color w:val="auto"/>
                <w:sz w:val="20"/>
                <w:szCs w:val="20"/>
              </w:rPr>
              <w:lastRenderedPageBreak/>
              <w:t>resistance and flat soffits</w:t>
            </w:r>
          </w:p>
        </w:tc>
        <w:tc>
          <w:tcPr>
            <w:tcW w:w="180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47" w14:textId="77777777" w:rsidR="00B1670F" w:rsidRDefault="00B23735">
            <w:pPr>
              <w:spacing w:after="0" w:line="240" w:lineRule="auto"/>
              <w:rPr>
                <w:color w:val="auto"/>
                <w:sz w:val="20"/>
                <w:szCs w:val="20"/>
              </w:rPr>
            </w:pPr>
            <w:r>
              <w:rPr>
                <w:color w:val="auto"/>
                <w:sz w:val="20"/>
                <w:szCs w:val="20"/>
              </w:rPr>
              <w:lastRenderedPageBreak/>
              <w:t xml:space="preserve">66/100 - viable fallback if </w:t>
            </w:r>
            <w:r>
              <w:rPr>
                <w:color w:val="auto"/>
                <w:sz w:val="20"/>
                <w:szCs w:val="20"/>
              </w:rPr>
              <w:lastRenderedPageBreak/>
              <w:t>robustness dominates</w:t>
            </w:r>
          </w:p>
        </w:tc>
      </w:tr>
      <w:tr w:rsidR="00B1670F" w14:paraId="66C5AB4F" w14:textId="77777777" w:rsidTr="00820A7C">
        <w:trPr>
          <w:jc w:val="center"/>
        </w:trPr>
        <w:tc>
          <w:tcPr>
            <w:tcW w:w="1790"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49" w14:textId="77777777" w:rsidR="00B1670F" w:rsidRDefault="00B23735">
            <w:pPr>
              <w:spacing w:after="0" w:line="240" w:lineRule="auto"/>
              <w:rPr>
                <w:color w:val="auto"/>
                <w:sz w:val="20"/>
                <w:szCs w:val="20"/>
              </w:rPr>
            </w:pPr>
            <w:r>
              <w:rPr>
                <w:color w:val="auto"/>
                <w:sz w:val="20"/>
                <w:szCs w:val="20"/>
              </w:rPr>
              <w:t>D. Precast concrete frame</w:t>
            </w:r>
          </w:p>
        </w:tc>
        <w:tc>
          <w:tcPr>
            <w:tcW w:w="1567"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4A" w14:textId="77777777" w:rsidR="00B1670F" w:rsidRDefault="00B23735">
            <w:pPr>
              <w:spacing w:after="0" w:line="240" w:lineRule="auto"/>
              <w:rPr>
                <w:color w:val="auto"/>
                <w:sz w:val="20"/>
                <w:szCs w:val="20"/>
              </w:rPr>
            </w:pPr>
            <w:r>
              <w:rPr>
                <w:color w:val="auto"/>
                <w:sz w:val="20"/>
                <w:szCs w:val="20"/>
              </w:rPr>
              <w:t>Moderate: factory quality but lifting/connection risk</w:t>
            </w:r>
          </w:p>
        </w:tc>
        <w:tc>
          <w:tcPr>
            <w:tcW w:w="1591"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4B" w14:textId="77777777" w:rsidR="00B1670F" w:rsidRDefault="00B23735">
            <w:pPr>
              <w:spacing w:after="0" w:line="240" w:lineRule="auto"/>
              <w:rPr>
                <w:color w:val="auto"/>
                <w:sz w:val="20"/>
                <w:szCs w:val="20"/>
              </w:rPr>
            </w:pPr>
            <w:r>
              <w:rPr>
                <w:color w:val="auto"/>
                <w:sz w:val="20"/>
                <w:szCs w:val="20"/>
              </w:rPr>
              <w:t>Good if route and craneage are proven</w:t>
            </w:r>
          </w:p>
        </w:tc>
        <w:tc>
          <w:tcPr>
            <w:tcW w:w="1496"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4C" w14:textId="77777777" w:rsidR="00B1670F" w:rsidRDefault="00B23735">
            <w:pPr>
              <w:spacing w:after="0" w:line="240" w:lineRule="auto"/>
              <w:rPr>
                <w:color w:val="auto"/>
                <w:sz w:val="20"/>
                <w:szCs w:val="20"/>
              </w:rPr>
            </w:pPr>
            <w:r>
              <w:rPr>
                <w:color w:val="auto"/>
                <w:sz w:val="20"/>
                <w:szCs w:val="20"/>
              </w:rPr>
              <w:t xml:space="preserve">Weaker: concrete-intensive unless </w:t>
            </w:r>
            <w:proofErr w:type="spellStart"/>
            <w:r>
              <w:rPr>
                <w:color w:val="auto"/>
                <w:sz w:val="20"/>
                <w:szCs w:val="20"/>
              </w:rPr>
              <w:t>optimised</w:t>
            </w:r>
            <w:proofErr w:type="spellEnd"/>
          </w:p>
        </w:tc>
        <w:tc>
          <w:tcPr>
            <w:tcW w:w="1798"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4D" w14:textId="77777777" w:rsidR="00B1670F" w:rsidRDefault="00B23735">
            <w:pPr>
              <w:spacing w:after="0" w:line="240" w:lineRule="auto"/>
              <w:rPr>
                <w:color w:val="auto"/>
                <w:sz w:val="20"/>
                <w:szCs w:val="20"/>
              </w:rPr>
            </w:pPr>
            <w:r>
              <w:rPr>
                <w:color w:val="auto"/>
                <w:sz w:val="20"/>
                <w:szCs w:val="20"/>
              </w:rPr>
              <w:t>Moderate: robustness depends on connection design</w:t>
            </w:r>
          </w:p>
        </w:tc>
        <w:tc>
          <w:tcPr>
            <w:tcW w:w="1808"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4E" w14:textId="77777777" w:rsidR="00B1670F" w:rsidRDefault="00B23735">
            <w:pPr>
              <w:spacing w:after="0" w:line="240" w:lineRule="auto"/>
              <w:rPr>
                <w:color w:val="auto"/>
                <w:sz w:val="20"/>
                <w:szCs w:val="20"/>
              </w:rPr>
            </w:pPr>
            <w:r>
              <w:rPr>
                <w:color w:val="auto"/>
                <w:sz w:val="20"/>
                <w:szCs w:val="20"/>
              </w:rPr>
              <w:t>63/100 - conditional option</w:t>
            </w:r>
          </w:p>
        </w:tc>
      </w:tr>
      <w:tr w:rsidR="00B1670F" w14:paraId="66C5AB56" w14:textId="77777777" w:rsidTr="00820A7C">
        <w:trPr>
          <w:jc w:val="center"/>
        </w:trPr>
        <w:tc>
          <w:tcPr>
            <w:tcW w:w="1790" w:type="dxa"/>
            <w:tcBorders>
              <w:top w:val="single" w:sz="6" w:space="0" w:color="D9E2EA"/>
              <w:left w:val="single" w:sz="6" w:space="0" w:color="D9E2EA"/>
              <w:bottom w:val="single" w:sz="6" w:space="0" w:color="D9E2EA"/>
              <w:right w:val="single" w:sz="6" w:space="0" w:color="D9E2EA"/>
            </w:tcBorders>
          </w:tcPr>
          <w:p w14:paraId="66C5AB50" w14:textId="77777777" w:rsidR="00B1670F" w:rsidRPr="00820A7C" w:rsidRDefault="00B23735">
            <w:pPr>
              <w:spacing w:after="0" w:line="240" w:lineRule="auto"/>
              <w:rPr>
                <w:color w:val="auto"/>
                <w:sz w:val="20"/>
                <w:szCs w:val="20"/>
              </w:rPr>
            </w:pPr>
            <w:r w:rsidRPr="00820A7C">
              <w:rPr>
                <w:color w:val="auto"/>
                <w:sz w:val="20"/>
                <w:szCs w:val="20"/>
              </w:rPr>
              <w:t>E. Volumetric modular</w:t>
            </w:r>
          </w:p>
        </w:tc>
        <w:tc>
          <w:tcPr>
            <w:tcW w:w="1567" w:type="dxa"/>
            <w:tcBorders>
              <w:top w:val="single" w:sz="6" w:space="0" w:color="D9E2EA"/>
              <w:left w:val="single" w:sz="6" w:space="0" w:color="D9E2EA"/>
              <w:bottom w:val="single" w:sz="6" w:space="0" w:color="D9E2EA"/>
              <w:right w:val="single" w:sz="6" w:space="0" w:color="D9E2EA"/>
            </w:tcBorders>
          </w:tcPr>
          <w:p w14:paraId="66C5AB51" w14:textId="77777777" w:rsidR="00B1670F" w:rsidRPr="00820A7C" w:rsidRDefault="00B23735">
            <w:pPr>
              <w:spacing w:after="0" w:line="240" w:lineRule="auto"/>
              <w:rPr>
                <w:color w:val="auto"/>
                <w:sz w:val="20"/>
                <w:szCs w:val="20"/>
              </w:rPr>
            </w:pPr>
            <w:r w:rsidRPr="00820A7C">
              <w:rPr>
                <w:color w:val="auto"/>
                <w:sz w:val="20"/>
                <w:szCs w:val="20"/>
              </w:rPr>
              <w:t>Weak/moderate: abnormal loads and craneage constrain site</w:t>
            </w:r>
          </w:p>
        </w:tc>
        <w:tc>
          <w:tcPr>
            <w:tcW w:w="1591" w:type="dxa"/>
            <w:tcBorders>
              <w:top w:val="single" w:sz="6" w:space="0" w:color="D9E2EA"/>
              <w:left w:val="single" w:sz="6" w:space="0" w:color="D9E2EA"/>
              <w:bottom w:val="single" w:sz="6" w:space="0" w:color="D9E2EA"/>
              <w:right w:val="single" w:sz="6" w:space="0" w:color="D9E2EA"/>
            </w:tcBorders>
          </w:tcPr>
          <w:p w14:paraId="66C5AB52" w14:textId="77777777" w:rsidR="00B1670F" w:rsidRPr="00820A7C" w:rsidRDefault="00B23735">
            <w:pPr>
              <w:spacing w:after="0" w:line="240" w:lineRule="auto"/>
              <w:rPr>
                <w:color w:val="auto"/>
                <w:sz w:val="20"/>
                <w:szCs w:val="20"/>
              </w:rPr>
            </w:pPr>
            <w:r w:rsidRPr="00820A7C">
              <w:rPr>
                <w:color w:val="auto"/>
                <w:sz w:val="20"/>
                <w:szCs w:val="20"/>
              </w:rPr>
              <w:t xml:space="preserve">Strong in theory, weaker if </w:t>
            </w:r>
            <w:proofErr w:type="spellStart"/>
            <w:r w:rsidRPr="00820A7C">
              <w:rPr>
                <w:color w:val="auto"/>
                <w:sz w:val="20"/>
                <w:szCs w:val="20"/>
              </w:rPr>
              <w:t>routeability</w:t>
            </w:r>
            <w:proofErr w:type="spellEnd"/>
            <w:r w:rsidRPr="00820A7C">
              <w:rPr>
                <w:color w:val="auto"/>
                <w:sz w:val="20"/>
                <w:szCs w:val="20"/>
              </w:rPr>
              <w:t xml:space="preserve"> fails</w:t>
            </w:r>
          </w:p>
        </w:tc>
        <w:tc>
          <w:tcPr>
            <w:tcW w:w="1496" w:type="dxa"/>
            <w:tcBorders>
              <w:top w:val="single" w:sz="6" w:space="0" w:color="D9E2EA"/>
              <w:left w:val="single" w:sz="6" w:space="0" w:color="D9E2EA"/>
              <w:bottom w:val="single" w:sz="6" w:space="0" w:color="D9E2EA"/>
              <w:right w:val="single" w:sz="6" w:space="0" w:color="D9E2EA"/>
            </w:tcBorders>
          </w:tcPr>
          <w:p w14:paraId="66C5AB53" w14:textId="77777777" w:rsidR="00B1670F" w:rsidRPr="00820A7C" w:rsidRDefault="00B23735">
            <w:pPr>
              <w:spacing w:after="0" w:line="240" w:lineRule="auto"/>
              <w:rPr>
                <w:color w:val="auto"/>
                <w:sz w:val="20"/>
                <w:szCs w:val="20"/>
              </w:rPr>
            </w:pPr>
            <w:r w:rsidRPr="00820A7C">
              <w:rPr>
                <w:color w:val="auto"/>
                <w:sz w:val="20"/>
                <w:szCs w:val="20"/>
              </w:rPr>
              <w:t>Moderate: less waste but transport/module limits matter</w:t>
            </w:r>
          </w:p>
        </w:tc>
        <w:tc>
          <w:tcPr>
            <w:tcW w:w="1798" w:type="dxa"/>
            <w:tcBorders>
              <w:top w:val="single" w:sz="6" w:space="0" w:color="D9E2EA"/>
              <w:left w:val="single" w:sz="6" w:space="0" w:color="D9E2EA"/>
              <w:bottom w:val="single" w:sz="6" w:space="0" w:color="D9E2EA"/>
              <w:right w:val="single" w:sz="6" w:space="0" w:color="D9E2EA"/>
            </w:tcBorders>
          </w:tcPr>
          <w:p w14:paraId="66C5AB54" w14:textId="77777777" w:rsidR="00B1670F" w:rsidRPr="00820A7C" w:rsidRDefault="00B23735">
            <w:pPr>
              <w:spacing w:after="0" w:line="240" w:lineRule="auto"/>
              <w:rPr>
                <w:color w:val="auto"/>
                <w:sz w:val="20"/>
                <w:szCs w:val="20"/>
              </w:rPr>
            </w:pPr>
            <w:r w:rsidRPr="00820A7C">
              <w:rPr>
                <w:color w:val="auto"/>
                <w:sz w:val="20"/>
                <w:szCs w:val="20"/>
              </w:rPr>
              <w:t>Lower: fixed module sizes and service routes</w:t>
            </w:r>
          </w:p>
        </w:tc>
        <w:tc>
          <w:tcPr>
            <w:tcW w:w="1808" w:type="dxa"/>
            <w:tcBorders>
              <w:top w:val="single" w:sz="6" w:space="0" w:color="D9E2EA"/>
              <w:left w:val="single" w:sz="6" w:space="0" w:color="D9E2EA"/>
              <w:bottom w:val="single" w:sz="6" w:space="0" w:color="D9E2EA"/>
              <w:right w:val="single" w:sz="6" w:space="0" w:color="D9E2EA"/>
            </w:tcBorders>
          </w:tcPr>
          <w:p w14:paraId="66C5AB55" w14:textId="77777777" w:rsidR="00B1670F" w:rsidRPr="00820A7C" w:rsidRDefault="00B23735">
            <w:pPr>
              <w:spacing w:after="0" w:line="240" w:lineRule="auto"/>
              <w:rPr>
                <w:color w:val="auto"/>
                <w:sz w:val="20"/>
                <w:szCs w:val="20"/>
              </w:rPr>
            </w:pPr>
            <w:r w:rsidRPr="00820A7C">
              <w:rPr>
                <w:color w:val="auto"/>
                <w:sz w:val="20"/>
                <w:szCs w:val="20"/>
              </w:rPr>
              <w:t>62/100 - not preferred for this site</w:t>
            </w:r>
          </w:p>
        </w:tc>
      </w:tr>
      <w:tr w:rsidR="00B1670F" w14:paraId="66C5AB5D" w14:textId="77777777" w:rsidTr="00820A7C">
        <w:trPr>
          <w:jc w:val="center"/>
        </w:trPr>
        <w:tc>
          <w:tcPr>
            <w:tcW w:w="1790" w:type="dxa"/>
            <w:tcBorders>
              <w:top w:val="single" w:sz="6" w:space="0" w:color="D9E2EA"/>
              <w:left w:val="single" w:sz="6" w:space="0" w:color="D9E2EA"/>
              <w:bottom w:val="single" w:sz="6" w:space="0" w:color="D9E2EA"/>
              <w:right w:val="single" w:sz="6" w:space="0" w:color="D9E2EA"/>
            </w:tcBorders>
          </w:tcPr>
          <w:p w14:paraId="66C5AB57" w14:textId="77777777" w:rsidR="00B1670F" w:rsidRPr="00820A7C" w:rsidRDefault="00B23735">
            <w:pPr>
              <w:spacing w:after="0" w:line="240" w:lineRule="auto"/>
              <w:rPr>
                <w:color w:val="auto"/>
                <w:sz w:val="20"/>
                <w:szCs w:val="20"/>
              </w:rPr>
            </w:pPr>
            <w:r w:rsidRPr="00820A7C">
              <w:rPr>
                <w:color w:val="auto"/>
                <w:sz w:val="20"/>
                <w:szCs w:val="20"/>
              </w:rPr>
              <w:t>F. CLT / hybrid timber</w:t>
            </w:r>
          </w:p>
        </w:tc>
        <w:tc>
          <w:tcPr>
            <w:tcW w:w="1567" w:type="dxa"/>
            <w:tcBorders>
              <w:top w:val="single" w:sz="6" w:space="0" w:color="D9E2EA"/>
              <w:left w:val="single" w:sz="6" w:space="0" w:color="D9E2EA"/>
              <w:bottom w:val="single" w:sz="6" w:space="0" w:color="D9E2EA"/>
              <w:right w:val="single" w:sz="6" w:space="0" w:color="D9E2EA"/>
            </w:tcBorders>
          </w:tcPr>
          <w:p w14:paraId="66C5AB58" w14:textId="77777777" w:rsidR="00B1670F" w:rsidRPr="00820A7C" w:rsidRDefault="00B23735">
            <w:pPr>
              <w:spacing w:after="0" w:line="240" w:lineRule="auto"/>
              <w:rPr>
                <w:color w:val="auto"/>
                <w:sz w:val="20"/>
                <w:szCs w:val="20"/>
              </w:rPr>
            </w:pPr>
            <w:r w:rsidRPr="00820A7C">
              <w:rPr>
                <w:color w:val="auto"/>
                <w:sz w:val="20"/>
                <w:szCs w:val="20"/>
              </w:rPr>
              <w:t>Weak/moderate: specialist fire/moisture control needed</w:t>
            </w:r>
          </w:p>
        </w:tc>
        <w:tc>
          <w:tcPr>
            <w:tcW w:w="1591" w:type="dxa"/>
            <w:tcBorders>
              <w:top w:val="single" w:sz="6" w:space="0" w:color="D9E2EA"/>
              <w:left w:val="single" w:sz="6" w:space="0" w:color="D9E2EA"/>
              <w:bottom w:val="single" w:sz="6" w:space="0" w:color="D9E2EA"/>
              <w:right w:val="single" w:sz="6" w:space="0" w:color="D9E2EA"/>
            </w:tcBorders>
          </w:tcPr>
          <w:p w14:paraId="66C5AB59" w14:textId="77777777" w:rsidR="00B1670F" w:rsidRPr="00820A7C" w:rsidRDefault="00B23735">
            <w:pPr>
              <w:spacing w:after="0" w:line="240" w:lineRule="auto"/>
              <w:rPr>
                <w:color w:val="auto"/>
                <w:sz w:val="20"/>
                <w:szCs w:val="20"/>
              </w:rPr>
            </w:pPr>
            <w:r w:rsidRPr="00820A7C">
              <w:rPr>
                <w:color w:val="auto"/>
                <w:sz w:val="20"/>
                <w:szCs w:val="20"/>
              </w:rPr>
              <w:t>Moderate: supply-chain and approval complexity</w:t>
            </w:r>
          </w:p>
        </w:tc>
        <w:tc>
          <w:tcPr>
            <w:tcW w:w="1496" w:type="dxa"/>
            <w:tcBorders>
              <w:top w:val="single" w:sz="6" w:space="0" w:color="D9E2EA"/>
              <w:left w:val="single" w:sz="6" w:space="0" w:color="D9E2EA"/>
              <w:bottom w:val="single" w:sz="6" w:space="0" w:color="D9E2EA"/>
              <w:right w:val="single" w:sz="6" w:space="0" w:color="D9E2EA"/>
            </w:tcBorders>
          </w:tcPr>
          <w:p w14:paraId="66C5AB5A" w14:textId="77777777" w:rsidR="00B1670F" w:rsidRPr="00820A7C" w:rsidRDefault="00B23735">
            <w:pPr>
              <w:spacing w:after="0" w:line="240" w:lineRule="auto"/>
              <w:rPr>
                <w:color w:val="auto"/>
                <w:sz w:val="20"/>
                <w:szCs w:val="20"/>
              </w:rPr>
            </w:pPr>
            <w:r w:rsidRPr="00820A7C">
              <w:rPr>
                <w:color w:val="auto"/>
                <w:sz w:val="20"/>
                <w:szCs w:val="20"/>
              </w:rPr>
              <w:t xml:space="preserve">Strong potential, but must be proven </w:t>
            </w:r>
            <w:proofErr w:type="gramStart"/>
            <w:r w:rsidRPr="00820A7C">
              <w:rPr>
                <w:color w:val="auto"/>
                <w:sz w:val="20"/>
                <w:szCs w:val="20"/>
              </w:rPr>
              <w:t>whole-life</w:t>
            </w:r>
            <w:proofErr w:type="gramEnd"/>
          </w:p>
        </w:tc>
        <w:tc>
          <w:tcPr>
            <w:tcW w:w="1798" w:type="dxa"/>
            <w:tcBorders>
              <w:top w:val="single" w:sz="6" w:space="0" w:color="D9E2EA"/>
              <w:left w:val="single" w:sz="6" w:space="0" w:color="D9E2EA"/>
              <w:bottom w:val="single" w:sz="6" w:space="0" w:color="D9E2EA"/>
              <w:right w:val="single" w:sz="6" w:space="0" w:color="D9E2EA"/>
            </w:tcBorders>
          </w:tcPr>
          <w:p w14:paraId="66C5AB5B" w14:textId="77777777" w:rsidR="00B1670F" w:rsidRPr="00820A7C" w:rsidRDefault="00B23735">
            <w:pPr>
              <w:spacing w:after="0" w:line="240" w:lineRule="auto"/>
              <w:rPr>
                <w:color w:val="auto"/>
                <w:sz w:val="20"/>
                <w:szCs w:val="20"/>
              </w:rPr>
            </w:pPr>
            <w:r w:rsidRPr="00820A7C">
              <w:rPr>
                <w:color w:val="auto"/>
                <w:sz w:val="20"/>
                <w:szCs w:val="20"/>
              </w:rPr>
              <w:t>Moderate/low: fire, acoustic and moisture strategy critical</w:t>
            </w:r>
          </w:p>
        </w:tc>
        <w:tc>
          <w:tcPr>
            <w:tcW w:w="1808" w:type="dxa"/>
            <w:tcBorders>
              <w:top w:val="single" w:sz="6" w:space="0" w:color="D9E2EA"/>
              <w:left w:val="single" w:sz="6" w:space="0" w:color="D9E2EA"/>
              <w:bottom w:val="single" w:sz="6" w:space="0" w:color="D9E2EA"/>
              <w:right w:val="single" w:sz="6" w:space="0" w:color="D9E2EA"/>
            </w:tcBorders>
          </w:tcPr>
          <w:p w14:paraId="66C5AB5C" w14:textId="77777777" w:rsidR="00B1670F" w:rsidRPr="00820A7C" w:rsidRDefault="00B23735">
            <w:pPr>
              <w:spacing w:after="0" w:line="240" w:lineRule="auto"/>
              <w:rPr>
                <w:color w:val="auto"/>
                <w:sz w:val="20"/>
                <w:szCs w:val="20"/>
              </w:rPr>
            </w:pPr>
            <w:r w:rsidRPr="00820A7C">
              <w:rPr>
                <w:color w:val="auto"/>
                <w:sz w:val="20"/>
                <w:szCs w:val="20"/>
              </w:rPr>
              <w:t>61/100 - low-carbon option but high approval risk</w:t>
            </w:r>
          </w:p>
        </w:tc>
      </w:tr>
    </w:tbl>
    <w:p w14:paraId="675E8F06" w14:textId="1E778CA6" w:rsidR="00225AAB" w:rsidRPr="00EC2548" w:rsidRDefault="00EC2548" w:rsidP="00820A7C">
      <w:pPr>
        <w:rPr>
          <w:lang w:val="en-GB"/>
        </w:rPr>
      </w:pPr>
      <w:bookmarkStart w:id="48" w:name="_Toc229404635"/>
      <w:r w:rsidRPr="00EC2548">
        <w:rPr>
          <w:lang w:val="en-GB"/>
        </w:rPr>
        <w:br/>
      </w:r>
      <w:r w:rsidRPr="00EC2548">
        <w:rPr>
          <w:lang w:val="en-GB"/>
        </w:rPr>
        <w:t xml:space="preserve">AS1 has the best balance but isn't perfect. Steel composite frame with RC core is best for programme speed, superstructure weight reduction, service integration, and UK delivery routes. Steel with a </w:t>
      </w:r>
      <w:proofErr w:type="spellStart"/>
      <w:r w:rsidRPr="00EC2548">
        <w:rPr>
          <w:lang w:val="en-GB"/>
        </w:rPr>
        <w:t>panelized</w:t>
      </w:r>
      <w:proofErr w:type="spellEnd"/>
      <w:r w:rsidRPr="00EC2548">
        <w:rPr>
          <w:lang w:val="en-GB"/>
        </w:rPr>
        <w:t xml:space="preserve"> façade is the closest alternative for program-critical applications, but jointing, tolerance, and fire-stopping quality assurance are difficult. RC flat slab construction is heavier and slower but good for acoustic mass, fire resistance, and flat soffits. The transport, craneage, abnormal-load, and early design-freeze risks of volumetric modular make it unsuitable for coastal, hospital-adjacent environments. Because GI, contractor input, and supplier EPDs can change the ranking, use it as a framework.</w:t>
      </w:r>
    </w:p>
    <w:p w14:paraId="66C5AB60" w14:textId="32E3C738" w:rsidR="00B1670F" w:rsidRDefault="00B23735">
      <w:pPr>
        <w:pStyle w:val="Heading1"/>
        <w:spacing w:before="0"/>
      </w:pPr>
      <w:bookmarkStart w:id="49" w:name="_Toc229426342"/>
      <w:r>
        <w:t>8. Recommendations</w:t>
      </w:r>
      <w:bookmarkEnd w:id="48"/>
      <w:bookmarkEnd w:id="49"/>
    </w:p>
    <w:tbl>
      <w:tblPr>
        <w:tblStyle w:val="TableGrid"/>
        <w:tblW w:w="10051" w:type="dxa"/>
        <w:jc w:val="center"/>
        <w:tblLayout w:type="fixed"/>
        <w:tblLook w:val="04A0" w:firstRow="1" w:lastRow="0" w:firstColumn="1" w:lastColumn="0" w:noHBand="0" w:noVBand="1"/>
      </w:tblPr>
      <w:tblGrid>
        <w:gridCol w:w="605"/>
        <w:gridCol w:w="2223"/>
        <w:gridCol w:w="1808"/>
        <w:gridCol w:w="1785"/>
        <w:gridCol w:w="1685"/>
        <w:gridCol w:w="1945"/>
      </w:tblGrid>
      <w:tr w:rsidR="00B1670F" w14:paraId="66C5AB67" w14:textId="77777777">
        <w:trPr>
          <w:tblHeader/>
          <w:jc w:val="center"/>
        </w:trPr>
        <w:tc>
          <w:tcPr>
            <w:tcW w:w="604"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B61" w14:textId="77777777" w:rsidR="00B1670F" w:rsidRDefault="00B23735">
            <w:pPr>
              <w:spacing w:after="0" w:line="240" w:lineRule="auto"/>
              <w:rPr>
                <w:color w:val="auto"/>
                <w:sz w:val="20"/>
                <w:szCs w:val="20"/>
              </w:rPr>
            </w:pPr>
            <w:r>
              <w:rPr>
                <w:b/>
                <w:bCs/>
                <w:color w:val="auto"/>
                <w:sz w:val="20"/>
                <w:szCs w:val="20"/>
              </w:rPr>
              <w:t>No.</w:t>
            </w:r>
          </w:p>
        </w:tc>
        <w:tc>
          <w:tcPr>
            <w:tcW w:w="2223"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B62" w14:textId="77777777" w:rsidR="00B1670F" w:rsidRDefault="00B23735">
            <w:pPr>
              <w:spacing w:after="0" w:line="240" w:lineRule="auto"/>
              <w:rPr>
                <w:color w:val="auto"/>
                <w:sz w:val="20"/>
                <w:szCs w:val="20"/>
              </w:rPr>
            </w:pPr>
            <w:r>
              <w:rPr>
                <w:b/>
                <w:bCs/>
                <w:color w:val="auto"/>
                <w:sz w:val="20"/>
                <w:szCs w:val="20"/>
              </w:rPr>
              <w:t>Recommendation</w:t>
            </w:r>
          </w:p>
        </w:tc>
        <w:tc>
          <w:tcPr>
            <w:tcW w:w="1808"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B63" w14:textId="77777777" w:rsidR="00B1670F" w:rsidRDefault="00B23735">
            <w:pPr>
              <w:spacing w:after="0" w:line="240" w:lineRule="auto"/>
              <w:rPr>
                <w:color w:val="auto"/>
                <w:sz w:val="20"/>
                <w:szCs w:val="20"/>
              </w:rPr>
            </w:pPr>
            <w:r>
              <w:rPr>
                <w:b/>
                <w:bCs/>
                <w:color w:val="auto"/>
                <w:sz w:val="20"/>
                <w:szCs w:val="20"/>
              </w:rPr>
              <w:t>Problem it addresses</w:t>
            </w:r>
          </w:p>
        </w:tc>
        <w:tc>
          <w:tcPr>
            <w:tcW w:w="1785"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B64" w14:textId="77777777" w:rsidR="00B1670F" w:rsidRDefault="00B23735">
            <w:pPr>
              <w:spacing w:after="0" w:line="240" w:lineRule="auto"/>
              <w:rPr>
                <w:color w:val="auto"/>
                <w:sz w:val="20"/>
                <w:szCs w:val="20"/>
              </w:rPr>
            </w:pPr>
            <w:r>
              <w:rPr>
                <w:b/>
                <w:bCs/>
                <w:color w:val="auto"/>
                <w:sz w:val="20"/>
                <w:szCs w:val="20"/>
              </w:rPr>
              <w:t>Evidence from analysis</w:t>
            </w:r>
          </w:p>
        </w:tc>
        <w:tc>
          <w:tcPr>
            <w:tcW w:w="1685"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B65" w14:textId="77777777" w:rsidR="00B1670F" w:rsidRDefault="00B23735">
            <w:pPr>
              <w:spacing w:after="0" w:line="240" w:lineRule="auto"/>
              <w:rPr>
                <w:color w:val="auto"/>
                <w:sz w:val="20"/>
                <w:szCs w:val="20"/>
              </w:rPr>
            </w:pPr>
            <w:r>
              <w:rPr>
                <w:b/>
                <w:bCs/>
                <w:color w:val="auto"/>
                <w:sz w:val="20"/>
                <w:szCs w:val="20"/>
              </w:rPr>
              <w:t>Expected benefit</w:t>
            </w:r>
          </w:p>
        </w:tc>
        <w:tc>
          <w:tcPr>
            <w:tcW w:w="1945" w:type="dxa"/>
            <w:tcBorders>
              <w:top w:val="single" w:sz="6" w:space="0" w:color="D9E2EA"/>
              <w:left w:val="single" w:sz="6" w:space="0" w:color="D9E2EA"/>
              <w:bottom w:val="single" w:sz="6" w:space="0" w:color="D9E2EA"/>
              <w:right w:val="single" w:sz="6" w:space="0" w:color="D9E2EA"/>
            </w:tcBorders>
            <w:shd w:val="clear" w:color="auto" w:fill="17324D"/>
            <w:vAlign w:val="center"/>
          </w:tcPr>
          <w:p w14:paraId="66C5AB66" w14:textId="77777777" w:rsidR="00B1670F" w:rsidRDefault="00B23735">
            <w:pPr>
              <w:spacing w:after="0" w:line="240" w:lineRule="auto"/>
              <w:rPr>
                <w:color w:val="auto"/>
                <w:sz w:val="20"/>
                <w:szCs w:val="20"/>
              </w:rPr>
            </w:pPr>
            <w:r>
              <w:rPr>
                <w:b/>
                <w:bCs/>
                <w:color w:val="auto"/>
                <w:sz w:val="20"/>
                <w:szCs w:val="20"/>
              </w:rPr>
              <w:t>Implementation issue</w:t>
            </w:r>
          </w:p>
        </w:tc>
      </w:tr>
      <w:tr w:rsidR="00B1670F" w14:paraId="66C5AB6E" w14:textId="77777777">
        <w:trPr>
          <w:jc w:val="center"/>
        </w:trPr>
        <w:tc>
          <w:tcPr>
            <w:tcW w:w="604"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68" w14:textId="77777777" w:rsidR="00B1670F" w:rsidRDefault="00B23735">
            <w:pPr>
              <w:spacing w:after="0" w:line="240" w:lineRule="auto"/>
              <w:rPr>
                <w:color w:val="auto"/>
                <w:sz w:val="20"/>
                <w:szCs w:val="20"/>
              </w:rPr>
            </w:pPr>
            <w:r>
              <w:rPr>
                <w:color w:val="auto"/>
                <w:sz w:val="20"/>
                <w:szCs w:val="20"/>
              </w:rPr>
              <w:t>1</w:t>
            </w:r>
          </w:p>
        </w:tc>
        <w:tc>
          <w:tcPr>
            <w:tcW w:w="2223"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69" w14:textId="77777777" w:rsidR="00B1670F" w:rsidRDefault="00B23735">
            <w:pPr>
              <w:spacing w:after="0" w:line="240" w:lineRule="auto"/>
              <w:rPr>
                <w:color w:val="auto"/>
                <w:sz w:val="20"/>
                <w:szCs w:val="20"/>
              </w:rPr>
            </w:pPr>
            <w:r>
              <w:rPr>
                <w:color w:val="auto"/>
                <w:sz w:val="20"/>
                <w:szCs w:val="20"/>
              </w:rPr>
              <w:t xml:space="preserve">Keep the AS1 steel composite frame with RC </w:t>
            </w:r>
            <w:proofErr w:type="gramStart"/>
            <w:r>
              <w:rPr>
                <w:color w:val="auto"/>
                <w:sz w:val="20"/>
                <w:szCs w:val="20"/>
              </w:rPr>
              <w:t>core, but</w:t>
            </w:r>
            <w:proofErr w:type="gramEnd"/>
            <w:r>
              <w:rPr>
                <w:color w:val="auto"/>
                <w:sz w:val="20"/>
                <w:szCs w:val="20"/>
              </w:rPr>
              <w:t xml:space="preserve"> </w:t>
            </w:r>
            <w:proofErr w:type="spellStart"/>
            <w:r>
              <w:rPr>
                <w:color w:val="auto"/>
                <w:sz w:val="20"/>
                <w:szCs w:val="20"/>
              </w:rPr>
              <w:t>optimise</w:t>
            </w:r>
            <w:proofErr w:type="spellEnd"/>
            <w:r>
              <w:rPr>
                <w:color w:val="auto"/>
                <w:sz w:val="20"/>
                <w:szCs w:val="20"/>
              </w:rPr>
              <w:t xml:space="preserve"> the grid and member sizes before procurement.</w:t>
            </w:r>
          </w:p>
        </w:tc>
        <w:tc>
          <w:tcPr>
            <w:tcW w:w="180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6A" w14:textId="77777777" w:rsidR="00B1670F" w:rsidRDefault="00B23735">
            <w:pPr>
              <w:spacing w:after="0" w:line="240" w:lineRule="auto"/>
              <w:rPr>
                <w:color w:val="auto"/>
                <w:sz w:val="20"/>
                <w:szCs w:val="20"/>
              </w:rPr>
            </w:pPr>
            <w:r>
              <w:rPr>
                <w:color w:val="auto"/>
                <w:sz w:val="20"/>
                <w:szCs w:val="20"/>
              </w:rPr>
              <w:t>Embodied carbon, steel tonnage and future layout constraints.</w:t>
            </w:r>
          </w:p>
        </w:tc>
        <w:tc>
          <w:tcPr>
            <w:tcW w:w="1785"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6B" w14:textId="77777777" w:rsidR="00B1670F" w:rsidRDefault="00B23735">
            <w:pPr>
              <w:spacing w:after="0" w:line="240" w:lineRule="auto"/>
              <w:rPr>
                <w:color w:val="auto"/>
                <w:sz w:val="20"/>
                <w:szCs w:val="20"/>
              </w:rPr>
            </w:pPr>
            <w:r>
              <w:rPr>
                <w:color w:val="auto"/>
                <w:sz w:val="20"/>
                <w:szCs w:val="20"/>
              </w:rPr>
              <w:t>Steel composite frame performed best overall, but carbon and flexibility depend on efficient design (RICS, 2024; Institution of Structural Engineers, 2020).</w:t>
            </w:r>
          </w:p>
        </w:tc>
        <w:tc>
          <w:tcPr>
            <w:tcW w:w="1685"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6C" w14:textId="77777777" w:rsidR="00B1670F" w:rsidRDefault="00B23735">
            <w:pPr>
              <w:spacing w:after="0" w:line="240" w:lineRule="auto"/>
              <w:rPr>
                <w:color w:val="auto"/>
                <w:sz w:val="20"/>
                <w:szCs w:val="20"/>
              </w:rPr>
            </w:pPr>
            <w:r>
              <w:rPr>
                <w:color w:val="auto"/>
                <w:sz w:val="20"/>
                <w:szCs w:val="20"/>
              </w:rPr>
              <w:t>Lower embodied carbon, better floorplate adaptability and reduced foundation demand.</w:t>
            </w:r>
          </w:p>
        </w:tc>
        <w:tc>
          <w:tcPr>
            <w:tcW w:w="1945"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6D" w14:textId="77777777" w:rsidR="00B1670F" w:rsidRDefault="00B23735">
            <w:pPr>
              <w:spacing w:after="0" w:line="240" w:lineRule="auto"/>
              <w:rPr>
                <w:color w:val="auto"/>
                <w:sz w:val="20"/>
                <w:szCs w:val="20"/>
              </w:rPr>
            </w:pPr>
            <w:r>
              <w:rPr>
                <w:color w:val="auto"/>
                <w:sz w:val="20"/>
                <w:szCs w:val="20"/>
              </w:rPr>
              <w:t>Requires early structural coordination and contractor input.</w:t>
            </w:r>
          </w:p>
        </w:tc>
      </w:tr>
      <w:tr w:rsidR="00B1670F" w14:paraId="66C5AB75" w14:textId="77777777">
        <w:trPr>
          <w:jc w:val="center"/>
        </w:trPr>
        <w:tc>
          <w:tcPr>
            <w:tcW w:w="604"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6F" w14:textId="77777777" w:rsidR="00B1670F" w:rsidRDefault="00B23735">
            <w:pPr>
              <w:spacing w:after="0" w:line="240" w:lineRule="auto"/>
              <w:rPr>
                <w:color w:val="auto"/>
                <w:sz w:val="20"/>
                <w:szCs w:val="20"/>
              </w:rPr>
            </w:pPr>
            <w:r>
              <w:rPr>
                <w:color w:val="auto"/>
                <w:sz w:val="20"/>
                <w:szCs w:val="20"/>
              </w:rPr>
              <w:t>2</w:t>
            </w:r>
          </w:p>
        </w:tc>
        <w:tc>
          <w:tcPr>
            <w:tcW w:w="2223"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70" w14:textId="77777777" w:rsidR="00B1670F" w:rsidRDefault="00B23735">
            <w:pPr>
              <w:spacing w:after="0" w:line="240" w:lineRule="auto"/>
              <w:rPr>
                <w:color w:val="auto"/>
                <w:sz w:val="20"/>
                <w:szCs w:val="20"/>
              </w:rPr>
            </w:pPr>
            <w:r>
              <w:rPr>
                <w:color w:val="auto"/>
                <w:sz w:val="20"/>
                <w:szCs w:val="20"/>
              </w:rPr>
              <w:t xml:space="preserve">Complete intrusive GI before </w:t>
            </w:r>
            <w:proofErr w:type="spellStart"/>
            <w:r>
              <w:rPr>
                <w:color w:val="auto"/>
                <w:sz w:val="20"/>
                <w:szCs w:val="20"/>
              </w:rPr>
              <w:t>finalising</w:t>
            </w:r>
            <w:proofErr w:type="spellEnd"/>
            <w:r>
              <w:rPr>
                <w:color w:val="auto"/>
                <w:sz w:val="20"/>
                <w:szCs w:val="20"/>
              </w:rPr>
              <w:t xml:space="preserve"> piles and substructure design.</w:t>
            </w:r>
          </w:p>
        </w:tc>
        <w:tc>
          <w:tcPr>
            <w:tcW w:w="1808"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71" w14:textId="77777777" w:rsidR="00B1670F" w:rsidRDefault="00B23735">
            <w:pPr>
              <w:spacing w:after="0" w:line="240" w:lineRule="auto"/>
              <w:rPr>
                <w:color w:val="auto"/>
                <w:sz w:val="20"/>
                <w:szCs w:val="20"/>
              </w:rPr>
            </w:pPr>
            <w:r>
              <w:rPr>
                <w:color w:val="auto"/>
                <w:sz w:val="20"/>
                <w:szCs w:val="20"/>
              </w:rPr>
              <w:t>Risk of overdesign, obstruction delays, uncertain groundwater and avoidable foundation carbon.</w:t>
            </w:r>
          </w:p>
        </w:tc>
        <w:tc>
          <w:tcPr>
            <w:tcW w:w="1785"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72" w14:textId="77777777" w:rsidR="00B1670F" w:rsidRDefault="00B23735">
            <w:pPr>
              <w:spacing w:after="0" w:line="240" w:lineRule="auto"/>
              <w:rPr>
                <w:color w:val="auto"/>
                <w:sz w:val="20"/>
                <w:szCs w:val="20"/>
              </w:rPr>
            </w:pPr>
            <w:r>
              <w:rPr>
                <w:color w:val="auto"/>
                <w:sz w:val="20"/>
                <w:szCs w:val="20"/>
              </w:rPr>
              <w:t xml:space="preserve">Piled foundations may be required, but they should not be treated as the only justified solution until boreholes, in-situ testing, monitoring, contamination/aggressive-ground testing and utility proving are complete (British </w:t>
            </w:r>
            <w:r>
              <w:rPr>
                <w:color w:val="auto"/>
                <w:sz w:val="20"/>
                <w:szCs w:val="20"/>
              </w:rPr>
              <w:lastRenderedPageBreak/>
              <w:t>Geological Survey, n.d.; British Standards Institution, 2020; BRE, 2005).</w:t>
            </w:r>
          </w:p>
        </w:tc>
        <w:tc>
          <w:tcPr>
            <w:tcW w:w="1685"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73" w14:textId="77777777" w:rsidR="00B1670F" w:rsidRDefault="00B23735">
            <w:pPr>
              <w:spacing w:after="0" w:line="240" w:lineRule="auto"/>
              <w:rPr>
                <w:color w:val="auto"/>
                <w:sz w:val="20"/>
                <w:szCs w:val="20"/>
              </w:rPr>
            </w:pPr>
            <w:r>
              <w:rPr>
                <w:color w:val="auto"/>
                <w:sz w:val="20"/>
                <w:szCs w:val="20"/>
              </w:rPr>
              <w:lastRenderedPageBreak/>
              <w:t xml:space="preserve">Reduced risk of overdesign, lower concrete and reinforcement quantities, better spoil strategy and improved </w:t>
            </w:r>
            <w:proofErr w:type="spellStart"/>
            <w:r>
              <w:rPr>
                <w:color w:val="auto"/>
                <w:sz w:val="20"/>
                <w:szCs w:val="20"/>
              </w:rPr>
              <w:t>programme</w:t>
            </w:r>
            <w:proofErr w:type="spellEnd"/>
            <w:r>
              <w:rPr>
                <w:color w:val="auto"/>
                <w:sz w:val="20"/>
                <w:szCs w:val="20"/>
              </w:rPr>
              <w:t xml:space="preserve"> certainty.</w:t>
            </w:r>
          </w:p>
        </w:tc>
        <w:tc>
          <w:tcPr>
            <w:tcW w:w="1945"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74" w14:textId="77777777" w:rsidR="00B1670F" w:rsidRDefault="00B23735">
            <w:pPr>
              <w:spacing w:after="0" w:line="240" w:lineRule="auto"/>
              <w:rPr>
                <w:color w:val="auto"/>
                <w:sz w:val="20"/>
                <w:szCs w:val="20"/>
              </w:rPr>
            </w:pPr>
            <w:r>
              <w:rPr>
                <w:color w:val="auto"/>
                <w:sz w:val="20"/>
                <w:szCs w:val="20"/>
              </w:rPr>
              <w:t>GI must be commissioned early enough to influence design before structural and cost plans are fixed.</w:t>
            </w:r>
          </w:p>
        </w:tc>
      </w:tr>
      <w:tr w:rsidR="00B1670F" w14:paraId="66C5AB7C" w14:textId="77777777">
        <w:trPr>
          <w:jc w:val="center"/>
        </w:trPr>
        <w:tc>
          <w:tcPr>
            <w:tcW w:w="604"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76" w14:textId="77777777" w:rsidR="00B1670F" w:rsidRDefault="00B23735">
            <w:pPr>
              <w:spacing w:after="0" w:line="240" w:lineRule="auto"/>
              <w:rPr>
                <w:color w:val="auto"/>
                <w:sz w:val="20"/>
                <w:szCs w:val="20"/>
              </w:rPr>
            </w:pPr>
            <w:r>
              <w:rPr>
                <w:color w:val="auto"/>
                <w:sz w:val="20"/>
                <w:szCs w:val="20"/>
              </w:rPr>
              <w:t>3</w:t>
            </w:r>
          </w:p>
        </w:tc>
        <w:tc>
          <w:tcPr>
            <w:tcW w:w="2223"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77" w14:textId="77777777" w:rsidR="00B1670F" w:rsidRDefault="00B23735">
            <w:pPr>
              <w:spacing w:after="0" w:line="240" w:lineRule="auto"/>
              <w:rPr>
                <w:color w:val="auto"/>
                <w:sz w:val="20"/>
                <w:szCs w:val="20"/>
              </w:rPr>
            </w:pPr>
            <w:r>
              <w:rPr>
                <w:color w:val="auto"/>
                <w:sz w:val="20"/>
                <w:szCs w:val="20"/>
              </w:rPr>
              <w:t>Prepare a detailed Construction Logistics Plan.</w:t>
            </w:r>
          </w:p>
        </w:tc>
        <w:tc>
          <w:tcPr>
            <w:tcW w:w="180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78" w14:textId="77777777" w:rsidR="00B1670F" w:rsidRDefault="00B23735">
            <w:pPr>
              <w:spacing w:after="0" w:line="240" w:lineRule="auto"/>
              <w:rPr>
                <w:color w:val="auto"/>
                <w:sz w:val="20"/>
                <w:szCs w:val="20"/>
              </w:rPr>
            </w:pPr>
            <w:r>
              <w:rPr>
                <w:color w:val="auto"/>
                <w:sz w:val="20"/>
                <w:szCs w:val="20"/>
              </w:rPr>
              <w:t>Hospital-adjacent disruption, constrained access and delivery congestion.</w:t>
            </w:r>
          </w:p>
        </w:tc>
        <w:tc>
          <w:tcPr>
            <w:tcW w:w="1785"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79" w14:textId="77777777" w:rsidR="00B1670F" w:rsidRDefault="00B23735">
            <w:pPr>
              <w:spacing w:after="0" w:line="240" w:lineRule="auto"/>
              <w:rPr>
                <w:color w:val="auto"/>
                <w:sz w:val="20"/>
                <w:szCs w:val="20"/>
              </w:rPr>
            </w:pPr>
            <w:r>
              <w:rPr>
                <w:color w:val="auto"/>
                <w:sz w:val="20"/>
                <w:szCs w:val="20"/>
              </w:rPr>
              <w:t>The site is a live institutional frontage with hospital, university, bus and Mumbles Road movement (Swansea Bay University Health Board, n.d.; Swansea University, n.d.; Transport for London and CLOCS, 2021).</w:t>
            </w:r>
          </w:p>
        </w:tc>
        <w:tc>
          <w:tcPr>
            <w:tcW w:w="1685"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7A" w14:textId="77777777" w:rsidR="00B1670F" w:rsidRDefault="00B23735">
            <w:pPr>
              <w:spacing w:after="0" w:line="240" w:lineRule="auto"/>
              <w:rPr>
                <w:color w:val="auto"/>
                <w:sz w:val="20"/>
                <w:szCs w:val="20"/>
              </w:rPr>
            </w:pPr>
            <w:r>
              <w:rPr>
                <w:color w:val="auto"/>
                <w:sz w:val="20"/>
                <w:szCs w:val="20"/>
              </w:rPr>
              <w:t>Safer deliveries, fewer delays and reduced disruption to surrounding users.</w:t>
            </w:r>
          </w:p>
        </w:tc>
        <w:tc>
          <w:tcPr>
            <w:tcW w:w="1945"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7B" w14:textId="77777777" w:rsidR="00B1670F" w:rsidRDefault="00B23735">
            <w:pPr>
              <w:spacing w:after="0" w:line="240" w:lineRule="auto"/>
              <w:rPr>
                <w:color w:val="auto"/>
                <w:sz w:val="20"/>
                <w:szCs w:val="20"/>
              </w:rPr>
            </w:pPr>
            <w:r>
              <w:rPr>
                <w:color w:val="auto"/>
                <w:sz w:val="20"/>
                <w:szCs w:val="20"/>
              </w:rPr>
              <w:t>Requires agreement with local highway, hospital and university stakeholders.</w:t>
            </w:r>
          </w:p>
        </w:tc>
      </w:tr>
      <w:tr w:rsidR="00B1670F" w14:paraId="66C5AB83" w14:textId="77777777">
        <w:trPr>
          <w:jc w:val="center"/>
        </w:trPr>
        <w:tc>
          <w:tcPr>
            <w:tcW w:w="604"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7D" w14:textId="77777777" w:rsidR="00B1670F" w:rsidRDefault="00B23735">
            <w:pPr>
              <w:spacing w:after="0" w:line="240" w:lineRule="auto"/>
              <w:rPr>
                <w:color w:val="auto"/>
                <w:sz w:val="20"/>
                <w:szCs w:val="20"/>
              </w:rPr>
            </w:pPr>
            <w:r>
              <w:rPr>
                <w:color w:val="auto"/>
                <w:sz w:val="20"/>
                <w:szCs w:val="20"/>
              </w:rPr>
              <w:t>4</w:t>
            </w:r>
          </w:p>
        </w:tc>
        <w:tc>
          <w:tcPr>
            <w:tcW w:w="2223"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7E" w14:textId="77777777" w:rsidR="00B1670F" w:rsidRDefault="00B23735">
            <w:pPr>
              <w:spacing w:after="0" w:line="240" w:lineRule="auto"/>
              <w:rPr>
                <w:color w:val="auto"/>
                <w:sz w:val="20"/>
                <w:szCs w:val="20"/>
              </w:rPr>
            </w:pPr>
            <w:r>
              <w:rPr>
                <w:color w:val="auto"/>
                <w:sz w:val="20"/>
                <w:szCs w:val="20"/>
              </w:rPr>
              <w:t>Use a façade sample bay and inspection hold points before closing cavities.</w:t>
            </w:r>
          </w:p>
        </w:tc>
        <w:tc>
          <w:tcPr>
            <w:tcW w:w="1808"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7F" w14:textId="77777777" w:rsidR="00B1670F" w:rsidRDefault="00B23735">
            <w:pPr>
              <w:spacing w:after="0" w:line="240" w:lineRule="auto"/>
              <w:rPr>
                <w:color w:val="auto"/>
                <w:sz w:val="20"/>
                <w:szCs w:val="20"/>
              </w:rPr>
            </w:pPr>
            <w:r>
              <w:rPr>
                <w:color w:val="auto"/>
                <w:sz w:val="20"/>
                <w:szCs w:val="20"/>
              </w:rPr>
              <w:t>Water ingress, fire-stopping defects and workmanship risk.</w:t>
            </w:r>
          </w:p>
        </w:tc>
        <w:tc>
          <w:tcPr>
            <w:tcW w:w="1785"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80" w14:textId="77777777" w:rsidR="00B1670F" w:rsidRDefault="00B23735">
            <w:pPr>
              <w:spacing w:after="0" w:line="240" w:lineRule="auto"/>
              <w:rPr>
                <w:color w:val="auto"/>
                <w:sz w:val="20"/>
                <w:szCs w:val="20"/>
              </w:rPr>
            </w:pPr>
            <w:r>
              <w:rPr>
                <w:color w:val="auto"/>
                <w:sz w:val="20"/>
                <w:szCs w:val="20"/>
              </w:rPr>
              <w:t>Masonry cavity wall is durable but quality-dependent in severe exposure (British Standards Institution, n.d.; LABC Warranty, n.d.).</w:t>
            </w:r>
          </w:p>
        </w:tc>
        <w:tc>
          <w:tcPr>
            <w:tcW w:w="1685"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81" w14:textId="77777777" w:rsidR="00B1670F" w:rsidRDefault="00B23735">
            <w:pPr>
              <w:spacing w:after="0" w:line="240" w:lineRule="auto"/>
              <w:rPr>
                <w:color w:val="auto"/>
                <w:sz w:val="20"/>
                <w:szCs w:val="20"/>
              </w:rPr>
            </w:pPr>
            <w:r>
              <w:rPr>
                <w:color w:val="auto"/>
                <w:sz w:val="20"/>
                <w:szCs w:val="20"/>
              </w:rPr>
              <w:t>Lower defect risk, stronger fire compliance and better weather resistance.</w:t>
            </w:r>
          </w:p>
        </w:tc>
        <w:tc>
          <w:tcPr>
            <w:tcW w:w="1945"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82" w14:textId="77777777" w:rsidR="00B1670F" w:rsidRDefault="00B23735">
            <w:pPr>
              <w:spacing w:after="0" w:line="240" w:lineRule="auto"/>
              <w:rPr>
                <w:color w:val="auto"/>
                <w:sz w:val="20"/>
                <w:szCs w:val="20"/>
              </w:rPr>
            </w:pPr>
            <w:r>
              <w:rPr>
                <w:color w:val="auto"/>
                <w:sz w:val="20"/>
                <w:szCs w:val="20"/>
              </w:rPr>
              <w:t xml:space="preserve">Adds early </w:t>
            </w:r>
            <w:proofErr w:type="spellStart"/>
            <w:r>
              <w:rPr>
                <w:color w:val="auto"/>
                <w:sz w:val="20"/>
                <w:szCs w:val="20"/>
              </w:rPr>
              <w:t>programme</w:t>
            </w:r>
            <w:proofErr w:type="spellEnd"/>
            <w:r>
              <w:rPr>
                <w:color w:val="auto"/>
                <w:sz w:val="20"/>
                <w:szCs w:val="20"/>
              </w:rPr>
              <w:t xml:space="preserve"> time but reduces later rework.</w:t>
            </w:r>
          </w:p>
        </w:tc>
      </w:tr>
      <w:tr w:rsidR="00B1670F" w14:paraId="66C5AB8A" w14:textId="77777777">
        <w:trPr>
          <w:jc w:val="center"/>
        </w:trPr>
        <w:tc>
          <w:tcPr>
            <w:tcW w:w="604"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84" w14:textId="77777777" w:rsidR="00B1670F" w:rsidRDefault="00B23735">
            <w:pPr>
              <w:spacing w:after="0" w:line="240" w:lineRule="auto"/>
              <w:rPr>
                <w:color w:val="auto"/>
                <w:sz w:val="20"/>
                <w:szCs w:val="20"/>
              </w:rPr>
            </w:pPr>
            <w:r>
              <w:rPr>
                <w:color w:val="auto"/>
                <w:sz w:val="20"/>
                <w:szCs w:val="20"/>
              </w:rPr>
              <w:t>5</w:t>
            </w:r>
          </w:p>
        </w:tc>
        <w:tc>
          <w:tcPr>
            <w:tcW w:w="2223"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85" w14:textId="77777777" w:rsidR="00B1670F" w:rsidRDefault="00B23735">
            <w:pPr>
              <w:spacing w:after="0" w:line="240" w:lineRule="auto"/>
              <w:rPr>
                <w:color w:val="auto"/>
                <w:sz w:val="20"/>
                <w:szCs w:val="20"/>
              </w:rPr>
            </w:pPr>
            <w:r>
              <w:rPr>
                <w:color w:val="auto"/>
                <w:sz w:val="20"/>
                <w:szCs w:val="20"/>
              </w:rPr>
              <w:t xml:space="preserve">Apply selective </w:t>
            </w:r>
            <w:proofErr w:type="spellStart"/>
            <w:r>
              <w:rPr>
                <w:color w:val="auto"/>
                <w:sz w:val="20"/>
                <w:szCs w:val="20"/>
              </w:rPr>
              <w:t>DfMA</w:t>
            </w:r>
            <w:proofErr w:type="spellEnd"/>
            <w:r>
              <w:rPr>
                <w:color w:val="auto"/>
                <w:sz w:val="20"/>
                <w:szCs w:val="20"/>
              </w:rPr>
              <w:t>/MMC rather than full volumetric modular construction.</w:t>
            </w:r>
          </w:p>
        </w:tc>
        <w:tc>
          <w:tcPr>
            <w:tcW w:w="1808"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86" w14:textId="77777777" w:rsidR="00B1670F" w:rsidRDefault="00B23735">
            <w:pPr>
              <w:spacing w:after="0" w:line="240" w:lineRule="auto"/>
              <w:rPr>
                <w:color w:val="auto"/>
                <w:sz w:val="20"/>
                <w:szCs w:val="20"/>
              </w:rPr>
            </w:pPr>
            <w:r>
              <w:rPr>
                <w:color w:val="auto"/>
                <w:sz w:val="20"/>
                <w:szCs w:val="20"/>
              </w:rPr>
              <w:t xml:space="preserve">Craneage, transport, wind, </w:t>
            </w:r>
            <w:proofErr w:type="spellStart"/>
            <w:r>
              <w:rPr>
                <w:color w:val="auto"/>
                <w:sz w:val="20"/>
                <w:szCs w:val="20"/>
              </w:rPr>
              <w:t>routeability</w:t>
            </w:r>
            <w:proofErr w:type="spellEnd"/>
            <w:r>
              <w:rPr>
                <w:color w:val="auto"/>
                <w:sz w:val="20"/>
                <w:szCs w:val="20"/>
              </w:rPr>
              <w:t xml:space="preserve"> and interface risk.</w:t>
            </w:r>
          </w:p>
        </w:tc>
        <w:tc>
          <w:tcPr>
            <w:tcW w:w="1785"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87" w14:textId="77777777" w:rsidR="00B1670F" w:rsidRDefault="00B23735">
            <w:pPr>
              <w:spacing w:after="0" w:line="240" w:lineRule="auto"/>
              <w:rPr>
                <w:color w:val="auto"/>
                <w:sz w:val="20"/>
                <w:szCs w:val="20"/>
              </w:rPr>
            </w:pPr>
            <w:r>
              <w:rPr>
                <w:color w:val="auto"/>
                <w:sz w:val="20"/>
                <w:szCs w:val="20"/>
              </w:rPr>
              <w:t>Full volumetric construction is less suitable unless abnormal-load routing, craneage and early design freeze are proven (SCI, n.d.; UK Government, n.d.; National Highways, n.d.).</w:t>
            </w:r>
          </w:p>
        </w:tc>
        <w:tc>
          <w:tcPr>
            <w:tcW w:w="1685"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88" w14:textId="77777777" w:rsidR="00B1670F" w:rsidRDefault="00B23735">
            <w:pPr>
              <w:spacing w:after="0" w:line="240" w:lineRule="auto"/>
              <w:rPr>
                <w:color w:val="auto"/>
                <w:sz w:val="20"/>
                <w:szCs w:val="20"/>
              </w:rPr>
            </w:pPr>
            <w:r>
              <w:rPr>
                <w:color w:val="auto"/>
                <w:sz w:val="20"/>
                <w:szCs w:val="20"/>
              </w:rPr>
              <w:t>Better quality and waste control without excessive logistics risk.</w:t>
            </w:r>
          </w:p>
        </w:tc>
        <w:tc>
          <w:tcPr>
            <w:tcW w:w="1945" w:type="dxa"/>
            <w:tcBorders>
              <w:top w:val="single" w:sz="6" w:space="0" w:color="D9E2EA"/>
              <w:left w:val="single" w:sz="6" w:space="0" w:color="D9E2EA"/>
              <w:bottom w:val="single" w:sz="6" w:space="0" w:color="D9E2EA"/>
              <w:right w:val="single" w:sz="6" w:space="0" w:color="D9E2EA"/>
            </w:tcBorders>
            <w:shd w:val="clear" w:color="auto" w:fill="FFFFFF"/>
            <w:vAlign w:val="center"/>
          </w:tcPr>
          <w:p w14:paraId="66C5AB89" w14:textId="77777777" w:rsidR="00B1670F" w:rsidRDefault="00B23735">
            <w:pPr>
              <w:spacing w:after="0" w:line="240" w:lineRule="auto"/>
              <w:rPr>
                <w:color w:val="auto"/>
                <w:sz w:val="20"/>
                <w:szCs w:val="20"/>
              </w:rPr>
            </w:pPr>
            <w:r>
              <w:rPr>
                <w:color w:val="auto"/>
                <w:sz w:val="20"/>
                <w:szCs w:val="20"/>
              </w:rPr>
              <w:t xml:space="preserve">Needs early supplier coordination and </w:t>
            </w:r>
            <w:proofErr w:type="spellStart"/>
            <w:r>
              <w:rPr>
                <w:color w:val="auto"/>
                <w:sz w:val="20"/>
                <w:szCs w:val="20"/>
              </w:rPr>
              <w:t>standardised</w:t>
            </w:r>
            <w:proofErr w:type="spellEnd"/>
            <w:r>
              <w:rPr>
                <w:color w:val="auto"/>
                <w:sz w:val="20"/>
                <w:szCs w:val="20"/>
              </w:rPr>
              <w:t xml:space="preserve"> room/service layouts.</w:t>
            </w:r>
          </w:p>
        </w:tc>
      </w:tr>
      <w:tr w:rsidR="00B1670F" w14:paraId="66C5AB91" w14:textId="77777777">
        <w:trPr>
          <w:jc w:val="center"/>
        </w:trPr>
        <w:tc>
          <w:tcPr>
            <w:tcW w:w="604"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8B" w14:textId="77777777" w:rsidR="00B1670F" w:rsidRDefault="00B23735">
            <w:pPr>
              <w:spacing w:after="0" w:line="240" w:lineRule="auto"/>
              <w:rPr>
                <w:color w:val="auto"/>
                <w:sz w:val="20"/>
                <w:szCs w:val="20"/>
              </w:rPr>
            </w:pPr>
            <w:r>
              <w:rPr>
                <w:color w:val="auto"/>
                <w:sz w:val="20"/>
                <w:szCs w:val="20"/>
              </w:rPr>
              <w:t>6</w:t>
            </w:r>
          </w:p>
        </w:tc>
        <w:tc>
          <w:tcPr>
            <w:tcW w:w="2223"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8C" w14:textId="77777777" w:rsidR="00B1670F" w:rsidRDefault="00B23735">
            <w:pPr>
              <w:spacing w:after="0" w:line="240" w:lineRule="auto"/>
              <w:rPr>
                <w:color w:val="auto"/>
                <w:sz w:val="20"/>
                <w:szCs w:val="20"/>
              </w:rPr>
            </w:pPr>
            <w:r>
              <w:rPr>
                <w:color w:val="auto"/>
                <w:sz w:val="20"/>
                <w:szCs w:val="20"/>
              </w:rPr>
              <w:t>Undertake WLCA and CIBSE TM54 modelling at detailed design stage.</w:t>
            </w:r>
          </w:p>
        </w:tc>
        <w:tc>
          <w:tcPr>
            <w:tcW w:w="1808"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8D" w14:textId="77777777" w:rsidR="00B1670F" w:rsidRDefault="00B23735">
            <w:pPr>
              <w:spacing w:after="0" w:line="240" w:lineRule="auto"/>
              <w:rPr>
                <w:color w:val="auto"/>
                <w:sz w:val="20"/>
                <w:szCs w:val="20"/>
              </w:rPr>
            </w:pPr>
            <w:r>
              <w:rPr>
                <w:color w:val="auto"/>
                <w:sz w:val="20"/>
                <w:szCs w:val="20"/>
              </w:rPr>
              <w:t>Current sustainability analysis is qualitative only.</w:t>
            </w:r>
          </w:p>
        </w:tc>
        <w:tc>
          <w:tcPr>
            <w:tcW w:w="1785"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8E" w14:textId="77777777" w:rsidR="00B1670F" w:rsidRDefault="00B23735">
            <w:pPr>
              <w:spacing w:after="0" w:line="240" w:lineRule="auto"/>
              <w:rPr>
                <w:color w:val="auto"/>
                <w:sz w:val="20"/>
                <w:szCs w:val="20"/>
              </w:rPr>
            </w:pPr>
            <w:r>
              <w:rPr>
                <w:color w:val="auto"/>
                <w:sz w:val="20"/>
                <w:szCs w:val="20"/>
              </w:rPr>
              <w:t>Whole-life carbon and operational performance require quantified testing with measured quantities, supplier EPDs and realistic energy assumptions (RICS, 2024; CIBSE, 2022).</w:t>
            </w:r>
          </w:p>
        </w:tc>
        <w:tc>
          <w:tcPr>
            <w:tcW w:w="1685"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8F" w14:textId="77777777" w:rsidR="00B1670F" w:rsidRDefault="00B23735">
            <w:pPr>
              <w:spacing w:after="0" w:line="240" w:lineRule="auto"/>
              <w:rPr>
                <w:color w:val="auto"/>
                <w:sz w:val="20"/>
                <w:szCs w:val="20"/>
              </w:rPr>
            </w:pPr>
            <w:r>
              <w:rPr>
                <w:color w:val="auto"/>
                <w:sz w:val="20"/>
                <w:szCs w:val="20"/>
              </w:rPr>
              <w:t>Evidence-based carbon reduction and more reliable energy-performance prediction.</w:t>
            </w:r>
          </w:p>
        </w:tc>
        <w:tc>
          <w:tcPr>
            <w:tcW w:w="1945" w:type="dxa"/>
            <w:tcBorders>
              <w:top w:val="single" w:sz="6" w:space="0" w:color="D9E2EA"/>
              <w:left w:val="single" w:sz="6" w:space="0" w:color="D9E2EA"/>
              <w:bottom w:val="single" w:sz="6" w:space="0" w:color="D9E2EA"/>
              <w:right w:val="single" w:sz="6" w:space="0" w:color="D9E2EA"/>
            </w:tcBorders>
            <w:shd w:val="clear" w:color="auto" w:fill="F4F7F9"/>
            <w:vAlign w:val="center"/>
          </w:tcPr>
          <w:p w14:paraId="66C5AB90" w14:textId="77777777" w:rsidR="00B1670F" w:rsidRDefault="00B23735">
            <w:pPr>
              <w:spacing w:after="0" w:line="240" w:lineRule="auto"/>
              <w:rPr>
                <w:color w:val="auto"/>
                <w:sz w:val="20"/>
                <w:szCs w:val="20"/>
              </w:rPr>
            </w:pPr>
            <w:r>
              <w:rPr>
                <w:color w:val="auto"/>
                <w:sz w:val="20"/>
                <w:szCs w:val="20"/>
              </w:rPr>
              <w:t>Requires cost, quantity, product and services data.</w:t>
            </w:r>
          </w:p>
        </w:tc>
      </w:tr>
    </w:tbl>
    <w:p w14:paraId="66C5AB92" w14:textId="77777777" w:rsidR="00B1670F" w:rsidRDefault="00B23735">
      <w:pPr>
        <w:pStyle w:val="Heading1"/>
        <w:spacing w:before="0"/>
      </w:pPr>
      <w:bookmarkStart w:id="50" w:name="_Toc229404636"/>
      <w:bookmarkStart w:id="51" w:name="_Toc229426343"/>
      <w:r>
        <w:lastRenderedPageBreak/>
        <w:t>9. Conclusion</w:t>
      </w:r>
      <w:bookmarkEnd w:id="50"/>
      <w:bookmarkEnd w:id="51"/>
    </w:p>
    <w:p w14:paraId="2956ED3C" w14:textId="77777777" w:rsidR="00F35F90" w:rsidRPr="00F35F90" w:rsidRDefault="00F35F90" w:rsidP="00F35F90">
      <w:pPr>
        <w:rPr>
          <w:iCs/>
          <w:color w:val="auto"/>
          <w:sz w:val="20"/>
        </w:rPr>
      </w:pPr>
      <w:r w:rsidRPr="00F35F90">
        <w:rPr>
          <w:iCs/>
          <w:color w:val="auto"/>
          <w:sz w:val="20"/>
        </w:rPr>
        <w:t>The AS1 approach is buildable, sustainable, and flexible if the main risks are managed. The steel composite frame with RC core supports efficient floor cycles and a logical sequence, but site logistics, craneage, substructure uncertainty, and façade workmanship are critical risks.</w:t>
      </w:r>
    </w:p>
    <w:p w14:paraId="06D7E9F9" w14:textId="77777777" w:rsidR="00F35F90" w:rsidRPr="00F35F90" w:rsidRDefault="00F35F90" w:rsidP="00F35F90">
      <w:pPr>
        <w:rPr>
          <w:iCs/>
          <w:color w:val="auto"/>
          <w:sz w:val="20"/>
        </w:rPr>
      </w:pPr>
      <w:r w:rsidRPr="00F35F90">
        <w:rPr>
          <w:iCs/>
          <w:color w:val="auto"/>
          <w:sz w:val="20"/>
        </w:rPr>
        <w:t xml:space="preserve">This proposal has sustainability potential due to its lighter structural frame, hybrid </w:t>
      </w:r>
      <w:proofErr w:type="spellStart"/>
      <w:r w:rsidRPr="00F35F90">
        <w:rPr>
          <w:iCs/>
          <w:color w:val="auto"/>
          <w:sz w:val="20"/>
        </w:rPr>
        <w:t>DfMA</w:t>
      </w:r>
      <w:proofErr w:type="spellEnd"/>
      <w:r w:rsidRPr="00F35F90">
        <w:rPr>
          <w:iCs/>
          <w:color w:val="auto"/>
          <w:sz w:val="20"/>
        </w:rPr>
        <w:t>/MMC, and durable envelope. However, reducing steel and concrete quantities, avoiding unnecessary piling, specifying durable coastal materials, controlling waste, and WLCA and operational energy modelling determine its true performance.</w:t>
      </w:r>
    </w:p>
    <w:p w14:paraId="24379A66" w14:textId="77777777" w:rsidR="00F35F90" w:rsidRPr="00F35F90" w:rsidRDefault="00F35F90" w:rsidP="00F35F90">
      <w:pPr>
        <w:rPr>
          <w:iCs/>
          <w:color w:val="auto"/>
          <w:sz w:val="20"/>
        </w:rPr>
      </w:pPr>
      <w:r w:rsidRPr="00F35F90">
        <w:rPr>
          <w:iCs/>
          <w:color w:val="auto"/>
          <w:sz w:val="20"/>
        </w:rPr>
        <w:t>Regular hotel layout, steel frame, and non-loadbearing internal partitions offer moderate-to-good flexibility. The fixed RC core, service risers, floor-to-floor height, and masonry façade upgrade constraints are the main constraints.</w:t>
      </w:r>
    </w:p>
    <w:p w14:paraId="66C5AB97" w14:textId="042B0397" w:rsidR="00B1670F" w:rsidRDefault="00F35F90" w:rsidP="00F35F90">
      <w:r w:rsidRPr="00F35F90">
        <w:rPr>
          <w:iCs/>
          <w:color w:val="auto"/>
          <w:sz w:val="20"/>
        </w:rPr>
        <w:t xml:space="preserve">Only after evidence-based modification should the AS1 steel composite frame with RC core remain the preferred baseline. The foundation strategy should be provisional until GI decides whether full piling or a lower-carbon alternative can meet bearing, settlement, groundwater, and durability requirements. We recommend selective MMC for steelwork, MEP modules, plant skids, windows and possibly bathroom pods, but full volumetric modular construction should be rejected without </w:t>
      </w:r>
      <w:proofErr w:type="spellStart"/>
      <w:r w:rsidRPr="00F35F90">
        <w:rPr>
          <w:iCs/>
          <w:color w:val="auto"/>
          <w:sz w:val="20"/>
        </w:rPr>
        <w:t>routeability</w:t>
      </w:r>
      <w:proofErr w:type="spellEnd"/>
      <w:r w:rsidRPr="00F35F90">
        <w:rPr>
          <w:iCs/>
          <w:color w:val="auto"/>
          <w:sz w:val="20"/>
        </w:rPr>
        <w:t>, craneage, tolerance control and early design freeze. The biggest improvement is moving from concept assumptions to evidence-based design using GI, coordinated logistics, façade testing, EPD-led procurement, WLCA, and energy modelling.</w:t>
      </w:r>
      <w:r w:rsidR="00B23735">
        <w:br w:type="page"/>
      </w:r>
    </w:p>
    <w:p w14:paraId="66C5AB98" w14:textId="77777777" w:rsidR="00B1670F" w:rsidRDefault="00B23735">
      <w:pPr>
        <w:pStyle w:val="Heading1"/>
        <w:spacing w:before="0"/>
      </w:pPr>
      <w:bookmarkStart w:id="52" w:name="_Toc229404637"/>
      <w:bookmarkStart w:id="53" w:name="_Toc229426344"/>
      <w:r>
        <w:lastRenderedPageBreak/>
        <w:t>10. Reference List</w:t>
      </w:r>
      <w:bookmarkEnd w:id="52"/>
      <w:bookmarkEnd w:id="53"/>
    </w:p>
    <w:p w14:paraId="66C5AB99" w14:textId="77777777" w:rsidR="00B1670F" w:rsidRPr="000B1D61" w:rsidRDefault="00B23735" w:rsidP="000B1D61">
      <w:pPr>
        <w:pStyle w:val="NormalWeb"/>
        <w:numPr>
          <w:ilvl w:val="0"/>
          <w:numId w:val="9"/>
        </w:numPr>
        <w:spacing w:before="100" w:after="120" w:afterAutospacing="0"/>
        <w:ind w:left="1077" w:hanging="357"/>
        <w:rPr>
          <w:rFonts w:ascii="Aptos" w:hAnsi="Aptos"/>
          <w:sz w:val="20"/>
          <w:szCs w:val="20"/>
        </w:rPr>
      </w:pPr>
      <w:r w:rsidRPr="000B1D61">
        <w:rPr>
          <w:rFonts w:ascii="Aptos" w:hAnsi="Aptos"/>
          <w:sz w:val="20"/>
          <w:szCs w:val="20"/>
        </w:rPr>
        <w:t xml:space="preserve">British Geological Survey (n.d.) </w:t>
      </w:r>
      <w:proofErr w:type="spellStart"/>
      <w:r w:rsidRPr="000B1D61">
        <w:rPr>
          <w:rFonts w:ascii="Aptos" w:hAnsi="Aptos"/>
          <w:sz w:val="20"/>
          <w:szCs w:val="20"/>
        </w:rPr>
        <w:t>GeoIndex</w:t>
      </w:r>
      <w:proofErr w:type="spellEnd"/>
      <w:r w:rsidRPr="000B1D61">
        <w:rPr>
          <w:rFonts w:ascii="Aptos" w:hAnsi="Aptos"/>
          <w:sz w:val="20"/>
          <w:szCs w:val="20"/>
        </w:rPr>
        <w:t xml:space="preserve"> onshore. Available at: https://www.bgs.ac.uk/map-viewers/geoindex-onshore/ (Accessed: 22 April 2026).</w:t>
      </w:r>
    </w:p>
    <w:p w14:paraId="66C5AB9A"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British Standards Institution (2010) BS EN 1991-1-4:2005+A1:2010 Eurocode 1: Actions on structures. General actions. Wind actions. London: BSI.</w:t>
      </w:r>
    </w:p>
    <w:p w14:paraId="66C5AB9B"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British Standards Institution (2018) BS 1377-3:2018 Methods of test for soils for civil engineering purposes. Chemical and electro-chemical tests. London: BSI.</w:t>
      </w:r>
    </w:p>
    <w:p w14:paraId="66C5AB9C"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British Standards Institution (2020) BS 5930:2015+A1:2020 Code of practice for ground investigations. London: BSI.</w:t>
      </w:r>
    </w:p>
    <w:p w14:paraId="66C5AB9D"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British Standards Institution (2023) BS 8500-1:2023 Concrete. Complementary British Standard to BS EN 206. Method of specifying and guidance for the specifier. London: BSI.</w:t>
      </w:r>
    </w:p>
    <w:p w14:paraId="66C5AB9E"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British Standards Institution (n.d.) BS 8104: Code of practice for assessing exposure of walls to wind-driven rain. London: BSI.</w:t>
      </w:r>
    </w:p>
    <w:p w14:paraId="66C5AB9F"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BRE (2005) Special Digest 1: Concrete in aggressive ground. Available at: https://bregroup.com/documents/311572/1990118/189849.pdf/8c07e3b0-0dc6-ebf3-c5c8-ea8b27a28db4 (Accessed: 22 April 2026).</w:t>
      </w:r>
    </w:p>
    <w:p w14:paraId="66C5ABA0"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CIBSE (2022) TM54: Evaluating operational energy use at the design stage. Available at: https://www.cibse.org/knowledge-research/knowledge-portal/tm54-evaluating-operational-energy-use-at-the-design-stage-2022 (Accessed: 22 April 2026).</w:t>
      </w:r>
    </w:p>
    <w:p w14:paraId="66C5ABA1"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City and County of Swansea (n.d.) Swansea Tall Buildings Strategy. Available at: https://www.swansea.gov.uk/media/8105/swansea-tall-buildings-strategy/pdf/Swansea_Tall_Buildings_Strategy.pdf (Accessed: 22 April 2026).</w:t>
      </w:r>
    </w:p>
    <w:p w14:paraId="66C5ABA2"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Construction Leadership Council (2020) Zero avoidable waste in construction: how best to interpret it. Available at: https://www.constructionleadershipcouncil.co.uk/wp-content/uploads/2016/05/ZAW-Report-Final-Draft-25-February-2020.pdf (Accessed: 25 April 2026).</w:t>
      </w:r>
    </w:p>
    <w:p w14:paraId="66C5ABA3"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Construction Plant-hire Association (2025) Planning and control of lifting operations in wind: CPA-CIG/TCIG TIN-110. Available at: https://cpa.uk.net/wp-content/uploads/2025/08/CPA-CIG_TCIG-TIN-110-Planning-Control-of-Lifting-Operations-in-Wind-V1-July-2025.pdf (Accessed: 25 April 2026).</w:t>
      </w:r>
    </w:p>
    <w:p w14:paraId="66C5ABA4"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Health and Safety Executive (n.d.) Fire safety in construction. Available at: https://www.hse.gov.uk/construction/faq-fire.htm (Accessed: 25 April 2026).</w:t>
      </w:r>
    </w:p>
    <w:p w14:paraId="66C5ABA5"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Institution of Civil Engineers (2025) What is PAS 2080? 2023 version. Available at: https://www.ice.org.uk/news-views-insights/inside-infrastructure/what-is-pas-2080-2023-version (Accessed: 01 May 2026).</w:t>
      </w:r>
    </w:p>
    <w:p w14:paraId="66C5ABA6"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Institution of Structural Engineers (2020a) Carbon footprint benchmarking data for buildings. Available at: https://www.istructe.org/IStructE/media/Public/TSE-Archive/2020/Carbon-footprint-benchmarking-data-for-buildings.pdf (Accessed: 01 May 2026).</w:t>
      </w:r>
    </w:p>
    <w:p w14:paraId="66C5ABA7"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 xml:space="preserve">Institution of Structural Engineers (2020b) How to calculate embodied carbon. 2nd </w:t>
      </w:r>
      <w:proofErr w:type="spellStart"/>
      <w:r w:rsidRPr="000B1D61">
        <w:rPr>
          <w:rFonts w:ascii="Aptos" w:hAnsi="Aptos"/>
          <w:sz w:val="20"/>
          <w:szCs w:val="20"/>
        </w:rPr>
        <w:t>edn</w:t>
      </w:r>
      <w:proofErr w:type="spellEnd"/>
      <w:r w:rsidRPr="000B1D61">
        <w:rPr>
          <w:rFonts w:ascii="Aptos" w:hAnsi="Aptos"/>
          <w:sz w:val="20"/>
          <w:szCs w:val="20"/>
        </w:rPr>
        <w:t>. Available at: https://www.istructe.org/resources/guidance/how-to-calculate-embodied-carbon/ (Accessed: 01 May 2026).</w:t>
      </w:r>
    </w:p>
    <w:p w14:paraId="66C5ABA8"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International Organization for Standardization (2017) ISO 12944-2:2017 Paints and varnishes - Corrosion protection of steel structures by protective paint systems - Part 2: Classification of environments. Geneva: ISO.</w:t>
      </w:r>
    </w:p>
    <w:p w14:paraId="66C5ABA9"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International Organization for Standardization (2020) ISO 20887:2020 Sustainability in buildings and civil engineering works - Design for disassembly and adaptability - Principles, requirements and guidance. Available at: https://www.iso.org/standard/69370.html (Accessed: 01 May 2026).</w:t>
      </w:r>
    </w:p>
    <w:p w14:paraId="66C5ABAA"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LABC Warranty (n.d.) Technical Manual V11: Section 6 external walls. Available at: https://www.labcwarranty.co.uk/hubfs/Technical%20Manual%20V11%20-%20Thumbnails/Technical%20Manual%20V11%20-%20Section%20PDF%20Downloads/Section%206%20External%20Walls.pdf (Accessed: 01 May 2026).</w:t>
      </w:r>
    </w:p>
    <w:p w14:paraId="66C5ABAB"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Marshalls (n.d.) Brick Technical Bulletin 9: Resistance to rain penetration. Available at: https://media.marshalls.co.uk/image/upload/v1612169211/Resistance-To-Rain-Penetration-BTB9.pdf (Accessed: 04 May 2026).</w:t>
      </w:r>
    </w:p>
    <w:p w14:paraId="66C5ABAC"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Met Office (n.d.) Mumbles Head climate averages. Available at: https://www.metoffice.gov.uk/research/climate/maps-and-data/location-specific-long-term-averages/gcjjm7j5g (Accessed: 11 May 2026).</w:t>
      </w:r>
    </w:p>
    <w:p w14:paraId="66C5ABAD"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lastRenderedPageBreak/>
        <w:t>NATSPEC (n.d.) DES 010 Atmospheric corrosivity categories. Available at: https://www.natspec.com.au/images/TECHnotes/NTN-DES-010-Atmospheric-corrosivity-categories.pdf (Accessed: 04 May 2026).</w:t>
      </w:r>
    </w:p>
    <w:p w14:paraId="66C5ABAE"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National Highways (n.d.) Abnormal loads and the ESDAL system. Available at: https://nationalhighways.co.uk/road-safety/abnormal-loads-and-the-esdal-system/ (Accessed: 04 May 2026).</w:t>
      </w:r>
    </w:p>
    <w:p w14:paraId="66C5ABAF"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 xml:space="preserve">RICS (2024) Whole life carbon assessment for the built environment. 2nd </w:t>
      </w:r>
      <w:proofErr w:type="spellStart"/>
      <w:r w:rsidRPr="000B1D61">
        <w:rPr>
          <w:rFonts w:ascii="Aptos" w:hAnsi="Aptos"/>
          <w:sz w:val="20"/>
          <w:szCs w:val="20"/>
        </w:rPr>
        <w:t>edn</w:t>
      </w:r>
      <w:proofErr w:type="spellEnd"/>
      <w:r w:rsidRPr="000B1D61">
        <w:rPr>
          <w:rFonts w:ascii="Aptos" w:hAnsi="Aptos"/>
          <w:sz w:val="20"/>
          <w:szCs w:val="20"/>
        </w:rPr>
        <w:t>. Available at: https://www.rics.org/profession-standards/rics-standards-and-guidance/sector-standards/construction-standards/whole-life-carbon-assessment (Accessed: 04 May 2026).</w:t>
      </w:r>
    </w:p>
    <w:p w14:paraId="66C5ABB0"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SCI (n.d.) Building design using modules. SCI P348. Available at: https://www.steelconstruction.info/images/6/67/SCI_P348.pdf (Accessed: 04 May 2026).</w:t>
      </w:r>
    </w:p>
    <w:p w14:paraId="66C5ABB1"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SteelConstruction.info (n.d.) Composite construction. Available at: https://www.steelconstruction.info/Composite_construction (Accessed: 04 May 2026).</w:t>
      </w:r>
    </w:p>
    <w:p w14:paraId="66C5ABB2"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Swansea Bay University Health Board (n.d.) Singleton Hospital. Available at: https://sbuhb.nhs.wales/hospitals/our-hospitals/singleton-hospital/ (Accessed: 11 May 2026).</w:t>
      </w:r>
    </w:p>
    <w:p w14:paraId="66C5ABB3"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Swansea University (n.d.) Location. Available at: https://www.swansea.ac.uk/the-university/location/ (Accessed: 11 May 2026).</w:t>
      </w:r>
    </w:p>
    <w:p w14:paraId="66C5ABB4"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Transport for London and CLOCS (2021) Construction Logistics Planning Guidance. Version 1.2. Available at: https://content.tfl.gov.uk/clp-guidance-clocs.pdf (Accessed: 04 May 2026).</w:t>
      </w:r>
    </w:p>
    <w:p w14:paraId="66C5ABB5"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UK Government (n.d.) Volumetric modular construction research. Available at: https://www.gov.uk/government/publications/volumetric-modular-construction-research/volumetric-modular-construction-research (Accessed: 04 May 2026).</w:t>
      </w:r>
    </w:p>
    <w:p w14:paraId="66C5ABB6"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Welsh Government (2019) Statutory national standards for sustainable drainage systems. Available at: https://www.gov.wales/sites/default/files/publications/2019-06/statutory-national-standards-for-sustainable-drainage-systems.pdf (Accessed: 04 May 2026).</w:t>
      </w:r>
    </w:p>
    <w:p w14:paraId="66C5ABB7"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Welsh Government (2021) Building regulations guidance: Part B fire safety. Volume 2: Buildings other than dwellinghouses. Available at: https://www.gov.wales/sites/default/files/publications/2021-12/building-regulations-guidance-part-b-fire-safety-volume-2-buildings-other-than-dwellinghouses.pdf (Accessed: 09 May 2026).</w:t>
      </w:r>
    </w:p>
    <w:p w14:paraId="66C5ABB8"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Welsh Government (2024) Planning Policy Wales: Edition 12. Available at: https://www.gov.wales/sites/default/files/publications/2024-07/planning-policy-wales-edition-12.pdf (Accessed: 09 May 2026).</w:t>
      </w:r>
    </w:p>
    <w:p w14:paraId="66C5ABB9"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Welsh Government (2025a) Technical Advice Note 15: Development, flooding and coastal erosion. Available at: https://www.gov.wales/sites/default/files/publications/2025-03/technical-advice-note-15-development-flooding-and-coastal-erosion.pdf (Accessed: 09 May 2026).</w:t>
      </w:r>
    </w:p>
    <w:p w14:paraId="66C5ABBA"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Welsh Government (2025b) Approved Document 7: Materials and workmanship. Available at: https://www.gov.wales/sites/default/files/publications/2025-06/approved-document-7-to-support-regulation-materials-and-workmanship.pdf (Accessed: 09 May 2026).</w:t>
      </w:r>
    </w:p>
    <w:p w14:paraId="66C5ABBB"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Welsh Government (2025c) Building (Amendment) (Wales) Regulations 2025: Welsh Government Circular WGC 004/2025. Available at: https://www.gov.wales/building-amendment-wales-regulations-2025-wgc-0042025-html (Accessed: 11 May 2026).</w:t>
      </w:r>
    </w:p>
    <w:p w14:paraId="66C5ABBC"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Welsh Government (2025d) Amendments to Approved Document B: Fire safety. Volume 1 and Volume 2. Available at: https://www.gov.wales/sites/default/files/publications/2025-06/amendments-to-approved-document-B-fire-safety-volume-1-and-volume-2.pdf (Accessed: 11 May 2026).</w:t>
      </w:r>
    </w:p>
    <w:p w14:paraId="66C5ABBD" w14:textId="77777777" w:rsidR="00B1670F" w:rsidRPr="000B1D61" w:rsidRDefault="00B23735" w:rsidP="000B1D61">
      <w:pPr>
        <w:pStyle w:val="NormalWeb"/>
        <w:numPr>
          <w:ilvl w:val="0"/>
          <w:numId w:val="9"/>
        </w:numPr>
        <w:spacing w:before="280" w:after="0" w:afterAutospacing="0"/>
        <w:rPr>
          <w:rFonts w:ascii="Aptos" w:hAnsi="Aptos"/>
          <w:sz w:val="20"/>
          <w:szCs w:val="20"/>
        </w:rPr>
      </w:pPr>
      <w:r w:rsidRPr="000B1D61">
        <w:rPr>
          <w:rFonts w:ascii="Aptos" w:hAnsi="Aptos"/>
          <w:sz w:val="20"/>
          <w:szCs w:val="20"/>
        </w:rPr>
        <w:t>WRAP (2011) Using construction consolidation centres to reduce construction waste and carbon emissions. Available at: https://clocs.org.uk/wp-content/uploads/2025/06/Using-Construction-Consolidation-to-reduce-construction-waste-and-carbon-emissions-WRAP.pdf (Accessed: 11 May 2026).</w:t>
      </w:r>
    </w:p>
    <w:sectPr w:rsidR="00B1670F" w:rsidRPr="000B1D61">
      <w:headerReference w:type="even" r:id="rId8"/>
      <w:headerReference w:type="default" r:id="rId9"/>
      <w:footerReference w:type="even" r:id="rId10"/>
      <w:footerReference w:type="default" r:id="rId11"/>
      <w:headerReference w:type="first" r:id="rId12"/>
      <w:footerReference w:type="first" r:id="rId13"/>
      <w:pgSz w:w="11906" w:h="16838"/>
      <w:pgMar w:top="979" w:right="1037" w:bottom="936" w:left="1037" w:header="720" w:footer="72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BDB08" w14:textId="77777777" w:rsidR="00CE7D99" w:rsidRDefault="00CE7D99">
      <w:pPr>
        <w:spacing w:after="0" w:line="240" w:lineRule="auto"/>
      </w:pPr>
      <w:r>
        <w:separator/>
      </w:r>
    </w:p>
  </w:endnote>
  <w:endnote w:type="continuationSeparator" w:id="0">
    <w:p w14:paraId="7449B5A7" w14:textId="77777777" w:rsidR="00CE7D99" w:rsidRDefault="00CE7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altName w:val="Courier New"/>
    <w:panose1 w:val="02070409020205020404"/>
    <w:charset w:val="00"/>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5ABC0" w14:textId="77777777" w:rsidR="00B1670F" w:rsidRDefault="00B167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5ABC1" w14:textId="77777777" w:rsidR="00B1670F" w:rsidRDefault="00B23735">
    <w:pPr>
      <w:pStyle w:val="Footer"/>
      <w:jc w:val="right"/>
    </w:pPr>
    <w:r>
      <w:rPr>
        <w:color w:val="64748B"/>
        <w:sz w:val="17"/>
      </w:rPr>
      <w:t xml:space="preserve">Page </w:t>
    </w:r>
    <w:r>
      <w:fldChar w:fldCharType="begin"/>
    </w:r>
    <w:r>
      <w:instrText xml:space="preserve"> PAGE </w:instrText>
    </w:r>
    <w:r>
      <w:fldChar w:fldCharType="separate"/>
    </w:r>
    <w:r>
      <w:t>23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5ABC3" w14:textId="77777777" w:rsidR="00B1670F" w:rsidRDefault="00B167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2BE3E" w14:textId="77777777" w:rsidR="00CE7D99" w:rsidRDefault="00CE7D99">
      <w:pPr>
        <w:spacing w:after="0" w:line="240" w:lineRule="auto"/>
      </w:pPr>
      <w:r>
        <w:separator/>
      </w:r>
    </w:p>
  </w:footnote>
  <w:footnote w:type="continuationSeparator" w:id="0">
    <w:p w14:paraId="788C3E6D" w14:textId="77777777" w:rsidR="00CE7D99" w:rsidRDefault="00CE7D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5ABBE" w14:textId="77777777" w:rsidR="00B1670F" w:rsidRDefault="00B167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5ABBF" w14:textId="77777777" w:rsidR="00B1670F" w:rsidRDefault="00B23735">
    <w:pPr>
      <w:pStyle w:val="Header"/>
      <w:pBdr>
        <w:bottom w:val="single" w:sz="4" w:space="1" w:color="D9E2EA"/>
      </w:pBdr>
    </w:pPr>
    <w:r>
      <w:rPr>
        <w:color w:val="64748B"/>
        <w:sz w:val="17"/>
      </w:rPr>
      <w:t>ACBA5019 Construction Technology 2 | AS2 Buildability and Sustainability Analysis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5ABC2" w14:textId="77777777" w:rsidR="00B1670F" w:rsidRDefault="00B167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F7F3A"/>
    <w:multiLevelType w:val="multilevel"/>
    <w:tmpl w:val="5262F1A0"/>
    <w:lvl w:ilvl="0">
      <w:start w:val="1"/>
      <w:numFmt w:val="decimal"/>
      <w:pStyle w:val="ListNumber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24296157"/>
    <w:multiLevelType w:val="hybridMultilevel"/>
    <w:tmpl w:val="2E0CE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8A6B5B"/>
    <w:multiLevelType w:val="multilevel"/>
    <w:tmpl w:val="BF581C78"/>
    <w:lvl w:ilvl="0">
      <w:start w:val="1"/>
      <w:numFmt w:val="bullet"/>
      <w:pStyle w:val="ListBullet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47053B7A"/>
    <w:multiLevelType w:val="multilevel"/>
    <w:tmpl w:val="F8208F2C"/>
    <w:lvl w:ilvl="0">
      <w:start w:val="1"/>
      <w:numFmt w:val="decimal"/>
      <w:pStyle w:val="ListNumb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480249DA"/>
    <w:multiLevelType w:val="multilevel"/>
    <w:tmpl w:val="C4C8D6FC"/>
    <w:lvl w:ilvl="0">
      <w:start w:val="1"/>
      <w:numFmt w:val="bullet"/>
      <w:pStyle w:val="List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5BF348F3"/>
    <w:multiLevelType w:val="hybridMultilevel"/>
    <w:tmpl w:val="86A6238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51A47CF"/>
    <w:multiLevelType w:val="multilevel"/>
    <w:tmpl w:val="23CEDBEC"/>
    <w:lvl w:ilvl="0">
      <w:start w:val="1"/>
      <w:numFmt w:val="bullet"/>
      <w:pStyle w:val="ListBullet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7D9B6B0F"/>
    <w:multiLevelType w:val="multilevel"/>
    <w:tmpl w:val="DAE6296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7DF04742"/>
    <w:multiLevelType w:val="multilevel"/>
    <w:tmpl w:val="C85AD4E8"/>
    <w:lvl w:ilvl="0">
      <w:start w:val="1"/>
      <w:numFmt w:val="decimal"/>
      <w:pStyle w:val="ListNumber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679160866">
    <w:abstractNumId w:val="4"/>
  </w:num>
  <w:num w:numId="2" w16cid:durableId="206139755">
    <w:abstractNumId w:val="6"/>
  </w:num>
  <w:num w:numId="3" w16cid:durableId="1266033293">
    <w:abstractNumId w:val="2"/>
  </w:num>
  <w:num w:numId="4" w16cid:durableId="1188563642">
    <w:abstractNumId w:val="3"/>
  </w:num>
  <w:num w:numId="5" w16cid:durableId="1856453183">
    <w:abstractNumId w:val="0"/>
  </w:num>
  <w:num w:numId="6" w16cid:durableId="1073744778">
    <w:abstractNumId w:val="8"/>
  </w:num>
  <w:num w:numId="7" w16cid:durableId="1901406521">
    <w:abstractNumId w:val="7"/>
  </w:num>
  <w:num w:numId="8" w16cid:durableId="1218665598">
    <w:abstractNumId w:val="1"/>
  </w:num>
  <w:num w:numId="9" w16cid:durableId="13798627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670F"/>
    <w:rsid w:val="000B1D61"/>
    <w:rsid w:val="00225AAB"/>
    <w:rsid w:val="00275249"/>
    <w:rsid w:val="00292451"/>
    <w:rsid w:val="003F3CCC"/>
    <w:rsid w:val="005E613A"/>
    <w:rsid w:val="00794D5E"/>
    <w:rsid w:val="00820A7C"/>
    <w:rsid w:val="008B01EF"/>
    <w:rsid w:val="00AC734E"/>
    <w:rsid w:val="00B1670F"/>
    <w:rsid w:val="00B23735"/>
    <w:rsid w:val="00B75885"/>
    <w:rsid w:val="00BB023C"/>
    <w:rsid w:val="00BB409F"/>
    <w:rsid w:val="00C308EC"/>
    <w:rsid w:val="00C74867"/>
    <w:rsid w:val="00CE7D99"/>
    <w:rsid w:val="00EC2548"/>
    <w:rsid w:val="00F113FC"/>
    <w:rsid w:val="00F35F90"/>
    <w:rsid w:val="00F9204A"/>
    <w:rsid w:val="00FC7630"/>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A979"/>
  <w15:docId w15:val="{EC628C4B-72A5-4E3F-BD44-10701BF7D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200" w:line="276" w:lineRule="auto"/>
    </w:pPr>
    <w:rPr>
      <w:rFonts w:ascii="Aptos" w:eastAsia="Aptos" w:hAnsi="Aptos"/>
      <w:color w:val="111827"/>
      <w:sz w:val="21"/>
    </w:rPr>
  </w:style>
  <w:style w:type="paragraph" w:styleId="Heading1">
    <w:name w:val="heading 1"/>
    <w:basedOn w:val="Normal"/>
    <w:next w:val="Normal"/>
    <w:link w:val="Heading1Char"/>
    <w:uiPriority w:val="9"/>
    <w:qFormat/>
    <w:rsid w:val="00FC693F"/>
    <w:pPr>
      <w:keepNext/>
      <w:keepLines/>
      <w:spacing w:before="280" w:after="120"/>
      <w:outlineLvl w:val="0"/>
    </w:pPr>
    <w:rPr>
      <w:rFonts w:asciiTheme="majorHAnsi" w:eastAsiaTheme="majorEastAsia" w:hAnsiTheme="majorHAnsi" w:cstheme="majorBidi"/>
      <w:b/>
      <w:bCs/>
      <w:color w:val="17324D"/>
      <w:sz w:val="34"/>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0A7C7C"/>
      <w:sz w:val="26"/>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b/>
      <w:bCs/>
      <w:color w:val="334155"/>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E618BF"/>
  </w:style>
  <w:style w:type="character" w:customStyle="1" w:styleId="FooterChar">
    <w:name w:val="Footer Char"/>
    <w:basedOn w:val="DefaultParagraphFont"/>
    <w:link w:val="Footer"/>
    <w:uiPriority w:val="99"/>
    <w:qFormat/>
    <w:rsid w:val="00E618BF"/>
  </w:style>
  <w:style w:type="character" w:customStyle="1" w:styleId="Heading1Char">
    <w:name w:val="Heading 1 Char"/>
    <w:basedOn w:val="DefaultParagraphFont"/>
    <w:link w:val="Heading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SubtitleChar">
    <w:name w:val="Subtitle Char"/>
    <w:basedOn w:val="DefaultParagraphFont"/>
    <w:link w:val="Subtitle"/>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BodyTextChar">
    <w:name w:val="Body Text Char"/>
    <w:basedOn w:val="DefaultParagraphFont"/>
    <w:link w:val="BodyText"/>
    <w:uiPriority w:val="99"/>
    <w:qFormat/>
    <w:rsid w:val="00AA1D8D"/>
  </w:style>
  <w:style w:type="character" w:customStyle="1" w:styleId="BodyText2Char">
    <w:name w:val="Body Text 2 Char"/>
    <w:basedOn w:val="DefaultParagraphFont"/>
    <w:link w:val="BodyText2"/>
    <w:uiPriority w:val="99"/>
    <w:qFormat/>
    <w:rsid w:val="00AA1D8D"/>
  </w:style>
  <w:style w:type="character" w:customStyle="1" w:styleId="BodyText3Char">
    <w:name w:val="Body Text 3 Char"/>
    <w:basedOn w:val="DefaultParagraphFont"/>
    <w:link w:val="BodyText3"/>
    <w:uiPriority w:val="99"/>
    <w:qFormat/>
    <w:rsid w:val="00AA1D8D"/>
    <w:rPr>
      <w:sz w:val="16"/>
      <w:szCs w:val="16"/>
    </w:rPr>
  </w:style>
  <w:style w:type="character" w:customStyle="1" w:styleId="MacroTextChar">
    <w:name w:val="Macro Text Char"/>
    <w:basedOn w:val="DefaultParagraphFont"/>
    <w:link w:val="MacroText"/>
    <w:uiPriority w:val="99"/>
    <w:qFormat/>
    <w:rsid w:val="0029639D"/>
    <w:rPr>
      <w:rFonts w:ascii="Courier" w:hAnsi="Courier"/>
      <w:sz w:val="20"/>
      <w:szCs w:val="20"/>
    </w:rPr>
  </w:style>
  <w:style w:type="character" w:customStyle="1" w:styleId="QuoteChar">
    <w:name w:val="Quote Char"/>
    <w:basedOn w:val="DefaultParagraphFont"/>
    <w:link w:val="Quote"/>
    <w:uiPriority w:val="29"/>
    <w:qFormat/>
    <w:rsid w:val="00FC693F"/>
    <w:rPr>
      <w:i/>
      <w:iCs/>
      <w:color w:val="000000" w:themeColor="text1"/>
    </w:rPr>
  </w:style>
  <w:style w:type="character" w:customStyle="1" w:styleId="Heading4Char">
    <w:name w:val="Heading 4 Char"/>
    <w:basedOn w:val="DefaultParagraphFont"/>
    <w:link w:val="Heading4"/>
    <w:uiPriority w:val="9"/>
    <w:semiHidden/>
    <w:qFormat/>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qFormat/>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qFormat/>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qFormat/>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customStyle="1" w:styleId="IntenseQuoteChar">
    <w:name w:val="Intense Quote Char"/>
    <w:basedOn w:val="DefaultParagraphFont"/>
    <w:link w:val="IntenseQuote"/>
    <w:uiPriority w:val="30"/>
    <w:qFormat/>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character" w:customStyle="1" w:styleId="CommentTextChar">
    <w:name w:val="Comment Text Char"/>
    <w:basedOn w:val="DefaultParagraphFont"/>
    <w:link w:val="CommentText"/>
    <w:uiPriority w:val="99"/>
    <w:semiHidden/>
    <w:qFormat/>
    <w:rPr>
      <w:rFonts w:ascii="Aptos" w:eastAsia="Aptos" w:hAnsi="Aptos"/>
      <w:color w:val="111827"/>
      <w:sz w:val="20"/>
      <w:szCs w:val="20"/>
    </w:rPr>
  </w:style>
  <w:style w:type="character" w:styleId="CommentReference">
    <w:name w:val="annotation reference"/>
    <w:basedOn w:val="DefaultParagraphFont"/>
    <w:uiPriority w:val="99"/>
    <w:semiHidden/>
    <w:unhideWhenUsed/>
    <w:qFormat/>
    <w:rPr>
      <w:sz w:val="16"/>
      <w:szCs w:val="16"/>
    </w:rPr>
  </w:style>
  <w:style w:type="character" w:styleId="Hyperlink">
    <w:name w:val="Hyperlink"/>
    <w:basedOn w:val="DefaultParagraphFont"/>
    <w:uiPriority w:val="99"/>
    <w:unhideWhenUsed/>
    <w:rsid w:val="00CA668B"/>
    <w:rPr>
      <w:color w:val="0000FF" w:themeColor="hyperlink"/>
      <w:u w:val="single"/>
    </w:rPr>
  </w:style>
  <w:style w:type="character" w:styleId="UnresolvedMention">
    <w:name w:val="Unresolved Mention"/>
    <w:basedOn w:val="DefaultParagraphFont"/>
    <w:uiPriority w:val="99"/>
    <w:semiHidden/>
    <w:unhideWhenUsed/>
    <w:qFormat/>
    <w:rsid w:val="00CA668B"/>
    <w:rPr>
      <w:color w:val="605E5C"/>
      <w:shd w:val="clear" w:color="auto" w:fill="E1DFDD"/>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unhideWhenUsed/>
    <w:rsid w:val="00AA1D8D"/>
    <w:pPr>
      <w:spacing w:after="120"/>
    </w:pPr>
  </w:style>
  <w:style w:type="paragraph" w:styleId="List">
    <w:name w:val="List"/>
    <w:basedOn w:val="Normal"/>
    <w:uiPriority w:val="99"/>
    <w:unhideWhenUsed/>
    <w:rsid w:val="00AA1D8D"/>
    <w:pPr>
      <w:ind w:left="360" w:hanging="360"/>
      <w:contextualSpacing/>
    </w:p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paragraph" w:styleId="NoSpacing">
    <w:name w:val="No Spacing"/>
    <w:uiPriority w:val="1"/>
    <w:qFormat/>
    <w:rsid w:val="00FC693F"/>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Subtitle">
    <w:name w:val="Subtitle"/>
    <w:basedOn w:val="Normal"/>
    <w:next w:val="Normal"/>
    <w:link w:val="SubtitleChar"/>
    <w:uiPriority w:val="11"/>
    <w:qFormat/>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2">
    <w:name w:val="Body Text 2"/>
    <w:basedOn w:val="Normal"/>
    <w:link w:val="BodyText2Char"/>
    <w:uiPriority w:val="99"/>
    <w:unhideWhenUsed/>
    <w:qFormat/>
    <w:rsid w:val="00AA1D8D"/>
    <w:pPr>
      <w:spacing w:after="120" w:line="480" w:lineRule="auto"/>
    </w:pPr>
  </w:style>
  <w:style w:type="paragraph" w:styleId="BodyText3">
    <w:name w:val="Body Text 3"/>
    <w:basedOn w:val="Normal"/>
    <w:link w:val="BodyText3Char"/>
    <w:uiPriority w:val="99"/>
    <w:unhideWhenUsed/>
    <w:qFormat/>
    <w:rsid w:val="00AA1D8D"/>
    <w:pPr>
      <w:spacing w:after="120"/>
    </w:pPr>
    <w:rPr>
      <w:sz w:val="16"/>
      <w:szCs w:val="16"/>
    </w:rPr>
  </w:style>
  <w:style w:type="paragraph" w:styleId="List2">
    <w:name w:val="List 2"/>
    <w:basedOn w:val="Normal"/>
    <w:uiPriority w:val="99"/>
    <w:unhideWhenUsed/>
    <w:qFormat/>
    <w:rsid w:val="00326F90"/>
    <w:pPr>
      <w:ind w:left="720" w:hanging="360"/>
      <w:contextualSpacing/>
    </w:pPr>
  </w:style>
  <w:style w:type="paragraph" w:styleId="List3">
    <w:name w:val="List 3"/>
    <w:basedOn w:val="Normal"/>
    <w:uiPriority w:val="99"/>
    <w:unhideWhenUsed/>
    <w:qFormat/>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IndexHeading">
    <w:name w:val="index heading"/>
    <w:basedOn w:val="Heading"/>
  </w:style>
  <w:style w:type="paragraph" w:styleId="TOCHeading">
    <w:name w:val="TOC Heading"/>
    <w:basedOn w:val="Heading1"/>
    <w:next w:val="Normal"/>
    <w:uiPriority w:val="39"/>
    <w:unhideWhenUsed/>
    <w:qFormat/>
    <w:rsid w:val="00FC693F"/>
    <w:pPr>
      <w:outlineLvl w:val="9"/>
    </w:pPr>
  </w:style>
  <w:style w:type="paragraph" w:customStyle="1" w:styleId="SmallNote">
    <w:name w:val="Small Note"/>
    <w:basedOn w:val="Normal"/>
    <w:qFormat/>
    <w:pPr>
      <w:spacing w:after="40"/>
    </w:pPr>
    <w:rPr>
      <w:color w:val="64748B"/>
      <w:sz w:val="17"/>
    </w:rPr>
  </w:style>
  <w:style w:type="paragraph" w:customStyle="1" w:styleId="Placeholder">
    <w:name w:val="Placeholder"/>
    <w:basedOn w:val="Normal"/>
    <w:qFormat/>
    <w:pPr>
      <w:spacing w:after="160"/>
      <w:ind w:left="72"/>
    </w:pPr>
    <w:rPr>
      <w:i/>
      <w:color w:val="64748B"/>
      <w:sz w:val="20"/>
    </w:rPr>
  </w:style>
  <w:style w:type="paragraph" w:customStyle="1" w:styleId="CoverLabel">
    <w:name w:val="CoverLabel"/>
    <w:basedOn w:val="Normal"/>
    <w:qFormat/>
    <w:pPr>
      <w:spacing w:after="0"/>
    </w:pPr>
    <w:rPr>
      <w:b/>
      <w:color w:val="0A7C7C"/>
      <w:sz w:val="17"/>
    </w:rPr>
  </w:style>
  <w:style w:type="paragraph" w:styleId="CommentText">
    <w:name w:val="annotation text"/>
    <w:basedOn w:val="Normal"/>
    <w:link w:val="CommentTextChar"/>
    <w:uiPriority w:val="99"/>
    <w:semiHidden/>
    <w:unhideWhenUsed/>
    <w:pPr>
      <w:spacing w:line="240" w:lineRule="auto"/>
    </w:pPr>
    <w:rPr>
      <w:sz w:val="20"/>
      <w:szCs w:val="20"/>
    </w:rPr>
  </w:style>
  <w:style w:type="paragraph" w:styleId="NormalWeb">
    <w:name w:val="Normal (Web)"/>
    <w:basedOn w:val="Normal"/>
    <w:uiPriority w:val="99"/>
    <w:unhideWhenUsed/>
    <w:qFormat/>
    <w:rsid w:val="00E72C50"/>
    <w:pPr>
      <w:spacing w:beforeAutospacing="1" w:afterAutospacing="1" w:line="240" w:lineRule="auto"/>
    </w:pPr>
    <w:rPr>
      <w:rFonts w:ascii="Times New Roman" w:eastAsia="Times New Roman" w:hAnsi="Times New Roman" w:cs="Times New Roman"/>
      <w:color w:val="auto"/>
      <w:sz w:val="24"/>
      <w:szCs w:val="24"/>
      <w:lang w:val="en-GB" w:eastAsia="en-GB"/>
    </w:rPr>
  </w:style>
  <w:style w:type="paragraph" w:styleId="TOC1">
    <w:name w:val="toc 1"/>
    <w:basedOn w:val="Normal"/>
    <w:next w:val="Normal"/>
    <w:autoRedefine/>
    <w:uiPriority w:val="39"/>
    <w:unhideWhenUsed/>
    <w:rsid w:val="00D3747C"/>
    <w:pPr>
      <w:spacing w:after="100"/>
    </w:pPr>
  </w:style>
  <w:style w:type="paragraph" w:styleId="TOC2">
    <w:name w:val="toc 2"/>
    <w:basedOn w:val="Normal"/>
    <w:next w:val="Normal"/>
    <w:autoRedefine/>
    <w:uiPriority w:val="39"/>
    <w:unhideWhenUsed/>
    <w:rsid w:val="00D3747C"/>
    <w:pPr>
      <w:spacing w:after="100"/>
      <w:ind w:left="210"/>
    </w:pPr>
  </w:style>
  <w:style w:type="table" w:styleId="TableGrid">
    <w:name w:val="Table Grid"/>
    <w:basedOn w:val="TableNormal"/>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80C858C-E22E-4246-804E-607F491D1D38}">
  <we:reference id="wa200000368" version="1.0.0.0" store="en-GB" storeType="OMEX"/>
  <we:alternateReferences>
    <we:reference id="WA200000368" version="1.0.0.0" store="" storeType="OMEX"/>
  </we:alternateReferences>
  <we:properties>
    <we:property name="documentId" value="&quot;50c17cf038ed039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18</Pages>
  <Words>7734</Words>
  <Characters>44089</Characters>
  <Application>Microsoft Office Word</Application>
  <DocSecurity>0</DocSecurity>
  <Lines>367</Lines>
  <Paragraphs>103</Paragraphs>
  <ScaleCrop>false</ScaleCrop>
  <Company/>
  <LinksUpToDate>false</LinksUpToDate>
  <CharactersWithSpaces>51720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dc:description>generated by python-docx</dc:description>
  <cp:lastModifiedBy>Mikey Scourfield</cp:lastModifiedBy>
  <cp:revision>86</cp:revision>
  <dcterms:created xsi:type="dcterms:W3CDTF">2013-12-23T23:15:00Z</dcterms:created>
  <dcterms:modified xsi:type="dcterms:W3CDTF">2026-05-11T20:11:00Z</dcterms:modified>
  <dc:language>en-US</dc:language>
</cp:coreProperties>
</file>