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614379" w:rsidP="004E0EB3" w:rsidRDefault="004E0EB3" w14:paraId="1DE42681" w14:textId="503EAD29">
      <w:pPr>
        <w:pStyle w:val="Heading3"/>
        <w:jc w:val="center"/>
      </w:pPr>
      <w:r w:rsidRPr="004E0EB3">
        <w:rPr>
          <w:rFonts w:ascii="Arial" w:hAnsi="Arial" w:eastAsia="Arial" w:cs="Arial"/>
          <w:noProof/>
          <w:color w:val="000000"/>
          <w:kern w:val="2"/>
          <w:sz w:val="22"/>
          <w:szCs w:val="22"/>
          <w:lang w:eastAsia="en-GB"/>
          <w14:ligatures w14:val="standardContextual"/>
        </w:rPr>
        <w:drawing>
          <wp:inline distT="0" distB="0" distL="0" distR="0" wp14:anchorId="6A6EBDCF" wp14:editId="4E71FD07">
            <wp:extent cx="4167352" cy="1180465"/>
            <wp:effectExtent l="0" t="0" r="5080" b="635"/>
            <wp:docPr id="32" name="Picture 32" descr="A close up of a logo&#10;&#10;AI-generated content may be incorrect."/>
            <wp:cNvGraphicFramePr/>
            <a:graphic xmlns:a="http://schemas.openxmlformats.org/drawingml/2006/main">
              <a:graphicData uri="http://schemas.openxmlformats.org/drawingml/2006/picture">
                <pic:pic xmlns:pic="http://schemas.openxmlformats.org/drawingml/2006/picture">
                  <pic:nvPicPr>
                    <pic:cNvPr id="32" name="Picture 32" descr="A close up of a logo&#10;&#10;AI-generated content may be incorrect."/>
                    <pic:cNvPicPr/>
                  </pic:nvPicPr>
                  <pic:blipFill>
                    <a:blip r:embed="rId7"/>
                    <a:stretch>
                      <a:fillRect/>
                    </a:stretch>
                  </pic:blipFill>
                  <pic:spPr>
                    <a:xfrm>
                      <a:off x="0" y="0"/>
                      <a:ext cx="4172773" cy="1182000"/>
                    </a:xfrm>
                    <a:prstGeom prst="rect">
                      <a:avLst/>
                    </a:prstGeom>
                  </pic:spPr>
                </pic:pic>
              </a:graphicData>
            </a:graphic>
          </wp:inline>
        </w:drawing>
      </w:r>
    </w:p>
    <w:p w:rsidRPr="00CD423B" w:rsidR="00CD423B" w:rsidP="00CD423B" w:rsidRDefault="00CD423B" w14:paraId="33942FAE" w14:textId="77777777">
      <w:pPr>
        <w:jc w:val="center"/>
      </w:pPr>
    </w:p>
    <w:p w:rsidR="00EF6B31" w:rsidP="00EF6B31" w:rsidRDefault="00CD423B" w14:paraId="6A52A8C1" w14:textId="1CA34F9D">
      <w:r>
        <w:rPr>
          <w:b/>
        </w:rPr>
        <w:t xml:space="preserve">                                                                           </w:t>
      </w:r>
      <w:r>
        <w:rPr>
          <w:b/>
        </w:rPr>
        <w:t xml:space="preserve">BMMB7003D Level 7 Dissertation </w:t>
      </w:r>
    </w:p>
    <w:p w:rsidR="00CF2DCE" w:rsidP="008C710E" w:rsidRDefault="00CF2DCE" w14:paraId="00CE1023" w14:textId="77777777">
      <w:pPr>
        <w:jc w:val="center"/>
      </w:pPr>
    </w:p>
    <w:p w:rsidRPr="00570566" w:rsidR="008C710E" w:rsidP="004A56F3" w:rsidRDefault="008C710E" w14:paraId="366614A6" w14:textId="7B235A4D">
      <w:pPr>
        <w:spacing w:line="480" w:lineRule="auto"/>
        <w:jc w:val="center"/>
        <w:rPr>
          <w:rFonts w:asciiTheme="minorBidi" w:hAnsiTheme="minorBidi"/>
          <w:sz w:val="24"/>
          <w:szCs w:val="24"/>
        </w:rPr>
      </w:pPr>
      <w:r w:rsidRPr="00570566">
        <w:rPr>
          <w:rFonts w:asciiTheme="minorBidi" w:hAnsiTheme="minorBidi"/>
          <w:sz w:val="24"/>
          <w:szCs w:val="24"/>
        </w:rPr>
        <w:t>Motivation for Excellence: Exploring the Effectiveness of Classic Motivational Strategies on Employee Loyalty &amp; Turnover Intentions in Trinity Saint David University in the Context of The Higher Education Sector.</w:t>
      </w:r>
    </w:p>
    <w:p w:rsidRPr="004A56F3" w:rsidR="00BE1C90" w:rsidP="004A56F3" w:rsidRDefault="001D0D40" w14:paraId="5F79746B" w14:textId="77777777">
      <w:pPr>
        <w:jc w:val="center"/>
        <w:rPr>
          <w:b/>
        </w:rPr>
      </w:pPr>
      <w:r w:rsidRPr="004A56F3">
        <w:rPr>
          <w:b/>
        </w:rPr>
        <w:t>Author Omar Roushdi</w:t>
      </w:r>
    </w:p>
    <w:p w:rsidR="00BC2CB4" w:rsidP="00570566" w:rsidRDefault="00BE1C90" w14:paraId="2FB874CB" w14:textId="0FCD244B">
      <w:pPr>
        <w:spacing w:line="480" w:lineRule="auto"/>
        <w:jc w:val="center"/>
        <w:rPr>
          <w:rFonts w:asciiTheme="minorBidi" w:hAnsiTheme="minorBidi"/>
          <w:sz w:val="24"/>
          <w:szCs w:val="24"/>
        </w:rPr>
      </w:pPr>
      <w:r w:rsidRPr="00570566">
        <w:rPr>
          <w:rFonts w:asciiTheme="minorBidi" w:hAnsiTheme="minorBidi"/>
          <w:sz w:val="24"/>
          <w:szCs w:val="24"/>
        </w:rPr>
        <w:t>31/03/2025</w:t>
      </w:r>
      <w:r w:rsidRPr="00570566" w:rsidR="001D0D40">
        <w:rPr>
          <w:rFonts w:asciiTheme="minorBidi" w:hAnsiTheme="minorBidi"/>
          <w:sz w:val="24"/>
          <w:szCs w:val="24"/>
        </w:rPr>
        <w:t xml:space="preserve"> </w:t>
      </w:r>
    </w:p>
    <w:p w:rsidR="00BB19A3" w:rsidP="00570566" w:rsidRDefault="00BB19A3" w14:paraId="73E93F10" w14:textId="77777777">
      <w:pPr>
        <w:spacing w:line="480" w:lineRule="auto"/>
        <w:jc w:val="center"/>
        <w:rPr>
          <w:rFonts w:asciiTheme="minorBidi" w:hAnsiTheme="minorBidi"/>
          <w:sz w:val="24"/>
          <w:szCs w:val="24"/>
        </w:rPr>
      </w:pPr>
    </w:p>
    <w:p w:rsidR="00BB19A3" w:rsidP="00570566" w:rsidRDefault="00BB19A3" w14:paraId="6C781257" w14:textId="77777777">
      <w:pPr>
        <w:spacing w:line="480" w:lineRule="auto"/>
        <w:jc w:val="center"/>
        <w:rPr>
          <w:rFonts w:asciiTheme="minorBidi" w:hAnsiTheme="minorBidi"/>
          <w:sz w:val="24"/>
          <w:szCs w:val="24"/>
        </w:rPr>
      </w:pPr>
    </w:p>
    <w:p w:rsidR="00BB19A3" w:rsidP="00570566" w:rsidRDefault="00BB19A3" w14:paraId="0BD27D31" w14:textId="77777777">
      <w:pPr>
        <w:spacing w:line="480" w:lineRule="auto"/>
        <w:jc w:val="center"/>
        <w:rPr>
          <w:rFonts w:asciiTheme="minorBidi" w:hAnsiTheme="minorBidi"/>
          <w:sz w:val="24"/>
          <w:szCs w:val="24"/>
        </w:rPr>
      </w:pPr>
    </w:p>
    <w:p w:rsidR="00BB19A3" w:rsidP="00570566" w:rsidRDefault="00BB19A3" w14:paraId="5DF0298E" w14:textId="77777777">
      <w:pPr>
        <w:spacing w:line="480" w:lineRule="auto"/>
        <w:jc w:val="center"/>
        <w:rPr>
          <w:rFonts w:asciiTheme="minorBidi" w:hAnsiTheme="minorBidi"/>
          <w:sz w:val="24"/>
          <w:szCs w:val="24"/>
        </w:rPr>
      </w:pPr>
    </w:p>
    <w:p w:rsidR="00BB19A3" w:rsidP="00570566" w:rsidRDefault="00BB19A3" w14:paraId="32B381EE" w14:textId="77777777">
      <w:pPr>
        <w:spacing w:line="480" w:lineRule="auto"/>
        <w:jc w:val="center"/>
        <w:rPr>
          <w:rFonts w:asciiTheme="minorBidi" w:hAnsiTheme="minorBidi"/>
          <w:sz w:val="24"/>
          <w:szCs w:val="24"/>
        </w:rPr>
      </w:pPr>
    </w:p>
    <w:p w:rsidR="00BB19A3" w:rsidP="00570566" w:rsidRDefault="00BB19A3" w14:paraId="3FB4E43A" w14:textId="77777777">
      <w:pPr>
        <w:spacing w:line="480" w:lineRule="auto"/>
        <w:jc w:val="center"/>
        <w:rPr>
          <w:rFonts w:asciiTheme="minorBidi" w:hAnsiTheme="minorBidi"/>
          <w:sz w:val="24"/>
          <w:szCs w:val="24"/>
        </w:rPr>
      </w:pPr>
    </w:p>
    <w:p w:rsidR="00BB19A3" w:rsidP="00570566" w:rsidRDefault="00BB19A3" w14:paraId="52F0B5C5" w14:textId="77777777">
      <w:pPr>
        <w:spacing w:line="480" w:lineRule="auto"/>
        <w:jc w:val="center"/>
        <w:rPr>
          <w:rFonts w:asciiTheme="minorBidi" w:hAnsiTheme="minorBidi"/>
          <w:sz w:val="24"/>
          <w:szCs w:val="24"/>
        </w:rPr>
      </w:pPr>
    </w:p>
    <w:p w:rsidR="00BB19A3" w:rsidP="00570566" w:rsidRDefault="00BB19A3" w14:paraId="6A5B2881" w14:textId="77777777">
      <w:pPr>
        <w:spacing w:line="480" w:lineRule="auto"/>
        <w:jc w:val="center"/>
        <w:rPr>
          <w:rFonts w:asciiTheme="minorBidi" w:hAnsiTheme="minorBidi"/>
          <w:sz w:val="24"/>
          <w:szCs w:val="24"/>
        </w:rPr>
      </w:pPr>
    </w:p>
    <w:p w:rsidR="00D62C14" w:rsidP="00570566" w:rsidRDefault="00D62C14" w14:paraId="5183048D" w14:textId="77777777">
      <w:pPr>
        <w:spacing w:line="480" w:lineRule="auto"/>
        <w:jc w:val="center"/>
        <w:rPr>
          <w:rFonts w:asciiTheme="minorBidi" w:hAnsiTheme="minorBidi"/>
          <w:sz w:val="24"/>
          <w:szCs w:val="24"/>
        </w:rPr>
      </w:pPr>
    </w:p>
    <w:p w:rsidR="00D62C14" w:rsidP="00570566" w:rsidRDefault="00D62C14" w14:paraId="36D4D1FC" w14:textId="77777777">
      <w:pPr>
        <w:spacing w:line="480" w:lineRule="auto"/>
        <w:jc w:val="center"/>
        <w:rPr>
          <w:rFonts w:asciiTheme="minorBidi" w:hAnsiTheme="minorBidi"/>
          <w:sz w:val="24"/>
          <w:szCs w:val="24"/>
        </w:rPr>
      </w:pPr>
    </w:p>
    <w:p w:rsidR="00D62C14" w:rsidP="00570566" w:rsidRDefault="00D62C14" w14:paraId="1B73BB28" w14:textId="77777777">
      <w:pPr>
        <w:spacing w:line="480" w:lineRule="auto"/>
        <w:jc w:val="center"/>
        <w:rPr>
          <w:rFonts w:asciiTheme="minorBidi" w:hAnsiTheme="minorBidi"/>
          <w:sz w:val="24"/>
          <w:szCs w:val="24"/>
        </w:rPr>
      </w:pPr>
    </w:p>
    <w:p w:rsidR="00BB19A3" w:rsidP="00570566" w:rsidRDefault="003F7DBF" w14:paraId="705F02B9" w14:textId="1D8892C8">
      <w:pPr>
        <w:spacing w:line="480" w:lineRule="auto"/>
        <w:jc w:val="center"/>
        <w:rPr>
          <w:rFonts w:asciiTheme="minorBidi" w:hAnsiTheme="minorBidi"/>
          <w:sz w:val="24"/>
          <w:szCs w:val="24"/>
        </w:rPr>
      </w:pPr>
      <w:r w:rsidRPr="003F7DBF">
        <w:rPr>
          <w:rFonts w:asciiTheme="minorBidi" w:hAnsiTheme="minorBidi"/>
          <w:sz w:val="24"/>
          <w:szCs w:val="24"/>
        </w:rPr>
        <w:t xml:space="preserve">Abstract </w:t>
      </w:r>
    </w:p>
    <w:p w:rsidRPr="007D5EFB" w:rsidR="009708C6" w:rsidP="007D5EFB" w:rsidRDefault="009708C6" w14:paraId="399D30ED" w14:textId="77777777">
      <w:pPr>
        <w:spacing w:line="480" w:lineRule="auto"/>
        <w:rPr>
          <w:rFonts w:asciiTheme="minorBidi" w:hAnsiTheme="minorBidi"/>
          <w:sz w:val="24"/>
          <w:szCs w:val="24"/>
        </w:rPr>
      </w:pPr>
      <w:r w:rsidRPr="007D5EFB">
        <w:rPr>
          <w:rFonts w:asciiTheme="minorBidi" w:hAnsiTheme="minorBidi"/>
          <w:sz w:val="24"/>
          <w:szCs w:val="24"/>
        </w:rPr>
        <w:t xml:space="preserve">Purpose of Research Activity:  </w:t>
      </w:r>
    </w:p>
    <w:p w:rsidR="00964999" w:rsidP="00964999" w:rsidRDefault="009708C6" w14:paraId="2A3D0B6A" w14:textId="77777777">
      <w:pPr>
        <w:spacing w:line="480" w:lineRule="auto"/>
        <w:rPr>
          <w:rFonts w:asciiTheme="minorBidi" w:hAnsiTheme="minorBidi"/>
          <w:sz w:val="24"/>
          <w:szCs w:val="24"/>
        </w:rPr>
      </w:pPr>
      <w:r w:rsidRPr="007D5EFB">
        <w:rPr>
          <w:rFonts w:asciiTheme="minorBidi" w:hAnsiTheme="minorBidi"/>
          <w:sz w:val="24"/>
          <w:szCs w:val="24"/>
        </w:rPr>
        <w:t xml:space="preserve">This dissertation will focus on understanding the reasons and motivations behind increased employee turnover in the higher education sector. It will do this by measuring the loyalty index to the </w:t>
      </w:r>
      <w:r w:rsidRPr="007D5EFB">
        <w:rPr>
          <w:rFonts w:asciiTheme="minorBidi" w:hAnsiTheme="minorBidi"/>
          <w:sz w:val="24"/>
          <w:szCs w:val="24"/>
        </w:rPr>
        <w:t>organisation</w:t>
      </w:r>
      <w:r w:rsidRPr="007D5EFB">
        <w:rPr>
          <w:rFonts w:asciiTheme="minorBidi" w:hAnsiTheme="minorBidi"/>
          <w:sz w:val="24"/>
          <w:szCs w:val="24"/>
        </w:rPr>
        <w:t xml:space="preserve"> and </w:t>
      </w:r>
      <w:r w:rsidRPr="007D5EFB">
        <w:rPr>
          <w:rFonts w:asciiTheme="minorBidi" w:hAnsiTheme="minorBidi"/>
          <w:sz w:val="24"/>
          <w:szCs w:val="24"/>
        </w:rPr>
        <w:t>analysing</w:t>
      </w:r>
      <w:r w:rsidRPr="007D5EFB">
        <w:rPr>
          <w:rFonts w:asciiTheme="minorBidi" w:hAnsiTheme="minorBidi"/>
          <w:sz w:val="24"/>
          <w:szCs w:val="24"/>
        </w:rPr>
        <w:t xml:space="preserve"> the classical motivation strategy currently used, using Trinity Saint David University as a case study.</w:t>
      </w:r>
      <w:r w:rsidR="007D5EFB">
        <w:rPr>
          <w:rFonts w:asciiTheme="minorBidi" w:hAnsiTheme="minorBidi"/>
          <w:sz w:val="24"/>
          <w:szCs w:val="24"/>
        </w:rPr>
        <w:t xml:space="preserve"> </w:t>
      </w:r>
      <w:r w:rsidRPr="007D5EFB">
        <w:rPr>
          <w:rFonts w:asciiTheme="minorBidi" w:hAnsiTheme="minorBidi"/>
          <w:sz w:val="24"/>
          <w:szCs w:val="24"/>
        </w:rPr>
        <w:t xml:space="preserve">The research assumed that financial incentives have become more effective and reliable in increasing employee loyalty to the </w:t>
      </w:r>
      <w:r w:rsidRPr="007D5EFB">
        <w:rPr>
          <w:rFonts w:asciiTheme="minorBidi" w:hAnsiTheme="minorBidi"/>
          <w:sz w:val="24"/>
          <w:szCs w:val="24"/>
        </w:rPr>
        <w:t>organisation</w:t>
      </w:r>
      <w:r w:rsidRPr="007D5EFB">
        <w:rPr>
          <w:rFonts w:asciiTheme="minorBidi" w:hAnsiTheme="minorBidi"/>
          <w:sz w:val="24"/>
          <w:szCs w:val="24"/>
        </w:rPr>
        <w:t xml:space="preserve"> and raising job satisfaction while decreasing the effectiveness of the </w:t>
      </w:r>
      <w:r w:rsidRPr="007D5EFB">
        <w:rPr>
          <w:rFonts w:asciiTheme="minorBidi" w:hAnsiTheme="minorBidi"/>
          <w:sz w:val="24"/>
          <w:szCs w:val="24"/>
        </w:rPr>
        <w:t>recognised</w:t>
      </w:r>
      <w:r w:rsidRPr="007D5EFB">
        <w:rPr>
          <w:rFonts w:asciiTheme="minorBidi" w:hAnsiTheme="minorBidi"/>
          <w:sz w:val="24"/>
          <w:szCs w:val="24"/>
        </w:rPr>
        <w:t xml:space="preserve"> classical motivational strategies. Within the framework of self-determination theory, this research proposes  ​​linking a high level of autonomy in the </w:t>
      </w:r>
      <w:r w:rsidR="00964999">
        <w:rPr>
          <w:rFonts w:asciiTheme="minorBidi" w:hAnsiTheme="minorBidi"/>
          <w:sz w:val="24"/>
          <w:szCs w:val="24"/>
        </w:rPr>
        <w:t>organisation</w:t>
      </w:r>
      <w:r w:rsidRPr="007D5EFB">
        <w:rPr>
          <w:rFonts w:asciiTheme="minorBidi" w:hAnsiTheme="minorBidi"/>
          <w:sz w:val="24"/>
          <w:szCs w:val="24"/>
        </w:rPr>
        <w:t xml:space="preserve"> to job satisfaction, thus reducing the rate of employee turnover. </w:t>
      </w:r>
    </w:p>
    <w:p w:rsidRPr="007D5EFB" w:rsidR="009708C6" w:rsidP="00964999" w:rsidRDefault="009708C6" w14:paraId="4D9AACFE" w14:textId="74743C5F">
      <w:pPr>
        <w:spacing w:line="480" w:lineRule="auto"/>
        <w:rPr>
          <w:rFonts w:asciiTheme="minorBidi" w:hAnsiTheme="minorBidi"/>
          <w:sz w:val="24"/>
          <w:szCs w:val="24"/>
        </w:rPr>
      </w:pPr>
      <w:r w:rsidRPr="007D5EFB">
        <w:rPr>
          <w:rFonts w:asciiTheme="minorBidi" w:hAnsiTheme="minorBidi"/>
          <w:sz w:val="24"/>
          <w:szCs w:val="24"/>
        </w:rPr>
        <w:t>The research used qualitative methods to collect data. The study involved conducting semi-structured interviews to collect primary data.</w:t>
      </w:r>
    </w:p>
    <w:p w:rsidR="00964999" w:rsidP="00964999" w:rsidRDefault="009708C6" w14:paraId="51036521" w14:textId="77777777">
      <w:pPr>
        <w:spacing w:line="480" w:lineRule="auto"/>
        <w:rPr>
          <w:rFonts w:asciiTheme="minorBidi" w:hAnsiTheme="minorBidi"/>
          <w:sz w:val="24"/>
          <w:szCs w:val="24"/>
        </w:rPr>
      </w:pPr>
      <w:r w:rsidRPr="007D5EFB">
        <w:rPr>
          <w:rFonts w:asciiTheme="minorBidi" w:hAnsiTheme="minorBidi"/>
          <w:sz w:val="24"/>
          <w:szCs w:val="24"/>
        </w:rPr>
        <w:t>Qualitative research used inductive analysis</w:t>
      </w:r>
      <w:r w:rsidRPr="007D5EFB">
        <w:rPr>
          <w:rFonts w:asciiTheme="minorBidi" w:hAnsiTheme="minorBidi"/>
          <w:sz w:val="24"/>
          <w:szCs w:val="24"/>
        </w:rPr>
        <w:t xml:space="preserve"> to ensure patterns and themes were obtained through specific analyses or data. This approach helps explore new phenomena, such as employee turnover, the causes of which are discussed in this research.</w:t>
      </w:r>
    </w:p>
    <w:p w:rsidR="005D1E64" w:rsidP="005D1E64" w:rsidRDefault="009708C6" w14:paraId="724F9619" w14:textId="77777777">
      <w:pPr>
        <w:spacing w:line="480" w:lineRule="auto"/>
        <w:rPr>
          <w:rFonts w:asciiTheme="minorBidi" w:hAnsiTheme="minorBidi"/>
          <w:sz w:val="24"/>
          <w:szCs w:val="24"/>
        </w:rPr>
      </w:pPr>
      <w:r w:rsidRPr="007D5EFB">
        <w:rPr>
          <w:rFonts w:asciiTheme="minorBidi" w:hAnsiTheme="minorBidi"/>
          <w:sz w:val="24"/>
          <w:szCs w:val="24"/>
        </w:rPr>
        <w:t xml:space="preserve">Limitations of the research: Despite the number of important research papers that explore the effectiveness of motivational techniques on employee performance in general. However, there are no research papers related to Trinity Saint David University specifically or any other secondary data about the same topic covering Wales Universities or even the higher education sector in the UK; this encouraged the researcher to explore the effectiveness of the current motivation strategies that </w:t>
      </w:r>
      <w:r w:rsidRPr="007D5EFB">
        <w:rPr>
          <w:rFonts w:asciiTheme="minorBidi" w:hAnsiTheme="minorBidi"/>
          <w:sz w:val="24"/>
          <w:szCs w:val="24"/>
        </w:rPr>
        <w:t xml:space="preserve">are used at the university and whether this research will lead us to add new knowledge and other technical recommendations that will help the HR department to be more effective in the future. </w:t>
      </w:r>
    </w:p>
    <w:p w:rsidRPr="007D5EFB" w:rsidR="009708C6" w:rsidP="005D1E64" w:rsidRDefault="009708C6" w14:paraId="39B83DB2" w14:textId="525A6E8A">
      <w:pPr>
        <w:spacing w:line="480" w:lineRule="auto"/>
        <w:rPr>
          <w:rFonts w:asciiTheme="minorBidi" w:hAnsiTheme="minorBidi"/>
          <w:sz w:val="24"/>
          <w:szCs w:val="24"/>
        </w:rPr>
      </w:pPr>
      <w:r w:rsidRPr="007D5EFB">
        <w:rPr>
          <w:rFonts w:asciiTheme="minorBidi" w:hAnsiTheme="minorBidi"/>
          <w:sz w:val="24"/>
          <w:szCs w:val="24"/>
        </w:rPr>
        <w:t xml:space="preserve">The research location is Walse, specifically Swansea City. It contains two prestigious universities, Swansea University and Trinity Saint David University, which were chosen as a case study.  </w:t>
      </w:r>
    </w:p>
    <w:p w:rsidRPr="007D5EFB" w:rsidR="009708C6" w:rsidP="005D1E64" w:rsidRDefault="009708C6" w14:paraId="6C23B652" w14:textId="77777777">
      <w:pPr>
        <w:spacing w:line="480" w:lineRule="auto"/>
        <w:rPr>
          <w:rFonts w:asciiTheme="minorBidi" w:hAnsiTheme="minorBidi"/>
          <w:sz w:val="24"/>
          <w:szCs w:val="24"/>
        </w:rPr>
      </w:pPr>
      <w:r w:rsidRPr="007D5EFB">
        <w:rPr>
          <w:rFonts w:asciiTheme="minorBidi" w:hAnsiTheme="minorBidi"/>
          <w:sz w:val="24"/>
          <w:szCs w:val="24"/>
        </w:rPr>
        <w:t xml:space="preserve">In addition, one of the limitations was that the research sample size was too small. </w:t>
      </w:r>
    </w:p>
    <w:p w:rsidR="004E363C" w:rsidP="004E363C" w:rsidRDefault="009708C6" w14:paraId="053AE0D1" w14:textId="77777777">
      <w:pPr>
        <w:spacing w:line="480" w:lineRule="auto"/>
        <w:rPr>
          <w:rFonts w:asciiTheme="minorBidi" w:hAnsiTheme="minorBidi"/>
          <w:sz w:val="24"/>
          <w:szCs w:val="24"/>
        </w:rPr>
      </w:pPr>
      <w:r w:rsidRPr="007D5EFB">
        <w:rPr>
          <w:rFonts w:asciiTheme="minorBidi" w:hAnsiTheme="minorBidi"/>
          <w:sz w:val="24"/>
          <w:szCs w:val="24"/>
        </w:rPr>
        <w:t>Results: The research reached several positive results, for example, that 40 per cent of employees prefer financial motivation strategies over classical motivation strategies, and this is due to the economic and political changes that the United Kingdom has experienced since the outbreak of the Covid pandemic and the high rate of inflation, which continues to worsen in light of the political transition and its consequences from the rule of the Conservative Party to the rule of the Labor Party.</w:t>
      </w:r>
    </w:p>
    <w:p w:rsidRPr="007D5EFB" w:rsidR="00B16607" w:rsidP="004E363C" w:rsidRDefault="009708C6" w14:paraId="3511E7A7" w14:textId="1136FAA9">
      <w:pPr>
        <w:spacing w:line="480" w:lineRule="auto"/>
        <w:rPr>
          <w:rFonts w:asciiTheme="minorBidi" w:hAnsiTheme="minorBidi"/>
          <w:sz w:val="24"/>
          <w:szCs w:val="24"/>
        </w:rPr>
      </w:pPr>
      <w:r w:rsidRPr="007D5EFB">
        <w:rPr>
          <w:rFonts w:asciiTheme="minorBidi" w:hAnsiTheme="minorBidi"/>
          <w:sz w:val="24"/>
          <w:szCs w:val="24"/>
        </w:rPr>
        <w:t>Implantation and recommendations: The research recommended increasing the use of the financial incentive strategy, increasing the rate of independence and transparency, and involving change management personnel to work side by side with the HR  department to ensure the validity and suitability of the plans developed by the personnel management team, and working to increase the rate of cooperation between departments.</w:t>
      </w:r>
    </w:p>
    <w:p w:rsidRPr="007D5EFB" w:rsidR="00B16607" w:rsidP="007D5EFB" w:rsidRDefault="00B16607" w14:paraId="50B6A32D" w14:textId="77777777">
      <w:pPr>
        <w:spacing w:line="480" w:lineRule="auto"/>
        <w:rPr>
          <w:rFonts w:asciiTheme="minorBidi" w:hAnsiTheme="minorBidi"/>
          <w:sz w:val="24"/>
          <w:szCs w:val="24"/>
        </w:rPr>
      </w:pPr>
    </w:p>
    <w:p w:rsidRPr="007D5EFB" w:rsidR="00B16607" w:rsidP="007D5EFB" w:rsidRDefault="00B16607" w14:paraId="2E5C60A5" w14:textId="77777777">
      <w:pPr>
        <w:spacing w:line="480" w:lineRule="auto"/>
        <w:rPr>
          <w:rFonts w:asciiTheme="minorBidi" w:hAnsiTheme="minorBidi"/>
          <w:sz w:val="24"/>
          <w:szCs w:val="24"/>
        </w:rPr>
      </w:pPr>
    </w:p>
    <w:p w:rsidR="00B16607" w:rsidP="007D5EFB" w:rsidRDefault="00B16607" w14:paraId="4030C932" w14:textId="77777777">
      <w:pPr>
        <w:spacing w:line="480" w:lineRule="auto"/>
        <w:rPr>
          <w:rFonts w:asciiTheme="minorBidi" w:hAnsiTheme="minorBidi"/>
          <w:sz w:val="24"/>
          <w:szCs w:val="24"/>
        </w:rPr>
      </w:pPr>
    </w:p>
    <w:p w:rsidR="00D62C14" w:rsidP="007D5EFB" w:rsidRDefault="00D62C14" w14:paraId="3AF15E3F" w14:textId="77777777">
      <w:pPr>
        <w:spacing w:line="480" w:lineRule="auto"/>
        <w:rPr>
          <w:rFonts w:asciiTheme="minorBidi" w:hAnsiTheme="minorBidi"/>
          <w:sz w:val="24"/>
          <w:szCs w:val="24"/>
        </w:rPr>
      </w:pPr>
    </w:p>
    <w:p w:rsidR="00D62C14" w:rsidP="0058012E" w:rsidRDefault="0058012E" w14:paraId="596C0C2D" w14:textId="7A440EE6">
      <w:pPr>
        <w:spacing w:line="480" w:lineRule="auto"/>
        <w:jc w:val="center"/>
        <w:rPr>
          <w:rFonts w:asciiTheme="minorBidi" w:hAnsiTheme="minorBidi"/>
          <w:sz w:val="24"/>
          <w:szCs w:val="24"/>
        </w:rPr>
      </w:pPr>
      <w:r w:rsidRPr="0058012E">
        <w:rPr>
          <w:rFonts w:asciiTheme="minorBidi" w:hAnsiTheme="minorBidi"/>
          <w:sz w:val="24"/>
          <w:szCs w:val="24"/>
        </w:rPr>
        <w:t xml:space="preserve">Chapter One Introduction  </w:t>
      </w:r>
    </w:p>
    <w:p w:rsidRPr="00057E71" w:rsidR="00057E71" w:rsidP="00057E71" w:rsidRDefault="00057E71" w14:paraId="2755CBFE" w14:textId="77777777">
      <w:pPr>
        <w:pStyle w:val="paragraph"/>
        <w:spacing w:before="0" w:beforeAutospacing="0" w:after="0" w:afterAutospacing="0" w:line="480" w:lineRule="auto"/>
        <w:textAlignment w:val="baseline"/>
        <w:rPr>
          <w:rFonts w:asciiTheme="minorBidi" w:hAnsiTheme="minorBidi" w:cstheme="minorBidi"/>
        </w:rPr>
      </w:pPr>
      <w:r w:rsidRPr="00057E71">
        <w:rPr>
          <w:rStyle w:val="normaltextrun"/>
          <w:rFonts w:asciiTheme="minorBidi" w:hAnsiTheme="minorBidi" w:eastAsiaTheme="majorEastAsia" w:cstheme="minorBidi"/>
        </w:rPr>
        <w:t xml:space="preserve">A well-functioning and successful educational system depends on the employees and the academic faculty </w:t>
      </w:r>
      <w:r w:rsidRPr="00057E71">
        <w:rPr>
          <w:rStyle w:val="normaltextrun"/>
          <w:rFonts w:asciiTheme="minorBidi" w:hAnsiTheme="minorBidi" w:eastAsiaTheme="majorEastAsia" w:cstheme="minorBidi"/>
          <w:color w:val="215E99" w:themeColor="text2" w:themeTint="BF"/>
        </w:rPr>
        <w:t>(Ali, B.J. and Anwar, G., 2021)</w:t>
      </w:r>
      <w:r w:rsidRPr="00057E71">
        <w:rPr>
          <w:rStyle w:val="normaltextrun"/>
          <w:rFonts w:asciiTheme="minorBidi" w:hAnsiTheme="minorBidi" w:eastAsiaTheme="majorEastAsia" w:cstheme="minorBidi"/>
        </w:rPr>
        <w:t xml:space="preserve">. So, any educational institution's administration or HR department is conscious of keeping their employees motivated and follows the most effective motivational strategies to improve employee performance at higher education institutions. </w:t>
      </w:r>
      <w:r w:rsidRPr="00057E71">
        <w:rPr>
          <w:rStyle w:val="normaltextrun"/>
          <w:rFonts w:asciiTheme="minorBidi" w:hAnsiTheme="minorBidi" w:eastAsiaTheme="majorEastAsia" w:cstheme="minorBidi"/>
          <w:color w:val="215E99"/>
        </w:rPr>
        <w:t>(Kuswati, Y., 2020)</w:t>
      </w:r>
      <w:r w:rsidRPr="00057E71">
        <w:rPr>
          <w:rStyle w:val="eop"/>
          <w:rFonts w:asciiTheme="minorBidi" w:hAnsiTheme="minorBidi" w:eastAsiaTheme="majorEastAsia" w:cstheme="minorBidi"/>
          <w:color w:val="215E99"/>
        </w:rPr>
        <w:t> </w:t>
      </w:r>
    </w:p>
    <w:p w:rsidR="00887016" w:rsidP="00E50297" w:rsidRDefault="00057E71" w14:paraId="07057894" w14:textId="495A2995">
      <w:pPr>
        <w:pStyle w:val="paragraph"/>
        <w:spacing w:before="0" w:beforeAutospacing="0" w:after="0" w:afterAutospacing="0" w:line="480" w:lineRule="auto"/>
        <w:textAlignment w:val="baseline"/>
        <w:rPr>
          <w:rFonts w:asciiTheme="minorBidi" w:hAnsiTheme="minorBidi" w:cstheme="minorBidi"/>
        </w:rPr>
      </w:pPr>
      <w:r w:rsidRPr="00057E71">
        <w:rPr>
          <w:rStyle w:val="normaltextrun"/>
          <w:rFonts w:asciiTheme="minorBidi" w:hAnsiTheme="minorBidi" w:eastAsiaTheme="majorEastAsia" w:cstheme="minorBidi"/>
        </w:rPr>
        <w:t>The task of retaining competent and qualified employees to compete with other educational institutions is a challenging task at all, especially considering the competitive challenges that exist between educational institutions (Hentschke, G.C., Lechuga,2023). The employee or academic member plays an essential role in developing, refining, and transforming the ordinary individual into a thinking person who contributes to the development of society into a successful community</w:t>
      </w:r>
      <w:r w:rsidRPr="00057E71">
        <w:rPr>
          <w:rStyle w:val="normaltextrun"/>
          <w:rFonts w:asciiTheme="minorBidi" w:hAnsiTheme="minorBidi" w:eastAsiaTheme="majorEastAsia" w:cstheme="minorBidi"/>
          <w:color w:val="215E99"/>
        </w:rPr>
        <w:t xml:space="preserve"> (Panwar, M., 2020.)</w:t>
      </w:r>
      <w:r w:rsidRPr="00057E71">
        <w:rPr>
          <w:rStyle w:val="eop"/>
          <w:rFonts w:asciiTheme="minorBidi" w:hAnsiTheme="minorBidi" w:eastAsiaTheme="majorEastAsia" w:cstheme="minorBidi"/>
          <w:color w:val="215E99"/>
        </w:rPr>
        <w:t> </w:t>
      </w:r>
    </w:p>
    <w:p w:rsidRPr="00836BF5" w:rsidR="00E50297" w:rsidP="00836BF5" w:rsidRDefault="00E50297" w14:paraId="25BDB9F3" w14:textId="77777777">
      <w:pPr>
        <w:pStyle w:val="paragraph"/>
        <w:spacing w:before="0" w:beforeAutospacing="0" w:after="0" w:afterAutospacing="0" w:line="480" w:lineRule="auto"/>
        <w:textAlignment w:val="baseline"/>
        <w:rPr>
          <w:rFonts w:asciiTheme="minorBidi" w:hAnsiTheme="minorBidi" w:cstheme="minorBidi"/>
        </w:rPr>
      </w:pPr>
      <w:r w:rsidRPr="00836BF5">
        <w:rPr>
          <w:rStyle w:val="normaltextrun"/>
          <w:rFonts w:asciiTheme="minorBidi" w:hAnsiTheme="minorBidi" w:eastAsiaTheme="majorEastAsia" w:cstheme="minorBidi"/>
        </w:rPr>
        <w:t>Retaining employees in their jobs and ensuring reliable performance depends on reducing their intentions to move to other institutions, and here comes the significant role played by the institutions’ strategic motivation plans. </w:t>
      </w:r>
      <w:r w:rsidRPr="00836BF5">
        <w:rPr>
          <w:rStyle w:val="eop"/>
          <w:rFonts w:asciiTheme="minorBidi" w:hAnsiTheme="minorBidi" w:eastAsiaTheme="majorEastAsia" w:cstheme="minorBidi"/>
        </w:rPr>
        <w:t> </w:t>
      </w:r>
    </w:p>
    <w:p w:rsidRPr="00836BF5" w:rsidR="00E50297" w:rsidP="00836BF5" w:rsidRDefault="00E50297" w14:paraId="7A9354EC" w14:textId="0EC7C430">
      <w:pPr>
        <w:pStyle w:val="paragraph"/>
        <w:spacing w:before="0" w:beforeAutospacing="0" w:after="0" w:afterAutospacing="0" w:line="480" w:lineRule="auto"/>
        <w:textAlignment w:val="baseline"/>
        <w:rPr>
          <w:rFonts w:asciiTheme="minorBidi" w:hAnsiTheme="minorBidi" w:cstheme="minorBidi"/>
        </w:rPr>
      </w:pPr>
      <w:r w:rsidRPr="00836BF5">
        <w:rPr>
          <w:rStyle w:val="normaltextrun"/>
          <w:rFonts w:asciiTheme="minorBidi" w:hAnsiTheme="minorBidi" w:eastAsiaTheme="majorEastAsia" w:cstheme="minorBidi"/>
        </w:rPr>
        <w:t> </w:t>
      </w:r>
      <w:r w:rsidR="00836BF5">
        <w:rPr>
          <w:rStyle w:val="normaltextrun"/>
          <w:rFonts w:asciiTheme="minorBidi" w:hAnsiTheme="minorBidi" w:eastAsiaTheme="majorEastAsia" w:cstheme="minorBidi"/>
        </w:rPr>
        <w:t>Employee mobility is always possible—also termed “switching behaviour” from one department to another. With good opportunities, employees and academics may intend to leave the university or institution, creating problems by losing many experienced academic personnel</w:t>
      </w:r>
      <w:r w:rsidRPr="00836BF5">
        <w:rPr>
          <w:rStyle w:val="normaltextrun"/>
          <w:rFonts w:asciiTheme="minorBidi" w:hAnsiTheme="minorBidi" w:eastAsiaTheme="majorEastAsia" w:cstheme="minorBidi"/>
        </w:rPr>
        <w:t xml:space="preserve"> </w:t>
      </w:r>
      <w:r w:rsidRPr="00836BF5">
        <w:rPr>
          <w:rStyle w:val="normaltextrun"/>
          <w:rFonts w:asciiTheme="minorBidi" w:hAnsiTheme="minorBidi" w:eastAsiaTheme="majorEastAsia" w:cstheme="minorBidi"/>
          <w:color w:val="215E99"/>
        </w:rPr>
        <w:t>(Richardson and Watt, 2005). </w:t>
      </w:r>
      <w:r w:rsidRPr="00836BF5">
        <w:rPr>
          <w:rStyle w:val="eop"/>
          <w:rFonts w:asciiTheme="minorBidi" w:hAnsiTheme="minorBidi" w:eastAsiaTheme="majorEastAsia" w:cstheme="minorBidi"/>
          <w:color w:val="215E99"/>
        </w:rPr>
        <w:t> </w:t>
      </w:r>
    </w:p>
    <w:p w:rsidRPr="00836BF5" w:rsidR="00E50297" w:rsidP="00836BF5" w:rsidRDefault="00E50297" w14:paraId="012DE40A" w14:textId="68424C0E">
      <w:pPr>
        <w:pStyle w:val="paragraph"/>
        <w:spacing w:before="0" w:beforeAutospacing="0" w:after="0" w:afterAutospacing="0" w:line="480" w:lineRule="auto"/>
        <w:textAlignment w:val="baseline"/>
        <w:rPr>
          <w:rFonts w:asciiTheme="minorBidi" w:hAnsiTheme="minorBidi" w:cstheme="minorBidi"/>
        </w:rPr>
      </w:pPr>
      <w:r w:rsidRPr="00836BF5">
        <w:rPr>
          <w:rStyle w:val="normaltextrun"/>
          <w:rFonts w:asciiTheme="minorBidi" w:hAnsiTheme="minorBidi" w:eastAsiaTheme="majorEastAsia" w:cstheme="minorBidi"/>
        </w:rPr>
        <w:t xml:space="preserve"> Indention to what was mentioned above, an American study indicates that the turnover rate of employees and academics in the field of </w:t>
      </w:r>
      <w:r w:rsidR="00836BF5">
        <w:rPr>
          <w:rStyle w:val="normaltextrun"/>
          <w:rFonts w:asciiTheme="minorBidi" w:hAnsiTheme="minorBidi" w:eastAsiaTheme="majorEastAsia" w:cstheme="minorBidi"/>
        </w:rPr>
        <w:t xml:space="preserve">the </w:t>
      </w:r>
      <w:r w:rsidRPr="00836BF5">
        <w:rPr>
          <w:rStyle w:val="normaltextrun"/>
          <w:rFonts w:asciiTheme="minorBidi" w:hAnsiTheme="minorBidi" w:eastAsiaTheme="majorEastAsia" w:cstheme="minorBidi"/>
        </w:rPr>
        <w:t>higher education sector is a high rate that may reach 8% </w:t>
      </w:r>
      <w:r w:rsidRPr="00836BF5">
        <w:rPr>
          <w:rStyle w:val="eop"/>
          <w:rFonts w:asciiTheme="minorBidi" w:hAnsiTheme="minorBidi" w:eastAsiaTheme="majorEastAsia" w:cstheme="minorBidi"/>
        </w:rPr>
        <w:t> </w:t>
      </w:r>
    </w:p>
    <w:p w:rsidRPr="008206F6" w:rsidR="00E50297" w:rsidP="00836BF5" w:rsidRDefault="00E50297" w14:paraId="58920250" w14:textId="77777777">
      <w:pPr>
        <w:pStyle w:val="paragraph"/>
        <w:spacing w:before="0" w:beforeAutospacing="0" w:after="0" w:afterAutospacing="0" w:line="480" w:lineRule="auto"/>
        <w:textAlignment w:val="baseline"/>
        <w:rPr>
          <w:rFonts w:asciiTheme="minorBidi" w:hAnsiTheme="minorBidi" w:cstheme="minorBidi"/>
          <w:color w:val="215E99" w:themeColor="text2" w:themeTint="BF"/>
        </w:rPr>
      </w:pPr>
      <w:r w:rsidRPr="00836BF5">
        <w:rPr>
          <w:rStyle w:val="normaltextrun"/>
          <w:rFonts w:asciiTheme="minorBidi" w:hAnsiTheme="minorBidi" w:eastAsiaTheme="majorEastAsia" w:cstheme="minorBidi"/>
        </w:rPr>
        <w:t xml:space="preserve">A study in the United States of America (USA) reveals that approximately 7.7% of full-time faculty members of different universities and colleges switched their jobs to </w:t>
      </w:r>
      <w:r w:rsidRPr="00836BF5">
        <w:rPr>
          <w:rStyle w:val="normaltextrun"/>
          <w:rFonts w:asciiTheme="minorBidi" w:hAnsiTheme="minorBidi" w:eastAsiaTheme="majorEastAsia" w:cstheme="minorBidi"/>
        </w:rPr>
        <w:t xml:space="preserve">other institutions </w:t>
      </w:r>
      <w:r w:rsidRPr="00836BF5">
        <w:rPr>
          <w:rStyle w:val="normaltextrun"/>
          <w:rFonts w:asciiTheme="minorBidi" w:hAnsiTheme="minorBidi" w:eastAsiaTheme="majorEastAsia" w:cstheme="minorBidi"/>
          <w:color w:val="215E99"/>
        </w:rPr>
        <w:t>(Climek, M., Henry, R. and Jeong, S., 2024.)</w:t>
      </w:r>
      <w:r w:rsidRPr="00836BF5">
        <w:rPr>
          <w:rStyle w:val="normaltextrun"/>
          <w:rFonts w:asciiTheme="minorBidi" w:hAnsiTheme="minorBidi" w:eastAsiaTheme="majorEastAsia" w:cstheme="minorBidi"/>
        </w:rPr>
        <w:t xml:space="preserve">. Approximately 19,000 professionals left their jobs in the Asia–Pacific region, including medical staff and lecturers from various colleges and universities. </w:t>
      </w:r>
      <w:r w:rsidRPr="008206F6">
        <w:rPr>
          <w:rStyle w:val="normaltextrun"/>
          <w:rFonts w:asciiTheme="minorBidi" w:hAnsiTheme="minorBidi" w:eastAsiaTheme="majorEastAsia" w:cstheme="minorBidi"/>
          <w:color w:val="215E99" w:themeColor="text2" w:themeTint="BF"/>
        </w:rPr>
        <w:t>(Guzeller, C.O. and Celiker, N., 2020).  </w:t>
      </w:r>
      <w:r w:rsidRPr="008206F6">
        <w:rPr>
          <w:rStyle w:val="eop"/>
          <w:rFonts w:asciiTheme="minorBidi" w:hAnsiTheme="minorBidi" w:eastAsiaTheme="majorEastAsia" w:cstheme="minorBidi"/>
          <w:color w:val="215E99" w:themeColor="text2" w:themeTint="BF"/>
        </w:rPr>
        <w:t> </w:t>
      </w:r>
    </w:p>
    <w:p w:rsidRPr="00D95A06" w:rsidR="002F1690" w:rsidP="00D95A06" w:rsidRDefault="00E50297" w14:paraId="07E27B6D" w14:textId="1F0227B7">
      <w:pPr>
        <w:pStyle w:val="paragraph"/>
        <w:spacing w:before="0" w:beforeAutospacing="0" w:after="0" w:afterAutospacing="0" w:line="480" w:lineRule="auto"/>
        <w:textAlignment w:val="baseline"/>
        <w:rPr>
          <w:rStyle w:val="normaltextrun"/>
          <w:rFonts w:asciiTheme="minorBidi" w:hAnsiTheme="minorBidi" w:cstheme="minorBidi"/>
          <w:color w:val="215E99" w:themeColor="text2" w:themeTint="BF"/>
        </w:rPr>
      </w:pPr>
      <w:r w:rsidRPr="00836BF5">
        <w:rPr>
          <w:rStyle w:val="normaltextrun"/>
          <w:rFonts w:asciiTheme="minorBidi" w:hAnsiTheme="minorBidi" w:eastAsiaTheme="majorEastAsia" w:cstheme="minorBidi"/>
        </w:rPr>
        <w:t>They</w:t>
      </w:r>
      <w:r w:rsidR="00D95A06">
        <w:rPr>
          <w:rStyle w:val="normaltextrun"/>
          <w:rFonts w:asciiTheme="minorBidi" w:hAnsiTheme="minorBidi" w:eastAsiaTheme="majorEastAsia" w:cstheme="minorBidi"/>
        </w:rPr>
        <w:t xml:space="preserve"> usually hunt for better opportunities in Canada, Germany, the Western, etc. </w:t>
      </w:r>
      <w:r w:rsidRPr="00D95A06" w:rsidR="00D95A06">
        <w:rPr>
          <w:rStyle w:val="normaltextrun"/>
          <w:rFonts w:asciiTheme="minorBidi" w:hAnsiTheme="minorBidi" w:eastAsiaTheme="majorEastAsia" w:cstheme="minorBidi"/>
          <w:color w:val="215E99" w:themeColor="text2" w:themeTint="BF"/>
        </w:rPr>
        <w:t>(Reddy, K. and Koundal; M.G., 2023)</w:t>
      </w:r>
      <w:r w:rsidR="00D95A06">
        <w:rPr>
          <w:rStyle w:val="normaltextrun"/>
          <w:rFonts w:asciiTheme="minorBidi" w:hAnsiTheme="minorBidi" w:eastAsiaTheme="majorEastAsia" w:cstheme="minorBidi"/>
        </w:rPr>
        <w:t xml:space="preserve">. The same scenario is observed in the United Kingdom with respect to the education system </w:t>
      </w:r>
      <w:r w:rsidRPr="00D95A06" w:rsidR="00D95A06">
        <w:rPr>
          <w:rStyle w:val="normaltextrun"/>
          <w:rFonts w:asciiTheme="minorBidi" w:hAnsiTheme="minorBidi" w:eastAsiaTheme="majorEastAsia" w:cstheme="minorBidi"/>
          <w:color w:val="215E99" w:themeColor="text2" w:themeTint="BF"/>
        </w:rPr>
        <w:t xml:space="preserve">(Gerhardt, T. and Karsan; S., 2022). </w:t>
      </w:r>
      <w:r w:rsidRPr="00836BF5">
        <w:rPr>
          <w:rStyle w:val="normaltextrun"/>
          <w:rFonts w:asciiTheme="minorBidi" w:hAnsiTheme="minorBidi" w:eastAsiaTheme="majorEastAsia" w:cstheme="minorBidi"/>
        </w:rPr>
        <w:t>Therefore, the employer must know how to retain existing academics for the institution’s betterment. It may not be possible to know the employees' turnover determinants because of the differences in the motivational strategies used by organizations</w:t>
      </w:r>
      <w:r w:rsidRPr="008206F6">
        <w:rPr>
          <w:rStyle w:val="normaltextrun"/>
          <w:rFonts w:asciiTheme="minorBidi" w:hAnsiTheme="minorBidi" w:eastAsiaTheme="majorEastAsia" w:cstheme="minorBidi"/>
          <w:color w:val="215E99" w:themeColor="text2" w:themeTint="BF"/>
        </w:rPr>
        <w:t>. (Kung, J.Y., et al.2020).</w:t>
      </w:r>
    </w:p>
    <w:p w:rsidR="00255167" w:rsidP="00836BF5" w:rsidRDefault="002F1690" w14:paraId="14E034B8" w14:textId="77777777">
      <w:pPr>
        <w:pStyle w:val="paragraph"/>
        <w:spacing w:before="0" w:beforeAutospacing="0" w:after="0" w:afterAutospacing="0" w:line="480" w:lineRule="auto"/>
        <w:textAlignment w:val="baseline"/>
        <w:rPr>
          <w:rStyle w:val="eop"/>
          <w:rFonts w:asciiTheme="minorBidi" w:hAnsiTheme="minorBidi" w:eastAsiaTheme="majorEastAsia" w:cstheme="minorBidi"/>
        </w:rPr>
      </w:pPr>
      <w:r w:rsidRPr="002F1690">
        <w:rPr>
          <w:rStyle w:val="eop"/>
          <w:rFonts w:asciiTheme="minorBidi" w:hAnsiTheme="minorBidi" w:eastAsiaTheme="majorEastAsia" w:cstheme="minorBidi"/>
        </w:rPr>
        <w:t xml:space="preserve">However, it is possible for the institution to predict the actual turnover of their employees </w:t>
      </w:r>
      <w:r w:rsidRPr="008206F6">
        <w:rPr>
          <w:rStyle w:val="eop"/>
          <w:rFonts w:asciiTheme="minorBidi" w:hAnsiTheme="minorBidi" w:eastAsiaTheme="majorEastAsia" w:cstheme="minorBidi"/>
          <w:color w:val="215E99" w:themeColor="text2" w:themeTint="BF"/>
        </w:rPr>
        <w:t>(Kash et al., 2010)</w:t>
      </w:r>
      <w:r w:rsidRPr="002F1690">
        <w:rPr>
          <w:rStyle w:val="eop"/>
          <w:rFonts w:asciiTheme="minorBidi" w:hAnsiTheme="minorBidi" w:eastAsiaTheme="majorEastAsia" w:cstheme="minorBidi"/>
        </w:rPr>
        <w:t xml:space="preserve">. To sort out the problem of TIs in academics or employees, some important tactics can be used by the policymakers and management, i.e. the level of commitment to the organization the commitment that affects the TIs of employees. </w:t>
      </w:r>
      <w:r w:rsidRPr="008206F6">
        <w:rPr>
          <w:rStyle w:val="eop"/>
          <w:rFonts w:asciiTheme="minorBidi" w:hAnsiTheme="minorBidi" w:eastAsiaTheme="majorEastAsia" w:cstheme="minorBidi"/>
          <w:color w:val="215E99" w:themeColor="text2" w:themeTint="BF"/>
        </w:rPr>
        <w:t>(Nguyen, T.D. and Springer, M.G., 2023).</w:t>
      </w:r>
    </w:p>
    <w:p w:rsidRPr="00255167" w:rsidR="00255167" w:rsidP="00255167" w:rsidRDefault="00255167" w14:paraId="12652458" w14:textId="77777777">
      <w:pPr>
        <w:pStyle w:val="paragraph"/>
        <w:spacing w:after="0" w:line="480" w:lineRule="auto"/>
        <w:textAlignment w:val="baseline"/>
        <w:rPr>
          <w:rStyle w:val="eop"/>
          <w:rFonts w:asciiTheme="minorBidi" w:hAnsiTheme="minorBidi" w:eastAsiaTheme="majorEastAsia" w:cstheme="minorBidi"/>
        </w:rPr>
      </w:pPr>
      <w:r w:rsidRPr="00255167">
        <w:rPr>
          <w:rStyle w:val="eop"/>
          <w:rFonts w:asciiTheme="minorBidi" w:hAnsiTheme="minorBidi" w:eastAsiaTheme="majorEastAsia" w:cstheme="minorBidi"/>
        </w:rPr>
        <w:t xml:space="preserve">McGregor asserts neither approach is appropriate since the basic assumptions of Theory X are incorrect. </w:t>
      </w:r>
    </w:p>
    <w:p w:rsidRPr="00255167" w:rsidR="00255167" w:rsidP="00255167" w:rsidRDefault="00255167" w14:paraId="4D2FEC5B" w14:textId="77777777">
      <w:pPr>
        <w:pStyle w:val="paragraph"/>
        <w:spacing w:after="0" w:line="480" w:lineRule="auto"/>
        <w:textAlignment w:val="baseline"/>
        <w:rPr>
          <w:rStyle w:val="eop"/>
          <w:rFonts w:asciiTheme="minorBidi" w:hAnsiTheme="minorBidi" w:eastAsiaTheme="majorEastAsia" w:cstheme="minorBidi"/>
        </w:rPr>
      </w:pPr>
      <w:r w:rsidRPr="00255167">
        <w:rPr>
          <w:rStyle w:val="eop"/>
          <w:rFonts w:asciiTheme="minorBidi" w:hAnsiTheme="minorBidi" w:eastAsiaTheme="majorEastAsia" w:cstheme="minorBidi"/>
        </w:rPr>
        <w:t xml:space="preserve">Drawing on Maslow's hierarchy of needs, McGregor argues that a need, once satisfied, no longer motivates. The company uses monetary rewards and benefits to satisfy employees' lower-level needs. The motivation disappears once those needs have been satisfied </w:t>
      </w:r>
      <w:r w:rsidRPr="008206F6">
        <w:rPr>
          <w:rStyle w:val="eop"/>
          <w:rFonts w:asciiTheme="minorBidi" w:hAnsiTheme="minorBidi" w:eastAsiaTheme="majorEastAsia" w:cstheme="minorBidi"/>
          <w:color w:val="215E99" w:themeColor="text2" w:themeTint="BF"/>
        </w:rPr>
        <w:t>(Wangdi, T. and Tobgay, S., 2022.)</w:t>
      </w:r>
    </w:p>
    <w:p w:rsidRPr="00255167" w:rsidR="00255167" w:rsidP="00255167" w:rsidRDefault="00255167" w14:paraId="428B353A" w14:textId="77777777">
      <w:pPr>
        <w:pStyle w:val="paragraph"/>
        <w:spacing w:after="0" w:line="480" w:lineRule="auto"/>
        <w:textAlignment w:val="baseline"/>
        <w:rPr>
          <w:rStyle w:val="eop"/>
          <w:rFonts w:asciiTheme="minorBidi" w:hAnsiTheme="minorBidi" w:eastAsiaTheme="majorEastAsia" w:cstheme="minorBidi"/>
        </w:rPr>
      </w:pPr>
    </w:p>
    <w:p w:rsidRPr="00803AC6" w:rsidR="00255167" w:rsidP="00255167" w:rsidRDefault="00255167" w14:paraId="7185C790" w14:textId="77777777">
      <w:pPr>
        <w:pStyle w:val="paragraph"/>
        <w:spacing w:after="0" w:line="480" w:lineRule="auto"/>
        <w:textAlignment w:val="baseline"/>
        <w:rPr>
          <w:rStyle w:val="eop"/>
          <w:rFonts w:asciiTheme="minorBidi" w:hAnsiTheme="minorBidi" w:eastAsiaTheme="majorEastAsia" w:cstheme="minorBidi"/>
          <w:color w:val="215E99" w:themeColor="text2" w:themeTint="BF"/>
        </w:rPr>
      </w:pPr>
      <w:r w:rsidRPr="00255167">
        <w:rPr>
          <w:rStyle w:val="eop"/>
          <w:rFonts w:asciiTheme="minorBidi" w:hAnsiTheme="minorBidi" w:eastAsiaTheme="majorEastAsia" w:cstheme="minorBidi"/>
        </w:rPr>
        <w:t xml:space="preserve">The past literature indicates mixed results about the relationship between commitment and motivation. Some researchers suggest that motivation drives commitment </w:t>
      </w:r>
      <w:r w:rsidRPr="008206F6">
        <w:rPr>
          <w:rStyle w:val="eop"/>
          <w:rFonts w:asciiTheme="minorBidi" w:hAnsiTheme="minorBidi" w:eastAsiaTheme="majorEastAsia" w:cstheme="minorBidi"/>
          <w:color w:val="215E99" w:themeColor="text2" w:themeTint="BF"/>
        </w:rPr>
        <w:t xml:space="preserve">(Vickers, N.J. 2017). </w:t>
      </w:r>
      <w:r w:rsidRPr="00255167">
        <w:rPr>
          <w:rStyle w:val="eop"/>
          <w:rFonts w:asciiTheme="minorBidi" w:hAnsiTheme="minorBidi" w:eastAsiaTheme="majorEastAsia" w:cstheme="minorBidi"/>
        </w:rPr>
        <w:t xml:space="preserve">In contrast, </w:t>
      </w:r>
      <w:r w:rsidRPr="008206F6">
        <w:rPr>
          <w:rStyle w:val="eop"/>
          <w:rFonts w:asciiTheme="minorBidi" w:hAnsiTheme="minorBidi" w:eastAsiaTheme="majorEastAsia" w:cstheme="minorBidi"/>
          <w:color w:val="215E99" w:themeColor="text2" w:themeTint="BF"/>
        </w:rPr>
        <w:t xml:space="preserve">(George, 2011) </w:t>
      </w:r>
      <w:r w:rsidRPr="00255167">
        <w:rPr>
          <w:rStyle w:val="eop"/>
          <w:rFonts w:asciiTheme="minorBidi" w:hAnsiTheme="minorBidi" w:eastAsiaTheme="majorEastAsia" w:cstheme="minorBidi"/>
        </w:rPr>
        <w:t xml:space="preserve">argues that commitment leads to motivation. Although several studies reveal the role of motivation and commitment to turnover intentions, there is still a shortage of literature in the context of the educational sector </w:t>
      </w:r>
      <w:r w:rsidRPr="00803AC6">
        <w:rPr>
          <w:rStyle w:val="eop"/>
          <w:rFonts w:asciiTheme="minorBidi" w:hAnsiTheme="minorBidi" w:eastAsiaTheme="majorEastAsia" w:cstheme="minorBidi"/>
          <w:color w:val="215E99" w:themeColor="text2" w:themeTint="BF"/>
        </w:rPr>
        <w:t xml:space="preserve">(Guzeller, C.O. and Celiker, N., 2020). </w:t>
      </w:r>
    </w:p>
    <w:p w:rsidR="00803AC6" w:rsidP="00803AC6" w:rsidRDefault="00255167" w14:paraId="62E00369" w14:textId="77777777">
      <w:pPr>
        <w:pStyle w:val="paragraph"/>
        <w:spacing w:after="0" w:line="480" w:lineRule="auto"/>
        <w:textAlignment w:val="baseline"/>
        <w:rPr>
          <w:rStyle w:val="eop"/>
          <w:rFonts w:asciiTheme="minorBidi" w:hAnsiTheme="minorBidi" w:eastAsiaTheme="majorEastAsia" w:cstheme="minorBidi"/>
        </w:rPr>
      </w:pPr>
      <w:r w:rsidRPr="00255167">
        <w:rPr>
          <w:rStyle w:val="eop"/>
          <w:rFonts w:asciiTheme="minorBidi" w:hAnsiTheme="minorBidi" w:eastAsiaTheme="majorEastAsia" w:cstheme="minorBidi"/>
        </w:rPr>
        <w:t xml:space="preserve">Comprehensively, most of the past available literature It is crucial to incorporate Eastern perspectives into the literature, as they provide a unique and valuable insight into the relationship between commitment and motivation.  </w:t>
      </w:r>
    </w:p>
    <w:p w:rsidRPr="00255167" w:rsidR="00255167" w:rsidP="00803AC6" w:rsidRDefault="00255167" w14:paraId="52D91364" w14:textId="3181FD52">
      <w:pPr>
        <w:pStyle w:val="paragraph"/>
        <w:spacing w:after="0" w:line="480" w:lineRule="auto"/>
        <w:textAlignment w:val="baseline"/>
        <w:rPr>
          <w:rStyle w:val="eop"/>
          <w:rFonts w:asciiTheme="minorBidi" w:hAnsiTheme="minorBidi" w:eastAsiaTheme="majorEastAsia" w:cstheme="minorBidi"/>
        </w:rPr>
      </w:pPr>
      <w:r w:rsidRPr="00255167">
        <w:rPr>
          <w:rStyle w:val="eop"/>
          <w:rFonts w:asciiTheme="minorBidi" w:hAnsiTheme="minorBidi" w:eastAsiaTheme="majorEastAsia" w:cstheme="minorBidi"/>
        </w:rPr>
        <w:t xml:space="preserve">Furthermore, there is a significant lack of research that explicitly considers HR motivational strategies in the educational sector in the UK. This scarcity of research underscores the need for this study, which has the potential to significantly impact the educational sector. Hence, this study aims to identify motivational factors that may enhance employees' level of commitment and analyse the Impact of motivational strategies on Employee Performance and the resulting influence on their TI. This research posits that. </w:t>
      </w:r>
    </w:p>
    <w:p w:rsidRPr="00F61AB9" w:rsidR="00255167" w:rsidP="00255167" w:rsidRDefault="00255167" w14:paraId="12316EE2" w14:textId="77777777">
      <w:pPr>
        <w:pStyle w:val="paragraph"/>
        <w:spacing w:after="0" w:line="480" w:lineRule="auto"/>
        <w:textAlignment w:val="baseline"/>
        <w:rPr>
          <w:rStyle w:val="eop"/>
          <w:rFonts w:asciiTheme="minorBidi" w:hAnsiTheme="minorBidi" w:eastAsiaTheme="majorEastAsia" w:cstheme="minorBidi"/>
          <w:color w:val="215E99" w:themeColor="text2" w:themeTint="BF"/>
        </w:rPr>
      </w:pPr>
      <w:r w:rsidRPr="00255167">
        <w:rPr>
          <w:rStyle w:val="eop"/>
          <w:rFonts w:asciiTheme="minorBidi" w:hAnsiTheme="minorBidi" w:eastAsiaTheme="majorEastAsia" w:cstheme="minorBidi"/>
        </w:rPr>
        <w:t xml:space="preserve">Motivation leads to the level of employees' commitment to the organisation and their desire to stay linked to the effectiveness and quality of the organisation's motivation strategies. This research explores the effectiveness of these strategies at Trinity Saint David University through the three dimensions of the institution: organisational commitment. </w:t>
      </w:r>
      <w:r w:rsidRPr="00F61AB9">
        <w:rPr>
          <w:rStyle w:val="eop"/>
          <w:rFonts w:asciiTheme="minorBidi" w:hAnsiTheme="minorBidi" w:eastAsiaTheme="majorEastAsia" w:cstheme="minorBidi"/>
          <w:color w:val="215E99" w:themeColor="text2" w:themeTint="BF"/>
        </w:rPr>
        <w:t xml:space="preserve">Afram, J., Manresa, et al., 2022. </w:t>
      </w:r>
    </w:p>
    <w:p w:rsidR="00F61AB9" w:rsidP="00F61AB9" w:rsidRDefault="00255167" w14:paraId="3190CA65" w14:textId="77777777">
      <w:pPr>
        <w:pStyle w:val="paragraph"/>
        <w:spacing w:after="0" w:line="480" w:lineRule="auto"/>
        <w:textAlignment w:val="baseline"/>
        <w:rPr>
          <w:rStyle w:val="eop"/>
          <w:rFonts w:asciiTheme="minorBidi" w:hAnsiTheme="minorBidi" w:eastAsiaTheme="majorEastAsia" w:cstheme="minorBidi"/>
        </w:rPr>
      </w:pPr>
      <w:r w:rsidRPr="00255167">
        <w:rPr>
          <w:rStyle w:val="eop"/>
          <w:rFonts w:asciiTheme="minorBidi" w:hAnsiTheme="minorBidi" w:eastAsiaTheme="majorEastAsia" w:cstheme="minorBidi"/>
        </w:rPr>
        <w:t xml:space="preserve">This research explores the direct and indirect role of motivation in turnover imitations through the three dimensions of organisational commitment (OC), which are considered mediators between the motivation dimensions and TIs.  </w:t>
      </w:r>
    </w:p>
    <w:p w:rsidR="00E50297" w:rsidP="00F61AB9" w:rsidRDefault="00255167" w14:paraId="78056051" w14:textId="13F4CE08">
      <w:pPr>
        <w:pStyle w:val="paragraph"/>
        <w:spacing w:after="0" w:line="480" w:lineRule="auto"/>
        <w:textAlignment w:val="baseline"/>
        <w:rPr>
          <w:rStyle w:val="eop"/>
          <w:rFonts w:asciiTheme="minorBidi" w:hAnsiTheme="minorBidi" w:eastAsiaTheme="majorEastAsia" w:cstheme="minorBidi"/>
        </w:rPr>
      </w:pPr>
      <w:r w:rsidRPr="00255167">
        <w:rPr>
          <w:rStyle w:val="eop"/>
          <w:rFonts w:asciiTheme="minorBidi" w:hAnsiTheme="minorBidi" w:eastAsiaTheme="majorEastAsia" w:cstheme="minorBidi"/>
        </w:rPr>
        <w:t>Because of OC, the three-dimensional concept has attracted research scholars of different disciplines, namely public policy, sociology, managerial, and organisational. Therefore, over the past 50 years, OC has remained a considerable research phenomenon.  This research is among the very few that try to evaluate this complex model, which bases its premise on the "self-determination theory (SDT)" motivational scale: the absence of motivation (AM), extrinsic motivation (ExM), and intrinsic motivation (InM); and the "theory of OC" multi-dimensions: affective commitment (AC), continuous commitment (CC), and normative commitment (NC) for TIs considering the "theory of planned behaviour (TPB)." That is the phenomenon based on attitude.</w:t>
      </w:r>
    </w:p>
    <w:p w:rsidRPr="00C62C73" w:rsidR="00C62C73" w:rsidP="00C62C73" w:rsidRDefault="00C62C73" w14:paraId="5A4692F2"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Research Question:  </w:t>
      </w:r>
    </w:p>
    <w:p w:rsidRPr="00C62C73" w:rsidR="00C62C73" w:rsidP="00C62C73" w:rsidRDefault="00C62C73" w14:paraId="608034B7"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1. How do motivational techniques affect employees' turnover intentions and overall job satisfaction in the higher educational sector, and how do they relate to employee retention? </w:t>
      </w:r>
    </w:p>
    <w:p w:rsidRPr="00C62C73" w:rsidR="00C62C73" w:rsidP="00C62C73" w:rsidRDefault="00C62C73" w14:paraId="3173326A"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2. What motivational strategies are preferred by employees at the university?  </w:t>
      </w:r>
    </w:p>
    <w:p w:rsidRPr="00C62C73" w:rsidR="00C62C73" w:rsidP="00C62C73" w:rsidRDefault="00C62C73" w14:paraId="2B61CF7F"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Aims of Research Activity:  </w:t>
      </w:r>
    </w:p>
    <w:p w:rsidRPr="00C62C73" w:rsidR="00C62C73" w:rsidP="00C62C73" w:rsidRDefault="00C62C73" w14:paraId="6261FD72"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To explore the effects of classic motivational techniques on employee performance in higher education, drawing insights directly from the University of Trinity Saint David employees. This research has the potential to not only enhance our understanding of employee motivation in higher education but also to provide </w:t>
      </w:r>
      <w:r w:rsidRPr="00C62C73">
        <w:rPr>
          <w:rFonts w:asciiTheme="minorBidi" w:hAnsiTheme="minorBidi" w:cstheme="minorBidi"/>
          <w:color w:val="0E101A"/>
        </w:rPr>
        <w:t>practical recommendations for improving the well-being and performance of employees in this sector.  </w:t>
      </w:r>
    </w:p>
    <w:p w:rsidRPr="00C62C73" w:rsidR="00C62C73" w:rsidP="00C62C73" w:rsidRDefault="00C62C73" w14:paraId="6444F519"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Objectives of Research Activity:  </w:t>
      </w:r>
    </w:p>
    <w:p w:rsidRPr="00C62C73" w:rsidR="00C62C73" w:rsidP="00C62C73" w:rsidRDefault="00C62C73" w14:paraId="447BB57F"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1. To identify the effective range of motivational techniques currently utilised in the university.  </w:t>
      </w:r>
    </w:p>
    <w:p w:rsidRPr="00C62C73" w:rsidR="00C62C73" w:rsidP="00C62C73" w:rsidRDefault="00C62C73" w14:paraId="58EE94D0"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2. To explore employee preferences for specific motivational incentives over others.  </w:t>
      </w:r>
    </w:p>
    <w:p w:rsidRPr="00C62C73" w:rsidR="00C62C73" w:rsidP="00C62C73" w:rsidRDefault="00C62C73" w14:paraId="53CFDAEF"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3. To recommend actionable strategies for HR managers to enhance employee performance through targeted motivational practices. </w:t>
      </w:r>
    </w:p>
    <w:p w:rsidRPr="00C62C73" w:rsidR="00C62C73" w:rsidP="00C62C73" w:rsidRDefault="00C62C73" w14:paraId="680EE7D3"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Proposed methods: The study aims to investigate the most effective motivational techniques for enhancing employee performance within the higher educational sector: a case study of the University of Wales, Trinity Saint David. To accomplish this, the study employs a qualitative research method suitable for exploring sensitive topics like those addressed in this project. Qualitative research allows individual interpretation based on human experiences or activities rather than solely relying on quantitative results </w:t>
      </w:r>
      <w:r w:rsidRPr="00C62C73">
        <w:rPr>
          <w:rFonts w:asciiTheme="minorBidi" w:hAnsiTheme="minorBidi" w:cstheme="minorBidi"/>
          <w:color w:val="215E99" w:themeColor="text2" w:themeTint="BF"/>
        </w:rPr>
        <w:t>(Saunders, 2019).  </w:t>
      </w:r>
    </w:p>
    <w:p w:rsidRPr="00C62C73" w:rsidR="00C62C73" w:rsidP="00C62C73" w:rsidRDefault="00C62C73" w14:paraId="1EE0842A" w14:textId="32C9534B">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215E99" w:themeColor="text2" w:themeTint="BF"/>
        </w:rPr>
        <w:t>Guest, MacQueen, and Namey</w:t>
      </w:r>
      <w:r w:rsidR="005724D4">
        <w:rPr>
          <w:rFonts w:asciiTheme="minorBidi" w:hAnsiTheme="minorBidi" w:cstheme="minorBidi"/>
          <w:color w:val="215E99" w:themeColor="text2" w:themeTint="BF"/>
        </w:rPr>
        <w:t>,.</w:t>
      </w:r>
      <w:r w:rsidRPr="00C62C73">
        <w:rPr>
          <w:rFonts w:asciiTheme="minorBidi" w:hAnsiTheme="minorBidi" w:cstheme="minorBidi"/>
          <w:color w:val="215E99" w:themeColor="text2" w:themeTint="BF"/>
        </w:rPr>
        <w:t>2011)</w:t>
      </w:r>
      <w:r w:rsidR="005724D4">
        <w:rPr>
          <w:rFonts w:asciiTheme="minorBidi" w:hAnsiTheme="minorBidi" w:cstheme="minorBidi"/>
          <w:color w:val="215E99" w:themeColor="text2" w:themeTint="BF"/>
        </w:rPr>
        <w:t xml:space="preserve"> </w:t>
      </w:r>
      <w:r w:rsidRPr="00C62C73">
        <w:rPr>
          <w:rFonts w:asciiTheme="minorBidi" w:hAnsiTheme="minorBidi" w:cstheme="minorBidi"/>
          <w:color w:val="0E101A"/>
        </w:rPr>
        <w:t>state that qualitative research methods "allow researchers to respond to context and understand complex phenomena within those contexts." Although each of these methodological stances assumes that the central efforts of a qualitative research study are to understand the experiences and meaning-making efforts of the studied participants, how these researchers acquire their understanding and knowledge varies considerably.  </w:t>
      </w:r>
    </w:p>
    <w:p w:rsidRPr="00C62C73" w:rsidR="00C62C73" w:rsidP="00C62C73" w:rsidRDefault="00C62C73" w14:paraId="263AF210"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The research involves conducting semi-structured interviews on a sample of employees, including faculty members, administrative staff, and managers, to delve deeper into their experiences with motivational techniques.  </w:t>
      </w:r>
    </w:p>
    <w:p w:rsidRPr="00C62C73" w:rsidR="00C62C73" w:rsidP="00C62C73" w:rsidRDefault="00C62C73" w14:paraId="3E650922"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Qualitative data can provide rich insights into the underlying factors influencing employee performance and satisfaction. To understand the nature of work and the motivational techniques provided to them, the responses of critical informants will be analysed thematically to identify commonalities </w:t>
      </w:r>
      <w:r w:rsidRPr="00487692">
        <w:rPr>
          <w:rFonts w:asciiTheme="minorBidi" w:hAnsiTheme="minorBidi" w:cstheme="minorBidi"/>
          <w:color w:val="215E99" w:themeColor="text2" w:themeTint="BF"/>
        </w:rPr>
        <w:t xml:space="preserve">Braun &amp; Clarke (2006), </w:t>
      </w:r>
      <w:r w:rsidRPr="00C62C73">
        <w:rPr>
          <w:rFonts w:asciiTheme="minorBidi" w:hAnsiTheme="minorBidi" w:cstheme="minorBidi"/>
          <w:color w:val="0E101A"/>
        </w:rPr>
        <w:t>leading to valid recommendations aligned with the study's objectives.  </w:t>
      </w:r>
    </w:p>
    <w:p w:rsidRPr="00C62C73" w:rsidR="00C62C73" w:rsidP="00C62C73" w:rsidRDefault="00C62C73" w14:paraId="451C3578"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Ethical considerations will be followed to ensure the interviewees' comfort and anonymity are maintained throughout the process </w:t>
      </w:r>
      <w:r w:rsidRPr="00487692">
        <w:rPr>
          <w:rFonts w:asciiTheme="minorBidi" w:hAnsiTheme="minorBidi" w:cstheme="minorBidi"/>
          <w:color w:val="215E99" w:themeColor="text2" w:themeTint="BF"/>
        </w:rPr>
        <w:t>(Khan, I.A., 2015).  </w:t>
      </w:r>
    </w:p>
    <w:p w:rsidRPr="00487692" w:rsidR="00C62C73" w:rsidP="00C62C73" w:rsidRDefault="00C62C73" w14:paraId="663C0772" w14:textId="77777777">
      <w:pPr>
        <w:pStyle w:val="NormalWeb"/>
        <w:spacing w:before="0" w:beforeAutospacing="0" w:after="0" w:afterAutospacing="0" w:line="480" w:lineRule="auto"/>
        <w:rPr>
          <w:rFonts w:asciiTheme="minorBidi" w:hAnsiTheme="minorBidi" w:cstheme="minorBidi"/>
          <w:color w:val="215E99" w:themeColor="text2" w:themeTint="BF"/>
        </w:rPr>
      </w:pPr>
      <w:r w:rsidRPr="00D95A06">
        <w:rPr>
          <w:rFonts w:asciiTheme="minorBidi" w:hAnsiTheme="minorBidi" w:cstheme="minorBidi"/>
          <w:color w:val="0E101A"/>
        </w:rPr>
        <w:t>Data Collection Methods of Analysi</w:t>
      </w:r>
      <w:r w:rsidRPr="00D95A06">
        <w:rPr>
          <w:b/>
          <w:bCs/>
        </w:rPr>
        <w:t>s:</w:t>
      </w:r>
      <w:r w:rsidRPr="00C62C73">
        <w:rPr>
          <w:rFonts w:asciiTheme="minorBidi" w:hAnsiTheme="minorBidi" w:cstheme="minorBidi"/>
          <w:color w:val="0E101A"/>
        </w:rPr>
        <w:t xml:space="preserve"> A descriptive research design was carried out to investigate the effect of motivations on employee performance in the higher educational sector, specifically in the University of Wales Trinity Saint David in The United Kingdom. This study's population will comprise a small group of 4 or 6 participants identified and invited from the university teaching staff and non-teaching staff. Semi-structured interviews will be used to determine the effect of motivation on employee performance at Trinity Saint David University in the UK </w:t>
      </w:r>
      <w:r w:rsidRPr="00487692">
        <w:rPr>
          <w:rFonts w:asciiTheme="minorBidi" w:hAnsiTheme="minorBidi" w:cstheme="minorBidi"/>
          <w:color w:val="215E99" w:themeColor="text2" w:themeTint="BF"/>
        </w:rPr>
        <w:t>(Ruslin, R., Mashuri, S., et al.,2021).  </w:t>
      </w:r>
    </w:p>
    <w:p w:rsidRPr="00C62C73" w:rsidR="00C62C73" w:rsidP="00C62C73" w:rsidRDefault="00C62C73" w14:paraId="27F68BDD"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The proposed tool, Thematic analysis, has been widely used as an instrument for analysing qualitative data in the fields of psychology, sociology, education, and health sciences. It is applied and articulated in several standards, differently and often confusingly, but categories of topics suggest their growing and dominant position in these disciplines or fields of research </w:t>
      </w:r>
      <w:r w:rsidRPr="00487692">
        <w:rPr>
          <w:rFonts w:asciiTheme="minorBidi" w:hAnsiTheme="minorBidi" w:cstheme="minorBidi"/>
          <w:color w:val="215E99" w:themeColor="text2" w:themeTint="BF"/>
        </w:rPr>
        <w:t>(Castleberry, A. and Nolen, A., 2018)</w:t>
      </w:r>
      <w:r w:rsidRPr="00C62C73">
        <w:rPr>
          <w:rFonts w:asciiTheme="minorBidi" w:hAnsiTheme="minorBidi" w:cstheme="minorBidi"/>
          <w:color w:val="0E101A"/>
        </w:rPr>
        <w:t xml:space="preserve">. The thematic analysis of data collected from focus groups, interviews, narratives, open-ended survey questions, and other text-based sources is appropriate in this proposed </w:t>
      </w:r>
    </w:p>
    <w:p w:rsidRPr="00C62C73" w:rsidR="00C62C73" w:rsidP="00C62C73" w:rsidRDefault="00C62C73" w14:paraId="386062E5"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 xml:space="preserve">research, to identify implicit and explicit ideas, opinions, experiences, and meanings identified in, </w:t>
      </w:r>
      <w:r w:rsidRPr="00487692">
        <w:rPr>
          <w:rFonts w:asciiTheme="minorBidi" w:hAnsiTheme="minorBidi" w:cstheme="minorBidi"/>
          <w:color w:val="215E99" w:themeColor="text2" w:themeTint="BF"/>
        </w:rPr>
        <w:t xml:space="preserve">(Braun, V. and Clarke, V., 2012). </w:t>
      </w:r>
    </w:p>
    <w:p w:rsidR="00EF2B0D" w:rsidP="00EF2B0D" w:rsidRDefault="00C62C73" w14:paraId="71BCFD8E" w14:textId="77777777">
      <w:pPr>
        <w:pStyle w:val="NormalWeb"/>
        <w:spacing w:before="0" w:beforeAutospacing="0" w:after="0" w:afterAutospacing="0" w:line="480" w:lineRule="auto"/>
        <w:rPr>
          <w:rFonts w:asciiTheme="minorBidi" w:hAnsiTheme="minorBidi" w:cstheme="minorBidi"/>
          <w:color w:val="0E101A"/>
        </w:rPr>
      </w:pPr>
      <w:r w:rsidRPr="00C62C73">
        <w:rPr>
          <w:rFonts w:asciiTheme="minorBidi" w:hAnsiTheme="minorBidi" w:cstheme="minorBidi"/>
          <w:color w:val="0E101A"/>
        </w:rPr>
        <w:t>Also, Personal Interviews The research employed face-to-face interviews to gather data from the targeted universities. The method had various advantages, including the ability to clarify the research question to ensure that different respondents interpreted the questions in the same way. The semi-structured interview was also associated with any exploratory research where the importance of qualitative information collected was high. Additionally, more information was obtained when on-site by asking additional questions to enable a more detailed breakdown of the data.</w:t>
      </w:r>
    </w:p>
    <w:p w:rsidR="00EF2B0D" w:rsidP="00EF2B0D" w:rsidRDefault="00890EB1" w14:paraId="1F7106D2" w14:textId="6E7C4F24">
      <w:pPr>
        <w:pStyle w:val="NormalWeb"/>
        <w:spacing w:before="0" w:beforeAutospacing="0" w:after="0" w:afterAutospacing="0" w:line="480" w:lineRule="auto"/>
        <w:rPr>
          <w:rFonts w:asciiTheme="minorBidi" w:hAnsiTheme="minorBidi" w:cstheme="minorBidi"/>
          <w:color w:val="0E101A"/>
        </w:rPr>
      </w:pPr>
      <w:r w:rsidRPr="00890EB1">
        <w:rPr>
          <w:rFonts w:asciiTheme="minorBidi" w:hAnsiTheme="minorBidi" w:cstheme="minorBidi"/>
          <w:color w:val="0E101A"/>
        </w:rPr>
        <w:t xml:space="preserve">Contributions to the </w:t>
      </w:r>
      <w:r w:rsidRPr="00890EB1" w:rsidR="00F9580C">
        <w:rPr>
          <w:rFonts w:asciiTheme="minorBidi" w:hAnsiTheme="minorBidi" w:cstheme="minorBidi"/>
          <w:color w:val="0E101A"/>
        </w:rPr>
        <w:t>Field</w:t>
      </w:r>
      <w:r w:rsidR="00F9580C">
        <w:rPr>
          <w:rFonts w:asciiTheme="minorBidi" w:hAnsiTheme="minorBidi" w:cstheme="minorBidi"/>
          <w:color w:val="0E101A"/>
        </w:rPr>
        <w:t>:</w:t>
      </w:r>
      <w:r w:rsidRPr="00890EB1" w:rsidR="00F9580C">
        <w:rPr>
          <w:rFonts w:asciiTheme="minorBidi" w:hAnsiTheme="minorBidi" w:cstheme="minorBidi"/>
          <w:color w:val="0E101A"/>
        </w:rPr>
        <w:t xml:space="preserve"> The</w:t>
      </w:r>
      <w:r w:rsidRPr="00890EB1">
        <w:rPr>
          <w:rFonts w:asciiTheme="minorBidi" w:hAnsiTheme="minorBidi" w:cstheme="minorBidi"/>
          <w:color w:val="0E101A"/>
        </w:rPr>
        <w:t xml:space="preserve"> research focuses on motivational strategies and their impact on the performance of employees in the higher education sector, thus contributing to bridging the gap and limitations of past literature in various ways. </w:t>
      </w:r>
    </w:p>
    <w:p w:rsidR="00F9580C" w:rsidP="00F9580C" w:rsidRDefault="00890EB1" w14:paraId="424AB296" w14:textId="77777777">
      <w:pPr>
        <w:pStyle w:val="NormalWeb"/>
        <w:spacing w:after="0" w:line="480" w:lineRule="auto"/>
        <w:rPr>
          <w:rFonts w:asciiTheme="minorBidi" w:hAnsiTheme="minorBidi" w:cstheme="minorBidi"/>
          <w:color w:val="0E101A"/>
        </w:rPr>
      </w:pPr>
      <w:r w:rsidRPr="00890EB1">
        <w:rPr>
          <w:rFonts w:asciiTheme="minorBidi" w:hAnsiTheme="minorBidi" w:cstheme="minorBidi"/>
          <w:color w:val="0E101A"/>
        </w:rPr>
        <w:t xml:space="preserve">First, it conceptualises motivation strategies by critically analysing Masulo based on classifying employees' psychological and financial needs, Herzberg's well-acknowledged two-factor theory. This study provides a lot of helpful information through an empirical investigation of classical motivational studies that can be effectively used by high-education management in their decision-making process and to decrease employee turnover. Numerous studies have been conducted in developed countries focusing on applying organisational motivational strategies. Still, barely any study contributes to developing the importance of enhancing financial motivation, focusing on the higher education sector. </w:t>
      </w:r>
    </w:p>
    <w:p w:rsidR="00890EB1" w:rsidP="006454FB" w:rsidRDefault="00890EB1" w14:paraId="7987E935" w14:textId="5A61A800">
      <w:pPr>
        <w:pStyle w:val="NormalWeb"/>
        <w:spacing w:after="0" w:line="480" w:lineRule="auto"/>
        <w:rPr>
          <w:rFonts w:asciiTheme="minorBidi" w:hAnsiTheme="minorBidi" w:cstheme="minorBidi"/>
          <w:color w:val="0E101A"/>
        </w:rPr>
      </w:pPr>
      <w:r w:rsidRPr="00890EB1">
        <w:rPr>
          <w:rFonts w:asciiTheme="minorBidi" w:hAnsiTheme="minorBidi" w:cstheme="minorBidi"/>
          <w:color w:val="0E101A"/>
        </w:rPr>
        <w:t xml:space="preserve">Developing this approach would significantly contribute by investigating motivational strategies implemented at distinct levels within the selected case study institution. The research method is robust and comprehensive because it considered the fragmented and conflicting literature on motivation strategies and compiled it from </w:t>
      </w:r>
      <w:r w:rsidRPr="00890EB1">
        <w:rPr>
          <w:rFonts w:asciiTheme="minorBidi" w:hAnsiTheme="minorBidi" w:cstheme="minorBidi"/>
          <w:color w:val="0E101A"/>
        </w:rPr>
        <w:t>various sources. The research provides a clear framework for understanding these strategies' impact by linking them to performance and categorising Case Study University's HR practice. Using empirical data allows the researcher to investigate the prevalence of these strategies, their perceived impact on performance, and their effects on organisational loyalty.</w:t>
      </w:r>
    </w:p>
    <w:p w:rsidR="00772A59" w:rsidP="006454FB" w:rsidRDefault="00772A59" w14:paraId="4DCE3F7C" w14:textId="77777777">
      <w:pPr>
        <w:pStyle w:val="NormalWeb"/>
        <w:spacing w:after="0" w:line="480" w:lineRule="auto"/>
        <w:rPr>
          <w:rFonts w:asciiTheme="minorBidi" w:hAnsiTheme="minorBidi" w:cstheme="minorBidi"/>
          <w:color w:val="0E101A"/>
        </w:rPr>
      </w:pPr>
    </w:p>
    <w:p w:rsidR="00772A59" w:rsidP="006454FB" w:rsidRDefault="00772A59" w14:paraId="7C9F804A" w14:textId="77777777">
      <w:pPr>
        <w:pStyle w:val="NormalWeb"/>
        <w:spacing w:after="0" w:line="480" w:lineRule="auto"/>
        <w:rPr>
          <w:rFonts w:asciiTheme="minorBidi" w:hAnsiTheme="minorBidi" w:cstheme="minorBidi"/>
          <w:color w:val="0E101A"/>
        </w:rPr>
      </w:pPr>
    </w:p>
    <w:p w:rsidR="00772A59" w:rsidP="006454FB" w:rsidRDefault="00772A59" w14:paraId="1ECE1192" w14:textId="77777777">
      <w:pPr>
        <w:pStyle w:val="NormalWeb"/>
        <w:spacing w:after="0" w:line="480" w:lineRule="auto"/>
        <w:rPr>
          <w:rFonts w:asciiTheme="minorBidi" w:hAnsiTheme="minorBidi" w:cstheme="minorBidi"/>
          <w:color w:val="0E101A"/>
        </w:rPr>
      </w:pPr>
    </w:p>
    <w:p w:rsidR="00772A59" w:rsidP="006454FB" w:rsidRDefault="00772A59" w14:paraId="1E92A1FE" w14:textId="77777777">
      <w:pPr>
        <w:pStyle w:val="NormalWeb"/>
        <w:spacing w:after="0" w:line="480" w:lineRule="auto"/>
        <w:rPr>
          <w:rFonts w:asciiTheme="minorBidi" w:hAnsiTheme="minorBidi" w:cstheme="minorBidi"/>
          <w:color w:val="0E101A"/>
        </w:rPr>
      </w:pPr>
    </w:p>
    <w:p w:rsidR="00772A59" w:rsidP="006454FB" w:rsidRDefault="00772A59" w14:paraId="6813A5B4" w14:textId="77777777">
      <w:pPr>
        <w:pStyle w:val="NormalWeb"/>
        <w:spacing w:after="0" w:line="480" w:lineRule="auto"/>
        <w:rPr>
          <w:rFonts w:asciiTheme="minorBidi" w:hAnsiTheme="minorBidi" w:cstheme="minorBidi"/>
          <w:color w:val="0E101A"/>
        </w:rPr>
      </w:pPr>
    </w:p>
    <w:p w:rsidR="00772A59" w:rsidP="006454FB" w:rsidRDefault="00772A59" w14:paraId="36AF4B00" w14:textId="77777777">
      <w:pPr>
        <w:pStyle w:val="NormalWeb"/>
        <w:spacing w:after="0" w:line="480" w:lineRule="auto"/>
        <w:rPr>
          <w:rFonts w:asciiTheme="minorBidi" w:hAnsiTheme="minorBidi" w:cstheme="minorBidi"/>
          <w:color w:val="0E101A"/>
        </w:rPr>
      </w:pPr>
    </w:p>
    <w:p w:rsidR="00772A59" w:rsidP="006454FB" w:rsidRDefault="00772A59" w14:paraId="25C40524" w14:textId="77777777">
      <w:pPr>
        <w:pStyle w:val="NormalWeb"/>
        <w:spacing w:after="0" w:line="480" w:lineRule="auto"/>
        <w:rPr>
          <w:rFonts w:asciiTheme="minorBidi" w:hAnsiTheme="minorBidi" w:cstheme="minorBidi"/>
          <w:color w:val="0E101A"/>
        </w:rPr>
      </w:pPr>
    </w:p>
    <w:p w:rsidR="00772A59" w:rsidP="006454FB" w:rsidRDefault="00772A59" w14:paraId="3E5B8A87" w14:textId="77777777">
      <w:pPr>
        <w:pStyle w:val="NormalWeb"/>
        <w:spacing w:after="0" w:line="480" w:lineRule="auto"/>
        <w:rPr>
          <w:rFonts w:asciiTheme="minorBidi" w:hAnsiTheme="minorBidi" w:cstheme="minorBidi"/>
          <w:color w:val="0E101A"/>
        </w:rPr>
      </w:pPr>
    </w:p>
    <w:p w:rsidR="00772A59" w:rsidP="006454FB" w:rsidRDefault="00772A59" w14:paraId="600ECC38" w14:textId="77777777">
      <w:pPr>
        <w:pStyle w:val="NormalWeb"/>
        <w:spacing w:after="0" w:line="480" w:lineRule="auto"/>
        <w:rPr>
          <w:rFonts w:asciiTheme="minorBidi" w:hAnsiTheme="minorBidi" w:cstheme="minorBidi"/>
          <w:color w:val="0E101A"/>
        </w:rPr>
      </w:pPr>
    </w:p>
    <w:p w:rsidR="00772A59" w:rsidP="006454FB" w:rsidRDefault="00772A59" w14:paraId="293EA073" w14:textId="77777777">
      <w:pPr>
        <w:pStyle w:val="NormalWeb"/>
        <w:spacing w:after="0" w:line="480" w:lineRule="auto"/>
        <w:rPr>
          <w:rFonts w:asciiTheme="minorBidi" w:hAnsiTheme="minorBidi" w:cstheme="minorBidi"/>
          <w:color w:val="0E101A"/>
        </w:rPr>
      </w:pPr>
    </w:p>
    <w:p w:rsidR="00772A59" w:rsidP="006454FB" w:rsidRDefault="00772A59" w14:paraId="67C9DF1B" w14:textId="77777777">
      <w:pPr>
        <w:pStyle w:val="NormalWeb"/>
        <w:spacing w:after="0" w:line="480" w:lineRule="auto"/>
        <w:rPr>
          <w:rFonts w:asciiTheme="minorBidi" w:hAnsiTheme="minorBidi" w:cstheme="minorBidi"/>
          <w:color w:val="0E101A"/>
        </w:rPr>
      </w:pPr>
    </w:p>
    <w:p w:rsidR="00772A59" w:rsidP="006454FB" w:rsidRDefault="00772A59" w14:paraId="5ED68705" w14:textId="77777777">
      <w:pPr>
        <w:pStyle w:val="NormalWeb"/>
        <w:spacing w:after="0" w:line="480" w:lineRule="auto"/>
        <w:rPr>
          <w:rFonts w:asciiTheme="minorBidi" w:hAnsiTheme="minorBidi" w:cstheme="minorBidi"/>
          <w:color w:val="0E101A"/>
        </w:rPr>
      </w:pPr>
    </w:p>
    <w:p w:rsidR="00772A59" w:rsidP="006454FB" w:rsidRDefault="00772A59" w14:paraId="01C437D3" w14:textId="77777777">
      <w:pPr>
        <w:pStyle w:val="NormalWeb"/>
        <w:spacing w:after="0" w:line="480" w:lineRule="auto"/>
        <w:rPr>
          <w:rFonts w:asciiTheme="minorBidi" w:hAnsiTheme="minorBidi" w:cstheme="minorBidi"/>
          <w:color w:val="0E101A"/>
        </w:rPr>
      </w:pPr>
    </w:p>
    <w:p w:rsidRPr="00D16D2E" w:rsidR="00D16D2E" w:rsidP="00D16D2E" w:rsidRDefault="00D16D2E" w14:paraId="342658BA" w14:textId="77777777">
      <w:pPr>
        <w:pStyle w:val="NormalWeb"/>
        <w:spacing w:line="480" w:lineRule="auto"/>
        <w:jc w:val="center"/>
        <w:rPr>
          <w:rFonts w:asciiTheme="minorBidi" w:hAnsiTheme="minorBidi"/>
          <w:color w:val="0E101A"/>
        </w:rPr>
      </w:pPr>
      <w:r w:rsidRPr="00D16D2E">
        <w:rPr>
          <w:rFonts w:asciiTheme="minorBidi" w:hAnsiTheme="minorBidi"/>
          <w:color w:val="0E101A"/>
        </w:rPr>
        <w:t>Chapter 2 </w:t>
      </w:r>
    </w:p>
    <w:p w:rsidR="00D16D2E" w:rsidP="00D16D2E" w:rsidRDefault="00D16D2E" w14:paraId="3E26A978" w14:textId="39C8A268">
      <w:pPr>
        <w:pStyle w:val="NormalWeb"/>
        <w:spacing w:line="480" w:lineRule="auto"/>
        <w:jc w:val="center"/>
        <w:rPr>
          <w:rFonts w:asciiTheme="minorBidi" w:hAnsiTheme="minorBidi"/>
          <w:color w:val="0E101A"/>
        </w:rPr>
      </w:pPr>
      <w:r w:rsidRPr="00D16D2E">
        <w:rPr>
          <w:rFonts w:asciiTheme="minorBidi" w:hAnsiTheme="minorBidi"/>
          <w:color w:val="0E101A"/>
        </w:rPr>
        <w:t>            Literature Review and theoretical foundation</w:t>
      </w:r>
    </w:p>
    <w:p w:rsidR="003D6949" w:rsidP="005631E0" w:rsidRDefault="005631E0" w14:paraId="347BB26A" w14:textId="77777777">
      <w:pPr>
        <w:pStyle w:val="NormalWeb"/>
        <w:spacing w:line="480" w:lineRule="auto"/>
        <w:rPr>
          <w:rFonts w:asciiTheme="minorBidi" w:hAnsiTheme="minorBidi"/>
          <w:color w:val="215E99" w:themeColor="text2" w:themeTint="BF"/>
        </w:rPr>
      </w:pPr>
      <w:r w:rsidRPr="005631E0">
        <w:rPr>
          <w:rFonts w:asciiTheme="minorBidi" w:hAnsiTheme="minorBidi"/>
          <w:color w:val="0E101A"/>
        </w:rPr>
        <w:t xml:space="preserve">In a business context, motivation refers to the internal and external factors that stimulate an individual's desire and energy to be continually interested in and dedicated to a job, role, or task. It involves consistently putting forth effort to reach specific objectives and achieve goals. Motivation involves the incentives, rewards, recognition, or conditions that drive employees to perform at their best, aligning their personal goals with the organisation's objectives. </w:t>
      </w:r>
      <w:r w:rsidRPr="005631E0">
        <w:rPr>
          <w:rFonts w:asciiTheme="minorBidi" w:hAnsiTheme="minorBidi"/>
          <w:color w:val="215E99" w:themeColor="text2" w:themeTint="BF"/>
        </w:rPr>
        <w:t xml:space="preserve">(Jafari-Sadeghi, V., 2020.) </w:t>
      </w:r>
    </w:p>
    <w:p w:rsidR="001A6210" w:rsidP="00D4476B" w:rsidRDefault="005631E0" w14:paraId="1D34AC71" w14:textId="296933FA">
      <w:pPr>
        <w:pStyle w:val="NormalWeb"/>
        <w:spacing w:line="480" w:lineRule="auto"/>
        <w:rPr>
          <w:rFonts w:asciiTheme="minorBidi" w:hAnsiTheme="minorBidi"/>
          <w:color w:val="215E99" w:themeColor="text2" w:themeTint="BF"/>
        </w:rPr>
      </w:pPr>
      <w:r w:rsidRPr="005631E0">
        <w:rPr>
          <w:rFonts w:asciiTheme="minorBidi" w:hAnsiTheme="minorBidi"/>
          <w:color w:val="0E101A"/>
        </w:rPr>
        <w:t>Key Theoretical Frameworks of Motivation in Business:  This section delves into the most prevalent definitions of motivation in business theories. While numerous scholars have endeavoured to define motivation, a closer look at their definitions reveals a rich variety of approaches, each with its own unique perspective and insights. This diversity underscores the depth and complexity of the concept of motivation. Consequently, recent definitions of motivation in business theories are synthesised. In this context, incentives emerge as pivotal elements in corporate management, driving employee performance and aligning personal and organisational goals</w:t>
      </w:r>
      <w:r w:rsidRPr="003D6949">
        <w:rPr>
          <w:rFonts w:asciiTheme="minorBidi" w:hAnsiTheme="minorBidi"/>
          <w:color w:val="215E99" w:themeColor="text2" w:themeTint="BF"/>
        </w:rPr>
        <w:t xml:space="preserve">. (Gopalan, V., Bakar, et al., 2020). </w:t>
      </w:r>
      <w:r w:rsidRPr="005631E0">
        <w:rPr>
          <w:rFonts w:asciiTheme="minorBidi" w:hAnsiTheme="minorBidi"/>
          <w:color w:val="0E101A"/>
        </w:rPr>
        <w:t xml:space="preserve">Exploring the concept of motivation started with clarifying the dependent variable; motivation involves the sense of needs and the desire that will, therefore, prompt an individual to act. </w:t>
      </w:r>
      <w:r w:rsidRPr="003D6949">
        <w:rPr>
          <w:rFonts w:asciiTheme="minorBidi" w:hAnsiTheme="minorBidi"/>
          <w:color w:val="215E99" w:themeColor="text2" w:themeTint="BF"/>
        </w:rPr>
        <w:t xml:space="preserve">(Thomas, A. and Gupta, V., 2022). </w:t>
      </w:r>
    </w:p>
    <w:p w:rsidR="001A6210" w:rsidP="003D6949" w:rsidRDefault="001A6210" w14:paraId="03A08C2E" w14:textId="77777777">
      <w:pPr>
        <w:pStyle w:val="NormalWeb"/>
        <w:spacing w:line="480" w:lineRule="auto"/>
        <w:rPr>
          <w:rFonts w:asciiTheme="minorBidi" w:hAnsiTheme="minorBidi"/>
          <w:color w:val="215E99" w:themeColor="text2" w:themeTint="BF"/>
        </w:rPr>
      </w:pPr>
    </w:p>
    <w:p w:rsidR="001A6210" w:rsidP="003D6949" w:rsidRDefault="001A6210" w14:paraId="2E09A8AA" w14:textId="77777777">
      <w:pPr>
        <w:pStyle w:val="NormalWeb"/>
        <w:spacing w:line="480" w:lineRule="auto"/>
        <w:rPr>
          <w:rFonts w:asciiTheme="minorBidi" w:hAnsiTheme="minorBidi"/>
          <w:color w:val="215E99" w:themeColor="text2" w:themeTint="BF"/>
        </w:rPr>
      </w:pPr>
    </w:p>
    <w:p w:rsidRPr="00077102" w:rsidR="00B050A1" w:rsidP="00077102" w:rsidRDefault="005631E0" w14:paraId="32B42195" w14:textId="4E948CBA">
      <w:pPr>
        <w:pStyle w:val="NormalWeb"/>
        <w:spacing w:line="480" w:lineRule="auto"/>
        <w:rPr>
          <w:rFonts w:asciiTheme="minorBidi" w:hAnsiTheme="minorBidi"/>
          <w:color w:val="0E101A"/>
        </w:rPr>
      </w:pPr>
      <w:r w:rsidRPr="005631E0">
        <w:rPr>
          <w:rFonts w:asciiTheme="minorBidi" w:hAnsiTheme="minorBidi"/>
          <w:color w:val="0E101A"/>
        </w:rPr>
        <w:t xml:space="preserve">There are several alternative definitions of motivation, as </w:t>
      </w:r>
      <w:r w:rsidRPr="005631E0" w:rsidR="001A6210">
        <w:rPr>
          <w:rFonts w:asciiTheme="minorBidi" w:hAnsiTheme="minorBidi"/>
          <w:color w:val="0E101A"/>
        </w:rPr>
        <w:t>follows:</w:t>
      </w:r>
      <w:r w:rsidRPr="005631E0">
        <w:rPr>
          <w:rFonts w:asciiTheme="minorBidi" w:hAnsiTheme="minorBidi"/>
          <w:color w:val="0E101A"/>
        </w:rPr>
        <w:t xml:space="preserve"> A widespread definition of motivation is an inner state that arouses, directs, and maintains behaviour. </w:t>
      </w:r>
      <w:r w:rsidRPr="003D6949">
        <w:rPr>
          <w:rFonts w:asciiTheme="minorBidi" w:hAnsiTheme="minorBidi"/>
          <w:color w:val="215E99" w:themeColor="text2" w:themeTint="BF"/>
        </w:rPr>
        <w:t xml:space="preserve">(Sanchez-Santamaria, J., Boroel-Cervantes, et al., 2021). </w:t>
      </w:r>
      <w:r w:rsidRPr="005631E0">
        <w:rPr>
          <w:rFonts w:asciiTheme="minorBidi" w:hAnsiTheme="minorBidi"/>
          <w:color w:val="0E101A"/>
        </w:rPr>
        <w:t xml:space="preserve">However, the terminology used here narrowly interprets motivation, limited to one aspect. Motivation is said to be induced when something external is done to the individual to affect behaviour </w:t>
      </w:r>
      <w:r w:rsidRPr="001A6210">
        <w:rPr>
          <w:rFonts w:asciiTheme="minorBidi" w:hAnsiTheme="minorBidi"/>
          <w:color w:val="215E99" w:themeColor="text2" w:themeTint="BF"/>
        </w:rPr>
        <w:t xml:space="preserve">(M Grant &amp; Shin, 2012).  </w:t>
      </w:r>
      <w:r w:rsidRPr="005631E0">
        <w:rPr>
          <w:rFonts w:asciiTheme="minorBidi" w:hAnsiTheme="minorBidi"/>
          <w:color w:val="0E101A"/>
        </w:rPr>
        <w:t>Induced motivation can be regarded as a function of perception of the effectiveness of needs. This proposition's underlying supposition is that behavioural decisions should ideally be functions of perceptions of the situation and not determined by the satisfaction of needs.</w:t>
      </w:r>
      <w:r w:rsidR="00723C75">
        <w:rPr>
          <w:rFonts w:asciiTheme="minorBidi" w:hAnsiTheme="minorBidi"/>
          <w:color w:val="0E101A"/>
        </w:rPr>
        <w:t xml:space="preserve"> </w:t>
      </w:r>
      <w:r w:rsidR="001A6210">
        <w:rPr>
          <w:rFonts w:asciiTheme="minorBidi" w:hAnsiTheme="minorBidi"/>
          <w:color w:val="0E101A"/>
        </w:rPr>
        <w:t>This review will demonstrate that</w:t>
      </w:r>
      <w:r w:rsidRPr="005631E0">
        <w:rPr>
          <w:rFonts w:asciiTheme="minorBidi" w:hAnsiTheme="minorBidi"/>
          <w:color w:val="0E101A"/>
        </w:rPr>
        <w:t xml:space="preserve"> motivation defines the reasons that guide our actions and behaviours. It is an organic desire fueled by specific internal or external rewards or incentives. Understanding motivation is crucial in deciphering human behaviour, as it provides insights into the reasons behind our actions. While there are many variations of what is best for different situations, all types of motivation consist of three similar components that can be used to increase overall motivation </w:t>
      </w:r>
      <w:r w:rsidRPr="00B050A1">
        <w:rPr>
          <w:rFonts w:asciiTheme="minorBidi" w:hAnsiTheme="minorBidi"/>
          <w:color w:val="215E99" w:themeColor="text2" w:themeTint="BF"/>
        </w:rPr>
        <w:t xml:space="preserve">(Kalogiannidis, S., 2021). </w:t>
      </w:r>
    </w:p>
    <w:p w:rsidR="009F2C18" w:rsidP="00B050A1" w:rsidRDefault="005631E0" w14:paraId="4C8ABDB5" w14:textId="77777777">
      <w:pPr>
        <w:pStyle w:val="NormalWeb"/>
        <w:spacing w:line="480" w:lineRule="auto"/>
        <w:rPr>
          <w:rFonts w:asciiTheme="minorBidi" w:hAnsiTheme="minorBidi"/>
          <w:color w:val="215E99" w:themeColor="text2" w:themeTint="BF"/>
        </w:rPr>
      </w:pPr>
      <w:r w:rsidRPr="005631E0">
        <w:rPr>
          <w:rFonts w:asciiTheme="minorBidi" w:hAnsiTheme="minorBidi"/>
          <w:color w:val="0E101A"/>
        </w:rPr>
        <w:t xml:space="preserve">Positives and Negatives of Current Motivation Theories: Motivation theories have significantly contributed to our understanding of human behaviour, but like any theoretical framework, they have their strengths and limitations </w:t>
      </w:r>
      <w:r w:rsidRPr="00B050A1">
        <w:rPr>
          <w:rFonts w:asciiTheme="minorBidi" w:hAnsiTheme="minorBidi"/>
          <w:color w:val="215E99" w:themeColor="text2" w:themeTint="BF"/>
        </w:rPr>
        <w:t>(Gagné et al., 2022). </w:t>
      </w:r>
    </w:p>
    <w:p w:rsidR="00033E57" w:rsidP="00033E57" w:rsidRDefault="005631E0" w14:paraId="328CD0F1" w14:textId="77777777">
      <w:pPr>
        <w:pStyle w:val="NormalWeb"/>
        <w:spacing w:line="480" w:lineRule="auto"/>
        <w:rPr>
          <w:rFonts w:asciiTheme="minorBidi" w:hAnsiTheme="minorBidi"/>
          <w:color w:val="215E99" w:themeColor="text2" w:themeTint="BF"/>
        </w:rPr>
      </w:pPr>
      <w:r w:rsidRPr="005631E0">
        <w:rPr>
          <w:rFonts w:asciiTheme="minorBidi" w:hAnsiTheme="minorBidi"/>
          <w:color w:val="0E101A"/>
        </w:rPr>
        <w:t xml:space="preserve">Positives: Theories provide a framework for understanding behaviour. They explain why people act in specific ways, allowing for prediction and intervention. Inform practical applications: Many theories have been successfully applied in various fields, such as education, business, and healthcare, to improve performance and well-being. Stimulate research: By identifying gaps in knowledge, theories encourage </w:t>
      </w:r>
      <w:r w:rsidRPr="005631E0">
        <w:rPr>
          <w:rFonts w:asciiTheme="minorBidi" w:hAnsiTheme="minorBidi"/>
          <w:color w:val="0E101A"/>
        </w:rPr>
        <w:t xml:space="preserve">further exploration and development of motivational concepts </w:t>
      </w:r>
      <w:r w:rsidRPr="009F2C18">
        <w:rPr>
          <w:rFonts w:asciiTheme="minorBidi" w:hAnsiTheme="minorBidi"/>
          <w:color w:val="215E99" w:themeColor="text2" w:themeTint="BF"/>
        </w:rPr>
        <w:t>(Urhahne, D. and Wijnia, L., 2023)</w:t>
      </w:r>
      <w:r w:rsidRPr="005631E0">
        <w:rPr>
          <w:rFonts w:asciiTheme="minorBidi" w:hAnsiTheme="minorBidi"/>
          <w:color w:val="0E101A"/>
        </w:rPr>
        <w:t>. Highlight the complexity of motivation: Most contemporary theories acknowledge the multifaceted nature of motivation, considering both intrinsic and extrinsic factors</w:t>
      </w:r>
      <w:r w:rsidRPr="009F2C18">
        <w:rPr>
          <w:rFonts w:asciiTheme="minorBidi" w:hAnsiTheme="minorBidi"/>
          <w:color w:val="215E99" w:themeColor="text2" w:themeTint="BF"/>
        </w:rPr>
        <w:t>. (Heimlich et al., N.M., 2008). </w:t>
      </w:r>
    </w:p>
    <w:p w:rsidR="00BB6877" w:rsidP="00BB6877" w:rsidRDefault="005631E0" w14:paraId="68CCFC2D" w14:textId="77777777">
      <w:pPr>
        <w:pStyle w:val="NormalWeb"/>
        <w:spacing w:line="480" w:lineRule="auto"/>
        <w:rPr>
          <w:rFonts w:asciiTheme="minorBidi" w:hAnsiTheme="minorBidi"/>
          <w:color w:val="215E99" w:themeColor="text2" w:themeTint="BF"/>
        </w:rPr>
      </w:pPr>
      <w:r w:rsidRPr="005631E0">
        <w:rPr>
          <w:rFonts w:asciiTheme="minorBidi" w:hAnsiTheme="minorBidi"/>
          <w:color w:val="0E101A"/>
        </w:rPr>
        <w:t xml:space="preserve">Negatives: Oversimplification of human behaviour: Some theories may oversimplify the complex interplay of factors influencing motivation—limited generalisability </w:t>
      </w:r>
      <w:r w:rsidRPr="00033E57">
        <w:rPr>
          <w:rFonts w:asciiTheme="minorBidi" w:hAnsiTheme="minorBidi"/>
          <w:color w:val="215E99" w:themeColor="text2" w:themeTint="BF"/>
        </w:rPr>
        <w:t>(Chang &amp; Chen, 2015; Keller, 2010). </w:t>
      </w:r>
      <w:r w:rsidRPr="005631E0">
        <w:rPr>
          <w:rFonts w:asciiTheme="minorBidi" w:hAnsiTheme="minorBidi"/>
          <w:color w:val="0E101A"/>
        </w:rPr>
        <w:t xml:space="preserve">Many theories are based on specific populations or contexts, limiting their applicability to diverse groups. Conflicting findings: Different theories often propose contradictory explanations, challenging determining the most accurate perspective </w:t>
      </w:r>
      <w:r w:rsidRPr="00BB6877">
        <w:rPr>
          <w:rFonts w:asciiTheme="minorBidi" w:hAnsiTheme="minorBidi"/>
          <w:color w:val="215E99" w:themeColor="text2" w:themeTint="BF"/>
        </w:rPr>
        <w:t>(Keller, 2000; Li &amp; Keller, 2018). </w:t>
      </w:r>
    </w:p>
    <w:p w:rsidR="005631E0" w:rsidP="00CD2669" w:rsidRDefault="005631E0" w14:paraId="7A312F08" w14:textId="2C317554">
      <w:pPr>
        <w:pStyle w:val="NormalWeb"/>
        <w:spacing w:line="480" w:lineRule="auto"/>
        <w:rPr>
          <w:rFonts w:asciiTheme="minorBidi" w:hAnsiTheme="minorBidi"/>
          <w:color w:val="0E101A"/>
        </w:rPr>
      </w:pPr>
      <w:r w:rsidRPr="005631E0">
        <w:rPr>
          <w:rFonts w:asciiTheme="minorBidi" w:hAnsiTheme="minorBidi"/>
          <w:color w:val="0E101A"/>
        </w:rPr>
        <w:t xml:space="preserve">Neglect of individual differences: Some theories may need to adequately account for individual variations in motivation and responses to motivational strategies. Ethical concerns: Certain motivational techniques, such as manipulation or coercion, raise ethical questions; indicating that no single theory is universally applicable is essential. </w:t>
      </w:r>
      <w:r w:rsidRPr="00BB6877">
        <w:rPr>
          <w:rFonts w:asciiTheme="minorBidi" w:hAnsiTheme="minorBidi"/>
          <w:color w:val="215E99" w:themeColor="text2" w:themeTint="BF"/>
        </w:rPr>
        <w:t>(Hirsh et al. Galinsky, A.D., 2018).  </w:t>
      </w:r>
      <w:r w:rsidRPr="005631E0">
        <w:rPr>
          <w:rFonts w:asciiTheme="minorBidi" w:hAnsiTheme="minorBidi"/>
          <w:color w:val="0E101A"/>
        </w:rPr>
        <w:t>A comprehensive understanding of motivation often requires integrating insights from multiple perspectives. Additionally, the effectiveness of motivational interventions depends on carefully considering the specific context and individual characteristics.</w:t>
      </w:r>
    </w:p>
    <w:p w:rsidR="00D60157" w:rsidP="00CD2669" w:rsidRDefault="00D60157" w14:paraId="08A17A51" w14:textId="77777777">
      <w:pPr>
        <w:pStyle w:val="NormalWeb"/>
        <w:spacing w:line="480" w:lineRule="auto"/>
        <w:rPr>
          <w:rFonts w:asciiTheme="minorBidi" w:hAnsiTheme="minorBidi"/>
          <w:color w:val="0E101A"/>
        </w:rPr>
      </w:pPr>
    </w:p>
    <w:p w:rsidR="00D60157" w:rsidP="00CD2669" w:rsidRDefault="00D60157" w14:paraId="29B5466B" w14:textId="77777777">
      <w:pPr>
        <w:pStyle w:val="NormalWeb"/>
        <w:spacing w:line="480" w:lineRule="auto"/>
        <w:rPr>
          <w:rFonts w:asciiTheme="minorBidi" w:hAnsiTheme="minorBidi"/>
          <w:color w:val="0E101A"/>
        </w:rPr>
      </w:pPr>
    </w:p>
    <w:p w:rsidR="00D60157" w:rsidP="00CD2669" w:rsidRDefault="00D60157" w14:paraId="0BD54C0F" w14:textId="77777777">
      <w:pPr>
        <w:pStyle w:val="NormalWeb"/>
        <w:spacing w:line="480" w:lineRule="auto"/>
        <w:rPr>
          <w:rFonts w:asciiTheme="minorBidi" w:hAnsiTheme="minorBidi"/>
          <w:color w:val="0E101A"/>
        </w:rPr>
      </w:pPr>
    </w:p>
    <w:p w:rsidR="00D60157" w:rsidP="00CD2669" w:rsidRDefault="00D60157" w14:paraId="5550ABDF" w14:textId="77777777">
      <w:pPr>
        <w:pStyle w:val="NormalWeb"/>
        <w:spacing w:line="480" w:lineRule="auto"/>
        <w:rPr>
          <w:rFonts w:asciiTheme="minorBidi" w:hAnsiTheme="minorBidi"/>
          <w:color w:val="0E101A"/>
        </w:rPr>
      </w:pPr>
    </w:p>
    <w:p w:rsidRPr="00D673E1" w:rsidR="00D60157" w:rsidP="000F35A1" w:rsidRDefault="00D60157" w14:paraId="247E96D1" w14:textId="77777777">
      <w:pPr>
        <w:pStyle w:val="Heading3"/>
        <w:rPr>
          <w:rFonts w:ascii="Segoe UI" w:hAnsi="Segoe UI" w:cs="Segoe UI"/>
          <w:sz w:val="20"/>
          <w:szCs w:val="20"/>
        </w:rPr>
      </w:pPr>
      <w:r w:rsidRPr="00D673E1">
        <w:rPr>
          <w:rStyle w:val="normaltextrun"/>
          <w:rFonts w:ascii="Arial" w:hAnsi="Arial" w:cs="Arial"/>
          <w:color w:val="215E99"/>
          <w:sz w:val="20"/>
          <w:szCs w:val="20"/>
        </w:rPr>
        <w:t>Types of Motivational Techniques: </w:t>
      </w:r>
      <w:r w:rsidRPr="00D673E1">
        <w:rPr>
          <w:rStyle w:val="eop"/>
          <w:rFonts w:ascii="Arial" w:hAnsi="Arial" w:cs="Arial"/>
          <w:color w:val="215E99"/>
          <w:sz w:val="20"/>
          <w:szCs w:val="20"/>
        </w:rPr>
        <w:t> </w:t>
      </w:r>
    </w:p>
    <w:p w:rsidR="00D60157" w:rsidP="00D673E1" w:rsidRDefault="00D60157" w14:paraId="276C93F6" w14:textId="77777777">
      <w:pPr>
        <w:pStyle w:val="paragraph"/>
        <w:spacing w:before="0" w:beforeAutospacing="0" w:after="0" w:afterAutospacing="0" w:line="480" w:lineRule="auto"/>
        <w:textAlignment w:val="baseline"/>
        <w:rPr>
          <w:rFonts w:ascii="Segoe UI" w:hAnsi="Segoe UI" w:cs="Segoe UI"/>
          <w:sz w:val="18"/>
          <w:szCs w:val="18"/>
        </w:rPr>
      </w:pPr>
      <w:r w:rsidRPr="00D673E1">
        <w:rPr>
          <w:color w:val="0E101A"/>
        </w:rPr>
        <w:t>Within the framework of the previously mentioned definitions of motivation and its importance, we must mention the most important types of motivation methods used so that we can know the extent of their effectiveness and then apply the scientific theories appropriate for each method of motivation. The human resources department in any organisation works to create a series of motivational measures that will raise the efficiency of employees and improve the work environment, which reflects the organisation's success and helps to hope for its prosperity</w:t>
      </w:r>
      <w:r w:rsidRPr="00D673E1">
        <w:rPr>
          <w:rFonts w:asciiTheme="minorBidi" w:hAnsiTheme="minorBidi"/>
          <w:color w:val="0E101A"/>
        </w:rPr>
        <w:t>.</w:t>
      </w:r>
      <w:r>
        <w:rPr>
          <w:rStyle w:val="normaltextrun"/>
          <w:rFonts w:ascii="Arial" w:hAnsi="Arial" w:cs="Arial" w:eastAsiaTheme="majorEastAsia"/>
        </w:rPr>
        <w:t xml:space="preserve"> </w:t>
      </w:r>
      <w:r>
        <w:rPr>
          <w:rStyle w:val="normaltextrun"/>
          <w:rFonts w:ascii="Arial" w:hAnsi="Arial" w:cs="Arial" w:eastAsiaTheme="majorEastAsia"/>
          <w:color w:val="215E99"/>
        </w:rPr>
        <w:t>(Bawa, M.A., 2017)</w:t>
      </w:r>
      <w:r>
        <w:rPr>
          <w:rStyle w:val="normaltextrun"/>
          <w:rFonts w:ascii="Arial" w:hAnsi="Arial" w:cs="Arial" w:eastAsiaTheme="majorEastAsia"/>
        </w:rPr>
        <w:t>. </w:t>
      </w:r>
      <w:r>
        <w:rPr>
          <w:rStyle w:val="eop"/>
          <w:rFonts w:ascii="Arial" w:hAnsi="Arial" w:cs="Arial" w:eastAsiaTheme="majorEastAsia"/>
        </w:rPr>
        <w:t> </w:t>
      </w:r>
    </w:p>
    <w:p w:rsidR="00D673E1" w:rsidP="00D60157" w:rsidRDefault="00D673E1" w14:paraId="089FC6B7" w14:textId="77777777">
      <w:pPr>
        <w:pStyle w:val="paragraph"/>
        <w:spacing w:before="0" w:beforeAutospacing="0" w:after="0" w:afterAutospacing="0"/>
        <w:textAlignment w:val="baseline"/>
        <w:rPr>
          <w:rStyle w:val="normaltextrun"/>
          <w:rFonts w:ascii="Aptos" w:hAnsi="Aptos" w:cs="Segoe UI" w:eastAsiaTheme="majorEastAsia"/>
          <w:sz w:val="22"/>
          <w:szCs w:val="22"/>
        </w:rPr>
      </w:pPr>
    </w:p>
    <w:p w:rsidRPr="00723C75" w:rsidR="00D60157" w:rsidP="00723C75" w:rsidRDefault="00D60157" w14:paraId="0B751B83" w14:textId="35408E4C">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1. Intrinsic Motivation: According to Riordan and Gatco, intrinsic motivation will profoundly affect supremacy and happiness (</w:t>
      </w:r>
      <w:r w:rsidRPr="00723C75">
        <w:rPr>
          <w:rStyle w:val="normaltextrun"/>
          <w:rFonts w:asciiTheme="minorBidi" w:hAnsiTheme="minorBidi" w:eastAsiaTheme="majorEastAsia" w:cstheme="minorBidi"/>
          <w:color w:val="215E99"/>
        </w:rPr>
        <w:t>Alshenqeeti, 2020</w:t>
      </w:r>
      <w:r w:rsidRPr="00723C75">
        <w:rPr>
          <w:rStyle w:val="normaltextrun"/>
          <w:rFonts w:asciiTheme="minorBidi" w:hAnsiTheme="minorBidi" w:eastAsiaTheme="majorEastAsia" w:cstheme="minorBidi"/>
        </w:rPr>
        <w:t>). </w:t>
      </w:r>
      <w:r w:rsidRPr="00723C75">
        <w:rPr>
          <w:rStyle w:val="eop"/>
          <w:rFonts w:asciiTheme="minorBidi" w:hAnsiTheme="minorBidi" w:eastAsiaTheme="majorEastAsia" w:cstheme="minorBidi"/>
        </w:rPr>
        <w:t> </w:t>
      </w:r>
    </w:p>
    <w:p w:rsidRPr="00723C75" w:rsidR="00D60157" w:rsidP="00723C75" w:rsidRDefault="00D60157" w14:paraId="26AD2D95"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As they state: "a person must derive satisfaction from the current situation, and satisfaction will create commitment and determination, which in turn will foster top-level execution” </w:t>
      </w:r>
      <w:r w:rsidRPr="00723C75">
        <w:rPr>
          <w:rStyle w:val="normaltextrun"/>
          <w:rFonts w:asciiTheme="minorBidi" w:hAnsiTheme="minorBidi" w:eastAsiaTheme="majorEastAsia" w:cstheme="minorBidi"/>
          <w:color w:val="215E99"/>
        </w:rPr>
        <w:t>( Matunhay, L.M.et al Pailago, K.L., 2024).</w:t>
      </w:r>
      <w:r w:rsidRPr="00723C75">
        <w:rPr>
          <w:rStyle w:val="eop"/>
          <w:rFonts w:asciiTheme="minorBidi" w:hAnsiTheme="minorBidi" w:eastAsiaTheme="majorEastAsia" w:cstheme="minorBidi"/>
          <w:color w:val="215E99"/>
        </w:rPr>
        <w:t> </w:t>
      </w:r>
    </w:p>
    <w:p w:rsidRPr="00723C75" w:rsidR="00D60157" w:rsidP="00723C75" w:rsidRDefault="00D60157" w14:paraId="5CBA816C"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Socieman makes a similar statement by indicating that people working at a place they use in a manner consistent with the organisation and its values are likely to be motivated without external empowerment </w:t>
      </w:r>
      <w:r w:rsidRPr="00723C75">
        <w:rPr>
          <w:rStyle w:val="normaltextrun"/>
          <w:rFonts w:asciiTheme="minorBidi" w:hAnsiTheme="minorBidi" w:eastAsiaTheme="majorEastAsia" w:cstheme="minorBidi"/>
          <w:color w:val="215E99"/>
        </w:rPr>
        <w:t>(Chen, Zhang, et al., 2019).</w:t>
      </w:r>
      <w:r w:rsidRPr="00723C75">
        <w:rPr>
          <w:rStyle w:val="eop"/>
          <w:rFonts w:asciiTheme="minorBidi" w:hAnsiTheme="minorBidi" w:eastAsiaTheme="majorEastAsia" w:cstheme="minorBidi"/>
          <w:color w:val="215E99"/>
        </w:rPr>
        <w:t> </w:t>
      </w:r>
    </w:p>
    <w:p w:rsidRPr="00723C75" w:rsidR="00D60157" w:rsidP="00723C75" w:rsidRDefault="00D60157" w14:paraId="7A03F355"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color w:val="215E99"/>
        </w:rPr>
        <w:t>(Faraz et al.2021)</w:t>
      </w:r>
      <w:r w:rsidRPr="00723C75">
        <w:rPr>
          <w:rStyle w:val="normaltextrun"/>
          <w:rFonts w:asciiTheme="minorBidi" w:hAnsiTheme="minorBidi" w:eastAsiaTheme="majorEastAsia" w:cstheme="minorBidi"/>
        </w:rPr>
        <w:t xml:space="preserve"> Finally, Argyris and Gaizer associate their model of the emotionally mature employee with increased satisfaction and motivation to achieve, learn and confirm the employee's self. (Zhang &amp; Su, 2023) In the educational sector and long-term care contexts, intrinsic motivation is often viewed as because of one or a combination of employee values as either adherence to the organisation or the belief in the magnitude of work being performed, or a sense of empowerment, satisfaction, internal gratification, or relatedness, choice, affection, and growth. </w:t>
      </w:r>
      <w:r w:rsidRPr="00723C75">
        <w:rPr>
          <w:rStyle w:val="normaltextrun"/>
          <w:rFonts w:asciiTheme="minorBidi" w:hAnsiTheme="minorBidi" w:eastAsiaTheme="majorEastAsia" w:cstheme="minorBidi"/>
          <w:color w:val="215E99"/>
        </w:rPr>
        <w:t>(Pincus, J.D., 2023).</w:t>
      </w:r>
      <w:r w:rsidRPr="00723C75">
        <w:rPr>
          <w:rStyle w:val="eop"/>
          <w:rFonts w:asciiTheme="minorBidi" w:hAnsiTheme="minorBidi" w:eastAsiaTheme="majorEastAsia" w:cstheme="minorBidi"/>
          <w:color w:val="215E99"/>
        </w:rPr>
        <w:t> </w:t>
      </w:r>
    </w:p>
    <w:p w:rsidRPr="00723C75" w:rsidR="00D60157" w:rsidP="00723C75" w:rsidRDefault="00D60157" w14:paraId="049B01B0"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This occurs when the individual is motivated by producing the required goods or services, witnessing the satisfaction of this work, or deriving satisfaction directly from affiliated values or beliefs of the organisation. </w:t>
      </w:r>
      <w:r w:rsidRPr="00723C75">
        <w:rPr>
          <w:rStyle w:val="normaltextrun"/>
          <w:rFonts w:asciiTheme="minorBidi" w:hAnsiTheme="minorBidi" w:eastAsiaTheme="majorEastAsia" w:cstheme="minorBidi"/>
          <w:color w:val="215E99"/>
        </w:rPr>
        <w:t>(Ford, B.Q. and Gross, J.J., 2018).</w:t>
      </w:r>
      <w:r w:rsidRPr="00723C75">
        <w:rPr>
          <w:rStyle w:val="eop"/>
          <w:rFonts w:asciiTheme="minorBidi" w:hAnsiTheme="minorBidi" w:eastAsiaTheme="majorEastAsia" w:cstheme="minorBidi"/>
          <w:color w:val="215E99"/>
        </w:rPr>
        <w:t> </w:t>
      </w:r>
    </w:p>
    <w:p w:rsidRPr="00723C75" w:rsidR="00D60157" w:rsidP="00723C75" w:rsidRDefault="00D60157" w14:paraId="499C6F84"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The British Red Cross is an example of the motivational influence of belief values and organisation. </w:t>
      </w:r>
      <w:r w:rsidRPr="00723C75">
        <w:rPr>
          <w:rStyle w:val="eop"/>
          <w:rFonts w:asciiTheme="minorBidi" w:hAnsiTheme="minorBidi" w:eastAsiaTheme="majorEastAsia" w:cstheme="minorBidi"/>
        </w:rPr>
        <w:t> </w:t>
      </w:r>
    </w:p>
    <w:p w:rsidRPr="00723C75" w:rsidR="00D60157" w:rsidP="00723C75" w:rsidRDefault="00D60157" w14:paraId="116EE5BC"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The work they perform directly satisfies their needs, but the importance of the organisation and the associated values of dedication, love, and concern contribute to their motivating force. Daniel Pink maintains that it is worthwhile to distinguish between the rewarding outcomes people receive and the rewarding results that benefactors receive because of their actions or work (</w:t>
      </w:r>
      <w:r w:rsidRPr="00723C75">
        <w:rPr>
          <w:rStyle w:val="normaltextrun"/>
          <w:rFonts w:asciiTheme="minorBidi" w:hAnsiTheme="minorBidi" w:eastAsiaTheme="majorEastAsia" w:cstheme="minorBidi"/>
          <w:color w:val="215E99"/>
        </w:rPr>
        <w:t>Gunderman et al.; A.P., 2011).</w:t>
      </w:r>
      <w:r w:rsidRPr="00723C75">
        <w:rPr>
          <w:rStyle w:val="eop"/>
          <w:rFonts w:asciiTheme="minorBidi" w:hAnsiTheme="minorBidi" w:eastAsiaTheme="majorEastAsia" w:cstheme="minorBidi"/>
          <w:color w:val="215E99"/>
        </w:rPr>
        <w:t> </w:t>
      </w:r>
    </w:p>
    <w:p w:rsidRPr="00723C75" w:rsidR="00D60157" w:rsidP="00723C75" w:rsidRDefault="00D60157" w14:paraId="66701B69"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The beneficent may perform the task without concern for a particular outcome they will receive or for reaching predetermined criteria of excellence. While, in many cases, it is not the action itself but its integrated details and affiliating values that offer the only potential source of gratification, it is likely that the optimised grace is responsible for the complex view of human nature </w:t>
      </w:r>
      <w:r w:rsidRPr="00723C75">
        <w:rPr>
          <w:rStyle w:val="normaltextrun"/>
          <w:rFonts w:asciiTheme="minorBidi" w:hAnsiTheme="minorBidi" w:eastAsiaTheme="majorEastAsia" w:cstheme="minorBidi"/>
          <w:color w:val="215E99"/>
        </w:rPr>
        <w:t>(Morris, L.S., Grehl, et al. Westwater, M.L., 2022</w:t>
      </w:r>
      <w:r w:rsidRPr="00723C75">
        <w:rPr>
          <w:rStyle w:val="eop"/>
          <w:rFonts w:asciiTheme="minorBidi" w:hAnsiTheme="minorBidi" w:eastAsiaTheme="majorEastAsia" w:cstheme="minorBidi"/>
          <w:color w:val="215E99"/>
        </w:rPr>
        <w:t> </w:t>
      </w:r>
    </w:p>
    <w:p w:rsidRPr="00723C75" w:rsidR="00D60157" w:rsidP="00723C75" w:rsidRDefault="00D60157" w14:paraId="75D87B3C"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color w:val="215E99"/>
        </w:rPr>
        <w:t>2. Extrinsic Motivation:</w:t>
      </w:r>
      <w:r w:rsidRPr="00723C75">
        <w:rPr>
          <w:rStyle w:val="eop"/>
          <w:rFonts w:asciiTheme="minorBidi" w:hAnsiTheme="minorBidi" w:eastAsiaTheme="majorEastAsia" w:cstheme="minorBidi"/>
          <w:color w:val="215E99"/>
        </w:rPr>
        <w:t> </w:t>
      </w:r>
    </w:p>
    <w:p w:rsidRPr="00723C75" w:rsidR="00D60157" w:rsidP="00723C75" w:rsidRDefault="00D60157" w14:paraId="0CFCA2D0"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Learning is the best example of extrinsic motivation. People prefer to avoid learning, solving mathematical and logical exercises, or doing homework. However, after finishing these treatments, and receive fame, get good grades, or prevent our punishment, which also means getting good grades; we study, which is an excellent example of extrinsic motivation. Of course, learning without extrinsic motivation can reach an extent which is attainable. It is not easy to find a child that the concept of a fanatic teacher fundamentally increases the knowledge of the subject that this teacher instructs </w:t>
      </w:r>
      <w:r w:rsidRPr="00723C75">
        <w:rPr>
          <w:rStyle w:val="normaltextrun"/>
          <w:rFonts w:asciiTheme="minorBidi" w:hAnsiTheme="minorBidi" w:eastAsiaTheme="majorEastAsia" w:cstheme="minorBidi"/>
          <w:color w:val="215E99"/>
        </w:rPr>
        <w:t>(Bear, G.G., et al Farley-Ripple, E., 2017).</w:t>
      </w:r>
      <w:r w:rsidRPr="00723C75">
        <w:rPr>
          <w:rStyle w:val="normaltextrun"/>
          <w:rFonts w:asciiTheme="minorBidi" w:hAnsiTheme="minorBidi" w:eastAsiaTheme="majorEastAsia" w:cstheme="minorBidi"/>
        </w:rPr>
        <w:t> </w:t>
      </w:r>
      <w:r w:rsidRPr="00723C75">
        <w:rPr>
          <w:rStyle w:val="eop"/>
          <w:rFonts w:asciiTheme="minorBidi" w:hAnsiTheme="minorBidi" w:eastAsiaTheme="majorEastAsia" w:cstheme="minorBidi"/>
        </w:rPr>
        <w:t> </w:t>
      </w:r>
    </w:p>
    <w:p w:rsidRPr="00723C75" w:rsidR="00D60157" w:rsidP="00723C75" w:rsidRDefault="00D60157" w14:paraId="52FEBC56"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The scores have been levelled, finally. Extrinsic motivation is about that good old carrot and stick idea. If we do something good, we get a guarantee for a pat on the back or a goodie. If we do something terrible, the stick comes out. Depending on these reactions, our behaviour follows. B.F. Skinner, a renowned psychologist, has also suggested that the root of our behaviour is only the result that it produces - changes in the environment as a reaction to their exterior reactions are general meters and the basis for extrinsic motivation </w:t>
      </w:r>
      <w:r w:rsidRPr="00723C75">
        <w:rPr>
          <w:rStyle w:val="normaltextrun"/>
          <w:rFonts w:asciiTheme="minorBidi" w:hAnsiTheme="minorBidi" w:eastAsiaTheme="majorEastAsia" w:cstheme="minorBidi"/>
          <w:color w:val="215E99"/>
        </w:rPr>
        <w:t>(Ryan et al., E.L., 2000)</w:t>
      </w:r>
      <w:r w:rsidRPr="00723C75">
        <w:rPr>
          <w:rStyle w:val="eop"/>
          <w:rFonts w:asciiTheme="minorBidi" w:hAnsiTheme="minorBidi" w:eastAsiaTheme="majorEastAsia" w:cstheme="minorBidi"/>
          <w:color w:val="215E99"/>
        </w:rPr>
        <w:t> </w:t>
      </w:r>
    </w:p>
    <w:p w:rsidRPr="00723C75" w:rsidR="00D60157" w:rsidP="00723C75" w:rsidRDefault="00D60157" w14:paraId="118C009E"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Extrinsic motivations include those that result from doing something because it leads to a separate reward or avoids an exterior punishment. </w:t>
      </w:r>
      <w:r w:rsidRPr="00723C75">
        <w:rPr>
          <w:rStyle w:val="eop"/>
          <w:rFonts w:asciiTheme="minorBidi" w:hAnsiTheme="minorBidi" w:eastAsiaTheme="majorEastAsia" w:cstheme="minorBidi"/>
        </w:rPr>
        <w:t> </w:t>
      </w:r>
    </w:p>
    <w:p w:rsidRPr="00723C75" w:rsidR="00D60157" w:rsidP="00723C75" w:rsidRDefault="00D60157" w14:paraId="43006AEA"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color w:val="215E99"/>
        </w:rPr>
        <w:t>3. Positive Reinforcement </w:t>
      </w:r>
      <w:r w:rsidRPr="00723C75">
        <w:rPr>
          <w:rStyle w:val="eop"/>
          <w:rFonts w:asciiTheme="minorBidi" w:hAnsiTheme="minorBidi" w:eastAsiaTheme="majorEastAsia" w:cstheme="minorBidi"/>
          <w:color w:val="215E99"/>
        </w:rPr>
        <w:t> </w:t>
      </w:r>
    </w:p>
    <w:p w:rsidRPr="00723C75" w:rsidR="00D60157" w:rsidP="00723C75" w:rsidRDefault="00D60157" w14:paraId="021271B9"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Financial incentives significantly impact workers and their setting; they are trying to relate them directly to their job performance. When financial rewards are linked to individual performance, workers typically focus on it. If done incorrectly, these incentives cover specific behaviours performed based on eligibility criteria or evaluation of customer satisfaction </w:t>
      </w:r>
      <w:r w:rsidRPr="00723C75">
        <w:rPr>
          <w:rStyle w:val="normaltextrun"/>
          <w:rFonts w:asciiTheme="minorBidi" w:hAnsiTheme="minorBidi" w:eastAsiaTheme="majorEastAsia" w:cstheme="minorBidi"/>
          <w:color w:val="215E99"/>
        </w:rPr>
        <w:t>(Gunderman et al., A.P., 2011)</w:t>
      </w:r>
      <w:r w:rsidRPr="00723C75">
        <w:rPr>
          <w:rStyle w:val="eop"/>
          <w:rFonts w:asciiTheme="minorBidi" w:hAnsiTheme="minorBidi" w:eastAsiaTheme="majorEastAsia" w:cstheme="minorBidi"/>
          <w:color w:val="215E99"/>
        </w:rPr>
        <w:t> </w:t>
      </w:r>
    </w:p>
    <w:p w:rsidRPr="00723C75" w:rsidR="00D60157" w:rsidP="00723C75" w:rsidRDefault="00D60157" w14:paraId="18A16A1A"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As a result, workers begin to pay less attention to others, which can lead to adverse effects. A higher demand for services can result in stress and employee burnout and adversely affect team cooperation. It prompts them positively and negatively through a work effort to create inappropriate social behaviour. </w:t>
      </w:r>
      <w:r w:rsidRPr="00723C75">
        <w:rPr>
          <w:rStyle w:val="normaltextrun"/>
          <w:rFonts w:asciiTheme="minorBidi" w:hAnsiTheme="minorBidi" w:eastAsiaTheme="majorEastAsia" w:cstheme="minorBidi"/>
          <w:color w:val="215E99"/>
        </w:rPr>
        <w:t>(Hilmarsson, and Rikhardsson,2011). </w:t>
      </w:r>
      <w:r w:rsidRPr="00723C75">
        <w:rPr>
          <w:rStyle w:val="eop"/>
          <w:rFonts w:asciiTheme="minorBidi" w:hAnsiTheme="minorBidi" w:eastAsiaTheme="majorEastAsia" w:cstheme="minorBidi"/>
          <w:color w:val="215E99"/>
        </w:rPr>
        <w:t> </w:t>
      </w:r>
    </w:p>
    <w:p w:rsidRPr="00723C75" w:rsidR="00D60157" w:rsidP="00723C75" w:rsidRDefault="00D60157" w14:paraId="03701B27"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Potential negative consequences of incentives and bonuses are addressed. Organisational members are encouraged to correct social behaviour related to violations of moral standards or to carry out what they need to achieve better financial results. Rewards are always given and tied to how the process is executed, not just the results </w:t>
      </w:r>
      <w:r w:rsidRPr="00723C75">
        <w:rPr>
          <w:rStyle w:val="normaltextrun"/>
          <w:rFonts w:asciiTheme="minorBidi" w:hAnsiTheme="minorBidi" w:eastAsiaTheme="majorEastAsia" w:cstheme="minorBidi"/>
          <w:color w:val="215E99"/>
        </w:rPr>
        <w:t>(Miendlarzewska et al.; S., 2016).</w:t>
      </w:r>
      <w:r w:rsidRPr="00723C75">
        <w:rPr>
          <w:rStyle w:val="eop"/>
          <w:rFonts w:asciiTheme="minorBidi" w:hAnsiTheme="minorBidi" w:eastAsiaTheme="majorEastAsia" w:cstheme="minorBidi"/>
          <w:color w:val="215E99"/>
        </w:rPr>
        <w:t> </w:t>
      </w:r>
    </w:p>
    <w:p w:rsidRPr="00723C75" w:rsidR="00D60157" w:rsidP="00723C75" w:rsidRDefault="00D60157" w14:paraId="7ECE5805"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Positive reinforcement is a delicate and carefully devised technique in which workers react well to various incentives. This technique is based on the premise that if excellent employee performance is recognised and rewarded, there is a great likelihood that this positive behaviour will happen again later </w:t>
      </w:r>
      <w:r w:rsidRPr="00723C75">
        <w:rPr>
          <w:rStyle w:val="normaltextrun"/>
          <w:rFonts w:asciiTheme="minorBidi" w:hAnsiTheme="minorBidi" w:eastAsiaTheme="majorEastAsia" w:cstheme="minorBidi"/>
          <w:color w:val="215E99"/>
        </w:rPr>
        <w:t>(Shaw et al.; N., 2015).</w:t>
      </w:r>
      <w:r w:rsidRPr="00723C75">
        <w:rPr>
          <w:rStyle w:val="eop"/>
          <w:rFonts w:asciiTheme="minorBidi" w:hAnsiTheme="minorBidi" w:eastAsiaTheme="majorEastAsia" w:cstheme="minorBidi"/>
          <w:color w:val="215E99"/>
        </w:rPr>
        <w:t> </w:t>
      </w:r>
    </w:p>
    <w:p w:rsidRPr="00723C75" w:rsidR="00D60157" w:rsidP="00723C75" w:rsidRDefault="00D60157" w14:paraId="4D13A224"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Bonuses and the like must be related to the worker's effort, individually or collectively. The individual or team must also be identified as the causes of success for job satisfaction and understanding desirable behaviours or attitudes </w:t>
      </w:r>
      <w:r w:rsidRPr="00723C75">
        <w:rPr>
          <w:rStyle w:val="normaltextrun"/>
          <w:rFonts w:asciiTheme="minorBidi" w:hAnsiTheme="minorBidi" w:eastAsiaTheme="majorEastAsia" w:cstheme="minorBidi"/>
          <w:color w:val="215E99"/>
        </w:rPr>
        <w:t>(Seifert et al.; P., 2012)</w:t>
      </w:r>
      <w:r w:rsidRPr="00723C75">
        <w:rPr>
          <w:rStyle w:val="normaltextrun"/>
          <w:rFonts w:asciiTheme="minorBidi" w:hAnsiTheme="minorBidi" w:eastAsiaTheme="majorEastAsia" w:cstheme="minorBidi"/>
        </w:rPr>
        <w:t>.</w:t>
      </w:r>
      <w:r w:rsidRPr="00723C75">
        <w:rPr>
          <w:rStyle w:val="eop"/>
          <w:rFonts w:asciiTheme="minorBidi" w:hAnsiTheme="minorBidi" w:eastAsiaTheme="majorEastAsia" w:cstheme="minorBidi"/>
        </w:rPr>
        <w:t> </w:t>
      </w:r>
    </w:p>
    <w:p w:rsidRPr="00723C75" w:rsidR="00D60157" w:rsidP="00723C75" w:rsidRDefault="00D60157" w14:paraId="05400F55"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Using those above to demand better results can motivate one to engage in some bad social behaviour. It is also worth noting that the timing of reinforcement must be appropriate for each individual. Admitted individuals are sensitive to positive effects on the elderly and children, changing the order of occurrence of reinforcement expectations of positive attitudes </w:t>
      </w:r>
      <w:r w:rsidRPr="00723C75">
        <w:rPr>
          <w:rStyle w:val="normaltextrun"/>
          <w:rFonts w:asciiTheme="minorBidi" w:hAnsiTheme="minorBidi" w:eastAsiaTheme="majorEastAsia" w:cstheme="minorBidi"/>
          <w:color w:val="215E99"/>
        </w:rPr>
        <w:t>(Miendlarzewska et al.; S., 2016).</w:t>
      </w:r>
      <w:r w:rsidRPr="00723C75">
        <w:rPr>
          <w:rStyle w:val="eop"/>
          <w:rFonts w:asciiTheme="minorBidi" w:hAnsiTheme="minorBidi" w:eastAsiaTheme="majorEastAsia" w:cstheme="minorBidi"/>
          <w:color w:val="215E99"/>
        </w:rPr>
        <w:t> </w:t>
      </w:r>
    </w:p>
    <w:p w:rsidRPr="00723C75" w:rsidR="00D60157" w:rsidP="00723C75" w:rsidRDefault="00D60157" w14:paraId="0598D19A"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eop"/>
          <w:rFonts w:asciiTheme="minorBidi" w:hAnsiTheme="minorBidi" w:eastAsiaTheme="majorEastAsia" w:cstheme="minorBidi"/>
        </w:rPr>
        <w:t> </w:t>
      </w:r>
    </w:p>
    <w:p w:rsidRPr="00723C75" w:rsidR="00D60157" w:rsidP="00723C75" w:rsidRDefault="00D60157" w14:paraId="52ADAA61"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color w:val="215E99"/>
        </w:rPr>
        <w:t>4-Goal Setting </w:t>
      </w:r>
      <w:r w:rsidRPr="00723C75">
        <w:rPr>
          <w:rStyle w:val="eop"/>
          <w:rFonts w:asciiTheme="minorBidi" w:hAnsiTheme="minorBidi" w:eastAsiaTheme="majorEastAsia" w:cstheme="minorBidi"/>
          <w:color w:val="215E99"/>
        </w:rPr>
        <w:t> </w:t>
      </w:r>
    </w:p>
    <w:p w:rsidRPr="00723C75" w:rsidR="00D60157" w:rsidP="00723C75" w:rsidRDefault="00D60157" w14:paraId="6B6E363C"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Goal setting is a process involving distinct principles of motivation. Three essential principles relate to goal setting. </w:t>
      </w:r>
      <w:r w:rsidRPr="00723C75">
        <w:rPr>
          <w:rStyle w:val="eop"/>
          <w:rFonts w:asciiTheme="minorBidi" w:hAnsiTheme="minorBidi" w:eastAsiaTheme="majorEastAsia" w:cstheme="minorBidi"/>
        </w:rPr>
        <w:t> </w:t>
      </w:r>
    </w:p>
    <w:p w:rsidRPr="00723C75" w:rsidR="00D60157" w:rsidP="00723C75" w:rsidRDefault="00D60157" w14:paraId="7E238452"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The first principle is that specific and challenging goals motivate more than easy, vague, and general goals. </w:t>
      </w:r>
      <w:r w:rsidRPr="00723C75">
        <w:rPr>
          <w:rStyle w:val="eop"/>
          <w:rFonts w:asciiTheme="minorBidi" w:hAnsiTheme="minorBidi" w:eastAsiaTheme="majorEastAsia" w:cstheme="minorBidi"/>
        </w:rPr>
        <w:t> </w:t>
      </w:r>
    </w:p>
    <w:p w:rsidRPr="00723C75" w:rsidR="00D60157" w:rsidP="00723C75" w:rsidRDefault="00D60157" w14:paraId="3398269D"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The second principle states that well-defined and attainable goals through learning and effort can enhance performance. The last principle is that setting a performance goal can lead to higher task performance when the goal-seeker receives goal-directed feedback. </w:t>
      </w:r>
      <w:r w:rsidRPr="00723C75">
        <w:rPr>
          <w:rStyle w:val="eop"/>
          <w:rFonts w:asciiTheme="minorBidi" w:hAnsiTheme="minorBidi" w:eastAsiaTheme="majorEastAsia" w:cstheme="minorBidi"/>
        </w:rPr>
        <w:t> </w:t>
      </w:r>
    </w:p>
    <w:p w:rsidRPr="00723C75" w:rsidR="00D60157" w:rsidP="00723C75" w:rsidRDefault="00D60157" w14:paraId="6F0E335E"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Goal setting facilitates performance through four mechanisms: </w:t>
      </w:r>
      <w:r w:rsidRPr="00723C75">
        <w:rPr>
          <w:rStyle w:val="eop"/>
          <w:rFonts w:asciiTheme="minorBidi" w:hAnsiTheme="minorBidi" w:eastAsiaTheme="majorEastAsia" w:cstheme="minorBidi"/>
        </w:rPr>
        <w:t> </w:t>
      </w:r>
    </w:p>
    <w:p w:rsidRPr="00723C75" w:rsidR="00D60157" w:rsidP="00723C75" w:rsidRDefault="00D60157" w14:paraId="0ED5914A"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Goals directly help to enhance task persistence; they also indirectly affect this by leading to the development of goal-directed strategies and action plans. People are motivated to expend effort for a variety of cognitive reasons. </w:t>
      </w:r>
      <w:r w:rsidRPr="00723C75">
        <w:rPr>
          <w:rStyle w:val="eop"/>
          <w:rFonts w:asciiTheme="minorBidi" w:hAnsiTheme="minorBidi" w:eastAsiaTheme="majorEastAsia" w:cstheme="minorBidi"/>
        </w:rPr>
        <w:t> </w:t>
      </w:r>
    </w:p>
    <w:p w:rsidRPr="00723C75" w:rsidR="00D60157" w:rsidP="00723C75" w:rsidRDefault="00D60157" w14:paraId="32338C57"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Committing to a goal can led to the exertion of effort using feedback and self-regulation</w:t>
      </w:r>
      <w:r w:rsidRPr="00723C75">
        <w:rPr>
          <w:rStyle w:val="normaltextrun"/>
          <w:rFonts w:asciiTheme="minorBidi" w:hAnsiTheme="minorBidi" w:eastAsiaTheme="majorEastAsia" w:cstheme="minorBidi"/>
          <w:color w:val="215E99"/>
        </w:rPr>
        <w:t xml:space="preserve"> (Siegert et al.; W.J., 2004)</w:t>
      </w:r>
      <w:r w:rsidRPr="00723C75">
        <w:rPr>
          <w:rStyle w:val="eop"/>
          <w:rFonts w:asciiTheme="minorBidi" w:hAnsiTheme="minorBidi" w:eastAsiaTheme="majorEastAsia" w:cstheme="minorBidi"/>
          <w:color w:val="215E99"/>
        </w:rPr>
        <w:t> </w:t>
      </w:r>
    </w:p>
    <w:p w:rsidRPr="00723C75" w:rsidR="00D60157" w:rsidP="00723C75" w:rsidRDefault="00D60157" w14:paraId="7E9BB1E1"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Goal setting is another motivational technique. </w:t>
      </w:r>
      <w:r w:rsidRPr="00723C75">
        <w:rPr>
          <w:rStyle w:val="eop"/>
          <w:rFonts w:asciiTheme="minorBidi" w:hAnsiTheme="minorBidi" w:eastAsiaTheme="majorEastAsia" w:cstheme="minorBidi"/>
        </w:rPr>
        <w:t> </w:t>
      </w:r>
    </w:p>
    <w:p w:rsidRPr="00723C75" w:rsidR="00D60157" w:rsidP="00723C75" w:rsidRDefault="00D60157" w14:paraId="3604017F"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The goal-setting theory, developed by Locke, states that the procedure for developing goals and the difficulty level of the goals selected are influenced by a person's level of performance. The primary personal factors influencing goal setting are national culture, personal attributes, and behaviour</w:t>
      </w:r>
      <w:r w:rsidRPr="00723C75">
        <w:rPr>
          <w:rStyle w:val="normaltextrun"/>
          <w:rFonts w:asciiTheme="minorBidi" w:hAnsiTheme="minorBidi" w:eastAsiaTheme="majorEastAsia" w:cstheme="minorBidi"/>
          <w:color w:val="215E99"/>
        </w:rPr>
        <w:t xml:space="preserve"> (Kanfer et al.; R.E., 2017). </w:t>
      </w:r>
      <w:r w:rsidRPr="00723C75">
        <w:rPr>
          <w:rStyle w:val="eop"/>
          <w:rFonts w:asciiTheme="minorBidi" w:hAnsiTheme="minorBidi" w:eastAsiaTheme="majorEastAsia" w:cstheme="minorBidi"/>
          <w:color w:val="215E99"/>
        </w:rPr>
        <w:t> </w:t>
      </w:r>
    </w:p>
    <w:p w:rsidRPr="00723C75" w:rsidR="00D60157" w:rsidP="00723C75" w:rsidRDefault="00D60157" w14:paraId="52BA293F"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Within the organisational context, goal setting involves establishing specific and challenging goals, using various means for realising success, and providing feedback and monitoring. A goal is defined as a result that a person is committed to achieve. Challenging goals are objectives that require hard work and dedication to accomplish. The greater the challenge in motivational and performance outcomes associated with the goal. The organisation typically uses goal setting to improve task performance, initiatives, creativity, and satisfaction </w:t>
      </w:r>
      <w:r w:rsidRPr="00723C75">
        <w:rPr>
          <w:rStyle w:val="normaltextrun"/>
          <w:rFonts w:asciiTheme="minorBidi" w:hAnsiTheme="minorBidi" w:eastAsiaTheme="majorEastAsia" w:cstheme="minorBidi"/>
          <w:color w:val="215E99"/>
        </w:rPr>
        <w:t>(Kanfer et al.; R.E., 2017).</w:t>
      </w:r>
      <w:r w:rsidRPr="00723C75">
        <w:rPr>
          <w:rStyle w:val="eop"/>
          <w:rFonts w:asciiTheme="minorBidi" w:hAnsiTheme="minorBidi" w:eastAsiaTheme="majorEastAsia" w:cstheme="minorBidi"/>
          <w:color w:val="215E99"/>
        </w:rPr>
        <w:t> </w:t>
      </w:r>
    </w:p>
    <w:p w:rsidRPr="00723C75" w:rsidR="00D60157" w:rsidP="00723C75" w:rsidRDefault="00D60157" w14:paraId="4ACD33FF"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color w:val="215E99"/>
        </w:rPr>
        <w:t>5- Recognition and Rewards </w:t>
      </w:r>
      <w:r w:rsidRPr="00723C75">
        <w:rPr>
          <w:rStyle w:val="eop"/>
          <w:rFonts w:asciiTheme="minorBidi" w:hAnsiTheme="minorBidi" w:eastAsiaTheme="majorEastAsia" w:cstheme="minorBidi"/>
          <w:color w:val="215E99"/>
        </w:rPr>
        <w:t> </w:t>
      </w:r>
    </w:p>
    <w:p w:rsidRPr="00723C75" w:rsidR="00D60157" w:rsidP="00723C75" w:rsidRDefault="00D60157" w14:paraId="3D509CDF"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The guiding principle of presenting rewards so that rewards are linked directly to attainable behavioural and motivational intentions supports the prospect theory, the enumeration theory, which emphasises the intention of behaviour about the price of reward, based on the proposed eradication theory, and the depreciation of motivation. In addition, the nature of the reward system can affect performance by increasing the number of resources available equivalent in exchange for productive behaviours </w:t>
      </w:r>
      <w:r w:rsidRPr="00723C75">
        <w:rPr>
          <w:rStyle w:val="normaltextrun"/>
          <w:rFonts w:asciiTheme="minorBidi" w:hAnsiTheme="minorBidi" w:eastAsiaTheme="majorEastAsia" w:cstheme="minorBidi"/>
          <w:color w:val="215E99"/>
        </w:rPr>
        <w:t>(Abdullah et al.; N., 2016). </w:t>
      </w:r>
      <w:r w:rsidRPr="00723C75">
        <w:rPr>
          <w:rStyle w:val="eop"/>
          <w:rFonts w:asciiTheme="minorBidi" w:hAnsiTheme="minorBidi" w:eastAsiaTheme="majorEastAsia" w:cstheme="minorBidi"/>
          <w:color w:val="215E99"/>
        </w:rPr>
        <w:t> </w:t>
      </w:r>
    </w:p>
    <w:p w:rsidRPr="00723C75" w:rsidR="00D60157" w:rsidP="00723C75" w:rsidRDefault="00D60157" w14:paraId="589EEBAE"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This interacts with several other factors in the model, such as personality, trust in management, and type of compensation package. Given the theoretical framework of motivation, expectations, and OCB, individual behaviour will be analysed, specifically investigating the impact of various aspects of extrinsic motivation </w:t>
      </w:r>
      <w:r w:rsidRPr="00723C75">
        <w:rPr>
          <w:rStyle w:val="normaltextrun"/>
          <w:rFonts w:asciiTheme="minorBidi" w:hAnsiTheme="minorBidi" w:eastAsiaTheme="majorEastAsia" w:cstheme="minorBidi"/>
          <w:color w:val="215E99"/>
        </w:rPr>
        <w:t>(Hidi, S., 2016).</w:t>
      </w:r>
      <w:r w:rsidRPr="00723C75">
        <w:rPr>
          <w:rStyle w:val="eop"/>
          <w:rFonts w:asciiTheme="minorBidi" w:hAnsiTheme="minorBidi" w:eastAsiaTheme="majorEastAsia" w:cstheme="minorBidi"/>
          <w:color w:val="215E99"/>
        </w:rPr>
        <w:t> </w:t>
      </w:r>
    </w:p>
    <w:p w:rsidRPr="00723C75" w:rsidR="00D60157" w:rsidP="00723C75" w:rsidRDefault="00D60157" w14:paraId="63C455CA" w14:textId="77777777">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The relationship between this and positive adverse outcomes at work. Estimation: What are the intentions behind translating, producing, or demonstrating OCB? </w:t>
      </w:r>
      <w:r w:rsidRPr="00723C75">
        <w:rPr>
          <w:rStyle w:val="eop"/>
          <w:rFonts w:asciiTheme="minorBidi" w:hAnsiTheme="minorBidi" w:eastAsiaTheme="majorEastAsia" w:cstheme="minorBidi"/>
        </w:rPr>
        <w:t> </w:t>
      </w:r>
    </w:p>
    <w:p w:rsidRPr="00723C75" w:rsidR="00D60157" w:rsidP="00D621E5" w:rsidRDefault="00D60157" w14:paraId="158EA1DF" w14:textId="76C9FCF0">
      <w:pPr>
        <w:pStyle w:val="paragraph"/>
        <w:spacing w:before="0" w:beforeAutospacing="0" w:after="0" w:afterAutospacing="0" w:line="480" w:lineRule="auto"/>
        <w:textAlignment w:val="baseline"/>
        <w:rPr>
          <w:rFonts w:asciiTheme="minorBidi" w:hAnsiTheme="minorBidi" w:cstheme="minorBidi"/>
        </w:rPr>
      </w:pPr>
      <w:r w:rsidRPr="00723C75">
        <w:rPr>
          <w:rStyle w:val="normaltextrun"/>
          <w:rFonts w:asciiTheme="minorBidi" w:hAnsiTheme="minorBidi" w:eastAsiaTheme="majorEastAsia" w:cstheme="minorBidi"/>
        </w:rPr>
        <w:t xml:space="preserve">There are three levels of motivational techniques. The first level is ending a stimulus or starting a stimulus. Using negative or positive reinforcement as appropriate, an individual is taught never to give in to negative feelings. For example, while expecting praise for decent work and completing it is inappropriate, individuals with these feelings not be motivated to do their jobs because they are not praised. Negative people are motivated by incentives that create anxiety </w:t>
      </w:r>
      <w:r w:rsidRPr="00723C75">
        <w:rPr>
          <w:rStyle w:val="normaltextrun"/>
          <w:rFonts w:asciiTheme="minorBidi" w:hAnsiTheme="minorBidi" w:eastAsiaTheme="majorEastAsia" w:cstheme="minorBidi"/>
          <w:color w:val="215E99"/>
        </w:rPr>
        <w:t>(Samdal et al.; E., 2017).</w:t>
      </w:r>
      <w:r w:rsidRPr="00723C75">
        <w:rPr>
          <w:rStyle w:val="eop"/>
          <w:rFonts w:asciiTheme="minorBidi" w:hAnsiTheme="minorBidi" w:eastAsiaTheme="majorEastAsia" w:cstheme="minorBidi"/>
          <w:color w:val="215E99"/>
        </w:rPr>
        <w:t> </w:t>
      </w:r>
      <w:r w:rsidRPr="00723C75">
        <w:rPr>
          <w:rStyle w:val="normaltextrun"/>
          <w:rFonts w:asciiTheme="minorBidi" w:hAnsiTheme="minorBidi" w:eastAsiaTheme="majorEastAsia" w:cstheme="minorBidi"/>
        </w:rPr>
        <w:t xml:space="preserve">Encouragement causes individuals to perform the behaviour that follows praise without self-citation. A poor attitude results from something that should be expected, such as a reward to motivate behaviour. The other two levels contain numerous motivational practices, such as establishing internal relationships, motivation by stimulating content, and non-financial rewards </w:t>
      </w:r>
      <w:r w:rsidRPr="00723C75">
        <w:rPr>
          <w:rStyle w:val="normaltextrun"/>
          <w:rFonts w:asciiTheme="minorBidi" w:hAnsiTheme="minorBidi" w:eastAsiaTheme="majorEastAsia" w:cstheme="minorBidi"/>
          <w:color w:val="215E99"/>
        </w:rPr>
        <w:t>(Putra et al.; G., 2020). </w:t>
      </w:r>
      <w:r w:rsidRPr="00723C75">
        <w:rPr>
          <w:rStyle w:val="eop"/>
          <w:rFonts w:asciiTheme="minorBidi" w:hAnsiTheme="minorBidi" w:eastAsiaTheme="majorEastAsia" w:cstheme="minorBidi"/>
          <w:color w:val="215E99"/>
        </w:rPr>
        <w:t> </w:t>
      </w:r>
    </w:p>
    <w:p w:rsidR="00D60157" w:rsidP="00723C75" w:rsidRDefault="00D60157" w14:paraId="1BE49A4B" w14:textId="6F606899">
      <w:pPr>
        <w:pStyle w:val="paragraph"/>
        <w:spacing w:before="0" w:beforeAutospacing="0" w:after="0" w:afterAutospacing="0" w:line="480" w:lineRule="auto"/>
        <w:textAlignment w:val="baseline"/>
        <w:rPr>
          <w:rStyle w:val="eop"/>
          <w:rFonts w:asciiTheme="minorBidi" w:hAnsiTheme="minorBidi" w:eastAsiaTheme="majorEastAsia" w:cstheme="minorBidi"/>
        </w:rPr>
      </w:pPr>
      <w:r w:rsidRPr="00723C75">
        <w:rPr>
          <w:rStyle w:val="normaltextrun"/>
          <w:rFonts w:asciiTheme="minorBidi" w:hAnsiTheme="minorBidi" w:eastAsiaTheme="majorEastAsia" w:cstheme="minorBidi"/>
        </w:rPr>
        <w:t xml:space="preserve">These strategies significantly impact employee satisfaction, which is crucial for a positive work environment. Carefully designing compensation packages and mechanisms to create an atmosphere where employees trust management, innovation, and compensation is the foundation of any successful enterprise. Papers, tokens, experiences, awards, and celebrations are helpful for several recommendations, for example, recognising and rewarding employees' good or </w:t>
      </w:r>
      <w:r w:rsidRPr="00723C75">
        <w:rPr>
          <w:rStyle w:val="normaltextrun"/>
          <w:rFonts w:asciiTheme="minorBidi" w:hAnsiTheme="minorBidi" w:eastAsiaTheme="majorEastAsia" w:cstheme="minorBidi"/>
        </w:rPr>
        <w:t>better work to influence employees' behaviour, increase organisational citizenship (OCB), organisation, improve performance, satisfaction, and decision loyalty.</w:t>
      </w:r>
    </w:p>
    <w:p w:rsidR="00F3799E" w:rsidP="00F3799E" w:rsidRDefault="00D25585" w14:paraId="584C97E2" w14:textId="77777777">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Introduction to Self-Determination Theory: </w:t>
      </w:r>
    </w:p>
    <w:p w:rsidR="00143D56" w:rsidP="00143D56" w:rsidRDefault="00D25585" w14:paraId="01A60CA8" w14:textId="77777777">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Within the framework of the literature on various motivation methods and theories and an explanation of the essential definitions of motivation, self-determination theory will be used to measure its effectiveness and its reflection on employees' performance and the extent of their satisfaction with their workplace at Trinity Saint David University. </w:t>
      </w:r>
    </w:p>
    <w:p w:rsidRPr="00F3799E" w:rsidR="00F3799E" w:rsidP="00143D56" w:rsidRDefault="00D25585" w14:paraId="7995169D" w14:textId="4F441352">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In recent years, there has been increasing interest among managers and organisations in understanding and obtaining knowledge of motivation to enable factors that improve performance. Interest in motivation has led several management researchers to address the same facet of motivation, namely the drive or pull that leads individuals towards specific goals and behaviours. Self-determination theory is an approach to human motivation and personality concerned with the development and consequences of the socio-cultural conditions of human behaviour </w:t>
      </w:r>
      <w:r w:rsidRPr="00F3799E">
        <w:rPr>
          <w:rFonts w:asciiTheme="minorBidi" w:hAnsiTheme="minorBidi" w:cstheme="minorBidi"/>
          <w:color w:val="215E99" w:themeColor="text2" w:themeTint="BF"/>
        </w:rPr>
        <w:t xml:space="preserve">(Deci et al., R.M., 2017). </w:t>
      </w:r>
      <w:r w:rsidRPr="00D25585">
        <w:rPr>
          <w:rFonts w:asciiTheme="minorBidi" w:hAnsiTheme="minorBidi" w:cstheme="minorBidi"/>
        </w:rPr>
        <w:t xml:space="preserve">It is based on humans' evolved inner resources for personality development and behavioural self-regulation. Early works on this theory focused on the vices of hedonic activity and how they led to maladaptive motivational regulations and pathways. Recent advances have elaborated on the concept of "activities" (both hedonic and nonhedonic) that can fulfil basic psychological needs and enhance the quality of motivation and wellness </w:t>
      </w:r>
      <w:r w:rsidRPr="00882200">
        <w:rPr>
          <w:rFonts w:asciiTheme="minorBidi" w:hAnsiTheme="minorBidi" w:cstheme="minorBidi"/>
          <w:color w:val="215E99" w:themeColor="text2" w:themeTint="BF"/>
        </w:rPr>
        <w:t xml:space="preserve">(Meyer et al.; E.R., 2010). </w:t>
      </w:r>
    </w:p>
    <w:p w:rsidRPr="00F3799E" w:rsidR="00882200" w:rsidP="00F3799E" w:rsidRDefault="00D25585" w14:paraId="1FF29FFD" w14:textId="295D410B">
      <w:pPr>
        <w:pStyle w:val="paragraph"/>
        <w:spacing w:after="0" w:line="480" w:lineRule="auto"/>
        <w:textAlignment w:val="baseline"/>
        <w:rPr>
          <w:rFonts w:asciiTheme="minorBidi" w:hAnsiTheme="minorBidi" w:cstheme="minorBidi"/>
          <w:color w:val="215E99" w:themeColor="text2" w:themeTint="BF"/>
        </w:rPr>
      </w:pPr>
      <w:r w:rsidRPr="00D25585">
        <w:rPr>
          <w:rFonts w:asciiTheme="minorBidi" w:hAnsiTheme="minorBidi" w:cstheme="minorBidi"/>
        </w:rPr>
        <w:t xml:space="preserve">Uniquely, Self-determination Theory distinguishes motivation across a dimensional continuum (from no self-determination to high self-determination) and proposes that </w:t>
      </w:r>
      <w:r w:rsidRPr="00D25585">
        <w:rPr>
          <w:rFonts w:asciiTheme="minorBidi" w:hAnsiTheme="minorBidi" w:cstheme="minorBidi"/>
        </w:rPr>
        <w:t xml:space="preserve">these several types of motivation can have differential consequences for learning and task engagement.  </w:t>
      </w:r>
    </w:p>
    <w:p w:rsidR="00882200" w:rsidP="00882200" w:rsidRDefault="00D25585" w14:paraId="754E0EA0" w14:textId="6C51FA0C">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A fundamental insight underpins robust research and a practical program on the need to support and foster intrinsic motivation in various contexts, including the workplace. This theory has been widely applied in organisational psychology and has shown promising results in improving employee performance.  </w:t>
      </w:r>
    </w:p>
    <w:p w:rsidRPr="00D25585" w:rsidR="00D25585" w:rsidP="00882200" w:rsidRDefault="00D25585" w14:paraId="1AB18F45" w14:textId="1DE1AA46">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The theory proposes that individuals have three basic psychological needs: autonomy, competence, and relatedness. These needs are said to be essential for intrinsic motivation and well-being. The theory of Self-determination adopts that individuals have three basic needs: autonomy, competence, and relatedness. Supportive actions of engenderers are that contexts organised by the rich distinctions made within the broader self-determination theory framework foster positive motivational, emotional, and learning outcomes in employees.  </w:t>
      </w:r>
    </w:p>
    <w:p w:rsidR="00882200" w:rsidP="00882200" w:rsidRDefault="00D25585" w14:paraId="2F3555AF" w14:textId="77777777">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Empirical evidence is reviewed to verify whether some of the need-supportive actions predicted by the self-determination theory can be identified in a naturalistic instructional context and whether they positively relate to indicators of employees' motivation and learning. Other evidence is also reviewed to provide initial data on how contexts that comply with self-determination theory propositions may differ from contexts that do not </w:t>
      </w:r>
      <w:r w:rsidRPr="00882200">
        <w:rPr>
          <w:rFonts w:asciiTheme="minorBidi" w:hAnsiTheme="minorBidi" w:cstheme="minorBidi"/>
          <w:color w:val="215E99" w:themeColor="text2" w:themeTint="BF"/>
        </w:rPr>
        <w:t xml:space="preserve">(Gunasekare, U.LT.P., 2016). </w:t>
      </w:r>
    </w:p>
    <w:p w:rsidR="00C8538A" w:rsidP="00882200" w:rsidRDefault="00D25585" w14:paraId="68D95815" w14:textId="758CA225">
      <w:pPr>
        <w:pStyle w:val="paragraph"/>
        <w:spacing w:after="0" w:line="480" w:lineRule="auto"/>
        <w:textAlignment w:val="baseline"/>
        <w:rPr>
          <w:rFonts w:asciiTheme="minorBidi" w:hAnsiTheme="minorBidi" w:cstheme="minorBidi"/>
        </w:rPr>
      </w:pPr>
      <w:r w:rsidRPr="00D25585">
        <w:rPr>
          <w:rFonts w:asciiTheme="minorBidi" w:hAnsiTheme="minorBidi" w:cstheme="minorBidi"/>
        </w:rPr>
        <w:t>Critical Implications of SDT in Employee Performance: Autonomy: Allowing employees to control their work and make decisions can enhance their intrinsic motivation and job satisfaction</w:t>
      </w:r>
      <w:r w:rsidR="00882200">
        <w:rPr>
          <w:rFonts w:asciiTheme="minorBidi" w:hAnsiTheme="minorBidi" w:cstheme="minorBidi"/>
        </w:rPr>
        <w:t>.</w:t>
      </w:r>
    </w:p>
    <w:p w:rsidR="006C5814" w:rsidP="006C5814" w:rsidRDefault="00D25585" w14:paraId="728EBEFF" w14:textId="77777777">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Competence: By providing opportunities for skill development and </w:t>
      </w:r>
      <w:r w:rsidR="00C8538A">
        <w:rPr>
          <w:rFonts w:asciiTheme="minorBidi" w:hAnsiTheme="minorBidi" w:cstheme="minorBidi"/>
        </w:rPr>
        <w:t>recognising</w:t>
      </w:r>
      <w:r w:rsidRPr="00D25585">
        <w:rPr>
          <w:rFonts w:asciiTheme="minorBidi" w:hAnsiTheme="minorBidi" w:cstheme="minorBidi"/>
        </w:rPr>
        <w:t xml:space="preserve"> achievements, we can instil a sense of competence in our employees. This not only boosts their confidence but also encourages continuous improvement, ensuring a skilled and confident workforce.  </w:t>
      </w:r>
    </w:p>
    <w:p w:rsidRPr="006C5814" w:rsidR="00624F01" w:rsidP="006C5814" w:rsidRDefault="00D25585" w14:paraId="46D4ADF3" w14:textId="4D528A41">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A supportive and collaborative work environment fosters relatedness, or the sense of connection employees feel towards their colleagues and the organisation </w:t>
      </w:r>
      <w:r w:rsidRPr="00E36203">
        <w:rPr>
          <w:rFonts w:asciiTheme="minorBidi" w:hAnsiTheme="minorBidi" w:cstheme="minorBidi"/>
          <w:color w:val="215E99" w:themeColor="text2" w:themeTint="BF"/>
        </w:rPr>
        <w:t>(La Guardia, J.G.&amp; Patrick</w:t>
      </w:r>
      <w:r w:rsidRPr="00E36203" w:rsidR="00E36203">
        <w:rPr>
          <w:rFonts w:asciiTheme="minorBidi" w:hAnsiTheme="minorBidi" w:cstheme="minorBidi"/>
          <w:color w:val="215E99" w:themeColor="text2" w:themeTint="BF"/>
        </w:rPr>
        <w:t>;</w:t>
      </w:r>
      <w:r w:rsidRPr="00E36203">
        <w:rPr>
          <w:rFonts w:asciiTheme="minorBidi" w:hAnsiTheme="minorBidi" w:cstheme="minorBidi"/>
          <w:color w:val="215E99" w:themeColor="text2" w:themeTint="BF"/>
        </w:rPr>
        <w:t xml:space="preserve"> H., 2008).  </w:t>
      </w:r>
    </w:p>
    <w:p w:rsidR="009B5A22" w:rsidP="00624F01" w:rsidRDefault="00D25585" w14:paraId="52C13314" w14:textId="77777777">
      <w:pPr>
        <w:pStyle w:val="paragraph"/>
        <w:spacing w:after="0" w:line="480" w:lineRule="auto"/>
        <w:textAlignment w:val="baseline"/>
        <w:rPr>
          <w:rFonts w:asciiTheme="minorBidi" w:hAnsiTheme="minorBidi" w:cstheme="minorBidi"/>
        </w:rPr>
      </w:pPr>
      <w:r w:rsidRPr="00D25585">
        <w:rPr>
          <w:rFonts w:asciiTheme="minorBidi" w:hAnsiTheme="minorBidi" w:cstheme="minorBidi"/>
        </w:rPr>
        <w:t xml:space="preserve">Competence: Once the necessity for autonomy is established, it is equally important to consider the role of competence in intrinsic motivation. Unlike the innate needs for autonomy and relatedness, </w:t>
      </w:r>
      <w:r w:rsidR="00E36203">
        <w:rPr>
          <w:rFonts w:asciiTheme="minorBidi" w:hAnsiTheme="minorBidi" w:cstheme="minorBidi"/>
        </w:rPr>
        <w:t>individuals' aspiration for competence must be induced</w:t>
      </w:r>
      <w:r w:rsidRPr="00D25585">
        <w:rPr>
          <w:rFonts w:asciiTheme="minorBidi" w:hAnsiTheme="minorBidi" w:cstheme="minorBidi"/>
        </w:rPr>
        <w:t>. This induction is primarily the role of social agents and the cultural contexts into which individuals have been adopted. A significant difference exists between 'high' and 'low' probability activities; however, the zest for controlling and leisurely 'risky activities' is alive and well within even the most cautious individuals. Feeling competent within the topographical, visual-auditory, temporal, and social domains of the activities at hand is essential for motivation to be further pursued. The current goals and feedback-seeking behaviour can reflect the confidence and concern for competence the pursuer holds. However, it is essential to note that contextually determined perceptions of competence can skew this behaviour and lead to either the avoidance of ludic situations within the exact domains or attempts to find more controllable situations.</w:t>
      </w:r>
    </w:p>
    <w:p w:rsidR="009B5A22" w:rsidP="00624F01" w:rsidRDefault="009B5A22" w14:paraId="738EBB69" w14:textId="77777777">
      <w:pPr>
        <w:pStyle w:val="paragraph"/>
        <w:spacing w:after="0" w:line="480" w:lineRule="auto"/>
        <w:textAlignment w:val="baseline"/>
        <w:rPr>
          <w:rFonts w:asciiTheme="minorBidi" w:hAnsiTheme="minorBidi" w:cstheme="minorBidi"/>
        </w:rPr>
      </w:pPr>
    </w:p>
    <w:p w:rsidR="00416F4E" w:rsidP="006C5814" w:rsidRDefault="009B5A22" w14:paraId="125BFB0F" w14:textId="303BB96D">
      <w:pPr>
        <w:pStyle w:val="paragraph"/>
        <w:spacing w:after="0" w:line="480" w:lineRule="auto"/>
        <w:textAlignment w:val="baseline"/>
        <w:rPr>
          <w:rFonts w:asciiTheme="minorBidi" w:hAnsiTheme="minorBidi" w:cstheme="minorBidi"/>
        </w:rPr>
      </w:pPr>
      <w:r w:rsidRPr="006C5814">
        <w:rPr>
          <w:rFonts w:asciiTheme="minorBidi" w:hAnsiTheme="minorBidi" w:cstheme="minorBidi"/>
          <w:color w:val="215E99" w:themeColor="text2" w:themeTint="BF"/>
        </w:rPr>
        <w:t>Relatedness:</w:t>
      </w:r>
      <w:r w:rsidR="006C5814">
        <w:rPr>
          <w:rFonts w:asciiTheme="minorBidi" w:hAnsiTheme="minorBidi" w:cstheme="minorBidi"/>
        </w:rPr>
        <w:t xml:space="preserve"> Besides</w:t>
      </w:r>
      <w:r w:rsidRPr="009B5A22">
        <w:rPr>
          <w:rFonts w:asciiTheme="minorBidi" w:hAnsiTheme="minorBidi" w:cstheme="minorBidi"/>
        </w:rPr>
        <w:t xml:space="preserve"> providing workplace environments supportive of autonomy and competence in job design and feedback, it is also essential to consider the role of an individual’s sense of relatedness and social contract to their engaged activities. The experience of relatedness relies solely on social and environmental factors and contextually induced perceptions; these feelings also pertain to certain social relationships with each individual.  Like the need for autonomy and competence, relatedness has become fundamental to human nature. However, that being said, the definitions and schematic outlines of the basic needs for autonomy, competence, and relatedness set the stage for its practical applications. </w:t>
      </w:r>
    </w:p>
    <w:p w:rsidR="00416F4E" w:rsidP="00416F4E" w:rsidRDefault="009B5A22" w14:paraId="0785C217" w14:textId="77777777">
      <w:pPr>
        <w:pStyle w:val="paragraph"/>
        <w:spacing w:after="0" w:line="480" w:lineRule="auto"/>
        <w:textAlignment w:val="baseline"/>
        <w:rPr>
          <w:rFonts w:asciiTheme="minorBidi" w:hAnsiTheme="minorBidi" w:cstheme="minorBidi"/>
          <w:color w:val="215E99" w:themeColor="text2" w:themeTint="BF"/>
        </w:rPr>
      </w:pPr>
      <w:r w:rsidRPr="00416F4E">
        <w:rPr>
          <w:rFonts w:asciiTheme="minorBidi" w:hAnsiTheme="minorBidi" w:cstheme="minorBidi"/>
          <w:color w:val="215E99" w:themeColor="text2" w:themeTint="BF"/>
        </w:rPr>
        <w:t xml:space="preserve">Traditional Theories vs. Self-Determination Theory: </w:t>
      </w:r>
      <w:r w:rsidRPr="009B5A22">
        <w:rPr>
          <w:rFonts w:asciiTheme="minorBidi" w:hAnsiTheme="minorBidi" w:cstheme="minorBidi"/>
        </w:rPr>
        <w:t xml:space="preserve">Economic-oriented theories such as Taylor’s scientific management, Hawthorn experiments, and McGregor’s X-Y theory assume that employees’ objectives in organizations are profit maximization and personal convenience satisfaction.  </w:t>
      </w:r>
    </w:p>
    <w:p w:rsidRPr="00416F4E" w:rsidR="009B5A22" w:rsidP="00416F4E" w:rsidRDefault="009B5A22" w14:paraId="590AE85B" w14:textId="3557E1FF">
      <w:pPr>
        <w:pStyle w:val="paragraph"/>
        <w:spacing w:after="0" w:line="480" w:lineRule="auto"/>
        <w:textAlignment w:val="baseline"/>
        <w:rPr>
          <w:rFonts w:asciiTheme="minorBidi" w:hAnsiTheme="minorBidi" w:cstheme="minorBidi"/>
          <w:color w:val="215E99" w:themeColor="text2" w:themeTint="BF"/>
        </w:rPr>
      </w:pPr>
      <w:r w:rsidRPr="009B5A22">
        <w:rPr>
          <w:rFonts w:asciiTheme="minorBidi" w:hAnsiTheme="minorBidi" w:cstheme="minorBidi"/>
        </w:rPr>
        <w:t xml:space="preserve">These traditional theories had a significant impact in the mid-1900s. However, </w:t>
      </w:r>
      <w:r w:rsidR="00F5241F">
        <w:rPr>
          <w:rFonts w:asciiTheme="minorBidi" w:hAnsiTheme="minorBidi" w:cstheme="minorBidi"/>
        </w:rPr>
        <w:t>motivation was of minor importance during those times</w:t>
      </w:r>
      <w:r w:rsidRPr="009B5A22">
        <w:rPr>
          <w:rFonts w:asciiTheme="minorBidi" w:hAnsiTheme="minorBidi" w:cstheme="minorBidi"/>
        </w:rPr>
        <w:t xml:space="preserve"> because wages and salaries were rationally low, and workers needed to comply with organizations with limited availability of competitive work </w:t>
      </w:r>
      <w:r w:rsidRPr="009B5A22" w:rsidR="00070F56">
        <w:rPr>
          <w:rFonts w:asciiTheme="minorBidi" w:hAnsiTheme="minorBidi" w:cstheme="minorBidi"/>
        </w:rPr>
        <w:t xml:space="preserve">positions </w:t>
      </w:r>
      <w:r w:rsidRPr="00F5241F" w:rsidR="00070F56">
        <w:rPr>
          <w:rFonts w:asciiTheme="minorBidi" w:hAnsiTheme="minorBidi" w:cstheme="minorBidi"/>
          <w:color w:val="215E99" w:themeColor="text2" w:themeTint="BF"/>
        </w:rPr>
        <w:t>(</w:t>
      </w:r>
      <w:r w:rsidRPr="002C740B" w:rsidR="004C4B04">
        <w:rPr>
          <w:rFonts w:ascii="Arial" w:hAnsi="Arial" w:cs="Arial"/>
          <w:color w:val="215E99" w:themeColor="text2" w:themeTint="BF"/>
          <w:sz w:val="20"/>
          <w:szCs w:val="20"/>
          <w:shd w:val="clear" w:color="auto" w:fill="FFFFFF"/>
        </w:rPr>
        <w:t xml:space="preserve">Oubrich, M., Hakmaoui, A., </w:t>
      </w:r>
      <w:r w:rsidR="00070F56">
        <w:rPr>
          <w:rFonts w:ascii="Arial" w:hAnsi="Arial" w:cs="Arial"/>
          <w:color w:val="215E99" w:themeColor="text2" w:themeTint="BF"/>
          <w:sz w:val="20"/>
          <w:szCs w:val="20"/>
          <w:shd w:val="clear" w:color="auto" w:fill="FFFFFF"/>
        </w:rPr>
        <w:t xml:space="preserve">et al </w:t>
      </w:r>
      <w:r w:rsidRPr="002C740B" w:rsidR="004C4B04">
        <w:rPr>
          <w:rFonts w:ascii="Arial" w:hAnsi="Arial" w:cs="Arial"/>
          <w:color w:val="215E99" w:themeColor="text2" w:themeTint="BF"/>
          <w:sz w:val="20"/>
          <w:szCs w:val="20"/>
          <w:shd w:val="clear" w:color="auto" w:fill="FFFFFF"/>
        </w:rPr>
        <w:t>., 2021.</w:t>
      </w:r>
      <w:r w:rsidRPr="002C740B" w:rsidR="002C740B">
        <w:rPr>
          <w:rFonts w:ascii="Arial" w:hAnsi="Arial" w:cs="Arial"/>
          <w:color w:val="215E99" w:themeColor="text2" w:themeTint="BF"/>
          <w:sz w:val="20"/>
          <w:szCs w:val="20"/>
          <w:shd w:val="clear" w:color="auto" w:fill="FFFFFF"/>
        </w:rPr>
        <w:t>)</w:t>
      </w:r>
      <w:r w:rsidR="00070F56">
        <w:rPr>
          <w:rFonts w:ascii="Arial" w:hAnsi="Arial" w:cs="Arial"/>
          <w:color w:val="222222"/>
          <w:sz w:val="20"/>
          <w:szCs w:val="20"/>
          <w:shd w:val="clear" w:color="auto" w:fill="FFFFFF"/>
        </w:rPr>
        <w:t>.</w:t>
      </w:r>
    </w:p>
    <w:p w:rsidR="00416F4E" w:rsidP="00416F4E" w:rsidRDefault="009B5A22" w14:paraId="3C7BB2EB" w14:textId="51C0A172">
      <w:pPr>
        <w:pStyle w:val="paragraph"/>
        <w:spacing w:after="0" w:line="480" w:lineRule="auto"/>
        <w:textAlignment w:val="baseline"/>
        <w:rPr>
          <w:rFonts w:asciiTheme="minorBidi" w:hAnsiTheme="minorBidi" w:cstheme="minorBidi"/>
        </w:rPr>
      </w:pPr>
      <w:r w:rsidRPr="009B5A22">
        <w:rPr>
          <w:rFonts w:asciiTheme="minorBidi" w:hAnsiTheme="minorBidi" w:cstheme="minorBidi"/>
        </w:rPr>
        <w:t xml:space="preserve">Behaviour theories regard external mechanisms as the main drivers of behaviours. For example, operant conditioning, proposed by Skinner, claimed that events influencing behaviour are limited to situations with reinforcements or punishments. Vroom expected that expected satisfaction from behaviours could be calculated. In this case, satisfaction is contingent and produced by other perceived exogenous or external outcomes </w:t>
      </w:r>
      <w:r w:rsidRPr="00F5241F">
        <w:rPr>
          <w:rFonts w:asciiTheme="minorBidi" w:hAnsiTheme="minorBidi" w:cstheme="minorBidi"/>
          <w:color w:val="215E99" w:themeColor="text2" w:themeTint="BF"/>
        </w:rPr>
        <w:t xml:space="preserve">(Chen et al., 2019).  </w:t>
      </w:r>
      <w:r w:rsidRPr="009B5A22">
        <w:rPr>
          <w:rFonts w:asciiTheme="minorBidi" w:hAnsiTheme="minorBidi" w:cstheme="minorBidi"/>
        </w:rPr>
        <w:t xml:space="preserve">The expectancy, growth, drive, and group theories follow these considerations. Self-determination theory-SDT </w:t>
      </w:r>
    </w:p>
    <w:p w:rsidR="00454CFA" w:rsidP="00454CFA" w:rsidRDefault="009B5A22" w14:paraId="71AE4608" w14:textId="58547E3C">
      <w:pPr>
        <w:pStyle w:val="paragraph"/>
        <w:spacing w:after="0" w:line="480" w:lineRule="auto"/>
        <w:textAlignment w:val="baseline"/>
        <w:rPr>
          <w:rFonts w:asciiTheme="minorBidi" w:hAnsiTheme="minorBidi" w:cstheme="minorBidi"/>
        </w:rPr>
      </w:pPr>
      <w:r w:rsidRPr="009B5A22">
        <w:rPr>
          <w:rFonts w:asciiTheme="minorBidi" w:hAnsiTheme="minorBidi" w:cstheme="minorBidi"/>
        </w:rPr>
        <w:t xml:space="preserve">SDT regards people as proactive beings with presumed tendencies towards growth, approximation of important challenges, and eventual development of the self. It is based on the idea that motivation leads to behaviour due to needs and expected satisfaction from targets, In this case, motivation is seen as the driving force behind the behaviour, with needs and expected satisfaction acting as the fuel that propels individuals towards their goals. In SDT, self-regulation is internal and cognitive-oriented activities, which imply that people attempt to understand the actions and events surrounding them and build terms of conceptualisation.  </w:t>
      </w:r>
    </w:p>
    <w:p w:rsidR="00D25585" w:rsidP="00454CFA" w:rsidRDefault="009B5A22" w14:paraId="026442D7" w14:textId="1C39D508">
      <w:pPr>
        <w:pStyle w:val="paragraph"/>
        <w:spacing w:after="0" w:line="480" w:lineRule="auto"/>
        <w:textAlignment w:val="baseline"/>
        <w:rPr>
          <w:rFonts w:asciiTheme="minorBidi" w:hAnsiTheme="minorBidi" w:cstheme="minorBidi"/>
          <w:color w:val="215E99" w:themeColor="text2" w:themeTint="BF"/>
        </w:rPr>
      </w:pPr>
      <w:r w:rsidRPr="009B5A22">
        <w:rPr>
          <w:rFonts w:asciiTheme="minorBidi" w:hAnsiTheme="minorBidi" w:cstheme="minorBidi"/>
        </w:rPr>
        <w:t>Cognitive approaches consider that motivation is intent-oriented and directs and energises behaviours. In this case, motivation is regarded as an internal reasoned thinking mechanism relying on expected satisfaction. This approach leads to external orientation by focusing on objectives and fulfilment needs.</w:t>
      </w:r>
      <w:r>
        <w:rPr>
          <w:rFonts w:asciiTheme="minorBidi" w:hAnsiTheme="minorBidi" w:cstheme="minorBidi"/>
        </w:rPr>
        <w:t xml:space="preserve"> </w:t>
      </w:r>
      <w:r w:rsidRPr="009B5A22">
        <w:rPr>
          <w:rFonts w:asciiTheme="minorBidi" w:hAnsiTheme="minorBidi" w:cstheme="minorBidi"/>
          <w:color w:val="215E99" w:themeColor="text2" w:themeTint="BF"/>
        </w:rPr>
        <w:t>(</w:t>
      </w:r>
      <w:r w:rsidRPr="009B5A22">
        <w:rPr>
          <w:rFonts w:asciiTheme="minorBidi" w:hAnsiTheme="minorBidi" w:cstheme="minorBidi"/>
          <w:color w:val="215E99" w:themeColor="text2" w:themeTint="BF"/>
        </w:rPr>
        <w:t>Preisendorfer</w:t>
      </w:r>
      <w:r w:rsidRPr="009B5A22">
        <w:rPr>
          <w:rFonts w:asciiTheme="minorBidi" w:hAnsiTheme="minorBidi" w:cstheme="minorBidi"/>
          <w:color w:val="215E99" w:themeColor="text2" w:themeTint="BF"/>
        </w:rPr>
        <w:t>, P. and Diekmann, A., 2021).</w:t>
      </w:r>
      <w:r w:rsidRPr="009B5A22" w:rsidR="00D25585">
        <w:rPr>
          <w:rFonts w:asciiTheme="minorBidi" w:hAnsiTheme="minorBidi" w:cstheme="minorBidi"/>
          <w:color w:val="215E99" w:themeColor="text2" w:themeTint="BF"/>
        </w:rPr>
        <w:t xml:space="preserve"> </w:t>
      </w:r>
    </w:p>
    <w:p w:rsidRPr="00A5659F" w:rsidR="003647DD" w:rsidP="00A5659F" w:rsidRDefault="003647DD" w14:paraId="0D4F44AF"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Challenges and Limitations of Applying Self-Determination Theory: </w:t>
      </w:r>
    </w:p>
    <w:p w:rsidRPr="00A5659F" w:rsidR="003647DD" w:rsidP="00A5659F" w:rsidRDefault="003647DD" w14:paraId="350AB475"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 xml:space="preserve">The research on self-determination theory (SDT) is becoming increasingly popular within organisational settings and broader work contexts. </w:t>
      </w:r>
    </w:p>
    <w:p w:rsidRPr="00A5659F" w:rsidR="003647DD" w:rsidP="00A5659F" w:rsidRDefault="003647DD" w14:paraId="76B9BFE5"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 xml:space="preserve">Many aspects of SDT have been studied regarding outcome variables, dependency on various context-related perspectives, and employee or organisational characteristics </w:t>
      </w:r>
      <w:r w:rsidRPr="00A5659F">
        <w:rPr>
          <w:rFonts w:asciiTheme="minorBidi" w:hAnsiTheme="minorBidi" w:cstheme="minorBidi"/>
          <w:color w:val="215E99" w:themeColor="text2" w:themeTint="BF"/>
        </w:rPr>
        <w:t>(Deci, E.L., Olafsen et al., Ryan., 2017). </w:t>
      </w:r>
    </w:p>
    <w:p w:rsidRPr="00A5659F" w:rsidR="003647DD" w:rsidP="00A5659F" w:rsidRDefault="003647DD" w14:paraId="4F03BAC3"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However, progress regarding the challenges and limitations of SDT in these contexts has remained relatively undeveloped. For example, the applicability of SDT may be problematic due to the significant impact of cultural differences in the manifestation of ongoing and contextual regulations of behaviour</w:t>
      </w:r>
      <w:r w:rsidRPr="00A5659F">
        <w:rPr>
          <w:rFonts w:asciiTheme="minorBidi" w:hAnsiTheme="minorBidi" w:cstheme="minorBidi"/>
          <w:color w:val="215E99" w:themeColor="text2" w:themeTint="BF"/>
        </w:rPr>
        <w:t>. ( Gunasekare, U.L.T.P., 2016).</w:t>
      </w:r>
    </w:p>
    <w:p w:rsidRPr="00A5659F" w:rsidR="003647DD" w:rsidP="00A5659F" w:rsidRDefault="003647DD" w14:paraId="5D20AD5E"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Hence, a more nuanced and culturally sensitive approach to specific SDT hypotheses may be necessary, impacting the overall effectiveness of the theory within a specific context. </w:t>
      </w:r>
    </w:p>
    <w:p w:rsidRPr="00A5659F" w:rsidR="003647DD" w:rsidP="00A5659F" w:rsidRDefault="003647DD" w14:paraId="49A7E9E1"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Previous studies on SDT have largely overlooked its applicability in organisations and work contexts. In recent years, several "contextualised" behaviour regulations have been proposed about SDT, but most of these proposals have been interpreted only from a broader individual or personality-related viewpoint. In particular workplace environments, exploring contextualised behaviour regulations and their impact on outcome variables has been relatively limited. </w:t>
      </w:r>
    </w:p>
    <w:p w:rsidRPr="00A5659F" w:rsidR="003647DD" w:rsidP="00A5659F" w:rsidRDefault="003647DD" w14:paraId="49C44ACF" w14:textId="77777777">
      <w:pPr>
        <w:pStyle w:val="NormalWeb"/>
        <w:spacing w:before="0" w:beforeAutospacing="0" w:after="0" w:afterAutospacing="0" w:line="480" w:lineRule="auto"/>
        <w:rPr>
          <w:rFonts w:asciiTheme="minorBidi" w:hAnsiTheme="minorBidi" w:cstheme="minorBidi"/>
          <w:color w:val="215E99" w:themeColor="text2" w:themeTint="BF"/>
        </w:rPr>
      </w:pPr>
      <w:r w:rsidRPr="00A5659F">
        <w:rPr>
          <w:rFonts w:asciiTheme="minorBidi" w:hAnsiTheme="minorBidi" w:cstheme="minorBidi"/>
          <w:color w:val="215E99" w:themeColor="text2" w:themeTint="BF"/>
        </w:rPr>
        <w:t>(Meyer, J.P. and Maltin, E.R., 2010). </w:t>
      </w:r>
    </w:p>
    <w:p w:rsidRPr="00A5659F" w:rsidR="003647DD" w:rsidP="00A5659F" w:rsidRDefault="003647DD" w14:paraId="0A76BA86" w14:textId="180D62B6">
      <w:pPr>
        <w:pStyle w:val="NormalWeb"/>
        <w:spacing w:before="0" w:beforeAutospacing="0" w:after="0" w:afterAutospacing="0" w:line="480" w:lineRule="auto"/>
        <w:rPr>
          <w:rFonts w:asciiTheme="minorBidi" w:hAnsiTheme="minorBidi" w:cstheme="minorBidi"/>
          <w:color w:val="215E99" w:themeColor="text2" w:themeTint="BF"/>
        </w:rPr>
      </w:pPr>
      <w:r w:rsidRPr="00A5659F">
        <w:rPr>
          <w:rFonts w:asciiTheme="minorBidi" w:hAnsiTheme="minorBidi" w:cstheme="minorBidi"/>
          <w:color w:val="0E101A"/>
        </w:rPr>
        <w:t xml:space="preserve">The urgency and importance of further research are evident, as much of the existing research has failed to comprehensively consider personal and contextual environmental effects or has primarily focused on one perspective </w:t>
      </w:r>
      <w:r w:rsidRPr="00A5659F" w:rsidR="00A5659F">
        <w:rPr>
          <w:rFonts w:asciiTheme="minorBidi" w:hAnsiTheme="minorBidi" w:cstheme="minorBidi"/>
          <w:color w:val="215E99" w:themeColor="text2" w:themeTint="BF"/>
        </w:rPr>
        <w:t>(Gunasekare</w:t>
      </w:r>
      <w:r w:rsidRPr="00A5659F">
        <w:rPr>
          <w:rFonts w:asciiTheme="minorBidi" w:hAnsiTheme="minorBidi" w:cstheme="minorBidi"/>
          <w:color w:val="215E99" w:themeColor="text2" w:themeTint="BF"/>
        </w:rPr>
        <w:t xml:space="preserve">, U.L.T.P., 2016 ). </w:t>
      </w:r>
    </w:p>
    <w:p w:rsidRPr="00A5659F" w:rsidR="003647DD" w:rsidP="00A5659F" w:rsidRDefault="003647DD" w14:paraId="07DE598F"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Thus, it is crucial to broaden the current state of knowledge regarding contextualised applications of SDT in organisations, significantly since the outside environment is increasingly influencing behaviour and strategies within organisational contexts. </w:t>
      </w:r>
    </w:p>
    <w:p w:rsidRPr="00A5659F" w:rsidR="003647DD" w:rsidP="00A5659F" w:rsidRDefault="003647DD" w14:paraId="781E833C"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Implications for Practice: </w:t>
      </w:r>
    </w:p>
    <w:p w:rsidRPr="00A5659F" w:rsidR="003647DD" w:rsidP="00A5659F" w:rsidRDefault="003647DD" w14:paraId="459D8F28"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Self-Determination Theory (SDT) is a valuable framework for understanding employee motivation and performance. It emphasises the importance of fulfilling three basic psychological needs: autonomy, competence, and relatedness.  </w:t>
      </w:r>
    </w:p>
    <w:p w:rsidRPr="00A5659F" w:rsidR="003647DD" w:rsidP="00A5659F" w:rsidRDefault="003647DD" w14:paraId="4889BCD6"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When these needs are met, employees are more likely to experience intrinsic motivation, leading to better performance, higher job satisfaction, and lower turnover rates12. </w:t>
      </w:r>
    </w:p>
    <w:p w:rsidRPr="00A5659F" w:rsidR="003647DD" w:rsidP="00A5659F" w:rsidRDefault="003647DD" w14:paraId="671E2645"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Critical Implications of SDT in Employee Performance: </w:t>
      </w:r>
    </w:p>
    <w:p w:rsidRPr="00A5659F" w:rsidR="003647DD" w:rsidP="00A5659F" w:rsidRDefault="003647DD" w14:paraId="0AAF1EAE" w14:textId="77777777">
      <w:pPr>
        <w:pStyle w:val="NormalWeb"/>
        <w:spacing w:before="0" w:beforeAutospacing="0" w:after="0" w:afterAutospacing="0" w:line="480" w:lineRule="auto"/>
        <w:rPr>
          <w:rFonts w:asciiTheme="minorBidi" w:hAnsiTheme="minorBidi" w:cstheme="minorBidi"/>
          <w:color w:val="0E101A"/>
        </w:rPr>
      </w:pPr>
      <w:r w:rsidRPr="00A5659F">
        <w:rPr>
          <w:rStyle w:val="Strong"/>
          <w:rFonts w:asciiTheme="minorBidi" w:hAnsiTheme="minorBidi" w:eastAsiaTheme="majorEastAsia" w:cstheme="minorBidi"/>
          <w:color w:val="0E101A"/>
        </w:rPr>
        <w:t>Autonomy:</w:t>
      </w:r>
      <w:r w:rsidRPr="00A5659F">
        <w:rPr>
          <w:rFonts w:asciiTheme="minorBidi" w:hAnsiTheme="minorBidi" w:cstheme="minorBidi"/>
          <w:color w:val="0E101A"/>
        </w:rPr>
        <w:t xml:space="preserve"> Granting employees the freedom to manage their work and make decisions can significantly boost their intrinsic motivation; this empowerment often leads to a surge in creativity, productivity, and job satisfaction, painting a promising picture for the organisation's future1.Competence: Offering opportunities for skill development and acknowledging achievements is a powerful way to make employees feel competent.  </w:t>
      </w:r>
    </w:p>
    <w:p w:rsidRPr="00A5659F" w:rsidR="003647DD" w:rsidP="00A5659F" w:rsidRDefault="003647DD" w14:paraId="7B38A51E"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This recognition boosts their confidence and fuels their drive for continuous improvement, making them feel valued and appreciated2. Relatedness: Fostering a supportive and collaborative work environment, such as through team-building activities, regular team meetings, and open-door policies, helps employees feel connected to their colleagues and the organisation. This sense of belonging can improve teamwork and overall morale. </w:t>
      </w:r>
    </w:p>
    <w:p w:rsidRPr="00A5659F" w:rsidR="003647DD" w:rsidP="00A5659F" w:rsidRDefault="003647DD" w14:paraId="47235AAC"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 Practical Applications: </w:t>
      </w:r>
    </w:p>
    <w:p w:rsidRPr="00A5659F" w:rsidR="003647DD" w:rsidP="00A5659F" w:rsidRDefault="003647DD" w14:paraId="325A4C2E" w14:textId="77777777">
      <w:pPr>
        <w:pStyle w:val="NormalWeb"/>
        <w:spacing w:before="0" w:beforeAutospacing="0" w:after="0" w:afterAutospacing="0" w:line="480" w:lineRule="auto"/>
        <w:rPr>
          <w:rFonts w:asciiTheme="minorBidi" w:hAnsiTheme="minorBidi" w:cstheme="minorBidi"/>
          <w:color w:val="0E101A"/>
        </w:rPr>
      </w:pPr>
      <w:r w:rsidRPr="00A5659F">
        <w:rPr>
          <w:rStyle w:val="Strong"/>
          <w:rFonts w:asciiTheme="minorBidi" w:hAnsiTheme="minorBidi" w:eastAsiaTheme="majorEastAsia" w:cstheme="minorBidi"/>
          <w:color w:val="0E101A"/>
        </w:rPr>
        <w:t>Leadership Styles:</w:t>
      </w:r>
      <w:r w:rsidRPr="00A5659F">
        <w:rPr>
          <w:rFonts w:asciiTheme="minorBidi" w:hAnsiTheme="minorBidi" w:cstheme="minorBidi"/>
          <w:color w:val="0E101A"/>
        </w:rPr>
        <w:t xml:space="preserve"> Leaders are the linchpin in effectively applying SDT principles. By embracing a supportive and empowering approach, they can steer the organisation towards a culture of intrinsic motivation. Their role in providing constructive feedback, encouraging employee input, and recognising individual contributions is pivotal in this journey. Policies: Implementing policies that foster work-life balance, professional development, and open communication is a collective effort that can help meet employees' psychological needs and enhance their performance. </w:t>
      </w:r>
    </w:p>
    <w:p w:rsidRPr="00A5659F" w:rsidR="003647DD" w:rsidP="00A5659F" w:rsidRDefault="003647DD" w14:paraId="4D29566E"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Training and Development: Tailoring training programs to align with employees' interests and career goals can increase their engagement and motivation to learn and perform better, </w:t>
      </w:r>
    </w:p>
    <w:p w:rsidRPr="00A5659F" w:rsidR="003647DD" w:rsidP="00A5659F" w:rsidRDefault="003647DD" w14:paraId="45E58C02" w14:textId="77777777">
      <w:pPr>
        <w:pStyle w:val="NormalWeb"/>
        <w:spacing w:before="0" w:beforeAutospacing="0" w:after="0" w:afterAutospacing="0" w:line="480" w:lineRule="auto"/>
        <w:rPr>
          <w:rFonts w:asciiTheme="minorBidi" w:hAnsiTheme="minorBidi" w:cstheme="minorBidi"/>
          <w:color w:val="0E101A"/>
        </w:rPr>
      </w:pPr>
      <w:r w:rsidRPr="00A5659F">
        <w:rPr>
          <w:rFonts w:asciiTheme="minorBidi" w:hAnsiTheme="minorBidi" w:cstheme="minorBidi"/>
          <w:color w:val="0E101A"/>
        </w:rPr>
        <w:t>by integrating SDT into management practices, organisations can create a more motivated, satisfied, and high-performing workforce. </w:t>
      </w:r>
    </w:p>
    <w:p w:rsidR="001A55B0" w:rsidP="00A5659F" w:rsidRDefault="003647DD" w14:paraId="440630C6" w14:textId="77777777">
      <w:pPr>
        <w:pStyle w:val="NormalWeb"/>
        <w:spacing w:before="0" w:beforeAutospacing="0" w:after="0" w:afterAutospacing="0" w:line="480" w:lineRule="auto"/>
        <w:rPr>
          <w:rFonts w:asciiTheme="minorBidi" w:hAnsiTheme="minorBidi" w:cstheme="minorBidi"/>
          <w:color w:val="215E99" w:themeColor="text2" w:themeTint="BF"/>
        </w:rPr>
      </w:pPr>
      <w:r w:rsidRPr="001A55B0">
        <w:rPr>
          <w:rFonts w:asciiTheme="minorBidi" w:hAnsiTheme="minorBidi" w:cstheme="minorBidi"/>
          <w:color w:val="215E99" w:themeColor="text2" w:themeTint="BF"/>
        </w:rPr>
        <w:t>(Deci et al., 2017).</w:t>
      </w:r>
    </w:p>
    <w:p w:rsidR="001A55B0" w:rsidP="00A5659F" w:rsidRDefault="001A55B0" w14:paraId="13C8D6B0"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41D3B2E2"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2F424B43"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585AFC62"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1C8583FB"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2975FD72"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5019E719"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460A2AFD"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5BC59A32"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4E55CEA7"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26AB0777"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5A1333B2"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4BDCFFB8"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75E158FF"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2B023C3C"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5A3A4D5E"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497F5ECC"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4B54080B" w14:textId="77777777">
      <w:pPr>
        <w:pStyle w:val="NormalWeb"/>
        <w:spacing w:before="0" w:beforeAutospacing="0" w:after="0" w:afterAutospacing="0" w:line="480" w:lineRule="auto"/>
        <w:rPr>
          <w:rFonts w:asciiTheme="minorBidi" w:hAnsiTheme="minorBidi" w:cstheme="minorBidi"/>
          <w:color w:val="215E99" w:themeColor="text2" w:themeTint="BF"/>
        </w:rPr>
      </w:pPr>
    </w:p>
    <w:p w:rsidR="001A55B0" w:rsidP="00A5659F" w:rsidRDefault="001A55B0" w14:paraId="3E891EC4" w14:textId="77777777">
      <w:pPr>
        <w:pStyle w:val="NormalWeb"/>
        <w:spacing w:before="0" w:beforeAutospacing="0" w:after="0" w:afterAutospacing="0" w:line="480" w:lineRule="auto"/>
        <w:rPr>
          <w:rFonts w:asciiTheme="minorBidi" w:hAnsiTheme="minorBidi" w:cstheme="minorBidi"/>
          <w:color w:val="215E99" w:themeColor="text2" w:themeTint="BF"/>
        </w:rPr>
      </w:pPr>
    </w:p>
    <w:p w:rsidR="0077792D" w:rsidP="00A87888" w:rsidRDefault="0077792D" w14:paraId="341EB012" w14:textId="77777777">
      <w:pPr>
        <w:pStyle w:val="NormalWeb"/>
        <w:spacing w:before="0" w:beforeAutospacing="0" w:after="0" w:afterAutospacing="0" w:line="480" w:lineRule="auto"/>
        <w:jc w:val="center"/>
        <w:rPr>
          <w:rFonts w:asciiTheme="minorBidi" w:hAnsiTheme="minorBidi" w:cstheme="minorBidi"/>
          <w:color w:val="215E99" w:themeColor="text2" w:themeTint="BF"/>
        </w:rPr>
      </w:pPr>
    </w:p>
    <w:p w:rsidR="0077792D" w:rsidP="00A87888" w:rsidRDefault="0077792D" w14:paraId="1F0806A7" w14:textId="77777777">
      <w:pPr>
        <w:pStyle w:val="NormalWeb"/>
        <w:spacing w:before="0" w:beforeAutospacing="0" w:after="0" w:afterAutospacing="0" w:line="480" w:lineRule="auto"/>
        <w:jc w:val="center"/>
        <w:rPr>
          <w:rFonts w:asciiTheme="minorBidi" w:hAnsiTheme="minorBidi" w:cstheme="minorBidi"/>
          <w:color w:val="215E99" w:themeColor="text2" w:themeTint="BF"/>
        </w:rPr>
      </w:pPr>
    </w:p>
    <w:p w:rsidR="0077792D" w:rsidP="00A87888" w:rsidRDefault="0077792D" w14:paraId="5881BE0E" w14:textId="77777777">
      <w:pPr>
        <w:pStyle w:val="NormalWeb"/>
        <w:spacing w:before="0" w:beforeAutospacing="0" w:after="0" w:afterAutospacing="0" w:line="480" w:lineRule="auto"/>
        <w:jc w:val="center"/>
        <w:rPr>
          <w:rFonts w:asciiTheme="minorBidi" w:hAnsiTheme="minorBidi" w:cstheme="minorBidi"/>
          <w:color w:val="215E99" w:themeColor="text2" w:themeTint="BF"/>
        </w:rPr>
      </w:pPr>
    </w:p>
    <w:p w:rsidR="003647DD" w:rsidP="00A87888" w:rsidRDefault="00A87888" w14:paraId="1238FE99" w14:textId="11F3FEC6">
      <w:pPr>
        <w:pStyle w:val="NormalWeb"/>
        <w:spacing w:before="0" w:beforeAutospacing="0" w:after="0" w:afterAutospacing="0" w:line="480" w:lineRule="auto"/>
        <w:jc w:val="center"/>
        <w:rPr>
          <w:rFonts w:asciiTheme="minorBidi" w:hAnsiTheme="minorBidi" w:cstheme="minorBidi"/>
          <w:color w:val="215E99" w:themeColor="text2" w:themeTint="BF"/>
        </w:rPr>
      </w:pPr>
      <w:r>
        <w:rPr>
          <w:rFonts w:asciiTheme="minorBidi" w:hAnsiTheme="minorBidi" w:cstheme="minorBidi"/>
          <w:color w:val="215E99" w:themeColor="text2" w:themeTint="BF"/>
        </w:rPr>
        <w:t xml:space="preserve">Chapter Three </w:t>
      </w:r>
    </w:p>
    <w:p w:rsidR="00A05778" w:rsidP="00A87888" w:rsidRDefault="00A87888" w14:paraId="6F510E19" w14:textId="77777777">
      <w:pPr>
        <w:pStyle w:val="NormalWeb"/>
        <w:spacing w:before="0" w:beforeAutospacing="0" w:after="0" w:afterAutospacing="0" w:line="480" w:lineRule="auto"/>
        <w:jc w:val="center"/>
        <w:rPr>
          <w:rFonts w:asciiTheme="minorBidi" w:hAnsiTheme="minorBidi" w:cstheme="minorBidi"/>
          <w:color w:val="215E99" w:themeColor="text2" w:themeTint="BF"/>
        </w:rPr>
      </w:pPr>
      <w:r>
        <w:rPr>
          <w:rFonts w:asciiTheme="minorBidi" w:hAnsiTheme="minorBidi" w:cstheme="minorBidi"/>
          <w:color w:val="215E99" w:themeColor="text2" w:themeTint="BF"/>
        </w:rPr>
        <w:t>Research Methodology</w:t>
      </w:r>
    </w:p>
    <w:p w:rsidRPr="00A05778" w:rsidR="00A05778" w:rsidP="00842C46" w:rsidRDefault="00A05778" w14:paraId="781CB72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Introduction: </w:t>
      </w:r>
    </w:p>
    <w:p w:rsidRPr="00A05778" w:rsidR="00A05778" w:rsidP="00842C46" w:rsidRDefault="00A05778" w14:paraId="00AB35C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Research, according to McNeil (1990) </w:t>
      </w:r>
    </w:p>
    <w:p w:rsidRPr="00A05778" w:rsidR="00A05778" w:rsidP="00842C46" w:rsidRDefault="00A05778" w14:paraId="433AC84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"Is fundamentally promoted by simple human curiosity." </w:t>
      </w:r>
    </w:p>
    <w:p w:rsidRPr="00A05778" w:rsidR="00A05778" w:rsidP="00842C46" w:rsidRDefault="00A05778" w14:paraId="4121C2A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Considering the social, financial, and political challenges facing workers at all levels of the higher education sector and within the framework of educational institutions' attempts to reduce the turnover of scientific competencies or administrative employees, this research discusses the effectiveness of currently recognised motivation strategies and their impact on employees' motivations to continue working at the same institution. </w:t>
      </w:r>
    </w:p>
    <w:p w:rsidRPr="00A05778" w:rsidR="00A05778" w:rsidP="00842C46" w:rsidRDefault="00A05778" w14:paraId="47355FD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 used Trinity Saint David as an example of a case study due to its diverse departments and various roles its employees hold, making it a suitable representation of the higher education sector. The participant works in different departments at the University, specifically Swansea Business Campos.   </w:t>
      </w:r>
    </w:p>
    <w:p w:rsidRPr="00A05778" w:rsidR="00A05778" w:rsidP="00842C46" w:rsidRDefault="00A05778" w14:paraId="65AA15B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 will use self-determination and organisational commitment theories to explore the extent to which an organisation is serious about retaining its employees through its incentive plans. It will also measure employees' loyalty to the organisation by analysing data and information collected through personal interviews with the research participants. </w:t>
      </w:r>
    </w:p>
    <w:p w:rsidRPr="00A05778" w:rsidR="00A05778" w:rsidP="00842C46" w:rsidRDefault="00A05778" w14:paraId="490FF52E"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Research Question:  </w:t>
      </w:r>
    </w:p>
    <w:p w:rsidRPr="00A05778" w:rsidR="00A05778" w:rsidP="00842C46" w:rsidRDefault="00A05778" w14:paraId="043DCE8A"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1. The central research question of this study is:  </w:t>
      </w:r>
    </w:p>
    <w:p w:rsidRPr="00A05778" w:rsidR="00A05778" w:rsidP="00842C46" w:rsidRDefault="00A05778" w14:paraId="52293C0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How do motivational techniques influence employees' day-to-day performance and overall job satisfaction in higher education, and how are they linked to employee </w:t>
      </w:r>
      <w:r w:rsidRPr="00A05778">
        <w:rPr>
          <w:rFonts w:eastAsia="Times New Roman" w:asciiTheme="minorBidi" w:hAnsiTheme="minorBidi"/>
          <w:color w:val="0E101A"/>
          <w:sz w:val="24"/>
          <w:szCs w:val="24"/>
          <w:lang w:eastAsia="en-GB"/>
        </w:rPr>
        <w:t>retention? This question is paramount in the higher education sector, where employee turnover is a significant concern.  </w:t>
      </w:r>
    </w:p>
    <w:p w:rsidRPr="00A05778" w:rsidR="00A05778" w:rsidP="00842C46" w:rsidRDefault="00A05778" w14:paraId="12F0C5B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2. What motivational strategies are preferred by employees at the University? and why  </w:t>
      </w:r>
    </w:p>
    <w:p w:rsidRPr="00A05778" w:rsidR="00A05778" w:rsidP="00842C46" w:rsidRDefault="00A05778" w14:paraId="39DDC9E8"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Aims of Research Activity: The researcher's target is to delve into the effects of motivational techniques on employee performance in higher education, drawing insights directly from the University of Trinity Saint David employees. This research promises to deepen our understanding of employee motivation in higher education and offer actionable recommendations that could significantly enhance the well-being and performance of employees in this sector. </w:t>
      </w:r>
    </w:p>
    <w:p w:rsidRPr="00A05778" w:rsidR="00A05778" w:rsidP="00842C46" w:rsidRDefault="00A05778" w14:paraId="0C97AD9D"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Objectives of Research Activity:  </w:t>
      </w:r>
    </w:p>
    <w:p w:rsidRPr="00A05778" w:rsidR="00A05778" w:rsidP="00842C46" w:rsidRDefault="00A05778" w14:paraId="31EC1BD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1. Identify the effective range of motivational techniques currently utilised in the University.  </w:t>
      </w:r>
    </w:p>
    <w:p w:rsidRPr="00A05778" w:rsidR="00A05778" w:rsidP="00842C46" w:rsidRDefault="00A05778" w14:paraId="49F46BE8"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2. To explore employee preferences for specific motivational incentives over others.  </w:t>
      </w:r>
    </w:p>
    <w:p w:rsidRPr="00A05778" w:rsidR="00A05778" w:rsidP="00842C46" w:rsidRDefault="00A05778" w14:paraId="40DC7F98"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3. To recommend actionable strategies for HR managers to enhance employee performance through targeted motivational practices. </w:t>
      </w:r>
    </w:p>
    <w:p w:rsidRPr="00A05778" w:rsidR="00A05778" w:rsidP="00842C46" w:rsidRDefault="00A05778" w14:paraId="6617BBAA"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Proposed methods:  </w:t>
      </w:r>
    </w:p>
    <w:p w:rsidRPr="00A05778" w:rsidR="00A05778" w:rsidP="00842C46" w:rsidRDefault="00A05778" w14:paraId="3787539B"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w:t>
      </w:r>
    </w:p>
    <w:p w:rsidRPr="00A05778" w:rsidR="00A05778" w:rsidP="00842C46" w:rsidRDefault="00A05778" w14:paraId="5D9F3BE5"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The study aims to investigate the most effective motivational techniques for enhancing employee performance within the higher educational sector: a case study of the University of Wales, Trinity Saint David. To accomplish this, the study employs a qualitative research method suitable for exploring sensitive topics like those addressed in this project. Qualitative research allows individual interpretation based on human experiences or activities rather than solely relying on quantitative results (Saunders, 2019). Guest, MacQueen, and Namey state that qualitative research </w:t>
      </w:r>
      <w:r w:rsidRPr="00A05778">
        <w:rPr>
          <w:rFonts w:eastAsia="Times New Roman" w:asciiTheme="minorBidi" w:hAnsiTheme="minorBidi"/>
          <w:color w:val="0E101A"/>
          <w:sz w:val="24"/>
          <w:szCs w:val="24"/>
          <w:lang w:eastAsia="en-GB"/>
        </w:rPr>
        <w:t>methods "allow researchers to respond to context and understand complex phenomena within those contexts." Although each of these methodological stances assumes that the central efforts of a qualitative research study are made to understand the experiences and meaning-making efforts of the studied participants, how these researchers come to acquire their understanding and knowledge varies considerably.  </w:t>
      </w:r>
    </w:p>
    <w:p w:rsidRPr="00A05778" w:rsidR="00A05778" w:rsidP="00842C46" w:rsidRDefault="00A05778" w14:paraId="40C9B12F"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 involved conducting semi-structured interviews on a sample of employees, including faculty members, administrative staff, and managers, to delve deeper into their experiences with motivational techniques. Qualitative data can provide rich insights into the underlying factors influencing employee performance and satisfaction, as well as help them understand the nature of work and the motivational techniques provided to them. The responses of critical informants will be analysed thematically to identify commonalities, leading to valid recommendations aligned with the study's objectives. Ethical considerations will be followed to ensure the interviewees' comfort and anonymity are maintained throughout the process, providing reassurance about the integrity of the study (Khan, I.A., 2015). </w:t>
      </w:r>
    </w:p>
    <w:p w:rsidRPr="00A05778" w:rsidR="00A05778" w:rsidP="00842C46" w:rsidRDefault="00A05778" w14:paraId="149F2E9F"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Data Collection Methods of Analysis:  </w:t>
      </w:r>
    </w:p>
    <w:p w:rsidRPr="00A05778" w:rsidR="00A05778" w:rsidP="00842C46" w:rsidRDefault="00A05778" w14:paraId="39CC355F"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A descriptive research design was carried out to investigate the effect of motivations on employee performance in the higher educational sector, specifically in the University of Wales Trinity Saint David in The United Kingdom. This study's population will comprise a small group of 3 or 4 participants identified and invited from the university teaching staff and non-teaching staff. Semi-structured interviews will be used to determine the effect of motivation on employee performance at Trinity Saint David University in the UK (Ruslin, R., Madhuri, S., et al.,2021). The proposed tool, Thematic analysis, has been widely used to analyse qualitative data in </w:t>
      </w:r>
      <w:r w:rsidRPr="00A05778">
        <w:rPr>
          <w:rFonts w:eastAsia="Times New Roman" w:asciiTheme="minorBidi" w:hAnsiTheme="minorBidi"/>
          <w:color w:val="0E101A"/>
          <w:sz w:val="24"/>
          <w:szCs w:val="24"/>
          <w:lang w:eastAsia="en-GB"/>
        </w:rPr>
        <w:t>psychology, sociology, education, and health sciences. It is applied and articulated in several standards, differently and often confusingly, but categories of topics suggest their growing and dominant position in these disciplines or fields of research (Castleberry, A. and Nolen; A., 2018). </w:t>
      </w:r>
    </w:p>
    <w:p w:rsidRPr="00A05778" w:rsidR="00A05778" w:rsidP="00842C46" w:rsidRDefault="00A05778" w14:paraId="6A284C69"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thematic analysis of data collected from focus groups, interviews, narratives, open-ended survey questions, and other text-based sources is appropriate in this proposed research to identify implicit and explicit ideas, opinions, experiences, and meanings identified in (Braun, V. and Clarke; V., 2012). </w:t>
      </w:r>
    </w:p>
    <w:p w:rsidRPr="00A05778" w:rsidR="00A05778" w:rsidP="00842C46" w:rsidRDefault="00A05778" w14:paraId="27083C40"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inductive analysis approach was used in qualitative research to ensure patterns and themes were obtained through specific analyses or data. This approach is helpful in exploring new phenomena, such as employee turnover, the causes of which are discussed in this research. (Vears, D.F. et al., 2022).  </w:t>
      </w:r>
    </w:p>
    <w:p w:rsidRPr="00A05778" w:rsidR="00A05778" w:rsidP="00842C46" w:rsidRDefault="00A05778" w14:paraId="01FC3081"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researcher can develop an accurate understanding of the research topic through the evidence and information collected from the participants, which can be helpful in making broader generalisations later. (De Paoli, S., 2024). </w:t>
      </w:r>
    </w:p>
    <w:p w:rsidRPr="00A05778" w:rsidR="00A05778" w:rsidP="00842C46" w:rsidRDefault="00A05778" w14:paraId="42DD82C1"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w:t>
      </w:r>
    </w:p>
    <w:p w:rsidRPr="00A05778" w:rsidR="00A05778" w:rsidP="00842C46" w:rsidRDefault="00A05778" w14:paraId="46EE014E"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Participants </w:t>
      </w:r>
    </w:p>
    <w:p w:rsidRPr="00A05778" w:rsidR="00A05778" w:rsidP="00842C46" w:rsidRDefault="00A05778" w14:paraId="33B4D9FD"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 will involve conducting semi-structured interviews with a sample of employees, including faculty members, administrative staff, and managers, to delve deeper into their experiences with motivational techniques. To understand the nature of work and the motivational techniques provided to them. The responses of key informants will be analysed thematically to identify commonalities. Ethical considerations will be followed to ensure the interviewees' comfort and anonymity are maintained throughout the process. </w:t>
      </w:r>
    </w:p>
    <w:p w:rsidRPr="00A05778" w:rsidR="00A05778" w:rsidP="00842C46" w:rsidRDefault="00A05778" w14:paraId="3C1B91C8"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Methods of Data Collection:  </w:t>
      </w:r>
    </w:p>
    <w:p w:rsidRPr="00A05778" w:rsidR="00A05778" w:rsidP="00842C46" w:rsidRDefault="00A05778" w14:paraId="08B47B7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Research relies on data collection and analysis. The methods used in data collection depend largely on the nature of the study the researcher is pursuing, (Cooper and Schindler, 2008) described two classifications of data collection: monitoring and communication study. They see monitoring as studies in which the researcher inspects a subject's activities or the nature of some material without attempting to elicit responses from anyone. For example, counting traffic at an intersection, Licensed plates recorded in a restaurant parking lot, observation of the action of a group of decision makers.  </w:t>
      </w:r>
    </w:p>
    <w:p w:rsidRPr="00A05778" w:rsidR="00A05778" w:rsidP="00842C46" w:rsidRDefault="00A05778" w14:paraId="0EF0C3CC"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 a communication study, the researcher questions the subjects and collects their responses by personal or impersonal means. The collected data may result from interviews or telephone conversations, self-administered or self-reported instruments sent through email or transmitted electronically or by other means, or instruments presented before or after a treatment or stimulus condition in an experiment. (Cooper and Schindler,2008:143) </w:t>
      </w:r>
    </w:p>
    <w:p w:rsidRPr="00A05778" w:rsidR="00A05778" w:rsidP="00842C46" w:rsidRDefault="00A05778" w14:paraId="4594147E"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Research methods: </w:t>
      </w:r>
    </w:p>
    <w:p w:rsidRPr="00A05778" w:rsidR="00A05778" w:rsidP="00842C46" w:rsidRDefault="00A05778" w14:paraId="5CE30621"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(Riordan ,2005) argued that research Methods are, founded in philosophical perspectives. </w:t>
      </w:r>
    </w:p>
    <w:p w:rsidRPr="00A05778" w:rsidR="00A05778" w:rsidP="00842C46" w:rsidRDefault="00A05778" w14:paraId="0C6F107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According to Riordan, quantitative emanate from positivism and post positivism. Moreover, qualitive methods emanate from the narrative, humanistic and interpretive perspective. (Anderson,2009) puts the difference between interpretive and positivist approaches thus: </w:t>
      </w:r>
    </w:p>
    <w:p w:rsidRPr="00A05778" w:rsidR="00A05778" w:rsidP="00842C46" w:rsidRDefault="00A05778" w14:paraId="1BD724A2"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Positivist researchers tend to value quantitative data (the term given to data that can be quantified and counted).  </w:t>
      </w:r>
    </w:p>
    <w:p w:rsidRPr="00A05778" w:rsidR="00A05778" w:rsidP="00842C46" w:rsidRDefault="00A05778" w14:paraId="27A5234F"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Interpretivist researchers appreciate the value of qualitative data (the term given to data based on managing, expressed through words and language.  </w:t>
      </w:r>
    </w:p>
    <w:p w:rsidRPr="00A05778" w:rsidR="00A05778" w:rsidP="00842C46" w:rsidRDefault="00A05778" w14:paraId="054859FB"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Interviews: Interviews are the primary data collection technique for gathering data in qualitative methodology. (Cooper and Schindler:170) </w:t>
      </w:r>
    </w:p>
    <w:p w:rsidRPr="00A05778" w:rsidR="00A05778" w:rsidP="00842C46" w:rsidRDefault="00A05778" w14:paraId="43B0A23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These interviews are conducted face-to-face with the participant at a time. There are no fixed ways of conducting an interview (McNeil,1990). The researcher adopts a direct approach that is suited to the research form and topic and enables the maximum amount of information to be acquired.  </w:t>
      </w:r>
    </w:p>
    <w:p w:rsidRPr="00A05778" w:rsidR="00A05778" w:rsidP="00842C46" w:rsidRDefault="00A05778" w14:paraId="6A4BDC03"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A set of questions was designed to achieve the research's aims. One striking benefit of this research method is that the researcher can interact with the participant, observe the participant's reactions, create an atmosphere that the participant likes (for example, a quiet environment sitting facing interview), and determine the tone of the conversation generally (McNeil,1990). </w:t>
      </w:r>
    </w:p>
    <w:p w:rsidRPr="00A05778" w:rsidR="00A05778" w:rsidP="00842C46" w:rsidRDefault="00A05778" w14:paraId="7B445C9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Identifying the participants </w:t>
      </w:r>
    </w:p>
    <w:p w:rsidRPr="00A05778" w:rsidR="00A05778" w:rsidP="00842C46" w:rsidRDefault="00A05778" w14:paraId="08A1169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researcher selected individuals with direct experience or expertise related to the research topic: HR employees, lecturers, front office staff, etc. Diversity will be one of the key elements to ensure diverse perspectives by including participants from different backgrounds. Availability: people who are likely to be available and willing to participate in the interview process. The researcher will use various methods to find participants, for example, Professional Networks: the researcher will leverage our professional network and academic connections to find potential interviewees. Online Platforms: LinkedIn, Twitter, or specialised forums and communities to identify experts and practitioners. </w:t>
      </w:r>
    </w:p>
    <w:p w:rsidRPr="00A05778" w:rsidR="00A05778" w:rsidP="00842C46" w:rsidRDefault="00A05778" w14:paraId="26EBD9D9"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Questions were administered to five (5) employees of a different department within the University of Wales Trinity Saint Davied (UWTSD) based on the level of their work experience. The participants are spread across different departments within the </w:t>
      </w:r>
      <w:r w:rsidRPr="00A05778">
        <w:rPr>
          <w:rFonts w:eastAsia="Times New Roman" w:asciiTheme="minorBidi" w:hAnsiTheme="minorBidi"/>
          <w:color w:val="0E101A"/>
          <w:sz w:val="24"/>
          <w:szCs w:val="24"/>
          <w:lang w:eastAsia="en-GB"/>
        </w:rPr>
        <w:t>organisation, hence the view of every employee represented in the sample frame.( Robinson, L., Adair,2016)  </w:t>
      </w:r>
    </w:p>
    <w:p w:rsidRPr="00A05778" w:rsidR="00A05778" w:rsidP="00842C46" w:rsidRDefault="00A05778" w14:paraId="41112882"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Validity &amp; Reliability in Research: </w:t>
      </w:r>
    </w:p>
    <w:p w:rsidRPr="00A05778" w:rsidR="00A05778" w:rsidP="00842C46" w:rsidRDefault="00A05778" w14:paraId="4A4BD26D"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Triangulation is a widely used and essential technique in qualitative research to enhance the credibility and validity of the findings. It involves collecting data from several sources, such as different population groups or stakeholders, using multiple data collection methods, and/or using numerous researchers to explore the research question from various perspectives and methodological approaches. Multiple data sources may offer a better chance of getting a "rich picture" of the area under investigation, thus enhancing understanding of complex social phenomena. (Cohen, L., et al 2017). </w:t>
      </w:r>
    </w:p>
    <w:p w:rsidRPr="00A05778" w:rsidR="00A05778" w:rsidP="00842C46" w:rsidRDefault="00A05778" w14:paraId="59D4793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Triangulation has a long-established tradition and appeared in social science and qualitative research literature quite early. Early work in anthropology can be seen as an explicit attempt to use this notion in a qualitative study. Despite these early roots, the technique was not widely used in social science literature in the 1950s and 1960s. In 1965, it was noted that "Triangulation is a goal, that is, the combination of methodologies in the study of some problem to enhance the coverage and accuracy of the study." A resurgence of interest in triangulation resulted from the 1970s when naturalistic field research methods, such as ethnography, reappearance as a legitimate research strategy. (Brewer, J., 2000.)  </w:t>
      </w:r>
    </w:p>
    <w:p w:rsidRPr="00A05778" w:rsidR="00A05778" w:rsidP="00842C46" w:rsidRDefault="00A05778" w14:paraId="473AEFBF"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The acceptance of triangulation in qualitative research was part of this redefinition and legitimisation of qualitative research methods. (Heale, R. et al, 2013). The technique is now frequently found in a variety of qualitative research methodologies. It is suggested that most formal written research contains mixed methods or triangulation "to increase the reliability of the data." It is also recommended that </w:t>
      </w:r>
      <w:r w:rsidRPr="00A05778">
        <w:rPr>
          <w:rFonts w:eastAsia="Times New Roman" w:asciiTheme="minorBidi" w:hAnsiTheme="minorBidi"/>
          <w:color w:val="0E101A"/>
          <w:sz w:val="24"/>
          <w:szCs w:val="24"/>
          <w:lang w:eastAsia="en-GB"/>
        </w:rPr>
        <w:t>"triangulation can be used to understand checks better to ensure validity. (Parker, L., 2014). </w:t>
      </w:r>
    </w:p>
    <w:p w:rsidRPr="00A05778" w:rsidR="00A05778" w:rsidP="00842C46" w:rsidRDefault="00A05778" w14:paraId="3B0C582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Types of Triangulation Techniques </w:t>
      </w:r>
    </w:p>
    <w:p w:rsidRPr="00A05778" w:rsidR="00A05778" w:rsidP="00842C46" w:rsidRDefault="00A05778" w14:paraId="639E2A2D"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Triangulation can be considered a research paradigm aimed at making the best possible logical case for research data justifiable based on random error, researcher reliability, and validity. This logic can be applied in different research methods, and the concept of triangulation has led researchers to develop similar techniques for addressing unique validity issues in their research. Triangulation has been used to improve qualitative research by combining different criteria. Different classifications of triangulation exist; however, there are four types upon which all agree. (Donkoh, S. and Mensah, J., 2023). Quantitative triangulation techniques have been applied in educational research to estimate the degree of agreement between teacher- and student-collected ratings and determine teacher-collected data's concurrent validity and reliability. (Abdalla, etal.,2018). </w:t>
      </w:r>
    </w:p>
    <w:p w:rsidRPr="00A05778" w:rsidR="00A05778" w:rsidP="00842C46" w:rsidRDefault="00A05778" w14:paraId="45C4FD07"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b/>
          <w:bCs/>
          <w:color w:val="0E101A"/>
          <w:sz w:val="24"/>
          <w:szCs w:val="24"/>
          <w:lang w:eastAsia="en-GB"/>
        </w:rPr>
        <w:t>Methodological Triangulation</w:t>
      </w:r>
      <w:r w:rsidRPr="00A05778">
        <w:rPr>
          <w:rFonts w:eastAsia="Times New Roman" w:asciiTheme="minorBidi" w:hAnsiTheme="minorBidi"/>
          <w:color w:val="0E101A"/>
          <w:sz w:val="24"/>
          <w:szCs w:val="24"/>
          <w:lang w:eastAsia="en-GB"/>
        </w:rPr>
        <w:t>: </w:t>
      </w:r>
    </w:p>
    <w:p w:rsidRPr="00A05778" w:rsidR="00A05778" w:rsidP="00842C46" w:rsidRDefault="00A05778" w14:paraId="312BD8F9"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Involves using different data collection methods (e.g., interviews, observations, focus groups) to study the same phenomenon. This helps to confirm findings across different approaches and reduces the risk of method bias. </w:t>
      </w:r>
    </w:p>
    <w:p w:rsidRPr="00A05778" w:rsidR="00A05778" w:rsidP="00842C46" w:rsidRDefault="00A05778" w14:paraId="7A2FA3B7"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b/>
          <w:bCs/>
          <w:color w:val="0E101A"/>
          <w:sz w:val="24"/>
          <w:szCs w:val="24"/>
          <w:lang w:eastAsia="en-GB"/>
        </w:rPr>
        <w:t>Data Triangulation</w:t>
      </w:r>
      <w:r w:rsidRPr="00A05778">
        <w:rPr>
          <w:rFonts w:eastAsia="Times New Roman" w:asciiTheme="minorBidi" w:hAnsiTheme="minorBidi"/>
          <w:color w:val="0E101A"/>
          <w:sz w:val="24"/>
          <w:szCs w:val="24"/>
          <w:lang w:eastAsia="en-GB"/>
        </w:rPr>
        <w:t>: </w:t>
      </w:r>
    </w:p>
    <w:p w:rsidRPr="00A05778" w:rsidR="00A05778" w:rsidP="00842C46" w:rsidRDefault="00A05778" w14:paraId="10A8ACD4"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It involves using various data sources (e.g., different participants, times, or locations) to gather a broader range of perspectives. This can include using data from different demographics or contexts to validate findings. </w:t>
      </w:r>
    </w:p>
    <w:p w:rsidRPr="00A05778" w:rsidR="00A05778" w:rsidP="00842C46" w:rsidRDefault="00A05778" w14:paraId="31FAF28B"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b/>
          <w:bCs/>
          <w:color w:val="0E101A"/>
          <w:sz w:val="24"/>
          <w:szCs w:val="24"/>
          <w:lang w:eastAsia="en-GB"/>
        </w:rPr>
        <w:t>Investigator Triangulation</w:t>
      </w:r>
      <w:r w:rsidRPr="00A05778">
        <w:rPr>
          <w:rFonts w:eastAsia="Times New Roman" w:asciiTheme="minorBidi" w:hAnsiTheme="minorBidi"/>
          <w:color w:val="0E101A"/>
          <w:sz w:val="24"/>
          <w:szCs w:val="24"/>
          <w:lang w:eastAsia="en-GB"/>
        </w:rPr>
        <w:t>: </w:t>
      </w:r>
    </w:p>
    <w:p w:rsidRPr="00A05778" w:rsidR="00A05778" w:rsidP="00842C46" w:rsidRDefault="00A05778" w14:paraId="03379AD0"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It involves using multiple researchers to collect and analyses data. Different researchers can bring unique perspectives and interpretations, which can help mitigate individual biases. </w:t>
      </w:r>
    </w:p>
    <w:p w:rsidRPr="00A05778" w:rsidR="00A05778" w:rsidP="00842C46" w:rsidRDefault="00A05778" w14:paraId="073AC8A6"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b/>
          <w:bCs/>
          <w:color w:val="0E101A"/>
          <w:sz w:val="24"/>
          <w:szCs w:val="24"/>
          <w:lang w:eastAsia="en-GB"/>
        </w:rPr>
        <w:t>Theoretical Triangulation</w:t>
      </w:r>
      <w:r w:rsidRPr="00A05778">
        <w:rPr>
          <w:rFonts w:eastAsia="Times New Roman" w:asciiTheme="minorBidi" w:hAnsiTheme="minorBidi"/>
          <w:color w:val="0E101A"/>
          <w:sz w:val="24"/>
          <w:szCs w:val="24"/>
          <w:lang w:eastAsia="en-GB"/>
        </w:rPr>
        <w:t>: </w:t>
      </w:r>
    </w:p>
    <w:p w:rsidRPr="00A05778" w:rsidR="00A05778" w:rsidP="00842C46" w:rsidRDefault="00A05778" w14:paraId="75304CCA" w14:textId="77777777">
      <w:pPr>
        <w:numPr>
          <w:ilvl w:val="0"/>
          <w:numId w:val="1"/>
        </w:num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It involves applying different theoretical frameworks to interpret the same data. This can provide a more nuanced understanding of the findings and highlight various aspects of the data. (Santos, K.D.S., Ribeiro etal,2023) </w:t>
      </w:r>
    </w:p>
    <w:p w:rsidRPr="00A05778" w:rsidR="00A05778" w:rsidP="00842C46" w:rsidRDefault="00A05778" w14:paraId="58FED2F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most used triangulation technique yields more reliable findings, provides a comprehensive perspective on the phenomenon, and refines the findings by obtaining the same result. Data triangulation, which is the earliest type of triangulation, involves searching for evidence from different data sources to strengthen the study results. Triangulation through the investigator (researcher) involves different persons, facilities, or organisations with multiple individuals conducting data collection and analysis to help improve objectivity and guard against bias and preconceptions. The key to triangulation through an investigator is using multiple investigators who disagree preferentially rather than investigating the same issue from the same perspective. </w:t>
      </w:r>
    </w:p>
    <w:p w:rsidRPr="00A05778" w:rsidR="00A05778" w:rsidP="00842C46" w:rsidRDefault="00A05778" w14:paraId="42F02685"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Benefits and Limitations of Triangulation </w:t>
      </w:r>
    </w:p>
    <w:p w:rsidRPr="00A05778" w:rsidR="00A05778" w:rsidP="00842C46" w:rsidRDefault="00A05778" w14:paraId="12029F8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There are several good reasons to use triangulation in qualitative research. One of the main benefits of using triangulation is that the results of one single approach can be compared with the results of another, increasing the reliability and validity of the findings. (Hageman, A.M., 2008). </w:t>
      </w:r>
    </w:p>
    <w:p w:rsidRPr="00A05778" w:rsidR="00A05778" w:rsidP="00842C46" w:rsidRDefault="00A05778" w14:paraId="09AE9E0A"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Secondly, triangulation has resulted in a more complex and rich understanding of the research phenomenon, as it draws on different data sources and perspectives. Different methods reveal different ways of experiencing a particular situation or more </w:t>
      </w:r>
      <w:r w:rsidRPr="00A05778">
        <w:rPr>
          <w:rFonts w:eastAsia="Times New Roman" w:asciiTheme="minorBidi" w:hAnsiTheme="minorBidi"/>
          <w:color w:val="0E101A"/>
          <w:sz w:val="24"/>
          <w:szCs w:val="24"/>
          <w:lang w:eastAsia="en-GB"/>
        </w:rPr>
        <w:t>layered expressions of such experience. Along with getting more diverse data, triangulation allows for more detailed and verified conclusions based on the data. Combining other methods helps the research to bring diverse qualities of understanding together in terms of interpretation. (Ammen Werth, E., Iller, etal 2003). </w:t>
      </w:r>
    </w:p>
    <w:p w:rsidRPr="00A05778" w:rsidR="00A05778" w:rsidP="00842C46" w:rsidRDefault="00A05778" w14:paraId="0AF1AE9E"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Thirdly, triangulation, by combining different methods and researchers, encourages innovative thinking because innovations and insights come from examining the phenomena' complex multiplicities. Although triangulation in qualitative research is emphasised, it is essential to recognise that it also produces specific challenges or limitations that need to be carefully addressed.  </w:t>
      </w:r>
    </w:p>
    <w:p w:rsidRPr="00A05778" w:rsidR="00A05778" w:rsidP="00842C46" w:rsidRDefault="00A05778" w14:paraId="74C493B9"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Firstly, conflicting data or interpretations from the different sources of verification do not clarify and enhance the understanding of the phenomenon. Instead, they result in more work for the researcher analysing the conflicting interpretations since this requires interpreting the root causes of such discordance.  A second and final consideration is that triangulation is time- and resource-intensive. </w:t>
      </w:r>
    </w:p>
    <w:p w:rsidRPr="00A05778" w:rsidR="00A05778" w:rsidP="00842C46" w:rsidRDefault="00A05778" w14:paraId="3464267B"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Use of the interviews and justification of the research method: </w:t>
      </w:r>
    </w:p>
    <w:p w:rsidRPr="00A05778" w:rsidR="00A05778" w:rsidP="00842C46" w:rsidRDefault="00A05778" w14:paraId="01250358"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choice of interview questions used in this research is semi-structured. A semi-structured interview generally starts with a few specific questions and then follows the individual's tangents of thought with interviewer probes.  </w:t>
      </w:r>
    </w:p>
    <w:p w:rsidRPr="00A05778" w:rsidR="00A05778" w:rsidP="00842C46" w:rsidRDefault="00A05778" w14:paraId="03FE0577"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researcher adopted the semi-structured interview, which allowed the researcher to formulate and prepare a set of specific questions relevant to the subject. </w:t>
      </w:r>
    </w:p>
    <w:p w:rsidRPr="00A05778" w:rsidR="00A05778" w:rsidP="00842C46" w:rsidRDefault="00A05778" w14:paraId="4324461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All the questions used in the interviews are in standardised open-ended formats, which enable participants to respond faster and more accurately, allowing for more easily analysed and compared responses. </w:t>
      </w:r>
    </w:p>
    <w:p w:rsidRPr="00A05778" w:rsidR="00A05778" w:rsidP="00842C46" w:rsidRDefault="00A05778" w14:paraId="61A133CE"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Hypothesis 1:  </w:t>
      </w:r>
    </w:p>
    <w:p w:rsidRPr="00A05778" w:rsidR="00A05778" w:rsidP="00842C46" w:rsidRDefault="00A05778" w14:paraId="004D4BD1"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current motivation strategies used to motivate employees have lost much of their effectiveness due to the economic changes that the United Kingdom is experiencing. </w:t>
      </w:r>
    </w:p>
    <w:p w:rsidRPr="00A05778" w:rsidR="00A05778" w:rsidP="00842C46" w:rsidRDefault="00A05778" w14:paraId="30624C92"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Hypothesis 2:   </w:t>
      </w:r>
    </w:p>
    <w:p w:rsidRPr="00A05778" w:rsidR="00A05778" w:rsidP="00842C46" w:rsidRDefault="00A05778" w14:paraId="462046FF"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Increasing the independence of employees in the organisation contributes significantly to increasing their loyalty to the organisation  </w:t>
      </w:r>
    </w:p>
    <w:p w:rsidRPr="00A05778" w:rsidR="00A05778" w:rsidP="00842C46" w:rsidRDefault="00A05778" w14:paraId="5F50713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Researcher Bias in Academic Literature: </w:t>
      </w:r>
    </w:p>
    <w:p w:rsidRPr="00A05778" w:rsidR="00A05778" w:rsidP="00842C46" w:rsidRDefault="00A05778" w14:paraId="2C1416E2"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1. Introduction to Researcher Bias </w:t>
      </w:r>
    </w:p>
    <w:p w:rsidRPr="00A05778" w:rsidR="00A05778" w:rsidP="00842C46" w:rsidRDefault="00A05778" w14:paraId="19BEB605"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Writing academic literature is the principal method by which researchers communicate their findings to the public and contribute to understanding the world. (Roulston, K. and Shelton,2015) However, research is subject to a variety of biases, and it is the responsibility of researchers to identify biases within their work and attempt to control them, the power of a study to withstand criticism is significantly related to the efforts of researchers to remove bias from it. </w:t>
      </w:r>
      <w:r w:rsidRPr="00A05778">
        <w:rPr>
          <w:rFonts w:eastAsia="Times New Roman" w:asciiTheme="minorBidi" w:hAnsiTheme="minorBidi"/>
          <w:color w:val="215E99" w:themeColor="text2" w:themeTint="BF"/>
          <w:sz w:val="24"/>
          <w:szCs w:val="24"/>
          <w:lang w:eastAsia="en-GB"/>
        </w:rPr>
        <w:t xml:space="preserve">(Collier, D., 1995). </w:t>
      </w:r>
      <w:r w:rsidRPr="00A05778">
        <w:rPr>
          <w:rFonts w:eastAsia="Times New Roman" w:asciiTheme="minorBidi" w:hAnsiTheme="minorBidi"/>
          <w:color w:val="0E101A"/>
          <w:sz w:val="24"/>
          <w:szCs w:val="24"/>
          <w:lang w:eastAsia="en-GB"/>
        </w:rPr>
        <w:t xml:space="preserve">The ability to comprehend and detect bias in the literature is a critical talent for a critic or user of academic literature to attain, as it enlightens and empowers them to evaluate research critically. </w:t>
      </w:r>
      <w:r w:rsidRPr="00A05778">
        <w:rPr>
          <w:rFonts w:eastAsia="Times New Roman" w:asciiTheme="minorBidi" w:hAnsiTheme="minorBidi"/>
          <w:color w:val="215E99" w:themeColor="text2" w:themeTint="BF"/>
          <w:sz w:val="24"/>
          <w:szCs w:val="24"/>
          <w:lang w:eastAsia="en-GB"/>
        </w:rPr>
        <w:t>(Mehra, B., 2020). </w:t>
      </w:r>
    </w:p>
    <w:p w:rsidRPr="00A05778" w:rsidR="00A05778" w:rsidP="00842C46" w:rsidRDefault="00A05778" w14:paraId="44599018" w14:textId="77777777">
      <w:pPr>
        <w:spacing w:after="0" w:line="480" w:lineRule="auto"/>
        <w:rPr>
          <w:rFonts w:eastAsia="Times New Roman" w:asciiTheme="minorBidi" w:hAnsiTheme="minorBidi"/>
          <w:color w:val="215E99" w:themeColor="text2" w:themeTint="BF"/>
          <w:sz w:val="24"/>
          <w:szCs w:val="24"/>
          <w:lang w:eastAsia="en-GB"/>
        </w:rPr>
      </w:pPr>
      <w:r w:rsidRPr="00A05778">
        <w:rPr>
          <w:rFonts w:eastAsia="Times New Roman" w:asciiTheme="minorBidi" w:hAnsiTheme="minorBidi"/>
          <w:color w:val="0E101A"/>
          <w:sz w:val="24"/>
          <w:szCs w:val="24"/>
          <w:lang w:eastAsia="en-GB"/>
        </w:rPr>
        <w:t xml:space="preserve">Moreover, although biases continue to exist within research, it is apparent from the undertakings to calculate, study, and mitigate them that there is a growing comprehension of their presence and adverse impacts. Credibility, untrue information, and lack of systematic examination have emerged as significant risks in several types of biases. The existence of biases can harm the integrity and quality of the research that has been carried out, making it crucial for researchers to be cautious and vigilant in their work. </w:t>
      </w:r>
      <w:r w:rsidRPr="00A05778">
        <w:rPr>
          <w:rFonts w:eastAsia="Times New Roman" w:asciiTheme="minorBidi" w:hAnsiTheme="minorBidi"/>
          <w:color w:val="215E99" w:themeColor="text2" w:themeTint="BF"/>
          <w:sz w:val="24"/>
          <w:szCs w:val="24"/>
          <w:lang w:eastAsia="en-GB"/>
        </w:rPr>
        <w:t>(Chenail, R.J., 2011.) </w:t>
      </w:r>
    </w:p>
    <w:p w:rsidRPr="00A05778" w:rsidR="00A05778" w:rsidP="00842C46" w:rsidRDefault="00A05778" w14:paraId="3AF9BDFD"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2. Types and Examples of Researcher Bias </w:t>
      </w:r>
    </w:p>
    <w:p w:rsidRPr="00A05778" w:rsidR="00A05778" w:rsidP="00842C46" w:rsidRDefault="00A05778" w14:paraId="19FA6183"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Regardless of discipline, studies are highly likely to contain biases of some form. These biases can be separated into several categories. Confirmation bias is when a researcher has a preconceived hypothesis, approach, or understanding of the outcome they are looking to confirm and, as a result, only focuses on information that will support their hypothesis or position. Publication bias excludes analogous studies that were either unsuccessful or did not prove the suggested hypothesis. Selection bias is when a presenter selectively focuses on one study over others that may hold more evidence against their hypothesis or method. Another form of bias is interviewer bias, where the interviewer has a preconceived idea that leads them to ask leading questions or produce hypotheses regarding the information given by the interviewee. </w:t>
      </w:r>
    </w:p>
    <w:p w:rsidRPr="00A05778" w:rsidR="00A05778" w:rsidP="00842C46" w:rsidRDefault="00A05778" w14:paraId="357BA6D2"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This preference for one form of data is often due to the researcher's focus or a need to explain through language bias—the need to justify their primary research rather than taking a holistic approach, including the entirety of the language data. Researcher bias is ever-present in studies, but more so in qualitative than quantitative data. Bias is not an intentional skewing based on the researchers' views or outcomes; it occurs due to the things they prioritise or consider important for their overarching research.  </w:t>
      </w:r>
    </w:p>
    <w:p w:rsidRPr="00A05778" w:rsidR="00A05778" w:rsidP="00842C46" w:rsidRDefault="00A05778" w14:paraId="63BBA406" w14:textId="77777777">
      <w:pPr>
        <w:spacing w:after="0" w:line="480" w:lineRule="auto"/>
        <w:rPr>
          <w:rFonts w:eastAsia="Times New Roman" w:asciiTheme="minorBidi" w:hAnsiTheme="minorBidi"/>
          <w:color w:val="215E99" w:themeColor="text2" w:themeTint="BF"/>
          <w:sz w:val="24"/>
          <w:szCs w:val="24"/>
          <w:lang w:eastAsia="en-GB"/>
        </w:rPr>
      </w:pPr>
      <w:r w:rsidRPr="00A05778">
        <w:rPr>
          <w:rFonts w:eastAsia="Times New Roman" w:asciiTheme="minorBidi" w:hAnsiTheme="minorBidi"/>
          <w:color w:val="0E101A"/>
          <w:sz w:val="24"/>
          <w:szCs w:val="24"/>
          <w:lang w:eastAsia="en-GB"/>
        </w:rPr>
        <w:t xml:space="preserve">Thus, it is essential to explore the concept of bias in qualitative research and offer an extensive discussion of two of the most common and broad types of bias that researchers face: participant bias and research bias </w:t>
      </w:r>
      <w:r w:rsidRPr="00A05778">
        <w:rPr>
          <w:rFonts w:eastAsia="Times New Roman" w:asciiTheme="minorBidi" w:hAnsiTheme="minorBidi"/>
          <w:color w:val="215E99" w:themeColor="text2" w:themeTint="BF"/>
          <w:sz w:val="24"/>
          <w:szCs w:val="24"/>
          <w:lang w:eastAsia="en-GB"/>
        </w:rPr>
        <w:t>(Johnson et al., 2020).  </w:t>
      </w:r>
    </w:p>
    <w:p w:rsidRPr="00A05778" w:rsidR="00A05778" w:rsidP="00842C46" w:rsidRDefault="00A05778" w14:paraId="30905CF0" w14:textId="77777777">
      <w:pPr>
        <w:spacing w:after="0" w:line="480" w:lineRule="auto"/>
        <w:rPr>
          <w:rFonts w:eastAsia="Times New Roman" w:asciiTheme="minorBidi" w:hAnsiTheme="minorBidi"/>
          <w:color w:val="215E99" w:themeColor="text2" w:themeTint="BF"/>
          <w:sz w:val="24"/>
          <w:szCs w:val="24"/>
          <w:lang w:eastAsia="en-GB"/>
        </w:rPr>
      </w:pPr>
      <w:r w:rsidRPr="00A05778">
        <w:rPr>
          <w:rFonts w:eastAsia="Times New Roman" w:asciiTheme="minorBidi" w:hAnsiTheme="minorBidi"/>
          <w:color w:val="0E101A"/>
          <w:sz w:val="24"/>
          <w:szCs w:val="24"/>
          <w:lang w:eastAsia="en-GB"/>
        </w:rPr>
        <w:t xml:space="preserve">These biases can fundamentally shape and distort the methodology and methods, the results, and ultimately, the findings of a research endeavour using a qualitative approach. Recalling that bias—in research, a constellation of signifiers or theories—is the researchers' positioning of knowledge and truth, fleshed out mainly in the </w:t>
      </w:r>
      <w:r w:rsidRPr="00A05778">
        <w:rPr>
          <w:rFonts w:eastAsia="Times New Roman" w:asciiTheme="minorBidi" w:hAnsiTheme="minorBidi"/>
          <w:color w:val="0E101A"/>
          <w:sz w:val="24"/>
          <w:szCs w:val="24"/>
          <w:lang w:eastAsia="en-GB"/>
        </w:rPr>
        <w:t xml:space="preserve">literature as enduringly through participant bias and researcher bias; understanding and being concise concerning bias in research are pivotal areas in the conduct of rigorous qualitative research. </w:t>
      </w:r>
      <w:r w:rsidRPr="00A05778">
        <w:rPr>
          <w:rFonts w:eastAsia="Times New Roman" w:asciiTheme="minorBidi" w:hAnsiTheme="minorBidi"/>
          <w:color w:val="215E99" w:themeColor="text2" w:themeTint="BF"/>
          <w:sz w:val="24"/>
          <w:szCs w:val="24"/>
          <w:lang w:eastAsia="en-GB"/>
        </w:rPr>
        <w:t>(Burkholder &amp; Phillips, 2022) </w:t>
      </w:r>
    </w:p>
    <w:p w:rsidRPr="00A05778" w:rsidR="00A05778" w:rsidP="00842C46" w:rsidRDefault="00A05778" w14:paraId="2D4A261A"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3- Mitigate bias in this research; the researcher resorted to  </w:t>
      </w:r>
    </w:p>
    <w:p w:rsidRPr="00A05778" w:rsidR="00A05778" w:rsidP="00842C46" w:rsidRDefault="00A05778" w14:paraId="10A46ECB" w14:textId="77777777">
      <w:pPr>
        <w:spacing w:after="0" w:line="480" w:lineRule="auto"/>
        <w:rPr>
          <w:rFonts w:eastAsia="Times New Roman" w:asciiTheme="minorBidi" w:hAnsiTheme="minorBidi"/>
          <w:color w:val="215E99" w:themeColor="text2" w:themeTint="BF"/>
          <w:sz w:val="24"/>
          <w:szCs w:val="24"/>
          <w:lang w:eastAsia="en-GB"/>
        </w:rPr>
      </w:pPr>
      <w:r w:rsidRPr="00A05778">
        <w:rPr>
          <w:rFonts w:eastAsia="Times New Roman" w:asciiTheme="minorBidi" w:hAnsiTheme="minorBidi"/>
          <w:color w:val="0E101A"/>
          <w:sz w:val="24"/>
          <w:szCs w:val="24"/>
          <w:lang w:eastAsia="en-GB"/>
        </w:rPr>
        <w:t>Leverage diverse data sources in a process we call triangulation to minimise the effects of a single participant's or the researcher's bias. One technique for reducing the impact of bias generated by a researcher on the quality of data is peer debriefing; in addition, transparency can reduce participants' perceptions of malevolence or researcher manipulation since they can, in many studies, potentially audit the process and perhaps even play a role in it</w:t>
      </w:r>
      <w:r w:rsidRPr="00A05778">
        <w:rPr>
          <w:rFonts w:eastAsia="Times New Roman" w:asciiTheme="minorBidi" w:hAnsiTheme="minorBidi"/>
          <w:color w:val="215E99" w:themeColor="text2" w:themeTint="BF"/>
          <w:sz w:val="24"/>
          <w:szCs w:val="24"/>
          <w:lang w:eastAsia="en-GB"/>
        </w:rPr>
        <w:t>. (Holmes IV, O., Lopiano, et al., 2019). </w:t>
      </w:r>
    </w:p>
    <w:p w:rsidRPr="00A05778" w:rsidR="00A05778" w:rsidP="00842C46" w:rsidRDefault="00A05778" w14:paraId="0F3B0FD5"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According to UWTSD University, the dominant principle that guides research is that the highest contemporary ethical standards must conduct it. Research ethics are norms for conduct that distinguish between acceptable and unacceptable behaviour. Ethics promote research aims, such as knowledge, truth, and avoidance of errors. </w:t>
      </w:r>
    </w:p>
    <w:p w:rsidRPr="00A05778" w:rsidR="00A05778" w:rsidP="00842C46" w:rsidRDefault="00A05778" w14:paraId="67DB06B0"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Ethical considerations: </w:t>
      </w:r>
    </w:p>
    <w:p w:rsidRPr="00A05778" w:rsidR="00A05778" w:rsidP="00842C46" w:rsidRDefault="00A05778" w14:paraId="589C8380"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It is essential to adhere to ethical norms in research, for example, prohibitions against fabrication, falsifying, or misrepresenting research data; this promotes the truth and significantly avoids error. In the context of business research, where there are no formal written codes, the responsibility of determining what is ethical lies with the researcher and the supervisor (Collis and Hussey,2009). This empowers the researcher to uphold the highest ethical standards. </w:t>
      </w:r>
    </w:p>
    <w:p w:rsidRPr="00A05778" w:rsidR="00A05778" w:rsidP="00842C46" w:rsidRDefault="00A05778" w14:paraId="076D9F1E"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w:t>
      </w:r>
    </w:p>
    <w:p w:rsidRPr="00A05778" w:rsidR="00A05778" w:rsidP="00842C46" w:rsidRDefault="00A05778" w14:paraId="137DFEAB"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That notwithstanding, this research was conducted in line with the general principle of ethics in research to uphold honesty, avoid bias, objectivity, integrity, respect for </w:t>
      </w:r>
      <w:r w:rsidRPr="00A05778">
        <w:rPr>
          <w:rFonts w:eastAsia="Times New Roman" w:asciiTheme="minorBidi" w:hAnsiTheme="minorBidi"/>
          <w:color w:val="0E101A"/>
          <w:sz w:val="24"/>
          <w:szCs w:val="24"/>
          <w:lang w:eastAsia="en-GB"/>
        </w:rPr>
        <w:t>intellectual property, protect confidentiality, social responsibility, respect for human dignity, privacy, and autonomy. Data was ethically sourced by adhering to The Data Protection Act 2018, the UK's implementation of the General Data Protection Regulation (GDPR), which sets out strict guidelines for collecting and using personal data. </w:t>
      </w:r>
    </w:p>
    <w:p w:rsidRPr="00A05778" w:rsidR="00A05778" w:rsidP="00842C46" w:rsidRDefault="00A05778" w14:paraId="639FA582"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By this, the researcher ensured that there was no deceit in obtaining the data and that there would be no third-party usage of the data other than the purpose for which it is obtained: academic purposes. The data is respected and used only for its intended purpose, ensuring its value and integrity. </w:t>
      </w:r>
    </w:p>
    <w:p w:rsidRPr="00A05778" w:rsidR="00A05778" w:rsidP="00842C46" w:rsidRDefault="00A05778" w14:paraId="7E9D5FB0"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Also, the data collected has been stored securely using the University's trusted software, ensuring that the research data is protected and safe. </w:t>
      </w:r>
    </w:p>
    <w:p w:rsidRPr="00A05778" w:rsidR="00A05778" w:rsidP="00842C46" w:rsidRDefault="00A05778" w14:paraId="766CDF9D"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Limitations of study:  </w:t>
      </w:r>
    </w:p>
    <w:p w:rsidRPr="00A05778" w:rsidR="00A05778" w:rsidP="00842C46" w:rsidRDefault="00A05778" w14:paraId="49CB93D4"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The research limitation refers to the potential weaknesses </w:t>
      </w:r>
      <w:r w:rsidRPr="00A05778">
        <w:rPr>
          <w:rFonts w:eastAsia="Times New Roman" w:asciiTheme="minorBidi" w:hAnsiTheme="minorBidi"/>
          <w:color w:val="215E99" w:themeColor="text2" w:themeTint="BF"/>
          <w:sz w:val="24"/>
          <w:szCs w:val="24"/>
          <w:lang w:eastAsia="en-GB"/>
        </w:rPr>
        <w:t xml:space="preserve">(Collis and Hussey,2009). </w:t>
      </w:r>
      <w:r w:rsidRPr="00A05778">
        <w:rPr>
          <w:rFonts w:eastAsia="Times New Roman" w:asciiTheme="minorBidi" w:hAnsiTheme="minorBidi"/>
          <w:color w:val="0E101A"/>
          <w:sz w:val="24"/>
          <w:szCs w:val="24"/>
          <w:lang w:eastAsia="en-GB"/>
        </w:rPr>
        <w:t>This research encountered several limitations due to the type of methodology chosen to gather and analyse the data. For example, the interviewer is UK-based and chose only semi structured face-to-face interviews. Interviewees were sceptical about discussing the organisation's motivation strategies due to the sensitive nature of the subject under study. These limitations may have influenced the depth and breadth of the findings.  </w:t>
      </w:r>
    </w:p>
    <w:p w:rsidRPr="00A05778" w:rsidR="00A05778" w:rsidP="00842C46" w:rsidRDefault="00A05778" w14:paraId="21F3075B"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the participants who agreed to participate wanted anonymity and were against any publication. This ethical consideration was respected, and the researcher had to write down only the essential information. This led to a decrease in the amount of sub-data that should have been collected despite the amount of primary data that had been collected. </w:t>
      </w:r>
    </w:p>
    <w:p w:rsidRPr="00A05778" w:rsidR="00A05778" w:rsidP="00842C46" w:rsidRDefault="00A05778" w14:paraId="036DF1A6"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In addition, narrowing the research sample size to only four participants mean generalisation will be inappropriate. As a result, it could be deemed inadequate to reflect an accurate representation, implying that generalisation in this research cannot be guaranteed.  </w:t>
      </w:r>
    </w:p>
    <w:p w:rsidR="00A05778" w:rsidP="00842C46" w:rsidRDefault="00A05778" w14:paraId="2BDC1AA3" w14:textId="77777777">
      <w:pPr>
        <w:spacing w:after="0" w:line="480" w:lineRule="auto"/>
        <w:rPr>
          <w:rFonts w:eastAsia="Times New Roman" w:asciiTheme="minorBidi" w:hAnsiTheme="minorBidi"/>
          <w:color w:val="0E101A"/>
          <w:sz w:val="24"/>
          <w:szCs w:val="24"/>
          <w:lang w:eastAsia="en-GB"/>
        </w:rPr>
      </w:pPr>
      <w:r w:rsidRPr="00A05778">
        <w:rPr>
          <w:rFonts w:eastAsia="Times New Roman" w:asciiTheme="minorBidi" w:hAnsiTheme="minorBidi"/>
          <w:color w:val="0E101A"/>
          <w:sz w:val="24"/>
          <w:szCs w:val="24"/>
          <w:lang w:eastAsia="en-GB"/>
        </w:rPr>
        <w:t xml:space="preserve">On the issue of , </w:t>
      </w:r>
      <w:r w:rsidRPr="00A05778">
        <w:rPr>
          <w:rFonts w:eastAsia="Times New Roman" w:asciiTheme="minorBidi" w:hAnsiTheme="minorBidi"/>
          <w:color w:val="215E99" w:themeColor="text2" w:themeTint="BF"/>
          <w:sz w:val="24"/>
          <w:szCs w:val="24"/>
          <w:lang w:eastAsia="en-GB"/>
        </w:rPr>
        <w:t>(Strauss and Corbin,1994)</w:t>
      </w:r>
      <w:r w:rsidRPr="00A05778">
        <w:rPr>
          <w:rFonts w:eastAsia="Times New Roman" w:asciiTheme="minorBidi" w:hAnsiTheme="minorBidi"/>
          <w:color w:val="0E101A"/>
          <w:sz w:val="24"/>
          <w:szCs w:val="24"/>
          <w:lang w:eastAsia="en-GB"/>
        </w:rPr>
        <w:t xml:space="preserve"> criticised researchers using grounded theory for analysis as often concentrating on their methodology coding and not theoretical coding. As is the case in this research, the implication is that this dissertation might not contribute anything empirical to the self-determination and organisational commitment theories theory other than answering its aims and objectives. </w:t>
      </w:r>
    </w:p>
    <w:p w:rsidRPr="00256B90" w:rsidR="00256B90" w:rsidP="00256B90" w:rsidRDefault="00256B90" w14:paraId="0A283B7B" w14:textId="77777777">
      <w:pPr>
        <w:spacing w:after="0" w:line="480" w:lineRule="auto"/>
        <w:rPr>
          <w:rFonts w:eastAsia="Times New Roman" w:asciiTheme="minorBidi" w:hAnsiTheme="minorBidi"/>
          <w:color w:val="215E99" w:themeColor="text2" w:themeTint="BF"/>
          <w:sz w:val="24"/>
          <w:szCs w:val="24"/>
          <w:lang w:eastAsia="en-GB"/>
        </w:rPr>
      </w:pPr>
      <w:r w:rsidRPr="00256B90">
        <w:rPr>
          <w:rFonts w:eastAsia="Times New Roman" w:asciiTheme="minorBidi" w:hAnsiTheme="minorBidi"/>
          <w:color w:val="215E99" w:themeColor="text2" w:themeTint="BF"/>
          <w:sz w:val="24"/>
          <w:szCs w:val="24"/>
          <w:lang w:eastAsia="en-GB"/>
        </w:rPr>
        <w:t xml:space="preserve">Timescale for the research:  </w:t>
      </w:r>
    </w:p>
    <w:p w:rsidR="00256B90" w:rsidP="00256B90" w:rsidRDefault="00256B90" w14:paraId="068C2A03" w14:textId="18FCFA0E">
      <w:pPr>
        <w:spacing w:after="0" w:line="480" w:lineRule="auto"/>
        <w:rPr>
          <w:rFonts w:eastAsia="Times New Roman" w:asciiTheme="minorBidi" w:hAnsiTheme="minorBidi"/>
          <w:color w:val="0E101A"/>
          <w:sz w:val="24"/>
          <w:szCs w:val="24"/>
          <w:lang w:eastAsia="en-GB"/>
        </w:rPr>
      </w:pPr>
      <w:r w:rsidRPr="00256B90">
        <w:rPr>
          <w:rFonts w:eastAsia="Times New Roman" w:asciiTheme="minorBidi" w:hAnsiTheme="minorBidi"/>
          <w:color w:val="0E101A"/>
          <w:sz w:val="24"/>
          <w:szCs w:val="24"/>
          <w:lang w:eastAsia="en-GB"/>
        </w:rPr>
        <w:t>The research started in April 2024, with some preliminary investigation into motivation strategies in the Motivational Strategies and Employee Performance: Examine the effectiveness of different motivational techniques and their impact on employee productivity and satisfaction then the methodology and the title of the research were developed and changed to Motivation for Excellence: Analysing the Impact of Motivational Strategies on Employee Performance in Trinity Saint David University In the Context of The Higher Education Sector—self-determination theory. It takes almost two months for the interview and the data collection</w:t>
      </w:r>
      <w:r>
        <w:rPr>
          <w:rFonts w:eastAsia="Times New Roman" w:asciiTheme="minorBidi" w:hAnsiTheme="minorBidi"/>
          <w:color w:val="0E101A"/>
          <w:sz w:val="24"/>
          <w:szCs w:val="24"/>
          <w:lang w:eastAsia="en-GB"/>
        </w:rPr>
        <w:t>.</w:t>
      </w:r>
    </w:p>
    <w:p w:rsidRPr="00EF1917" w:rsidR="00EF1917" w:rsidP="00EF1917" w:rsidRDefault="00EF1917" w14:paraId="5F0B5A16" w14:textId="28950ED1">
      <w:pPr>
        <w:spacing w:after="0" w:line="480" w:lineRule="auto"/>
        <w:rPr>
          <w:rFonts w:eastAsia="Times New Roman" w:asciiTheme="minorBidi" w:hAnsiTheme="minorBidi"/>
          <w:color w:val="215E99" w:themeColor="text2" w:themeTint="BF"/>
          <w:sz w:val="24"/>
          <w:szCs w:val="24"/>
          <w:lang w:eastAsia="en-GB"/>
        </w:rPr>
      </w:pPr>
      <w:r w:rsidRPr="00EF1917">
        <w:rPr>
          <w:rFonts w:eastAsia="Times New Roman" w:asciiTheme="minorBidi" w:hAnsiTheme="minorBidi"/>
          <w:color w:val="215E99" w:themeColor="text2" w:themeTint="BF"/>
          <w:sz w:val="24"/>
          <w:szCs w:val="24"/>
          <w:lang w:eastAsia="en-GB"/>
        </w:rPr>
        <w:t>Summary: </w:t>
      </w:r>
      <w:r>
        <w:rPr>
          <w:rFonts w:eastAsia="Times New Roman" w:asciiTheme="minorBidi" w:hAnsiTheme="minorBidi"/>
          <w:color w:val="0E101A"/>
          <w:sz w:val="24"/>
          <w:szCs w:val="24"/>
          <w:lang w:eastAsia="en-GB"/>
        </w:rPr>
        <w:t>The introduction to this chapter of the thesis discussed the reasons for monitoring the increasing employee turnover</w:t>
      </w:r>
      <w:r w:rsidRPr="00EF1917">
        <w:rPr>
          <w:rFonts w:eastAsia="Times New Roman" w:asciiTheme="minorBidi" w:hAnsiTheme="minorBidi"/>
          <w:color w:val="0E101A"/>
          <w:sz w:val="24"/>
          <w:szCs w:val="24"/>
          <w:lang w:eastAsia="en-GB"/>
        </w:rPr>
        <w:t xml:space="preserve"> in the institution, and the research used Trinity Saint David University as a case study. </w:t>
      </w:r>
    </w:p>
    <w:p w:rsidR="00E402AD" w:rsidP="0075241E" w:rsidRDefault="00EF1917" w14:paraId="218C55BF" w14:textId="77777777">
      <w:pPr>
        <w:spacing w:after="0" w:line="480" w:lineRule="auto"/>
        <w:rPr>
          <w:rFonts w:eastAsia="Times New Roman" w:asciiTheme="minorBidi" w:hAnsiTheme="minorBidi"/>
          <w:color w:val="0E101A"/>
          <w:sz w:val="24"/>
          <w:szCs w:val="24"/>
          <w:lang w:eastAsia="en-GB"/>
        </w:rPr>
      </w:pPr>
      <w:r w:rsidRPr="00EF1917">
        <w:rPr>
          <w:rFonts w:eastAsia="Times New Roman" w:asciiTheme="minorBidi" w:hAnsiTheme="minorBidi"/>
          <w:color w:val="0E101A"/>
          <w:sz w:val="24"/>
          <w:szCs w:val="24"/>
          <w:lang w:eastAsia="en-GB"/>
        </w:rPr>
        <w:t xml:space="preserve"> The research questions also indicated the importance of knowing the impact of motivational strategies on the performance of university employees which strategies are most acceptable to employees and why they prefer them. To answer the above, </w:t>
      </w:r>
      <w:r w:rsidRPr="00EF1917">
        <w:rPr>
          <w:rFonts w:eastAsia="Times New Roman" w:asciiTheme="minorBidi" w:hAnsiTheme="minorBidi"/>
          <w:color w:val="0E101A"/>
          <w:sz w:val="24"/>
          <w:szCs w:val="24"/>
          <w:lang w:eastAsia="en-GB"/>
        </w:rPr>
        <w:t>the researcher used qualitative research methodology. He also used personal interviews in designing the research to collect information and data directly from the research participants. The research philosophy was based on interpretive phenomenological analysis. The research sample was selected from different departments within the institution, age groups, and jobs. The researcher was also keened to include both male and female genders. </w:t>
      </w:r>
      <w:r w:rsidRPr="00EF1917">
        <w:rPr>
          <w:rFonts w:eastAsia="Times New Roman" w:asciiTheme="minorBidi" w:hAnsiTheme="minorBidi"/>
          <w:color w:val="0E101A"/>
          <w:sz w:val="24"/>
          <w:szCs w:val="24"/>
          <w:lang w:eastAsia="en-GB"/>
        </w:rPr>
        <w:br/>
      </w:r>
      <w:r w:rsidRPr="00EF1917">
        <w:rPr>
          <w:rFonts w:eastAsia="Times New Roman" w:asciiTheme="minorBidi" w:hAnsiTheme="minorBidi"/>
          <w:color w:val="0E101A"/>
          <w:sz w:val="24"/>
          <w:szCs w:val="24"/>
          <w:lang w:eastAsia="en-GB"/>
        </w:rPr>
        <w:t xml:space="preserve">The research derived its authority and credibility from multiple sources of information, which varied between collecting direct data through personal interviews and then analysing and comparing it with data already published in other research that dealt with the same topic in the context of the higher education sector, in what is known as the process of triangulation The research showed that there is a limitation in the results it can achieve due to the lack of time and lack of resources. The research assumed that there is a direct relationship between financial motivational motives and an increase in the rate of employee turnover. It also assumed that employees' independence is one of the most important motivations for remaining at work within the </w:t>
      </w:r>
      <w:r w:rsidR="0075241E">
        <w:rPr>
          <w:rFonts w:eastAsia="Times New Roman" w:asciiTheme="minorBidi" w:hAnsiTheme="minorBidi"/>
          <w:color w:val="0E101A"/>
          <w:sz w:val="24"/>
          <w:szCs w:val="24"/>
          <w:lang w:eastAsia="en-GB"/>
        </w:rPr>
        <w:t>organisation</w:t>
      </w:r>
      <w:r w:rsidRPr="00EF1917">
        <w:rPr>
          <w:rFonts w:eastAsia="Times New Roman" w:asciiTheme="minorBidi" w:hAnsiTheme="minorBidi"/>
          <w:color w:val="0E101A"/>
          <w:sz w:val="24"/>
          <w:szCs w:val="24"/>
          <w:lang w:eastAsia="en-GB"/>
        </w:rPr>
        <w:t>.</w:t>
      </w:r>
    </w:p>
    <w:p w:rsidR="00E402AD" w:rsidP="0075241E" w:rsidRDefault="00E402AD" w14:paraId="7A466031"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0D1B0AAF"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74098DE5"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5B13ABA5"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2CD9E036"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3D333B39"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0173AB76" w14:textId="77777777">
      <w:pPr>
        <w:spacing w:after="0" w:line="480" w:lineRule="auto"/>
        <w:rPr>
          <w:rFonts w:eastAsia="Times New Roman" w:asciiTheme="minorBidi" w:hAnsiTheme="minorBidi"/>
          <w:color w:val="0E101A"/>
          <w:sz w:val="24"/>
          <w:szCs w:val="24"/>
          <w:lang w:eastAsia="en-GB"/>
        </w:rPr>
      </w:pPr>
    </w:p>
    <w:p w:rsidR="00E402AD" w:rsidP="0075241E" w:rsidRDefault="00E402AD" w14:paraId="14F6A7B3" w14:textId="77777777">
      <w:pPr>
        <w:spacing w:after="0" w:line="480" w:lineRule="auto"/>
        <w:rPr>
          <w:rFonts w:eastAsia="Times New Roman" w:asciiTheme="minorBidi" w:hAnsiTheme="minorBidi"/>
          <w:color w:val="0E101A"/>
          <w:sz w:val="24"/>
          <w:szCs w:val="24"/>
          <w:lang w:eastAsia="en-GB"/>
        </w:rPr>
      </w:pPr>
    </w:p>
    <w:p w:rsidR="00BB1DFB" w:rsidP="00BB1DFB" w:rsidRDefault="00E402AD" w14:paraId="0C0E384F" w14:textId="77777777">
      <w:pPr>
        <w:pStyle w:val="Heading3"/>
        <w:jc w:val="center"/>
        <w:rPr>
          <w:rFonts w:eastAsia="Times New Roman"/>
          <w:lang w:eastAsia="en-GB"/>
        </w:rPr>
      </w:pPr>
      <w:r w:rsidRPr="00E402AD">
        <w:rPr>
          <w:rFonts w:eastAsia="Times New Roman"/>
          <w:lang w:eastAsia="en-GB"/>
        </w:rPr>
        <w:t xml:space="preserve">Chapter Four Findings and Discussion  </w:t>
      </w:r>
    </w:p>
    <w:p w:rsidRPr="00BC03A7" w:rsidR="00BC03A7" w:rsidP="002910CC" w:rsidRDefault="00BC03A7" w14:paraId="36FB59EF"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0E101A"/>
          <w:sz w:val="24"/>
          <w:szCs w:val="24"/>
          <w:lang w:eastAsia="en-GB"/>
        </w:rPr>
        <w:t>The penultimate chapter analyses the primary and secondary data gathered in the dissertation to deduce its implications for the research objectives. </w:t>
      </w:r>
    </w:p>
    <w:p w:rsidRPr="00BC03A7" w:rsidR="00BC03A7" w:rsidP="002910CC" w:rsidRDefault="00BC03A7" w14:paraId="63B5E849" w14:textId="77777777">
      <w:pPr>
        <w:spacing w:after="0" w:line="480" w:lineRule="auto"/>
        <w:textAlignment w:val="baseline"/>
        <w:rPr>
          <w:rFonts w:eastAsia="Times New Roman" w:asciiTheme="minorBidi" w:hAnsiTheme="minorBidi"/>
          <w:color w:val="0F4761"/>
          <w:sz w:val="24"/>
          <w:szCs w:val="24"/>
          <w:lang w:eastAsia="en-GB"/>
        </w:rPr>
      </w:pPr>
      <w:r w:rsidRPr="00BC03A7">
        <w:rPr>
          <w:rFonts w:eastAsia="Times New Roman" w:asciiTheme="minorBidi" w:hAnsiTheme="minorBidi"/>
          <w:color w:val="0F4761"/>
          <w:sz w:val="24"/>
          <w:szCs w:val="24"/>
          <w:lang w:eastAsia="en-GB"/>
        </w:rPr>
        <w:t>4.0 INTRODUCTION  </w:t>
      </w:r>
    </w:p>
    <w:p w:rsidRPr="00BC03A7" w:rsidR="00BC03A7" w:rsidP="002910CC" w:rsidRDefault="00BC03A7" w14:paraId="549D16C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0E101A"/>
          <w:sz w:val="24"/>
          <w:szCs w:val="24"/>
          <w:lang w:eastAsia="en-GB"/>
        </w:rPr>
        <w:t xml:space="preserve">Although scholars and researchers unanimously agreed that the qualitative research results were unreliable, they decided on how essential it is for the researcher to use methodological steps in the research topic. In analysing words and themes relating to organizational commitment and self-determination in the UK, significant emphasis is placed on adhering to what </w:t>
      </w:r>
      <w:r w:rsidRPr="00BC03A7">
        <w:rPr>
          <w:rFonts w:eastAsia="Times New Roman" w:asciiTheme="minorBidi" w:hAnsiTheme="minorBidi"/>
          <w:color w:val="4A6EE0"/>
          <w:sz w:val="24"/>
          <w:szCs w:val="24"/>
          <w:lang w:eastAsia="en-GB"/>
        </w:rPr>
        <w:t>(Bowen,2005)</w:t>
      </w:r>
      <w:r w:rsidRPr="00BC03A7">
        <w:rPr>
          <w:rFonts w:eastAsia="Times New Roman" w:asciiTheme="minorBidi" w:hAnsiTheme="minorBidi"/>
          <w:color w:val="0E101A"/>
          <w:sz w:val="24"/>
          <w:szCs w:val="24"/>
          <w:lang w:eastAsia="en-GB"/>
        </w:rPr>
        <w:t xml:space="preserve"> referred to as in-vivo open coding (respondents’ exact words). In-vivo coding became apparent because interviewees were against being interviewed by telephone (limitation). Therefore, to ensure accurate reportage and not preconceived ideas, in-vivo coding was unavoidable (summary of notes taken during the interviews in Wales, specifically Swansea City ). </w:t>
      </w:r>
      <w:r w:rsidRPr="00BC03A7">
        <w:rPr>
          <w:rFonts w:eastAsia="Times New Roman" w:asciiTheme="minorBidi" w:hAnsiTheme="minorBidi"/>
          <w:color w:val="4A6EE0"/>
          <w:sz w:val="24"/>
          <w:szCs w:val="24"/>
          <w:lang w:eastAsia="en-GB"/>
        </w:rPr>
        <w:t>(Thomas.J &amp; Angela,2008) </w:t>
      </w:r>
    </w:p>
    <w:p w:rsidRPr="00BC03A7" w:rsidR="00BC03A7" w:rsidP="002910CC" w:rsidRDefault="00BC03A7" w14:paraId="297FBD7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0E101A"/>
          <w:sz w:val="24"/>
          <w:szCs w:val="24"/>
          <w:lang w:eastAsia="en-GB"/>
        </w:rPr>
        <w:t>Although the methodological design of this research was designed to answer the research objectives and hypotheses, this chapter of the research will measure the results against the objectives, which were included in the second and third chapters, which are </w:t>
      </w:r>
    </w:p>
    <w:p w:rsidRPr="00BC03A7" w:rsidR="00BC03A7" w:rsidP="002910CC" w:rsidRDefault="00BC03A7" w14:paraId="24944AA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0E101A"/>
          <w:sz w:val="24"/>
          <w:szCs w:val="24"/>
          <w:lang w:eastAsia="en-GB"/>
        </w:rPr>
        <w:t>1. Identify the effective range of motivational techniques currently utilised in the university.    </w:t>
      </w:r>
    </w:p>
    <w:p w:rsidRPr="00BC03A7" w:rsidR="00BC03A7" w:rsidP="002910CC" w:rsidRDefault="00BC03A7" w14:paraId="6800F35C"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0E101A"/>
          <w:sz w:val="24"/>
          <w:szCs w:val="24"/>
          <w:lang w:eastAsia="en-GB"/>
        </w:rPr>
        <w:t xml:space="preserve">2. To explore employee preferences for specific motivational incentives over others. According to </w:t>
      </w:r>
      <w:r w:rsidRPr="00BC03A7">
        <w:rPr>
          <w:rFonts w:eastAsia="Times New Roman" w:asciiTheme="minorBidi" w:hAnsiTheme="minorBidi"/>
          <w:color w:val="4A6EE0"/>
          <w:sz w:val="24"/>
          <w:szCs w:val="24"/>
          <w:lang w:eastAsia="en-GB"/>
        </w:rPr>
        <w:t>Binet and Field (2007)</w:t>
      </w:r>
      <w:r w:rsidRPr="00BC03A7">
        <w:rPr>
          <w:rFonts w:eastAsia="Times New Roman" w:asciiTheme="minorBidi" w:hAnsiTheme="minorBidi"/>
          <w:color w:val="0E101A"/>
          <w:sz w:val="24"/>
          <w:szCs w:val="24"/>
          <w:lang w:eastAsia="en-GB"/>
        </w:rPr>
        <w:t>, the researcher must strive to measure everything to ensure progress is achieved.   </w:t>
      </w:r>
    </w:p>
    <w:p w:rsidRPr="00BC03A7" w:rsidR="00BC03A7" w:rsidP="002910CC" w:rsidRDefault="00BC03A7" w14:paraId="0784F295"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w:t>
      </w:r>
    </w:p>
    <w:p w:rsidRPr="00BC03A7" w:rsidR="00BC03A7" w:rsidP="002910CC" w:rsidRDefault="00BC03A7" w14:paraId="125AEFA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above not only confirms the chosen methodology but also enhances the accuracy of the interpretations of the findings,  </w:t>
      </w:r>
    </w:p>
    <w:p w:rsidRPr="00BC03A7" w:rsidR="00BC03A7" w:rsidP="002910CC" w:rsidRDefault="00BC03A7" w14:paraId="45A8DC58"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at the same time, it is crucial to address the limitations, reliability, and validity; the researcher has made strenuous efforts to adhere to all academic rules in this instance. This commitment to academic rigour should reassure the reader about the quality and trustworthiness of the research </w:t>
      </w:r>
      <w:r w:rsidRPr="00BC03A7">
        <w:rPr>
          <w:rFonts w:eastAsia="Times New Roman" w:asciiTheme="minorBidi" w:hAnsiTheme="minorBidi"/>
          <w:color w:val="4A6EE0"/>
          <w:sz w:val="24"/>
          <w:szCs w:val="24"/>
          <w:lang w:eastAsia="en-GB"/>
        </w:rPr>
        <w:t>(Bridges, D., 2019).</w:t>
      </w:r>
      <w:r w:rsidRPr="00BC03A7">
        <w:rPr>
          <w:rFonts w:eastAsia="Times New Roman" w:asciiTheme="minorBidi" w:hAnsiTheme="minorBidi"/>
          <w:sz w:val="24"/>
          <w:szCs w:val="24"/>
          <w:lang w:eastAsia="en-GB"/>
        </w:rPr>
        <w:t xml:space="preserve"> It is, therefore, important to mention that transferability is the least worry of this dissertation or qualitative research </w:t>
      </w:r>
      <w:r w:rsidRPr="00BC03A7">
        <w:rPr>
          <w:rFonts w:eastAsia="Times New Roman" w:asciiTheme="minorBidi" w:hAnsiTheme="minorBidi"/>
          <w:color w:val="4A6EE0"/>
          <w:sz w:val="24"/>
          <w:szCs w:val="24"/>
          <w:lang w:eastAsia="en-GB"/>
        </w:rPr>
        <w:t>(Stenbacka, 2001).  </w:t>
      </w:r>
    </w:p>
    <w:p w:rsidRPr="00BC03A7" w:rsidR="00BC03A7" w:rsidP="002910CC" w:rsidRDefault="00BC03A7" w14:paraId="7A19ED6A"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study's rationale is to evaluate the effectiveness of motivational techniques on employee performance in higher education, drawing insights directly from the University of Trinity Saint David employees. Below is the in-vivo analysis of the semi-structured interviews conducted for the research. However, appendix (3) presents a matrix analysis incorporating the researcher's observations. </w:t>
      </w:r>
    </w:p>
    <w:p w:rsidRPr="00BC03A7" w:rsidR="00BC03A7" w:rsidP="002910CC" w:rsidRDefault="00BC03A7" w14:paraId="4FB5E65B" w14:textId="77777777">
      <w:pPr>
        <w:spacing w:after="0" w:line="480" w:lineRule="auto"/>
        <w:textAlignment w:val="baseline"/>
        <w:rPr>
          <w:rFonts w:eastAsia="Times New Roman" w:asciiTheme="minorBidi" w:hAnsiTheme="minorBidi"/>
          <w:color w:val="0F4761"/>
          <w:sz w:val="24"/>
          <w:szCs w:val="24"/>
          <w:lang w:eastAsia="en-GB"/>
        </w:rPr>
      </w:pPr>
      <w:r w:rsidRPr="00BC03A7">
        <w:rPr>
          <w:rFonts w:eastAsia="Times New Roman" w:asciiTheme="minorBidi" w:hAnsiTheme="minorBidi"/>
          <w:color w:val="0F4761"/>
          <w:sz w:val="24"/>
          <w:szCs w:val="24"/>
          <w:lang w:eastAsia="en-GB"/>
        </w:rPr>
        <w:t>4.1 Analysis of the Participant's Interviews and Discussion  </w:t>
      </w:r>
    </w:p>
    <w:p w:rsidRPr="00BC03A7" w:rsidR="00BC03A7" w:rsidP="002910CC" w:rsidRDefault="00BC03A7" w14:paraId="10530BC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This research adopted two hypotheses. The first one was that the current motivation strategies used to motivate employees have lost much of their effectiveness due to the economic changes that the United Kingdom is experiencing. The first assumption arose due to several American and European studies that monitored a broad movement of academics and employees in the higher education sector, known as the employee turnover rate.  </w:t>
      </w:r>
    </w:p>
    <w:p w:rsidRPr="00BC03A7" w:rsidR="00BC03A7" w:rsidP="002910CC" w:rsidRDefault="00BC03A7" w14:paraId="5CF869AC"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second hypotheses were, Increasing the independence of employees in the organisation, which contributes significantly to increasing their loyalty to the organisation. </w:t>
      </w:r>
    </w:p>
    <w:p w:rsidRPr="00BC03A7" w:rsidR="00BC03A7" w:rsidP="002910CC" w:rsidRDefault="00BC03A7" w14:paraId="40FAE02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As all the interviewees elected for anonymity, the four interviewees (Employees) drawn from different departments in the University of Wales, Trinity Sant Davied, will </w:t>
      </w:r>
      <w:r w:rsidRPr="00BC03A7">
        <w:rPr>
          <w:rFonts w:eastAsia="Times New Roman" w:asciiTheme="minorBidi" w:hAnsiTheme="minorBidi"/>
          <w:sz w:val="24"/>
          <w:szCs w:val="24"/>
          <w:lang w:eastAsia="en-GB"/>
        </w:rPr>
        <w:t>be referred to as respondents (P1) – (P4). An analysis is on a question-by-question basis of the responses they offered. </w:t>
      </w:r>
    </w:p>
    <w:p w:rsidRPr="00BC03A7" w:rsidR="00BC03A7" w:rsidP="002910CC" w:rsidRDefault="00BC03A7" w14:paraId="7375E48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Within the framework of the theory of organizational commitment (OC), which was referred to in the second chapter of this thesis (literature review) </w:t>
      </w:r>
    </w:p>
    <w:p w:rsidRPr="00BC03A7" w:rsidR="00BC03A7" w:rsidP="002910CC" w:rsidRDefault="00BC03A7" w14:paraId="0CCCD6E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results were interesting, as it was not observed that there is a direct relationship between the theory of job commitment and financial motivation, as the results indicate that most employees in the organization have a sense of general satisfaction with the financial compensation they receive and that there are other motivations that are more important to them, which create a strong sense of belonging in them. For example, the answers of the academic participants to the first question are as follows: </w:t>
      </w:r>
    </w:p>
    <w:p w:rsidRPr="00BC03A7" w:rsidR="00BC03A7" w:rsidP="002910CC" w:rsidRDefault="00BC03A7" w14:paraId="295D16E3"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Q1Regarding the financial benefits, how satisfied are you with the financial package as an employee in the organisation? (P2) and (P3) expressed high satisfaction with the financial remuneration they received during their years of work at the university. Still, Participant No. 2 said hesitantly that this satisfaction is also related to the extent of the heavy workload. Participant No. 3 compared his current level of financial satisfaction with what he had previously received at another educational institution for the same job. </w:t>
      </w:r>
    </w:p>
    <w:p w:rsidRPr="00BC03A7" w:rsidR="00BC03A7" w:rsidP="002910CC" w:rsidRDefault="00BC03A7" w14:paraId="7343DA6E"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researcher concluded that the age group of participants 2 and 3 played a significant role in their level of satisfaction, as they belong to a group over 55 years old, their desire to achieve financial gains becomes less, compared to their desire to search for a calm work environment characterized by cooperation and helping them achieve moral satisfaction. </w:t>
      </w:r>
    </w:p>
    <w:p w:rsidRPr="00BC03A7" w:rsidR="00BC03A7" w:rsidP="002910CC" w:rsidRDefault="00BC03A7" w14:paraId="0D1F913F"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Participants (P1 and P4) expressed different opinions regarding the financial wage; (P4) explained that the economic challenge that the Kingdom is going through, which </w:t>
      </w:r>
      <w:r w:rsidRPr="00BC03A7">
        <w:rPr>
          <w:rFonts w:eastAsia="Times New Roman" w:asciiTheme="minorBidi" w:hAnsiTheme="minorBidi"/>
          <w:sz w:val="24"/>
          <w:szCs w:val="24"/>
          <w:lang w:eastAsia="en-GB"/>
        </w:rPr>
        <w:t>has contributed to increasing the rate of inflation in the markets and the rise in the mortgage ceiling, has become a pressure and a financial burden that makes him constantly search for another job opportunity with a higher income.  </w:t>
      </w:r>
    </w:p>
    <w:p w:rsidRPr="00BC03A7" w:rsidR="00BC03A7" w:rsidP="002910CC" w:rsidRDefault="00BC03A7" w14:paraId="0F13C4E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At the same time, he sees (P1) said that the work environment is essential. However, financial stability has become a challenging goal for those working in middle administrative positions in the higher education sector, especially with the continuous increase in the prices of products and services. </w:t>
      </w:r>
    </w:p>
    <w:p w:rsidRPr="00BC03A7" w:rsidR="00BC03A7" w:rsidP="002910CC" w:rsidRDefault="00BC03A7" w14:paraId="047683EE"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Q2 How do you find the well-being policy in the organisation? Is it active enough? </w:t>
      </w:r>
    </w:p>
    <w:p w:rsidRPr="00BC03A7" w:rsidR="00BC03A7" w:rsidP="002910CC" w:rsidRDefault="00BC03A7" w14:paraId="51AFEE0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Regarding the answer to the second question, (P1) expressed his knowledge of the existence of a modern version of the welfare protocol in the organisation, published in 2024. At the same time, (P2, P3, and P4) agreed that they were not fully aware of the effectiveness of this part of their work, as nothing had happened that would make them resort to using it, but due to previous work experience; they know that moral support within the work organisation is available when needed. The results of answering the second question, which was designed to measure the level of emotional commitment towards the organization’s employees, showed that there was a significant lack of employees’ knowledge of the organization’s welfare policy, which explains the existence of what is called the absence of motivation (AM). </w:t>
      </w:r>
    </w:p>
    <w:p w:rsidRPr="00BC03A7" w:rsidR="00BC03A7" w:rsidP="002910CC" w:rsidRDefault="00BC03A7" w14:paraId="654BF8C1"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third question was designed in two parts to measure the level of loyalty to the organisation. The first part of the question measures the desire to move to another organisation's turnover intentions (TIs), and the second part allows the researcher to deduce the effectiveness and continuity of commitment (ECC) among employees. The answer was as follows  </w:t>
      </w:r>
    </w:p>
    <w:p w:rsidRPr="00BC03A7" w:rsidR="00BC03A7" w:rsidP="002910CC" w:rsidRDefault="00BC03A7" w14:paraId="2E92FF5F"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Q3 Have you been thinking about moving to another organisation? If yes, please provide a reason for that.  The answer to this question showed excellent results in </w:t>
      </w:r>
      <w:r w:rsidRPr="00BC03A7">
        <w:rPr>
          <w:rFonts w:eastAsia="Times New Roman" w:asciiTheme="minorBidi" w:hAnsiTheme="minorBidi"/>
          <w:sz w:val="24"/>
          <w:szCs w:val="24"/>
          <w:lang w:eastAsia="en-GB"/>
        </w:rPr>
        <w:t>measuring the level of loyalty to the organization within the framework of the self-determination theory used in this research, as the answers were very similar. For example, while all the participants answered negatively to this question, the real reasons for the denial varied. For example, Participant 1 attributed his unwillingness to move to the fact that the work environment is flexible and his ability to make decisions independently is excellent; the reason for this is the extent of understanding between him and the leadership. However, workload has been perceived as a problematic predictor or outcome for several reasons: workload can be both a cause and a result of work-related attitudes; it can be experienced differently by individuals; and it can be mediated by or intrinsic to motivational processes. </w:t>
      </w:r>
    </w:p>
    <w:p w:rsidRPr="00BC03A7" w:rsidR="00BC03A7" w:rsidP="002910CC" w:rsidRDefault="00BC03A7" w14:paraId="585BB1A2"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Participant 2 agreed with Participant 4 that turnover intentions (TIs) could allow academic professionals or employees to leave for another organization if the financial return is more significant than the current one and the managerial position or job title is appropriate to their experiences. </w:t>
      </w:r>
    </w:p>
    <w:p w:rsidRPr="00BC03A7" w:rsidR="00BC03A7" w:rsidP="002910CC" w:rsidRDefault="00BC03A7" w14:paraId="50BA70B0"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Q4 Would you recommend the organisation as a good workplace for others? </w:t>
      </w:r>
    </w:p>
    <w:p w:rsidRPr="00BC03A7" w:rsidR="00BC03A7" w:rsidP="002910CC" w:rsidRDefault="00BC03A7" w14:paraId="1B81EBC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While Participant No. 4 answered a definite yes to this question, Participant No. 3 answered hesitantly before answering yes, referring to the reason for his hesitation in answering the question to the significant and continuous change that the university is witnessing now in the academic labour market at the global level in general and in the UK as well in particular, P3 also added that there is a difficulty to select employees or academics who they can meet business needs, with a small budget in the same time they can get an outstanding offer in EU Universities, which has become a difficult task for those in charge of the recruitment process in the UK.  </w:t>
      </w:r>
    </w:p>
    <w:p w:rsidRPr="00BC03A7" w:rsidR="00BC03A7" w:rsidP="002910CC" w:rsidRDefault="00BC03A7" w14:paraId="623FE57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P1 answered yes, even though the participant blamed the organisation for the difficulty of job promotion. P1 started working for the university ten years ago but was never promoted. P1 added that if achieving career progress was not important for the new employee, the organisation would be a good place for stable work.  P2 answered "no" and explained that the main reason for this answer was the large and numerous job burdens he had accumulated. He believes that these burdens can be shared with another employee. Still, the organisation's general policy is to reduce the number of new employees and rely more on the existing ones.  </w:t>
      </w:r>
    </w:p>
    <w:p w:rsidRPr="00BC03A7" w:rsidR="00BC03A7" w:rsidP="002910CC" w:rsidRDefault="00BC03A7" w14:paraId="4853302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The answer to this question indicated that implementing self-recognition motivation can lead to a more motivated, satisfied, and productive workforce, which is vital for the success of any organisation, </w:t>
      </w:r>
      <w:r w:rsidRPr="00BC03A7">
        <w:rPr>
          <w:rFonts w:eastAsia="Times New Roman" w:asciiTheme="minorBidi" w:hAnsiTheme="minorBidi"/>
          <w:color w:val="215E99" w:themeColor="text2" w:themeTint="BF"/>
          <w:sz w:val="24"/>
          <w:szCs w:val="24"/>
          <w:lang w:eastAsia="en-GB"/>
        </w:rPr>
        <w:t xml:space="preserve">(Stephan., et al., 2024.) </w:t>
      </w:r>
      <w:r w:rsidRPr="00BC03A7">
        <w:rPr>
          <w:rFonts w:eastAsia="Times New Roman" w:asciiTheme="minorBidi" w:hAnsiTheme="minorBidi"/>
          <w:color w:val="000000"/>
          <w:sz w:val="24"/>
          <w:szCs w:val="24"/>
          <w:lang w:eastAsia="en-GB"/>
        </w:rPr>
        <w:t xml:space="preserve">Positive feedback and recognition from peers and supervisors can significantly boost motivation. Feeling valued for one’s contributions encourages continued effort. </w:t>
      </w:r>
      <w:r w:rsidRPr="00BC03A7">
        <w:rPr>
          <w:rFonts w:eastAsia="Times New Roman" w:asciiTheme="minorBidi" w:hAnsiTheme="minorBidi"/>
          <w:color w:val="0E2740"/>
          <w:sz w:val="24"/>
          <w:szCs w:val="24"/>
          <w:lang w:eastAsia="en-GB"/>
        </w:rPr>
        <w:t>(Kwarteng, S., et al.., 2024). </w:t>
      </w:r>
    </w:p>
    <w:p w:rsidRPr="00BC03A7" w:rsidR="00BC03A7" w:rsidP="002910CC" w:rsidRDefault="00BC03A7" w14:paraId="3A6BB9F6" w14:textId="77777777">
      <w:pPr>
        <w:spacing w:after="0" w:line="480" w:lineRule="auto"/>
        <w:textAlignment w:val="baseline"/>
        <w:rPr>
          <w:rFonts w:eastAsia="Times New Roman" w:asciiTheme="minorBidi" w:hAnsiTheme="minorBidi"/>
          <w:color w:val="0F4761"/>
          <w:sz w:val="24"/>
          <w:szCs w:val="24"/>
          <w:lang w:eastAsia="en-GB"/>
        </w:rPr>
      </w:pPr>
      <w:r w:rsidRPr="00BC03A7">
        <w:rPr>
          <w:rFonts w:eastAsia="Times New Roman" w:asciiTheme="minorBidi" w:hAnsiTheme="minorBidi"/>
          <w:color w:val="0F4761"/>
          <w:sz w:val="24"/>
          <w:szCs w:val="24"/>
          <w:lang w:eastAsia="en-GB"/>
        </w:rPr>
        <w:t>4.2 Thematic Findings of In-vivo Coding </w:t>
      </w:r>
    </w:p>
    <w:p w:rsidRPr="00BC03A7" w:rsidR="00BC03A7" w:rsidP="002910CC" w:rsidRDefault="00BC03A7" w14:paraId="51C9F220"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In chapter three, the choice of the inductive analysis approach was geared toward identifying patterns in the data using thematic codes </w:t>
      </w:r>
      <w:r w:rsidRPr="00BC03A7">
        <w:rPr>
          <w:rFonts w:eastAsia="Times New Roman" w:asciiTheme="minorBidi" w:hAnsiTheme="minorBidi"/>
          <w:color w:val="215E99" w:themeColor="text2" w:themeTint="BF"/>
          <w:sz w:val="24"/>
          <w:szCs w:val="24"/>
          <w:lang w:eastAsia="en-GB"/>
        </w:rPr>
        <w:t xml:space="preserve">(Collis &amp; Hussey, 2009) </w:t>
      </w:r>
      <w:r w:rsidRPr="00BC03A7">
        <w:rPr>
          <w:rFonts w:eastAsia="Times New Roman" w:asciiTheme="minorBidi" w:hAnsiTheme="minorBidi"/>
          <w:sz w:val="24"/>
          <w:szCs w:val="24"/>
          <w:lang w:eastAsia="en-GB"/>
        </w:rPr>
        <w:t>to see if they would match with the concept and theoretical bearing of the research. These themes and patterns are words the advocates of the concept identified as critical</w:t>
      </w:r>
      <w:r w:rsidRPr="00BC03A7">
        <w:rPr>
          <w:rFonts w:eastAsia="Times New Roman" w:asciiTheme="minorBidi" w:hAnsiTheme="minorBidi"/>
          <w:color w:val="0E2740"/>
          <w:sz w:val="24"/>
          <w:szCs w:val="24"/>
          <w:lang w:eastAsia="en-GB"/>
        </w:rPr>
        <w:t xml:space="preserve"> </w:t>
      </w:r>
      <w:r w:rsidRPr="00BC03A7">
        <w:rPr>
          <w:rFonts w:eastAsia="Times New Roman" w:asciiTheme="minorBidi" w:hAnsiTheme="minorBidi"/>
          <w:color w:val="215E99" w:themeColor="text2" w:themeTint="BF"/>
          <w:sz w:val="24"/>
          <w:szCs w:val="24"/>
          <w:lang w:eastAsia="en-GB"/>
        </w:rPr>
        <w:t xml:space="preserve">(Zineldin, 2004; Dagnino &amp; Padula, 2007) </w:t>
      </w:r>
      <w:r w:rsidRPr="00BC03A7">
        <w:rPr>
          <w:rFonts w:eastAsia="Times New Roman" w:asciiTheme="minorBidi" w:hAnsiTheme="minorBidi"/>
          <w:sz w:val="24"/>
          <w:szCs w:val="24"/>
          <w:lang w:eastAsia="en-GB"/>
        </w:rPr>
        <w:t>for the success of motivators.  </w:t>
      </w:r>
    </w:p>
    <w:p w:rsidRPr="00BC03A7" w:rsidR="00BC03A7" w:rsidP="002910CC" w:rsidRDefault="00BC03A7" w14:paraId="4B5A94B5"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Mindfully, the researcher avoided forcing these words upon the participants but allowed them to develop from the data gathered </w:t>
      </w:r>
      <w:r w:rsidRPr="00BC03A7">
        <w:rPr>
          <w:rFonts w:eastAsia="Times New Roman" w:asciiTheme="minorBidi" w:hAnsiTheme="minorBidi"/>
          <w:color w:val="215E99" w:themeColor="text2" w:themeTint="BF"/>
          <w:sz w:val="24"/>
          <w:szCs w:val="24"/>
          <w:lang w:eastAsia="en-GB"/>
        </w:rPr>
        <w:t>(Gupta, A., 2024)</w:t>
      </w:r>
      <w:r w:rsidRPr="00BC03A7">
        <w:rPr>
          <w:rFonts w:eastAsia="Times New Roman" w:asciiTheme="minorBidi" w:hAnsiTheme="minorBidi"/>
          <w:color w:val="0E2740"/>
          <w:sz w:val="24"/>
          <w:szCs w:val="24"/>
          <w:lang w:eastAsia="en-GB"/>
        </w:rPr>
        <w:t>.</w:t>
      </w:r>
      <w:r w:rsidRPr="00BC03A7">
        <w:rPr>
          <w:rFonts w:eastAsia="Times New Roman" w:asciiTheme="minorBidi" w:hAnsiTheme="minorBidi"/>
          <w:sz w:val="24"/>
          <w:szCs w:val="24"/>
          <w:lang w:eastAsia="en-GB"/>
        </w:rPr>
        <w:t xml:space="preserve"> Figure 4.0 represents the codes (words), measured by the number of times they were mentioned by the interviewees and the importance attached to each as (High, Medium, or low. </w:t>
      </w:r>
    </w:p>
    <w:p w:rsidRPr="00BC03A7" w:rsidR="00BC03A7" w:rsidP="002910CC" w:rsidRDefault="00BC03A7" w14:paraId="6D07D0D9" w14:textId="77777777">
      <w:pPr>
        <w:spacing w:after="0" w:line="480" w:lineRule="auto"/>
        <w:textAlignment w:val="baseline"/>
        <w:rPr>
          <w:rFonts w:eastAsia="Times New Roman" w:asciiTheme="minorBidi" w:hAnsiTheme="minorBidi"/>
          <w:color w:val="0F4761"/>
          <w:sz w:val="24"/>
          <w:szCs w:val="24"/>
          <w:lang w:eastAsia="en-GB"/>
        </w:rPr>
      </w:pPr>
      <w:r w:rsidRPr="00BC03A7">
        <w:rPr>
          <w:rFonts w:eastAsia="Times New Roman" w:asciiTheme="minorBidi" w:hAnsiTheme="minorBidi"/>
          <w:color w:val="0F4761"/>
          <w:sz w:val="24"/>
          <w:szCs w:val="24"/>
          <w:lang w:eastAsia="en-GB"/>
        </w:rPr>
        <w:t>Figure 4.0 The Coded Words Analysis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496"/>
        <w:gridCol w:w="1257"/>
        <w:gridCol w:w="1100"/>
        <w:gridCol w:w="1087"/>
        <w:gridCol w:w="1470"/>
        <w:gridCol w:w="1604"/>
        <w:gridCol w:w="996"/>
      </w:tblGrid>
      <w:tr w:rsidRPr="00BC03A7" w:rsidR="00BC03A7" w:rsidTr="00BC03A7" w14:paraId="4A10B337" w14:textId="77777777">
        <w:trPr>
          <w:trHeight w:val="300"/>
        </w:trPr>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5FE400A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Interviewees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48F9EF31"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Current Motivators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75A138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Payment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15ACDF84"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Life Balance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240795E2"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Business environment  </w:t>
            </w:r>
          </w:p>
        </w:tc>
        <w:tc>
          <w:tcPr>
            <w:tcW w:w="135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520DCB2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Independence </w:t>
            </w:r>
          </w:p>
        </w:tc>
        <w:tc>
          <w:tcPr>
            <w:tcW w:w="1515"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6377F04"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 Desir for Change  </w:t>
            </w:r>
          </w:p>
        </w:tc>
      </w:tr>
      <w:tr w:rsidRPr="00BC03A7" w:rsidR="00BC03A7" w:rsidTr="00BC03A7" w14:paraId="5D7DBC7A" w14:textId="77777777">
        <w:trPr>
          <w:trHeight w:val="300"/>
        </w:trPr>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DB81B12"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P 1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1AF3766E"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09131B3A"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D083B90"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FE1E5B1"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35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1835A41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515"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5CE5230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r>
      <w:tr w:rsidRPr="00BC03A7" w:rsidR="00BC03A7" w:rsidTr="00BC03A7" w14:paraId="51189590" w14:textId="77777777">
        <w:trPr>
          <w:trHeight w:val="300"/>
        </w:trPr>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BB4749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P2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14EA2173"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 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511E2A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4A315BD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629D170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35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F8A46A8"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515"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6C57B51"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r>
      <w:tr w:rsidRPr="00BC03A7" w:rsidR="00BC03A7" w:rsidTr="00BC03A7" w14:paraId="77DEE856" w14:textId="77777777">
        <w:trPr>
          <w:trHeight w:val="300"/>
        </w:trPr>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72E8590"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P3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0EC6AD6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 Medium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6F6CB7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4E96568"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8E42F4F"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35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24F7AC2A"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515"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4C947F2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r>
      <w:tr w:rsidRPr="00BC03A7" w:rsidR="00BC03A7" w:rsidTr="00BC03A7" w14:paraId="2E3A0286" w14:textId="77777777">
        <w:trPr>
          <w:trHeight w:val="300"/>
        </w:trPr>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D841E08"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P4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1080FD3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 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F7FC8F4"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244D108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B800DB8"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35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3A9B1D4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515"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6BBF8ABA"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r>
      <w:tr w:rsidRPr="00BC03A7" w:rsidR="00BC03A7" w:rsidTr="00BC03A7" w14:paraId="3B6DDF22" w14:textId="77777777">
        <w:trPr>
          <w:trHeight w:val="300"/>
        </w:trPr>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027F9963"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P5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742C221C"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5C258063"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25BB3C3E"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44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1B02EE0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c>
          <w:tcPr>
            <w:tcW w:w="1350"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5A72D577"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Medium </w:t>
            </w:r>
          </w:p>
        </w:tc>
        <w:tc>
          <w:tcPr>
            <w:tcW w:w="1515" w:type="dxa"/>
            <w:tcBorders>
              <w:top w:val="single" w:color="BFBFBF" w:sz="6" w:space="0"/>
              <w:left w:val="single" w:color="BFBFBF" w:sz="6" w:space="0"/>
              <w:bottom w:val="single" w:color="BFBFBF" w:sz="6" w:space="0"/>
              <w:right w:val="single" w:color="BFBFBF" w:sz="6" w:space="0"/>
            </w:tcBorders>
            <w:shd w:val="clear" w:color="auto" w:fill="auto"/>
            <w:hideMark/>
          </w:tcPr>
          <w:p w:rsidRPr="00BC03A7" w:rsidR="00BC03A7" w:rsidP="002910CC" w:rsidRDefault="00BC03A7" w14:paraId="02741C4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FF0000"/>
                <w:sz w:val="24"/>
                <w:szCs w:val="24"/>
                <w:lang w:eastAsia="en-GB"/>
              </w:rPr>
              <w:t>High </w:t>
            </w:r>
          </w:p>
        </w:tc>
      </w:tr>
    </w:tbl>
    <w:p w:rsidRPr="00BC03A7" w:rsidR="00BC03A7" w:rsidP="002910CC" w:rsidRDefault="00BC03A7" w14:paraId="0115E131"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results indicate that almost most of employees see the financial incentive they receive in the organization as rewarding and fair, until now. However, some participants have pointed out the importance of increasing the wage (see the answers of participants No. 1 and 4). Most employees feel a strong sense of independence, but they also have a strong sense and genuine desire to change in several aspects; for example, Participant No. 2 believes that the university's senior management must be more transparent when a change negatively affects junior employees or some departments, so it must be discussed more transparently.</w:t>
      </w:r>
      <w:r w:rsidRPr="00BC03A7">
        <w:rPr>
          <w:rFonts w:eastAsia="Times New Roman" w:asciiTheme="minorBidi" w:hAnsiTheme="minorBidi"/>
          <w:color w:val="0E2740"/>
          <w:sz w:val="24"/>
          <w:szCs w:val="24"/>
          <w:lang w:eastAsia="en-GB"/>
        </w:rPr>
        <w:t>(Frima, M. et al., 2022</w:t>
      </w:r>
      <w:r w:rsidRPr="00BC03A7">
        <w:rPr>
          <w:rFonts w:eastAsia="Times New Roman" w:asciiTheme="minorBidi" w:hAnsiTheme="minorBidi"/>
          <w:color w:val="222222"/>
          <w:sz w:val="24"/>
          <w:szCs w:val="24"/>
          <w:lang w:eastAsia="en-GB"/>
        </w:rPr>
        <w:t>).</w:t>
      </w:r>
      <w:r w:rsidRPr="00BC03A7">
        <w:rPr>
          <w:rFonts w:eastAsia="Times New Roman" w:asciiTheme="minorBidi" w:hAnsiTheme="minorBidi"/>
          <w:sz w:val="24"/>
          <w:szCs w:val="24"/>
          <w:lang w:eastAsia="en-GB"/>
        </w:rPr>
        <w:t>  Most participants expressed their desire to change the routine that affects the university's decision-making dynamics.  </w:t>
      </w:r>
    </w:p>
    <w:p w:rsidRPr="00BC03A7" w:rsidR="00BC03A7" w:rsidP="002910CC" w:rsidRDefault="00BC03A7" w14:paraId="3F6CC402"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Looking at the results of the questions that measure commitment to the organization, we find that the organization has tangible success in stimulating and strengthening the sense of commitment among employees by enhancing the feeling of independence. As was pointed out in the second and third chapters, the second hypothesis suggests that the higher the sense of autonomy among employees, the more this helps to strengthen the emotional connection to the organization and stimulate normative commitment for moral reasons, which helps to create another </w:t>
      </w:r>
      <w:r w:rsidRPr="00BC03A7">
        <w:rPr>
          <w:rFonts w:eastAsia="Times New Roman" w:asciiTheme="minorBidi" w:hAnsiTheme="minorBidi"/>
          <w:sz w:val="24"/>
          <w:szCs w:val="24"/>
          <w:lang w:eastAsia="en-GB"/>
        </w:rPr>
        <w:t>type of commitment, which is called continuing This explains the awareness of the costs associated with leaving the organisation.</w:t>
      </w:r>
      <w:r w:rsidRPr="00BC03A7">
        <w:rPr>
          <w:rFonts w:eastAsia="Times New Roman" w:asciiTheme="minorBidi" w:hAnsiTheme="minorBidi"/>
          <w:color w:val="0E2740"/>
          <w:sz w:val="24"/>
          <w:szCs w:val="24"/>
          <w:lang w:eastAsia="en-GB"/>
        </w:rPr>
        <w:t>( Afolashade, I.S., Jimoh,2024) </w:t>
      </w:r>
    </w:p>
    <w:p w:rsidRPr="00BC03A7" w:rsidR="00BC03A7" w:rsidP="002910CC" w:rsidRDefault="00BC03A7" w14:paraId="4AA844D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The model of three components of commitment, suggested by (Meyer et al., 2002), is a widely recognized framework in organizational psychology that explains employee commitment through three distinct dimensions: affective, normative, and continuance commitment. Affective commitment refers to an emotional attachment and identification with the organization, where employees stay because they want to. </w:t>
      </w:r>
      <w:r w:rsidRPr="00BC03A7">
        <w:rPr>
          <w:rFonts w:eastAsia="Times New Roman" w:asciiTheme="minorBidi" w:hAnsiTheme="minorBidi"/>
          <w:color w:val="0E2740"/>
          <w:sz w:val="24"/>
          <w:szCs w:val="24"/>
          <w:lang w:eastAsia="en-GB"/>
        </w:rPr>
        <w:t>(Park, J. (2023)</w:t>
      </w:r>
      <w:r w:rsidRPr="00BC03A7">
        <w:rPr>
          <w:rFonts w:eastAsia="Times New Roman" w:asciiTheme="minorBidi" w:hAnsiTheme="minorBidi"/>
          <w:sz w:val="24"/>
          <w:szCs w:val="24"/>
          <w:lang w:eastAsia="en-GB"/>
        </w:rPr>
        <w:t>. Affective commitment involves an emotional connection and desire to stay with the organization, often driven by personal alignment with its values or culture.  </w:t>
      </w:r>
    </w:p>
    <w:p w:rsidRPr="00BC03A7" w:rsidR="00BC03A7" w:rsidP="002910CC" w:rsidRDefault="00BC03A7" w14:paraId="3465AF51"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Continuance commitment, on the other hand, stems from the perceived drawbacks of leaving, such as financial losses or potential impacts on one’s career. </w:t>
      </w:r>
      <w:r w:rsidRPr="00BC03A7">
        <w:rPr>
          <w:rFonts w:eastAsia="Times New Roman" w:asciiTheme="minorBidi" w:hAnsiTheme="minorBidi"/>
          <w:color w:val="0E2740"/>
          <w:sz w:val="24"/>
          <w:szCs w:val="24"/>
          <w:lang w:eastAsia="en-GB"/>
        </w:rPr>
        <w:t>(Chua, L. C. (2007).</w:t>
      </w:r>
      <w:r w:rsidRPr="00BC03A7">
        <w:rPr>
          <w:rFonts w:eastAsia="Times New Roman" w:asciiTheme="minorBidi" w:hAnsiTheme="minorBidi"/>
          <w:sz w:val="24"/>
          <w:szCs w:val="24"/>
          <w:lang w:eastAsia="en-GB"/>
        </w:rPr>
        <w:t xml:space="preserve"> The model highlights the multifaceted nature of commitment, emphasizing that employees may stay with an organization for different reasons, each influencing their behaviour and engagement in unique ways. </w:t>
      </w:r>
      <w:r w:rsidRPr="00BC03A7">
        <w:rPr>
          <w:rFonts w:eastAsia="Times New Roman" w:asciiTheme="minorBidi" w:hAnsiTheme="minorBidi"/>
          <w:color w:val="0E2740"/>
          <w:sz w:val="24"/>
          <w:szCs w:val="24"/>
          <w:lang w:eastAsia="en-GB"/>
        </w:rPr>
        <w:t>(Hassan., Mohamed,.et al.,2006)</w:t>
      </w:r>
      <w:r w:rsidRPr="00BC03A7">
        <w:rPr>
          <w:rFonts w:eastAsia="Times New Roman" w:asciiTheme="minorBidi" w:hAnsiTheme="minorBidi"/>
          <w:sz w:val="24"/>
          <w:szCs w:val="24"/>
          <w:lang w:eastAsia="en-GB"/>
        </w:rPr>
        <w:t>. </w:t>
      </w:r>
    </w:p>
    <w:p w:rsidRPr="00BC03A7" w:rsidR="00BC03A7" w:rsidP="002910CC" w:rsidRDefault="00BC03A7" w14:paraId="3C038DA5"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bellow image explains the Theoretical frameworks of organisational commitment and employee turnover while considering the connection with working conditions, financial motivations, and the social and economic changes that are taking place in the UK.  </w:t>
      </w:r>
    </w:p>
    <w:p w:rsidRPr="00BC03A7" w:rsidR="00BC03A7" w:rsidP="002910CC" w:rsidRDefault="00BC03A7" w14:paraId="6F5DB6E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0E2740"/>
          <w:sz w:val="24"/>
          <w:szCs w:val="24"/>
          <w:lang w:eastAsia="en-GB"/>
        </w:rPr>
        <w:t>Figure 4.0.1. Three-component model (Meyer et al., 2002) </w:t>
      </w:r>
    </w:p>
    <w:p w:rsidRPr="00BC03A7" w:rsidR="00BC03A7" w:rsidP="002910CC" w:rsidRDefault="00BC03A7" w14:paraId="793E8C17" w14:textId="77777777">
      <w:pPr>
        <w:spacing w:after="0" w:line="480" w:lineRule="auto"/>
        <w:textAlignment w:val="baseline"/>
        <w:rPr>
          <w:rFonts w:eastAsia="Times New Roman" w:asciiTheme="minorBidi" w:hAnsiTheme="minorBidi"/>
          <w:color w:val="0F4761"/>
          <w:sz w:val="24"/>
          <w:szCs w:val="24"/>
          <w:lang w:eastAsia="en-GB"/>
        </w:rPr>
      </w:pPr>
      <w:r w:rsidRPr="00BC03A7">
        <w:rPr>
          <w:rFonts w:eastAsia="Times New Roman" w:asciiTheme="minorBidi" w:hAnsiTheme="minorBidi"/>
          <w:noProof/>
          <w:color w:val="0F4761"/>
          <w:sz w:val="24"/>
          <w:szCs w:val="24"/>
          <w:lang w:eastAsia="en-GB"/>
        </w:rPr>
        <w:drawing>
          <wp:inline distT="0" distB="0" distL="0" distR="0" wp14:anchorId="0B23240D" wp14:editId="35FBF79E">
            <wp:extent cx="5939144" cy="2501462"/>
            <wp:effectExtent l="0" t="0" r="5080" b="0"/>
            <wp:docPr id="5" name="Picture 4"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diagram&#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4650" cy="2520628"/>
                    </a:xfrm>
                    <a:prstGeom prst="rect">
                      <a:avLst/>
                    </a:prstGeom>
                    <a:noFill/>
                    <a:ln>
                      <a:noFill/>
                    </a:ln>
                  </pic:spPr>
                </pic:pic>
              </a:graphicData>
            </a:graphic>
          </wp:inline>
        </w:drawing>
      </w:r>
      <w:r w:rsidRPr="00BC03A7">
        <w:rPr>
          <w:rFonts w:eastAsia="Times New Roman" w:asciiTheme="minorBidi" w:hAnsiTheme="minorBidi"/>
          <w:color w:val="0F4761"/>
          <w:sz w:val="24"/>
          <w:szCs w:val="24"/>
          <w:lang w:eastAsia="en-GB"/>
        </w:rPr>
        <w:t>https://www.intangiblecapital.org/index.php/ic/article/viewFile/475/390/2549 </w:t>
      </w:r>
      <w:r w:rsidRPr="00BC03A7">
        <w:rPr>
          <w:rFonts w:eastAsia="Times New Roman" w:asciiTheme="minorBidi" w:hAnsiTheme="minorBidi"/>
          <w:color w:val="0F4761"/>
          <w:sz w:val="24"/>
          <w:szCs w:val="24"/>
          <w:lang w:eastAsia="en-GB"/>
        </w:rPr>
        <w:br/>
      </w:r>
      <w:r w:rsidRPr="00BC03A7">
        <w:rPr>
          <w:rFonts w:eastAsia="Times New Roman" w:asciiTheme="minorBidi" w:hAnsiTheme="minorBidi"/>
          <w:color w:val="0F4761"/>
          <w:sz w:val="24"/>
          <w:szCs w:val="24"/>
          <w:lang w:eastAsia="en-GB"/>
        </w:rPr>
        <w:t> </w:t>
      </w:r>
    </w:p>
    <w:p w:rsidRPr="00BC03A7" w:rsidR="00BC03A7" w:rsidP="002910CC" w:rsidRDefault="00BC03A7" w14:paraId="6F9135FB" w14:textId="77777777">
      <w:pPr>
        <w:spacing w:after="0" w:line="480" w:lineRule="auto"/>
        <w:textAlignment w:val="baseline"/>
        <w:rPr>
          <w:rFonts w:eastAsia="Times New Roman" w:asciiTheme="minorBidi" w:hAnsiTheme="minorBidi"/>
          <w:color w:val="0F4761"/>
          <w:sz w:val="24"/>
          <w:szCs w:val="24"/>
          <w:lang w:eastAsia="en-GB"/>
        </w:rPr>
      </w:pPr>
      <w:r w:rsidRPr="00BC03A7">
        <w:rPr>
          <w:rFonts w:eastAsia="Times New Roman" w:asciiTheme="minorBidi" w:hAnsiTheme="minorBidi"/>
          <w:color w:val="0F4761"/>
          <w:sz w:val="24"/>
          <w:szCs w:val="24"/>
          <w:lang w:eastAsia="en-GB"/>
        </w:rPr>
        <w:t>Discussion:  </w:t>
      </w:r>
    </w:p>
    <w:p w:rsidRPr="00BC03A7" w:rsidR="00BC03A7" w:rsidP="002910CC" w:rsidRDefault="00BC03A7" w14:paraId="30D0C01E"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Most of the studies conducted so far on employee organisational commitment behaviour are conducted on employees who enjoy some degree of job security work in a classic work environment and do not perform more than one job at a time. </w:t>
      </w:r>
    </w:p>
    <w:p w:rsidRPr="00BC03A7" w:rsidR="00BC03A7" w:rsidP="002910CC" w:rsidRDefault="00BC03A7" w14:paraId="536701F5"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rapid development in Western society</w:t>
      </w:r>
      <w:r w:rsidRPr="00BC03A7">
        <w:rPr>
          <w:rFonts w:eastAsia="Times New Roman" w:asciiTheme="minorBidi" w:hAnsiTheme="minorBidi"/>
          <w:color w:val="0E2740"/>
          <w:sz w:val="24"/>
          <w:szCs w:val="24"/>
          <w:lang w:eastAsia="en-GB"/>
        </w:rPr>
        <w:t xml:space="preserve"> (Kolade et al., 2022)</w:t>
      </w:r>
      <w:r w:rsidRPr="00BC03A7">
        <w:rPr>
          <w:rFonts w:eastAsia="Times New Roman" w:asciiTheme="minorBidi" w:hAnsiTheme="minorBidi"/>
          <w:sz w:val="24"/>
          <w:szCs w:val="24"/>
          <w:lang w:eastAsia="en-GB"/>
        </w:rPr>
        <w:t xml:space="preserve"> which led to the introduction of different and new patterns of work, for example (work from home, remote work, temporary work, and extra)</w:t>
      </w:r>
      <w:r w:rsidRPr="00BC03A7">
        <w:rPr>
          <w:rFonts w:eastAsia="Times New Roman" w:asciiTheme="minorBidi" w:hAnsiTheme="minorBidi"/>
          <w:color w:val="0E2740"/>
          <w:sz w:val="24"/>
          <w:szCs w:val="24"/>
          <w:lang w:eastAsia="en-GB"/>
        </w:rPr>
        <w:t xml:space="preserve"> (Spinrad, M.L. et al., 2022).</w:t>
      </w:r>
      <w:r w:rsidRPr="00BC03A7">
        <w:rPr>
          <w:rFonts w:eastAsia="Times New Roman" w:asciiTheme="minorBidi" w:hAnsiTheme="minorBidi"/>
          <w:sz w:val="24"/>
          <w:szCs w:val="24"/>
          <w:lang w:eastAsia="en-GB"/>
        </w:rPr>
        <w:t xml:space="preserve"> along with the increased demand for university education in societies </w:t>
      </w:r>
      <w:r w:rsidRPr="00BC03A7">
        <w:rPr>
          <w:rFonts w:eastAsia="Times New Roman" w:asciiTheme="minorBidi" w:hAnsiTheme="minorBidi"/>
          <w:color w:val="0E2740"/>
          <w:sz w:val="24"/>
          <w:szCs w:val="24"/>
          <w:lang w:eastAsia="en-GB"/>
        </w:rPr>
        <w:t>(Crawford, J. and Cifuentes-Faura, J., 2022.)</w:t>
      </w:r>
      <w:r w:rsidRPr="00BC03A7">
        <w:rPr>
          <w:rFonts w:eastAsia="Times New Roman" w:asciiTheme="minorBidi" w:hAnsiTheme="minorBidi"/>
          <w:sz w:val="24"/>
          <w:szCs w:val="24"/>
          <w:lang w:eastAsia="en-GB"/>
        </w:rPr>
        <w:t>,all of the above led to a reconsideration of the extent of efficiency of the methodology and generality of these studies in light of the emergence of significant social and financial challenges in recent years, which have led to an increase in the rate of employees turnover. It showed the need to systematically reconsider the strength and generalizability of these studies and theories. </w:t>
      </w:r>
    </w:p>
    <w:p w:rsidRPr="00BC03A7" w:rsidR="00BC03A7" w:rsidP="002910CC" w:rsidRDefault="00BC03A7" w14:paraId="31C303A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Over the years of scientific research, the theory of organizational commitment has been developed  </w:t>
      </w:r>
      <w:r w:rsidRPr="00BC03A7">
        <w:rPr>
          <w:rFonts w:eastAsia="Times New Roman" w:asciiTheme="minorBidi" w:hAnsiTheme="minorBidi"/>
          <w:color w:val="0E2740"/>
          <w:sz w:val="24"/>
          <w:szCs w:val="24"/>
          <w:lang w:eastAsia="en-GB"/>
        </w:rPr>
        <w:t>(Meyer, J.P., Stanley et al., 2012). </w:t>
      </w:r>
    </w:p>
    <w:p w:rsidRPr="00BC03A7" w:rsidR="00BC03A7" w:rsidP="002910CC" w:rsidRDefault="00BC03A7" w14:paraId="216FC382"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This theory is linked to job satisfaction, and it is one of the recurring concepts in the scientific literature related to analysing employees’ behaviour toward the organization and measuring the level of commitment toward the organization. </w:t>
      </w:r>
    </w:p>
    <w:p w:rsidRPr="00BC03A7" w:rsidR="00BC03A7" w:rsidP="002910CC" w:rsidRDefault="00BC03A7" w14:paraId="57AC21A6"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In this chapter, the analysis of personal interviews with participants from the research sample showed a close relationship between the salary's satisfaction index and increased job commitment among employees; almost the majority of them answered positively regarding their satisfaction with financial remuneration ( see question number one). </w:t>
      </w:r>
    </w:p>
    <w:p w:rsidRPr="00BC03A7" w:rsidR="00BC03A7" w:rsidP="002910CC" w:rsidRDefault="00BC03A7" w14:paraId="0193CBD4"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While the results answered that there is a real job satisfaction rate within the organization linked to satisfaction with financial pay, these same results did not indicate whether satisfaction or commitment was achieved first. The results were not able to determine this causality, but the prevailing opinion is that, according to emotional attachment theory, more immediate positive emotions, such as satisfaction, create more lasting affiliations, such as organizational commitment. </w:t>
      </w:r>
      <w:r w:rsidRPr="00BC03A7">
        <w:rPr>
          <w:rFonts w:eastAsia="Times New Roman" w:asciiTheme="minorBidi" w:hAnsiTheme="minorBidi"/>
          <w:color w:val="0E2740"/>
          <w:sz w:val="24"/>
          <w:szCs w:val="24"/>
          <w:lang w:eastAsia="en-GB"/>
        </w:rPr>
        <w:t>(Afolashade, I.S., Jimoh,2024). </w:t>
      </w:r>
    </w:p>
    <w:p w:rsidRPr="00BC03A7" w:rsidR="00BC03A7" w:rsidP="002910CC" w:rsidRDefault="00BC03A7" w14:paraId="1DFF346C"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Given the above, job satisfaction, defined as the positive feelings that an employee feels within the organization</w:t>
      </w:r>
      <w:r w:rsidRPr="00BC03A7">
        <w:rPr>
          <w:rFonts w:eastAsia="Times New Roman" w:asciiTheme="minorBidi" w:hAnsiTheme="minorBidi"/>
          <w:color w:val="0E2740"/>
          <w:sz w:val="24"/>
          <w:szCs w:val="24"/>
          <w:lang w:eastAsia="en-GB"/>
        </w:rPr>
        <w:t xml:space="preserve"> (Chaudhary, Vemuri, et al., 2024</w:t>
      </w:r>
      <w:r w:rsidRPr="00BC03A7">
        <w:rPr>
          <w:rFonts w:eastAsia="Times New Roman" w:asciiTheme="minorBidi" w:hAnsiTheme="minorBidi"/>
          <w:sz w:val="24"/>
          <w:szCs w:val="24"/>
          <w:lang w:eastAsia="en-GB"/>
        </w:rPr>
        <w:t>), can be said to be a prevalent characteristic within Trinity Saint David University. This can be demonstrated through the research participants’ answers to the first question. The existence of a flexible work environment is inferred from the participant’s answers to the second and third questions, which show a moral connection to the organization. Concerning behavioural outcomes, it is common to find a positive relationship with most of the behaviour's organizations desire, for example, the intention to continue in the organization, organizational citizenship behaviour, and performance</w:t>
      </w:r>
      <w:r w:rsidRPr="00BC03A7">
        <w:rPr>
          <w:rFonts w:eastAsia="Times New Roman" w:asciiTheme="minorBidi" w:hAnsiTheme="minorBidi"/>
          <w:color w:val="0E2740"/>
          <w:sz w:val="24"/>
          <w:szCs w:val="24"/>
          <w:lang w:eastAsia="en-GB"/>
        </w:rPr>
        <w:t xml:space="preserve"> (Pulido-Martos, M., Gartzia.,2024).  </w:t>
      </w:r>
    </w:p>
    <w:p w:rsidRPr="00BC03A7" w:rsidR="00BC03A7" w:rsidP="002910CC" w:rsidRDefault="00BC03A7" w14:paraId="628AD3BF"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In relation to the inhibitors, we can highlight the negative relationship with peer support, with superiors (supervisor support) or with pay satisfaction, and negative relationships with unclear promotion expectations, role ambiguity and excessive workload, among other things (Currivan, 1999). Different concepts of organisational commitment exist, and therefore, we find differences in the standards for measuring it, despite the scientific community’s disagreement regarding the definition and measurement of organisational commitment precisely. </w:t>
      </w:r>
    </w:p>
    <w:p w:rsidRPr="00BC03A7" w:rsidR="00BC03A7" w:rsidP="002910CC" w:rsidRDefault="00BC03A7" w14:paraId="02EA3AC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Although no complete agreement has been reached within the scientific community about its definition and measurement, for example ( De Frutos, Ruiz &amp; San Martin, 1998), (Bergman, 2006; Ko, Price &amp; Mueller,1997) and (Solinger, Van Olffen &amp; Roe, 2008) (Vandenberg &amp; Self, 1993), the dominant model is still the one proposed by the team of Allen and Meyer (Allen &amp; Meyer, 1990; Meyer &amp; Allen, 1984,1991). Starting basically from the idea that commitment is an attitude (Mowday  &amp;  Steers,1979; Porter, Steers, Mowday &amp; Boulian, 1974) and that calculative commitment (Hrebinia &amp;Alutto, 1972; Ritzer &amp; Trice, 1969) may be defined according to the concept of Becker's side-bet  (1960),  we now find a multidimensional model of the construct.  </w:t>
      </w:r>
    </w:p>
    <w:p w:rsidRPr="00BC03A7" w:rsidR="00BC03A7" w:rsidP="002910CC" w:rsidRDefault="00BC03A7" w14:paraId="6EDE24DB"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w:t>
      </w:r>
    </w:p>
    <w:p w:rsidRPr="00BC03A7" w:rsidR="00BC03A7" w:rsidP="002910CC" w:rsidRDefault="00BC03A7" w14:paraId="5B38DEB8"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Meyer and Allen(1984, 199 and Allen and Meyer,1990) developed their three-component model to integrate existing one-dimensional conceptualisations. First, Becker (1960) argues that commitment comes with the awareness of the cost associated with leaving the organisation; secondly, Mowday et al. (1982) define commitment as an emotional attachment to the organisation, and thirdly, Wiener (1982) conceptualises commitment as a moral obligation toward the rules. </w:t>
      </w:r>
    </w:p>
    <w:p w:rsidRPr="00BC03A7" w:rsidR="00BC03A7" w:rsidP="002910CC" w:rsidRDefault="00BC03A7" w14:paraId="2FC51EAC"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w:t>
      </w:r>
      <w:r w:rsidRPr="00BC03A7">
        <w:rPr>
          <w:rFonts w:eastAsia="Times New Roman" w:asciiTheme="minorBidi" w:hAnsiTheme="minorBidi"/>
          <w:noProof/>
          <w:sz w:val="24"/>
          <w:szCs w:val="24"/>
          <w:lang w:eastAsia="en-GB"/>
        </w:rPr>
        <w:drawing>
          <wp:inline distT="0" distB="0" distL="0" distR="0" wp14:anchorId="2AA5CC23" wp14:editId="5452A265">
            <wp:extent cx="5538974" cy="2727770"/>
            <wp:effectExtent l="0" t="0" r="5080" b="0"/>
            <wp:docPr id="6" name="Picture 3"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A diagram of a work flow&#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5595" cy="2740880"/>
                    </a:xfrm>
                    <a:prstGeom prst="rect">
                      <a:avLst/>
                    </a:prstGeom>
                    <a:noFill/>
                    <a:ln>
                      <a:noFill/>
                    </a:ln>
                  </pic:spPr>
                </pic:pic>
              </a:graphicData>
            </a:graphic>
          </wp:inline>
        </w:drawing>
      </w:r>
      <w:r w:rsidRPr="00BC03A7">
        <w:rPr>
          <w:rFonts w:eastAsia="Times New Roman" w:asciiTheme="minorBidi" w:hAnsiTheme="minorBidi"/>
          <w:color w:val="0F4761"/>
          <w:sz w:val="24"/>
          <w:szCs w:val="24"/>
          <w:lang w:eastAsia="en-GB"/>
        </w:rPr>
        <w:t> </w:t>
      </w:r>
    </w:p>
    <w:p w:rsidRPr="00BC03A7" w:rsidR="00BC03A7" w:rsidP="002910CC" w:rsidRDefault="00BC03A7" w14:paraId="3836808E"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The results of this research were abundant on both the human and academic levels due to the massive amount of primary information collected directly from the research sample, which showed that the classic motivation strategy used within Trinity Saint David’s institution can be divided into three basic dimensions (Mayer, Baker, and Vanderberg, 2004). affective commitment (AC) </w:t>
      </w:r>
    </w:p>
    <w:p w:rsidRPr="00BC03A7" w:rsidR="00BC03A7" w:rsidP="002910CC" w:rsidRDefault="00BC03A7" w14:paraId="1DEE99C9"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Emotional commitment stems from the employees’ desire to belong to the organization, demonstrated by the participant’s answers to the third question.  The second dimension was also monitored: Continuance Commitment  (CC), known as continuous commitment, was also monitored, based on the idea that leaving the organization would be costly, as they would need to work to meet their financial and psychological needs. Normative commitment (NC) is the feeling of obligation towards the organization of employees in the organization that comes through feeling a healthy work environment and a tangible sense of cooperation, as participants 4 and 3 answered. </w:t>
      </w:r>
    </w:p>
    <w:p w:rsidRPr="00BC03A7" w:rsidR="00BC03A7" w:rsidP="002910CC" w:rsidRDefault="00BC03A7" w14:paraId="658E7175"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color w:val="215E99"/>
          <w:sz w:val="24"/>
          <w:szCs w:val="24"/>
          <w:lang w:eastAsia="en-GB"/>
        </w:rPr>
        <w:t>Conclusion: </w:t>
      </w:r>
    </w:p>
    <w:p w:rsidR="00DD1C58" w:rsidP="00DD1C58" w:rsidRDefault="00BC03A7" w14:paraId="2DE143DD"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xml:space="preserve">In chapter four, the research underscores the importance of non-financial motivators, such as autonomy, emotional support, and a positive work environment, in fostering </w:t>
      </w:r>
      <w:r w:rsidRPr="00BC03A7">
        <w:rPr>
          <w:rFonts w:eastAsia="Times New Roman" w:asciiTheme="minorBidi" w:hAnsiTheme="minorBidi"/>
          <w:sz w:val="24"/>
          <w:szCs w:val="24"/>
          <w:lang w:eastAsia="en-GB"/>
        </w:rPr>
        <w:t>employee commitment. While financial compensation remains important, addressing systemic issues like workload and transparency is crucial for sustaining long-term employee loyalty and satisfaction. The findings contribute to the broader discourse on organizational commitment, particularly in the context of evolving work patterns and economic challenges in the UK. </w:t>
      </w:r>
    </w:p>
    <w:p w:rsidR="009C4CCB" w:rsidP="009C4CCB" w:rsidRDefault="009C4CCB" w14:paraId="6E3908F8" w14:textId="77777777">
      <w:pPr>
        <w:pStyle w:val="paragraph"/>
        <w:spacing w:before="0" w:beforeAutospacing="0" w:after="0" w:afterAutospacing="0"/>
        <w:textAlignment w:val="baseline"/>
        <w:rPr>
          <w:rFonts w:asciiTheme="minorBidi" w:hAnsiTheme="minorBidi"/>
        </w:rPr>
      </w:pPr>
    </w:p>
    <w:p w:rsidR="009C4CCB" w:rsidP="009C4CCB" w:rsidRDefault="009C4CCB" w14:paraId="0A9ED1FC" w14:textId="77777777">
      <w:pPr>
        <w:pStyle w:val="paragraph"/>
        <w:spacing w:before="0" w:beforeAutospacing="0" w:after="0" w:afterAutospacing="0"/>
        <w:textAlignment w:val="baseline"/>
        <w:rPr>
          <w:rFonts w:asciiTheme="minorBidi" w:hAnsiTheme="minorBidi"/>
        </w:rPr>
      </w:pPr>
    </w:p>
    <w:p w:rsidR="009C4CCB" w:rsidP="009C4CCB" w:rsidRDefault="009C4CCB" w14:paraId="7DF843C6" w14:textId="77777777">
      <w:pPr>
        <w:pStyle w:val="paragraph"/>
        <w:spacing w:before="0" w:beforeAutospacing="0" w:after="0" w:afterAutospacing="0"/>
        <w:textAlignment w:val="baseline"/>
        <w:rPr>
          <w:rFonts w:asciiTheme="minorBidi" w:hAnsiTheme="minorBidi"/>
        </w:rPr>
      </w:pPr>
    </w:p>
    <w:p w:rsidR="009C4CCB" w:rsidP="009C4CCB" w:rsidRDefault="009C4CCB" w14:paraId="7CB1EA34" w14:textId="77777777">
      <w:pPr>
        <w:pStyle w:val="paragraph"/>
        <w:spacing w:before="0" w:beforeAutospacing="0" w:after="0" w:afterAutospacing="0"/>
        <w:textAlignment w:val="baseline"/>
        <w:rPr>
          <w:rFonts w:asciiTheme="minorBidi" w:hAnsiTheme="minorBidi"/>
        </w:rPr>
      </w:pPr>
    </w:p>
    <w:p w:rsidR="009C4CCB" w:rsidP="009C4CCB" w:rsidRDefault="009C4CCB" w14:paraId="5CFC9D04" w14:textId="77777777">
      <w:pPr>
        <w:pStyle w:val="paragraph"/>
        <w:spacing w:before="0" w:beforeAutospacing="0" w:after="0" w:afterAutospacing="0"/>
        <w:textAlignment w:val="baseline"/>
        <w:rPr>
          <w:rFonts w:asciiTheme="minorBidi" w:hAnsiTheme="minorBidi"/>
        </w:rPr>
      </w:pPr>
    </w:p>
    <w:p w:rsidR="009C4CCB" w:rsidP="009C4CCB" w:rsidRDefault="009C4CCB" w14:paraId="164118E8" w14:textId="77777777">
      <w:pPr>
        <w:pStyle w:val="paragraph"/>
        <w:spacing w:before="0" w:beforeAutospacing="0" w:after="0" w:afterAutospacing="0"/>
        <w:textAlignment w:val="baseline"/>
        <w:rPr>
          <w:rFonts w:asciiTheme="minorBidi" w:hAnsiTheme="minorBidi"/>
        </w:rPr>
      </w:pPr>
    </w:p>
    <w:p w:rsidR="009C4CCB" w:rsidP="009C4CCB" w:rsidRDefault="009C4CCB" w14:paraId="7B21A664" w14:textId="77777777">
      <w:pPr>
        <w:pStyle w:val="paragraph"/>
        <w:spacing w:before="0" w:beforeAutospacing="0" w:after="0" w:afterAutospacing="0"/>
        <w:textAlignment w:val="baseline"/>
        <w:rPr>
          <w:rFonts w:asciiTheme="minorBidi" w:hAnsiTheme="minorBidi"/>
        </w:rPr>
      </w:pPr>
    </w:p>
    <w:p w:rsidR="009C4CCB" w:rsidP="009C4CCB" w:rsidRDefault="009C4CCB" w14:paraId="77BED6FB" w14:textId="77777777">
      <w:pPr>
        <w:pStyle w:val="paragraph"/>
        <w:spacing w:before="0" w:beforeAutospacing="0" w:after="0" w:afterAutospacing="0"/>
        <w:textAlignment w:val="baseline"/>
        <w:rPr>
          <w:rFonts w:asciiTheme="minorBidi" w:hAnsiTheme="minorBidi"/>
        </w:rPr>
      </w:pPr>
    </w:p>
    <w:p w:rsidR="009C4CCB" w:rsidP="009C4CCB" w:rsidRDefault="009C4CCB" w14:paraId="0F1CFF45" w14:textId="77777777">
      <w:pPr>
        <w:pStyle w:val="paragraph"/>
        <w:spacing w:before="0" w:beforeAutospacing="0" w:after="0" w:afterAutospacing="0"/>
        <w:textAlignment w:val="baseline"/>
        <w:rPr>
          <w:rFonts w:asciiTheme="minorBidi" w:hAnsiTheme="minorBidi"/>
        </w:rPr>
      </w:pPr>
    </w:p>
    <w:p w:rsidR="009C4CCB" w:rsidP="009C4CCB" w:rsidRDefault="009C4CCB" w14:paraId="64E100B8" w14:textId="77777777">
      <w:pPr>
        <w:pStyle w:val="paragraph"/>
        <w:spacing w:before="0" w:beforeAutospacing="0" w:after="0" w:afterAutospacing="0"/>
        <w:textAlignment w:val="baseline"/>
        <w:rPr>
          <w:rFonts w:asciiTheme="minorBidi" w:hAnsiTheme="minorBidi"/>
        </w:rPr>
      </w:pPr>
    </w:p>
    <w:p w:rsidR="009C4CCB" w:rsidP="009C4CCB" w:rsidRDefault="009C4CCB" w14:paraId="4C1F74E2" w14:textId="77777777">
      <w:pPr>
        <w:pStyle w:val="paragraph"/>
        <w:spacing w:before="0" w:beforeAutospacing="0" w:after="0" w:afterAutospacing="0"/>
        <w:textAlignment w:val="baseline"/>
        <w:rPr>
          <w:rFonts w:asciiTheme="minorBidi" w:hAnsiTheme="minorBidi"/>
        </w:rPr>
      </w:pPr>
    </w:p>
    <w:p w:rsidR="009C4CCB" w:rsidP="009C4CCB" w:rsidRDefault="009C4CCB" w14:paraId="72228FCF" w14:textId="77777777">
      <w:pPr>
        <w:pStyle w:val="paragraph"/>
        <w:spacing w:before="0" w:beforeAutospacing="0" w:after="0" w:afterAutospacing="0"/>
        <w:textAlignment w:val="baseline"/>
        <w:rPr>
          <w:rFonts w:asciiTheme="minorBidi" w:hAnsiTheme="minorBidi"/>
        </w:rPr>
      </w:pPr>
    </w:p>
    <w:p w:rsidR="009C4CCB" w:rsidP="009C4CCB" w:rsidRDefault="009C4CCB" w14:paraId="5242F38C" w14:textId="77777777">
      <w:pPr>
        <w:pStyle w:val="paragraph"/>
        <w:spacing w:before="0" w:beforeAutospacing="0" w:after="0" w:afterAutospacing="0"/>
        <w:textAlignment w:val="baseline"/>
        <w:rPr>
          <w:rFonts w:asciiTheme="minorBidi" w:hAnsiTheme="minorBidi"/>
        </w:rPr>
      </w:pPr>
    </w:p>
    <w:p w:rsidR="009C4CCB" w:rsidP="009C4CCB" w:rsidRDefault="009C4CCB" w14:paraId="4D5D0E23" w14:textId="77777777">
      <w:pPr>
        <w:pStyle w:val="paragraph"/>
        <w:spacing w:before="0" w:beforeAutospacing="0" w:after="0" w:afterAutospacing="0"/>
        <w:textAlignment w:val="baseline"/>
        <w:rPr>
          <w:rFonts w:asciiTheme="minorBidi" w:hAnsiTheme="minorBidi"/>
        </w:rPr>
      </w:pPr>
    </w:p>
    <w:p w:rsidR="009C4CCB" w:rsidP="009C4CCB" w:rsidRDefault="009C4CCB" w14:paraId="05CCF6B1" w14:textId="77777777">
      <w:pPr>
        <w:pStyle w:val="paragraph"/>
        <w:spacing w:before="0" w:beforeAutospacing="0" w:after="0" w:afterAutospacing="0"/>
        <w:textAlignment w:val="baseline"/>
        <w:rPr>
          <w:rFonts w:asciiTheme="minorBidi" w:hAnsiTheme="minorBidi"/>
        </w:rPr>
      </w:pPr>
    </w:p>
    <w:p w:rsidR="009C4CCB" w:rsidP="009C4CCB" w:rsidRDefault="009C4CCB" w14:paraId="31FE9AE6" w14:textId="77777777">
      <w:pPr>
        <w:pStyle w:val="paragraph"/>
        <w:spacing w:before="0" w:beforeAutospacing="0" w:after="0" w:afterAutospacing="0"/>
        <w:textAlignment w:val="baseline"/>
        <w:rPr>
          <w:rFonts w:asciiTheme="minorBidi" w:hAnsiTheme="minorBidi"/>
        </w:rPr>
      </w:pPr>
    </w:p>
    <w:p w:rsidR="009C4CCB" w:rsidP="009C4CCB" w:rsidRDefault="009C4CCB" w14:paraId="2104FEB1" w14:textId="77777777">
      <w:pPr>
        <w:pStyle w:val="paragraph"/>
        <w:spacing w:before="0" w:beforeAutospacing="0" w:after="0" w:afterAutospacing="0"/>
        <w:textAlignment w:val="baseline"/>
        <w:rPr>
          <w:rFonts w:asciiTheme="minorBidi" w:hAnsiTheme="minorBidi"/>
        </w:rPr>
      </w:pPr>
    </w:p>
    <w:p w:rsidR="009C4CCB" w:rsidP="009C4CCB" w:rsidRDefault="009C4CCB" w14:paraId="6BF82871" w14:textId="77777777">
      <w:pPr>
        <w:pStyle w:val="paragraph"/>
        <w:spacing w:before="0" w:beforeAutospacing="0" w:after="0" w:afterAutospacing="0"/>
        <w:textAlignment w:val="baseline"/>
        <w:rPr>
          <w:rFonts w:asciiTheme="minorBidi" w:hAnsiTheme="minorBidi"/>
        </w:rPr>
      </w:pPr>
    </w:p>
    <w:p w:rsidR="009C4CCB" w:rsidP="009C4CCB" w:rsidRDefault="009C4CCB" w14:paraId="37B9226A" w14:textId="77777777">
      <w:pPr>
        <w:pStyle w:val="paragraph"/>
        <w:spacing w:before="0" w:beforeAutospacing="0" w:after="0" w:afterAutospacing="0"/>
        <w:textAlignment w:val="baseline"/>
        <w:rPr>
          <w:rFonts w:asciiTheme="minorBidi" w:hAnsiTheme="minorBidi"/>
        </w:rPr>
      </w:pPr>
    </w:p>
    <w:p w:rsidR="009C4CCB" w:rsidP="009C4CCB" w:rsidRDefault="009C4CCB" w14:paraId="05C57C0D" w14:textId="77777777">
      <w:pPr>
        <w:pStyle w:val="paragraph"/>
        <w:spacing w:before="0" w:beforeAutospacing="0" w:after="0" w:afterAutospacing="0"/>
        <w:textAlignment w:val="baseline"/>
        <w:rPr>
          <w:rFonts w:asciiTheme="minorBidi" w:hAnsiTheme="minorBidi"/>
        </w:rPr>
      </w:pPr>
    </w:p>
    <w:p w:rsidR="009C4CCB" w:rsidP="009C4CCB" w:rsidRDefault="009C4CCB" w14:paraId="730452F3" w14:textId="77777777">
      <w:pPr>
        <w:pStyle w:val="paragraph"/>
        <w:spacing w:before="0" w:beforeAutospacing="0" w:after="0" w:afterAutospacing="0"/>
        <w:textAlignment w:val="baseline"/>
        <w:rPr>
          <w:rFonts w:asciiTheme="minorBidi" w:hAnsiTheme="minorBidi"/>
        </w:rPr>
      </w:pPr>
    </w:p>
    <w:p w:rsidR="009C4CCB" w:rsidP="009C4CCB" w:rsidRDefault="009C4CCB" w14:paraId="7C3C2131" w14:textId="77777777">
      <w:pPr>
        <w:pStyle w:val="paragraph"/>
        <w:spacing w:before="0" w:beforeAutospacing="0" w:after="0" w:afterAutospacing="0"/>
        <w:textAlignment w:val="baseline"/>
        <w:rPr>
          <w:rFonts w:asciiTheme="minorBidi" w:hAnsiTheme="minorBidi"/>
        </w:rPr>
      </w:pPr>
    </w:p>
    <w:p w:rsidR="009C4CCB" w:rsidP="009C4CCB" w:rsidRDefault="009C4CCB" w14:paraId="04C07CF0" w14:textId="77777777">
      <w:pPr>
        <w:pStyle w:val="paragraph"/>
        <w:spacing w:before="0" w:beforeAutospacing="0" w:after="0" w:afterAutospacing="0"/>
        <w:textAlignment w:val="baseline"/>
        <w:rPr>
          <w:rFonts w:asciiTheme="minorBidi" w:hAnsiTheme="minorBidi"/>
        </w:rPr>
      </w:pPr>
    </w:p>
    <w:p w:rsidR="009C4CCB" w:rsidP="009C4CCB" w:rsidRDefault="009C4CCB" w14:paraId="126C6A86" w14:textId="77777777">
      <w:pPr>
        <w:pStyle w:val="paragraph"/>
        <w:spacing w:before="0" w:beforeAutospacing="0" w:after="0" w:afterAutospacing="0"/>
        <w:textAlignment w:val="baseline"/>
        <w:rPr>
          <w:rFonts w:asciiTheme="minorBidi" w:hAnsiTheme="minorBidi"/>
        </w:rPr>
      </w:pPr>
    </w:p>
    <w:p w:rsidR="009C4CCB" w:rsidP="009C4CCB" w:rsidRDefault="009C4CCB" w14:paraId="6CDB7D61" w14:textId="77777777">
      <w:pPr>
        <w:pStyle w:val="paragraph"/>
        <w:spacing w:before="0" w:beforeAutospacing="0" w:after="0" w:afterAutospacing="0"/>
        <w:textAlignment w:val="baseline"/>
        <w:rPr>
          <w:rFonts w:asciiTheme="minorBidi" w:hAnsiTheme="minorBidi"/>
        </w:rPr>
      </w:pPr>
    </w:p>
    <w:p w:rsidR="009C4CCB" w:rsidP="009C4CCB" w:rsidRDefault="009C4CCB" w14:paraId="4F4F5F2D" w14:textId="77777777">
      <w:pPr>
        <w:pStyle w:val="paragraph"/>
        <w:spacing w:before="0" w:beforeAutospacing="0" w:after="0" w:afterAutospacing="0"/>
        <w:textAlignment w:val="baseline"/>
        <w:rPr>
          <w:rFonts w:asciiTheme="minorBidi" w:hAnsiTheme="minorBidi"/>
        </w:rPr>
      </w:pPr>
    </w:p>
    <w:p w:rsidR="009C4CCB" w:rsidP="009C4CCB" w:rsidRDefault="009C4CCB" w14:paraId="1A75E3C2" w14:textId="77777777">
      <w:pPr>
        <w:pStyle w:val="paragraph"/>
        <w:spacing w:before="0" w:beforeAutospacing="0" w:after="0" w:afterAutospacing="0"/>
        <w:textAlignment w:val="baseline"/>
        <w:rPr>
          <w:rFonts w:asciiTheme="minorBidi" w:hAnsiTheme="minorBidi"/>
        </w:rPr>
      </w:pPr>
    </w:p>
    <w:p w:rsidR="009C4CCB" w:rsidP="009C4CCB" w:rsidRDefault="009C4CCB" w14:paraId="59210A0B" w14:textId="77777777">
      <w:pPr>
        <w:pStyle w:val="paragraph"/>
        <w:spacing w:before="0" w:beforeAutospacing="0" w:after="0" w:afterAutospacing="0"/>
        <w:textAlignment w:val="baseline"/>
        <w:rPr>
          <w:rFonts w:asciiTheme="minorBidi" w:hAnsiTheme="minorBidi"/>
        </w:rPr>
      </w:pPr>
    </w:p>
    <w:p w:rsidR="009C4CCB" w:rsidP="009C4CCB" w:rsidRDefault="009C4CCB" w14:paraId="6E2A630E" w14:textId="77777777">
      <w:pPr>
        <w:pStyle w:val="paragraph"/>
        <w:spacing w:before="0" w:beforeAutospacing="0" w:after="0" w:afterAutospacing="0"/>
        <w:textAlignment w:val="baseline"/>
        <w:rPr>
          <w:rFonts w:asciiTheme="minorBidi" w:hAnsiTheme="minorBidi"/>
        </w:rPr>
      </w:pPr>
    </w:p>
    <w:p w:rsidR="009C4CCB" w:rsidP="009C4CCB" w:rsidRDefault="009C4CCB" w14:paraId="526132CF" w14:textId="77777777">
      <w:pPr>
        <w:pStyle w:val="paragraph"/>
        <w:spacing w:before="0" w:beforeAutospacing="0" w:after="0" w:afterAutospacing="0"/>
        <w:textAlignment w:val="baseline"/>
        <w:rPr>
          <w:rFonts w:asciiTheme="minorBidi" w:hAnsiTheme="minorBidi"/>
        </w:rPr>
      </w:pPr>
    </w:p>
    <w:p w:rsidR="009C4CCB" w:rsidP="009C4CCB" w:rsidRDefault="009C4CCB" w14:paraId="3A27A3C1" w14:textId="77777777">
      <w:pPr>
        <w:pStyle w:val="paragraph"/>
        <w:spacing w:before="0" w:beforeAutospacing="0" w:after="0" w:afterAutospacing="0"/>
        <w:textAlignment w:val="baseline"/>
        <w:rPr>
          <w:rFonts w:asciiTheme="minorBidi" w:hAnsiTheme="minorBidi"/>
        </w:rPr>
      </w:pPr>
    </w:p>
    <w:p w:rsidR="009C4CCB" w:rsidP="009C4CCB" w:rsidRDefault="009C4CCB" w14:paraId="37036373" w14:textId="77777777">
      <w:pPr>
        <w:pStyle w:val="paragraph"/>
        <w:spacing w:before="0" w:beforeAutospacing="0" w:after="0" w:afterAutospacing="0"/>
        <w:textAlignment w:val="baseline"/>
        <w:rPr>
          <w:rFonts w:asciiTheme="minorBidi" w:hAnsiTheme="minorBidi"/>
        </w:rPr>
      </w:pPr>
    </w:p>
    <w:p w:rsidR="009C4CCB" w:rsidP="009C4CCB" w:rsidRDefault="009C4CCB" w14:paraId="7ABC1D65" w14:textId="77777777">
      <w:pPr>
        <w:pStyle w:val="paragraph"/>
        <w:spacing w:before="0" w:beforeAutospacing="0" w:after="0" w:afterAutospacing="0"/>
        <w:textAlignment w:val="baseline"/>
        <w:rPr>
          <w:rFonts w:asciiTheme="minorBidi" w:hAnsiTheme="minorBidi"/>
        </w:rPr>
      </w:pPr>
    </w:p>
    <w:p w:rsidR="009C4CCB" w:rsidP="009C4CCB" w:rsidRDefault="009C4CCB" w14:paraId="031C471E" w14:textId="77777777">
      <w:pPr>
        <w:pStyle w:val="paragraph"/>
        <w:spacing w:before="0" w:beforeAutospacing="0" w:after="0" w:afterAutospacing="0"/>
        <w:textAlignment w:val="baseline"/>
        <w:rPr>
          <w:rFonts w:asciiTheme="minorBidi" w:hAnsiTheme="minorBidi"/>
        </w:rPr>
      </w:pPr>
    </w:p>
    <w:p w:rsidR="009C4CCB" w:rsidP="009C4CCB" w:rsidRDefault="009C4CCB" w14:paraId="455460DB" w14:textId="77777777">
      <w:pPr>
        <w:pStyle w:val="paragraph"/>
        <w:spacing w:before="0" w:beforeAutospacing="0" w:after="0" w:afterAutospacing="0"/>
        <w:textAlignment w:val="baseline"/>
        <w:rPr>
          <w:rFonts w:asciiTheme="minorBidi" w:hAnsiTheme="minorBidi"/>
        </w:rPr>
      </w:pPr>
    </w:p>
    <w:p w:rsidR="009C4CCB" w:rsidP="009C4CCB" w:rsidRDefault="009C4CCB" w14:paraId="1BB61F6B" w14:textId="77777777">
      <w:pPr>
        <w:pStyle w:val="paragraph"/>
        <w:spacing w:before="0" w:beforeAutospacing="0" w:after="0" w:afterAutospacing="0"/>
        <w:textAlignment w:val="baseline"/>
        <w:rPr>
          <w:rFonts w:asciiTheme="minorBidi" w:hAnsiTheme="minorBidi"/>
        </w:rPr>
      </w:pPr>
    </w:p>
    <w:p w:rsidR="009C4CCB" w:rsidP="009C4CCB" w:rsidRDefault="009C4CCB" w14:paraId="146FDBAC" w14:textId="77777777">
      <w:pPr>
        <w:pStyle w:val="paragraph"/>
        <w:spacing w:before="0" w:beforeAutospacing="0" w:after="0" w:afterAutospacing="0"/>
        <w:textAlignment w:val="baseline"/>
        <w:rPr>
          <w:rFonts w:asciiTheme="minorBidi" w:hAnsiTheme="minorBidi"/>
        </w:rPr>
      </w:pPr>
    </w:p>
    <w:p w:rsidR="009C4CCB" w:rsidP="009C4CCB" w:rsidRDefault="009C4CCB" w14:paraId="37806A8D" w14:textId="77777777">
      <w:pPr>
        <w:pStyle w:val="paragraph"/>
        <w:spacing w:before="0" w:beforeAutospacing="0" w:after="0" w:afterAutospacing="0"/>
        <w:textAlignment w:val="baseline"/>
        <w:rPr>
          <w:rFonts w:asciiTheme="minorBidi" w:hAnsiTheme="minorBidi"/>
        </w:rPr>
      </w:pPr>
    </w:p>
    <w:p w:rsidR="009C4CCB" w:rsidP="009C4CCB" w:rsidRDefault="009C4CCB" w14:paraId="79F25E27" w14:textId="77777777">
      <w:pPr>
        <w:pStyle w:val="paragraph"/>
        <w:spacing w:before="0" w:beforeAutospacing="0" w:after="0" w:afterAutospacing="0"/>
        <w:textAlignment w:val="baseline"/>
        <w:rPr>
          <w:rFonts w:asciiTheme="minorBidi" w:hAnsiTheme="minorBidi"/>
        </w:rPr>
      </w:pPr>
    </w:p>
    <w:p w:rsidR="00926951" w:rsidP="009C4CCB" w:rsidRDefault="00926951" w14:paraId="3FE670C0" w14:textId="77777777">
      <w:pPr>
        <w:pStyle w:val="paragraph"/>
        <w:spacing w:before="0" w:beforeAutospacing="0" w:after="0" w:afterAutospacing="0"/>
        <w:textAlignment w:val="baseline"/>
        <w:rPr>
          <w:rFonts w:asciiTheme="minorBidi" w:hAnsiTheme="minorBidi"/>
        </w:rPr>
      </w:pPr>
    </w:p>
    <w:p w:rsidR="009C4CCB" w:rsidP="00926951" w:rsidRDefault="009C4CCB" w14:paraId="17F2730F" w14:textId="014F5E7E">
      <w:pPr>
        <w:pStyle w:val="paragraph"/>
        <w:spacing w:before="0" w:beforeAutospacing="0" w:after="0" w:afterAutospacing="0"/>
        <w:jc w:val="center"/>
        <w:textAlignment w:val="baseline"/>
        <w:rPr>
          <w:rFonts w:ascii="Segoe UI" w:hAnsi="Segoe UI" w:cs="Segoe UI"/>
          <w:sz w:val="18"/>
          <w:szCs w:val="18"/>
        </w:rPr>
      </w:pPr>
      <w:r w:rsidRPr="00926951">
        <w:rPr>
          <w:rStyle w:val="normaltextrun"/>
          <w:rFonts w:ascii="Arial" w:hAnsi="Arial" w:cs="Arial" w:eastAsiaTheme="majorEastAsia"/>
          <w:color w:val="215E99" w:themeColor="text2" w:themeTint="BF"/>
        </w:rPr>
        <w:t xml:space="preserve">Chapter Fife-Conclusion and recommendation </w:t>
      </w:r>
      <w:r>
        <w:rPr>
          <w:rStyle w:val="normaltextrun"/>
          <w:rFonts w:ascii="Arial" w:hAnsi="Arial" w:cs="Arial" w:eastAsiaTheme="majorEastAsia"/>
        </w:rPr>
        <w:t> </w:t>
      </w:r>
    </w:p>
    <w:p w:rsidRPr="00926951" w:rsidR="009C4CCB" w:rsidP="00926951" w:rsidRDefault="009C4CCB" w14:paraId="4B34C65D"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The chapter draws on the dissertation's concluding thoughts and statements; considering the critical issues discussed in the various chapters, the ability of accept or reject the research hypothesis will became clear and suggested recommendations will follow. </w:t>
      </w:r>
      <w:r w:rsidRPr="00926951">
        <w:rPr>
          <w:rStyle w:val="eop"/>
          <w:rFonts w:asciiTheme="minorBidi" w:hAnsiTheme="minorBidi" w:eastAsiaTheme="majorEastAsia" w:cstheme="minorBidi"/>
        </w:rPr>
        <w:t> </w:t>
      </w:r>
    </w:p>
    <w:p w:rsidRPr="00926951" w:rsidR="009C4CCB" w:rsidP="00926951" w:rsidRDefault="009C4CCB" w14:paraId="42AAC0CE"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Limitations and Delimitations According to </w:t>
      </w:r>
      <w:r w:rsidRPr="00926951">
        <w:rPr>
          <w:rStyle w:val="normaltextrun"/>
          <w:rFonts w:asciiTheme="minorBidi" w:hAnsiTheme="minorBidi" w:eastAsiaTheme="majorEastAsia" w:cstheme="minorBidi"/>
          <w:color w:val="4C94D8"/>
        </w:rPr>
        <w:t xml:space="preserve">Collis and Hussey (2009), </w:t>
      </w:r>
      <w:r w:rsidRPr="00926951">
        <w:rPr>
          <w:rStyle w:val="normaltextrun"/>
          <w:rFonts w:asciiTheme="minorBidi" w:hAnsiTheme="minorBidi" w:eastAsiaTheme="majorEastAsia" w:cstheme="minorBidi"/>
        </w:rPr>
        <w:t>whether one is conducting a large or small research project, it is highly likely that some potential areas or investigations will be excluded. Therefore, it is necessary to comment on any such reservations (limitations/delimitations) at the end of the investigations to help appreciate the research process.  </w:t>
      </w:r>
      <w:r w:rsidRPr="00926951">
        <w:rPr>
          <w:rStyle w:val="eop"/>
          <w:rFonts w:asciiTheme="minorBidi" w:hAnsiTheme="minorBidi" w:eastAsiaTheme="majorEastAsia" w:cstheme="minorBidi"/>
        </w:rPr>
        <w:t> </w:t>
      </w:r>
    </w:p>
    <w:p w:rsidRPr="00926951" w:rsidR="009C4CCB" w:rsidP="00926951" w:rsidRDefault="009C4CCB" w14:paraId="2BB366EB"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A limitation identifies potential weaknesses in the research, and a delimitation explains how the study's scope is focused on one particular area or topic </w:t>
      </w:r>
      <w:r w:rsidRPr="00926951">
        <w:rPr>
          <w:rStyle w:val="normaltextrun"/>
          <w:rFonts w:asciiTheme="minorBidi" w:hAnsiTheme="minorBidi" w:eastAsiaTheme="majorEastAsia" w:cstheme="minorBidi"/>
          <w:color w:val="4C94D8"/>
        </w:rPr>
        <w:t>Collis &amp; Hussey, (2009).  </w:t>
      </w:r>
      <w:r w:rsidRPr="00926951">
        <w:rPr>
          <w:rStyle w:val="eop"/>
          <w:rFonts w:asciiTheme="minorBidi" w:hAnsiTheme="minorBidi" w:eastAsiaTheme="majorEastAsia" w:cstheme="minorBidi"/>
          <w:color w:val="4C94D8"/>
        </w:rPr>
        <w:t> </w:t>
      </w:r>
    </w:p>
    <w:p w:rsidRPr="00926951" w:rsidR="009C4CCB" w:rsidP="00926951" w:rsidRDefault="009C4CCB" w14:paraId="1C80152C"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This section reiterates the enormous difficulties encountered during the research, emphasising what could have been done differently if given a chance again, for instance, due to the sensitive nature of the topic and given the distances between the participants in the research sample, which forced the researcher to travel long distances to conduct personal interviews, it was possible to take most of the information from the human resources department, especially since most of the recommendations proposed at the end of the research will be directed to developing motivational strategies in the organisation through the human resources department, this would have helped ease some of the complications.  </w:t>
      </w:r>
      <w:r w:rsidRPr="00926951">
        <w:rPr>
          <w:rStyle w:val="eop"/>
          <w:rFonts w:asciiTheme="minorBidi" w:hAnsiTheme="minorBidi" w:eastAsiaTheme="majorEastAsia" w:cstheme="minorBidi"/>
        </w:rPr>
        <w:t> </w:t>
      </w:r>
    </w:p>
    <w:p w:rsidRPr="00926951" w:rsidR="009C4CCB" w:rsidP="00926951" w:rsidRDefault="009C4CCB" w14:paraId="78B8FD9E"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The reliance on only one-to-one interviews further restricted the small sample size of 6 interviewees, whittled down to only 5. This was because one of the participants pulled out at the last hour, not wanting to discuss strategy in the meeting or even on the phone; even sourcing published secondary data related to the university in the </w:t>
      </w:r>
      <w:r w:rsidRPr="00926951">
        <w:rPr>
          <w:rStyle w:val="normaltextrun"/>
          <w:rFonts w:asciiTheme="minorBidi" w:hAnsiTheme="minorBidi" w:eastAsiaTheme="majorEastAsia" w:cstheme="minorBidi"/>
        </w:rPr>
        <w:t>higher education sector was equally challenging for the researcher based in the UK. Several phone calls and emails were made to the library and to the HR department requesting a report showing some statistics for the employee turnover intentions from 2020 to 2024, but the report was not available.  </w:t>
      </w:r>
      <w:r w:rsidRPr="00926951">
        <w:rPr>
          <w:rStyle w:val="eop"/>
          <w:rFonts w:asciiTheme="minorBidi" w:hAnsiTheme="minorBidi" w:eastAsiaTheme="majorEastAsia" w:cstheme="minorBidi"/>
        </w:rPr>
        <w:t> </w:t>
      </w:r>
    </w:p>
    <w:p w:rsidRPr="00926951" w:rsidR="009C4CCB" w:rsidP="00926951" w:rsidRDefault="009C4CCB" w14:paraId="6BE67EEC"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The researcher sincerely believes that working on the existence of annual reports related to monitoring the movement of employee turnover at the university in its various departments is an important and necessary matter that is beneficial to the institution as a whole and not only to the personnel affairs sector but also to academic researchers who are entrusted with monitoring and analysing information and data and deriving effective solutions and strategies for preserving and developing human resources. </w:t>
      </w:r>
      <w:r w:rsidRPr="00926951">
        <w:rPr>
          <w:rStyle w:val="eop"/>
          <w:rFonts w:asciiTheme="minorBidi" w:hAnsiTheme="minorBidi" w:eastAsiaTheme="majorEastAsia" w:cstheme="minorBidi"/>
        </w:rPr>
        <w:t> </w:t>
      </w:r>
    </w:p>
    <w:p w:rsidRPr="00926951" w:rsidR="009C4CCB" w:rsidP="00926951" w:rsidRDefault="009C4CCB" w14:paraId="04A00C90"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Notably, with hindsight, the findings should have also covered at least one of the top senior management members, the organisation's decision-makers, so that the research can shed light on the extent of understanding of decision-makers at the university to the phenomenon of employees' turnover intentions and measure the extent of readiness to provide opportunities to create a more stimulating work environment and design motivational strategies that are in line with the economic changes that have occurred in the United Kingdom Undoubtedly, this would have improved the generalizability of the findings. </w:t>
      </w:r>
      <w:r w:rsidRPr="00926951">
        <w:rPr>
          <w:rStyle w:val="eop"/>
          <w:rFonts w:asciiTheme="minorBidi" w:hAnsiTheme="minorBidi" w:eastAsiaTheme="majorEastAsia" w:cstheme="minorBidi"/>
        </w:rPr>
        <w:t> </w:t>
      </w:r>
    </w:p>
    <w:p w:rsidRPr="00926951" w:rsidR="009C4CCB" w:rsidP="00926951" w:rsidRDefault="009C4CCB" w14:paraId="0B0EA84A"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The interviews during the research also failed to include persons in executive positions in HR and, therefore, lacked the credentials of such strategic thinkers (CEOs or other executive persons). Their knowledge and experiences of motivation strategies or other forms of strategic financial motivation plans elsewhere within the UWTSD would have been brought to bear on the findings and the conclusions of whether increasing independence and increasing financial motivation was a viable </w:t>
      </w:r>
      <w:r w:rsidRPr="00926951">
        <w:rPr>
          <w:rStyle w:val="normaltextrun"/>
          <w:rFonts w:asciiTheme="minorBidi" w:hAnsiTheme="minorBidi" w:eastAsiaTheme="majorEastAsia" w:cstheme="minorBidi"/>
        </w:rPr>
        <w:t>strategy in the UWTSD or the current classic motivation strategies are compelling enough. As such, the legitimacy of such claims in this research would be somewhat questionable, as well as the reliability and validity of the findings. </w:t>
      </w:r>
      <w:r w:rsidRPr="00926951">
        <w:rPr>
          <w:rStyle w:val="eop"/>
          <w:rFonts w:asciiTheme="minorBidi" w:hAnsiTheme="minorBidi" w:eastAsiaTheme="majorEastAsia" w:cstheme="minorBidi"/>
        </w:rPr>
        <w:t> </w:t>
      </w:r>
    </w:p>
    <w:p w:rsidRPr="00926951" w:rsidR="009C4CCB" w:rsidP="00926951" w:rsidRDefault="009C4CCB" w14:paraId="4C5AC64B"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Nevertheless, the research had clear aims and objectives to justify. Given the circumstances, such objectives were attained, but it is essential that provisions are made to take care of such limitations and delimitations in future research. However, in order to draw a definitive conclusion on the hypothesis of the research, a summary of all the topical issues surveyed are depicted objectively in the notes below, chapter-by-chapter. </w:t>
      </w:r>
      <w:r w:rsidRPr="00926951">
        <w:rPr>
          <w:rStyle w:val="eop"/>
          <w:rFonts w:asciiTheme="minorBidi" w:hAnsiTheme="minorBidi" w:eastAsiaTheme="majorEastAsia" w:cstheme="minorBidi"/>
        </w:rPr>
        <w:t> </w:t>
      </w:r>
    </w:p>
    <w:p w:rsidRPr="00926951" w:rsidR="009C4CCB" w:rsidP="00926951" w:rsidRDefault="009C4CCB" w14:paraId="517619EA"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 xml:space="preserve">Conclusion: </w:t>
      </w:r>
      <w:r w:rsidRPr="00926951">
        <w:rPr>
          <w:rStyle w:val="normaltextrun"/>
          <w:rFonts w:asciiTheme="minorBidi" w:hAnsiTheme="minorBidi" w:eastAsiaTheme="majorEastAsia" w:cstheme="minorBidi"/>
        </w:rPr>
        <w:t>The dissertation started with an introductory chapter designed to define the rationale explicitly, as well as the aims and objectives of the research. To this effect, the research critically analysed the potential suitability of the current motivation strategies used in the UTWSD, assuming that classical motivation theories have become insufficient to increase employee loyalty to the organisation, measuring and determining whether there is a preference for some incentives over others.  </w:t>
      </w:r>
      <w:r w:rsidRPr="00926951">
        <w:rPr>
          <w:rStyle w:val="eop"/>
          <w:rFonts w:asciiTheme="minorBidi" w:hAnsiTheme="minorBidi" w:eastAsiaTheme="majorEastAsia" w:cstheme="minorBidi"/>
        </w:rPr>
        <w:t> </w:t>
      </w:r>
    </w:p>
    <w:p w:rsidRPr="00926951" w:rsidR="009C4CCB" w:rsidP="00926951" w:rsidRDefault="009C4CCB" w14:paraId="3ACD0AB6"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This will reveal the effectiveness of the motivation plans currently used in the organisation and then create practical recommendations for the personnel affairs sector to increase employee loyalty and decrease employee turnover. </w:t>
      </w:r>
      <w:r w:rsidRPr="00926951">
        <w:rPr>
          <w:rStyle w:val="eop"/>
          <w:rFonts w:asciiTheme="minorBidi" w:hAnsiTheme="minorBidi" w:eastAsiaTheme="majorEastAsia" w:cstheme="minorBidi"/>
        </w:rPr>
        <w:t> </w:t>
      </w:r>
    </w:p>
    <w:p w:rsidRPr="00926951" w:rsidR="009C4CCB" w:rsidP="00926951" w:rsidRDefault="009C4CCB" w14:paraId="6720C6C0"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Goal Attainment (Chapter 2):  </w:t>
      </w:r>
      <w:r w:rsidRPr="00926951">
        <w:rPr>
          <w:rStyle w:val="eop"/>
          <w:rFonts w:asciiTheme="minorBidi" w:hAnsiTheme="minorBidi" w:eastAsiaTheme="majorEastAsia" w:cstheme="minorBidi"/>
          <w:color w:val="4C94D8"/>
        </w:rPr>
        <w:t> </w:t>
      </w:r>
    </w:p>
    <w:p w:rsidRPr="00926951" w:rsidR="009C4CCB" w:rsidP="00926951" w:rsidRDefault="009C4CCB" w14:paraId="6F759D65"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The first target of his chapter was to evaluate critically and explore the concept of motivation in a business context, focusing on the internal and external factors that drive individuals to perform and achieve organisational goals.  </w:t>
      </w:r>
      <w:r w:rsidRPr="00926951">
        <w:rPr>
          <w:rStyle w:val="eop"/>
          <w:rFonts w:asciiTheme="minorBidi" w:hAnsiTheme="minorBidi" w:eastAsiaTheme="majorEastAsia" w:cstheme="minorBidi"/>
        </w:rPr>
        <w:t> </w:t>
      </w:r>
    </w:p>
    <w:p w:rsidRPr="00926951" w:rsidR="009C4CCB" w:rsidP="00926951" w:rsidRDefault="009C4CCB" w14:paraId="0E24303E"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It synthesises key theoretical frameworks, critiques existing motivation theories, and introduces Self-Determination Theory (SDT) as a comprehensive approach to </w:t>
      </w:r>
      <w:r w:rsidRPr="00926951">
        <w:rPr>
          <w:rStyle w:val="normaltextrun"/>
          <w:rFonts w:asciiTheme="minorBidi" w:hAnsiTheme="minorBidi" w:eastAsiaTheme="majorEastAsia" w:cstheme="minorBidi"/>
        </w:rPr>
        <w:t xml:space="preserve">understanding employee motivation and performance. However, In This chapter underscores the importance of understanding motivation through traditional and contemporary lenses; while conventional theories focus on external rewards and behaviourist approaches, SDT provides a holistic framework emphasising intrinsic motivation and psychological needs, By addressing autonomy, competence, and relatedness, organisations can foster a more engaged and productive workforce. However, further research is needed to address cultural and contextual limitations in applying SDT across diverse organisational settings. </w:t>
      </w:r>
      <w:r w:rsidRPr="00926951">
        <w:rPr>
          <w:rStyle w:val="normaltextrun"/>
          <w:rFonts w:asciiTheme="minorBidi" w:hAnsiTheme="minorBidi" w:eastAsiaTheme="majorEastAsia" w:cstheme="minorBidi"/>
          <w:color w:val="4C94D8"/>
        </w:rPr>
        <w:t>Guay, F., 2022. </w:t>
      </w:r>
      <w:r w:rsidRPr="00926951">
        <w:rPr>
          <w:rStyle w:val="eop"/>
          <w:rFonts w:asciiTheme="minorBidi" w:hAnsiTheme="minorBidi" w:eastAsiaTheme="majorEastAsia" w:cstheme="minorBidi"/>
          <w:color w:val="4C94D8"/>
        </w:rPr>
        <w:t> </w:t>
      </w:r>
    </w:p>
    <w:p w:rsidRPr="00926951" w:rsidR="009C4CCB" w:rsidP="00926951" w:rsidRDefault="009C4CCB" w14:paraId="1D5B7A71"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While Self-Determination Theory (SDT) is widely adopted in contemporary management practice, it has received its fair share of critiques. The main thrust of SDT's critiques comes from scholars in organizational studies, potentially revealing limitations that do not surface in research in realms other than business studies. </w:t>
      </w:r>
      <w:r w:rsidRPr="00926951">
        <w:rPr>
          <w:rStyle w:val="normaltextrun"/>
          <w:rFonts w:asciiTheme="minorBidi" w:hAnsiTheme="minorBidi" w:eastAsiaTheme="majorEastAsia" w:cstheme="minorBidi"/>
          <w:color w:val="4C94D8"/>
        </w:rPr>
        <w:t>Dubord, M.G. and Forest, J., 2023.  </w:t>
      </w:r>
      <w:r w:rsidRPr="00926951">
        <w:rPr>
          <w:rStyle w:val="eop"/>
          <w:rFonts w:asciiTheme="minorBidi" w:hAnsiTheme="minorBidi" w:eastAsiaTheme="majorEastAsia" w:cstheme="minorBidi"/>
          <w:color w:val="4C94D8"/>
        </w:rPr>
        <w:t> </w:t>
      </w:r>
    </w:p>
    <w:p w:rsidRPr="00926951" w:rsidR="009C4CCB" w:rsidP="00926951" w:rsidRDefault="009C4CCB" w14:paraId="5974F234"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Most critics deconstruct SDT according to its focus on psychological needs and autonomy orientation, and these messages even find considerable flaws in the assumption of universalism. Some scholars argue that the critiques do not reflect the general empirical evidence in favour of the central tenets of SDT. </w:t>
      </w:r>
      <w:r w:rsidRPr="00926951">
        <w:rPr>
          <w:rStyle w:val="normaltextrun"/>
          <w:rFonts w:asciiTheme="minorBidi" w:hAnsiTheme="minorBidi" w:eastAsiaTheme="majorEastAsia" w:cstheme="minorBidi"/>
          <w:color w:val="4C94D8"/>
        </w:rPr>
        <w:t>Kong, D.T. and Ho, V.T., 2016 </w:t>
      </w:r>
      <w:r w:rsidRPr="00926951">
        <w:rPr>
          <w:rStyle w:val="eop"/>
          <w:rFonts w:asciiTheme="minorBidi" w:hAnsiTheme="minorBidi" w:eastAsiaTheme="majorEastAsia" w:cstheme="minorBidi"/>
          <w:color w:val="4C94D8"/>
        </w:rPr>
        <w:t> </w:t>
      </w:r>
    </w:p>
    <w:p w:rsidRPr="00926951" w:rsidR="009C4CCB" w:rsidP="00926951" w:rsidRDefault="009C4CCB" w14:paraId="767C94B9"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eop"/>
          <w:rFonts w:asciiTheme="minorBidi" w:hAnsiTheme="minorBidi" w:eastAsiaTheme="majorEastAsia" w:cstheme="minorBidi"/>
        </w:rPr>
        <w:t> </w:t>
      </w:r>
    </w:p>
    <w:p w:rsidRPr="00926951" w:rsidR="009C4CCB" w:rsidP="00926951" w:rsidRDefault="009C4CCB" w14:paraId="24626343"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w:t>
      </w:r>
      <w:r w:rsidRPr="00926951">
        <w:rPr>
          <w:rStyle w:val="eop"/>
          <w:rFonts w:asciiTheme="minorBidi" w:hAnsiTheme="minorBidi" w:eastAsiaTheme="majorEastAsia" w:cstheme="minorBidi"/>
        </w:rPr>
        <w:t> </w:t>
      </w:r>
    </w:p>
    <w:p w:rsidRPr="00926951" w:rsidR="009C4CCB" w:rsidP="00926951" w:rsidRDefault="009C4CCB" w14:paraId="6D86C419"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eop"/>
          <w:rFonts w:asciiTheme="minorBidi" w:hAnsiTheme="minorBidi" w:eastAsiaTheme="majorEastAsia" w:cstheme="minorBidi"/>
        </w:rPr>
        <w:t> </w:t>
      </w:r>
    </w:p>
    <w:p w:rsidRPr="00926951" w:rsidR="009C4CCB" w:rsidP="00926951" w:rsidRDefault="009C4CCB" w14:paraId="661DED37"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w:t>
      </w:r>
      <w:r w:rsidRPr="00926951">
        <w:rPr>
          <w:rStyle w:val="eop"/>
          <w:rFonts w:asciiTheme="minorBidi" w:hAnsiTheme="minorBidi" w:eastAsiaTheme="majorEastAsia" w:cstheme="minorBidi"/>
        </w:rPr>
        <w:t> </w:t>
      </w:r>
    </w:p>
    <w:p w:rsidRPr="00926951" w:rsidR="009C4CCB" w:rsidP="00926951" w:rsidRDefault="009C4CCB" w14:paraId="252233D2"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eop"/>
          <w:rFonts w:asciiTheme="minorBidi" w:hAnsiTheme="minorBidi" w:eastAsiaTheme="majorEastAsia" w:cstheme="minorBidi"/>
        </w:rPr>
        <w:t> </w:t>
      </w:r>
    </w:p>
    <w:p w:rsidRPr="00926951" w:rsidR="009C4CCB" w:rsidP="00926951" w:rsidRDefault="009C4CCB" w14:paraId="2C2AB4CA"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Goal Attainment (Chapter 3): </w:t>
      </w:r>
      <w:r w:rsidRPr="00926951">
        <w:rPr>
          <w:rStyle w:val="eop"/>
          <w:rFonts w:asciiTheme="minorBidi" w:hAnsiTheme="minorBidi" w:eastAsiaTheme="majorEastAsia" w:cstheme="minorBidi"/>
          <w:color w:val="4C94D8"/>
        </w:rPr>
        <w:t> </w:t>
      </w:r>
    </w:p>
    <w:p w:rsidRPr="00926951" w:rsidR="009C4CCB" w:rsidP="00926951" w:rsidRDefault="009C4CCB" w14:paraId="7D667761"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eop"/>
          <w:rFonts w:asciiTheme="minorBidi" w:hAnsiTheme="minorBidi" w:eastAsiaTheme="majorEastAsia" w:cstheme="minorBidi"/>
        </w:rPr>
        <w:t> </w:t>
      </w:r>
    </w:p>
    <w:p w:rsidRPr="00926951" w:rsidR="009C4CCB" w:rsidP="00926951" w:rsidRDefault="009C4CCB" w14:paraId="5EFEC7D0"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In conclusion, this chapter outlines the research methodology employed to explore the effectiveness of motivational strategies on employee performance and retention within higher education  </w:t>
      </w:r>
      <w:r w:rsidRPr="00926951">
        <w:rPr>
          <w:rStyle w:val="eop"/>
          <w:rFonts w:asciiTheme="minorBidi" w:hAnsiTheme="minorBidi" w:eastAsiaTheme="majorEastAsia" w:cstheme="minorBidi"/>
        </w:rPr>
        <w:t> </w:t>
      </w:r>
    </w:p>
    <w:p w:rsidRPr="00926951" w:rsidR="009C4CCB" w:rsidP="00926951" w:rsidRDefault="009C4CCB" w14:paraId="6F444EE7"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This chapter presents a comprehensive overview of the research methodology implemented to assess the impact of motivational strategies on employee performance and retention within the higher education sector. The University of Wales Trinity Saint David serves as a pivotal case study. </w:t>
      </w:r>
      <w:r w:rsidRPr="00926951">
        <w:rPr>
          <w:rStyle w:val="eop"/>
          <w:rFonts w:asciiTheme="minorBidi" w:hAnsiTheme="minorBidi" w:eastAsiaTheme="majorEastAsia" w:cstheme="minorBidi"/>
        </w:rPr>
        <w:t> </w:t>
      </w:r>
    </w:p>
    <w:p w:rsidRPr="00926951" w:rsidR="009C4CCB" w:rsidP="00926951" w:rsidRDefault="009C4CCB" w14:paraId="2A93D3AE"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Adopting a qualitative approach, this study employs semi-structured interviews with faculty, administrative staff, and managers to capture in-depth, contextual insights into employee experiences and preferences. Thematic analysis is informed by self-determination theory and organisational commitment theory, enabling a sophisticated interpretation of the data and a deeper understanding of the key factors shaping employee motivation and loyalty. </w:t>
      </w:r>
      <w:r w:rsidRPr="00926951">
        <w:rPr>
          <w:rStyle w:val="eop"/>
          <w:rFonts w:asciiTheme="minorBidi" w:hAnsiTheme="minorBidi" w:eastAsiaTheme="majorEastAsia" w:cstheme="minorBidi"/>
        </w:rPr>
        <w:t> </w:t>
      </w:r>
    </w:p>
    <w:p w:rsidRPr="00926951" w:rsidR="009C4CCB" w:rsidP="00191D41" w:rsidRDefault="009C4CCB" w14:paraId="3847C14C" w14:textId="78CF8231">
      <w:pPr>
        <w:pStyle w:val="paragraph"/>
        <w:spacing w:before="0" w:beforeAutospacing="0" w:after="0" w:afterAutospacing="0" w:line="480" w:lineRule="auto"/>
        <w:textAlignment w:val="baseline"/>
        <w:rPr>
          <w:rFonts w:asciiTheme="minorBidi" w:hAnsiTheme="minorBidi" w:cstheme="minorBidi"/>
        </w:rPr>
      </w:pPr>
      <w:r w:rsidRPr="00926951">
        <w:rPr>
          <w:rStyle w:val="eop"/>
          <w:rFonts w:asciiTheme="minorBidi" w:hAnsiTheme="minorBidi" w:eastAsiaTheme="majorEastAsia" w:cstheme="minorBidi"/>
        </w:rPr>
        <w:t> </w:t>
      </w:r>
      <w:r w:rsidRPr="00926951">
        <w:rPr>
          <w:rStyle w:val="normaltextrun"/>
          <w:rFonts w:asciiTheme="minorBidi" w:hAnsiTheme="minorBidi" w:eastAsiaTheme="majorEastAsia" w:cstheme="minorBidi"/>
        </w:rPr>
        <w:t>We place a strong emphasis on ethical considerations, prioritizing participant anonymity and data protection to uphold the integrity of our research. While acknowledging inherent limitations, such as a small sample size and potential biases, this study employs triangulation to bolster the reliability and validity of our findings. Ultimately, this research strives to deliver actionable recommendations that can significantly enhance motivational practices in higher education, thereby enriching both academic discourse and practical strategies for improving employee retention and performance. </w:t>
      </w:r>
      <w:r w:rsidRPr="00926951">
        <w:rPr>
          <w:rStyle w:val="eop"/>
          <w:rFonts w:asciiTheme="minorBidi" w:hAnsiTheme="minorBidi" w:eastAsiaTheme="majorEastAsia" w:cstheme="minorBidi"/>
        </w:rPr>
        <w:t> </w:t>
      </w:r>
    </w:p>
    <w:p w:rsidRPr="00926951" w:rsidR="009C4CCB" w:rsidP="00926951" w:rsidRDefault="009C4CCB" w14:paraId="33CF6431"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Goal Attainment (Chapter 4): </w:t>
      </w:r>
      <w:r w:rsidRPr="00926951">
        <w:rPr>
          <w:rStyle w:val="eop"/>
          <w:rFonts w:asciiTheme="minorBidi" w:hAnsiTheme="minorBidi" w:eastAsiaTheme="majorEastAsia" w:cstheme="minorBidi"/>
          <w:color w:val="4C94D8"/>
        </w:rPr>
        <w:t> </w:t>
      </w:r>
    </w:p>
    <w:p w:rsidRPr="00926951" w:rsidR="009C4CCB" w:rsidP="00926951" w:rsidRDefault="009C4CCB" w14:paraId="36436EA3"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The findings of this chapter highlight the complex interplay between financial and non-financial motivators in shaping employee commitment within higher education institutions. While financial satisfaction remains a significant factor, particularly for </w:t>
      </w:r>
      <w:r w:rsidRPr="00926951">
        <w:rPr>
          <w:rStyle w:val="normaltextrun"/>
          <w:rFonts w:asciiTheme="minorBidi" w:hAnsiTheme="minorBidi" w:eastAsiaTheme="majorEastAsia" w:cstheme="minorBidi"/>
        </w:rPr>
        <w:t>younger employees facing economic pressures, the research underscores the critical role of autonomy, emotional support, and a positive work environment in fostering long-term loyalty. The study also reveals gaps in communication regarding well-being policies and the need for greater transparency and workload management to enhance employee satisfaction. By aligning organizational practices with the Three-Component Model of Commitment—affective, continuance, and normative—institutions can better address the evolving needs of their workforce. Ultimately, this research contributes valuable insights into sustaining employee motivation and commitment in the face of contemporary economic and social challenges. </w:t>
      </w:r>
      <w:r w:rsidRPr="00926951">
        <w:rPr>
          <w:rStyle w:val="eop"/>
          <w:rFonts w:asciiTheme="minorBidi" w:hAnsiTheme="minorBidi" w:eastAsiaTheme="majorEastAsia" w:cstheme="minorBidi"/>
        </w:rPr>
        <w:t> </w:t>
      </w:r>
    </w:p>
    <w:p w:rsidRPr="00926951" w:rsidR="009C4CCB" w:rsidP="00926951" w:rsidRDefault="009C4CCB" w14:paraId="53F83DF4"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The dissertation offers an in-depth explanation of the procedures and processes involved in conducting the research. </w:t>
      </w:r>
      <w:r w:rsidRPr="00926951">
        <w:rPr>
          <w:rStyle w:val="eop"/>
          <w:rFonts w:asciiTheme="minorBidi" w:hAnsiTheme="minorBidi" w:eastAsiaTheme="majorEastAsia" w:cstheme="minorBidi"/>
        </w:rPr>
        <w:t> </w:t>
      </w:r>
    </w:p>
    <w:p w:rsidRPr="00926951" w:rsidR="009C4CCB" w:rsidP="00926951" w:rsidRDefault="009C4CCB" w14:paraId="756D9234"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w:t>
      </w:r>
      <w:r w:rsidRPr="00926951">
        <w:rPr>
          <w:rStyle w:val="normaltextrun"/>
          <w:rFonts w:asciiTheme="minorBidi" w:hAnsiTheme="minorBidi" w:eastAsiaTheme="majorEastAsia" w:cstheme="minorBidi"/>
          <w:color w:val="4C94D8"/>
        </w:rPr>
        <w:t>Hussain, 2018</w:t>
      </w:r>
      <w:r w:rsidRPr="00926951">
        <w:rPr>
          <w:rStyle w:val="normaltextrun"/>
          <w:rFonts w:asciiTheme="minorBidi" w:hAnsiTheme="minorBidi" w:eastAsiaTheme="majorEastAsia" w:cstheme="minorBidi"/>
        </w:rPr>
        <w:t>). For example, the way that the questions of the interview were distributed to staff members, how data was captured and managed, the sample group structure, the methods of data analysis, and the tools used for this purpose. The way the participants were reached during the research phase was explicated, indicating why selected methods were most effective according to the purpose and demographic factors of the sample group.  Results and a subsequent discussion are also delineated based on the data and experience collected. When captured data is combined with the implemented literature review, answers to important research questions form. The results section examines the data collected during the research phase, considering patterns and trends. These findings are then compared against the initial hypothesis in order to determine congruency and where certain measured variables led to predictions being confirmed or not. </w:t>
      </w:r>
      <w:r w:rsidRPr="00926951">
        <w:rPr>
          <w:rStyle w:val="eop"/>
          <w:rFonts w:asciiTheme="minorBidi" w:hAnsiTheme="minorBidi" w:eastAsiaTheme="majorEastAsia" w:cstheme="minorBidi"/>
        </w:rPr>
        <w:t> </w:t>
      </w:r>
    </w:p>
    <w:p w:rsidRPr="00926951" w:rsidR="009C4CCB" w:rsidP="00926951" w:rsidRDefault="009C4CCB" w14:paraId="078EC98F"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Moreover, the role demographic factors play in how they influence perceptions of motivation among employees is analysed. By placing observed results and </w:t>
      </w:r>
      <w:r w:rsidRPr="00926951">
        <w:rPr>
          <w:rStyle w:val="normaltextrun"/>
          <w:rFonts w:asciiTheme="minorBidi" w:hAnsiTheme="minorBidi" w:eastAsiaTheme="majorEastAsia" w:cstheme="minorBidi"/>
        </w:rPr>
        <w:t>experiences within the framework established by existing motivational theories, it is possible to interpret data more accurately, thereby gaining better insight into the causes of employee turnover intention. The data provided by the model was also considered in the section regarding discussing the results. Speculative understanding concerning the implications of the generated results within treatments of retention and application of motivational strategies is revealed. An institution of higher education is considered, but observations should be readily translated into applications to other administrative settings. </w:t>
      </w:r>
      <w:r w:rsidRPr="00926951">
        <w:rPr>
          <w:rStyle w:val="eop"/>
          <w:rFonts w:asciiTheme="minorBidi" w:hAnsiTheme="minorBidi" w:eastAsiaTheme="majorEastAsia" w:cstheme="minorBidi"/>
        </w:rPr>
        <w:t> </w:t>
      </w:r>
    </w:p>
    <w:p w:rsidRPr="00926951" w:rsidR="009C4CCB" w:rsidP="00926951" w:rsidRDefault="009C4CCB" w14:paraId="0BD71F63"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 xml:space="preserve">Recommendations:  </w:t>
      </w:r>
      <w:r w:rsidRPr="00926951">
        <w:rPr>
          <w:rStyle w:val="normaltextrun"/>
          <w:rFonts w:asciiTheme="minorBidi" w:hAnsiTheme="minorBidi" w:eastAsiaTheme="majorEastAsia" w:cstheme="minorBidi"/>
        </w:rPr>
        <w:t>The recommendation will take the form of the following: </w:t>
      </w:r>
      <w:r w:rsidRPr="00926951">
        <w:rPr>
          <w:rStyle w:val="eop"/>
          <w:rFonts w:asciiTheme="minorBidi" w:hAnsiTheme="minorBidi" w:eastAsiaTheme="majorEastAsia" w:cstheme="minorBidi"/>
        </w:rPr>
        <w:t> </w:t>
      </w:r>
    </w:p>
    <w:p w:rsidRPr="00926951" w:rsidR="009C4CCB" w:rsidP="00926951" w:rsidRDefault="009C4CCB" w14:paraId="56DBC16D"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Firstly, the recommendations for the research ways of dealing with some of the difficult issues raised in the interviews, followed by proposals for successful implementation and, crucially, the recommendations for further research. </w:t>
      </w:r>
      <w:r w:rsidRPr="00926951">
        <w:rPr>
          <w:rStyle w:val="eop"/>
          <w:rFonts w:asciiTheme="minorBidi" w:hAnsiTheme="minorBidi" w:eastAsiaTheme="majorEastAsia" w:cstheme="minorBidi"/>
        </w:rPr>
        <w:t> </w:t>
      </w:r>
    </w:p>
    <w:p w:rsidRPr="00926951" w:rsidR="009C4CCB" w:rsidP="00926951" w:rsidRDefault="009C4CCB" w14:paraId="47984FBC"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Recommendation Improving Motivations Strategies Approach: </w:t>
      </w:r>
      <w:r w:rsidRPr="00926951">
        <w:rPr>
          <w:rStyle w:val="eop"/>
          <w:rFonts w:asciiTheme="minorBidi" w:hAnsiTheme="minorBidi" w:eastAsiaTheme="majorEastAsia" w:cstheme="minorBidi"/>
          <w:color w:val="4C94D8"/>
        </w:rPr>
        <w:t> </w:t>
      </w:r>
    </w:p>
    <w:p w:rsidRPr="00926951" w:rsidR="009C4CCB" w:rsidP="00926951" w:rsidRDefault="009C4CCB" w14:paraId="3937B0AB"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Using the strategy of offering a mix of extrinsic rewards and encouraging intrinsic motivation to motivate employees requires a management framework. Organizations can consider using the Self-Determination Theory to guide job enrichment. This strategy requires leaders to receive continuing education in the principles of Self-Determination Theory. </w:t>
      </w:r>
      <w:r w:rsidRPr="00926951">
        <w:rPr>
          <w:rStyle w:val="normaltextrun"/>
          <w:rFonts w:asciiTheme="minorBidi" w:hAnsiTheme="minorBidi" w:eastAsiaTheme="majorEastAsia" w:cstheme="minorBidi"/>
          <w:color w:val="4C94D8"/>
        </w:rPr>
        <w:t>Dubord, M.G. and Forest, J., 2023  </w:t>
      </w:r>
      <w:r w:rsidRPr="00926951">
        <w:rPr>
          <w:rStyle w:val="eop"/>
          <w:rFonts w:asciiTheme="minorBidi" w:hAnsiTheme="minorBidi" w:eastAsiaTheme="majorEastAsia" w:cstheme="minorBidi"/>
          <w:color w:val="4C94D8"/>
        </w:rPr>
        <w:t> </w:t>
      </w:r>
    </w:p>
    <w:p w:rsidRPr="00926951" w:rsidR="009C4CCB" w:rsidP="00926951" w:rsidRDefault="009C4CCB" w14:paraId="28817401"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Leaders should be guided in providing feedback on possible motivators or reshaping current ones. Appropriate and inappropriate motivations for employees should be re-evaluated in performance reviews; this can help maximize intrinsic and extrinsic reward potentials within the new management strategy. While grounded on weaknesses in Self-Determination Theory, these recommendations may also address other weaknesses described in original motivation models. Organizational leaders must evaluate the business culture to determine programs that suit the </w:t>
      </w:r>
      <w:r w:rsidRPr="00926951">
        <w:rPr>
          <w:rStyle w:val="normaltextrun"/>
          <w:rFonts w:asciiTheme="minorBidi" w:hAnsiTheme="minorBidi" w:eastAsiaTheme="majorEastAsia" w:cstheme="minorBidi"/>
        </w:rPr>
        <w:t xml:space="preserve">business best. Recognizing that people differ in what motivates them and how they are motivated, the culture will indicate, to a great extent, the approach that will best fit. Any approach should provide for regular review and feedback to enable ongoing adjustment. </w:t>
      </w:r>
      <w:r w:rsidRPr="00926951">
        <w:rPr>
          <w:rStyle w:val="normaltextrun"/>
          <w:rFonts w:asciiTheme="minorBidi" w:hAnsiTheme="minorBidi" w:eastAsiaTheme="majorEastAsia" w:cstheme="minorBidi"/>
          <w:color w:val="4C94D8"/>
        </w:rPr>
        <w:t>Guay, F., 2022. </w:t>
      </w:r>
      <w:r w:rsidRPr="00926951">
        <w:rPr>
          <w:rStyle w:val="eop"/>
          <w:rFonts w:asciiTheme="minorBidi" w:hAnsiTheme="minorBidi" w:eastAsiaTheme="majorEastAsia" w:cstheme="minorBidi"/>
          <w:color w:val="4C94D8"/>
        </w:rPr>
        <w:t> </w:t>
      </w:r>
    </w:p>
    <w:p w:rsidRPr="00926951" w:rsidR="009C4CCB" w:rsidP="00926951" w:rsidRDefault="009C4CCB" w14:paraId="094C02B7"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The results of the research in the fourth chapter demonstrated employees’ desire for more transparency, which gives them opportunities to truly participate in decision-making or accept any decisions or changes in the work environment if they feel that they were truly engaged effectively. </w:t>
      </w:r>
      <w:r w:rsidRPr="00926951">
        <w:rPr>
          <w:rStyle w:val="normaltextrun"/>
          <w:rFonts w:asciiTheme="minorBidi" w:hAnsiTheme="minorBidi" w:eastAsiaTheme="majorEastAsia" w:cstheme="minorBidi"/>
          <w:color w:val="4C94D8"/>
        </w:rPr>
        <w:t>Jiang, H. and Shen, H., 2023. </w:t>
      </w:r>
      <w:r w:rsidRPr="00926951">
        <w:rPr>
          <w:rStyle w:val="eop"/>
          <w:rFonts w:asciiTheme="minorBidi" w:hAnsiTheme="minorBidi" w:eastAsiaTheme="majorEastAsia" w:cstheme="minorBidi"/>
          <w:color w:val="4C94D8"/>
        </w:rPr>
        <w:t> </w:t>
      </w:r>
    </w:p>
    <w:p w:rsidRPr="00926951" w:rsidR="009C4CCB" w:rsidP="00191D41" w:rsidRDefault="009C4CCB" w14:paraId="058E85FC" w14:textId="2022B4C9">
      <w:pPr>
        <w:pStyle w:val="paragraph"/>
        <w:spacing w:before="0" w:beforeAutospacing="0" w:after="0" w:afterAutospacing="0" w:line="480" w:lineRule="auto"/>
        <w:textAlignment w:val="baseline"/>
        <w:rPr>
          <w:rFonts w:asciiTheme="minorBidi" w:hAnsiTheme="minorBidi" w:cstheme="minorBidi"/>
        </w:rPr>
      </w:pPr>
      <w:r w:rsidRPr="00926951">
        <w:rPr>
          <w:rStyle w:val="eop"/>
          <w:rFonts w:asciiTheme="minorBidi" w:hAnsiTheme="minorBidi" w:eastAsiaTheme="majorEastAsia" w:cstheme="minorBidi"/>
          <w:color w:val="4C94D8"/>
        </w:rPr>
        <w:t> </w:t>
      </w:r>
      <w:r w:rsidRPr="00926951">
        <w:rPr>
          <w:rStyle w:val="normaltextrun"/>
          <w:rFonts w:asciiTheme="minorBidi" w:hAnsiTheme="minorBidi" w:eastAsiaTheme="majorEastAsia" w:cstheme="minorBidi"/>
          <w:color w:val="4C94D8"/>
        </w:rPr>
        <w:t>Recommendation for implementation: </w:t>
      </w:r>
      <w:r w:rsidRPr="00926951">
        <w:rPr>
          <w:rStyle w:val="eop"/>
          <w:rFonts w:asciiTheme="minorBidi" w:hAnsiTheme="minorBidi" w:eastAsiaTheme="majorEastAsia" w:cstheme="minorBidi"/>
          <w:color w:val="4C94D8"/>
        </w:rPr>
        <w:t> </w:t>
      </w:r>
    </w:p>
    <w:p w:rsidRPr="00926951" w:rsidR="009C4CCB" w:rsidP="00926951" w:rsidRDefault="009C4CCB" w14:paraId="47B6BB36"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Through preliminary information related to measuring the importance of the financial incentive in raising the level of loyalty to the organization, it was concluded that it is essential to link this incentive with its counterpart of the moral incentive, which is career advancement, to create a feeling of job satisfaction among employees. </w:t>
      </w:r>
      <w:r w:rsidRPr="00926951">
        <w:rPr>
          <w:rStyle w:val="eop"/>
          <w:rFonts w:asciiTheme="minorBidi" w:hAnsiTheme="minorBidi" w:eastAsiaTheme="majorEastAsia" w:cstheme="minorBidi"/>
        </w:rPr>
        <w:t> </w:t>
      </w:r>
    </w:p>
    <w:p w:rsidRPr="00926951" w:rsidR="009C4CCB" w:rsidP="00926951" w:rsidRDefault="009C4CCB" w14:paraId="4838D5F7"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The research recommends the importance of continuous communication between the Department of Personnel Affairs and employees through training and educational programs explaining the importance of their work. At least one individual from the Department of Change and Stability must be involved in the plans that the Department of Personnel Affairs will present to the employees to measure the extent of their applicability on the ground and avoid burdening employees with workloads. </w:t>
      </w:r>
      <w:r w:rsidRPr="00926951">
        <w:rPr>
          <w:rStyle w:val="eop"/>
          <w:rFonts w:asciiTheme="minorBidi" w:hAnsiTheme="minorBidi" w:eastAsiaTheme="majorEastAsia" w:cstheme="minorBidi"/>
        </w:rPr>
        <w:t> </w:t>
      </w:r>
    </w:p>
    <w:p w:rsidRPr="00926951" w:rsidR="009C4CCB" w:rsidP="00926951" w:rsidRDefault="009C4CCB" w14:paraId="47754C48"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In collaboration with HR, the change teams are tasked to prescribe the right type of training required by the staff and those responsible for implementing a motivational strategy that is compatible with the economic changes that the country is going through and imposes a special situation on the higher education sector, which is a leading and effective sector in the economy of the United Kingdom. This will ensure employees have the skills to facilitate smooth organisational knowledge-sharing and </w:t>
      </w:r>
      <w:r w:rsidRPr="00926951">
        <w:rPr>
          <w:rStyle w:val="normaltextrun"/>
          <w:rFonts w:asciiTheme="minorBidi" w:hAnsiTheme="minorBidi" w:eastAsiaTheme="majorEastAsia" w:cstheme="minorBidi"/>
        </w:rPr>
        <w:t>learning processes. It will also alleviate the employee's turnover intentions or move to another institute. </w:t>
      </w:r>
      <w:r w:rsidRPr="00926951">
        <w:rPr>
          <w:rStyle w:val="eop"/>
          <w:rFonts w:asciiTheme="minorBidi" w:hAnsiTheme="minorBidi" w:eastAsiaTheme="majorEastAsia" w:cstheme="minorBidi"/>
        </w:rPr>
        <w:t> </w:t>
      </w:r>
    </w:p>
    <w:p w:rsidRPr="00926951" w:rsidR="009C4CCB" w:rsidP="00926951" w:rsidRDefault="009C4CCB" w14:paraId="79FC410B"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Institutions should prioritise fostering a culture of recognition, professional growth, and inclusivity to enhance motivation strategies for employees and management staff in the higher education sector. Recognising and rewarding achievements through formal awards or informal acknowledgements can significantly boost morale and reinforce a sense of accomplishment. Providing opportunities for continuous professional development, such as workshops, training programs, and access to research grants, can empower staff to advance their skills and careers, thereby increasing job satisfaction and engagement. Promoting a collaborative and inclusive work environment where diverse perspectives are valued can also strengthen team cohesion and foster a sense of belonging. Transparent communication between management and employees is also crucial, as it builds trust and ensures that staff feel heard and supported in their roles. By aligning institutional goals with individual aspirations and creating a supportive ecosystem, higher education institutions can cultivate a motivated workforce committed to achieving personal and organizational success. </w:t>
      </w:r>
      <w:r w:rsidRPr="00926951">
        <w:rPr>
          <w:rStyle w:val="eop"/>
          <w:rFonts w:asciiTheme="minorBidi" w:hAnsiTheme="minorBidi" w:eastAsiaTheme="majorEastAsia" w:cstheme="minorBidi"/>
        </w:rPr>
        <w:t> </w:t>
      </w:r>
    </w:p>
    <w:p w:rsidRPr="00926951" w:rsidR="009C4CCB" w:rsidP="00926951" w:rsidRDefault="009C4CCB" w14:paraId="5D58297F"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Recommendation for further research: </w:t>
      </w:r>
      <w:r w:rsidRPr="00926951">
        <w:rPr>
          <w:rStyle w:val="eop"/>
          <w:rFonts w:asciiTheme="minorBidi" w:hAnsiTheme="minorBidi" w:eastAsiaTheme="majorEastAsia" w:cstheme="minorBidi"/>
          <w:color w:val="4C94D8"/>
        </w:rPr>
        <w:t> </w:t>
      </w:r>
    </w:p>
    <w:p w:rsidRPr="00926951" w:rsidR="009C4CCB" w:rsidP="00926951" w:rsidRDefault="009C4CCB" w14:paraId="1A3CD990"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215E99"/>
        </w:rPr>
        <w:t>Understanding Employee Turnover Intentions and Organizational Loyalty</w:t>
      </w:r>
      <w:r w:rsidRPr="00926951">
        <w:rPr>
          <w:rStyle w:val="eop"/>
          <w:rFonts w:asciiTheme="minorBidi" w:hAnsiTheme="minorBidi" w:eastAsiaTheme="majorEastAsia" w:cstheme="minorBidi"/>
          <w:color w:val="215E99"/>
        </w:rPr>
        <w:t> </w:t>
      </w:r>
    </w:p>
    <w:p w:rsidRPr="00926951" w:rsidR="009C4CCB" w:rsidP="00926951" w:rsidRDefault="009C4CCB" w14:paraId="2B73166C"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 xml:space="preserve">Employee turnover has a significant impact on an organisation, both financially and in terms of the loss of important knowledge. Core employees are most valuable both financially and in terms of expertise. Despite this importance, little research has been carried out to try to understand why core employees decide to quit an organisation. This research was trying to fill some of this gap by considering the effectiveness of </w:t>
      </w:r>
      <w:r w:rsidRPr="00926951">
        <w:rPr>
          <w:rStyle w:val="normaltextrun"/>
          <w:rFonts w:asciiTheme="minorBidi" w:hAnsiTheme="minorBidi" w:eastAsiaTheme="majorEastAsia" w:cstheme="minorBidi"/>
        </w:rPr>
        <w:t xml:space="preserve">the classic motivation on the turnover intentions of core employees: what factors contribute to this, and how can organisations reduce this intent. </w:t>
      </w:r>
      <w:r w:rsidRPr="00926951">
        <w:rPr>
          <w:rStyle w:val="normaltextrun"/>
          <w:rFonts w:asciiTheme="minorBidi" w:hAnsiTheme="minorBidi" w:eastAsiaTheme="majorEastAsia" w:cstheme="minorBidi"/>
          <w:color w:val="4C94D8"/>
        </w:rPr>
        <w:t>(Naidu, 2018). </w:t>
      </w:r>
      <w:r w:rsidRPr="00926951">
        <w:rPr>
          <w:rStyle w:val="eop"/>
          <w:rFonts w:asciiTheme="minorBidi" w:hAnsiTheme="minorBidi" w:eastAsiaTheme="majorEastAsia" w:cstheme="minorBidi"/>
          <w:color w:val="4C94D8"/>
        </w:rPr>
        <w:t> </w:t>
      </w:r>
    </w:p>
    <w:p w:rsidRPr="00926951" w:rsidR="009C4CCB" w:rsidP="0009597C" w:rsidRDefault="009C4CCB" w14:paraId="3811FA50" w14:textId="01F073FC">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215E99"/>
        </w:rPr>
        <w:t>Empirical Evidence on the Relationship Between Financial Motivation and Employee Turnover</w:t>
      </w:r>
      <w:r w:rsidRPr="00926951">
        <w:rPr>
          <w:rStyle w:val="eop"/>
          <w:rFonts w:asciiTheme="minorBidi" w:hAnsiTheme="minorBidi" w:eastAsiaTheme="majorEastAsia" w:cstheme="minorBidi"/>
          <w:color w:val="215E99"/>
        </w:rPr>
        <w:t> </w:t>
      </w:r>
    </w:p>
    <w:p w:rsidRPr="00926951" w:rsidR="009C4CCB" w:rsidP="00926951" w:rsidRDefault="009C4CCB" w14:paraId="24BC9340"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rPr>
        <w:t>Employee motivation is an essential element of managerial strategy in enhancing employee performance and retention </w:t>
      </w:r>
      <w:r w:rsidRPr="00926951">
        <w:rPr>
          <w:rStyle w:val="eop"/>
          <w:rFonts w:asciiTheme="minorBidi" w:hAnsiTheme="minorBidi" w:eastAsiaTheme="majorEastAsia" w:cstheme="minorBidi"/>
        </w:rPr>
        <w:t> </w:t>
      </w:r>
    </w:p>
    <w:p w:rsidRPr="00926951" w:rsidR="009C4CCB" w:rsidP="00926951" w:rsidRDefault="009C4CCB" w14:paraId="7169BCF6" w14:textId="77777777">
      <w:pPr>
        <w:pStyle w:val="paragraph"/>
        <w:spacing w:before="0" w:beforeAutospacing="0" w:after="0" w:afterAutospacing="0" w:line="480" w:lineRule="auto"/>
        <w:textAlignment w:val="baseline"/>
        <w:rPr>
          <w:rFonts w:asciiTheme="minorBidi" w:hAnsiTheme="minorBidi" w:cstheme="minorBidi"/>
        </w:rPr>
      </w:pPr>
      <w:r w:rsidRPr="00926951">
        <w:rPr>
          <w:rStyle w:val="normaltextrun"/>
          <w:rFonts w:asciiTheme="minorBidi" w:hAnsiTheme="minorBidi" w:eastAsiaTheme="majorEastAsia" w:cstheme="minorBidi"/>
          <w:color w:val="4C94D8"/>
        </w:rPr>
        <w:t>(Hussain, 2018).</w:t>
      </w:r>
      <w:r w:rsidRPr="00926951">
        <w:rPr>
          <w:rStyle w:val="normaltextrun"/>
          <w:rFonts w:asciiTheme="minorBidi" w:hAnsiTheme="minorBidi" w:eastAsiaTheme="majorEastAsia" w:cstheme="minorBidi"/>
        </w:rPr>
        <w:t xml:space="preserve"> Employees receiving financial motivation are likely to reduce their turnover intention, thus increasing organizational loyalty. Subsequent studies showed that financial motivation improved organizational loyalty and increased commitment to quality. Salary, bonus, and pension are considered as external motivations engaging employees in more rational job analysis and decision-making. Moreover, financial motivation is universally acceptable, making it appropriate for any industry. However, more research to explore </w:t>
      </w:r>
      <w:r w:rsidRPr="00926951">
        <w:rPr>
          <w:rStyle w:val="eop"/>
          <w:rFonts w:asciiTheme="minorBidi" w:hAnsiTheme="minorBidi" w:eastAsiaTheme="majorEastAsia" w:cstheme="minorBidi"/>
        </w:rPr>
        <w:t> </w:t>
      </w:r>
    </w:p>
    <w:p w:rsidR="009C4CCB" w:rsidP="00926951" w:rsidRDefault="009C4CCB" w14:paraId="00832AD9" w14:textId="77777777">
      <w:pPr>
        <w:pStyle w:val="paragraph"/>
        <w:spacing w:before="0" w:beforeAutospacing="0" w:after="0" w:afterAutospacing="0" w:line="480" w:lineRule="auto"/>
        <w:textAlignment w:val="baseline"/>
        <w:rPr>
          <w:rFonts w:ascii="Segoe UI" w:hAnsi="Segoe UI" w:cs="Segoe UI"/>
          <w:sz w:val="18"/>
          <w:szCs w:val="18"/>
        </w:rPr>
      </w:pPr>
      <w:r w:rsidRPr="1933AE28" w:rsidR="009C4CCB">
        <w:rPr>
          <w:rStyle w:val="normaltextrun"/>
          <w:rFonts w:ascii="Arial" w:hAnsi="Arial" w:eastAsia="" w:cs="Arial" w:asciiTheme="minorBidi" w:hAnsiTheme="minorBidi" w:eastAsiaTheme="majorEastAsia" w:cstheme="minorBidi"/>
        </w:rPr>
        <w:t> the relationship between financial motivation and employee turnover would be further analysed if it were studied more widely, a theoretical framework will be constructed, including a moderated-mediation analysis of organisational context and individual differences in financial motivation. The effectiveness of financial motivation, the mechanism underlying the possible relationships, and implications for management are also explored. Limitations are addressed alongside suggestions for future research. The financial motivations support for employees and organizations can further lower employee turnover intentions.?</w:t>
      </w:r>
      <w:r w:rsidRPr="1933AE28" w:rsidR="009C4CCB">
        <w:rPr>
          <w:rStyle w:val="eop"/>
          <w:rFonts w:ascii="Arial" w:hAnsi="Arial" w:eastAsia="" w:cs="Arial" w:asciiTheme="minorBidi" w:hAnsiTheme="minorBidi" w:eastAsiaTheme="majorEastAsia" w:cstheme="minorBidi"/>
        </w:rPr>
        <w:t> </w:t>
      </w:r>
    </w:p>
    <w:p w:rsidR="190B36D6" w:rsidP="1933AE28" w:rsidRDefault="190B36D6" w14:paraId="43B075D6" w14:textId="451FB779">
      <w:pPr>
        <w:pStyle w:val="Heading3"/>
        <w:spacing w:before="240" w:beforeAutospacing="off" w:after="240" w:afterAutospacing="off" w:line="257" w:lineRule="auto"/>
      </w:pPr>
      <w:r w:rsidRPr="1933AE28" w:rsidR="190B36D6">
        <w:rPr>
          <w:rFonts w:ascii="Aptos" w:hAnsi="Aptos" w:eastAsia="Aptos" w:cs="Aptos"/>
          <w:b w:val="0"/>
          <w:bCs w:val="0"/>
          <w:noProof w:val="0"/>
          <w:color w:val="0F4761" w:themeColor="accent1" w:themeTint="FF" w:themeShade="BF"/>
          <w:sz w:val="28"/>
          <w:szCs w:val="28"/>
          <w:lang w:val="en-GB"/>
        </w:rPr>
        <w:t>References:</w:t>
      </w:r>
    </w:p>
    <w:p w:rsidR="190B36D6" w:rsidP="1933AE28" w:rsidRDefault="190B36D6" w14:paraId="183F5C96" w14:textId="35D185DE">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Ali, B.J. and Anwar, G., 2021. An empirical study of employees’ motivation and its influence job satisfaction. </w:t>
      </w:r>
      <w:r w:rsidRPr="1933AE28" w:rsidR="190B36D6">
        <w:rPr>
          <w:rFonts w:ascii="Arial" w:hAnsi="Arial" w:eastAsia="Arial" w:cs="Arial"/>
          <w:i w:val="1"/>
          <w:iCs w:val="1"/>
          <w:noProof w:val="0"/>
          <w:color w:val="222222"/>
          <w:sz w:val="19"/>
          <w:szCs w:val="19"/>
          <w:lang w:val="en-GB"/>
        </w:rPr>
        <w:t>Ali, BJ, &amp; Anwar, G. (2021). An Empirical Study of Employees’ Motivation and its Influence Job Satisfaction. International Journal of Engineering, Business and Management</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5</w:t>
      </w:r>
      <w:r w:rsidRPr="1933AE28" w:rsidR="190B36D6">
        <w:rPr>
          <w:rFonts w:ascii="Arial" w:hAnsi="Arial" w:eastAsia="Arial" w:cs="Arial"/>
          <w:noProof w:val="0"/>
          <w:color w:val="222222"/>
          <w:sz w:val="19"/>
          <w:szCs w:val="19"/>
          <w:lang w:val="en-GB"/>
        </w:rPr>
        <w:t>(2), pp.21-30.</w:t>
      </w:r>
    </w:p>
    <w:p w:rsidR="190B36D6" w:rsidP="1933AE28" w:rsidRDefault="190B36D6" w14:paraId="22362377" w14:textId="425848F8">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Arbale, H. and Mutisya, D.N., 2024. Book Review:" Research Methods for Business Students" by Mark NK Saunders, Philip Lewis, and Adrian Thornhill (Pearson Education, 2019). African Quarterly Social Science Review, 1(2), pp.8-21.</w:t>
      </w:r>
    </w:p>
    <w:p w:rsidR="190B36D6" w:rsidP="1933AE28" w:rsidRDefault="190B36D6" w14:paraId="20480C2D" w14:textId="72C251D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Abbasnejad, T., Behboudi, M.R., Sahelizadegan, F. and Mahmoodi, J., 2017. Strategic performance measurement of employees based on project efficiency and effectiveness. Iranian Journal of Management Studies, 10(1), pp.207-236.</w:t>
      </w:r>
    </w:p>
    <w:p w:rsidR="190B36D6" w:rsidP="1933AE28" w:rsidRDefault="190B36D6" w14:paraId="11F54DF3" w14:textId="138CABE9">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Alshenqeeti, H., 2020. Motivation and Foreign Language Learning: Exploring the Rise of Motivation Strategies in the EFL Classroom. osf.io</w:t>
      </w:r>
    </w:p>
    <w:p w:rsidR="190B36D6" w:rsidP="1933AE28" w:rsidRDefault="190B36D6" w14:paraId="5DD01ADB" w14:textId="2904F703">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Abbasnejad, T., Behboudi, M.R., Sahelizadegan, F. and Mahmoodi, J., 2017. Strategic performance measurement of employees based on project efficiency and effectiveness. Iranian Journal of Management Studies, 10(1), pp.207-236.</w:t>
      </w:r>
    </w:p>
    <w:p w:rsidR="190B36D6" w:rsidP="1933AE28" w:rsidRDefault="190B36D6" w14:paraId="1AB64404" w14:textId="39618342">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Afolashade, I.S., Jimoh, A.M., Raji, N.A., Fowowe-Ogunmilugba, B.J., Oduola, O.Z. and Adewuyi, H.O., 2024. Emotional intelligence, job satisfaction, reward system and organizational commitment among workers. </w:t>
      </w:r>
      <w:r w:rsidRPr="1933AE28" w:rsidR="190B36D6">
        <w:rPr>
          <w:rFonts w:ascii="Arial" w:hAnsi="Arial" w:eastAsia="Arial" w:cs="Arial"/>
          <w:i w:val="1"/>
          <w:iCs w:val="1"/>
          <w:noProof w:val="0"/>
          <w:color w:val="222222"/>
          <w:sz w:val="19"/>
          <w:szCs w:val="19"/>
          <w:lang w:val="en-GB"/>
        </w:rPr>
        <w:t>ASEAN Journal of Economic and Economic Education</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3</w:t>
      </w:r>
      <w:r w:rsidRPr="1933AE28" w:rsidR="190B36D6">
        <w:rPr>
          <w:rFonts w:ascii="Arial" w:hAnsi="Arial" w:eastAsia="Arial" w:cs="Arial"/>
          <w:noProof w:val="0"/>
          <w:color w:val="222222"/>
          <w:sz w:val="19"/>
          <w:szCs w:val="19"/>
          <w:lang w:val="en-GB"/>
        </w:rPr>
        <w:t>(1), pp.45-60.</w:t>
      </w:r>
    </w:p>
    <w:p w:rsidR="190B36D6" w:rsidP="1933AE28" w:rsidRDefault="190B36D6" w14:paraId="587B1D40" w14:textId="120276C7">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Anderson, D., Nashon, S.M. and Thomas, G.P., 2009. Evolution of research methods for probing and understanding metacognition. </w:t>
      </w:r>
      <w:r w:rsidRPr="1933AE28" w:rsidR="190B36D6">
        <w:rPr>
          <w:rFonts w:ascii="Arial" w:hAnsi="Arial" w:eastAsia="Arial" w:cs="Arial"/>
          <w:i w:val="1"/>
          <w:iCs w:val="1"/>
          <w:noProof w:val="0"/>
          <w:color w:val="222222"/>
          <w:sz w:val="19"/>
          <w:szCs w:val="19"/>
          <w:lang w:val="en-GB"/>
        </w:rPr>
        <w:t>Research in Science Education</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39</w:t>
      </w:r>
      <w:r w:rsidRPr="1933AE28" w:rsidR="190B36D6">
        <w:rPr>
          <w:rFonts w:ascii="Arial" w:hAnsi="Arial" w:eastAsia="Arial" w:cs="Arial"/>
          <w:noProof w:val="0"/>
          <w:color w:val="222222"/>
          <w:sz w:val="19"/>
          <w:szCs w:val="19"/>
          <w:lang w:val="en-GB"/>
        </w:rPr>
        <w:t>, pp.181-195.</w:t>
      </w:r>
    </w:p>
    <w:p w:rsidR="190B36D6" w:rsidP="1933AE28" w:rsidRDefault="190B36D6" w14:paraId="045419C3" w14:textId="0DDCC189">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Abdalla, M.M., Oliveira, L.G.L., Azevedo, C.E.F. and Gonzalez, R.K., 2018. Quality in qualitative organizational research: Types of triangulation as a methodological alternative. </w:t>
      </w:r>
      <w:r w:rsidRPr="1933AE28" w:rsidR="190B36D6">
        <w:rPr>
          <w:rFonts w:ascii="Arial" w:hAnsi="Arial" w:eastAsia="Arial" w:cs="Arial"/>
          <w:i w:val="1"/>
          <w:iCs w:val="1"/>
          <w:noProof w:val="0"/>
          <w:color w:val="222222"/>
          <w:sz w:val="19"/>
          <w:szCs w:val="19"/>
          <w:lang w:val="en-GB"/>
        </w:rPr>
        <w:t>Administração: ensino e pesquisa</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19</w:t>
      </w:r>
      <w:r w:rsidRPr="1933AE28" w:rsidR="190B36D6">
        <w:rPr>
          <w:rFonts w:ascii="Arial" w:hAnsi="Arial" w:eastAsia="Arial" w:cs="Arial"/>
          <w:noProof w:val="0"/>
          <w:color w:val="222222"/>
          <w:sz w:val="19"/>
          <w:szCs w:val="19"/>
          <w:lang w:val="en-GB"/>
        </w:rPr>
        <w:t>(1).</w:t>
      </w:r>
    </w:p>
    <w:p w:rsidR="190B36D6" w:rsidP="1933AE28" w:rsidRDefault="190B36D6" w14:paraId="56FBCE52" w14:textId="23130524">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Afolashade, I.S., Jimoh, A.M., Raji, N.A., Fowowe-Ogunmilugba, B.J., Oduola, O.Z. and Adewuyi, H.O., 2024. Emotional intelligence, job satisfaction, reward system and organizational commitment among workers. </w:t>
      </w:r>
      <w:r w:rsidRPr="1933AE28" w:rsidR="190B36D6">
        <w:rPr>
          <w:rFonts w:ascii="Arial" w:hAnsi="Arial" w:eastAsia="Arial" w:cs="Arial"/>
          <w:i w:val="1"/>
          <w:iCs w:val="1"/>
          <w:noProof w:val="0"/>
          <w:color w:val="222222"/>
          <w:sz w:val="19"/>
          <w:szCs w:val="19"/>
          <w:lang w:val="en-GB"/>
        </w:rPr>
        <w:t>ASEAN Journal of Economic and Economic Education</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3</w:t>
      </w:r>
      <w:r w:rsidRPr="1933AE28" w:rsidR="190B36D6">
        <w:rPr>
          <w:rFonts w:ascii="Arial" w:hAnsi="Arial" w:eastAsia="Arial" w:cs="Arial"/>
          <w:noProof w:val="0"/>
          <w:color w:val="222222"/>
          <w:sz w:val="19"/>
          <w:szCs w:val="19"/>
          <w:lang w:val="en-GB"/>
        </w:rPr>
        <w:t>(1), pp.45-60.</w:t>
      </w:r>
    </w:p>
    <w:p w:rsidR="190B36D6" w:rsidP="1933AE28" w:rsidRDefault="190B36D6" w14:paraId="0DF981DD" w14:textId="60CCECC2">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Afram, J., Manresa, A. and Mas Machuca, M., 2022. The impact of employee empowerment on organisational performance: The mediating role of employee engagement and organisational citizenship behaviour. </w:t>
      </w:r>
      <w:r w:rsidRPr="1933AE28" w:rsidR="190B36D6">
        <w:rPr>
          <w:rFonts w:ascii="Arial" w:hAnsi="Arial" w:eastAsia="Arial" w:cs="Arial"/>
          <w:i w:val="1"/>
          <w:iCs w:val="1"/>
          <w:noProof w:val="0"/>
          <w:color w:val="222222"/>
          <w:sz w:val="19"/>
          <w:szCs w:val="19"/>
          <w:lang w:val="en-GB"/>
        </w:rPr>
        <w:t>Intangible Capital</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18</w:t>
      </w:r>
      <w:r w:rsidRPr="1933AE28" w:rsidR="190B36D6">
        <w:rPr>
          <w:rFonts w:ascii="Arial" w:hAnsi="Arial" w:eastAsia="Arial" w:cs="Arial"/>
          <w:noProof w:val="0"/>
          <w:color w:val="222222"/>
          <w:sz w:val="19"/>
          <w:szCs w:val="19"/>
          <w:lang w:val="en-GB"/>
        </w:rPr>
        <w:t>(1), pp.96-119.</w:t>
      </w:r>
    </w:p>
    <w:p w:rsidR="190B36D6" w:rsidP="1933AE28" w:rsidRDefault="190B36D6" w14:paraId="5EBBE7ED" w14:textId="100016A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Braun, V. and Clarke, V., 2023. Toward good practice in thematic analysis: Avoiding common problems and be (com) ing a knowing researcher. International journal of transgender health, 24(1), pp.1-6.</w:t>
      </w:r>
    </w:p>
    <w:p w:rsidR="190B36D6" w:rsidP="1933AE28" w:rsidRDefault="190B36D6" w14:paraId="1628E1D1" w14:textId="06E79189">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Braun, V. and Clarke, V., 2012. Thematic analysis. American Psychological Association.</w:t>
      </w:r>
    </w:p>
    <w:p w:rsidR="190B36D6" w:rsidP="1933AE28" w:rsidRDefault="190B36D6" w14:paraId="1E034865" w14:textId="142ABDE1">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Braun, V. and Clarke, V., 2006. Using thematic analysis in psychology. Qualitative research in psychology, 3(2), pp.77-101.</w:t>
      </w:r>
    </w:p>
    <w:p w:rsidR="190B36D6" w:rsidP="1933AE28" w:rsidRDefault="190B36D6" w14:paraId="66414733" w14:textId="21C1C4A4">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Bowen,G.A.2005 The Quitative report:vol.10,No2,pp.208-222, January </w:t>
      </w:r>
    </w:p>
    <w:p w:rsidR="190B36D6" w:rsidP="1933AE28" w:rsidRDefault="190B36D6" w14:paraId="0F803A6A" w14:textId="5269770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Bridges, D., 2019. ‘Rigour’,‘discipline’and the ‘systematic’in educational research–and why they matter. </w:t>
      </w:r>
      <w:r w:rsidRPr="1933AE28" w:rsidR="190B36D6">
        <w:rPr>
          <w:rFonts w:ascii="Arial" w:hAnsi="Arial" w:eastAsia="Arial" w:cs="Arial"/>
          <w:i w:val="1"/>
          <w:iCs w:val="1"/>
          <w:noProof w:val="0"/>
          <w:color w:val="222222"/>
          <w:sz w:val="19"/>
          <w:szCs w:val="19"/>
          <w:lang w:val="en-GB"/>
        </w:rPr>
        <w:t>European Educational Research Journal</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18</w:t>
      </w:r>
      <w:r w:rsidRPr="1933AE28" w:rsidR="190B36D6">
        <w:rPr>
          <w:rFonts w:ascii="Arial" w:hAnsi="Arial" w:eastAsia="Arial" w:cs="Arial"/>
          <w:noProof w:val="0"/>
          <w:color w:val="222222"/>
          <w:sz w:val="19"/>
          <w:szCs w:val="19"/>
          <w:lang w:val="en-GB"/>
        </w:rPr>
        <w:t>(5), pp.499-512.</w:t>
      </w:r>
    </w:p>
    <w:p w:rsidR="190B36D6" w:rsidP="1933AE28" w:rsidRDefault="190B36D6" w14:paraId="151D366A" w14:textId="59BACE8B">
      <w:pPr>
        <w:spacing w:before="0" w:beforeAutospacing="off" w:after="160" w:afterAutospacing="off" w:line="257" w:lineRule="auto"/>
      </w:pPr>
      <w:r w:rsidRPr="1933AE28" w:rsidR="190B36D6">
        <w:rPr>
          <w:rFonts w:ascii="Arial" w:hAnsi="Arial" w:eastAsia="Arial" w:cs="Arial"/>
          <w:noProof w:val="0"/>
          <w:sz w:val="19"/>
          <w:szCs w:val="19"/>
          <w:lang w:val="en-GB"/>
        </w:rPr>
        <w:t>Binet, L., Field, p. 2007. Measuring the Right Things: International Journal of Market Research, vol.49, Iss.5</w:t>
      </w:r>
    </w:p>
    <w:p w:rsidR="190B36D6" w:rsidP="1933AE28" w:rsidRDefault="190B36D6" w14:paraId="13682307" w14:textId="778AF985">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Campbell, K.A., Orr, E., Durepos, P., Nguyen, L., Li, L., Whitmore, C., Gehrke, P., Graham, L., and Jack, S.M., 2021. Reflexive thematic analysis for applied qualitative health research. The Qualitative Report, 26(6), pp.2011-2028. semanticscholar.org</w:t>
      </w:r>
    </w:p>
    <w:p w:rsidR="190B36D6" w:rsidP="1933AE28" w:rsidRDefault="190B36D6" w14:paraId="5FFF380F" w14:textId="642D5312">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Castleberry, A. and Nolen, A., 2018. Thematic analysis of qualitative research data: Is it as easy as it sounds. Currents in pharmacy teaching and learning, 10(6), pp.807-815.</w:t>
      </w:r>
    </w:p>
    <w:p w:rsidR="190B36D6" w:rsidP="1933AE28" w:rsidRDefault="190B36D6" w14:paraId="227FA868" w14:textId="5EF97267">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Clark, K.M., 2021. Double loop learning and productive reasoning: Chris Argyris’s contributions to a framework for lifelong learning and inquiry. Midwest Social Sciences Journal, 24(1), p.6.</w:t>
      </w:r>
    </w:p>
    <w:p w:rsidR="190B36D6" w:rsidP="1933AE28" w:rsidRDefault="190B36D6" w14:paraId="2D8441C0" w14:textId="0E29C455">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Climek, M., Henry, R. and Jeong, S., 2024. Integrative literature review on employee turnover antecedents across different generations: commonalities and uniqueness. European Journal of Training and Development, 48(1/2), pp.112-132.</w:t>
      </w:r>
    </w:p>
    <w:p w:rsidR="190B36D6" w:rsidP="1933AE28" w:rsidRDefault="190B36D6" w14:paraId="12F67CA8" w14:textId="07B8BF14">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Collis,J.,Hussey,R.,2009.BusinessResearch,A Practical Guide for Undergradute and Post Graduate Students,London:Palgrave. </w:t>
      </w:r>
    </w:p>
    <w:p w:rsidR="190B36D6" w:rsidP="1933AE28" w:rsidRDefault="190B36D6" w14:paraId="1E6B3C2C" w14:textId="480AD9BA">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Climek, M., Henry, R. and Jeong, S., 2024. Integrative literature review on employee turnover antecedents across different generations: commonalities and uniqueness. </w:t>
      </w:r>
      <w:r w:rsidRPr="1933AE28" w:rsidR="190B36D6">
        <w:rPr>
          <w:rFonts w:ascii="Arial" w:hAnsi="Arial" w:eastAsia="Arial" w:cs="Arial"/>
          <w:i w:val="1"/>
          <w:iCs w:val="1"/>
          <w:noProof w:val="0"/>
          <w:color w:val="222222"/>
          <w:sz w:val="19"/>
          <w:szCs w:val="19"/>
          <w:lang w:val="en-GB"/>
        </w:rPr>
        <w:t>European Journal of Training and Development</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48</w:t>
      </w:r>
      <w:r w:rsidRPr="1933AE28" w:rsidR="190B36D6">
        <w:rPr>
          <w:rFonts w:ascii="Arial" w:hAnsi="Arial" w:eastAsia="Arial" w:cs="Arial"/>
          <w:noProof w:val="0"/>
          <w:color w:val="222222"/>
          <w:sz w:val="19"/>
          <w:szCs w:val="19"/>
          <w:lang w:val="en-GB"/>
        </w:rPr>
        <w:t>(1/2), pp.112-132.</w:t>
      </w:r>
    </w:p>
    <w:p w:rsidR="190B36D6" w:rsidP="1933AE28" w:rsidRDefault="190B36D6" w14:paraId="5FEBD952" w14:textId="3CD380AF">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Cooper, D. and Schindler, P., 2008. Experiments. </w:t>
      </w:r>
      <w:r w:rsidRPr="1933AE28" w:rsidR="190B36D6">
        <w:rPr>
          <w:rFonts w:ascii="Arial" w:hAnsi="Arial" w:eastAsia="Arial" w:cs="Arial"/>
          <w:i w:val="1"/>
          <w:iCs w:val="1"/>
          <w:noProof w:val="0"/>
          <w:color w:val="222222"/>
          <w:sz w:val="19"/>
          <w:szCs w:val="19"/>
          <w:lang w:val="en-GB"/>
        </w:rPr>
        <w:t>Business research methods</w:t>
      </w:r>
      <w:r w:rsidRPr="1933AE28" w:rsidR="190B36D6">
        <w:rPr>
          <w:rFonts w:ascii="Arial" w:hAnsi="Arial" w:eastAsia="Arial" w:cs="Arial"/>
          <w:noProof w:val="0"/>
          <w:color w:val="222222"/>
          <w:sz w:val="19"/>
          <w:szCs w:val="19"/>
          <w:lang w:val="en-GB"/>
        </w:rPr>
        <w:t>, pp.242-265.</w:t>
      </w:r>
    </w:p>
    <w:p w:rsidR="190B36D6" w:rsidP="1933AE28" w:rsidRDefault="190B36D6" w14:paraId="179777B7" w14:textId="706F531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Cohen, L., Manion, L. and Morrison, K., 2017. Validity and reliability. In </w:t>
      </w:r>
      <w:r w:rsidRPr="1933AE28" w:rsidR="190B36D6">
        <w:rPr>
          <w:rFonts w:ascii="Arial" w:hAnsi="Arial" w:eastAsia="Arial" w:cs="Arial"/>
          <w:i w:val="1"/>
          <w:iCs w:val="1"/>
          <w:noProof w:val="0"/>
          <w:color w:val="222222"/>
          <w:sz w:val="19"/>
          <w:szCs w:val="19"/>
          <w:lang w:val="en-GB"/>
        </w:rPr>
        <w:t>Research methods in education</w:t>
      </w:r>
      <w:r w:rsidRPr="1933AE28" w:rsidR="190B36D6">
        <w:rPr>
          <w:rFonts w:ascii="Arial" w:hAnsi="Arial" w:eastAsia="Arial" w:cs="Arial"/>
          <w:noProof w:val="0"/>
          <w:color w:val="222222"/>
          <w:sz w:val="19"/>
          <w:szCs w:val="19"/>
          <w:lang w:val="en-GB"/>
        </w:rPr>
        <w:t xml:space="preserve"> (pp. 245-284). Routledge.</w:t>
      </w:r>
    </w:p>
    <w:p w:rsidR="190B36D6" w:rsidP="1933AE28" w:rsidRDefault="190B36D6" w14:paraId="1DB11C91" w14:textId="7AC2C56F">
      <w:pPr>
        <w:spacing w:before="0" w:beforeAutospacing="off" w:after="160" w:afterAutospacing="off" w:line="257" w:lineRule="auto"/>
      </w:pPr>
      <w:r w:rsidRPr="1933AE28" w:rsidR="190B36D6">
        <w:rPr>
          <w:rFonts w:ascii="Arial" w:hAnsi="Arial" w:eastAsia="Arial" w:cs="Arial"/>
          <w:noProof w:val="0"/>
          <w:sz w:val="19"/>
          <w:szCs w:val="19"/>
          <w:lang w:val="en-GB"/>
        </w:rPr>
        <w:t>Chenail, R.J., 2011. Interviewing the investigator: Strategies for addressing instrumentation and researcher bias concerns in qualitative research. Qualitative report, 16(1), pp.255-262.</w:t>
      </w:r>
    </w:p>
    <w:p w:rsidR="190B36D6" w:rsidP="1933AE28" w:rsidRDefault="190B36D6" w14:paraId="7AB07AAA" w14:textId="263283EE">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Crawford, J. and Cifuentes-Faura, J., 2022. Sustainability in higher education during the COVID-19 pandemic: A systematic review. </w:t>
      </w:r>
      <w:r w:rsidRPr="1933AE28" w:rsidR="190B36D6">
        <w:rPr>
          <w:rFonts w:ascii="Arial" w:hAnsi="Arial" w:eastAsia="Arial" w:cs="Arial"/>
          <w:i w:val="1"/>
          <w:iCs w:val="1"/>
          <w:noProof w:val="0"/>
          <w:color w:val="222222"/>
          <w:sz w:val="19"/>
          <w:szCs w:val="19"/>
          <w:lang w:val="en-GB"/>
        </w:rPr>
        <w:t>Sustainability</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14</w:t>
      </w:r>
      <w:r w:rsidRPr="1933AE28" w:rsidR="190B36D6">
        <w:rPr>
          <w:rFonts w:ascii="Arial" w:hAnsi="Arial" w:eastAsia="Arial" w:cs="Arial"/>
          <w:noProof w:val="0"/>
          <w:color w:val="222222"/>
          <w:sz w:val="19"/>
          <w:szCs w:val="19"/>
          <w:lang w:val="en-GB"/>
        </w:rPr>
        <w:t>(3), p.1879.</w:t>
      </w:r>
    </w:p>
    <w:p w:rsidR="190B36D6" w:rsidP="1933AE28" w:rsidRDefault="190B36D6" w14:paraId="3697C9B1" w14:textId="7257CA0B">
      <w:pPr>
        <w:spacing w:before="0" w:beforeAutospacing="off" w:after="160" w:afterAutospacing="off" w:line="257" w:lineRule="auto"/>
      </w:pPr>
      <w:r w:rsidRPr="1933AE28" w:rsidR="190B36D6">
        <w:rPr>
          <w:rFonts w:ascii="Arial" w:hAnsi="Arial" w:eastAsia="Arial" w:cs="Arial"/>
          <w:noProof w:val="0"/>
          <w:sz w:val="19"/>
          <w:szCs w:val="19"/>
          <w:lang w:val="en-GB"/>
        </w:rPr>
        <w:t xml:space="preserve">Chua, L. C. (2007). The relationship of professional support and commitment to the teaching profession. </w:t>
      </w:r>
      <w:hyperlink r:id="R53c19451d8d34e76">
        <w:r w:rsidRPr="1933AE28" w:rsidR="190B36D6">
          <w:rPr>
            <w:rStyle w:val="Hyperlink"/>
            <w:rFonts w:ascii="Arial" w:hAnsi="Arial" w:eastAsia="Arial" w:cs="Arial"/>
            <w:noProof w:val="0"/>
            <w:sz w:val="19"/>
            <w:szCs w:val="19"/>
            <w:lang w:val="en-GB"/>
          </w:rPr>
          <w:t>https://core.ac.uk/download/12117158.pdf</w:t>
        </w:r>
      </w:hyperlink>
    </w:p>
    <w:p w:rsidR="190B36D6" w:rsidP="1933AE28" w:rsidRDefault="190B36D6" w14:paraId="737CF124" w14:textId="4FC2937C">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De Paoli, S., 2024. Performing an inductive thematic analysis of semi-structured interviews with a large language model: An exploration and provocation on the limits of the approach. </w:t>
      </w:r>
      <w:r w:rsidRPr="1933AE28" w:rsidR="190B36D6">
        <w:rPr>
          <w:rFonts w:ascii="Arial" w:hAnsi="Arial" w:eastAsia="Arial" w:cs="Arial"/>
          <w:i w:val="1"/>
          <w:iCs w:val="1"/>
          <w:noProof w:val="0"/>
          <w:color w:val="222222"/>
          <w:sz w:val="19"/>
          <w:szCs w:val="19"/>
          <w:lang w:val="en-GB"/>
        </w:rPr>
        <w:t>Social Science Computer Review</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42</w:t>
      </w:r>
      <w:r w:rsidRPr="1933AE28" w:rsidR="190B36D6">
        <w:rPr>
          <w:rFonts w:ascii="Arial" w:hAnsi="Arial" w:eastAsia="Arial" w:cs="Arial"/>
          <w:noProof w:val="0"/>
          <w:color w:val="222222"/>
          <w:sz w:val="19"/>
          <w:szCs w:val="19"/>
          <w:lang w:val="en-GB"/>
        </w:rPr>
        <w:t>(4), pp.997-1019.</w:t>
      </w:r>
    </w:p>
    <w:p w:rsidR="190B36D6" w:rsidP="1933AE28" w:rsidRDefault="190B36D6" w14:paraId="74276EF9" w14:textId="32A8EED6">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Dubord, M.G. and Forest, J., 2023. Focusing on strengths or weaknesses? Using self-determination theory to explain why a strengths-based approach has more impact on optimal functioning than deficit correction. </w:t>
      </w:r>
      <w:r w:rsidRPr="1933AE28" w:rsidR="190B36D6">
        <w:rPr>
          <w:rFonts w:ascii="Arial" w:hAnsi="Arial" w:eastAsia="Arial" w:cs="Arial"/>
          <w:i w:val="1"/>
          <w:iCs w:val="1"/>
          <w:noProof w:val="0"/>
          <w:color w:val="222222"/>
          <w:sz w:val="19"/>
          <w:szCs w:val="19"/>
          <w:lang w:val="en-GB"/>
        </w:rPr>
        <w:t>International Journal of Applied Positive Psychology</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8</w:t>
      </w:r>
      <w:r w:rsidRPr="1933AE28" w:rsidR="190B36D6">
        <w:rPr>
          <w:rFonts w:ascii="Arial" w:hAnsi="Arial" w:eastAsia="Arial" w:cs="Arial"/>
          <w:noProof w:val="0"/>
          <w:color w:val="222222"/>
          <w:sz w:val="19"/>
          <w:szCs w:val="19"/>
          <w:lang w:val="en-GB"/>
        </w:rPr>
        <w:t>(1), pp.87-113.</w:t>
      </w:r>
    </w:p>
    <w:p w:rsidR="190B36D6" w:rsidP="1933AE28" w:rsidRDefault="190B36D6" w14:paraId="5EB7EA8C" w14:textId="1F6695C1">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Fitzpatrick, J.M., Bianchi, L.A., Hayes, N., Da Silva, T. and Harris, R., 2023. Professional development and career planning for nurses working in care homes for older people: A scoping review. </w:t>
      </w:r>
      <w:r w:rsidRPr="1933AE28" w:rsidR="190B36D6">
        <w:rPr>
          <w:rFonts w:ascii="Arial" w:hAnsi="Arial" w:eastAsia="Arial" w:cs="Arial"/>
          <w:i w:val="1"/>
          <w:iCs w:val="1"/>
          <w:noProof w:val="0"/>
          <w:color w:val="222222"/>
          <w:sz w:val="19"/>
          <w:szCs w:val="19"/>
          <w:lang w:val="en-GB"/>
        </w:rPr>
        <w:t>International journal of older people nursing</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18</w:t>
      </w:r>
      <w:r w:rsidRPr="1933AE28" w:rsidR="190B36D6">
        <w:rPr>
          <w:rFonts w:ascii="Arial" w:hAnsi="Arial" w:eastAsia="Arial" w:cs="Arial"/>
          <w:noProof w:val="0"/>
          <w:color w:val="222222"/>
          <w:sz w:val="19"/>
          <w:szCs w:val="19"/>
          <w:lang w:val="en-GB"/>
        </w:rPr>
        <w:t>(1), p.e12519.</w:t>
      </w:r>
    </w:p>
    <w:p w:rsidR="190B36D6" w:rsidP="1933AE28" w:rsidRDefault="190B36D6" w14:paraId="78EE1281" w14:textId="0ECBBC5B">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Frima, M. and Ardiyanti, N., 2022. Transparent communication, transformational leadership, public sector employees' openness to change, and the role of anxiety as mediator. In </w:t>
      </w:r>
      <w:r w:rsidRPr="1933AE28" w:rsidR="190B36D6">
        <w:rPr>
          <w:rFonts w:ascii="Arial" w:hAnsi="Arial" w:eastAsia="Arial" w:cs="Arial"/>
          <w:i w:val="1"/>
          <w:iCs w:val="1"/>
          <w:noProof w:val="0"/>
          <w:color w:val="222222"/>
          <w:sz w:val="19"/>
          <w:szCs w:val="19"/>
          <w:lang w:val="en-GB"/>
        </w:rPr>
        <w:t>Contemporary Research on Management and Business</w:t>
      </w:r>
      <w:r w:rsidRPr="1933AE28" w:rsidR="190B36D6">
        <w:rPr>
          <w:rFonts w:ascii="Arial" w:hAnsi="Arial" w:eastAsia="Arial" w:cs="Arial"/>
          <w:noProof w:val="0"/>
          <w:color w:val="222222"/>
          <w:sz w:val="19"/>
          <w:szCs w:val="19"/>
          <w:lang w:val="en-GB"/>
        </w:rPr>
        <w:t xml:space="preserve"> (pp. 156-159). CRC Press.</w:t>
      </w:r>
    </w:p>
    <w:p w:rsidR="190B36D6" w:rsidP="1933AE28" w:rsidRDefault="190B36D6" w14:paraId="691C1B5E" w14:textId="035010E3">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Guzeller, C.O. and Celiker, N., 2020. Examining the relationship between organizational commitment and turnover intention via a meta-analysis. </w:t>
      </w:r>
      <w:r w:rsidRPr="1933AE28" w:rsidR="190B36D6">
        <w:rPr>
          <w:rFonts w:ascii="Arial" w:hAnsi="Arial" w:eastAsia="Arial" w:cs="Arial"/>
          <w:i w:val="1"/>
          <w:iCs w:val="1"/>
          <w:noProof w:val="0"/>
          <w:color w:val="222222"/>
          <w:sz w:val="19"/>
          <w:szCs w:val="19"/>
          <w:lang w:val="en-GB"/>
        </w:rPr>
        <w:t>International Journal of Culture, Tourism and Hospitality Research</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14</w:t>
      </w:r>
      <w:r w:rsidRPr="1933AE28" w:rsidR="190B36D6">
        <w:rPr>
          <w:rFonts w:ascii="Arial" w:hAnsi="Arial" w:eastAsia="Arial" w:cs="Arial"/>
          <w:noProof w:val="0"/>
          <w:color w:val="222222"/>
          <w:sz w:val="19"/>
          <w:szCs w:val="19"/>
          <w:lang w:val="en-GB"/>
        </w:rPr>
        <w:t>(1), pp.102-120.</w:t>
      </w:r>
    </w:p>
    <w:p w:rsidR="190B36D6" w:rsidP="1933AE28" w:rsidRDefault="190B36D6" w14:paraId="1919ABAA" w14:textId="26772C8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Guzeller, C.O. and Celiker, N., 2020. Examining the relationship between organizational commitment and turnover intention via a meta-analysis. </w:t>
      </w:r>
      <w:r w:rsidRPr="1933AE28" w:rsidR="190B36D6">
        <w:rPr>
          <w:rFonts w:ascii="Arial" w:hAnsi="Arial" w:eastAsia="Arial" w:cs="Arial"/>
          <w:i w:val="1"/>
          <w:iCs w:val="1"/>
          <w:noProof w:val="0"/>
          <w:color w:val="222222"/>
          <w:sz w:val="19"/>
          <w:szCs w:val="19"/>
          <w:lang w:val="en-GB"/>
        </w:rPr>
        <w:t>International Journal of Culture, Tourism and Hospitality Research</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14</w:t>
      </w:r>
      <w:r w:rsidRPr="1933AE28" w:rsidR="190B36D6">
        <w:rPr>
          <w:rFonts w:ascii="Arial" w:hAnsi="Arial" w:eastAsia="Arial" w:cs="Arial"/>
          <w:noProof w:val="0"/>
          <w:color w:val="222222"/>
          <w:sz w:val="19"/>
          <w:szCs w:val="19"/>
          <w:lang w:val="en-GB"/>
        </w:rPr>
        <w:t>(1), pp.102-120.</w:t>
      </w:r>
    </w:p>
    <w:p w:rsidR="190B36D6" w:rsidP="1933AE28" w:rsidRDefault="190B36D6" w14:paraId="53D3B18C" w14:textId="46FD74B7">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Gerhardt, T. and Karsan, S., 2022. Talent management in private universities: the case of a private university in the United Kingdom. </w:t>
      </w:r>
      <w:r w:rsidRPr="1933AE28" w:rsidR="190B36D6">
        <w:rPr>
          <w:rFonts w:ascii="Arial" w:hAnsi="Arial" w:eastAsia="Arial" w:cs="Arial"/>
          <w:i w:val="1"/>
          <w:iCs w:val="1"/>
          <w:noProof w:val="0"/>
          <w:color w:val="222222"/>
          <w:sz w:val="19"/>
          <w:szCs w:val="19"/>
          <w:lang w:val="en-GB"/>
        </w:rPr>
        <w:t>International Journal of Educational Management</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36</w:t>
      </w:r>
      <w:r w:rsidRPr="1933AE28" w:rsidR="190B36D6">
        <w:rPr>
          <w:rFonts w:ascii="Arial" w:hAnsi="Arial" w:eastAsia="Arial" w:cs="Arial"/>
          <w:noProof w:val="0"/>
          <w:color w:val="222222"/>
          <w:sz w:val="19"/>
          <w:szCs w:val="19"/>
          <w:lang w:val="en-GB"/>
        </w:rPr>
        <w:t>(4), pp.552-575.</w:t>
      </w:r>
    </w:p>
    <w:p w:rsidR="190B36D6" w:rsidP="1933AE28" w:rsidRDefault="190B36D6" w14:paraId="7D163C87" w14:textId="1EA85244">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Gupta, A., 2024. Codes and Coding. In </w:t>
      </w:r>
      <w:r w:rsidRPr="1933AE28" w:rsidR="190B36D6">
        <w:rPr>
          <w:rFonts w:ascii="Arial" w:hAnsi="Arial" w:eastAsia="Arial" w:cs="Arial"/>
          <w:i w:val="1"/>
          <w:iCs w:val="1"/>
          <w:noProof w:val="0"/>
          <w:color w:val="222222"/>
          <w:sz w:val="19"/>
          <w:szCs w:val="19"/>
          <w:lang w:val="en-GB"/>
        </w:rPr>
        <w:t>Qualitative Methods and Data Analysis Using ATLAS. ti: A Comprehensive Researchers’ Manual</w:t>
      </w:r>
      <w:r w:rsidRPr="1933AE28" w:rsidR="190B36D6">
        <w:rPr>
          <w:rFonts w:ascii="Arial" w:hAnsi="Arial" w:eastAsia="Arial" w:cs="Arial"/>
          <w:noProof w:val="0"/>
          <w:color w:val="222222"/>
          <w:sz w:val="19"/>
          <w:szCs w:val="19"/>
          <w:lang w:val="en-GB"/>
        </w:rPr>
        <w:t xml:space="preserve"> (pp. 99-125). Cham: Springer International Publishing.</w:t>
      </w:r>
    </w:p>
    <w:p w:rsidR="190B36D6" w:rsidP="1933AE28" w:rsidRDefault="190B36D6" w14:paraId="4ADF2ADF" w14:textId="1312FA07">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Guay, F., 2022. Applying self-determination theory to education: Regulations types, psychological needs, and autonomy supporting behaviors. </w:t>
      </w:r>
      <w:r w:rsidRPr="1933AE28" w:rsidR="190B36D6">
        <w:rPr>
          <w:rFonts w:ascii="Arial" w:hAnsi="Arial" w:eastAsia="Arial" w:cs="Arial"/>
          <w:i w:val="1"/>
          <w:iCs w:val="1"/>
          <w:noProof w:val="0"/>
          <w:color w:val="222222"/>
          <w:sz w:val="19"/>
          <w:szCs w:val="19"/>
          <w:lang w:val="en-GB"/>
        </w:rPr>
        <w:t>Canadian Journal of School Psychology</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37</w:t>
      </w:r>
      <w:r w:rsidRPr="1933AE28" w:rsidR="190B36D6">
        <w:rPr>
          <w:rFonts w:ascii="Arial" w:hAnsi="Arial" w:eastAsia="Arial" w:cs="Arial"/>
          <w:noProof w:val="0"/>
          <w:color w:val="222222"/>
          <w:sz w:val="19"/>
          <w:szCs w:val="19"/>
          <w:lang w:val="en-GB"/>
        </w:rPr>
        <w:t>(1), pp.75-92.</w:t>
      </w:r>
    </w:p>
    <w:p w:rsidR="190B36D6" w:rsidP="1933AE28" w:rsidRDefault="190B36D6" w14:paraId="4079C7D9" w14:textId="2590AE53">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Hentschke, G.C., Lechuga, V.M. and Tierney, W.G. eds., 2023. </w:t>
      </w:r>
      <w:r w:rsidRPr="1933AE28" w:rsidR="190B36D6">
        <w:rPr>
          <w:rFonts w:ascii="Arial" w:hAnsi="Arial" w:eastAsia="Arial" w:cs="Arial"/>
          <w:i w:val="1"/>
          <w:iCs w:val="1"/>
          <w:noProof w:val="0"/>
          <w:color w:val="222222"/>
          <w:sz w:val="19"/>
          <w:szCs w:val="19"/>
          <w:lang w:val="en-GB"/>
        </w:rPr>
        <w:t>For-profit colleges and universities: Their markets, regulation, performance, and place in higher education</w:t>
      </w:r>
      <w:r w:rsidRPr="1933AE28" w:rsidR="190B36D6">
        <w:rPr>
          <w:rFonts w:ascii="Arial" w:hAnsi="Arial" w:eastAsia="Arial" w:cs="Arial"/>
          <w:noProof w:val="0"/>
          <w:color w:val="222222"/>
          <w:sz w:val="19"/>
          <w:szCs w:val="19"/>
          <w:lang w:val="en-GB"/>
        </w:rPr>
        <w:t>. Taylor &amp; Francis.</w:t>
      </w:r>
    </w:p>
    <w:p w:rsidR="190B36D6" w:rsidP="1933AE28" w:rsidRDefault="190B36D6" w14:paraId="097B303D" w14:textId="788B0087">
      <w:pPr>
        <w:spacing w:before="240" w:beforeAutospacing="off" w:after="240" w:afterAutospacing="off" w:line="257" w:lineRule="auto"/>
      </w:pPr>
      <w:r w:rsidRPr="1933AE28" w:rsidR="190B36D6">
        <w:rPr>
          <w:rFonts w:ascii="Arial" w:hAnsi="Arial" w:eastAsia="Arial" w:cs="Arial"/>
          <w:noProof w:val="0"/>
          <w:sz w:val="19"/>
          <w:szCs w:val="19"/>
          <w:lang w:val="en-GB"/>
        </w:rPr>
        <w:t xml:space="preserve">Hassan, A. S., Mohamed, F. R., &amp; Taylor, G. (2006). Affective Commitment and Intent to Quit: The Impact of Work and Non-work Related Issues. Journal of Managerial Issues. </w:t>
      </w:r>
      <w:hyperlink r:id="Rcba8d0adef7b474f">
        <w:r w:rsidRPr="1933AE28" w:rsidR="190B36D6">
          <w:rPr>
            <w:rStyle w:val="Hyperlink"/>
            <w:rFonts w:ascii="Arial" w:hAnsi="Arial" w:eastAsia="Arial" w:cs="Arial"/>
            <w:strike w:val="0"/>
            <w:dstrike w:val="0"/>
            <w:noProof w:val="0"/>
            <w:color w:val="467886"/>
            <w:sz w:val="19"/>
            <w:szCs w:val="19"/>
            <w:u w:val="single"/>
            <w:lang w:val="en-GB"/>
          </w:rPr>
          <w:t>https://scholarworks.moreheadstate.edu/msu_faculty_research/485/</w:t>
        </w:r>
      </w:hyperlink>
    </w:p>
    <w:p w:rsidR="190B36D6" w:rsidP="1933AE28" w:rsidRDefault="190B36D6" w14:paraId="6D8CA230" w14:textId="453D7EC7">
      <w:pPr>
        <w:spacing w:before="240" w:beforeAutospacing="off" w:after="240" w:afterAutospacing="off" w:line="257" w:lineRule="auto"/>
      </w:pPr>
      <w:r w:rsidRPr="1933AE28" w:rsidR="190B36D6">
        <w:rPr>
          <w:rFonts w:ascii="Arial" w:hAnsi="Arial" w:eastAsia="Arial" w:cs="Arial"/>
          <w:noProof w:val="0"/>
          <w:color w:val="222222"/>
          <w:sz w:val="19"/>
          <w:szCs w:val="19"/>
          <w:lang w:val="en-GB"/>
        </w:rPr>
        <w:t xml:space="preserve">Jiang, H. and Shen, H., 2023. Toward a relational theory of employee engagement: Understanding authenticity, transparency, and employee behaviors. </w:t>
      </w:r>
      <w:r w:rsidRPr="1933AE28" w:rsidR="190B36D6">
        <w:rPr>
          <w:rFonts w:ascii="Arial" w:hAnsi="Arial" w:eastAsia="Arial" w:cs="Arial"/>
          <w:i w:val="1"/>
          <w:iCs w:val="1"/>
          <w:noProof w:val="0"/>
          <w:color w:val="222222"/>
          <w:sz w:val="19"/>
          <w:szCs w:val="19"/>
          <w:lang w:val="en-GB"/>
        </w:rPr>
        <w:t>International Journal of Business Communication</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60</w:t>
      </w:r>
      <w:r w:rsidRPr="1933AE28" w:rsidR="190B36D6">
        <w:rPr>
          <w:rFonts w:ascii="Arial" w:hAnsi="Arial" w:eastAsia="Arial" w:cs="Arial"/>
          <w:noProof w:val="0"/>
          <w:color w:val="222222"/>
          <w:sz w:val="19"/>
          <w:szCs w:val="19"/>
          <w:lang w:val="en-GB"/>
        </w:rPr>
        <w:t>(3), pp.948-975.</w:t>
      </w:r>
    </w:p>
    <w:p w:rsidR="190B36D6" w:rsidP="1933AE28" w:rsidRDefault="190B36D6" w14:paraId="39265314" w14:textId="39990F45">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Kuswati, Y., 2020. The effect of motivation on employee performance. </w:t>
      </w:r>
      <w:r w:rsidRPr="1933AE28" w:rsidR="190B36D6">
        <w:rPr>
          <w:rFonts w:ascii="Arial" w:hAnsi="Arial" w:eastAsia="Arial" w:cs="Arial"/>
          <w:i w:val="1"/>
          <w:iCs w:val="1"/>
          <w:noProof w:val="0"/>
          <w:color w:val="222222"/>
          <w:sz w:val="19"/>
          <w:szCs w:val="19"/>
          <w:lang w:val="en-GB"/>
        </w:rPr>
        <w:t>Budapest International Research and Critics Institute-Journal (BIRCI-Journal)</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3</w:t>
      </w:r>
      <w:r w:rsidRPr="1933AE28" w:rsidR="190B36D6">
        <w:rPr>
          <w:rFonts w:ascii="Arial" w:hAnsi="Arial" w:eastAsia="Arial" w:cs="Arial"/>
          <w:noProof w:val="0"/>
          <w:color w:val="222222"/>
          <w:sz w:val="19"/>
          <w:szCs w:val="19"/>
          <w:lang w:val="en-GB"/>
        </w:rPr>
        <w:t>(2), pp.995-1002.</w:t>
      </w:r>
    </w:p>
    <w:p w:rsidR="190B36D6" w:rsidP="1933AE28" w:rsidRDefault="190B36D6" w14:paraId="3BCF2F37" w14:textId="68A8B044">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Kung, J.Y., Fraser, K.L. and Winn, D., 2020. Diversity initiatives to recruit and keep academic librarians: A systematic review. </w:t>
      </w:r>
      <w:r w:rsidRPr="1933AE28" w:rsidR="190B36D6">
        <w:rPr>
          <w:rFonts w:ascii="Arial" w:hAnsi="Arial" w:eastAsia="Arial" w:cs="Arial"/>
          <w:i w:val="1"/>
          <w:iCs w:val="1"/>
          <w:noProof w:val="0"/>
          <w:color w:val="222222"/>
          <w:sz w:val="19"/>
          <w:szCs w:val="19"/>
          <w:lang w:val="en-GB"/>
        </w:rPr>
        <w:t>College &amp; Research Libraries</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81</w:t>
      </w:r>
      <w:r w:rsidRPr="1933AE28" w:rsidR="190B36D6">
        <w:rPr>
          <w:rFonts w:ascii="Arial" w:hAnsi="Arial" w:eastAsia="Arial" w:cs="Arial"/>
          <w:noProof w:val="0"/>
          <w:color w:val="222222"/>
          <w:sz w:val="19"/>
          <w:szCs w:val="19"/>
          <w:lang w:val="en-GB"/>
        </w:rPr>
        <w:t>(1), p.96.</w:t>
      </w:r>
    </w:p>
    <w:p w:rsidR="190B36D6" w:rsidP="1933AE28" w:rsidRDefault="190B36D6" w14:paraId="5B2519DF" w14:textId="75D315B0">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Kolade, O. and Owoseni, A., 2022. Employment 5.0: The work of the future and the future of work. </w:t>
      </w:r>
      <w:r w:rsidRPr="1933AE28" w:rsidR="190B36D6">
        <w:rPr>
          <w:rFonts w:ascii="Arial" w:hAnsi="Arial" w:eastAsia="Arial" w:cs="Arial"/>
          <w:i w:val="1"/>
          <w:iCs w:val="1"/>
          <w:noProof w:val="0"/>
          <w:color w:val="222222"/>
          <w:sz w:val="19"/>
          <w:szCs w:val="19"/>
          <w:lang w:val="en-GB"/>
        </w:rPr>
        <w:t>Technology in Society</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71</w:t>
      </w:r>
      <w:r w:rsidRPr="1933AE28" w:rsidR="190B36D6">
        <w:rPr>
          <w:rFonts w:ascii="Arial" w:hAnsi="Arial" w:eastAsia="Arial" w:cs="Arial"/>
          <w:noProof w:val="0"/>
          <w:color w:val="222222"/>
          <w:sz w:val="19"/>
          <w:szCs w:val="19"/>
          <w:lang w:val="en-GB"/>
        </w:rPr>
        <w:t>, p.102086.</w:t>
      </w:r>
    </w:p>
    <w:p w:rsidR="190B36D6" w:rsidP="1933AE28" w:rsidRDefault="190B36D6" w14:paraId="2B8FE9F7" w14:textId="5142E59C">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Meyer, J.P., Stanley, L.J. and Parfyonova, N.M., 2012. Employee commitment in context: The nature and implication of commitment profiles. </w:t>
      </w:r>
      <w:r w:rsidRPr="1933AE28" w:rsidR="190B36D6">
        <w:rPr>
          <w:rFonts w:ascii="Arial" w:hAnsi="Arial" w:eastAsia="Arial" w:cs="Arial"/>
          <w:i w:val="1"/>
          <w:iCs w:val="1"/>
          <w:noProof w:val="0"/>
          <w:color w:val="222222"/>
          <w:sz w:val="19"/>
          <w:szCs w:val="19"/>
          <w:lang w:val="en-GB"/>
        </w:rPr>
        <w:t>Journal of vocational behavior</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80</w:t>
      </w:r>
      <w:r w:rsidRPr="1933AE28" w:rsidR="190B36D6">
        <w:rPr>
          <w:rFonts w:ascii="Arial" w:hAnsi="Arial" w:eastAsia="Arial" w:cs="Arial"/>
          <w:noProof w:val="0"/>
          <w:color w:val="222222"/>
          <w:sz w:val="19"/>
          <w:szCs w:val="19"/>
          <w:lang w:val="en-GB"/>
        </w:rPr>
        <w:t>(1), pp.1-16.</w:t>
      </w:r>
    </w:p>
    <w:p w:rsidR="190B36D6" w:rsidP="1933AE28" w:rsidRDefault="190B36D6" w14:paraId="72DFAD39" w14:textId="3D97CBA2">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Nguyen, T.D. and Springer, M.G., 2023. A conceptual framework of teacher turnover: a systematic review of the empirical international literature and insights from the employee turnover literature. </w:t>
      </w:r>
      <w:r w:rsidRPr="1933AE28" w:rsidR="190B36D6">
        <w:rPr>
          <w:rFonts w:ascii="Arial" w:hAnsi="Arial" w:eastAsia="Arial" w:cs="Arial"/>
          <w:i w:val="1"/>
          <w:iCs w:val="1"/>
          <w:noProof w:val="0"/>
          <w:color w:val="222222"/>
          <w:sz w:val="19"/>
          <w:szCs w:val="19"/>
          <w:lang w:val="en-GB"/>
        </w:rPr>
        <w:t>Educational Review</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75</w:t>
      </w:r>
      <w:r w:rsidRPr="1933AE28" w:rsidR="190B36D6">
        <w:rPr>
          <w:rFonts w:ascii="Arial" w:hAnsi="Arial" w:eastAsia="Arial" w:cs="Arial"/>
          <w:noProof w:val="0"/>
          <w:color w:val="222222"/>
          <w:sz w:val="19"/>
          <w:szCs w:val="19"/>
          <w:lang w:val="en-GB"/>
        </w:rPr>
        <w:t>(5), pp.993-1028.</w:t>
      </w:r>
    </w:p>
    <w:p w:rsidR="190B36D6" w:rsidP="1933AE28" w:rsidRDefault="190B36D6" w14:paraId="5455260A" w14:textId="14A0B9AF">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Panwar, M., 2020. Universities and community engagement: Ideas, challenges, and opportunities. </w:t>
      </w:r>
      <w:r w:rsidRPr="1933AE28" w:rsidR="190B36D6">
        <w:rPr>
          <w:rFonts w:ascii="Arial" w:hAnsi="Arial" w:eastAsia="Arial" w:cs="Arial"/>
          <w:i w:val="1"/>
          <w:iCs w:val="1"/>
          <w:noProof w:val="0"/>
          <w:color w:val="222222"/>
          <w:sz w:val="19"/>
          <w:szCs w:val="19"/>
          <w:lang w:val="en-GB"/>
        </w:rPr>
        <w:t>Perspectives in Social Work, XXXV</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w:t>
      </w:r>
      <w:r w:rsidRPr="1933AE28" w:rsidR="190B36D6">
        <w:rPr>
          <w:rFonts w:ascii="Arial" w:hAnsi="Arial" w:eastAsia="Arial" w:cs="Arial"/>
          <w:noProof w:val="0"/>
          <w:color w:val="222222"/>
          <w:sz w:val="19"/>
          <w:szCs w:val="19"/>
          <w:lang w:val="en-GB"/>
        </w:rPr>
        <w:t>(1), pp.37-53.</w:t>
      </w:r>
    </w:p>
    <w:p w:rsidR="190B36D6" w:rsidP="1933AE28" w:rsidRDefault="190B36D6" w14:paraId="6FA14711" w14:textId="111603B8">
      <w:pPr>
        <w:spacing w:before="240" w:beforeAutospacing="off" w:after="240" w:afterAutospacing="off" w:line="257" w:lineRule="auto"/>
      </w:pPr>
      <w:r w:rsidRPr="1933AE28" w:rsidR="190B36D6">
        <w:rPr>
          <w:rFonts w:ascii="Arial" w:hAnsi="Arial" w:eastAsia="Arial" w:cs="Arial"/>
          <w:noProof w:val="0"/>
          <w:sz w:val="19"/>
          <w:szCs w:val="19"/>
          <w:lang w:val="en-GB"/>
        </w:rPr>
        <w:t>Park, J. (2023). The Role of Organizational Efforts in Mitigating the Adverse Effects of Workplace Mistreatment on Attitudinal Responses. Sustainability, 15(3), 1800.</w:t>
      </w:r>
    </w:p>
    <w:p w:rsidR="190B36D6" w:rsidP="1933AE28" w:rsidRDefault="190B36D6" w14:paraId="55944667" w14:textId="1775182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Richardson, B., Khan, M.Q., Brown, S.A., Watt, K.D. and Izzy, M., 2022. Personalizing diabetes management in liver transplant recipients: the new era for optimizing risk management. </w:t>
      </w:r>
      <w:r w:rsidRPr="1933AE28" w:rsidR="190B36D6">
        <w:rPr>
          <w:rFonts w:ascii="Arial" w:hAnsi="Arial" w:eastAsia="Arial" w:cs="Arial"/>
          <w:i w:val="1"/>
          <w:iCs w:val="1"/>
          <w:noProof w:val="0"/>
          <w:color w:val="222222"/>
          <w:sz w:val="19"/>
          <w:szCs w:val="19"/>
          <w:lang w:val="en-GB"/>
        </w:rPr>
        <w:t>Hepatology Communications</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6</w:t>
      </w:r>
      <w:r w:rsidRPr="1933AE28" w:rsidR="190B36D6">
        <w:rPr>
          <w:rFonts w:ascii="Arial" w:hAnsi="Arial" w:eastAsia="Arial" w:cs="Arial"/>
          <w:noProof w:val="0"/>
          <w:color w:val="222222"/>
          <w:sz w:val="19"/>
          <w:szCs w:val="19"/>
          <w:lang w:val="en-GB"/>
        </w:rPr>
        <w:t>(6), pp.1250-1261.</w:t>
      </w:r>
    </w:p>
    <w:p w:rsidR="190B36D6" w:rsidP="1933AE28" w:rsidRDefault="190B36D6" w14:paraId="083A0F6D" w14:textId="151594B5">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Reddy, K. and Koundal, M.G., 2023. Analysis of Review of Literature on Employee Retention Strategies of Higher Education Institutions in Bengaluru. The journal of contemporary issues in business and government, 29(1), pp.531-545.</w:t>
      </w:r>
    </w:p>
    <w:p w:rsidR="190B36D6" w:rsidP="1933AE28" w:rsidRDefault="190B36D6" w14:paraId="1828BFC7" w14:textId="0FEE3E2E">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Reddy, K. and Koundal, M.G., 2023. Analysis of Review of Literature on Employee Retention Strategies of Higher Education Institutions in Bengaluru. </w:t>
      </w:r>
      <w:r w:rsidRPr="1933AE28" w:rsidR="190B36D6">
        <w:rPr>
          <w:rFonts w:ascii="Arial" w:hAnsi="Arial" w:eastAsia="Arial" w:cs="Arial"/>
          <w:i w:val="1"/>
          <w:iCs w:val="1"/>
          <w:noProof w:val="0"/>
          <w:color w:val="222222"/>
          <w:sz w:val="19"/>
          <w:szCs w:val="19"/>
          <w:lang w:val="en-GB"/>
        </w:rPr>
        <w:t>The journal of contemporary issues in business and government</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29</w:t>
      </w:r>
      <w:r w:rsidRPr="1933AE28" w:rsidR="190B36D6">
        <w:rPr>
          <w:rFonts w:ascii="Arial" w:hAnsi="Arial" w:eastAsia="Arial" w:cs="Arial"/>
          <w:noProof w:val="0"/>
          <w:color w:val="222222"/>
          <w:sz w:val="19"/>
          <w:szCs w:val="19"/>
          <w:lang w:val="en-GB"/>
        </w:rPr>
        <w:t>(1), pp.531-545.</w:t>
      </w:r>
    </w:p>
    <w:p w:rsidR="190B36D6" w:rsidP="1933AE28" w:rsidRDefault="190B36D6" w14:paraId="7BC9B795" w14:textId="7CBB7177">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Blumberg, B., Cooper, D. and Schindler, P., 2014. </w:t>
      </w:r>
      <w:r w:rsidRPr="1933AE28" w:rsidR="190B36D6">
        <w:rPr>
          <w:rFonts w:ascii="Arial" w:hAnsi="Arial" w:eastAsia="Arial" w:cs="Arial"/>
          <w:i w:val="1"/>
          <w:iCs w:val="1"/>
          <w:noProof w:val="0"/>
          <w:color w:val="222222"/>
          <w:sz w:val="19"/>
          <w:szCs w:val="19"/>
          <w:lang w:val="en-GB"/>
        </w:rPr>
        <w:t>EBOOK: Business research methods</w:t>
      </w:r>
      <w:r w:rsidRPr="1933AE28" w:rsidR="190B36D6">
        <w:rPr>
          <w:rFonts w:ascii="Arial" w:hAnsi="Arial" w:eastAsia="Arial" w:cs="Arial"/>
          <w:noProof w:val="0"/>
          <w:color w:val="222222"/>
          <w:sz w:val="19"/>
          <w:szCs w:val="19"/>
          <w:lang w:val="en-GB"/>
        </w:rPr>
        <w:t>. McGraw Hill.</w:t>
      </w:r>
    </w:p>
    <w:p w:rsidR="190B36D6" w:rsidP="1933AE28" w:rsidRDefault="190B36D6" w14:paraId="75D9AA4A" w14:textId="39F11EAE">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Brewer, J., 2000. </w:t>
      </w:r>
      <w:r w:rsidRPr="1933AE28" w:rsidR="190B36D6">
        <w:rPr>
          <w:rFonts w:ascii="Arial" w:hAnsi="Arial" w:eastAsia="Arial" w:cs="Arial"/>
          <w:i w:val="1"/>
          <w:iCs w:val="1"/>
          <w:noProof w:val="0"/>
          <w:color w:val="222222"/>
          <w:sz w:val="19"/>
          <w:szCs w:val="19"/>
          <w:lang w:val="en-GB"/>
        </w:rPr>
        <w:t>Ethnography</w:t>
      </w:r>
      <w:r w:rsidRPr="1933AE28" w:rsidR="190B36D6">
        <w:rPr>
          <w:rFonts w:ascii="Arial" w:hAnsi="Arial" w:eastAsia="Arial" w:cs="Arial"/>
          <w:noProof w:val="0"/>
          <w:color w:val="222222"/>
          <w:sz w:val="19"/>
          <w:szCs w:val="19"/>
          <w:lang w:val="en-GB"/>
        </w:rPr>
        <w:t>. McGraw-Hill Education (UK).</w:t>
      </w:r>
    </w:p>
    <w:p w:rsidR="190B36D6" w:rsidP="1933AE28" w:rsidRDefault="190B36D6" w14:paraId="6B4109C9" w14:textId="3A1A1465">
      <w:pPr>
        <w:spacing w:before="0" w:beforeAutospacing="off" w:after="160" w:afterAutospacing="off" w:line="257" w:lineRule="auto"/>
      </w:pPr>
      <w:r w:rsidRPr="1933AE28" w:rsidR="190B36D6">
        <w:rPr>
          <w:rFonts w:ascii="Arial" w:hAnsi="Arial" w:eastAsia="Arial" w:cs="Arial"/>
          <w:noProof w:val="0"/>
          <w:sz w:val="19"/>
          <w:szCs w:val="19"/>
          <w:lang w:val="en-GB"/>
        </w:rPr>
        <w:t>Burkholder, J. M. &amp; Phillips, K., 2022. Breaking down Bias: A Practical Framework for the Systematic Evaluation of Source Bias.. Journal of Information Literacy. ed.gov</w:t>
      </w:r>
    </w:p>
    <w:p w:rsidR="190B36D6" w:rsidP="1933AE28" w:rsidRDefault="190B36D6" w14:paraId="0C399423" w14:textId="2E9B11A7">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Donkoh, S. and Mensah, J., 2023. Application of triangulation in qualitative research. </w:t>
      </w:r>
      <w:r w:rsidRPr="1933AE28" w:rsidR="190B36D6">
        <w:rPr>
          <w:rFonts w:ascii="Arial" w:hAnsi="Arial" w:eastAsia="Arial" w:cs="Arial"/>
          <w:i w:val="1"/>
          <w:iCs w:val="1"/>
          <w:noProof w:val="0"/>
          <w:color w:val="222222"/>
          <w:sz w:val="19"/>
          <w:szCs w:val="19"/>
          <w:lang w:val="en-GB"/>
        </w:rPr>
        <w:t>Journal of Applied Biotechnology and Bioengineering</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10</w:t>
      </w:r>
      <w:r w:rsidRPr="1933AE28" w:rsidR="190B36D6">
        <w:rPr>
          <w:rFonts w:ascii="Arial" w:hAnsi="Arial" w:eastAsia="Arial" w:cs="Arial"/>
          <w:noProof w:val="0"/>
          <w:color w:val="222222"/>
          <w:sz w:val="19"/>
          <w:szCs w:val="19"/>
          <w:lang w:val="en-GB"/>
        </w:rPr>
        <w:t>(1), pp.6-9.</w:t>
      </w:r>
    </w:p>
    <w:p w:rsidR="190B36D6" w:rsidP="1933AE28" w:rsidRDefault="190B36D6" w14:paraId="18C16CE5" w14:textId="4FC370EA">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Heale, R. and Forbes, D., 2013. Understanding triangulation in research. </w:t>
      </w:r>
      <w:r w:rsidRPr="1933AE28" w:rsidR="190B36D6">
        <w:rPr>
          <w:rFonts w:ascii="Arial" w:hAnsi="Arial" w:eastAsia="Arial" w:cs="Arial"/>
          <w:i w:val="1"/>
          <w:iCs w:val="1"/>
          <w:noProof w:val="0"/>
          <w:color w:val="222222"/>
          <w:sz w:val="19"/>
          <w:szCs w:val="19"/>
          <w:lang w:val="en-GB"/>
        </w:rPr>
        <w:t>Evidence-based nursing</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16</w:t>
      </w:r>
      <w:r w:rsidRPr="1933AE28" w:rsidR="190B36D6">
        <w:rPr>
          <w:rFonts w:ascii="Arial" w:hAnsi="Arial" w:eastAsia="Arial" w:cs="Arial"/>
          <w:noProof w:val="0"/>
          <w:color w:val="222222"/>
          <w:sz w:val="19"/>
          <w:szCs w:val="19"/>
          <w:lang w:val="en-GB"/>
        </w:rPr>
        <w:t>(4), pp.98-98.</w:t>
      </w:r>
    </w:p>
    <w:p w:rsidR="190B36D6" w:rsidP="1933AE28" w:rsidRDefault="190B36D6" w14:paraId="08878C27" w14:textId="3DBF522B">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Hageman, A.M., 2008. A review of the strengths and weaknesses of archival, behavioral, and qualitative research methods: recognizing the potential benefits of triangulation. </w:t>
      </w:r>
      <w:r w:rsidRPr="1933AE28" w:rsidR="190B36D6">
        <w:rPr>
          <w:rFonts w:ascii="Arial" w:hAnsi="Arial" w:eastAsia="Arial" w:cs="Arial"/>
          <w:i w:val="1"/>
          <w:iCs w:val="1"/>
          <w:noProof w:val="0"/>
          <w:color w:val="222222"/>
          <w:sz w:val="19"/>
          <w:szCs w:val="19"/>
          <w:lang w:val="en-GB"/>
        </w:rPr>
        <w:t>Advances in accounting behavioral research</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11</w:t>
      </w:r>
      <w:r w:rsidRPr="1933AE28" w:rsidR="190B36D6">
        <w:rPr>
          <w:rFonts w:ascii="Arial" w:hAnsi="Arial" w:eastAsia="Arial" w:cs="Arial"/>
          <w:noProof w:val="0"/>
          <w:color w:val="222222"/>
          <w:sz w:val="19"/>
          <w:szCs w:val="19"/>
          <w:lang w:val="en-GB"/>
        </w:rPr>
        <w:t>, pp.1-30.</w:t>
      </w:r>
    </w:p>
    <w:p w:rsidR="190B36D6" w:rsidP="1933AE28" w:rsidRDefault="190B36D6" w14:paraId="116A9C7F" w14:textId="1135C57C">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Holmes IV, O., Lopiano, G. and Hall, E.V., 2019. A review of compensatory strategies to mitigate bias. Personnel Assessment and Decisions, 5(2), p.4.</w:t>
      </w:r>
    </w:p>
    <w:p w:rsidR="190B36D6" w:rsidP="1933AE28" w:rsidRDefault="190B36D6" w14:paraId="30FEE2F7" w14:textId="19A5D6FE">
      <w:pPr>
        <w:spacing w:before="0" w:beforeAutospacing="off" w:after="160" w:afterAutospacing="off" w:line="257" w:lineRule="auto"/>
      </w:pPr>
      <w:r w:rsidRPr="1933AE28" w:rsidR="190B36D6">
        <w:rPr>
          <w:rFonts w:ascii="Arial" w:hAnsi="Arial" w:eastAsia="Arial" w:cs="Arial"/>
          <w:noProof w:val="0"/>
          <w:sz w:val="19"/>
          <w:szCs w:val="19"/>
          <w:lang w:val="en-GB"/>
        </w:rPr>
        <w:t>Johnson, J.L., Adkins, D. and Chauvin, S., 2020. A review of the quality indicators of rigor in qualitative research. American journal of pharmaceutical education, 84(1), p.7120. ajpe.org</w:t>
      </w:r>
    </w:p>
    <w:p w:rsidR="190B36D6" w:rsidP="1933AE28" w:rsidRDefault="190B36D6" w14:paraId="46A24BD6" w14:textId="20896B98">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McNeil, D.R., 1996. </w:t>
      </w:r>
      <w:r w:rsidRPr="1933AE28" w:rsidR="190B36D6">
        <w:rPr>
          <w:rFonts w:ascii="Arial" w:hAnsi="Arial" w:eastAsia="Arial" w:cs="Arial"/>
          <w:i w:val="1"/>
          <w:iCs w:val="1"/>
          <w:noProof w:val="0"/>
          <w:color w:val="222222"/>
          <w:sz w:val="19"/>
          <w:szCs w:val="19"/>
          <w:lang w:val="en-GB"/>
        </w:rPr>
        <w:t>Epidemiological research methods</w:t>
      </w:r>
      <w:r w:rsidRPr="1933AE28" w:rsidR="190B36D6">
        <w:rPr>
          <w:rFonts w:ascii="Arial" w:hAnsi="Arial" w:eastAsia="Arial" w:cs="Arial"/>
          <w:noProof w:val="0"/>
          <w:color w:val="222222"/>
          <w:sz w:val="19"/>
          <w:szCs w:val="19"/>
          <w:lang w:val="en-GB"/>
        </w:rPr>
        <w:t xml:space="preserve"> (Vol. 322). John Wiley &amp; Sons.</w:t>
      </w:r>
    </w:p>
    <w:p w:rsidR="190B36D6" w:rsidP="1933AE28" w:rsidRDefault="190B36D6" w14:paraId="7551655F" w14:textId="31AF89A9">
      <w:pPr>
        <w:spacing w:before="0" w:beforeAutospacing="off" w:after="160" w:afterAutospacing="off" w:line="257" w:lineRule="auto"/>
      </w:pPr>
      <w:r w:rsidRPr="1933AE28" w:rsidR="190B36D6">
        <w:rPr>
          <w:rFonts w:ascii="Arial" w:hAnsi="Arial" w:eastAsia="Arial" w:cs="Arial"/>
          <w:noProof w:val="0"/>
          <w:sz w:val="19"/>
          <w:szCs w:val="19"/>
          <w:lang w:val="en-GB"/>
        </w:rPr>
        <w:t>Mehra, B., 2002. Bias in qualitative research: Voices from an online classroom. The qualitative report, 7(1), pp.1-19.</w:t>
      </w:r>
    </w:p>
    <w:p w:rsidR="190B36D6" w:rsidP="1933AE28" w:rsidRDefault="190B36D6" w14:paraId="3EC4D1C9" w14:textId="529A1E9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Parker, L., 2014. Qualitative perspectives: Through a methodological lens. </w:t>
      </w:r>
      <w:r w:rsidRPr="1933AE28" w:rsidR="190B36D6">
        <w:rPr>
          <w:rFonts w:ascii="Arial" w:hAnsi="Arial" w:eastAsia="Arial" w:cs="Arial"/>
          <w:i w:val="1"/>
          <w:iCs w:val="1"/>
          <w:noProof w:val="0"/>
          <w:color w:val="222222"/>
          <w:sz w:val="19"/>
          <w:szCs w:val="19"/>
          <w:lang w:val="en-GB"/>
        </w:rPr>
        <w:t>Qualitative Research in Accounting &amp; Management</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11</w:t>
      </w:r>
      <w:r w:rsidRPr="1933AE28" w:rsidR="190B36D6">
        <w:rPr>
          <w:rFonts w:ascii="Arial" w:hAnsi="Arial" w:eastAsia="Arial" w:cs="Arial"/>
          <w:noProof w:val="0"/>
          <w:color w:val="222222"/>
          <w:sz w:val="19"/>
          <w:szCs w:val="19"/>
          <w:lang w:val="en-GB"/>
        </w:rPr>
        <w:t>(1), pp.13-28.</w:t>
      </w:r>
    </w:p>
    <w:p w:rsidR="190B36D6" w:rsidP="1933AE28" w:rsidRDefault="190B36D6" w14:paraId="60ED3ACE" w14:textId="400961F0">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Pulido-Martos, M., Gartzia, L., Augusto-Landa, J.M. and Lopez-Zafra, E., 2024. Transformational leadership and emotional intelligence: allies in the development of organizational affective commitment from a multilevel perspective and time-lagged data. </w:t>
      </w:r>
      <w:r w:rsidRPr="1933AE28" w:rsidR="190B36D6">
        <w:rPr>
          <w:rFonts w:ascii="Arial" w:hAnsi="Arial" w:eastAsia="Arial" w:cs="Arial"/>
          <w:i w:val="1"/>
          <w:iCs w:val="1"/>
          <w:noProof w:val="0"/>
          <w:color w:val="222222"/>
          <w:sz w:val="19"/>
          <w:szCs w:val="19"/>
          <w:lang w:val="en-GB"/>
        </w:rPr>
        <w:t>Review of Managerial Science</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18</w:t>
      </w:r>
      <w:r w:rsidRPr="1933AE28" w:rsidR="190B36D6">
        <w:rPr>
          <w:rFonts w:ascii="Arial" w:hAnsi="Arial" w:eastAsia="Arial" w:cs="Arial"/>
          <w:noProof w:val="0"/>
          <w:color w:val="222222"/>
          <w:sz w:val="19"/>
          <w:szCs w:val="19"/>
          <w:lang w:val="en-GB"/>
        </w:rPr>
        <w:t>(8), pp.2229-2253.</w:t>
      </w:r>
    </w:p>
    <w:p w:rsidR="190B36D6" w:rsidP="1933AE28" w:rsidRDefault="190B36D6" w14:paraId="0176C7C3" w14:textId="1301E3BD">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 </w:t>
      </w:r>
    </w:p>
    <w:p w:rsidR="190B36D6" w:rsidP="1933AE28" w:rsidRDefault="190B36D6" w14:paraId="1FB6A155" w14:textId="4B077E12">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Riordan, C.M., Vandenberg, R.J. and Richardson, H.A., 2005. Employee involvement climate and organizational effectiveness. </w:t>
      </w:r>
      <w:r w:rsidRPr="1933AE28" w:rsidR="190B36D6">
        <w:rPr>
          <w:rFonts w:ascii="Arial" w:hAnsi="Arial" w:eastAsia="Arial" w:cs="Arial"/>
          <w:i w:val="1"/>
          <w:iCs w:val="1"/>
          <w:noProof w:val="0"/>
          <w:color w:val="222222"/>
          <w:sz w:val="19"/>
          <w:szCs w:val="19"/>
          <w:lang w:val="en-GB"/>
        </w:rPr>
        <w:t>Human Resource Management: Published in Cooperation with the School of Business Administration, The University of Michigan and in alliance with the Society of Human Resources Management</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44</w:t>
      </w:r>
      <w:r w:rsidRPr="1933AE28" w:rsidR="190B36D6">
        <w:rPr>
          <w:rFonts w:ascii="Arial" w:hAnsi="Arial" w:eastAsia="Arial" w:cs="Arial"/>
          <w:noProof w:val="0"/>
          <w:color w:val="222222"/>
          <w:sz w:val="19"/>
          <w:szCs w:val="19"/>
          <w:lang w:val="en-GB"/>
        </w:rPr>
        <w:t>(4), pp.471-488.</w:t>
      </w:r>
    </w:p>
    <w:p w:rsidR="190B36D6" w:rsidP="1933AE28" w:rsidRDefault="190B36D6" w14:paraId="4FC54489" w14:textId="363973C9">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Robinson, L., Adair, P., Coffey, M., Harris, R. and Burnside, G., 2016. Identifying the participant characteristics that predict recruitment and retention of participants to randomised controlled trials involving children: a systematic review. </w:t>
      </w:r>
      <w:r w:rsidRPr="1933AE28" w:rsidR="190B36D6">
        <w:rPr>
          <w:rFonts w:ascii="Arial" w:hAnsi="Arial" w:eastAsia="Arial" w:cs="Arial"/>
          <w:i w:val="1"/>
          <w:iCs w:val="1"/>
          <w:noProof w:val="0"/>
          <w:color w:val="222222"/>
          <w:sz w:val="19"/>
          <w:szCs w:val="19"/>
          <w:lang w:val="en-GB"/>
        </w:rPr>
        <w:t>Trials</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17</w:t>
      </w:r>
      <w:r w:rsidRPr="1933AE28" w:rsidR="190B36D6">
        <w:rPr>
          <w:rFonts w:ascii="Arial" w:hAnsi="Arial" w:eastAsia="Arial" w:cs="Arial"/>
          <w:noProof w:val="0"/>
          <w:color w:val="222222"/>
          <w:sz w:val="19"/>
          <w:szCs w:val="19"/>
          <w:lang w:val="en-GB"/>
        </w:rPr>
        <w:t>, pp.1-17.</w:t>
      </w:r>
    </w:p>
    <w:p w:rsidR="190B36D6" w:rsidP="1933AE28" w:rsidRDefault="190B36D6" w14:paraId="36382E93" w14:textId="47A19E16">
      <w:pPr>
        <w:spacing w:before="0" w:beforeAutospacing="off" w:after="160" w:afterAutospacing="off" w:line="257" w:lineRule="auto"/>
      </w:pPr>
      <w:r w:rsidRPr="1933AE28" w:rsidR="190B36D6">
        <w:rPr>
          <w:rFonts w:ascii="Arial" w:hAnsi="Arial" w:eastAsia="Arial" w:cs="Arial"/>
          <w:noProof w:val="0"/>
          <w:sz w:val="19"/>
          <w:szCs w:val="19"/>
          <w:lang w:val="en-GB"/>
        </w:rPr>
        <w:t>Roulston, K. and Shelton, S.A., 2015. Reconceptualizing bias in teaching qualitative research methods. Qualitative inquiry, 21(4), pp.332-342.</w:t>
      </w:r>
    </w:p>
    <w:p w:rsidR="190B36D6" w:rsidP="1933AE28" w:rsidRDefault="190B36D6" w14:paraId="3F293A67" w14:textId="0941D1F3">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Santos, K.D.S., Ribeiro, M.C., Queiroga, D.E.U.D., Silva, I.A.P.D. and Ferreira, S.M.S., 2020. The use of multiple triangulations as a validation strategy in a qualitative study. </w:t>
      </w:r>
      <w:r w:rsidRPr="1933AE28" w:rsidR="190B36D6">
        <w:rPr>
          <w:rFonts w:ascii="Arial" w:hAnsi="Arial" w:eastAsia="Arial" w:cs="Arial"/>
          <w:i w:val="1"/>
          <w:iCs w:val="1"/>
          <w:noProof w:val="0"/>
          <w:color w:val="222222"/>
          <w:sz w:val="19"/>
          <w:szCs w:val="19"/>
          <w:lang w:val="en-GB"/>
        </w:rPr>
        <w:t>Ciencia &amp; saude coletiva</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25</w:t>
      </w:r>
      <w:r w:rsidRPr="1933AE28" w:rsidR="190B36D6">
        <w:rPr>
          <w:rFonts w:ascii="Arial" w:hAnsi="Arial" w:eastAsia="Arial" w:cs="Arial"/>
          <w:noProof w:val="0"/>
          <w:color w:val="222222"/>
          <w:sz w:val="19"/>
          <w:szCs w:val="19"/>
          <w:lang w:val="en-GB"/>
        </w:rPr>
        <w:t>, pp.655-664.</w:t>
      </w:r>
    </w:p>
    <w:p w:rsidR="190B36D6" w:rsidP="1933AE28" w:rsidRDefault="190B36D6" w14:paraId="61FCE6E3" w14:textId="4E22EFB1">
      <w:pPr>
        <w:spacing w:before="0" w:beforeAutospacing="off" w:after="160" w:afterAutospacing="off" w:line="257" w:lineRule="auto"/>
      </w:pPr>
      <w:r w:rsidRPr="1933AE28" w:rsidR="190B36D6">
        <w:rPr>
          <w:rFonts w:ascii="Arial" w:hAnsi="Arial" w:eastAsia="Arial" w:cs="Arial"/>
          <w:noProof w:val="0"/>
          <w:color w:val="222222"/>
          <w:sz w:val="19"/>
          <w:szCs w:val="19"/>
          <w:lang w:val="en-US"/>
        </w:rPr>
        <w:t>Stenbacka, c.2001.Qualitative research requires quality concepts of its own management decision, Vol.39,no7,pp.551-555.</w:t>
      </w:r>
    </w:p>
    <w:p w:rsidR="190B36D6" w:rsidP="1933AE28" w:rsidRDefault="190B36D6" w14:paraId="5EB60E89" w14:textId="17E3559C">
      <w:pPr>
        <w:spacing w:before="0" w:beforeAutospacing="off" w:after="160" w:afterAutospacing="off" w:line="257" w:lineRule="auto"/>
      </w:pPr>
      <w:r w:rsidRPr="1933AE28" w:rsidR="190B36D6">
        <w:rPr>
          <w:rFonts w:ascii="Arial" w:hAnsi="Arial" w:eastAsia="Arial" w:cs="Arial"/>
          <w:noProof w:val="0"/>
          <w:color w:val="0E101A"/>
          <w:sz w:val="19"/>
          <w:szCs w:val="19"/>
          <w:lang w:val="en-US"/>
        </w:rPr>
        <w:t xml:space="preserve">Stephan, E. &amp; Walker, M. (2024). The true self in reflections? Visual self‐recognition and the Big Five. </w:t>
      </w:r>
      <w:r w:rsidRPr="1933AE28" w:rsidR="190B36D6">
        <w:rPr>
          <w:rFonts w:ascii="Arial" w:hAnsi="Arial" w:eastAsia="Arial" w:cs="Arial"/>
          <w:i w:val="1"/>
          <w:iCs w:val="1"/>
          <w:noProof w:val="0"/>
          <w:color w:val="0E101A"/>
          <w:sz w:val="19"/>
          <w:szCs w:val="19"/>
          <w:lang w:val="en-US"/>
        </w:rPr>
        <w:t>European Journal of Social Psychology</w:t>
      </w:r>
      <w:r w:rsidRPr="1933AE28" w:rsidR="190B36D6">
        <w:rPr>
          <w:rFonts w:ascii="Arial" w:hAnsi="Arial" w:eastAsia="Arial" w:cs="Arial"/>
          <w:noProof w:val="0"/>
          <w:color w:val="0E101A"/>
          <w:sz w:val="19"/>
          <w:szCs w:val="19"/>
          <w:lang w:val="en-US"/>
        </w:rPr>
        <w:t xml:space="preserve">, </w:t>
      </w:r>
      <w:r w:rsidRPr="1933AE28" w:rsidR="190B36D6">
        <w:rPr>
          <w:rFonts w:ascii="Arial" w:hAnsi="Arial" w:eastAsia="Arial" w:cs="Arial"/>
          <w:i w:val="1"/>
          <w:iCs w:val="1"/>
          <w:noProof w:val="0"/>
          <w:color w:val="0E101A"/>
          <w:sz w:val="19"/>
          <w:szCs w:val="19"/>
          <w:lang w:val="en-US"/>
        </w:rPr>
        <w:t>54</w:t>
      </w:r>
      <w:r w:rsidRPr="1933AE28" w:rsidR="190B36D6">
        <w:rPr>
          <w:rFonts w:ascii="Arial" w:hAnsi="Arial" w:eastAsia="Arial" w:cs="Arial"/>
          <w:noProof w:val="0"/>
          <w:color w:val="0E101A"/>
          <w:sz w:val="19"/>
          <w:szCs w:val="19"/>
          <w:lang w:val="en-US"/>
        </w:rPr>
        <w:t>(6), pp.1311–1334.</w:t>
      </w:r>
    </w:p>
    <w:p w:rsidR="190B36D6" w:rsidP="1933AE28" w:rsidRDefault="190B36D6" w14:paraId="6C21871B" w14:textId="5D9F5F2D">
      <w:pPr>
        <w:spacing w:before="0" w:beforeAutospacing="off" w:after="160" w:afterAutospacing="off" w:line="257" w:lineRule="auto"/>
      </w:pPr>
      <w:r w:rsidRPr="1933AE28" w:rsidR="190B36D6">
        <w:rPr>
          <w:rFonts w:ascii="Arial" w:hAnsi="Arial" w:eastAsia="Arial" w:cs="Arial"/>
          <w:noProof w:val="0"/>
          <w:color w:val="222222"/>
          <w:sz w:val="19"/>
          <w:szCs w:val="19"/>
          <w:lang w:val="en-US"/>
        </w:rPr>
        <w:t xml:space="preserve">Spinrad, M.L. and Relles, S.R., 2022. Losing our faculties: Contingent faculty in the corporate academy. </w:t>
      </w:r>
      <w:r w:rsidRPr="1933AE28" w:rsidR="190B36D6">
        <w:rPr>
          <w:rFonts w:ascii="Arial" w:hAnsi="Arial" w:eastAsia="Arial" w:cs="Arial"/>
          <w:i w:val="1"/>
          <w:iCs w:val="1"/>
          <w:noProof w:val="0"/>
          <w:color w:val="222222"/>
          <w:sz w:val="19"/>
          <w:szCs w:val="19"/>
          <w:lang w:val="en-US"/>
        </w:rPr>
        <w:t>Innovative Higher Education</w:t>
      </w:r>
      <w:r w:rsidRPr="1933AE28" w:rsidR="190B36D6">
        <w:rPr>
          <w:rFonts w:ascii="Arial" w:hAnsi="Arial" w:eastAsia="Arial" w:cs="Arial"/>
          <w:noProof w:val="0"/>
          <w:color w:val="222222"/>
          <w:sz w:val="19"/>
          <w:szCs w:val="19"/>
          <w:lang w:val="en-US"/>
        </w:rPr>
        <w:t xml:space="preserve">, </w:t>
      </w:r>
      <w:r w:rsidRPr="1933AE28" w:rsidR="190B36D6">
        <w:rPr>
          <w:rFonts w:ascii="Arial" w:hAnsi="Arial" w:eastAsia="Arial" w:cs="Arial"/>
          <w:i w:val="1"/>
          <w:iCs w:val="1"/>
          <w:noProof w:val="0"/>
          <w:color w:val="222222"/>
          <w:sz w:val="19"/>
          <w:szCs w:val="19"/>
          <w:lang w:val="en-US"/>
        </w:rPr>
        <w:t>47</w:t>
      </w:r>
      <w:r w:rsidRPr="1933AE28" w:rsidR="190B36D6">
        <w:rPr>
          <w:rFonts w:ascii="Arial" w:hAnsi="Arial" w:eastAsia="Arial" w:cs="Arial"/>
          <w:noProof w:val="0"/>
          <w:color w:val="222222"/>
          <w:sz w:val="19"/>
          <w:szCs w:val="19"/>
          <w:lang w:val="en-US"/>
        </w:rPr>
        <w:t>(5), pp.837-854.</w:t>
      </w:r>
    </w:p>
    <w:p w:rsidR="190B36D6" w:rsidP="1933AE28" w:rsidRDefault="190B36D6" w14:paraId="1771E33C" w14:textId="2ACA2405">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Thomas, J. and Harden, A., 2008. Methods for the thematic synthesis of qualitative research in systematic reviews. </w:t>
      </w:r>
      <w:r w:rsidRPr="1933AE28" w:rsidR="190B36D6">
        <w:rPr>
          <w:rFonts w:ascii="Arial" w:hAnsi="Arial" w:eastAsia="Arial" w:cs="Arial"/>
          <w:i w:val="1"/>
          <w:iCs w:val="1"/>
          <w:noProof w:val="0"/>
          <w:color w:val="222222"/>
          <w:sz w:val="19"/>
          <w:szCs w:val="19"/>
          <w:lang w:val="en-GB"/>
        </w:rPr>
        <w:t>BMC medical research methodology</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8</w:t>
      </w:r>
      <w:r w:rsidRPr="1933AE28" w:rsidR="190B36D6">
        <w:rPr>
          <w:rFonts w:ascii="Arial" w:hAnsi="Arial" w:eastAsia="Arial" w:cs="Arial"/>
          <w:noProof w:val="0"/>
          <w:color w:val="222222"/>
          <w:sz w:val="19"/>
          <w:szCs w:val="19"/>
          <w:lang w:val="en-GB"/>
        </w:rPr>
        <w:t>, pp.1-10.</w:t>
      </w:r>
    </w:p>
    <w:p w:rsidR="190B36D6" w:rsidP="1933AE28" w:rsidRDefault="190B36D6" w14:paraId="2C0C8572" w14:textId="7EF8E8EA">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Vears, D.F. and Gillam, L., 2022. Inductive content analysis: A guide for beginning qualitative researchers. </w:t>
      </w:r>
      <w:r w:rsidRPr="1933AE28" w:rsidR="190B36D6">
        <w:rPr>
          <w:rFonts w:ascii="Arial" w:hAnsi="Arial" w:eastAsia="Arial" w:cs="Arial"/>
          <w:i w:val="1"/>
          <w:iCs w:val="1"/>
          <w:noProof w:val="0"/>
          <w:color w:val="222222"/>
          <w:sz w:val="19"/>
          <w:szCs w:val="19"/>
          <w:lang w:val="en-GB"/>
        </w:rPr>
        <w:t>Focus on Health Professional Education: A Multi-Professional Journal</w:t>
      </w:r>
      <w:r w:rsidRPr="1933AE28" w:rsidR="190B36D6">
        <w:rPr>
          <w:rFonts w:ascii="Arial" w:hAnsi="Arial" w:eastAsia="Arial" w:cs="Arial"/>
          <w:noProof w:val="0"/>
          <w:color w:val="222222"/>
          <w:sz w:val="19"/>
          <w:szCs w:val="19"/>
          <w:lang w:val="en-GB"/>
        </w:rPr>
        <w:t xml:space="preserve">, </w:t>
      </w:r>
      <w:r w:rsidRPr="1933AE28" w:rsidR="190B36D6">
        <w:rPr>
          <w:rFonts w:ascii="Arial" w:hAnsi="Arial" w:eastAsia="Arial" w:cs="Arial"/>
          <w:i w:val="1"/>
          <w:iCs w:val="1"/>
          <w:noProof w:val="0"/>
          <w:color w:val="222222"/>
          <w:sz w:val="19"/>
          <w:szCs w:val="19"/>
          <w:lang w:val="en-GB"/>
        </w:rPr>
        <w:t>23</w:t>
      </w:r>
      <w:r w:rsidRPr="1933AE28" w:rsidR="190B36D6">
        <w:rPr>
          <w:rFonts w:ascii="Arial" w:hAnsi="Arial" w:eastAsia="Arial" w:cs="Arial"/>
          <w:noProof w:val="0"/>
          <w:color w:val="222222"/>
          <w:sz w:val="19"/>
          <w:szCs w:val="19"/>
          <w:lang w:val="en-GB"/>
        </w:rPr>
        <w:t>(1), pp.111-127.</w:t>
      </w:r>
    </w:p>
    <w:p w:rsidR="190B36D6" w:rsidP="1933AE28" w:rsidRDefault="190B36D6" w14:paraId="100BAA9B" w14:textId="558144D2">
      <w:pPr>
        <w:spacing w:before="0" w:beforeAutospacing="off" w:after="160" w:afterAutospacing="off" w:line="257" w:lineRule="auto"/>
      </w:pPr>
      <w:r w:rsidRPr="1933AE28" w:rsidR="190B36D6">
        <w:rPr>
          <w:rFonts w:ascii="Arial" w:hAnsi="Arial" w:eastAsia="Arial" w:cs="Arial"/>
          <w:noProof w:val="0"/>
          <w:color w:val="000000" w:themeColor="text1" w:themeTint="FF" w:themeShade="FF"/>
          <w:sz w:val="19"/>
          <w:szCs w:val="19"/>
          <w:lang w:val="en-GB"/>
        </w:rPr>
        <w:t>Vickers, N.J. (2017), “Animal communication: when I’m calling you, will you answer too?”, Current Biology, Vol. 27 No. 14, pp. R713-R715.</w:t>
      </w:r>
    </w:p>
    <w:p w:rsidR="190B36D6" w:rsidP="1933AE28" w:rsidRDefault="190B36D6" w14:paraId="3FC300F8" w14:textId="183CBEEF">
      <w:pPr>
        <w:spacing w:before="0" w:beforeAutospacing="off" w:after="160" w:afterAutospacing="off" w:line="257" w:lineRule="auto"/>
      </w:pPr>
      <w:r w:rsidRPr="1933AE28" w:rsidR="190B36D6">
        <w:rPr>
          <w:rFonts w:ascii="Arial" w:hAnsi="Arial" w:eastAsia="Arial" w:cs="Arial"/>
          <w:noProof w:val="0"/>
          <w:color w:val="222222"/>
          <w:sz w:val="19"/>
          <w:szCs w:val="19"/>
          <w:lang w:val="en-GB"/>
        </w:rPr>
        <w:t xml:space="preserve"> </w:t>
      </w:r>
    </w:p>
    <w:p w:rsidR="1933AE28" w:rsidP="1933AE28" w:rsidRDefault="1933AE28" w14:paraId="0C3F57CB" w14:textId="0BFFFF0F">
      <w:pPr>
        <w:spacing w:before="0" w:beforeAutospacing="off" w:after="160" w:afterAutospacing="off" w:line="257" w:lineRule="auto"/>
        <w:rPr>
          <w:rFonts w:ascii="Arial" w:hAnsi="Arial" w:eastAsia="Arial" w:cs="Arial"/>
          <w:noProof w:val="0"/>
          <w:color w:val="222222"/>
          <w:sz w:val="19"/>
          <w:szCs w:val="19"/>
          <w:lang w:val="en-GB"/>
        </w:rPr>
      </w:pPr>
    </w:p>
    <w:p w:rsidR="1933AE28" w:rsidP="1933AE28" w:rsidRDefault="1933AE28" w14:paraId="001998CA" w14:textId="217BBC58">
      <w:pPr>
        <w:pStyle w:val="paragraph"/>
        <w:spacing w:before="0" w:beforeAutospacing="off" w:after="0" w:afterAutospacing="off" w:line="480" w:lineRule="auto"/>
        <w:rPr>
          <w:rStyle w:val="eop"/>
          <w:rFonts w:ascii="Arial" w:hAnsi="Arial" w:eastAsia="" w:cs="Arial" w:asciiTheme="minorBidi" w:hAnsiTheme="minorBidi" w:eastAsiaTheme="majorEastAsia" w:cstheme="minorBidi"/>
        </w:rPr>
      </w:pPr>
    </w:p>
    <w:p w:rsidRPr="00BC03A7" w:rsidR="00220B99" w:rsidP="00DD1C58" w:rsidRDefault="00220B99" w14:paraId="3CD40639" w14:textId="430F7583">
      <w:pPr>
        <w:spacing w:after="0" w:line="480" w:lineRule="auto"/>
        <w:textAlignment w:val="baseline"/>
        <w:rPr>
          <w:rFonts w:eastAsia="Times New Roman" w:asciiTheme="minorBidi" w:hAnsiTheme="minorBidi"/>
          <w:sz w:val="24"/>
          <w:szCs w:val="24"/>
          <w:lang w:eastAsia="en-GB"/>
        </w:rPr>
      </w:pPr>
    </w:p>
    <w:p w:rsidRPr="00BC03A7" w:rsidR="00BC03A7" w:rsidP="002910CC" w:rsidRDefault="00BC03A7" w14:paraId="3262960C" w14:textId="77777777">
      <w:pPr>
        <w:spacing w:after="0" w:line="480" w:lineRule="auto"/>
        <w:textAlignment w:val="baseline"/>
        <w:rPr>
          <w:rFonts w:eastAsia="Times New Roman" w:asciiTheme="minorBidi" w:hAnsiTheme="minorBidi"/>
          <w:sz w:val="24"/>
          <w:szCs w:val="24"/>
          <w:lang w:eastAsia="en-GB"/>
        </w:rPr>
      </w:pPr>
      <w:r w:rsidRPr="00BC03A7">
        <w:rPr>
          <w:rFonts w:eastAsia="Times New Roman" w:asciiTheme="minorBidi" w:hAnsiTheme="minorBidi"/>
          <w:sz w:val="24"/>
          <w:szCs w:val="24"/>
          <w:lang w:eastAsia="en-GB"/>
        </w:rPr>
        <w:t> </w:t>
      </w:r>
    </w:p>
    <w:p w:rsidRPr="00EF1917" w:rsidR="00EF1917" w:rsidP="00BB1DFB" w:rsidRDefault="00EF1917" w14:paraId="41E55B5E" w14:textId="30CEE404">
      <w:pPr>
        <w:pStyle w:val="Heading3"/>
        <w:rPr>
          <w:rFonts w:eastAsia="Times New Roman"/>
          <w:lang w:eastAsia="en-GB"/>
        </w:rPr>
      </w:pPr>
      <w:r w:rsidRPr="00EF1917">
        <w:rPr>
          <w:rFonts w:eastAsia="Times New Roman"/>
          <w:lang w:eastAsia="en-GB"/>
        </w:rPr>
        <w:br/>
      </w:r>
    </w:p>
    <w:p w:rsidRPr="00EF1917" w:rsidR="00EF1917" w:rsidP="00EF1917" w:rsidRDefault="00EF1917" w14:paraId="16EEEB0F" w14:textId="77777777">
      <w:pPr>
        <w:spacing w:after="0" w:line="480" w:lineRule="auto"/>
        <w:rPr>
          <w:rFonts w:eastAsia="Times New Roman" w:asciiTheme="minorBidi" w:hAnsiTheme="minorBidi"/>
          <w:color w:val="0E101A"/>
          <w:sz w:val="24"/>
          <w:szCs w:val="24"/>
          <w:lang w:eastAsia="en-GB"/>
        </w:rPr>
      </w:pPr>
      <w:r w:rsidRPr="00EF1917">
        <w:rPr>
          <w:rFonts w:eastAsia="Times New Roman" w:asciiTheme="minorBidi" w:hAnsiTheme="minorBidi"/>
          <w:color w:val="0E101A"/>
          <w:sz w:val="24"/>
          <w:szCs w:val="24"/>
          <w:lang w:eastAsia="en-GB"/>
        </w:rPr>
        <w:t> </w:t>
      </w:r>
    </w:p>
    <w:p w:rsidRPr="00EF1917" w:rsidR="00EF1917" w:rsidP="00EF1917" w:rsidRDefault="00EF1917" w14:paraId="66BC63FB" w14:textId="77777777">
      <w:pPr>
        <w:spacing w:after="0" w:line="480" w:lineRule="auto"/>
        <w:rPr>
          <w:rFonts w:eastAsia="Times New Roman" w:asciiTheme="minorBidi" w:hAnsiTheme="minorBidi"/>
          <w:color w:val="0E101A"/>
          <w:sz w:val="24"/>
          <w:szCs w:val="24"/>
          <w:lang w:eastAsia="en-GB"/>
        </w:rPr>
      </w:pPr>
      <w:r w:rsidRPr="00EF1917">
        <w:rPr>
          <w:rFonts w:eastAsia="Times New Roman" w:asciiTheme="minorBidi" w:hAnsiTheme="minorBidi"/>
          <w:color w:val="0E101A"/>
          <w:sz w:val="24"/>
          <w:szCs w:val="24"/>
          <w:lang w:eastAsia="en-GB"/>
        </w:rPr>
        <w:t> </w:t>
      </w:r>
    </w:p>
    <w:p w:rsidRPr="00EF1917" w:rsidR="00EF1917" w:rsidP="00EF1917" w:rsidRDefault="00EF1917" w14:paraId="6454839A" w14:textId="77777777">
      <w:pPr>
        <w:spacing w:after="0" w:line="480" w:lineRule="auto"/>
        <w:rPr>
          <w:rFonts w:eastAsia="Times New Roman" w:asciiTheme="minorBidi" w:hAnsiTheme="minorBidi"/>
          <w:color w:val="0E101A"/>
          <w:sz w:val="24"/>
          <w:szCs w:val="24"/>
          <w:lang w:eastAsia="en-GB"/>
        </w:rPr>
      </w:pPr>
      <w:r w:rsidRPr="00EF1917">
        <w:rPr>
          <w:rFonts w:eastAsia="Times New Roman" w:asciiTheme="minorBidi" w:hAnsiTheme="minorBidi"/>
          <w:color w:val="0E101A"/>
          <w:sz w:val="24"/>
          <w:szCs w:val="24"/>
          <w:lang w:eastAsia="en-GB"/>
        </w:rPr>
        <w:t> </w:t>
      </w:r>
    </w:p>
    <w:p w:rsidRPr="00A05778" w:rsidR="00EF1917" w:rsidP="00256B90" w:rsidRDefault="00EF1917" w14:paraId="5F3F8023" w14:textId="77777777">
      <w:pPr>
        <w:spacing w:after="0" w:line="480" w:lineRule="auto"/>
        <w:rPr>
          <w:rFonts w:eastAsia="Times New Roman" w:asciiTheme="minorBidi" w:hAnsiTheme="minorBidi"/>
          <w:color w:val="0E101A"/>
          <w:sz w:val="24"/>
          <w:szCs w:val="24"/>
          <w:lang w:eastAsia="en-GB"/>
        </w:rPr>
      </w:pPr>
    </w:p>
    <w:p w:rsidRPr="003C55A5" w:rsidR="00A87888" w:rsidP="00842C46" w:rsidRDefault="00A87888" w14:paraId="4E356E41" w14:textId="191FAD89">
      <w:pPr>
        <w:pStyle w:val="NormalWeb"/>
        <w:spacing w:before="0" w:beforeAutospacing="0" w:after="0" w:afterAutospacing="0" w:line="480" w:lineRule="auto"/>
        <w:rPr>
          <w:rFonts w:asciiTheme="minorBidi" w:hAnsiTheme="minorBidi" w:cstheme="minorBidi"/>
          <w:color w:val="215E99" w:themeColor="text2" w:themeTint="BF"/>
        </w:rPr>
      </w:pPr>
      <w:r w:rsidRPr="003C55A5">
        <w:rPr>
          <w:rFonts w:asciiTheme="minorBidi" w:hAnsiTheme="minorBidi" w:cstheme="minorBidi"/>
          <w:color w:val="215E99" w:themeColor="text2" w:themeTint="BF"/>
        </w:rPr>
        <w:t xml:space="preserve"> </w:t>
      </w:r>
    </w:p>
    <w:p w:rsidRPr="003C55A5" w:rsidR="003647DD" w:rsidP="00842C46" w:rsidRDefault="003647DD" w14:paraId="7CCD0C08" w14:textId="77777777">
      <w:pPr>
        <w:pStyle w:val="paragraph"/>
        <w:spacing w:after="0" w:line="480" w:lineRule="auto"/>
        <w:textAlignment w:val="baseline"/>
        <w:rPr>
          <w:rFonts w:asciiTheme="minorBidi" w:hAnsiTheme="minorBidi" w:cstheme="minorBidi"/>
          <w:color w:val="215E99" w:themeColor="text2" w:themeTint="BF"/>
        </w:rPr>
      </w:pPr>
    </w:p>
    <w:p w:rsidRPr="003C55A5" w:rsidR="00416F4E" w:rsidP="00842C46" w:rsidRDefault="00416F4E" w14:paraId="3CCD1448" w14:textId="77777777">
      <w:pPr>
        <w:pStyle w:val="paragraph"/>
        <w:spacing w:after="0" w:line="480" w:lineRule="auto"/>
        <w:textAlignment w:val="baseline"/>
        <w:rPr>
          <w:rFonts w:asciiTheme="minorBidi" w:hAnsiTheme="minorBidi" w:cstheme="minorBidi"/>
        </w:rPr>
      </w:pPr>
    </w:p>
    <w:p w:rsidRPr="00D16D2E" w:rsidR="00D60157" w:rsidP="00842C46" w:rsidRDefault="00D60157" w14:paraId="3FCD3A38" w14:textId="77777777">
      <w:pPr>
        <w:pStyle w:val="NormalWeb"/>
        <w:spacing w:line="480" w:lineRule="auto"/>
        <w:rPr>
          <w:rFonts w:asciiTheme="minorBidi" w:hAnsiTheme="minorBidi" w:cstheme="minorBidi"/>
          <w:color w:val="215E99" w:themeColor="text2" w:themeTint="BF"/>
        </w:rPr>
      </w:pPr>
    </w:p>
    <w:p w:rsidRPr="003C55A5" w:rsidR="004A4B88" w:rsidP="00842C46" w:rsidRDefault="004A4B88" w14:paraId="2494CD92" w14:textId="4F179F98">
      <w:pPr>
        <w:pStyle w:val="NormalWeb"/>
        <w:spacing w:after="0" w:line="480" w:lineRule="auto"/>
        <w:jc w:val="center"/>
        <w:rPr>
          <w:rFonts w:asciiTheme="minorBidi" w:hAnsiTheme="minorBidi" w:cstheme="minorBidi"/>
          <w:color w:val="0E101A"/>
        </w:rPr>
      </w:pPr>
    </w:p>
    <w:p w:rsidRPr="003C55A5" w:rsidR="00C62C73" w:rsidP="00842C46" w:rsidRDefault="00C62C73" w14:paraId="0879789C" w14:textId="77777777">
      <w:pPr>
        <w:pStyle w:val="paragraph"/>
        <w:spacing w:after="0" w:line="480" w:lineRule="auto"/>
        <w:textAlignment w:val="baseline"/>
        <w:rPr>
          <w:rFonts w:asciiTheme="minorBidi" w:hAnsiTheme="minorBidi" w:eastAsiaTheme="majorEastAsia" w:cstheme="minorBidi"/>
        </w:rPr>
      </w:pPr>
    </w:p>
    <w:p w:rsidRPr="003C55A5" w:rsidR="00E50297" w:rsidP="00842C46" w:rsidRDefault="00E50297" w14:paraId="712089F5" w14:textId="77777777">
      <w:pPr>
        <w:pStyle w:val="paragraph"/>
        <w:spacing w:before="0" w:beforeAutospacing="0" w:after="0" w:afterAutospacing="0" w:line="480" w:lineRule="auto"/>
        <w:textAlignment w:val="baseline"/>
        <w:rPr>
          <w:rFonts w:asciiTheme="minorBidi" w:hAnsiTheme="minorBidi" w:cstheme="minorBidi"/>
        </w:rPr>
      </w:pPr>
    </w:p>
    <w:p w:rsidRPr="003C55A5" w:rsidR="00B16607" w:rsidP="00842C46" w:rsidRDefault="00B16607" w14:paraId="67449608" w14:textId="77777777">
      <w:pPr>
        <w:spacing w:line="480" w:lineRule="auto"/>
        <w:rPr>
          <w:rFonts w:asciiTheme="minorBidi" w:hAnsiTheme="minorBidi"/>
          <w:sz w:val="24"/>
          <w:szCs w:val="24"/>
        </w:rPr>
      </w:pPr>
    </w:p>
    <w:p w:rsidRPr="003C55A5" w:rsidR="00B16607" w:rsidP="00842C46" w:rsidRDefault="00B16607" w14:paraId="6AB4F195" w14:textId="77777777">
      <w:pPr>
        <w:spacing w:line="480" w:lineRule="auto"/>
        <w:rPr>
          <w:rFonts w:asciiTheme="minorBidi" w:hAnsiTheme="minorBidi"/>
          <w:sz w:val="24"/>
          <w:szCs w:val="24"/>
        </w:rPr>
      </w:pPr>
    </w:p>
    <w:p w:rsidRPr="003C55A5" w:rsidR="00BB19A3" w:rsidP="00842C46" w:rsidRDefault="00BB19A3" w14:paraId="6772B343" w14:textId="77777777">
      <w:pPr>
        <w:spacing w:line="480" w:lineRule="auto"/>
        <w:jc w:val="center"/>
        <w:rPr>
          <w:rFonts w:asciiTheme="minorBidi" w:hAnsiTheme="minorBidi"/>
          <w:sz w:val="24"/>
          <w:szCs w:val="24"/>
        </w:rPr>
      </w:pPr>
    </w:p>
    <w:sectPr w:rsidRPr="003C55A5" w:rsidR="00BB19A3" w:rsidSect="0008698F">
      <w:headerReference w:type="even" r:id="rId10"/>
      <w:headerReference w:type="default" r:id="rId11"/>
      <w:footerReference w:type="even" r:id="rId12"/>
      <w:footerReference w:type="default" r:id="rId13"/>
      <w:headerReference w:type="first" r:id="rId14"/>
      <w:footerReference w:type="first" r:id="rId15"/>
      <w:pgSz w:w="11906" w:h="16838" w:orient="portrait"/>
      <w:pgMar w:top="1440" w:right="1440" w:bottom="1440" w:left="1440" w:header="1134"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64D99" w:rsidP="00764D99" w:rsidRDefault="00764D99" w14:paraId="6BF99726" w14:textId="77777777">
      <w:pPr>
        <w:spacing w:after="0" w:line="240" w:lineRule="auto"/>
      </w:pPr>
      <w:r>
        <w:separator/>
      </w:r>
    </w:p>
  </w:endnote>
  <w:endnote w:type="continuationSeparator" w:id="0">
    <w:p w:rsidR="00764D99" w:rsidP="00764D99" w:rsidRDefault="00764D99" w14:paraId="7AE193B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4D99" w:rsidRDefault="00764D99" w14:paraId="28460ED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6055163"/>
      <w:docPartObj>
        <w:docPartGallery w:val="Page Numbers (Bottom of Page)"/>
        <w:docPartUnique/>
      </w:docPartObj>
    </w:sdtPr>
    <w:sdtEndPr>
      <w:rPr>
        <w:noProof/>
      </w:rPr>
    </w:sdtEndPr>
    <w:sdtContent>
      <w:p w:rsidR="00764D99" w:rsidRDefault="00764D99" w14:paraId="622A427C" w14:textId="274256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64D99" w:rsidRDefault="00764D99" w14:paraId="5C4356E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4D99" w:rsidRDefault="00764D99" w14:paraId="48543962"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64D99" w:rsidP="00764D99" w:rsidRDefault="00764D99" w14:paraId="69810F8A" w14:textId="77777777">
      <w:pPr>
        <w:spacing w:after="0" w:line="240" w:lineRule="auto"/>
      </w:pPr>
      <w:r>
        <w:separator/>
      </w:r>
    </w:p>
  </w:footnote>
  <w:footnote w:type="continuationSeparator" w:id="0">
    <w:p w:rsidR="00764D99" w:rsidP="00764D99" w:rsidRDefault="00764D99" w14:paraId="0DC22DD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4D99" w:rsidRDefault="00764D99" w14:paraId="01D926B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4D99" w:rsidRDefault="00764D99" w14:paraId="658D7B95"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64D99" w:rsidRDefault="00764D99" w14:paraId="4DDADEF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167900"/>
    <w:multiLevelType w:val="multilevel"/>
    <w:tmpl w:val="9BDA73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95217651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5"/>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wMbQ0tLA0MTY1szBQ0lEKTi0uzszPAykwrAUAw/O+DCwAAAA="/>
  </w:docVars>
  <w:rsids>
    <w:rsidRoot w:val="00D06A73"/>
    <w:rsid w:val="00033E57"/>
    <w:rsid w:val="00057E71"/>
    <w:rsid w:val="00070F56"/>
    <w:rsid w:val="00073C89"/>
    <w:rsid w:val="00077102"/>
    <w:rsid w:val="0008698F"/>
    <w:rsid w:val="0009597C"/>
    <w:rsid w:val="000D180B"/>
    <w:rsid w:val="000F35A1"/>
    <w:rsid w:val="00143D56"/>
    <w:rsid w:val="00191D41"/>
    <w:rsid w:val="001A1DE0"/>
    <w:rsid w:val="001A55B0"/>
    <w:rsid w:val="001A6210"/>
    <w:rsid w:val="001D0D40"/>
    <w:rsid w:val="00220B99"/>
    <w:rsid w:val="002240EE"/>
    <w:rsid w:val="002312B0"/>
    <w:rsid w:val="00255167"/>
    <w:rsid w:val="00256B90"/>
    <w:rsid w:val="002910CC"/>
    <w:rsid w:val="002C740B"/>
    <w:rsid w:val="002E6E3C"/>
    <w:rsid w:val="002F1690"/>
    <w:rsid w:val="003647DD"/>
    <w:rsid w:val="003B1598"/>
    <w:rsid w:val="003C55A5"/>
    <w:rsid w:val="003D6949"/>
    <w:rsid w:val="003F7DBF"/>
    <w:rsid w:val="00416F4E"/>
    <w:rsid w:val="00447F3C"/>
    <w:rsid w:val="00454CFA"/>
    <w:rsid w:val="00487692"/>
    <w:rsid w:val="004A4B88"/>
    <w:rsid w:val="004A56F3"/>
    <w:rsid w:val="004C4B04"/>
    <w:rsid w:val="004E0EB3"/>
    <w:rsid w:val="004E363C"/>
    <w:rsid w:val="004E46F7"/>
    <w:rsid w:val="004F2B04"/>
    <w:rsid w:val="005631E0"/>
    <w:rsid w:val="00570566"/>
    <w:rsid w:val="005724D4"/>
    <w:rsid w:val="0058012E"/>
    <w:rsid w:val="005D1E64"/>
    <w:rsid w:val="00614379"/>
    <w:rsid w:val="00624F01"/>
    <w:rsid w:val="00631718"/>
    <w:rsid w:val="006454FB"/>
    <w:rsid w:val="006661DA"/>
    <w:rsid w:val="00680061"/>
    <w:rsid w:val="006C5814"/>
    <w:rsid w:val="00720129"/>
    <w:rsid w:val="00723C75"/>
    <w:rsid w:val="0075241E"/>
    <w:rsid w:val="00764D99"/>
    <w:rsid w:val="00772A59"/>
    <w:rsid w:val="0077792D"/>
    <w:rsid w:val="007D5EFB"/>
    <w:rsid w:val="00803AC6"/>
    <w:rsid w:val="0080778C"/>
    <w:rsid w:val="008206F6"/>
    <w:rsid w:val="00836BF5"/>
    <w:rsid w:val="00842C46"/>
    <w:rsid w:val="00882200"/>
    <w:rsid w:val="00887016"/>
    <w:rsid w:val="00890EB1"/>
    <w:rsid w:val="008C710E"/>
    <w:rsid w:val="00926951"/>
    <w:rsid w:val="0095028E"/>
    <w:rsid w:val="00964999"/>
    <w:rsid w:val="009708C6"/>
    <w:rsid w:val="009B5A22"/>
    <w:rsid w:val="009C4CCB"/>
    <w:rsid w:val="009F2C18"/>
    <w:rsid w:val="00A05778"/>
    <w:rsid w:val="00A5659F"/>
    <w:rsid w:val="00A62C45"/>
    <w:rsid w:val="00A87888"/>
    <w:rsid w:val="00AD196D"/>
    <w:rsid w:val="00B050A1"/>
    <w:rsid w:val="00B16607"/>
    <w:rsid w:val="00B4789A"/>
    <w:rsid w:val="00BB19A3"/>
    <w:rsid w:val="00BB1DFB"/>
    <w:rsid w:val="00BB6877"/>
    <w:rsid w:val="00BC03A7"/>
    <w:rsid w:val="00BC2CB4"/>
    <w:rsid w:val="00BE1C90"/>
    <w:rsid w:val="00C62C73"/>
    <w:rsid w:val="00C8538A"/>
    <w:rsid w:val="00CD2669"/>
    <w:rsid w:val="00CD39BC"/>
    <w:rsid w:val="00CD423B"/>
    <w:rsid w:val="00CF2DCE"/>
    <w:rsid w:val="00D06A73"/>
    <w:rsid w:val="00D16D2E"/>
    <w:rsid w:val="00D25585"/>
    <w:rsid w:val="00D4476B"/>
    <w:rsid w:val="00D53077"/>
    <w:rsid w:val="00D60157"/>
    <w:rsid w:val="00D621E5"/>
    <w:rsid w:val="00D62C14"/>
    <w:rsid w:val="00D673E1"/>
    <w:rsid w:val="00D95A06"/>
    <w:rsid w:val="00DD1C58"/>
    <w:rsid w:val="00E36203"/>
    <w:rsid w:val="00E402AD"/>
    <w:rsid w:val="00E50297"/>
    <w:rsid w:val="00EF1917"/>
    <w:rsid w:val="00EF2B0D"/>
    <w:rsid w:val="00EF6B31"/>
    <w:rsid w:val="00F3799E"/>
    <w:rsid w:val="00F5241F"/>
    <w:rsid w:val="00F61AB9"/>
    <w:rsid w:val="00F9580C"/>
    <w:rsid w:val="190B36D6"/>
    <w:rsid w:val="1933AE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F3EF39"/>
  <w15:chartTrackingRefBased/>
  <w15:docId w15:val="{134BD7F4-2C08-485D-B64E-3E75BA6F9DF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06A7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6A7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06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6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6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6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6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6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6A73"/>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06A73"/>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06A73"/>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D06A73"/>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06A73"/>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06A73"/>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06A73"/>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06A73"/>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06A73"/>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06A73"/>
    <w:rPr>
      <w:rFonts w:eastAsiaTheme="majorEastAsia" w:cstheme="majorBidi"/>
      <w:color w:val="272727" w:themeColor="text1" w:themeTint="D8"/>
    </w:rPr>
  </w:style>
  <w:style w:type="paragraph" w:styleId="Title">
    <w:name w:val="Title"/>
    <w:basedOn w:val="Normal"/>
    <w:next w:val="Normal"/>
    <w:link w:val="TitleChar"/>
    <w:uiPriority w:val="10"/>
    <w:qFormat/>
    <w:rsid w:val="00D06A73"/>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06A73"/>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06A73"/>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06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6A73"/>
    <w:pPr>
      <w:spacing w:before="160"/>
      <w:jc w:val="center"/>
    </w:pPr>
    <w:rPr>
      <w:i/>
      <w:iCs/>
      <w:color w:val="404040" w:themeColor="text1" w:themeTint="BF"/>
    </w:rPr>
  </w:style>
  <w:style w:type="character" w:styleId="QuoteChar" w:customStyle="1">
    <w:name w:val="Quote Char"/>
    <w:basedOn w:val="DefaultParagraphFont"/>
    <w:link w:val="Quote"/>
    <w:uiPriority w:val="29"/>
    <w:rsid w:val="00D06A73"/>
    <w:rPr>
      <w:i/>
      <w:iCs/>
      <w:color w:val="404040" w:themeColor="text1" w:themeTint="BF"/>
    </w:rPr>
  </w:style>
  <w:style w:type="paragraph" w:styleId="ListParagraph">
    <w:name w:val="List Paragraph"/>
    <w:basedOn w:val="Normal"/>
    <w:uiPriority w:val="34"/>
    <w:qFormat/>
    <w:rsid w:val="00D06A73"/>
    <w:pPr>
      <w:ind w:left="720"/>
      <w:contextualSpacing/>
    </w:pPr>
  </w:style>
  <w:style w:type="character" w:styleId="IntenseEmphasis">
    <w:name w:val="Intense Emphasis"/>
    <w:basedOn w:val="DefaultParagraphFont"/>
    <w:uiPriority w:val="21"/>
    <w:qFormat/>
    <w:rsid w:val="00D06A73"/>
    <w:rPr>
      <w:i/>
      <w:iCs/>
      <w:color w:val="0F4761" w:themeColor="accent1" w:themeShade="BF"/>
    </w:rPr>
  </w:style>
  <w:style w:type="paragraph" w:styleId="IntenseQuote">
    <w:name w:val="Intense Quote"/>
    <w:basedOn w:val="Normal"/>
    <w:next w:val="Normal"/>
    <w:link w:val="IntenseQuoteChar"/>
    <w:uiPriority w:val="30"/>
    <w:qFormat/>
    <w:rsid w:val="00D06A7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06A73"/>
    <w:rPr>
      <w:i/>
      <w:iCs/>
      <w:color w:val="0F4761" w:themeColor="accent1" w:themeShade="BF"/>
    </w:rPr>
  </w:style>
  <w:style w:type="character" w:styleId="IntenseReference">
    <w:name w:val="Intense Reference"/>
    <w:basedOn w:val="DefaultParagraphFont"/>
    <w:uiPriority w:val="32"/>
    <w:qFormat/>
    <w:rsid w:val="00D06A73"/>
    <w:rPr>
      <w:b/>
      <w:bCs/>
      <w:smallCaps/>
      <w:color w:val="0F4761" w:themeColor="accent1" w:themeShade="BF"/>
      <w:spacing w:val="5"/>
    </w:rPr>
  </w:style>
  <w:style w:type="paragraph" w:styleId="Header">
    <w:name w:val="header"/>
    <w:basedOn w:val="Normal"/>
    <w:link w:val="HeaderChar"/>
    <w:uiPriority w:val="99"/>
    <w:unhideWhenUsed/>
    <w:rsid w:val="00764D99"/>
    <w:pPr>
      <w:tabs>
        <w:tab w:val="center" w:pos="4513"/>
        <w:tab w:val="right" w:pos="9026"/>
      </w:tabs>
      <w:spacing w:after="0" w:line="240" w:lineRule="auto"/>
    </w:pPr>
  </w:style>
  <w:style w:type="character" w:styleId="HeaderChar" w:customStyle="1">
    <w:name w:val="Header Char"/>
    <w:basedOn w:val="DefaultParagraphFont"/>
    <w:link w:val="Header"/>
    <w:uiPriority w:val="99"/>
    <w:rsid w:val="00764D99"/>
  </w:style>
  <w:style w:type="paragraph" w:styleId="Footer">
    <w:name w:val="footer"/>
    <w:basedOn w:val="Normal"/>
    <w:link w:val="FooterChar"/>
    <w:uiPriority w:val="99"/>
    <w:unhideWhenUsed/>
    <w:rsid w:val="00764D99"/>
    <w:pPr>
      <w:tabs>
        <w:tab w:val="center" w:pos="4513"/>
        <w:tab w:val="right" w:pos="9026"/>
      </w:tabs>
      <w:spacing w:after="0" w:line="240" w:lineRule="auto"/>
    </w:pPr>
  </w:style>
  <w:style w:type="character" w:styleId="FooterChar" w:customStyle="1">
    <w:name w:val="Footer Char"/>
    <w:basedOn w:val="DefaultParagraphFont"/>
    <w:link w:val="Footer"/>
    <w:uiPriority w:val="99"/>
    <w:rsid w:val="00764D99"/>
  </w:style>
  <w:style w:type="paragraph" w:styleId="paragraph" w:customStyle="1">
    <w:name w:val="paragraph"/>
    <w:basedOn w:val="Normal"/>
    <w:rsid w:val="00057E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057E71"/>
  </w:style>
  <w:style w:type="character" w:styleId="eop" w:customStyle="1">
    <w:name w:val="eop"/>
    <w:basedOn w:val="DefaultParagraphFont"/>
    <w:rsid w:val="00057E71"/>
  </w:style>
  <w:style w:type="paragraph" w:styleId="NormalWeb">
    <w:name w:val="Normal (Web)"/>
    <w:basedOn w:val="Normal"/>
    <w:uiPriority w:val="99"/>
    <w:semiHidden/>
    <w:unhideWhenUsed/>
    <w:rsid w:val="00C62C7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C62C73"/>
    <w:rPr>
      <w:b/>
      <w:bCs/>
    </w:rPr>
  </w:style>
  <w:style w:type="character" w:styleId="Hyperlink">
    <w:uiPriority w:val="99"/>
    <w:name w:val="Hyperlink"/>
    <w:basedOn w:val="DefaultParagraphFont"/>
    <w:unhideWhenUsed/>
    <w:rsid w:val="1933AE2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682207">
      <w:bodyDiv w:val="1"/>
      <w:marLeft w:val="0"/>
      <w:marRight w:val="0"/>
      <w:marTop w:val="0"/>
      <w:marBottom w:val="0"/>
      <w:divBdr>
        <w:top w:val="none" w:sz="0" w:space="0" w:color="auto"/>
        <w:left w:val="none" w:sz="0" w:space="0" w:color="auto"/>
        <w:bottom w:val="none" w:sz="0" w:space="0" w:color="auto"/>
        <w:right w:val="none" w:sz="0" w:space="0" w:color="auto"/>
      </w:divBdr>
      <w:divsChild>
        <w:div w:id="519315736">
          <w:marLeft w:val="0"/>
          <w:marRight w:val="0"/>
          <w:marTop w:val="0"/>
          <w:marBottom w:val="0"/>
          <w:divBdr>
            <w:top w:val="none" w:sz="0" w:space="0" w:color="auto"/>
            <w:left w:val="none" w:sz="0" w:space="0" w:color="auto"/>
            <w:bottom w:val="none" w:sz="0" w:space="0" w:color="auto"/>
            <w:right w:val="none" w:sz="0" w:space="0" w:color="auto"/>
          </w:divBdr>
        </w:div>
        <w:div w:id="886069475">
          <w:marLeft w:val="0"/>
          <w:marRight w:val="0"/>
          <w:marTop w:val="0"/>
          <w:marBottom w:val="0"/>
          <w:divBdr>
            <w:top w:val="none" w:sz="0" w:space="0" w:color="auto"/>
            <w:left w:val="none" w:sz="0" w:space="0" w:color="auto"/>
            <w:bottom w:val="none" w:sz="0" w:space="0" w:color="auto"/>
            <w:right w:val="none" w:sz="0" w:space="0" w:color="auto"/>
          </w:divBdr>
        </w:div>
        <w:div w:id="797257783">
          <w:marLeft w:val="0"/>
          <w:marRight w:val="0"/>
          <w:marTop w:val="0"/>
          <w:marBottom w:val="0"/>
          <w:divBdr>
            <w:top w:val="none" w:sz="0" w:space="0" w:color="auto"/>
            <w:left w:val="none" w:sz="0" w:space="0" w:color="auto"/>
            <w:bottom w:val="none" w:sz="0" w:space="0" w:color="auto"/>
            <w:right w:val="none" w:sz="0" w:space="0" w:color="auto"/>
          </w:divBdr>
        </w:div>
        <w:div w:id="1050616281">
          <w:marLeft w:val="0"/>
          <w:marRight w:val="0"/>
          <w:marTop w:val="0"/>
          <w:marBottom w:val="0"/>
          <w:divBdr>
            <w:top w:val="none" w:sz="0" w:space="0" w:color="auto"/>
            <w:left w:val="none" w:sz="0" w:space="0" w:color="auto"/>
            <w:bottom w:val="none" w:sz="0" w:space="0" w:color="auto"/>
            <w:right w:val="none" w:sz="0" w:space="0" w:color="auto"/>
          </w:divBdr>
        </w:div>
        <w:div w:id="75441162">
          <w:marLeft w:val="0"/>
          <w:marRight w:val="0"/>
          <w:marTop w:val="0"/>
          <w:marBottom w:val="0"/>
          <w:divBdr>
            <w:top w:val="none" w:sz="0" w:space="0" w:color="auto"/>
            <w:left w:val="none" w:sz="0" w:space="0" w:color="auto"/>
            <w:bottom w:val="none" w:sz="0" w:space="0" w:color="auto"/>
            <w:right w:val="none" w:sz="0" w:space="0" w:color="auto"/>
          </w:divBdr>
        </w:div>
        <w:div w:id="894780821">
          <w:marLeft w:val="0"/>
          <w:marRight w:val="0"/>
          <w:marTop w:val="0"/>
          <w:marBottom w:val="0"/>
          <w:divBdr>
            <w:top w:val="none" w:sz="0" w:space="0" w:color="auto"/>
            <w:left w:val="none" w:sz="0" w:space="0" w:color="auto"/>
            <w:bottom w:val="none" w:sz="0" w:space="0" w:color="auto"/>
            <w:right w:val="none" w:sz="0" w:space="0" w:color="auto"/>
          </w:divBdr>
        </w:div>
        <w:div w:id="298927068">
          <w:marLeft w:val="0"/>
          <w:marRight w:val="0"/>
          <w:marTop w:val="0"/>
          <w:marBottom w:val="0"/>
          <w:divBdr>
            <w:top w:val="none" w:sz="0" w:space="0" w:color="auto"/>
            <w:left w:val="none" w:sz="0" w:space="0" w:color="auto"/>
            <w:bottom w:val="none" w:sz="0" w:space="0" w:color="auto"/>
            <w:right w:val="none" w:sz="0" w:space="0" w:color="auto"/>
          </w:divBdr>
        </w:div>
        <w:div w:id="1848474763">
          <w:marLeft w:val="0"/>
          <w:marRight w:val="0"/>
          <w:marTop w:val="0"/>
          <w:marBottom w:val="0"/>
          <w:divBdr>
            <w:top w:val="none" w:sz="0" w:space="0" w:color="auto"/>
            <w:left w:val="none" w:sz="0" w:space="0" w:color="auto"/>
            <w:bottom w:val="none" w:sz="0" w:space="0" w:color="auto"/>
            <w:right w:val="none" w:sz="0" w:space="0" w:color="auto"/>
          </w:divBdr>
        </w:div>
      </w:divsChild>
    </w:div>
    <w:div w:id="810905563">
      <w:bodyDiv w:val="1"/>
      <w:marLeft w:val="0"/>
      <w:marRight w:val="0"/>
      <w:marTop w:val="0"/>
      <w:marBottom w:val="0"/>
      <w:divBdr>
        <w:top w:val="none" w:sz="0" w:space="0" w:color="auto"/>
        <w:left w:val="none" w:sz="0" w:space="0" w:color="auto"/>
        <w:bottom w:val="none" w:sz="0" w:space="0" w:color="auto"/>
        <w:right w:val="none" w:sz="0" w:space="0" w:color="auto"/>
      </w:divBdr>
      <w:divsChild>
        <w:div w:id="1463035674">
          <w:marLeft w:val="0"/>
          <w:marRight w:val="0"/>
          <w:marTop w:val="0"/>
          <w:marBottom w:val="0"/>
          <w:divBdr>
            <w:top w:val="none" w:sz="0" w:space="0" w:color="auto"/>
            <w:left w:val="none" w:sz="0" w:space="0" w:color="auto"/>
            <w:bottom w:val="none" w:sz="0" w:space="0" w:color="auto"/>
            <w:right w:val="none" w:sz="0" w:space="0" w:color="auto"/>
          </w:divBdr>
        </w:div>
        <w:div w:id="765463467">
          <w:marLeft w:val="0"/>
          <w:marRight w:val="0"/>
          <w:marTop w:val="0"/>
          <w:marBottom w:val="0"/>
          <w:divBdr>
            <w:top w:val="none" w:sz="0" w:space="0" w:color="auto"/>
            <w:left w:val="none" w:sz="0" w:space="0" w:color="auto"/>
            <w:bottom w:val="none" w:sz="0" w:space="0" w:color="auto"/>
            <w:right w:val="none" w:sz="0" w:space="0" w:color="auto"/>
          </w:divBdr>
        </w:div>
      </w:divsChild>
    </w:div>
    <w:div w:id="999307239">
      <w:bodyDiv w:val="1"/>
      <w:marLeft w:val="0"/>
      <w:marRight w:val="0"/>
      <w:marTop w:val="0"/>
      <w:marBottom w:val="0"/>
      <w:divBdr>
        <w:top w:val="none" w:sz="0" w:space="0" w:color="auto"/>
        <w:left w:val="none" w:sz="0" w:space="0" w:color="auto"/>
        <w:bottom w:val="none" w:sz="0" w:space="0" w:color="auto"/>
        <w:right w:val="none" w:sz="0" w:space="0" w:color="auto"/>
      </w:divBdr>
      <w:divsChild>
        <w:div w:id="1166750679">
          <w:marLeft w:val="0"/>
          <w:marRight w:val="0"/>
          <w:marTop w:val="0"/>
          <w:marBottom w:val="0"/>
          <w:divBdr>
            <w:top w:val="none" w:sz="0" w:space="0" w:color="auto"/>
            <w:left w:val="none" w:sz="0" w:space="0" w:color="auto"/>
            <w:bottom w:val="none" w:sz="0" w:space="0" w:color="auto"/>
            <w:right w:val="none" w:sz="0" w:space="0" w:color="auto"/>
          </w:divBdr>
        </w:div>
        <w:div w:id="1496990238">
          <w:marLeft w:val="0"/>
          <w:marRight w:val="0"/>
          <w:marTop w:val="0"/>
          <w:marBottom w:val="0"/>
          <w:divBdr>
            <w:top w:val="none" w:sz="0" w:space="0" w:color="auto"/>
            <w:left w:val="none" w:sz="0" w:space="0" w:color="auto"/>
            <w:bottom w:val="none" w:sz="0" w:space="0" w:color="auto"/>
            <w:right w:val="none" w:sz="0" w:space="0" w:color="auto"/>
          </w:divBdr>
        </w:div>
        <w:div w:id="199707356">
          <w:marLeft w:val="0"/>
          <w:marRight w:val="0"/>
          <w:marTop w:val="0"/>
          <w:marBottom w:val="0"/>
          <w:divBdr>
            <w:top w:val="none" w:sz="0" w:space="0" w:color="auto"/>
            <w:left w:val="none" w:sz="0" w:space="0" w:color="auto"/>
            <w:bottom w:val="none" w:sz="0" w:space="0" w:color="auto"/>
            <w:right w:val="none" w:sz="0" w:space="0" w:color="auto"/>
          </w:divBdr>
        </w:div>
        <w:div w:id="1922716848">
          <w:marLeft w:val="0"/>
          <w:marRight w:val="0"/>
          <w:marTop w:val="0"/>
          <w:marBottom w:val="0"/>
          <w:divBdr>
            <w:top w:val="none" w:sz="0" w:space="0" w:color="auto"/>
            <w:left w:val="none" w:sz="0" w:space="0" w:color="auto"/>
            <w:bottom w:val="none" w:sz="0" w:space="0" w:color="auto"/>
            <w:right w:val="none" w:sz="0" w:space="0" w:color="auto"/>
          </w:divBdr>
        </w:div>
        <w:div w:id="2118520046">
          <w:marLeft w:val="0"/>
          <w:marRight w:val="0"/>
          <w:marTop w:val="0"/>
          <w:marBottom w:val="0"/>
          <w:divBdr>
            <w:top w:val="none" w:sz="0" w:space="0" w:color="auto"/>
            <w:left w:val="none" w:sz="0" w:space="0" w:color="auto"/>
            <w:bottom w:val="none" w:sz="0" w:space="0" w:color="auto"/>
            <w:right w:val="none" w:sz="0" w:space="0" w:color="auto"/>
          </w:divBdr>
        </w:div>
        <w:div w:id="163399118">
          <w:marLeft w:val="0"/>
          <w:marRight w:val="0"/>
          <w:marTop w:val="0"/>
          <w:marBottom w:val="0"/>
          <w:divBdr>
            <w:top w:val="none" w:sz="0" w:space="0" w:color="auto"/>
            <w:left w:val="none" w:sz="0" w:space="0" w:color="auto"/>
            <w:bottom w:val="none" w:sz="0" w:space="0" w:color="auto"/>
            <w:right w:val="none" w:sz="0" w:space="0" w:color="auto"/>
          </w:divBdr>
        </w:div>
        <w:div w:id="2112122484">
          <w:marLeft w:val="0"/>
          <w:marRight w:val="0"/>
          <w:marTop w:val="0"/>
          <w:marBottom w:val="0"/>
          <w:divBdr>
            <w:top w:val="none" w:sz="0" w:space="0" w:color="auto"/>
            <w:left w:val="none" w:sz="0" w:space="0" w:color="auto"/>
            <w:bottom w:val="none" w:sz="0" w:space="0" w:color="auto"/>
            <w:right w:val="none" w:sz="0" w:space="0" w:color="auto"/>
          </w:divBdr>
        </w:div>
        <w:div w:id="35469030">
          <w:marLeft w:val="0"/>
          <w:marRight w:val="0"/>
          <w:marTop w:val="0"/>
          <w:marBottom w:val="0"/>
          <w:divBdr>
            <w:top w:val="none" w:sz="0" w:space="0" w:color="auto"/>
            <w:left w:val="none" w:sz="0" w:space="0" w:color="auto"/>
            <w:bottom w:val="none" w:sz="0" w:space="0" w:color="auto"/>
            <w:right w:val="none" w:sz="0" w:space="0" w:color="auto"/>
          </w:divBdr>
        </w:div>
        <w:div w:id="745996409">
          <w:marLeft w:val="0"/>
          <w:marRight w:val="0"/>
          <w:marTop w:val="0"/>
          <w:marBottom w:val="0"/>
          <w:divBdr>
            <w:top w:val="none" w:sz="0" w:space="0" w:color="auto"/>
            <w:left w:val="none" w:sz="0" w:space="0" w:color="auto"/>
            <w:bottom w:val="none" w:sz="0" w:space="0" w:color="auto"/>
            <w:right w:val="none" w:sz="0" w:space="0" w:color="auto"/>
          </w:divBdr>
        </w:div>
        <w:div w:id="685251927">
          <w:marLeft w:val="0"/>
          <w:marRight w:val="0"/>
          <w:marTop w:val="0"/>
          <w:marBottom w:val="0"/>
          <w:divBdr>
            <w:top w:val="none" w:sz="0" w:space="0" w:color="auto"/>
            <w:left w:val="none" w:sz="0" w:space="0" w:color="auto"/>
            <w:bottom w:val="none" w:sz="0" w:space="0" w:color="auto"/>
            <w:right w:val="none" w:sz="0" w:space="0" w:color="auto"/>
          </w:divBdr>
        </w:div>
        <w:div w:id="733162752">
          <w:marLeft w:val="0"/>
          <w:marRight w:val="0"/>
          <w:marTop w:val="0"/>
          <w:marBottom w:val="0"/>
          <w:divBdr>
            <w:top w:val="none" w:sz="0" w:space="0" w:color="auto"/>
            <w:left w:val="none" w:sz="0" w:space="0" w:color="auto"/>
            <w:bottom w:val="none" w:sz="0" w:space="0" w:color="auto"/>
            <w:right w:val="none" w:sz="0" w:space="0" w:color="auto"/>
          </w:divBdr>
        </w:div>
        <w:div w:id="1923025395">
          <w:marLeft w:val="0"/>
          <w:marRight w:val="0"/>
          <w:marTop w:val="0"/>
          <w:marBottom w:val="0"/>
          <w:divBdr>
            <w:top w:val="none" w:sz="0" w:space="0" w:color="auto"/>
            <w:left w:val="none" w:sz="0" w:space="0" w:color="auto"/>
            <w:bottom w:val="none" w:sz="0" w:space="0" w:color="auto"/>
            <w:right w:val="none" w:sz="0" w:space="0" w:color="auto"/>
          </w:divBdr>
        </w:div>
        <w:div w:id="879514700">
          <w:marLeft w:val="0"/>
          <w:marRight w:val="0"/>
          <w:marTop w:val="0"/>
          <w:marBottom w:val="0"/>
          <w:divBdr>
            <w:top w:val="none" w:sz="0" w:space="0" w:color="auto"/>
            <w:left w:val="none" w:sz="0" w:space="0" w:color="auto"/>
            <w:bottom w:val="none" w:sz="0" w:space="0" w:color="auto"/>
            <w:right w:val="none" w:sz="0" w:space="0" w:color="auto"/>
          </w:divBdr>
        </w:div>
        <w:div w:id="227620970">
          <w:marLeft w:val="0"/>
          <w:marRight w:val="0"/>
          <w:marTop w:val="0"/>
          <w:marBottom w:val="0"/>
          <w:divBdr>
            <w:top w:val="none" w:sz="0" w:space="0" w:color="auto"/>
            <w:left w:val="none" w:sz="0" w:space="0" w:color="auto"/>
            <w:bottom w:val="none" w:sz="0" w:space="0" w:color="auto"/>
            <w:right w:val="none" w:sz="0" w:space="0" w:color="auto"/>
          </w:divBdr>
        </w:div>
        <w:div w:id="1119031037">
          <w:marLeft w:val="0"/>
          <w:marRight w:val="0"/>
          <w:marTop w:val="0"/>
          <w:marBottom w:val="0"/>
          <w:divBdr>
            <w:top w:val="none" w:sz="0" w:space="0" w:color="auto"/>
            <w:left w:val="none" w:sz="0" w:space="0" w:color="auto"/>
            <w:bottom w:val="none" w:sz="0" w:space="0" w:color="auto"/>
            <w:right w:val="none" w:sz="0" w:space="0" w:color="auto"/>
          </w:divBdr>
        </w:div>
        <w:div w:id="109714997">
          <w:marLeft w:val="0"/>
          <w:marRight w:val="0"/>
          <w:marTop w:val="0"/>
          <w:marBottom w:val="0"/>
          <w:divBdr>
            <w:top w:val="none" w:sz="0" w:space="0" w:color="auto"/>
            <w:left w:val="none" w:sz="0" w:space="0" w:color="auto"/>
            <w:bottom w:val="none" w:sz="0" w:space="0" w:color="auto"/>
            <w:right w:val="none" w:sz="0" w:space="0" w:color="auto"/>
          </w:divBdr>
        </w:div>
        <w:div w:id="1667129461">
          <w:marLeft w:val="0"/>
          <w:marRight w:val="0"/>
          <w:marTop w:val="0"/>
          <w:marBottom w:val="0"/>
          <w:divBdr>
            <w:top w:val="none" w:sz="0" w:space="0" w:color="auto"/>
            <w:left w:val="none" w:sz="0" w:space="0" w:color="auto"/>
            <w:bottom w:val="none" w:sz="0" w:space="0" w:color="auto"/>
            <w:right w:val="none" w:sz="0" w:space="0" w:color="auto"/>
          </w:divBdr>
        </w:div>
        <w:div w:id="244849911">
          <w:marLeft w:val="0"/>
          <w:marRight w:val="0"/>
          <w:marTop w:val="0"/>
          <w:marBottom w:val="0"/>
          <w:divBdr>
            <w:top w:val="none" w:sz="0" w:space="0" w:color="auto"/>
            <w:left w:val="none" w:sz="0" w:space="0" w:color="auto"/>
            <w:bottom w:val="none" w:sz="0" w:space="0" w:color="auto"/>
            <w:right w:val="none" w:sz="0" w:space="0" w:color="auto"/>
          </w:divBdr>
        </w:div>
        <w:div w:id="1286230899">
          <w:marLeft w:val="0"/>
          <w:marRight w:val="0"/>
          <w:marTop w:val="0"/>
          <w:marBottom w:val="0"/>
          <w:divBdr>
            <w:top w:val="none" w:sz="0" w:space="0" w:color="auto"/>
            <w:left w:val="none" w:sz="0" w:space="0" w:color="auto"/>
            <w:bottom w:val="none" w:sz="0" w:space="0" w:color="auto"/>
            <w:right w:val="none" w:sz="0" w:space="0" w:color="auto"/>
          </w:divBdr>
        </w:div>
        <w:div w:id="365522825">
          <w:marLeft w:val="0"/>
          <w:marRight w:val="0"/>
          <w:marTop w:val="0"/>
          <w:marBottom w:val="0"/>
          <w:divBdr>
            <w:top w:val="none" w:sz="0" w:space="0" w:color="auto"/>
            <w:left w:val="none" w:sz="0" w:space="0" w:color="auto"/>
            <w:bottom w:val="none" w:sz="0" w:space="0" w:color="auto"/>
            <w:right w:val="none" w:sz="0" w:space="0" w:color="auto"/>
          </w:divBdr>
        </w:div>
        <w:div w:id="94905357">
          <w:marLeft w:val="0"/>
          <w:marRight w:val="0"/>
          <w:marTop w:val="0"/>
          <w:marBottom w:val="0"/>
          <w:divBdr>
            <w:top w:val="none" w:sz="0" w:space="0" w:color="auto"/>
            <w:left w:val="none" w:sz="0" w:space="0" w:color="auto"/>
            <w:bottom w:val="none" w:sz="0" w:space="0" w:color="auto"/>
            <w:right w:val="none" w:sz="0" w:space="0" w:color="auto"/>
          </w:divBdr>
        </w:div>
        <w:div w:id="524560116">
          <w:marLeft w:val="0"/>
          <w:marRight w:val="0"/>
          <w:marTop w:val="0"/>
          <w:marBottom w:val="0"/>
          <w:divBdr>
            <w:top w:val="none" w:sz="0" w:space="0" w:color="auto"/>
            <w:left w:val="none" w:sz="0" w:space="0" w:color="auto"/>
            <w:bottom w:val="none" w:sz="0" w:space="0" w:color="auto"/>
            <w:right w:val="none" w:sz="0" w:space="0" w:color="auto"/>
          </w:divBdr>
        </w:div>
        <w:div w:id="1873036717">
          <w:marLeft w:val="0"/>
          <w:marRight w:val="0"/>
          <w:marTop w:val="0"/>
          <w:marBottom w:val="0"/>
          <w:divBdr>
            <w:top w:val="none" w:sz="0" w:space="0" w:color="auto"/>
            <w:left w:val="none" w:sz="0" w:space="0" w:color="auto"/>
            <w:bottom w:val="none" w:sz="0" w:space="0" w:color="auto"/>
            <w:right w:val="none" w:sz="0" w:space="0" w:color="auto"/>
          </w:divBdr>
        </w:div>
        <w:div w:id="683020789">
          <w:marLeft w:val="0"/>
          <w:marRight w:val="0"/>
          <w:marTop w:val="0"/>
          <w:marBottom w:val="0"/>
          <w:divBdr>
            <w:top w:val="none" w:sz="0" w:space="0" w:color="auto"/>
            <w:left w:val="none" w:sz="0" w:space="0" w:color="auto"/>
            <w:bottom w:val="none" w:sz="0" w:space="0" w:color="auto"/>
            <w:right w:val="none" w:sz="0" w:space="0" w:color="auto"/>
          </w:divBdr>
        </w:div>
        <w:div w:id="1776821451">
          <w:marLeft w:val="0"/>
          <w:marRight w:val="0"/>
          <w:marTop w:val="0"/>
          <w:marBottom w:val="0"/>
          <w:divBdr>
            <w:top w:val="none" w:sz="0" w:space="0" w:color="auto"/>
            <w:left w:val="none" w:sz="0" w:space="0" w:color="auto"/>
            <w:bottom w:val="none" w:sz="0" w:space="0" w:color="auto"/>
            <w:right w:val="none" w:sz="0" w:space="0" w:color="auto"/>
          </w:divBdr>
        </w:div>
        <w:div w:id="411660449">
          <w:marLeft w:val="0"/>
          <w:marRight w:val="0"/>
          <w:marTop w:val="0"/>
          <w:marBottom w:val="0"/>
          <w:divBdr>
            <w:top w:val="none" w:sz="0" w:space="0" w:color="auto"/>
            <w:left w:val="none" w:sz="0" w:space="0" w:color="auto"/>
            <w:bottom w:val="none" w:sz="0" w:space="0" w:color="auto"/>
            <w:right w:val="none" w:sz="0" w:space="0" w:color="auto"/>
          </w:divBdr>
        </w:div>
        <w:div w:id="1793204960">
          <w:marLeft w:val="0"/>
          <w:marRight w:val="0"/>
          <w:marTop w:val="0"/>
          <w:marBottom w:val="0"/>
          <w:divBdr>
            <w:top w:val="none" w:sz="0" w:space="0" w:color="auto"/>
            <w:left w:val="none" w:sz="0" w:space="0" w:color="auto"/>
            <w:bottom w:val="none" w:sz="0" w:space="0" w:color="auto"/>
            <w:right w:val="none" w:sz="0" w:space="0" w:color="auto"/>
          </w:divBdr>
        </w:div>
        <w:div w:id="1961296775">
          <w:marLeft w:val="0"/>
          <w:marRight w:val="0"/>
          <w:marTop w:val="0"/>
          <w:marBottom w:val="0"/>
          <w:divBdr>
            <w:top w:val="none" w:sz="0" w:space="0" w:color="auto"/>
            <w:left w:val="none" w:sz="0" w:space="0" w:color="auto"/>
            <w:bottom w:val="none" w:sz="0" w:space="0" w:color="auto"/>
            <w:right w:val="none" w:sz="0" w:space="0" w:color="auto"/>
          </w:divBdr>
        </w:div>
        <w:div w:id="1471829219">
          <w:marLeft w:val="0"/>
          <w:marRight w:val="0"/>
          <w:marTop w:val="0"/>
          <w:marBottom w:val="0"/>
          <w:divBdr>
            <w:top w:val="none" w:sz="0" w:space="0" w:color="auto"/>
            <w:left w:val="none" w:sz="0" w:space="0" w:color="auto"/>
            <w:bottom w:val="none" w:sz="0" w:space="0" w:color="auto"/>
            <w:right w:val="none" w:sz="0" w:space="0" w:color="auto"/>
          </w:divBdr>
        </w:div>
        <w:div w:id="892424080">
          <w:marLeft w:val="0"/>
          <w:marRight w:val="0"/>
          <w:marTop w:val="0"/>
          <w:marBottom w:val="0"/>
          <w:divBdr>
            <w:top w:val="none" w:sz="0" w:space="0" w:color="auto"/>
            <w:left w:val="none" w:sz="0" w:space="0" w:color="auto"/>
            <w:bottom w:val="none" w:sz="0" w:space="0" w:color="auto"/>
            <w:right w:val="none" w:sz="0" w:space="0" w:color="auto"/>
          </w:divBdr>
        </w:div>
        <w:div w:id="1963804126">
          <w:marLeft w:val="0"/>
          <w:marRight w:val="0"/>
          <w:marTop w:val="0"/>
          <w:marBottom w:val="0"/>
          <w:divBdr>
            <w:top w:val="none" w:sz="0" w:space="0" w:color="auto"/>
            <w:left w:val="none" w:sz="0" w:space="0" w:color="auto"/>
            <w:bottom w:val="none" w:sz="0" w:space="0" w:color="auto"/>
            <w:right w:val="none" w:sz="0" w:space="0" w:color="auto"/>
          </w:divBdr>
        </w:div>
        <w:div w:id="1873037445">
          <w:marLeft w:val="0"/>
          <w:marRight w:val="0"/>
          <w:marTop w:val="0"/>
          <w:marBottom w:val="0"/>
          <w:divBdr>
            <w:top w:val="none" w:sz="0" w:space="0" w:color="auto"/>
            <w:left w:val="none" w:sz="0" w:space="0" w:color="auto"/>
            <w:bottom w:val="none" w:sz="0" w:space="0" w:color="auto"/>
            <w:right w:val="none" w:sz="0" w:space="0" w:color="auto"/>
          </w:divBdr>
        </w:div>
        <w:div w:id="614678691">
          <w:marLeft w:val="0"/>
          <w:marRight w:val="0"/>
          <w:marTop w:val="0"/>
          <w:marBottom w:val="0"/>
          <w:divBdr>
            <w:top w:val="none" w:sz="0" w:space="0" w:color="auto"/>
            <w:left w:val="none" w:sz="0" w:space="0" w:color="auto"/>
            <w:bottom w:val="none" w:sz="0" w:space="0" w:color="auto"/>
            <w:right w:val="none" w:sz="0" w:space="0" w:color="auto"/>
          </w:divBdr>
        </w:div>
        <w:div w:id="1209302016">
          <w:marLeft w:val="0"/>
          <w:marRight w:val="0"/>
          <w:marTop w:val="0"/>
          <w:marBottom w:val="0"/>
          <w:divBdr>
            <w:top w:val="none" w:sz="0" w:space="0" w:color="auto"/>
            <w:left w:val="none" w:sz="0" w:space="0" w:color="auto"/>
            <w:bottom w:val="none" w:sz="0" w:space="0" w:color="auto"/>
            <w:right w:val="none" w:sz="0" w:space="0" w:color="auto"/>
          </w:divBdr>
        </w:div>
        <w:div w:id="1051153396">
          <w:marLeft w:val="0"/>
          <w:marRight w:val="0"/>
          <w:marTop w:val="0"/>
          <w:marBottom w:val="0"/>
          <w:divBdr>
            <w:top w:val="none" w:sz="0" w:space="0" w:color="auto"/>
            <w:left w:val="none" w:sz="0" w:space="0" w:color="auto"/>
            <w:bottom w:val="none" w:sz="0" w:space="0" w:color="auto"/>
            <w:right w:val="none" w:sz="0" w:space="0" w:color="auto"/>
          </w:divBdr>
        </w:div>
        <w:div w:id="1168058194">
          <w:marLeft w:val="0"/>
          <w:marRight w:val="0"/>
          <w:marTop w:val="0"/>
          <w:marBottom w:val="0"/>
          <w:divBdr>
            <w:top w:val="none" w:sz="0" w:space="0" w:color="auto"/>
            <w:left w:val="none" w:sz="0" w:space="0" w:color="auto"/>
            <w:bottom w:val="none" w:sz="0" w:space="0" w:color="auto"/>
            <w:right w:val="none" w:sz="0" w:space="0" w:color="auto"/>
          </w:divBdr>
        </w:div>
        <w:div w:id="34545335">
          <w:marLeft w:val="0"/>
          <w:marRight w:val="0"/>
          <w:marTop w:val="0"/>
          <w:marBottom w:val="0"/>
          <w:divBdr>
            <w:top w:val="none" w:sz="0" w:space="0" w:color="auto"/>
            <w:left w:val="none" w:sz="0" w:space="0" w:color="auto"/>
            <w:bottom w:val="none" w:sz="0" w:space="0" w:color="auto"/>
            <w:right w:val="none" w:sz="0" w:space="0" w:color="auto"/>
          </w:divBdr>
        </w:div>
        <w:div w:id="1734498464">
          <w:marLeft w:val="0"/>
          <w:marRight w:val="0"/>
          <w:marTop w:val="0"/>
          <w:marBottom w:val="0"/>
          <w:divBdr>
            <w:top w:val="none" w:sz="0" w:space="0" w:color="auto"/>
            <w:left w:val="none" w:sz="0" w:space="0" w:color="auto"/>
            <w:bottom w:val="none" w:sz="0" w:space="0" w:color="auto"/>
            <w:right w:val="none" w:sz="0" w:space="0" w:color="auto"/>
          </w:divBdr>
        </w:div>
        <w:div w:id="202330478">
          <w:marLeft w:val="0"/>
          <w:marRight w:val="0"/>
          <w:marTop w:val="0"/>
          <w:marBottom w:val="0"/>
          <w:divBdr>
            <w:top w:val="none" w:sz="0" w:space="0" w:color="auto"/>
            <w:left w:val="none" w:sz="0" w:space="0" w:color="auto"/>
            <w:bottom w:val="none" w:sz="0" w:space="0" w:color="auto"/>
            <w:right w:val="none" w:sz="0" w:space="0" w:color="auto"/>
          </w:divBdr>
        </w:div>
        <w:div w:id="90468012">
          <w:marLeft w:val="0"/>
          <w:marRight w:val="0"/>
          <w:marTop w:val="0"/>
          <w:marBottom w:val="0"/>
          <w:divBdr>
            <w:top w:val="none" w:sz="0" w:space="0" w:color="auto"/>
            <w:left w:val="none" w:sz="0" w:space="0" w:color="auto"/>
            <w:bottom w:val="none" w:sz="0" w:space="0" w:color="auto"/>
            <w:right w:val="none" w:sz="0" w:space="0" w:color="auto"/>
          </w:divBdr>
        </w:div>
        <w:div w:id="1985574560">
          <w:marLeft w:val="0"/>
          <w:marRight w:val="0"/>
          <w:marTop w:val="0"/>
          <w:marBottom w:val="0"/>
          <w:divBdr>
            <w:top w:val="none" w:sz="0" w:space="0" w:color="auto"/>
            <w:left w:val="none" w:sz="0" w:space="0" w:color="auto"/>
            <w:bottom w:val="none" w:sz="0" w:space="0" w:color="auto"/>
            <w:right w:val="none" w:sz="0" w:space="0" w:color="auto"/>
          </w:divBdr>
        </w:div>
        <w:div w:id="233056160">
          <w:marLeft w:val="0"/>
          <w:marRight w:val="0"/>
          <w:marTop w:val="0"/>
          <w:marBottom w:val="0"/>
          <w:divBdr>
            <w:top w:val="none" w:sz="0" w:space="0" w:color="auto"/>
            <w:left w:val="none" w:sz="0" w:space="0" w:color="auto"/>
            <w:bottom w:val="none" w:sz="0" w:space="0" w:color="auto"/>
            <w:right w:val="none" w:sz="0" w:space="0" w:color="auto"/>
          </w:divBdr>
        </w:div>
        <w:div w:id="1204059008">
          <w:marLeft w:val="0"/>
          <w:marRight w:val="0"/>
          <w:marTop w:val="0"/>
          <w:marBottom w:val="0"/>
          <w:divBdr>
            <w:top w:val="none" w:sz="0" w:space="0" w:color="auto"/>
            <w:left w:val="none" w:sz="0" w:space="0" w:color="auto"/>
            <w:bottom w:val="none" w:sz="0" w:space="0" w:color="auto"/>
            <w:right w:val="none" w:sz="0" w:space="0" w:color="auto"/>
          </w:divBdr>
        </w:div>
        <w:div w:id="2143688127">
          <w:marLeft w:val="0"/>
          <w:marRight w:val="0"/>
          <w:marTop w:val="0"/>
          <w:marBottom w:val="0"/>
          <w:divBdr>
            <w:top w:val="none" w:sz="0" w:space="0" w:color="auto"/>
            <w:left w:val="none" w:sz="0" w:space="0" w:color="auto"/>
            <w:bottom w:val="none" w:sz="0" w:space="0" w:color="auto"/>
            <w:right w:val="none" w:sz="0" w:space="0" w:color="auto"/>
          </w:divBdr>
        </w:div>
        <w:div w:id="1311053260">
          <w:marLeft w:val="0"/>
          <w:marRight w:val="0"/>
          <w:marTop w:val="0"/>
          <w:marBottom w:val="0"/>
          <w:divBdr>
            <w:top w:val="none" w:sz="0" w:space="0" w:color="auto"/>
            <w:left w:val="none" w:sz="0" w:space="0" w:color="auto"/>
            <w:bottom w:val="none" w:sz="0" w:space="0" w:color="auto"/>
            <w:right w:val="none" w:sz="0" w:space="0" w:color="auto"/>
          </w:divBdr>
        </w:div>
        <w:div w:id="1334723277">
          <w:marLeft w:val="0"/>
          <w:marRight w:val="0"/>
          <w:marTop w:val="0"/>
          <w:marBottom w:val="0"/>
          <w:divBdr>
            <w:top w:val="none" w:sz="0" w:space="0" w:color="auto"/>
            <w:left w:val="none" w:sz="0" w:space="0" w:color="auto"/>
            <w:bottom w:val="none" w:sz="0" w:space="0" w:color="auto"/>
            <w:right w:val="none" w:sz="0" w:space="0" w:color="auto"/>
          </w:divBdr>
        </w:div>
        <w:div w:id="1397506869">
          <w:marLeft w:val="0"/>
          <w:marRight w:val="0"/>
          <w:marTop w:val="0"/>
          <w:marBottom w:val="0"/>
          <w:divBdr>
            <w:top w:val="none" w:sz="0" w:space="0" w:color="auto"/>
            <w:left w:val="none" w:sz="0" w:space="0" w:color="auto"/>
            <w:bottom w:val="none" w:sz="0" w:space="0" w:color="auto"/>
            <w:right w:val="none" w:sz="0" w:space="0" w:color="auto"/>
          </w:divBdr>
        </w:div>
        <w:div w:id="1513177201">
          <w:marLeft w:val="0"/>
          <w:marRight w:val="0"/>
          <w:marTop w:val="0"/>
          <w:marBottom w:val="0"/>
          <w:divBdr>
            <w:top w:val="none" w:sz="0" w:space="0" w:color="auto"/>
            <w:left w:val="none" w:sz="0" w:space="0" w:color="auto"/>
            <w:bottom w:val="none" w:sz="0" w:space="0" w:color="auto"/>
            <w:right w:val="none" w:sz="0" w:space="0" w:color="auto"/>
          </w:divBdr>
        </w:div>
        <w:div w:id="1480418100">
          <w:marLeft w:val="0"/>
          <w:marRight w:val="0"/>
          <w:marTop w:val="0"/>
          <w:marBottom w:val="0"/>
          <w:divBdr>
            <w:top w:val="none" w:sz="0" w:space="0" w:color="auto"/>
            <w:left w:val="none" w:sz="0" w:space="0" w:color="auto"/>
            <w:bottom w:val="none" w:sz="0" w:space="0" w:color="auto"/>
            <w:right w:val="none" w:sz="0" w:space="0" w:color="auto"/>
          </w:divBdr>
        </w:div>
        <w:div w:id="1724332570">
          <w:marLeft w:val="0"/>
          <w:marRight w:val="0"/>
          <w:marTop w:val="0"/>
          <w:marBottom w:val="0"/>
          <w:divBdr>
            <w:top w:val="none" w:sz="0" w:space="0" w:color="auto"/>
            <w:left w:val="none" w:sz="0" w:space="0" w:color="auto"/>
            <w:bottom w:val="none" w:sz="0" w:space="0" w:color="auto"/>
            <w:right w:val="none" w:sz="0" w:space="0" w:color="auto"/>
          </w:divBdr>
        </w:div>
        <w:div w:id="2125146377">
          <w:marLeft w:val="0"/>
          <w:marRight w:val="0"/>
          <w:marTop w:val="0"/>
          <w:marBottom w:val="0"/>
          <w:divBdr>
            <w:top w:val="none" w:sz="0" w:space="0" w:color="auto"/>
            <w:left w:val="none" w:sz="0" w:space="0" w:color="auto"/>
            <w:bottom w:val="none" w:sz="0" w:space="0" w:color="auto"/>
            <w:right w:val="none" w:sz="0" w:space="0" w:color="auto"/>
          </w:divBdr>
        </w:div>
        <w:div w:id="1158496275">
          <w:marLeft w:val="0"/>
          <w:marRight w:val="0"/>
          <w:marTop w:val="0"/>
          <w:marBottom w:val="0"/>
          <w:divBdr>
            <w:top w:val="none" w:sz="0" w:space="0" w:color="auto"/>
            <w:left w:val="none" w:sz="0" w:space="0" w:color="auto"/>
            <w:bottom w:val="none" w:sz="0" w:space="0" w:color="auto"/>
            <w:right w:val="none" w:sz="0" w:space="0" w:color="auto"/>
          </w:divBdr>
        </w:div>
        <w:div w:id="1067454283">
          <w:marLeft w:val="0"/>
          <w:marRight w:val="0"/>
          <w:marTop w:val="0"/>
          <w:marBottom w:val="0"/>
          <w:divBdr>
            <w:top w:val="none" w:sz="0" w:space="0" w:color="auto"/>
            <w:left w:val="none" w:sz="0" w:space="0" w:color="auto"/>
            <w:bottom w:val="none" w:sz="0" w:space="0" w:color="auto"/>
            <w:right w:val="none" w:sz="0" w:space="0" w:color="auto"/>
          </w:divBdr>
        </w:div>
        <w:div w:id="1294604147">
          <w:marLeft w:val="0"/>
          <w:marRight w:val="0"/>
          <w:marTop w:val="0"/>
          <w:marBottom w:val="0"/>
          <w:divBdr>
            <w:top w:val="none" w:sz="0" w:space="0" w:color="auto"/>
            <w:left w:val="none" w:sz="0" w:space="0" w:color="auto"/>
            <w:bottom w:val="none" w:sz="0" w:space="0" w:color="auto"/>
            <w:right w:val="none" w:sz="0" w:space="0" w:color="auto"/>
          </w:divBdr>
        </w:div>
        <w:div w:id="553659100">
          <w:marLeft w:val="0"/>
          <w:marRight w:val="0"/>
          <w:marTop w:val="0"/>
          <w:marBottom w:val="0"/>
          <w:divBdr>
            <w:top w:val="none" w:sz="0" w:space="0" w:color="auto"/>
            <w:left w:val="none" w:sz="0" w:space="0" w:color="auto"/>
            <w:bottom w:val="none" w:sz="0" w:space="0" w:color="auto"/>
            <w:right w:val="none" w:sz="0" w:space="0" w:color="auto"/>
          </w:divBdr>
        </w:div>
        <w:div w:id="1171027921">
          <w:marLeft w:val="0"/>
          <w:marRight w:val="0"/>
          <w:marTop w:val="0"/>
          <w:marBottom w:val="0"/>
          <w:divBdr>
            <w:top w:val="none" w:sz="0" w:space="0" w:color="auto"/>
            <w:left w:val="none" w:sz="0" w:space="0" w:color="auto"/>
            <w:bottom w:val="none" w:sz="0" w:space="0" w:color="auto"/>
            <w:right w:val="none" w:sz="0" w:space="0" w:color="auto"/>
          </w:divBdr>
        </w:div>
      </w:divsChild>
    </w:div>
    <w:div w:id="1393432135">
      <w:bodyDiv w:val="1"/>
      <w:marLeft w:val="0"/>
      <w:marRight w:val="0"/>
      <w:marTop w:val="0"/>
      <w:marBottom w:val="0"/>
      <w:divBdr>
        <w:top w:val="none" w:sz="0" w:space="0" w:color="auto"/>
        <w:left w:val="none" w:sz="0" w:space="0" w:color="auto"/>
        <w:bottom w:val="none" w:sz="0" w:space="0" w:color="auto"/>
        <w:right w:val="none" w:sz="0" w:space="0" w:color="auto"/>
      </w:divBdr>
      <w:divsChild>
        <w:div w:id="337854261">
          <w:marLeft w:val="0"/>
          <w:marRight w:val="0"/>
          <w:marTop w:val="0"/>
          <w:marBottom w:val="0"/>
          <w:divBdr>
            <w:top w:val="none" w:sz="0" w:space="0" w:color="auto"/>
            <w:left w:val="none" w:sz="0" w:space="0" w:color="auto"/>
            <w:bottom w:val="none" w:sz="0" w:space="0" w:color="auto"/>
            <w:right w:val="none" w:sz="0" w:space="0" w:color="auto"/>
          </w:divBdr>
        </w:div>
        <w:div w:id="2055887103">
          <w:marLeft w:val="0"/>
          <w:marRight w:val="0"/>
          <w:marTop w:val="0"/>
          <w:marBottom w:val="0"/>
          <w:divBdr>
            <w:top w:val="none" w:sz="0" w:space="0" w:color="auto"/>
            <w:left w:val="none" w:sz="0" w:space="0" w:color="auto"/>
            <w:bottom w:val="none" w:sz="0" w:space="0" w:color="auto"/>
            <w:right w:val="none" w:sz="0" w:space="0" w:color="auto"/>
          </w:divBdr>
        </w:div>
      </w:divsChild>
    </w:div>
    <w:div w:id="1605456297">
      <w:bodyDiv w:val="1"/>
      <w:marLeft w:val="0"/>
      <w:marRight w:val="0"/>
      <w:marTop w:val="0"/>
      <w:marBottom w:val="0"/>
      <w:divBdr>
        <w:top w:val="none" w:sz="0" w:space="0" w:color="auto"/>
        <w:left w:val="none" w:sz="0" w:space="0" w:color="auto"/>
        <w:bottom w:val="none" w:sz="0" w:space="0" w:color="auto"/>
        <w:right w:val="none" w:sz="0" w:space="0" w:color="auto"/>
      </w:divBdr>
    </w:div>
    <w:div w:id="1726176379">
      <w:bodyDiv w:val="1"/>
      <w:marLeft w:val="0"/>
      <w:marRight w:val="0"/>
      <w:marTop w:val="0"/>
      <w:marBottom w:val="0"/>
      <w:divBdr>
        <w:top w:val="none" w:sz="0" w:space="0" w:color="auto"/>
        <w:left w:val="none" w:sz="0" w:space="0" w:color="auto"/>
        <w:bottom w:val="none" w:sz="0" w:space="0" w:color="auto"/>
        <w:right w:val="none" w:sz="0" w:space="0" w:color="auto"/>
      </w:divBdr>
    </w:div>
    <w:div w:id="1728530980">
      <w:bodyDiv w:val="1"/>
      <w:marLeft w:val="0"/>
      <w:marRight w:val="0"/>
      <w:marTop w:val="0"/>
      <w:marBottom w:val="0"/>
      <w:divBdr>
        <w:top w:val="none" w:sz="0" w:space="0" w:color="auto"/>
        <w:left w:val="none" w:sz="0" w:space="0" w:color="auto"/>
        <w:bottom w:val="none" w:sz="0" w:space="0" w:color="auto"/>
        <w:right w:val="none" w:sz="0" w:space="0" w:color="auto"/>
      </w:divBdr>
      <w:divsChild>
        <w:div w:id="1484004632">
          <w:marLeft w:val="0"/>
          <w:marRight w:val="0"/>
          <w:marTop w:val="0"/>
          <w:marBottom w:val="0"/>
          <w:divBdr>
            <w:top w:val="none" w:sz="0" w:space="0" w:color="auto"/>
            <w:left w:val="none" w:sz="0" w:space="0" w:color="auto"/>
            <w:bottom w:val="none" w:sz="0" w:space="0" w:color="auto"/>
            <w:right w:val="none" w:sz="0" w:space="0" w:color="auto"/>
          </w:divBdr>
        </w:div>
        <w:div w:id="935868108">
          <w:marLeft w:val="0"/>
          <w:marRight w:val="0"/>
          <w:marTop w:val="0"/>
          <w:marBottom w:val="0"/>
          <w:divBdr>
            <w:top w:val="none" w:sz="0" w:space="0" w:color="auto"/>
            <w:left w:val="none" w:sz="0" w:space="0" w:color="auto"/>
            <w:bottom w:val="none" w:sz="0" w:space="0" w:color="auto"/>
            <w:right w:val="none" w:sz="0" w:space="0" w:color="auto"/>
          </w:divBdr>
        </w:div>
        <w:div w:id="1119493864">
          <w:marLeft w:val="0"/>
          <w:marRight w:val="0"/>
          <w:marTop w:val="0"/>
          <w:marBottom w:val="0"/>
          <w:divBdr>
            <w:top w:val="none" w:sz="0" w:space="0" w:color="auto"/>
            <w:left w:val="none" w:sz="0" w:space="0" w:color="auto"/>
            <w:bottom w:val="none" w:sz="0" w:space="0" w:color="auto"/>
            <w:right w:val="none" w:sz="0" w:space="0" w:color="auto"/>
          </w:divBdr>
        </w:div>
        <w:div w:id="1008289754">
          <w:marLeft w:val="0"/>
          <w:marRight w:val="0"/>
          <w:marTop w:val="0"/>
          <w:marBottom w:val="0"/>
          <w:divBdr>
            <w:top w:val="none" w:sz="0" w:space="0" w:color="auto"/>
            <w:left w:val="none" w:sz="0" w:space="0" w:color="auto"/>
            <w:bottom w:val="none" w:sz="0" w:space="0" w:color="auto"/>
            <w:right w:val="none" w:sz="0" w:space="0" w:color="auto"/>
          </w:divBdr>
        </w:div>
        <w:div w:id="111560696">
          <w:marLeft w:val="0"/>
          <w:marRight w:val="0"/>
          <w:marTop w:val="0"/>
          <w:marBottom w:val="0"/>
          <w:divBdr>
            <w:top w:val="none" w:sz="0" w:space="0" w:color="auto"/>
            <w:left w:val="none" w:sz="0" w:space="0" w:color="auto"/>
            <w:bottom w:val="none" w:sz="0" w:space="0" w:color="auto"/>
            <w:right w:val="none" w:sz="0" w:space="0" w:color="auto"/>
          </w:divBdr>
        </w:div>
        <w:div w:id="261762060">
          <w:marLeft w:val="0"/>
          <w:marRight w:val="0"/>
          <w:marTop w:val="0"/>
          <w:marBottom w:val="0"/>
          <w:divBdr>
            <w:top w:val="none" w:sz="0" w:space="0" w:color="auto"/>
            <w:left w:val="none" w:sz="0" w:space="0" w:color="auto"/>
            <w:bottom w:val="none" w:sz="0" w:space="0" w:color="auto"/>
            <w:right w:val="none" w:sz="0" w:space="0" w:color="auto"/>
          </w:divBdr>
        </w:div>
        <w:div w:id="1634948510">
          <w:marLeft w:val="0"/>
          <w:marRight w:val="0"/>
          <w:marTop w:val="0"/>
          <w:marBottom w:val="0"/>
          <w:divBdr>
            <w:top w:val="none" w:sz="0" w:space="0" w:color="auto"/>
            <w:left w:val="none" w:sz="0" w:space="0" w:color="auto"/>
            <w:bottom w:val="none" w:sz="0" w:space="0" w:color="auto"/>
            <w:right w:val="none" w:sz="0" w:space="0" w:color="auto"/>
          </w:divBdr>
        </w:div>
        <w:div w:id="520123860">
          <w:marLeft w:val="0"/>
          <w:marRight w:val="0"/>
          <w:marTop w:val="0"/>
          <w:marBottom w:val="0"/>
          <w:divBdr>
            <w:top w:val="none" w:sz="0" w:space="0" w:color="auto"/>
            <w:left w:val="none" w:sz="0" w:space="0" w:color="auto"/>
            <w:bottom w:val="none" w:sz="0" w:space="0" w:color="auto"/>
            <w:right w:val="none" w:sz="0" w:space="0" w:color="auto"/>
          </w:divBdr>
        </w:div>
        <w:div w:id="1599868925">
          <w:marLeft w:val="0"/>
          <w:marRight w:val="0"/>
          <w:marTop w:val="0"/>
          <w:marBottom w:val="0"/>
          <w:divBdr>
            <w:top w:val="none" w:sz="0" w:space="0" w:color="auto"/>
            <w:left w:val="none" w:sz="0" w:space="0" w:color="auto"/>
            <w:bottom w:val="none" w:sz="0" w:space="0" w:color="auto"/>
            <w:right w:val="none" w:sz="0" w:space="0" w:color="auto"/>
          </w:divBdr>
        </w:div>
        <w:div w:id="1482038559">
          <w:marLeft w:val="0"/>
          <w:marRight w:val="0"/>
          <w:marTop w:val="0"/>
          <w:marBottom w:val="0"/>
          <w:divBdr>
            <w:top w:val="none" w:sz="0" w:space="0" w:color="auto"/>
            <w:left w:val="none" w:sz="0" w:space="0" w:color="auto"/>
            <w:bottom w:val="none" w:sz="0" w:space="0" w:color="auto"/>
            <w:right w:val="none" w:sz="0" w:space="0" w:color="auto"/>
          </w:divBdr>
        </w:div>
        <w:div w:id="1325889002">
          <w:marLeft w:val="0"/>
          <w:marRight w:val="0"/>
          <w:marTop w:val="0"/>
          <w:marBottom w:val="0"/>
          <w:divBdr>
            <w:top w:val="none" w:sz="0" w:space="0" w:color="auto"/>
            <w:left w:val="none" w:sz="0" w:space="0" w:color="auto"/>
            <w:bottom w:val="none" w:sz="0" w:space="0" w:color="auto"/>
            <w:right w:val="none" w:sz="0" w:space="0" w:color="auto"/>
          </w:divBdr>
        </w:div>
        <w:div w:id="1159736858">
          <w:marLeft w:val="0"/>
          <w:marRight w:val="0"/>
          <w:marTop w:val="0"/>
          <w:marBottom w:val="0"/>
          <w:divBdr>
            <w:top w:val="none" w:sz="0" w:space="0" w:color="auto"/>
            <w:left w:val="none" w:sz="0" w:space="0" w:color="auto"/>
            <w:bottom w:val="none" w:sz="0" w:space="0" w:color="auto"/>
            <w:right w:val="none" w:sz="0" w:space="0" w:color="auto"/>
          </w:divBdr>
        </w:div>
        <w:div w:id="549221075">
          <w:marLeft w:val="0"/>
          <w:marRight w:val="0"/>
          <w:marTop w:val="0"/>
          <w:marBottom w:val="0"/>
          <w:divBdr>
            <w:top w:val="none" w:sz="0" w:space="0" w:color="auto"/>
            <w:left w:val="none" w:sz="0" w:space="0" w:color="auto"/>
            <w:bottom w:val="none" w:sz="0" w:space="0" w:color="auto"/>
            <w:right w:val="none" w:sz="0" w:space="0" w:color="auto"/>
          </w:divBdr>
        </w:div>
        <w:div w:id="754325941">
          <w:marLeft w:val="0"/>
          <w:marRight w:val="0"/>
          <w:marTop w:val="0"/>
          <w:marBottom w:val="0"/>
          <w:divBdr>
            <w:top w:val="none" w:sz="0" w:space="0" w:color="auto"/>
            <w:left w:val="none" w:sz="0" w:space="0" w:color="auto"/>
            <w:bottom w:val="none" w:sz="0" w:space="0" w:color="auto"/>
            <w:right w:val="none" w:sz="0" w:space="0" w:color="auto"/>
          </w:divBdr>
        </w:div>
        <w:div w:id="1146630147">
          <w:marLeft w:val="0"/>
          <w:marRight w:val="0"/>
          <w:marTop w:val="0"/>
          <w:marBottom w:val="0"/>
          <w:divBdr>
            <w:top w:val="none" w:sz="0" w:space="0" w:color="auto"/>
            <w:left w:val="none" w:sz="0" w:space="0" w:color="auto"/>
            <w:bottom w:val="none" w:sz="0" w:space="0" w:color="auto"/>
            <w:right w:val="none" w:sz="0" w:space="0" w:color="auto"/>
          </w:divBdr>
        </w:div>
        <w:div w:id="1861386154">
          <w:marLeft w:val="0"/>
          <w:marRight w:val="0"/>
          <w:marTop w:val="0"/>
          <w:marBottom w:val="0"/>
          <w:divBdr>
            <w:top w:val="none" w:sz="0" w:space="0" w:color="auto"/>
            <w:left w:val="none" w:sz="0" w:space="0" w:color="auto"/>
            <w:bottom w:val="none" w:sz="0" w:space="0" w:color="auto"/>
            <w:right w:val="none" w:sz="0" w:space="0" w:color="auto"/>
          </w:divBdr>
        </w:div>
        <w:div w:id="1379360579">
          <w:marLeft w:val="0"/>
          <w:marRight w:val="0"/>
          <w:marTop w:val="0"/>
          <w:marBottom w:val="0"/>
          <w:divBdr>
            <w:top w:val="none" w:sz="0" w:space="0" w:color="auto"/>
            <w:left w:val="none" w:sz="0" w:space="0" w:color="auto"/>
            <w:bottom w:val="none" w:sz="0" w:space="0" w:color="auto"/>
            <w:right w:val="none" w:sz="0" w:space="0" w:color="auto"/>
          </w:divBdr>
        </w:div>
        <w:div w:id="1111976888">
          <w:marLeft w:val="0"/>
          <w:marRight w:val="0"/>
          <w:marTop w:val="0"/>
          <w:marBottom w:val="0"/>
          <w:divBdr>
            <w:top w:val="none" w:sz="0" w:space="0" w:color="auto"/>
            <w:left w:val="none" w:sz="0" w:space="0" w:color="auto"/>
            <w:bottom w:val="none" w:sz="0" w:space="0" w:color="auto"/>
            <w:right w:val="none" w:sz="0" w:space="0" w:color="auto"/>
          </w:divBdr>
        </w:div>
        <w:div w:id="716972688">
          <w:marLeft w:val="0"/>
          <w:marRight w:val="0"/>
          <w:marTop w:val="0"/>
          <w:marBottom w:val="0"/>
          <w:divBdr>
            <w:top w:val="none" w:sz="0" w:space="0" w:color="auto"/>
            <w:left w:val="none" w:sz="0" w:space="0" w:color="auto"/>
            <w:bottom w:val="none" w:sz="0" w:space="0" w:color="auto"/>
            <w:right w:val="none" w:sz="0" w:space="0" w:color="auto"/>
          </w:divBdr>
        </w:div>
        <w:div w:id="141123591">
          <w:marLeft w:val="0"/>
          <w:marRight w:val="0"/>
          <w:marTop w:val="0"/>
          <w:marBottom w:val="0"/>
          <w:divBdr>
            <w:top w:val="none" w:sz="0" w:space="0" w:color="auto"/>
            <w:left w:val="none" w:sz="0" w:space="0" w:color="auto"/>
            <w:bottom w:val="none" w:sz="0" w:space="0" w:color="auto"/>
            <w:right w:val="none" w:sz="0" w:space="0" w:color="auto"/>
          </w:divBdr>
        </w:div>
        <w:div w:id="387077554">
          <w:marLeft w:val="0"/>
          <w:marRight w:val="0"/>
          <w:marTop w:val="0"/>
          <w:marBottom w:val="0"/>
          <w:divBdr>
            <w:top w:val="none" w:sz="0" w:space="0" w:color="auto"/>
            <w:left w:val="none" w:sz="0" w:space="0" w:color="auto"/>
            <w:bottom w:val="none" w:sz="0" w:space="0" w:color="auto"/>
            <w:right w:val="none" w:sz="0" w:space="0" w:color="auto"/>
          </w:divBdr>
        </w:div>
        <w:div w:id="724984387">
          <w:marLeft w:val="0"/>
          <w:marRight w:val="0"/>
          <w:marTop w:val="0"/>
          <w:marBottom w:val="0"/>
          <w:divBdr>
            <w:top w:val="none" w:sz="0" w:space="0" w:color="auto"/>
            <w:left w:val="none" w:sz="0" w:space="0" w:color="auto"/>
            <w:bottom w:val="none" w:sz="0" w:space="0" w:color="auto"/>
            <w:right w:val="none" w:sz="0" w:space="0" w:color="auto"/>
          </w:divBdr>
        </w:div>
        <w:div w:id="1436903716">
          <w:marLeft w:val="0"/>
          <w:marRight w:val="0"/>
          <w:marTop w:val="0"/>
          <w:marBottom w:val="0"/>
          <w:divBdr>
            <w:top w:val="none" w:sz="0" w:space="0" w:color="auto"/>
            <w:left w:val="none" w:sz="0" w:space="0" w:color="auto"/>
            <w:bottom w:val="none" w:sz="0" w:space="0" w:color="auto"/>
            <w:right w:val="none" w:sz="0" w:space="0" w:color="auto"/>
          </w:divBdr>
        </w:div>
        <w:div w:id="1067799621">
          <w:marLeft w:val="0"/>
          <w:marRight w:val="0"/>
          <w:marTop w:val="0"/>
          <w:marBottom w:val="0"/>
          <w:divBdr>
            <w:top w:val="none" w:sz="0" w:space="0" w:color="auto"/>
            <w:left w:val="none" w:sz="0" w:space="0" w:color="auto"/>
            <w:bottom w:val="none" w:sz="0" w:space="0" w:color="auto"/>
            <w:right w:val="none" w:sz="0" w:space="0" w:color="auto"/>
          </w:divBdr>
        </w:div>
        <w:div w:id="97680967">
          <w:marLeft w:val="0"/>
          <w:marRight w:val="0"/>
          <w:marTop w:val="0"/>
          <w:marBottom w:val="0"/>
          <w:divBdr>
            <w:top w:val="none" w:sz="0" w:space="0" w:color="auto"/>
            <w:left w:val="none" w:sz="0" w:space="0" w:color="auto"/>
            <w:bottom w:val="none" w:sz="0" w:space="0" w:color="auto"/>
            <w:right w:val="none" w:sz="0" w:space="0" w:color="auto"/>
          </w:divBdr>
        </w:div>
        <w:div w:id="608777774">
          <w:marLeft w:val="0"/>
          <w:marRight w:val="0"/>
          <w:marTop w:val="0"/>
          <w:marBottom w:val="0"/>
          <w:divBdr>
            <w:top w:val="none" w:sz="0" w:space="0" w:color="auto"/>
            <w:left w:val="none" w:sz="0" w:space="0" w:color="auto"/>
            <w:bottom w:val="none" w:sz="0" w:space="0" w:color="auto"/>
            <w:right w:val="none" w:sz="0" w:space="0" w:color="auto"/>
          </w:divBdr>
        </w:div>
        <w:div w:id="296569792">
          <w:marLeft w:val="0"/>
          <w:marRight w:val="0"/>
          <w:marTop w:val="0"/>
          <w:marBottom w:val="0"/>
          <w:divBdr>
            <w:top w:val="none" w:sz="0" w:space="0" w:color="auto"/>
            <w:left w:val="none" w:sz="0" w:space="0" w:color="auto"/>
            <w:bottom w:val="none" w:sz="0" w:space="0" w:color="auto"/>
            <w:right w:val="none" w:sz="0" w:space="0" w:color="auto"/>
          </w:divBdr>
        </w:div>
        <w:div w:id="494420475">
          <w:marLeft w:val="0"/>
          <w:marRight w:val="0"/>
          <w:marTop w:val="0"/>
          <w:marBottom w:val="0"/>
          <w:divBdr>
            <w:top w:val="none" w:sz="0" w:space="0" w:color="auto"/>
            <w:left w:val="none" w:sz="0" w:space="0" w:color="auto"/>
            <w:bottom w:val="none" w:sz="0" w:space="0" w:color="auto"/>
            <w:right w:val="none" w:sz="0" w:space="0" w:color="auto"/>
          </w:divBdr>
        </w:div>
        <w:div w:id="1663047371">
          <w:marLeft w:val="0"/>
          <w:marRight w:val="0"/>
          <w:marTop w:val="0"/>
          <w:marBottom w:val="0"/>
          <w:divBdr>
            <w:top w:val="none" w:sz="0" w:space="0" w:color="auto"/>
            <w:left w:val="none" w:sz="0" w:space="0" w:color="auto"/>
            <w:bottom w:val="none" w:sz="0" w:space="0" w:color="auto"/>
            <w:right w:val="none" w:sz="0" w:space="0" w:color="auto"/>
          </w:divBdr>
        </w:div>
        <w:div w:id="98960043">
          <w:marLeft w:val="0"/>
          <w:marRight w:val="0"/>
          <w:marTop w:val="0"/>
          <w:marBottom w:val="0"/>
          <w:divBdr>
            <w:top w:val="none" w:sz="0" w:space="0" w:color="auto"/>
            <w:left w:val="none" w:sz="0" w:space="0" w:color="auto"/>
            <w:bottom w:val="none" w:sz="0" w:space="0" w:color="auto"/>
            <w:right w:val="none" w:sz="0" w:space="0" w:color="auto"/>
          </w:divBdr>
        </w:div>
        <w:div w:id="1875459239">
          <w:marLeft w:val="0"/>
          <w:marRight w:val="0"/>
          <w:marTop w:val="0"/>
          <w:marBottom w:val="0"/>
          <w:divBdr>
            <w:top w:val="none" w:sz="0" w:space="0" w:color="auto"/>
            <w:left w:val="none" w:sz="0" w:space="0" w:color="auto"/>
            <w:bottom w:val="none" w:sz="0" w:space="0" w:color="auto"/>
            <w:right w:val="none" w:sz="0" w:space="0" w:color="auto"/>
          </w:divBdr>
        </w:div>
        <w:div w:id="1676416986">
          <w:marLeft w:val="0"/>
          <w:marRight w:val="0"/>
          <w:marTop w:val="0"/>
          <w:marBottom w:val="0"/>
          <w:divBdr>
            <w:top w:val="none" w:sz="0" w:space="0" w:color="auto"/>
            <w:left w:val="none" w:sz="0" w:space="0" w:color="auto"/>
            <w:bottom w:val="none" w:sz="0" w:space="0" w:color="auto"/>
            <w:right w:val="none" w:sz="0" w:space="0" w:color="auto"/>
          </w:divBdr>
        </w:div>
        <w:div w:id="626280883">
          <w:marLeft w:val="0"/>
          <w:marRight w:val="0"/>
          <w:marTop w:val="0"/>
          <w:marBottom w:val="0"/>
          <w:divBdr>
            <w:top w:val="none" w:sz="0" w:space="0" w:color="auto"/>
            <w:left w:val="none" w:sz="0" w:space="0" w:color="auto"/>
            <w:bottom w:val="none" w:sz="0" w:space="0" w:color="auto"/>
            <w:right w:val="none" w:sz="0" w:space="0" w:color="auto"/>
          </w:divBdr>
        </w:div>
        <w:div w:id="64498650">
          <w:marLeft w:val="0"/>
          <w:marRight w:val="0"/>
          <w:marTop w:val="0"/>
          <w:marBottom w:val="0"/>
          <w:divBdr>
            <w:top w:val="none" w:sz="0" w:space="0" w:color="auto"/>
            <w:left w:val="none" w:sz="0" w:space="0" w:color="auto"/>
            <w:bottom w:val="none" w:sz="0" w:space="0" w:color="auto"/>
            <w:right w:val="none" w:sz="0" w:space="0" w:color="auto"/>
          </w:divBdr>
        </w:div>
        <w:div w:id="1319730337">
          <w:marLeft w:val="0"/>
          <w:marRight w:val="0"/>
          <w:marTop w:val="0"/>
          <w:marBottom w:val="0"/>
          <w:divBdr>
            <w:top w:val="none" w:sz="0" w:space="0" w:color="auto"/>
            <w:left w:val="none" w:sz="0" w:space="0" w:color="auto"/>
            <w:bottom w:val="none" w:sz="0" w:space="0" w:color="auto"/>
            <w:right w:val="none" w:sz="0" w:space="0" w:color="auto"/>
          </w:divBdr>
        </w:div>
        <w:div w:id="1547716395">
          <w:marLeft w:val="0"/>
          <w:marRight w:val="0"/>
          <w:marTop w:val="0"/>
          <w:marBottom w:val="0"/>
          <w:divBdr>
            <w:top w:val="none" w:sz="0" w:space="0" w:color="auto"/>
            <w:left w:val="none" w:sz="0" w:space="0" w:color="auto"/>
            <w:bottom w:val="none" w:sz="0" w:space="0" w:color="auto"/>
            <w:right w:val="none" w:sz="0" w:space="0" w:color="auto"/>
          </w:divBdr>
        </w:div>
        <w:div w:id="1501311465">
          <w:marLeft w:val="0"/>
          <w:marRight w:val="0"/>
          <w:marTop w:val="0"/>
          <w:marBottom w:val="0"/>
          <w:divBdr>
            <w:top w:val="none" w:sz="0" w:space="0" w:color="auto"/>
            <w:left w:val="none" w:sz="0" w:space="0" w:color="auto"/>
            <w:bottom w:val="none" w:sz="0" w:space="0" w:color="auto"/>
            <w:right w:val="none" w:sz="0" w:space="0" w:color="auto"/>
          </w:divBdr>
        </w:div>
        <w:div w:id="1618947658">
          <w:marLeft w:val="0"/>
          <w:marRight w:val="0"/>
          <w:marTop w:val="0"/>
          <w:marBottom w:val="0"/>
          <w:divBdr>
            <w:top w:val="none" w:sz="0" w:space="0" w:color="auto"/>
            <w:left w:val="none" w:sz="0" w:space="0" w:color="auto"/>
            <w:bottom w:val="none" w:sz="0" w:space="0" w:color="auto"/>
            <w:right w:val="none" w:sz="0" w:space="0" w:color="auto"/>
          </w:divBdr>
        </w:div>
        <w:div w:id="1812672191">
          <w:marLeft w:val="0"/>
          <w:marRight w:val="0"/>
          <w:marTop w:val="0"/>
          <w:marBottom w:val="0"/>
          <w:divBdr>
            <w:top w:val="none" w:sz="0" w:space="0" w:color="auto"/>
            <w:left w:val="none" w:sz="0" w:space="0" w:color="auto"/>
            <w:bottom w:val="none" w:sz="0" w:space="0" w:color="auto"/>
            <w:right w:val="none" w:sz="0" w:space="0" w:color="auto"/>
          </w:divBdr>
        </w:div>
      </w:divsChild>
    </w:div>
    <w:div w:id="1860123099">
      <w:bodyDiv w:val="1"/>
      <w:marLeft w:val="0"/>
      <w:marRight w:val="0"/>
      <w:marTop w:val="0"/>
      <w:marBottom w:val="0"/>
      <w:divBdr>
        <w:top w:val="none" w:sz="0" w:space="0" w:color="auto"/>
        <w:left w:val="none" w:sz="0" w:space="0" w:color="auto"/>
        <w:bottom w:val="none" w:sz="0" w:space="0" w:color="auto"/>
        <w:right w:val="none" w:sz="0" w:space="0" w:color="auto"/>
      </w:divBdr>
      <w:divsChild>
        <w:div w:id="1009914648">
          <w:marLeft w:val="0"/>
          <w:marRight w:val="0"/>
          <w:marTop w:val="0"/>
          <w:marBottom w:val="0"/>
          <w:divBdr>
            <w:top w:val="none" w:sz="0" w:space="0" w:color="auto"/>
            <w:left w:val="none" w:sz="0" w:space="0" w:color="auto"/>
            <w:bottom w:val="none" w:sz="0" w:space="0" w:color="auto"/>
            <w:right w:val="none" w:sz="0" w:space="0" w:color="auto"/>
          </w:divBdr>
        </w:div>
        <w:div w:id="168300206">
          <w:marLeft w:val="0"/>
          <w:marRight w:val="0"/>
          <w:marTop w:val="0"/>
          <w:marBottom w:val="0"/>
          <w:divBdr>
            <w:top w:val="none" w:sz="0" w:space="0" w:color="auto"/>
            <w:left w:val="none" w:sz="0" w:space="0" w:color="auto"/>
            <w:bottom w:val="none" w:sz="0" w:space="0" w:color="auto"/>
            <w:right w:val="none" w:sz="0" w:space="0" w:color="auto"/>
          </w:divBdr>
        </w:div>
        <w:div w:id="1142381314">
          <w:marLeft w:val="0"/>
          <w:marRight w:val="0"/>
          <w:marTop w:val="0"/>
          <w:marBottom w:val="0"/>
          <w:divBdr>
            <w:top w:val="none" w:sz="0" w:space="0" w:color="auto"/>
            <w:left w:val="none" w:sz="0" w:space="0" w:color="auto"/>
            <w:bottom w:val="none" w:sz="0" w:space="0" w:color="auto"/>
            <w:right w:val="none" w:sz="0" w:space="0" w:color="auto"/>
          </w:divBdr>
        </w:div>
        <w:div w:id="2011904277">
          <w:marLeft w:val="0"/>
          <w:marRight w:val="0"/>
          <w:marTop w:val="0"/>
          <w:marBottom w:val="0"/>
          <w:divBdr>
            <w:top w:val="none" w:sz="0" w:space="0" w:color="auto"/>
            <w:left w:val="none" w:sz="0" w:space="0" w:color="auto"/>
            <w:bottom w:val="none" w:sz="0" w:space="0" w:color="auto"/>
            <w:right w:val="none" w:sz="0" w:space="0" w:color="auto"/>
          </w:divBdr>
        </w:div>
        <w:div w:id="1995451872">
          <w:marLeft w:val="0"/>
          <w:marRight w:val="0"/>
          <w:marTop w:val="0"/>
          <w:marBottom w:val="0"/>
          <w:divBdr>
            <w:top w:val="none" w:sz="0" w:space="0" w:color="auto"/>
            <w:left w:val="none" w:sz="0" w:space="0" w:color="auto"/>
            <w:bottom w:val="none" w:sz="0" w:space="0" w:color="auto"/>
            <w:right w:val="none" w:sz="0" w:space="0" w:color="auto"/>
          </w:divBdr>
        </w:div>
        <w:div w:id="135610671">
          <w:marLeft w:val="0"/>
          <w:marRight w:val="0"/>
          <w:marTop w:val="0"/>
          <w:marBottom w:val="0"/>
          <w:divBdr>
            <w:top w:val="none" w:sz="0" w:space="0" w:color="auto"/>
            <w:left w:val="none" w:sz="0" w:space="0" w:color="auto"/>
            <w:bottom w:val="none" w:sz="0" w:space="0" w:color="auto"/>
            <w:right w:val="none" w:sz="0" w:space="0" w:color="auto"/>
          </w:divBdr>
        </w:div>
        <w:div w:id="1340812170">
          <w:marLeft w:val="0"/>
          <w:marRight w:val="0"/>
          <w:marTop w:val="0"/>
          <w:marBottom w:val="0"/>
          <w:divBdr>
            <w:top w:val="none" w:sz="0" w:space="0" w:color="auto"/>
            <w:left w:val="none" w:sz="0" w:space="0" w:color="auto"/>
            <w:bottom w:val="none" w:sz="0" w:space="0" w:color="auto"/>
            <w:right w:val="none" w:sz="0" w:space="0" w:color="auto"/>
          </w:divBdr>
        </w:div>
        <w:div w:id="1434666628">
          <w:marLeft w:val="0"/>
          <w:marRight w:val="0"/>
          <w:marTop w:val="0"/>
          <w:marBottom w:val="0"/>
          <w:divBdr>
            <w:top w:val="none" w:sz="0" w:space="0" w:color="auto"/>
            <w:left w:val="none" w:sz="0" w:space="0" w:color="auto"/>
            <w:bottom w:val="none" w:sz="0" w:space="0" w:color="auto"/>
            <w:right w:val="none" w:sz="0" w:space="0" w:color="auto"/>
          </w:divBdr>
        </w:div>
        <w:div w:id="1379207887">
          <w:marLeft w:val="0"/>
          <w:marRight w:val="0"/>
          <w:marTop w:val="0"/>
          <w:marBottom w:val="0"/>
          <w:divBdr>
            <w:top w:val="none" w:sz="0" w:space="0" w:color="auto"/>
            <w:left w:val="none" w:sz="0" w:space="0" w:color="auto"/>
            <w:bottom w:val="none" w:sz="0" w:space="0" w:color="auto"/>
            <w:right w:val="none" w:sz="0" w:space="0" w:color="auto"/>
          </w:divBdr>
        </w:div>
        <w:div w:id="721562232">
          <w:marLeft w:val="0"/>
          <w:marRight w:val="0"/>
          <w:marTop w:val="0"/>
          <w:marBottom w:val="0"/>
          <w:divBdr>
            <w:top w:val="none" w:sz="0" w:space="0" w:color="auto"/>
            <w:left w:val="none" w:sz="0" w:space="0" w:color="auto"/>
            <w:bottom w:val="none" w:sz="0" w:space="0" w:color="auto"/>
            <w:right w:val="none" w:sz="0" w:space="0" w:color="auto"/>
          </w:divBdr>
        </w:div>
        <w:div w:id="1602489530">
          <w:marLeft w:val="0"/>
          <w:marRight w:val="0"/>
          <w:marTop w:val="0"/>
          <w:marBottom w:val="0"/>
          <w:divBdr>
            <w:top w:val="none" w:sz="0" w:space="0" w:color="auto"/>
            <w:left w:val="none" w:sz="0" w:space="0" w:color="auto"/>
            <w:bottom w:val="none" w:sz="0" w:space="0" w:color="auto"/>
            <w:right w:val="none" w:sz="0" w:space="0" w:color="auto"/>
          </w:divBdr>
        </w:div>
        <w:div w:id="1514302417">
          <w:marLeft w:val="0"/>
          <w:marRight w:val="0"/>
          <w:marTop w:val="0"/>
          <w:marBottom w:val="0"/>
          <w:divBdr>
            <w:top w:val="none" w:sz="0" w:space="0" w:color="auto"/>
            <w:left w:val="none" w:sz="0" w:space="0" w:color="auto"/>
            <w:bottom w:val="none" w:sz="0" w:space="0" w:color="auto"/>
            <w:right w:val="none" w:sz="0" w:space="0" w:color="auto"/>
          </w:divBdr>
        </w:div>
        <w:div w:id="1317296973">
          <w:marLeft w:val="0"/>
          <w:marRight w:val="0"/>
          <w:marTop w:val="0"/>
          <w:marBottom w:val="0"/>
          <w:divBdr>
            <w:top w:val="none" w:sz="0" w:space="0" w:color="auto"/>
            <w:left w:val="none" w:sz="0" w:space="0" w:color="auto"/>
            <w:bottom w:val="none" w:sz="0" w:space="0" w:color="auto"/>
            <w:right w:val="none" w:sz="0" w:space="0" w:color="auto"/>
          </w:divBdr>
        </w:div>
        <w:div w:id="823352826">
          <w:marLeft w:val="0"/>
          <w:marRight w:val="0"/>
          <w:marTop w:val="0"/>
          <w:marBottom w:val="0"/>
          <w:divBdr>
            <w:top w:val="none" w:sz="0" w:space="0" w:color="auto"/>
            <w:left w:val="none" w:sz="0" w:space="0" w:color="auto"/>
            <w:bottom w:val="none" w:sz="0" w:space="0" w:color="auto"/>
            <w:right w:val="none" w:sz="0" w:space="0" w:color="auto"/>
          </w:divBdr>
        </w:div>
        <w:div w:id="1723090514">
          <w:marLeft w:val="0"/>
          <w:marRight w:val="0"/>
          <w:marTop w:val="0"/>
          <w:marBottom w:val="0"/>
          <w:divBdr>
            <w:top w:val="none" w:sz="0" w:space="0" w:color="auto"/>
            <w:left w:val="none" w:sz="0" w:space="0" w:color="auto"/>
            <w:bottom w:val="none" w:sz="0" w:space="0" w:color="auto"/>
            <w:right w:val="none" w:sz="0" w:space="0" w:color="auto"/>
          </w:divBdr>
        </w:div>
        <w:div w:id="1121994152">
          <w:marLeft w:val="0"/>
          <w:marRight w:val="0"/>
          <w:marTop w:val="0"/>
          <w:marBottom w:val="0"/>
          <w:divBdr>
            <w:top w:val="none" w:sz="0" w:space="0" w:color="auto"/>
            <w:left w:val="none" w:sz="0" w:space="0" w:color="auto"/>
            <w:bottom w:val="none" w:sz="0" w:space="0" w:color="auto"/>
            <w:right w:val="none" w:sz="0" w:space="0" w:color="auto"/>
          </w:divBdr>
        </w:div>
        <w:div w:id="1317955772">
          <w:marLeft w:val="0"/>
          <w:marRight w:val="0"/>
          <w:marTop w:val="0"/>
          <w:marBottom w:val="0"/>
          <w:divBdr>
            <w:top w:val="none" w:sz="0" w:space="0" w:color="auto"/>
            <w:left w:val="none" w:sz="0" w:space="0" w:color="auto"/>
            <w:bottom w:val="none" w:sz="0" w:space="0" w:color="auto"/>
            <w:right w:val="none" w:sz="0" w:space="0" w:color="auto"/>
          </w:divBdr>
        </w:div>
        <w:div w:id="341975077">
          <w:marLeft w:val="0"/>
          <w:marRight w:val="0"/>
          <w:marTop w:val="0"/>
          <w:marBottom w:val="0"/>
          <w:divBdr>
            <w:top w:val="none" w:sz="0" w:space="0" w:color="auto"/>
            <w:left w:val="none" w:sz="0" w:space="0" w:color="auto"/>
            <w:bottom w:val="none" w:sz="0" w:space="0" w:color="auto"/>
            <w:right w:val="none" w:sz="0" w:space="0" w:color="auto"/>
          </w:divBdr>
        </w:div>
        <w:div w:id="1113744123">
          <w:marLeft w:val="0"/>
          <w:marRight w:val="0"/>
          <w:marTop w:val="0"/>
          <w:marBottom w:val="0"/>
          <w:divBdr>
            <w:top w:val="none" w:sz="0" w:space="0" w:color="auto"/>
            <w:left w:val="none" w:sz="0" w:space="0" w:color="auto"/>
            <w:bottom w:val="none" w:sz="0" w:space="0" w:color="auto"/>
            <w:right w:val="none" w:sz="0" w:space="0" w:color="auto"/>
          </w:divBdr>
        </w:div>
        <w:div w:id="1778870643">
          <w:marLeft w:val="0"/>
          <w:marRight w:val="0"/>
          <w:marTop w:val="0"/>
          <w:marBottom w:val="0"/>
          <w:divBdr>
            <w:top w:val="none" w:sz="0" w:space="0" w:color="auto"/>
            <w:left w:val="none" w:sz="0" w:space="0" w:color="auto"/>
            <w:bottom w:val="none" w:sz="0" w:space="0" w:color="auto"/>
            <w:right w:val="none" w:sz="0" w:space="0" w:color="auto"/>
          </w:divBdr>
        </w:div>
        <w:div w:id="2127306407">
          <w:marLeft w:val="0"/>
          <w:marRight w:val="0"/>
          <w:marTop w:val="0"/>
          <w:marBottom w:val="0"/>
          <w:divBdr>
            <w:top w:val="none" w:sz="0" w:space="0" w:color="auto"/>
            <w:left w:val="none" w:sz="0" w:space="0" w:color="auto"/>
            <w:bottom w:val="none" w:sz="0" w:space="0" w:color="auto"/>
            <w:right w:val="none" w:sz="0" w:space="0" w:color="auto"/>
          </w:divBdr>
        </w:div>
        <w:div w:id="145363813">
          <w:marLeft w:val="0"/>
          <w:marRight w:val="0"/>
          <w:marTop w:val="0"/>
          <w:marBottom w:val="0"/>
          <w:divBdr>
            <w:top w:val="none" w:sz="0" w:space="0" w:color="auto"/>
            <w:left w:val="none" w:sz="0" w:space="0" w:color="auto"/>
            <w:bottom w:val="none" w:sz="0" w:space="0" w:color="auto"/>
            <w:right w:val="none" w:sz="0" w:space="0" w:color="auto"/>
          </w:divBdr>
        </w:div>
        <w:div w:id="394937810">
          <w:marLeft w:val="0"/>
          <w:marRight w:val="0"/>
          <w:marTop w:val="0"/>
          <w:marBottom w:val="0"/>
          <w:divBdr>
            <w:top w:val="none" w:sz="0" w:space="0" w:color="auto"/>
            <w:left w:val="none" w:sz="0" w:space="0" w:color="auto"/>
            <w:bottom w:val="none" w:sz="0" w:space="0" w:color="auto"/>
            <w:right w:val="none" w:sz="0" w:space="0" w:color="auto"/>
          </w:divBdr>
        </w:div>
        <w:div w:id="908006327">
          <w:marLeft w:val="0"/>
          <w:marRight w:val="0"/>
          <w:marTop w:val="0"/>
          <w:marBottom w:val="0"/>
          <w:divBdr>
            <w:top w:val="none" w:sz="0" w:space="0" w:color="auto"/>
            <w:left w:val="none" w:sz="0" w:space="0" w:color="auto"/>
            <w:bottom w:val="none" w:sz="0" w:space="0" w:color="auto"/>
            <w:right w:val="none" w:sz="0" w:space="0" w:color="auto"/>
          </w:divBdr>
        </w:div>
        <w:div w:id="1680346895">
          <w:marLeft w:val="0"/>
          <w:marRight w:val="0"/>
          <w:marTop w:val="0"/>
          <w:marBottom w:val="0"/>
          <w:divBdr>
            <w:top w:val="none" w:sz="0" w:space="0" w:color="auto"/>
            <w:left w:val="none" w:sz="0" w:space="0" w:color="auto"/>
            <w:bottom w:val="none" w:sz="0" w:space="0" w:color="auto"/>
            <w:right w:val="none" w:sz="0" w:space="0" w:color="auto"/>
          </w:divBdr>
        </w:div>
        <w:div w:id="882131721">
          <w:marLeft w:val="0"/>
          <w:marRight w:val="0"/>
          <w:marTop w:val="0"/>
          <w:marBottom w:val="0"/>
          <w:divBdr>
            <w:top w:val="none" w:sz="0" w:space="0" w:color="auto"/>
            <w:left w:val="none" w:sz="0" w:space="0" w:color="auto"/>
            <w:bottom w:val="none" w:sz="0" w:space="0" w:color="auto"/>
            <w:right w:val="none" w:sz="0" w:space="0" w:color="auto"/>
          </w:divBdr>
        </w:div>
        <w:div w:id="1400904957">
          <w:marLeft w:val="0"/>
          <w:marRight w:val="0"/>
          <w:marTop w:val="0"/>
          <w:marBottom w:val="0"/>
          <w:divBdr>
            <w:top w:val="none" w:sz="0" w:space="0" w:color="auto"/>
            <w:left w:val="none" w:sz="0" w:space="0" w:color="auto"/>
            <w:bottom w:val="none" w:sz="0" w:space="0" w:color="auto"/>
            <w:right w:val="none" w:sz="0" w:space="0" w:color="auto"/>
          </w:divBdr>
        </w:div>
        <w:div w:id="743799599">
          <w:marLeft w:val="0"/>
          <w:marRight w:val="0"/>
          <w:marTop w:val="0"/>
          <w:marBottom w:val="0"/>
          <w:divBdr>
            <w:top w:val="none" w:sz="0" w:space="0" w:color="auto"/>
            <w:left w:val="none" w:sz="0" w:space="0" w:color="auto"/>
            <w:bottom w:val="none" w:sz="0" w:space="0" w:color="auto"/>
            <w:right w:val="none" w:sz="0" w:space="0" w:color="auto"/>
          </w:divBdr>
        </w:div>
        <w:div w:id="1686323534">
          <w:marLeft w:val="0"/>
          <w:marRight w:val="0"/>
          <w:marTop w:val="0"/>
          <w:marBottom w:val="0"/>
          <w:divBdr>
            <w:top w:val="none" w:sz="0" w:space="0" w:color="auto"/>
            <w:left w:val="none" w:sz="0" w:space="0" w:color="auto"/>
            <w:bottom w:val="none" w:sz="0" w:space="0" w:color="auto"/>
            <w:right w:val="none" w:sz="0" w:space="0" w:color="auto"/>
          </w:divBdr>
        </w:div>
        <w:div w:id="1576355454">
          <w:marLeft w:val="0"/>
          <w:marRight w:val="0"/>
          <w:marTop w:val="0"/>
          <w:marBottom w:val="0"/>
          <w:divBdr>
            <w:top w:val="none" w:sz="0" w:space="0" w:color="auto"/>
            <w:left w:val="none" w:sz="0" w:space="0" w:color="auto"/>
            <w:bottom w:val="none" w:sz="0" w:space="0" w:color="auto"/>
            <w:right w:val="none" w:sz="0" w:space="0" w:color="auto"/>
          </w:divBdr>
        </w:div>
        <w:div w:id="1915121424">
          <w:marLeft w:val="0"/>
          <w:marRight w:val="0"/>
          <w:marTop w:val="0"/>
          <w:marBottom w:val="0"/>
          <w:divBdr>
            <w:top w:val="none" w:sz="0" w:space="0" w:color="auto"/>
            <w:left w:val="none" w:sz="0" w:space="0" w:color="auto"/>
            <w:bottom w:val="none" w:sz="0" w:space="0" w:color="auto"/>
            <w:right w:val="none" w:sz="0" w:space="0" w:color="auto"/>
          </w:divBdr>
        </w:div>
        <w:div w:id="1868904492">
          <w:marLeft w:val="0"/>
          <w:marRight w:val="0"/>
          <w:marTop w:val="0"/>
          <w:marBottom w:val="0"/>
          <w:divBdr>
            <w:top w:val="none" w:sz="0" w:space="0" w:color="auto"/>
            <w:left w:val="none" w:sz="0" w:space="0" w:color="auto"/>
            <w:bottom w:val="none" w:sz="0" w:space="0" w:color="auto"/>
            <w:right w:val="none" w:sz="0" w:space="0" w:color="auto"/>
          </w:divBdr>
        </w:div>
        <w:div w:id="2026396462">
          <w:marLeft w:val="0"/>
          <w:marRight w:val="0"/>
          <w:marTop w:val="0"/>
          <w:marBottom w:val="0"/>
          <w:divBdr>
            <w:top w:val="none" w:sz="0" w:space="0" w:color="auto"/>
            <w:left w:val="none" w:sz="0" w:space="0" w:color="auto"/>
            <w:bottom w:val="none" w:sz="0" w:space="0" w:color="auto"/>
            <w:right w:val="none" w:sz="0" w:space="0" w:color="auto"/>
          </w:divBdr>
        </w:div>
        <w:div w:id="1833568810">
          <w:marLeft w:val="0"/>
          <w:marRight w:val="0"/>
          <w:marTop w:val="0"/>
          <w:marBottom w:val="0"/>
          <w:divBdr>
            <w:top w:val="none" w:sz="0" w:space="0" w:color="auto"/>
            <w:left w:val="none" w:sz="0" w:space="0" w:color="auto"/>
            <w:bottom w:val="none" w:sz="0" w:space="0" w:color="auto"/>
            <w:right w:val="none" w:sz="0" w:space="0" w:color="auto"/>
          </w:divBdr>
          <w:divsChild>
            <w:div w:id="332031813">
              <w:marLeft w:val="-75"/>
              <w:marRight w:val="0"/>
              <w:marTop w:val="30"/>
              <w:marBottom w:val="30"/>
              <w:divBdr>
                <w:top w:val="none" w:sz="0" w:space="0" w:color="auto"/>
                <w:left w:val="none" w:sz="0" w:space="0" w:color="auto"/>
                <w:bottom w:val="none" w:sz="0" w:space="0" w:color="auto"/>
                <w:right w:val="none" w:sz="0" w:space="0" w:color="auto"/>
              </w:divBdr>
              <w:divsChild>
                <w:div w:id="1364789293">
                  <w:marLeft w:val="0"/>
                  <w:marRight w:val="0"/>
                  <w:marTop w:val="0"/>
                  <w:marBottom w:val="0"/>
                  <w:divBdr>
                    <w:top w:val="none" w:sz="0" w:space="0" w:color="auto"/>
                    <w:left w:val="none" w:sz="0" w:space="0" w:color="auto"/>
                    <w:bottom w:val="none" w:sz="0" w:space="0" w:color="auto"/>
                    <w:right w:val="none" w:sz="0" w:space="0" w:color="auto"/>
                  </w:divBdr>
                  <w:divsChild>
                    <w:div w:id="603612706">
                      <w:marLeft w:val="0"/>
                      <w:marRight w:val="0"/>
                      <w:marTop w:val="0"/>
                      <w:marBottom w:val="0"/>
                      <w:divBdr>
                        <w:top w:val="none" w:sz="0" w:space="0" w:color="auto"/>
                        <w:left w:val="none" w:sz="0" w:space="0" w:color="auto"/>
                        <w:bottom w:val="none" w:sz="0" w:space="0" w:color="auto"/>
                        <w:right w:val="none" w:sz="0" w:space="0" w:color="auto"/>
                      </w:divBdr>
                    </w:div>
                  </w:divsChild>
                </w:div>
                <w:div w:id="363135666">
                  <w:marLeft w:val="0"/>
                  <w:marRight w:val="0"/>
                  <w:marTop w:val="0"/>
                  <w:marBottom w:val="0"/>
                  <w:divBdr>
                    <w:top w:val="none" w:sz="0" w:space="0" w:color="auto"/>
                    <w:left w:val="none" w:sz="0" w:space="0" w:color="auto"/>
                    <w:bottom w:val="none" w:sz="0" w:space="0" w:color="auto"/>
                    <w:right w:val="none" w:sz="0" w:space="0" w:color="auto"/>
                  </w:divBdr>
                  <w:divsChild>
                    <w:div w:id="1077702781">
                      <w:marLeft w:val="0"/>
                      <w:marRight w:val="0"/>
                      <w:marTop w:val="0"/>
                      <w:marBottom w:val="0"/>
                      <w:divBdr>
                        <w:top w:val="none" w:sz="0" w:space="0" w:color="auto"/>
                        <w:left w:val="none" w:sz="0" w:space="0" w:color="auto"/>
                        <w:bottom w:val="none" w:sz="0" w:space="0" w:color="auto"/>
                        <w:right w:val="none" w:sz="0" w:space="0" w:color="auto"/>
                      </w:divBdr>
                    </w:div>
                  </w:divsChild>
                </w:div>
                <w:div w:id="1673297583">
                  <w:marLeft w:val="0"/>
                  <w:marRight w:val="0"/>
                  <w:marTop w:val="0"/>
                  <w:marBottom w:val="0"/>
                  <w:divBdr>
                    <w:top w:val="none" w:sz="0" w:space="0" w:color="auto"/>
                    <w:left w:val="none" w:sz="0" w:space="0" w:color="auto"/>
                    <w:bottom w:val="none" w:sz="0" w:space="0" w:color="auto"/>
                    <w:right w:val="none" w:sz="0" w:space="0" w:color="auto"/>
                  </w:divBdr>
                  <w:divsChild>
                    <w:div w:id="1756515132">
                      <w:marLeft w:val="0"/>
                      <w:marRight w:val="0"/>
                      <w:marTop w:val="0"/>
                      <w:marBottom w:val="0"/>
                      <w:divBdr>
                        <w:top w:val="none" w:sz="0" w:space="0" w:color="auto"/>
                        <w:left w:val="none" w:sz="0" w:space="0" w:color="auto"/>
                        <w:bottom w:val="none" w:sz="0" w:space="0" w:color="auto"/>
                        <w:right w:val="none" w:sz="0" w:space="0" w:color="auto"/>
                      </w:divBdr>
                    </w:div>
                  </w:divsChild>
                </w:div>
                <w:div w:id="59863546">
                  <w:marLeft w:val="0"/>
                  <w:marRight w:val="0"/>
                  <w:marTop w:val="0"/>
                  <w:marBottom w:val="0"/>
                  <w:divBdr>
                    <w:top w:val="none" w:sz="0" w:space="0" w:color="auto"/>
                    <w:left w:val="none" w:sz="0" w:space="0" w:color="auto"/>
                    <w:bottom w:val="none" w:sz="0" w:space="0" w:color="auto"/>
                    <w:right w:val="none" w:sz="0" w:space="0" w:color="auto"/>
                  </w:divBdr>
                  <w:divsChild>
                    <w:div w:id="616983009">
                      <w:marLeft w:val="0"/>
                      <w:marRight w:val="0"/>
                      <w:marTop w:val="0"/>
                      <w:marBottom w:val="0"/>
                      <w:divBdr>
                        <w:top w:val="none" w:sz="0" w:space="0" w:color="auto"/>
                        <w:left w:val="none" w:sz="0" w:space="0" w:color="auto"/>
                        <w:bottom w:val="none" w:sz="0" w:space="0" w:color="auto"/>
                        <w:right w:val="none" w:sz="0" w:space="0" w:color="auto"/>
                      </w:divBdr>
                    </w:div>
                  </w:divsChild>
                </w:div>
                <w:div w:id="1631739309">
                  <w:marLeft w:val="0"/>
                  <w:marRight w:val="0"/>
                  <w:marTop w:val="0"/>
                  <w:marBottom w:val="0"/>
                  <w:divBdr>
                    <w:top w:val="none" w:sz="0" w:space="0" w:color="auto"/>
                    <w:left w:val="none" w:sz="0" w:space="0" w:color="auto"/>
                    <w:bottom w:val="none" w:sz="0" w:space="0" w:color="auto"/>
                    <w:right w:val="none" w:sz="0" w:space="0" w:color="auto"/>
                  </w:divBdr>
                  <w:divsChild>
                    <w:div w:id="598871647">
                      <w:marLeft w:val="0"/>
                      <w:marRight w:val="0"/>
                      <w:marTop w:val="0"/>
                      <w:marBottom w:val="0"/>
                      <w:divBdr>
                        <w:top w:val="none" w:sz="0" w:space="0" w:color="auto"/>
                        <w:left w:val="none" w:sz="0" w:space="0" w:color="auto"/>
                        <w:bottom w:val="none" w:sz="0" w:space="0" w:color="auto"/>
                        <w:right w:val="none" w:sz="0" w:space="0" w:color="auto"/>
                      </w:divBdr>
                    </w:div>
                  </w:divsChild>
                </w:div>
                <w:div w:id="249853818">
                  <w:marLeft w:val="0"/>
                  <w:marRight w:val="0"/>
                  <w:marTop w:val="0"/>
                  <w:marBottom w:val="0"/>
                  <w:divBdr>
                    <w:top w:val="none" w:sz="0" w:space="0" w:color="auto"/>
                    <w:left w:val="none" w:sz="0" w:space="0" w:color="auto"/>
                    <w:bottom w:val="none" w:sz="0" w:space="0" w:color="auto"/>
                    <w:right w:val="none" w:sz="0" w:space="0" w:color="auto"/>
                  </w:divBdr>
                  <w:divsChild>
                    <w:div w:id="1427532931">
                      <w:marLeft w:val="0"/>
                      <w:marRight w:val="0"/>
                      <w:marTop w:val="0"/>
                      <w:marBottom w:val="0"/>
                      <w:divBdr>
                        <w:top w:val="none" w:sz="0" w:space="0" w:color="auto"/>
                        <w:left w:val="none" w:sz="0" w:space="0" w:color="auto"/>
                        <w:bottom w:val="none" w:sz="0" w:space="0" w:color="auto"/>
                        <w:right w:val="none" w:sz="0" w:space="0" w:color="auto"/>
                      </w:divBdr>
                    </w:div>
                  </w:divsChild>
                </w:div>
                <w:div w:id="1162968505">
                  <w:marLeft w:val="0"/>
                  <w:marRight w:val="0"/>
                  <w:marTop w:val="0"/>
                  <w:marBottom w:val="0"/>
                  <w:divBdr>
                    <w:top w:val="none" w:sz="0" w:space="0" w:color="auto"/>
                    <w:left w:val="none" w:sz="0" w:space="0" w:color="auto"/>
                    <w:bottom w:val="none" w:sz="0" w:space="0" w:color="auto"/>
                    <w:right w:val="none" w:sz="0" w:space="0" w:color="auto"/>
                  </w:divBdr>
                  <w:divsChild>
                    <w:div w:id="977683803">
                      <w:marLeft w:val="0"/>
                      <w:marRight w:val="0"/>
                      <w:marTop w:val="0"/>
                      <w:marBottom w:val="0"/>
                      <w:divBdr>
                        <w:top w:val="none" w:sz="0" w:space="0" w:color="auto"/>
                        <w:left w:val="none" w:sz="0" w:space="0" w:color="auto"/>
                        <w:bottom w:val="none" w:sz="0" w:space="0" w:color="auto"/>
                        <w:right w:val="none" w:sz="0" w:space="0" w:color="auto"/>
                      </w:divBdr>
                    </w:div>
                  </w:divsChild>
                </w:div>
                <w:div w:id="2028285460">
                  <w:marLeft w:val="0"/>
                  <w:marRight w:val="0"/>
                  <w:marTop w:val="0"/>
                  <w:marBottom w:val="0"/>
                  <w:divBdr>
                    <w:top w:val="none" w:sz="0" w:space="0" w:color="auto"/>
                    <w:left w:val="none" w:sz="0" w:space="0" w:color="auto"/>
                    <w:bottom w:val="none" w:sz="0" w:space="0" w:color="auto"/>
                    <w:right w:val="none" w:sz="0" w:space="0" w:color="auto"/>
                  </w:divBdr>
                  <w:divsChild>
                    <w:div w:id="1174105142">
                      <w:marLeft w:val="0"/>
                      <w:marRight w:val="0"/>
                      <w:marTop w:val="0"/>
                      <w:marBottom w:val="0"/>
                      <w:divBdr>
                        <w:top w:val="none" w:sz="0" w:space="0" w:color="auto"/>
                        <w:left w:val="none" w:sz="0" w:space="0" w:color="auto"/>
                        <w:bottom w:val="none" w:sz="0" w:space="0" w:color="auto"/>
                        <w:right w:val="none" w:sz="0" w:space="0" w:color="auto"/>
                      </w:divBdr>
                    </w:div>
                  </w:divsChild>
                </w:div>
                <w:div w:id="2022731922">
                  <w:marLeft w:val="0"/>
                  <w:marRight w:val="0"/>
                  <w:marTop w:val="0"/>
                  <w:marBottom w:val="0"/>
                  <w:divBdr>
                    <w:top w:val="none" w:sz="0" w:space="0" w:color="auto"/>
                    <w:left w:val="none" w:sz="0" w:space="0" w:color="auto"/>
                    <w:bottom w:val="none" w:sz="0" w:space="0" w:color="auto"/>
                    <w:right w:val="none" w:sz="0" w:space="0" w:color="auto"/>
                  </w:divBdr>
                  <w:divsChild>
                    <w:div w:id="1476483662">
                      <w:marLeft w:val="0"/>
                      <w:marRight w:val="0"/>
                      <w:marTop w:val="0"/>
                      <w:marBottom w:val="0"/>
                      <w:divBdr>
                        <w:top w:val="none" w:sz="0" w:space="0" w:color="auto"/>
                        <w:left w:val="none" w:sz="0" w:space="0" w:color="auto"/>
                        <w:bottom w:val="none" w:sz="0" w:space="0" w:color="auto"/>
                        <w:right w:val="none" w:sz="0" w:space="0" w:color="auto"/>
                      </w:divBdr>
                    </w:div>
                  </w:divsChild>
                </w:div>
                <w:div w:id="153110894">
                  <w:marLeft w:val="0"/>
                  <w:marRight w:val="0"/>
                  <w:marTop w:val="0"/>
                  <w:marBottom w:val="0"/>
                  <w:divBdr>
                    <w:top w:val="none" w:sz="0" w:space="0" w:color="auto"/>
                    <w:left w:val="none" w:sz="0" w:space="0" w:color="auto"/>
                    <w:bottom w:val="none" w:sz="0" w:space="0" w:color="auto"/>
                    <w:right w:val="none" w:sz="0" w:space="0" w:color="auto"/>
                  </w:divBdr>
                  <w:divsChild>
                    <w:div w:id="1134251797">
                      <w:marLeft w:val="0"/>
                      <w:marRight w:val="0"/>
                      <w:marTop w:val="0"/>
                      <w:marBottom w:val="0"/>
                      <w:divBdr>
                        <w:top w:val="none" w:sz="0" w:space="0" w:color="auto"/>
                        <w:left w:val="none" w:sz="0" w:space="0" w:color="auto"/>
                        <w:bottom w:val="none" w:sz="0" w:space="0" w:color="auto"/>
                        <w:right w:val="none" w:sz="0" w:space="0" w:color="auto"/>
                      </w:divBdr>
                    </w:div>
                  </w:divsChild>
                </w:div>
                <w:div w:id="269288974">
                  <w:marLeft w:val="0"/>
                  <w:marRight w:val="0"/>
                  <w:marTop w:val="0"/>
                  <w:marBottom w:val="0"/>
                  <w:divBdr>
                    <w:top w:val="none" w:sz="0" w:space="0" w:color="auto"/>
                    <w:left w:val="none" w:sz="0" w:space="0" w:color="auto"/>
                    <w:bottom w:val="none" w:sz="0" w:space="0" w:color="auto"/>
                    <w:right w:val="none" w:sz="0" w:space="0" w:color="auto"/>
                  </w:divBdr>
                  <w:divsChild>
                    <w:div w:id="267199831">
                      <w:marLeft w:val="0"/>
                      <w:marRight w:val="0"/>
                      <w:marTop w:val="0"/>
                      <w:marBottom w:val="0"/>
                      <w:divBdr>
                        <w:top w:val="none" w:sz="0" w:space="0" w:color="auto"/>
                        <w:left w:val="none" w:sz="0" w:space="0" w:color="auto"/>
                        <w:bottom w:val="none" w:sz="0" w:space="0" w:color="auto"/>
                        <w:right w:val="none" w:sz="0" w:space="0" w:color="auto"/>
                      </w:divBdr>
                    </w:div>
                  </w:divsChild>
                </w:div>
                <w:div w:id="498665461">
                  <w:marLeft w:val="0"/>
                  <w:marRight w:val="0"/>
                  <w:marTop w:val="0"/>
                  <w:marBottom w:val="0"/>
                  <w:divBdr>
                    <w:top w:val="none" w:sz="0" w:space="0" w:color="auto"/>
                    <w:left w:val="none" w:sz="0" w:space="0" w:color="auto"/>
                    <w:bottom w:val="none" w:sz="0" w:space="0" w:color="auto"/>
                    <w:right w:val="none" w:sz="0" w:space="0" w:color="auto"/>
                  </w:divBdr>
                  <w:divsChild>
                    <w:div w:id="1150174674">
                      <w:marLeft w:val="0"/>
                      <w:marRight w:val="0"/>
                      <w:marTop w:val="0"/>
                      <w:marBottom w:val="0"/>
                      <w:divBdr>
                        <w:top w:val="none" w:sz="0" w:space="0" w:color="auto"/>
                        <w:left w:val="none" w:sz="0" w:space="0" w:color="auto"/>
                        <w:bottom w:val="none" w:sz="0" w:space="0" w:color="auto"/>
                        <w:right w:val="none" w:sz="0" w:space="0" w:color="auto"/>
                      </w:divBdr>
                    </w:div>
                  </w:divsChild>
                </w:div>
                <w:div w:id="13193600">
                  <w:marLeft w:val="0"/>
                  <w:marRight w:val="0"/>
                  <w:marTop w:val="0"/>
                  <w:marBottom w:val="0"/>
                  <w:divBdr>
                    <w:top w:val="none" w:sz="0" w:space="0" w:color="auto"/>
                    <w:left w:val="none" w:sz="0" w:space="0" w:color="auto"/>
                    <w:bottom w:val="none" w:sz="0" w:space="0" w:color="auto"/>
                    <w:right w:val="none" w:sz="0" w:space="0" w:color="auto"/>
                  </w:divBdr>
                  <w:divsChild>
                    <w:div w:id="1337735168">
                      <w:marLeft w:val="0"/>
                      <w:marRight w:val="0"/>
                      <w:marTop w:val="0"/>
                      <w:marBottom w:val="0"/>
                      <w:divBdr>
                        <w:top w:val="none" w:sz="0" w:space="0" w:color="auto"/>
                        <w:left w:val="none" w:sz="0" w:space="0" w:color="auto"/>
                        <w:bottom w:val="none" w:sz="0" w:space="0" w:color="auto"/>
                        <w:right w:val="none" w:sz="0" w:space="0" w:color="auto"/>
                      </w:divBdr>
                    </w:div>
                  </w:divsChild>
                </w:div>
                <w:div w:id="992562499">
                  <w:marLeft w:val="0"/>
                  <w:marRight w:val="0"/>
                  <w:marTop w:val="0"/>
                  <w:marBottom w:val="0"/>
                  <w:divBdr>
                    <w:top w:val="none" w:sz="0" w:space="0" w:color="auto"/>
                    <w:left w:val="none" w:sz="0" w:space="0" w:color="auto"/>
                    <w:bottom w:val="none" w:sz="0" w:space="0" w:color="auto"/>
                    <w:right w:val="none" w:sz="0" w:space="0" w:color="auto"/>
                  </w:divBdr>
                  <w:divsChild>
                    <w:div w:id="1291128341">
                      <w:marLeft w:val="0"/>
                      <w:marRight w:val="0"/>
                      <w:marTop w:val="0"/>
                      <w:marBottom w:val="0"/>
                      <w:divBdr>
                        <w:top w:val="none" w:sz="0" w:space="0" w:color="auto"/>
                        <w:left w:val="none" w:sz="0" w:space="0" w:color="auto"/>
                        <w:bottom w:val="none" w:sz="0" w:space="0" w:color="auto"/>
                        <w:right w:val="none" w:sz="0" w:space="0" w:color="auto"/>
                      </w:divBdr>
                    </w:div>
                  </w:divsChild>
                </w:div>
                <w:div w:id="1257861553">
                  <w:marLeft w:val="0"/>
                  <w:marRight w:val="0"/>
                  <w:marTop w:val="0"/>
                  <w:marBottom w:val="0"/>
                  <w:divBdr>
                    <w:top w:val="none" w:sz="0" w:space="0" w:color="auto"/>
                    <w:left w:val="none" w:sz="0" w:space="0" w:color="auto"/>
                    <w:bottom w:val="none" w:sz="0" w:space="0" w:color="auto"/>
                    <w:right w:val="none" w:sz="0" w:space="0" w:color="auto"/>
                  </w:divBdr>
                  <w:divsChild>
                    <w:div w:id="758211513">
                      <w:marLeft w:val="0"/>
                      <w:marRight w:val="0"/>
                      <w:marTop w:val="0"/>
                      <w:marBottom w:val="0"/>
                      <w:divBdr>
                        <w:top w:val="none" w:sz="0" w:space="0" w:color="auto"/>
                        <w:left w:val="none" w:sz="0" w:space="0" w:color="auto"/>
                        <w:bottom w:val="none" w:sz="0" w:space="0" w:color="auto"/>
                        <w:right w:val="none" w:sz="0" w:space="0" w:color="auto"/>
                      </w:divBdr>
                    </w:div>
                  </w:divsChild>
                </w:div>
                <w:div w:id="1220550596">
                  <w:marLeft w:val="0"/>
                  <w:marRight w:val="0"/>
                  <w:marTop w:val="0"/>
                  <w:marBottom w:val="0"/>
                  <w:divBdr>
                    <w:top w:val="none" w:sz="0" w:space="0" w:color="auto"/>
                    <w:left w:val="none" w:sz="0" w:space="0" w:color="auto"/>
                    <w:bottom w:val="none" w:sz="0" w:space="0" w:color="auto"/>
                    <w:right w:val="none" w:sz="0" w:space="0" w:color="auto"/>
                  </w:divBdr>
                  <w:divsChild>
                    <w:div w:id="766458866">
                      <w:marLeft w:val="0"/>
                      <w:marRight w:val="0"/>
                      <w:marTop w:val="0"/>
                      <w:marBottom w:val="0"/>
                      <w:divBdr>
                        <w:top w:val="none" w:sz="0" w:space="0" w:color="auto"/>
                        <w:left w:val="none" w:sz="0" w:space="0" w:color="auto"/>
                        <w:bottom w:val="none" w:sz="0" w:space="0" w:color="auto"/>
                        <w:right w:val="none" w:sz="0" w:space="0" w:color="auto"/>
                      </w:divBdr>
                    </w:div>
                  </w:divsChild>
                </w:div>
                <w:div w:id="514921495">
                  <w:marLeft w:val="0"/>
                  <w:marRight w:val="0"/>
                  <w:marTop w:val="0"/>
                  <w:marBottom w:val="0"/>
                  <w:divBdr>
                    <w:top w:val="none" w:sz="0" w:space="0" w:color="auto"/>
                    <w:left w:val="none" w:sz="0" w:space="0" w:color="auto"/>
                    <w:bottom w:val="none" w:sz="0" w:space="0" w:color="auto"/>
                    <w:right w:val="none" w:sz="0" w:space="0" w:color="auto"/>
                  </w:divBdr>
                  <w:divsChild>
                    <w:div w:id="807822881">
                      <w:marLeft w:val="0"/>
                      <w:marRight w:val="0"/>
                      <w:marTop w:val="0"/>
                      <w:marBottom w:val="0"/>
                      <w:divBdr>
                        <w:top w:val="none" w:sz="0" w:space="0" w:color="auto"/>
                        <w:left w:val="none" w:sz="0" w:space="0" w:color="auto"/>
                        <w:bottom w:val="none" w:sz="0" w:space="0" w:color="auto"/>
                        <w:right w:val="none" w:sz="0" w:space="0" w:color="auto"/>
                      </w:divBdr>
                    </w:div>
                  </w:divsChild>
                </w:div>
                <w:div w:id="1090154388">
                  <w:marLeft w:val="0"/>
                  <w:marRight w:val="0"/>
                  <w:marTop w:val="0"/>
                  <w:marBottom w:val="0"/>
                  <w:divBdr>
                    <w:top w:val="none" w:sz="0" w:space="0" w:color="auto"/>
                    <w:left w:val="none" w:sz="0" w:space="0" w:color="auto"/>
                    <w:bottom w:val="none" w:sz="0" w:space="0" w:color="auto"/>
                    <w:right w:val="none" w:sz="0" w:space="0" w:color="auto"/>
                  </w:divBdr>
                  <w:divsChild>
                    <w:div w:id="1114178485">
                      <w:marLeft w:val="0"/>
                      <w:marRight w:val="0"/>
                      <w:marTop w:val="0"/>
                      <w:marBottom w:val="0"/>
                      <w:divBdr>
                        <w:top w:val="none" w:sz="0" w:space="0" w:color="auto"/>
                        <w:left w:val="none" w:sz="0" w:space="0" w:color="auto"/>
                        <w:bottom w:val="none" w:sz="0" w:space="0" w:color="auto"/>
                        <w:right w:val="none" w:sz="0" w:space="0" w:color="auto"/>
                      </w:divBdr>
                    </w:div>
                  </w:divsChild>
                </w:div>
                <w:div w:id="281109189">
                  <w:marLeft w:val="0"/>
                  <w:marRight w:val="0"/>
                  <w:marTop w:val="0"/>
                  <w:marBottom w:val="0"/>
                  <w:divBdr>
                    <w:top w:val="none" w:sz="0" w:space="0" w:color="auto"/>
                    <w:left w:val="none" w:sz="0" w:space="0" w:color="auto"/>
                    <w:bottom w:val="none" w:sz="0" w:space="0" w:color="auto"/>
                    <w:right w:val="none" w:sz="0" w:space="0" w:color="auto"/>
                  </w:divBdr>
                  <w:divsChild>
                    <w:div w:id="942303783">
                      <w:marLeft w:val="0"/>
                      <w:marRight w:val="0"/>
                      <w:marTop w:val="0"/>
                      <w:marBottom w:val="0"/>
                      <w:divBdr>
                        <w:top w:val="none" w:sz="0" w:space="0" w:color="auto"/>
                        <w:left w:val="none" w:sz="0" w:space="0" w:color="auto"/>
                        <w:bottom w:val="none" w:sz="0" w:space="0" w:color="auto"/>
                        <w:right w:val="none" w:sz="0" w:space="0" w:color="auto"/>
                      </w:divBdr>
                    </w:div>
                  </w:divsChild>
                </w:div>
                <w:div w:id="1520967814">
                  <w:marLeft w:val="0"/>
                  <w:marRight w:val="0"/>
                  <w:marTop w:val="0"/>
                  <w:marBottom w:val="0"/>
                  <w:divBdr>
                    <w:top w:val="none" w:sz="0" w:space="0" w:color="auto"/>
                    <w:left w:val="none" w:sz="0" w:space="0" w:color="auto"/>
                    <w:bottom w:val="none" w:sz="0" w:space="0" w:color="auto"/>
                    <w:right w:val="none" w:sz="0" w:space="0" w:color="auto"/>
                  </w:divBdr>
                  <w:divsChild>
                    <w:div w:id="1417626774">
                      <w:marLeft w:val="0"/>
                      <w:marRight w:val="0"/>
                      <w:marTop w:val="0"/>
                      <w:marBottom w:val="0"/>
                      <w:divBdr>
                        <w:top w:val="none" w:sz="0" w:space="0" w:color="auto"/>
                        <w:left w:val="none" w:sz="0" w:space="0" w:color="auto"/>
                        <w:bottom w:val="none" w:sz="0" w:space="0" w:color="auto"/>
                        <w:right w:val="none" w:sz="0" w:space="0" w:color="auto"/>
                      </w:divBdr>
                    </w:div>
                  </w:divsChild>
                </w:div>
                <w:div w:id="198202602">
                  <w:marLeft w:val="0"/>
                  <w:marRight w:val="0"/>
                  <w:marTop w:val="0"/>
                  <w:marBottom w:val="0"/>
                  <w:divBdr>
                    <w:top w:val="none" w:sz="0" w:space="0" w:color="auto"/>
                    <w:left w:val="none" w:sz="0" w:space="0" w:color="auto"/>
                    <w:bottom w:val="none" w:sz="0" w:space="0" w:color="auto"/>
                    <w:right w:val="none" w:sz="0" w:space="0" w:color="auto"/>
                  </w:divBdr>
                  <w:divsChild>
                    <w:div w:id="1288004111">
                      <w:marLeft w:val="0"/>
                      <w:marRight w:val="0"/>
                      <w:marTop w:val="0"/>
                      <w:marBottom w:val="0"/>
                      <w:divBdr>
                        <w:top w:val="none" w:sz="0" w:space="0" w:color="auto"/>
                        <w:left w:val="none" w:sz="0" w:space="0" w:color="auto"/>
                        <w:bottom w:val="none" w:sz="0" w:space="0" w:color="auto"/>
                        <w:right w:val="none" w:sz="0" w:space="0" w:color="auto"/>
                      </w:divBdr>
                    </w:div>
                  </w:divsChild>
                </w:div>
                <w:div w:id="489754592">
                  <w:marLeft w:val="0"/>
                  <w:marRight w:val="0"/>
                  <w:marTop w:val="0"/>
                  <w:marBottom w:val="0"/>
                  <w:divBdr>
                    <w:top w:val="none" w:sz="0" w:space="0" w:color="auto"/>
                    <w:left w:val="none" w:sz="0" w:space="0" w:color="auto"/>
                    <w:bottom w:val="none" w:sz="0" w:space="0" w:color="auto"/>
                    <w:right w:val="none" w:sz="0" w:space="0" w:color="auto"/>
                  </w:divBdr>
                  <w:divsChild>
                    <w:div w:id="1005397342">
                      <w:marLeft w:val="0"/>
                      <w:marRight w:val="0"/>
                      <w:marTop w:val="0"/>
                      <w:marBottom w:val="0"/>
                      <w:divBdr>
                        <w:top w:val="none" w:sz="0" w:space="0" w:color="auto"/>
                        <w:left w:val="none" w:sz="0" w:space="0" w:color="auto"/>
                        <w:bottom w:val="none" w:sz="0" w:space="0" w:color="auto"/>
                        <w:right w:val="none" w:sz="0" w:space="0" w:color="auto"/>
                      </w:divBdr>
                    </w:div>
                  </w:divsChild>
                </w:div>
                <w:div w:id="958682344">
                  <w:marLeft w:val="0"/>
                  <w:marRight w:val="0"/>
                  <w:marTop w:val="0"/>
                  <w:marBottom w:val="0"/>
                  <w:divBdr>
                    <w:top w:val="none" w:sz="0" w:space="0" w:color="auto"/>
                    <w:left w:val="none" w:sz="0" w:space="0" w:color="auto"/>
                    <w:bottom w:val="none" w:sz="0" w:space="0" w:color="auto"/>
                    <w:right w:val="none" w:sz="0" w:space="0" w:color="auto"/>
                  </w:divBdr>
                  <w:divsChild>
                    <w:div w:id="567766766">
                      <w:marLeft w:val="0"/>
                      <w:marRight w:val="0"/>
                      <w:marTop w:val="0"/>
                      <w:marBottom w:val="0"/>
                      <w:divBdr>
                        <w:top w:val="none" w:sz="0" w:space="0" w:color="auto"/>
                        <w:left w:val="none" w:sz="0" w:space="0" w:color="auto"/>
                        <w:bottom w:val="none" w:sz="0" w:space="0" w:color="auto"/>
                        <w:right w:val="none" w:sz="0" w:space="0" w:color="auto"/>
                      </w:divBdr>
                    </w:div>
                  </w:divsChild>
                </w:div>
                <w:div w:id="1624073329">
                  <w:marLeft w:val="0"/>
                  <w:marRight w:val="0"/>
                  <w:marTop w:val="0"/>
                  <w:marBottom w:val="0"/>
                  <w:divBdr>
                    <w:top w:val="none" w:sz="0" w:space="0" w:color="auto"/>
                    <w:left w:val="none" w:sz="0" w:space="0" w:color="auto"/>
                    <w:bottom w:val="none" w:sz="0" w:space="0" w:color="auto"/>
                    <w:right w:val="none" w:sz="0" w:space="0" w:color="auto"/>
                  </w:divBdr>
                  <w:divsChild>
                    <w:div w:id="1658655511">
                      <w:marLeft w:val="0"/>
                      <w:marRight w:val="0"/>
                      <w:marTop w:val="0"/>
                      <w:marBottom w:val="0"/>
                      <w:divBdr>
                        <w:top w:val="none" w:sz="0" w:space="0" w:color="auto"/>
                        <w:left w:val="none" w:sz="0" w:space="0" w:color="auto"/>
                        <w:bottom w:val="none" w:sz="0" w:space="0" w:color="auto"/>
                        <w:right w:val="none" w:sz="0" w:space="0" w:color="auto"/>
                      </w:divBdr>
                    </w:div>
                  </w:divsChild>
                </w:div>
                <w:div w:id="1183855797">
                  <w:marLeft w:val="0"/>
                  <w:marRight w:val="0"/>
                  <w:marTop w:val="0"/>
                  <w:marBottom w:val="0"/>
                  <w:divBdr>
                    <w:top w:val="none" w:sz="0" w:space="0" w:color="auto"/>
                    <w:left w:val="none" w:sz="0" w:space="0" w:color="auto"/>
                    <w:bottom w:val="none" w:sz="0" w:space="0" w:color="auto"/>
                    <w:right w:val="none" w:sz="0" w:space="0" w:color="auto"/>
                  </w:divBdr>
                  <w:divsChild>
                    <w:div w:id="1937443512">
                      <w:marLeft w:val="0"/>
                      <w:marRight w:val="0"/>
                      <w:marTop w:val="0"/>
                      <w:marBottom w:val="0"/>
                      <w:divBdr>
                        <w:top w:val="none" w:sz="0" w:space="0" w:color="auto"/>
                        <w:left w:val="none" w:sz="0" w:space="0" w:color="auto"/>
                        <w:bottom w:val="none" w:sz="0" w:space="0" w:color="auto"/>
                        <w:right w:val="none" w:sz="0" w:space="0" w:color="auto"/>
                      </w:divBdr>
                    </w:div>
                  </w:divsChild>
                </w:div>
                <w:div w:id="663626373">
                  <w:marLeft w:val="0"/>
                  <w:marRight w:val="0"/>
                  <w:marTop w:val="0"/>
                  <w:marBottom w:val="0"/>
                  <w:divBdr>
                    <w:top w:val="none" w:sz="0" w:space="0" w:color="auto"/>
                    <w:left w:val="none" w:sz="0" w:space="0" w:color="auto"/>
                    <w:bottom w:val="none" w:sz="0" w:space="0" w:color="auto"/>
                    <w:right w:val="none" w:sz="0" w:space="0" w:color="auto"/>
                  </w:divBdr>
                  <w:divsChild>
                    <w:div w:id="333654587">
                      <w:marLeft w:val="0"/>
                      <w:marRight w:val="0"/>
                      <w:marTop w:val="0"/>
                      <w:marBottom w:val="0"/>
                      <w:divBdr>
                        <w:top w:val="none" w:sz="0" w:space="0" w:color="auto"/>
                        <w:left w:val="none" w:sz="0" w:space="0" w:color="auto"/>
                        <w:bottom w:val="none" w:sz="0" w:space="0" w:color="auto"/>
                        <w:right w:val="none" w:sz="0" w:space="0" w:color="auto"/>
                      </w:divBdr>
                    </w:div>
                  </w:divsChild>
                </w:div>
                <w:div w:id="415130481">
                  <w:marLeft w:val="0"/>
                  <w:marRight w:val="0"/>
                  <w:marTop w:val="0"/>
                  <w:marBottom w:val="0"/>
                  <w:divBdr>
                    <w:top w:val="none" w:sz="0" w:space="0" w:color="auto"/>
                    <w:left w:val="none" w:sz="0" w:space="0" w:color="auto"/>
                    <w:bottom w:val="none" w:sz="0" w:space="0" w:color="auto"/>
                    <w:right w:val="none" w:sz="0" w:space="0" w:color="auto"/>
                  </w:divBdr>
                  <w:divsChild>
                    <w:div w:id="1646353328">
                      <w:marLeft w:val="0"/>
                      <w:marRight w:val="0"/>
                      <w:marTop w:val="0"/>
                      <w:marBottom w:val="0"/>
                      <w:divBdr>
                        <w:top w:val="none" w:sz="0" w:space="0" w:color="auto"/>
                        <w:left w:val="none" w:sz="0" w:space="0" w:color="auto"/>
                        <w:bottom w:val="none" w:sz="0" w:space="0" w:color="auto"/>
                        <w:right w:val="none" w:sz="0" w:space="0" w:color="auto"/>
                      </w:divBdr>
                    </w:div>
                  </w:divsChild>
                </w:div>
                <w:div w:id="1630865720">
                  <w:marLeft w:val="0"/>
                  <w:marRight w:val="0"/>
                  <w:marTop w:val="0"/>
                  <w:marBottom w:val="0"/>
                  <w:divBdr>
                    <w:top w:val="none" w:sz="0" w:space="0" w:color="auto"/>
                    <w:left w:val="none" w:sz="0" w:space="0" w:color="auto"/>
                    <w:bottom w:val="none" w:sz="0" w:space="0" w:color="auto"/>
                    <w:right w:val="none" w:sz="0" w:space="0" w:color="auto"/>
                  </w:divBdr>
                  <w:divsChild>
                    <w:div w:id="164711555">
                      <w:marLeft w:val="0"/>
                      <w:marRight w:val="0"/>
                      <w:marTop w:val="0"/>
                      <w:marBottom w:val="0"/>
                      <w:divBdr>
                        <w:top w:val="none" w:sz="0" w:space="0" w:color="auto"/>
                        <w:left w:val="none" w:sz="0" w:space="0" w:color="auto"/>
                        <w:bottom w:val="none" w:sz="0" w:space="0" w:color="auto"/>
                        <w:right w:val="none" w:sz="0" w:space="0" w:color="auto"/>
                      </w:divBdr>
                    </w:div>
                  </w:divsChild>
                </w:div>
                <w:div w:id="1643584842">
                  <w:marLeft w:val="0"/>
                  <w:marRight w:val="0"/>
                  <w:marTop w:val="0"/>
                  <w:marBottom w:val="0"/>
                  <w:divBdr>
                    <w:top w:val="none" w:sz="0" w:space="0" w:color="auto"/>
                    <w:left w:val="none" w:sz="0" w:space="0" w:color="auto"/>
                    <w:bottom w:val="none" w:sz="0" w:space="0" w:color="auto"/>
                    <w:right w:val="none" w:sz="0" w:space="0" w:color="auto"/>
                  </w:divBdr>
                  <w:divsChild>
                    <w:div w:id="1069960914">
                      <w:marLeft w:val="0"/>
                      <w:marRight w:val="0"/>
                      <w:marTop w:val="0"/>
                      <w:marBottom w:val="0"/>
                      <w:divBdr>
                        <w:top w:val="none" w:sz="0" w:space="0" w:color="auto"/>
                        <w:left w:val="none" w:sz="0" w:space="0" w:color="auto"/>
                        <w:bottom w:val="none" w:sz="0" w:space="0" w:color="auto"/>
                        <w:right w:val="none" w:sz="0" w:space="0" w:color="auto"/>
                      </w:divBdr>
                    </w:div>
                  </w:divsChild>
                </w:div>
                <w:div w:id="1528837319">
                  <w:marLeft w:val="0"/>
                  <w:marRight w:val="0"/>
                  <w:marTop w:val="0"/>
                  <w:marBottom w:val="0"/>
                  <w:divBdr>
                    <w:top w:val="none" w:sz="0" w:space="0" w:color="auto"/>
                    <w:left w:val="none" w:sz="0" w:space="0" w:color="auto"/>
                    <w:bottom w:val="none" w:sz="0" w:space="0" w:color="auto"/>
                    <w:right w:val="none" w:sz="0" w:space="0" w:color="auto"/>
                  </w:divBdr>
                  <w:divsChild>
                    <w:div w:id="1049722264">
                      <w:marLeft w:val="0"/>
                      <w:marRight w:val="0"/>
                      <w:marTop w:val="0"/>
                      <w:marBottom w:val="0"/>
                      <w:divBdr>
                        <w:top w:val="none" w:sz="0" w:space="0" w:color="auto"/>
                        <w:left w:val="none" w:sz="0" w:space="0" w:color="auto"/>
                        <w:bottom w:val="none" w:sz="0" w:space="0" w:color="auto"/>
                        <w:right w:val="none" w:sz="0" w:space="0" w:color="auto"/>
                      </w:divBdr>
                    </w:div>
                  </w:divsChild>
                </w:div>
                <w:div w:id="2108500935">
                  <w:marLeft w:val="0"/>
                  <w:marRight w:val="0"/>
                  <w:marTop w:val="0"/>
                  <w:marBottom w:val="0"/>
                  <w:divBdr>
                    <w:top w:val="none" w:sz="0" w:space="0" w:color="auto"/>
                    <w:left w:val="none" w:sz="0" w:space="0" w:color="auto"/>
                    <w:bottom w:val="none" w:sz="0" w:space="0" w:color="auto"/>
                    <w:right w:val="none" w:sz="0" w:space="0" w:color="auto"/>
                  </w:divBdr>
                  <w:divsChild>
                    <w:div w:id="1499271346">
                      <w:marLeft w:val="0"/>
                      <w:marRight w:val="0"/>
                      <w:marTop w:val="0"/>
                      <w:marBottom w:val="0"/>
                      <w:divBdr>
                        <w:top w:val="none" w:sz="0" w:space="0" w:color="auto"/>
                        <w:left w:val="none" w:sz="0" w:space="0" w:color="auto"/>
                        <w:bottom w:val="none" w:sz="0" w:space="0" w:color="auto"/>
                        <w:right w:val="none" w:sz="0" w:space="0" w:color="auto"/>
                      </w:divBdr>
                    </w:div>
                  </w:divsChild>
                </w:div>
                <w:div w:id="1261526437">
                  <w:marLeft w:val="0"/>
                  <w:marRight w:val="0"/>
                  <w:marTop w:val="0"/>
                  <w:marBottom w:val="0"/>
                  <w:divBdr>
                    <w:top w:val="none" w:sz="0" w:space="0" w:color="auto"/>
                    <w:left w:val="none" w:sz="0" w:space="0" w:color="auto"/>
                    <w:bottom w:val="none" w:sz="0" w:space="0" w:color="auto"/>
                    <w:right w:val="none" w:sz="0" w:space="0" w:color="auto"/>
                  </w:divBdr>
                  <w:divsChild>
                    <w:div w:id="2080132537">
                      <w:marLeft w:val="0"/>
                      <w:marRight w:val="0"/>
                      <w:marTop w:val="0"/>
                      <w:marBottom w:val="0"/>
                      <w:divBdr>
                        <w:top w:val="none" w:sz="0" w:space="0" w:color="auto"/>
                        <w:left w:val="none" w:sz="0" w:space="0" w:color="auto"/>
                        <w:bottom w:val="none" w:sz="0" w:space="0" w:color="auto"/>
                        <w:right w:val="none" w:sz="0" w:space="0" w:color="auto"/>
                      </w:divBdr>
                    </w:div>
                  </w:divsChild>
                </w:div>
                <w:div w:id="1770926618">
                  <w:marLeft w:val="0"/>
                  <w:marRight w:val="0"/>
                  <w:marTop w:val="0"/>
                  <w:marBottom w:val="0"/>
                  <w:divBdr>
                    <w:top w:val="none" w:sz="0" w:space="0" w:color="auto"/>
                    <w:left w:val="none" w:sz="0" w:space="0" w:color="auto"/>
                    <w:bottom w:val="none" w:sz="0" w:space="0" w:color="auto"/>
                    <w:right w:val="none" w:sz="0" w:space="0" w:color="auto"/>
                  </w:divBdr>
                  <w:divsChild>
                    <w:div w:id="628055826">
                      <w:marLeft w:val="0"/>
                      <w:marRight w:val="0"/>
                      <w:marTop w:val="0"/>
                      <w:marBottom w:val="0"/>
                      <w:divBdr>
                        <w:top w:val="none" w:sz="0" w:space="0" w:color="auto"/>
                        <w:left w:val="none" w:sz="0" w:space="0" w:color="auto"/>
                        <w:bottom w:val="none" w:sz="0" w:space="0" w:color="auto"/>
                        <w:right w:val="none" w:sz="0" w:space="0" w:color="auto"/>
                      </w:divBdr>
                    </w:div>
                  </w:divsChild>
                </w:div>
                <w:div w:id="2146311563">
                  <w:marLeft w:val="0"/>
                  <w:marRight w:val="0"/>
                  <w:marTop w:val="0"/>
                  <w:marBottom w:val="0"/>
                  <w:divBdr>
                    <w:top w:val="none" w:sz="0" w:space="0" w:color="auto"/>
                    <w:left w:val="none" w:sz="0" w:space="0" w:color="auto"/>
                    <w:bottom w:val="none" w:sz="0" w:space="0" w:color="auto"/>
                    <w:right w:val="none" w:sz="0" w:space="0" w:color="auto"/>
                  </w:divBdr>
                  <w:divsChild>
                    <w:div w:id="626862299">
                      <w:marLeft w:val="0"/>
                      <w:marRight w:val="0"/>
                      <w:marTop w:val="0"/>
                      <w:marBottom w:val="0"/>
                      <w:divBdr>
                        <w:top w:val="none" w:sz="0" w:space="0" w:color="auto"/>
                        <w:left w:val="none" w:sz="0" w:space="0" w:color="auto"/>
                        <w:bottom w:val="none" w:sz="0" w:space="0" w:color="auto"/>
                        <w:right w:val="none" w:sz="0" w:space="0" w:color="auto"/>
                      </w:divBdr>
                    </w:div>
                  </w:divsChild>
                </w:div>
                <w:div w:id="1244878361">
                  <w:marLeft w:val="0"/>
                  <w:marRight w:val="0"/>
                  <w:marTop w:val="0"/>
                  <w:marBottom w:val="0"/>
                  <w:divBdr>
                    <w:top w:val="none" w:sz="0" w:space="0" w:color="auto"/>
                    <w:left w:val="none" w:sz="0" w:space="0" w:color="auto"/>
                    <w:bottom w:val="none" w:sz="0" w:space="0" w:color="auto"/>
                    <w:right w:val="none" w:sz="0" w:space="0" w:color="auto"/>
                  </w:divBdr>
                  <w:divsChild>
                    <w:div w:id="1888906059">
                      <w:marLeft w:val="0"/>
                      <w:marRight w:val="0"/>
                      <w:marTop w:val="0"/>
                      <w:marBottom w:val="0"/>
                      <w:divBdr>
                        <w:top w:val="none" w:sz="0" w:space="0" w:color="auto"/>
                        <w:left w:val="none" w:sz="0" w:space="0" w:color="auto"/>
                        <w:bottom w:val="none" w:sz="0" w:space="0" w:color="auto"/>
                        <w:right w:val="none" w:sz="0" w:space="0" w:color="auto"/>
                      </w:divBdr>
                    </w:div>
                  </w:divsChild>
                </w:div>
                <w:div w:id="1120494044">
                  <w:marLeft w:val="0"/>
                  <w:marRight w:val="0"/>
                  <w:marTop w:val="0"/>
                  <w:marBottom w:val="0"/>
                  <w:divBdr>
                    <w:top w:val="none" w:sz="0" w:space="0" w:color="auto"/>
                    <w:left w:val="none" w:sz="0" w:space="0" w:color="auto"/>
                    <w:bottom w:val="none" w:sz="0" w:space="0" w:color="auto"/>
                    <w:right w:val="none" w:sz="0" w:space="0" w:color="auto"/>
                  </w:divBdr>
                  <w:divsChild>
                    <w:div w:id="828903377">
                      <w:marLeft w:val="0"/>
                      <w:marRight w:val="0"/>
                      <w:marTop w:val="0"/>
                      <w:marBottom w:val="0"/>
                      <w:divBdr>
                        <w:top w:val="none" w:sz="0" w:space="0" w:color="auto"/>
                        <w:left w:val="none" w:sz="0" w:space="0" w:color="auto"/>
                        <w:bottom w:val="none" w:sz="0" w:space="0" w:color="auto"/>
                        <w:right w:val="none" w:sz="0" w:space="0" w:color="auto"/>
                      </w:divBdr>
                    </w:div>
                  </w:divsChild>
                </w:div>
                <w:div w:id="61147513">
                  <w:marLeft w:val="0"/>
                  <w:marRight w:val="0"/>
                  <w:marTop w:val="0"/>
                  <w:marBottom w:val="0"/>
                  <w:divBdr>
                    <w:top w:val="none" w:sz="0" w:space="0" w:color="auto"/>
                    <w:left w:val="none" w:sz="0" w:space="0" w:color="auto"/>
                    <w:bottom w:val="none" w:sz="0" w:space="0" w:color="auto"/>
                    <w:right w:val="none" w:sz="0" w:space="0" w:color="auto"/>
                  </w:divBdr>
                  <w:divsChild>
                    <w:div w:id="1528760481">
                      <w:marLeft w:val="0"/>
                      <w:marRight w:val="0"/>
                      <w:marTop w:val="0"/>
                      <w:marBottom w:val="0"/>
                      <w:divBdr>
                        <w:top w:val="none" w:sz="0" w:space="0" w:color="auto"/>
                        <w:left w:val="none" w:sz="0" w:space="0" w:color="auto"/>
                        <w:bottom w:val="none" w:sz="0" w:space="0" w:color="auto"/>
                        <w:right w:val="none" w:sz="0" w:space="0" w:color="auto"/>
                      </w:divBdr>
                    </w:div>
                  </w:divsChild>
                </w:div>
                <w:div w:id="2050916109">
                  <w:marLeft w:val="0"/>
                  <w:marRight w:val="0"/>
                  <w:marTop w:val="0"/>
                  <w:marBottom w:val="0"/>
                  <w:divBdr>
                    <w:top w:val="none" w:sz="0" w:space="0" w:color="auto"/>
                    <w:left w:val="none" w:sz="0" w:space="0" w:color="auto"/>
                    <w:bottom w:val="none" w:sz="0" w:space="0" w:color="auto"/>
                    <w:right w:val="none" w:sz="0" w:space="0" w:color="auto"/>
                  </w:divBdr>
                  <w:divsChild>
                    <w:div w:id="2125270577">
                      <w:marLeft w:val="0"/>
                      <w:marRight w:val="0"/>
                      <w:marTop w:val="0"/>
                      <w:marBottom w:val="0"/>
                      <w:divBdr>
                        <w:top w:val="none" w:sz="0" w:space="0" w:color="auto"/>
                        <w:left w:val="none" w:sz="0" w:space="0" w:color="auto"/>
                        <w:bottom w:val="none" w:sz="0" w:space="0" w:color="auto"/>
                        <w:right w:val="none" w:sz="0" w:space="0" w:color="auto"/>
                      </w:divBdr>
                    </w:div>
                  </w:divsChild>
                </w:div>
                <w:div w:id="1800491307">
                  <w:marLeft w:val="0"/>
                  <w:marRight w:val="0"/>
                  <w:marTop w:val="0"/>
                  <w:marBottom w:val="0"/>
                  <w:divBdr>
                    <w:top w:val="none" w:sz="0" w:space="0" w:color="auto"/>
                    <w:left w:val="none" w:sz="0" w:space="0" w:color="auto"/>
                    <w:bottom w:val="none" w:sz="0" w:space="0" w:color="auto"/>
                    <w:right w:val="none" w:sz="0" w:space="0" w:color="auto"/>
                  </w:divBdr>
                  <w:divsChild>
                    <w:div w:id="1377848445">
                      <w:marLeft w:val="0"/>
                      <w:marRight w:val="0"/>
                      <w:marTop w:val="0"/>
                      <w:marBottom w:val="0"/>
                      <w:divBdr>
                        <w:top w:val="none" w:sz="0" w:space="0" w:color="auto"/>
                        <w:left w:val="none" w:sz="0" w:space="0" w:color="auto"/>
                        <w:bottom w:val="none" w:sz="0" w:space="0" w:color="auto"/>
                        <w:right w:val="none" w:sz="0" w:space="0" w:color="auto"/>
                      </w:divBdr>
                    </w:div>
                  </w:divsChild>
                </w:div>
                <w:div w:id="389887198">
                  <w:marLeft w:val="0"/>
                  <w:marRight w:val="0"/>
                  <w:marTop w:val="0"/>
                  <w:marBottom w:val="0"/>
                  <w:divBdr>
                    <w:top w:val="none" w:sz="0" w:space="0" w:color="auto"/>
                    <w:left w:val="none" w:sz="0" w:space="0" w:color="auto"/>
                    <w:bottom w:val="none" w:sz="0" w:space="0" w:color="auto"/>
                    <w:right w:val="none" w:sz="0" w:space="0" w:color="auto"/>
                  </w:divBdr>
                  <w:divsChild>
                    <w:div w:id="59639298">
                      <w:marLeft w:val="0"/>
                      <w:marRight w:val="0"/>
                      <w:marTop w:val="0"/>
                      <w:marBottom w:val="0"/>
                      <w:divBdr>
                        <w:top w:val="none" w:sz="0" w:space="0" w:color="auto"/>
                        <w:left w:val="none" w:sz="0" w:space="0" w:color="auto"/>
                        <w:bottom w:val="none" w:sz="0" w:space="0" w:color="auto"/>
                        <w:right w:val="none" w:sz="0" w:space="0" w:color="auto"/>
                      </w:divBdr>
                    </w:div>
                  </w:divsChild>
                </w:div>
                <w:div w:id="283391169">
                  <w:marLeft w:val="0"/>
                  <w:marRight w:val="0"/>
                  <w:marTop w:val="0"/>
                  <w:marBottom w:val="0"/>
                  <w:divBdr>
                    <w:top w:val="none" w:sz="0" w:space="0" w:color="auto"/>
                    <w:left w:val="none" w:sz="0" w:space="0" w:color="auto"/>
                    <w:bottom w:val="none" w:sz="0" w:space="0" w:color="auto"/>
                    <w:right w:val="none" w:sz="0" w:space="0" w:color="auto"/>
                  </w:divBdr>
                  <w:divsChild>
                    <w:div w:id="1387603507">
                      <w:marLeft w:val="0"/>
                      <w:marRight w:val="0"/>
                      <w:marTop w:val="0"/>
                      <w:marBottom w:val="0"/>
                      <w:divBdr>
                        <w:top w:val="none" w:sz="0" w:space="0" w:color="auto"/>
                        <w:left w:val="none" w:sz="0" w:space="0" w:color="auto"/>
                        <w:bottom w:val="none" w:sz="0" w:space="0" w:color="auto"/>
                        <w:right w:val="none" w:sz="0" w:space="0" w:color="auto"/>
                      </w:divBdr>
                    </w:div>
                  </w:divsChild>
                </w:div>
                <w:div w:id="1879006681">
                  <w:marLeft w:val="0"/>
                  <w:marRight w:val="0"/>
                  <w:marTop w:val="0"/>
                  <w:marBottom w:val="0"/>
                  <w:divBdr>
                    <w:top w:val="none" w:sz="0" w:space="0" w:color="auto"/>
                    <w:left w:val="none" w:sz="0" w:space="0" w:color="auto"/>
                    <w:bottom w:val="none" w:sz="0" w:space="0" w:color="auto"/>
                    <w:right w:val="none" w:sz="0" w:space="0" w:color="auto"/>
                  </w:divBdr>
                  <w:divsChild>
                    <w:div w:id="152740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1418">
          <w:marLeft w:val="0"/>
          <w:marRight w:val="0"/>
          <w:marTop w:val="0"/>
          <w:marBottom w:val="0"/>
          <w:divBdr>
            <w:top w:val="none" w:sz="0" w:space="0" w:color="auto"/>
            <w:left w:val="none" w:sz="0" w:space="0" w:color="auto"/>
            <w:bottom w:val="none" w:sz="0" w:space="0" w:color="auto"/>
            <w:right w:val="none" w:sz="0" w:space="0" w:color="auto"/>
          </w:divBdr>
        </w:div>
        <w:div w:id="227114893">
          <w:marLeft w:val="0"/>
          <w:marRight w:val="0"/>
          <w:marTop w:val="0"/>
          <w:marBottom w:val="0"/>
          <w:divBdr>
            <w:top w:val="none" w:sz="0" w:space="0" w:color="auto"/>
            <w:left w:val="none" w:sz="0" w:space="0" w:color="auto"/>
            <w:bottom w:val="none" w:sz="0" w:space="0" w:color="auto"/>
            <w:right w:val="none" w:sz="0" w:space="0" w:color="auto"/>
          </w:divBdr>
        </w:div>
        <w:div w:id="2127384282">
          <w:marLeft w:val="0"/>
          <w:marRight w:val="0"/>
          <w:marTop w:val="0"/>
          <w:marBottom w:val="0"/>
          <w:divBdr>
            <w:top w:val="none" w:sz="0" w:space="0" w:color="auto"/>
            <w:left w:val="none" w:sz="0" w:space="0" w:color="auto"/>
            <w:bottom w:val="none" w:sz="0" w:space="0" w:color="auto"/>
            <w:right w:val="none" w:sz="0" w:space="0" w:color="auto"/>
          </w:divBdr>
        </w:div>
        <w:div w:id="284503764">
          <w:marLeft w:val="0"/>
          <w:marRight w:val="0"/>
          <w:marTop w:val="0"/>
          <w:marBottom w:val="0"/>
          <w:divBdr>
            <w:top w:val="none" w:sz="0" w:space="0" w:color="auto"/>
            <w:left w:val="none" w:sz="0" w:space="0" w:color="auto"/>
            <w:bottom w:val="none" w:sz="0" w:space="0" w:color="auto"/>
            <w:right w:val="none" w:sz="0" w:space="0" w:color="auto"/>
          </w:divBdr>
        </w:div>
        <w:div w:id="476148914">
          <w:marLeft w:val="0"/>
          <w:marRight w:val="0"/>
          <w:marTop w:val="0"/>
          <w:marBottom w:val="0"/>
          <w:divBdr>
            <w:top w:val="none" w:sz="0" w:space="0" w:color="auto"/>
            <w:left w:val="none" w:sz="0" w:space="0" w:color="auto"/>
            <w:bottom w:val="none" w:sz="0" w:space="0" w:color="auto"/>
            <w:right w:val="none" w:sz="0" w:space="0" w:color="auto"/>
          </w:divBdr>
        </w:div>
        <w:div w:id="2139451954">
          <w:marLeft w:val="0"/>
          <w:marRight w:val="0"/>
          <w:marTop w:val="0"/>
          <w:marBottom w:val="0"/>
          <w:divBdr>
            <w:top w:val="none" w:sz="0" w:space="0" w:color="auto"/>
            <w:left w:val="none" w:sz="0" w:space="0" w:color="auto"/>
            <w:bottom w:val="none" w:sz="0" w:space="0" w:color="auto"/>
            <w:right w:val="none" w:sz="0" w:space="0" w:color="auto"/>
          </w:divBdr>
        </w:div>
        <w:div w:id="166750026">
          <w:marLeft w:val="0"/>
          <w:marRight w:val="0"/>
          <w:marTop w:val="0"/>
          <w:marBottom w:val="0"/>
          <w:divBdr>
            <w:top w:val="none" w:sz="0" w:space="0" w:color="auto"/>
            <w:left w:val="none" w:sz="0" w:space="0" w:color="auto"/>
            <w:bottom w:val="none" w:sz="0" w:space="0" w:color="auto"/>
            <w:right w:val="none" w:sz="0" w:space="0" w:color="auto"/>
          </w:divBdr>
        </w:div>
        <w:div w:id="455219358">
          <w:marLeft w:val="0"/>
          <w:marRight w:val="0"/>
          <w:marTop w:val="0"/>
          <w:marBottom w:val="0"/>
          <w:divBdr>
            <w:top w:val="none" w:sz="0" w:space="0" w:color="auto"/>
            <w:left w:val="none" w:sz="0" w:space="0" w:color="auto"/>
            <w:bottom w:val="none" w:sz="0" w:space="0" w:color="auto"/>
            <w:right w:val="none" w:sz="0" w:space="0" w:color="auto"/>
          </w:divBdr>
        </w:div>
        <w:div w:id="2104915584">
          <w:marLeft w:val="0"/>
          <w:marRight w:val="0"/>
          <w:marTop w:val="0"/>
          <w:marBottom w:val="0"/>
          <w:divBdr>
            <w:top w:val="none" w:sz="0" w:space="0" w:color="auto"/>
            <w:left w:val="none" w:sz="0" w:space="0" w:color="auto"/>
            <w:bottom w:val="none" w:sz="0" w:space="0" w:color="auto"/>
            <w:right w:val="none" w:sz="0" w:space="0" w:color="auto"/>
          </w:divBdr>
        </w:div>
        <w:div w:id="878280521">
          <w:marLeft w:val="0"/>
          <w:marRight w:val="0"/>
          <w:marTop w:val="0"/>
          <w:marBottom w:val="0"/>
          <w:divBdr>
            <w:top w:val="none" w:sz="0" w:space="0" w:color="auto"/>
            <w:left w:val="none" w:sz="0" w:space="0" w:color="auto"/>
            <w:bottom w:val="none" w:sz="0" w:space="0" w:color="auto"/>
            <w:right w:val="none" w:sz="0" w:space="0" w:color="auto"/>
          </w:divBdr>
        </w:div>
        <w:div w:id="1017655292">
          <w:marLeft w:val="0"/>
          <w:marRight w:val="0"/>
          <w:marTop w:val="0"/>
          <w:marBottom w:val="0"/>
          <w:divBdr>
            <w:top w:val="none" w:sz="0" w:space="0" w:color="auto"/>
            <w:left w:val="none" w:sz="0" w:space="0" w:color="auto"/>
            <w:bottom w:val="none" w:sz="0" w:space="0" w:color="auto"/>
            <w:right w:val="none" w:sz="0" w:space="0" w:color="auto"/>
          </w:divBdr>
        </w:div>
        <w:div w:id="1612324470">
          <w:marLeft w:val="0"/>
          <w:marRight w:val="0"/>
          <w:marTop w:val="0"/>
          <w:marBottom w:val="0"/>
          <w:divBdr>
            <w:top w:val="none" w:sz="0" w:space="0" w:color="auto"/>
            <w:left w:val="none" w:sz="0" w:space="0" w:color="auto"/>
            <w:bottom w:val="none" w:sz="0" w:space="0" w:color="auto"/>
            <w:right w:val="none" w:sz="0" w:space="0" w:color="auto"/>
          </w:divBdr>
        </w:div>
        <w:div w:id="921716381">
          <w:marLeft w:val="0"/>
          <w:marRight w:val="0"/>
          <w:marTop w:val="0"/>
          <w:marBottom w:val="0"/>
          <w:divBdr>
            <w:top w:val="none" w:sz="0" w:space="0" w:color="auto"/>
            <w:left w:val="none" w:sz="0" w:space="0" w:color="auto"/>
            <w:bottom w:val="none" w:sz="0" w:space="0" w:color="auto"/>
            <w:right w:val="none" w:sz="0" w:space="0" w:color="auto"/>
          </w:divBdr>
        </w:div>
        <w:div w:id="506409374">
          <w:marLeft w:val="0"/>
          <w:marRight w:val="0"/>
          <w:marTop w:val="0"/>
          <w:marBottom w:val="0"/>
          <w:divBdr>
            <w:top w:val="none" w:sz="0" w:space="0" w:color="auto"/>
            <w:left w:val="none" w:sz="0" w:space="0" w:color="auto"/>
            <w:bottom w:val="none" w:sz="0" w:space="0" w:color="auto"/>
            <w:right w:val="none" w:sz="0" w:space="0" w:color="auto"/>
          </w:divBdr>
        </w:div>
        <w:div w:id="317347732">
          <w:marLeft w:val="0"/>
          <w:marRight w:val="0"/>
          <w:marTop w:val="0"/>
          <w:marBottom w:val="0"/>
          <w:divBdr>
            <w:top w:val="none" w:sz="0" w:space="0" w:color="auto"/>
            <w:left w:val="none" w:sz="0" w:space="0" w:color="auto"/>
            <w:bottom w:val="none" w:sz="0" w:space="0" w:color="auto"/>
            <w:right w:val="none" w:sz="0" w:space="0" w:color="auto"/>
          </w:divBdr>
        </w:div>
        <w:div w:id="1771586598">
          <w:marLeft w:val="0"/>
          <w:marRight w:val="0"/>
          <w:marTop w:val="0"/>
          <w:marBottom w:val="0"/>
          <w:divBdr>
            <w:top w:val="none" w:sz="0" w:space="0" w:color="auto"/>
            <w:left w:val="none" w:sz="0" w:space="0" w:color="auto"/>
            <w:bottom w:val="none" w:sz="0" w:space="0" w:color="auto"/>
            <w:right w:val="none" w:sz="0" w:space="0" w:color="auto"/>
          </w:divBdr>
        </w:div>
        <w:div w:id="2002075445">
          <w:marLeft w:val="0"/>
          <w:marRight w:val="0"/>
          <w:marTop w:val="0"/>
          <w:marBottom w:val="0"/>
          <w:divBdr>
            <w:top w:val="none" w:sz="0" w:space="0" w:color="auto"/>
            <w:left w:val="none" w:sz="0" w:space="0" w:color="auto"/>
            <w:bottom w:val="none" w:sz="0" w:space="0" w:color="auto"/>
            <w:right w:val="none" w:sz="0" w:space="0" w:color="auto"/>
          </w:divBdr>
        </w:div>
        <w:div w:id="1849557527">
          <w:marLeft w:val="0"/>
          <w:marRight w:val="0"/>
          <w:marTop w:val="0"/>
          <w:marBottom w:val="0"/>
          <w:divBdr>
            <w:top w:val="none" w:sz="0" w:space="0" w:color="auto"/>
            <w:left w:val="none" w:sz="0" w:space="0" w:color="auto"/>
            <w:bottom w:val="none" w:sz="0" w:space="0" w:color="auto"/>
            <w:right w:val="none" w:sz="0" w:space="0" w:color="auto"/>
          </w:divBdr>
        </w:div>
        <w:div w:id="780150692">
          <w:marLeft w:val="0"/>
          <w:marRight w:val="0"/>
          <w:marTop w:val="0"/>
          <w:marBottom w:val="0"/>
          <w:divBdr>
            <w:top w:val="none" w:sz="0" w:space="0" w:color="auto"/>
            <w:left w:val="none" w:sz="0" w:space="0" w:color="auto"/>
            <w:bottom w:val="none" w:sz="0" w:space="0" w:color="auto"/>
            <w:right w:val="none" w:sz="0" w:space="0" w:color="auto"/>
          </w:divBdr>
        </w:div>
        <w:div w:id="1667978331">
          <w:marLeft w:val="0"/>
          <w:marRight w:val="0"/>
          <w:marTop w:val="0"/>
          <w:marBottom w:val="0"/>
          <w:divBdr>
            <w:top w:val="none" w:sz="0" w:space="0" w:color="auto"/>
            <w:left w:val="none" w:sz="0" w:space="0" w:color="auto"/>
            <w:bottom w:val="none" w:sz="0" w:space="0" w:color="auto"/>
            <w:right w:val="none" w:sz="0" w:space="0" w:color="auto"/>
          </w:divBdr>
        </w:div>
        <w:div w:id="1469205099">
          <w:marLeft w:val="0"/>
          <w:marRight w:val="0"/>
          <w:marTop w:val="0"/>
          <w:marBottom w:val="0"/>
          <w:divBdr>
            <w:top w:val="none" w:sz="0" w:space="0" w:color="auto"/>
            <w:left w:val="none" w:sz="0" w:space="0" w:color="auto"/>
            <w:bottom w:val="none" w:sz="0" w:space="0" w:color="auto"/>
            <w:right w:val="none" w:sz="0" w:space="0" w:color="auto"/>
          </w:divBdr>
        </w:div>
        <w:div w:id="299069504">
          <w:marLeft w:val="0"/>
          <w:marRight w:val="0"/>
          <w:marTop w:val="0"/>
          <w:marBottom w:val="0"/>
          <w:divBdr>
            <w:top w:val="none" w:sz="0" w:space="0" w:color="auto"/>
            <w:left w:val="none" w:sz="0" w:space="0" w:color="auto"/>
            <w:bottom w:val="none" w:sz="0" w:space="0" w:color="auto"/>
            <w:right w:val="none" w:sz="0" w:space="0" w:color="auto"/>
          </w:divBdr>
        </w:div>
        <w:div w:id="1939168421">
          <w:marLeft w:val="0"/>
          <w:marRight w:val="0"/>
          <w:marTop w:val="0"/>
          <w:marBottom w:val="0"/>
          <w:divBdr>
            <w:top w:val="none" w:sz="0" w:space="0" w:color="auto"/>
            <w:left w:val="none" w:sz="0" w:space="0" w:color="auto"/>
            <w:bottom w:val="none" w:sz="0" w:space="0" w:color="auto"/>
            <w:right w:val="none" w:sz="0" w:space="0" w:color="auto"/>
          </w:divBdr>
        </w:div>
        <w:div w:id="1221986789">
          <w:marLeft w:val="0"/>
          <w:marRight w:val="0"/>
          <w:marTop w:val="0"/>
          <w:marBottom w:val="0"/>
          <w:divBdr>
            <w:top w:val="none" w:sz="0" w:space="0" w:color="auto"/>
            <w:left w:val="none" w:sz="0" w:space="0" w:color="auto"/>
            <w:bottom w:val="none" w:sz="0" w:space="0" w:color="auto"/>
            <w:right w:val="none" w:sz="0" w:space="0" w:color="auto"/>
          </w:divBdr>
        </w:div>
        <w:div w:id="777988071">
          <w:marLeft w:val="0"/>
          <w:marRight w:val="0"/>
          <w:marTop w:val="0"/>
          <w:marBottom w:val="0"/>
          <w:divBdr>
            <w:top w:val="none" w:sz="0" w:space="0" w:color="auto"/>
            <w:left w:val="none" w:sz="0" w:space="0" w:color="auto"/>
            <w:bottom w:val="none" w:sz="0" w:space="0" w:color="auto"/>
            <w:right w:val="none" w:sz="0" w:space="0" w:color="auto"/>
          </w:divBdr>
        </w:div>
      </w:divsChild>
    </w:div>
    <w:div w:id="1988168846">
      <w:bodyDiv w:val="1"/>
      <w:marLeft w:val="0"/>
      <w:marRight w:val="0"/>
      <w:marTop w:val="0"/>
      <w:marBottom w:val="0"/>
      <w:divBdr>
        <w:top w:val="none" w:sz="0" w:space="0" w:color="auto"/>
        <w:left w:val="none" w:sz="0" w:space="0" w:color="auto"/>
        <w:bottom w:val="none" w:sz="0" w:space="0" w:color="auto"/>
        <w:right w:val="none" w:sz="0" w:space="0" w:color="auto"/>
      </w:divBdr>
    </w:div>
    <w:div w:id="2133593067">
      <w:bodyDiv w:val="1"/>
      <w:marLeft w:val="0"/>
      <w:marRight w:val="0"/>
      <w:marTop w:val="0"/>
      <w:marBottom w:val="0"/>
      <w:divBdr>
        <w:top w:val="none" w:sz="0" w:space="0" w:color="auto"/>
        <w:left w:val="none" w:sz="0" w:space="0" w:color="auto"/>
        <w:bottom w:val="none" w:sz="0" w:space="0" w:color="auto"/>
        <w:right w:val="none" w:sz="0" w:space="0" w:color="auto"/>
      </w:divBdr>
      <w:divsChild>
        <w:div w:id="1950156714">
          <w:marLeft w:val="0"/>
          <w:marRight w:val="0"/>
          <w:marTop w:val="0"/>
          <w:marBottom w:val="0"/>
          <w:divBdr>
            <w:top w:val="none" w:sz="0" w:space="0" w:color="auto"/>
            <w:left w:val="none" w:sz="0" w:space="0" w:color="auto"/>
            <w:bottom w:val="none" w:sz="0" w:space="0" w:color="auto"/>
            <w:right w:val="none" w:sz="0" w:space="0" w:color="auto"/>
          </w:divBdr>
        </w:div>
        <w:div w:id="2098406014">
          <w:marLeft w:val="0"/>
          <w:marRight w:val="0"/>
          <w:marTop w:val="0"/>
          <w:marBottom w:val="0"/>
          <w:divBdr>
            <w:top w:val="none" w:sz="0" w:space="0" w:color="auto"/>
            <w:left w:val="none" w:sz="0" w:space="0" w:color="auto"/>
            <w:bottom w:val="none" w:sz="0" w:space="0" w:color="auto"/>
            <w:right w:val="none" w:sz="0" w:space="0" w:color="auto"/>
          </w:divBdr>
        </w:div>
        <w:div w:id="1157115345">
          <w:marLeft w:val="0"/>
          <w:marRight w:val="0"/>
          <w:marTop w:val="0"/>
          <w:marBottom w:val="0"/>
          <w:divBdr>
            <w:top w:val="none" w:sz="0" w:space="0" w:color="auto"/>
            <w:left w:val="none" w:sz="0" w:space="0" w:color="auto"/>
            <w:bottom w:val="none" w:sz="0" w:space="0" w:color="auto"/>
            <w:right w:val="none" w:sz="0" w:space="0" w:color="auto"/>
          </w:divBdr>
        </w:div>
        <w:div w:id="1024482412">
          <w:marLeft w:val="0"/>
          <w:marRight w:val="0"/>
          <w:marTop w:val="0"/>
          <w:marBottom w:val="0"/>
          <w:divBdr>
            <w:top w:val="none" w:sz="0" w:space="0" w:color="auto"/>
            <w:left w:val="none" w:sz="0" w:space="0" w:color="auto"/>
            <w:bottom w:val="none" w:sz="0" w:space="0" w:color="auto"/>
            <w:right w:val="none" w:sz="0" w:space="0" w:color="auto"/>
          </w:divBdr>
        </w:div>
        <w:div w:id="788161791">
          <w:marLeft w:val="0"/>
          <w:marRight w:val="0"/>
          <w:marTop w:val="0"/>
          <w:marBottom w:val="0"/>
          <w:divBdr>
            <w:top w:val="none" w:sz="0" w:space="0" w:color="auto"/>
            <w:left w:val="none" w:sz="0" w:space="0" w:color="auto"/>
            <w:bottom w:val="none" w:sz="0" w:space="0" w:color="auto"/>
            <w:right w:val="none" w:sz="0" w:space="0" w:color="auto"/>
          </w:divBdr>
        </w:div>
        <w:div w:id="7222130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footer" Target="footer2.xml" Id="rId13" /><Relationship Type="http://schemas.openxmlformats.org/officeDocument/2006/relationships/settings" Target="settings.xml" Id="rId3" /><Relationship Type="http://schemas.openxmlformats.org/officeDocument/2006/relationships/image" Target="media/image1.jpg"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2.xml" Id="rId11" /><Relationship Type="http://schemas.openxmlformats.org/officeDocument/2006/relationships/footnotes" Target="footnot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header" Target="header3.xml" Id="rId14" /><Relationship Type="http://schemas.openxmlformats.org/officeDocument/2006/relationships/hyperlink" Target="https://core.ac.uk/download/12117158.pdf" TargetMode="External" Id="R53c19451d8d34e76" /><Relationship Type="http://schemas.openxmlformats.org/officeDocument/2006/relationships/hyperlink" Target="https://scholarworks.moreheadstate.edu/msu_faculty_research/485/" TargetMode="External" Id="Rcba8d0adef7b474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Omar Roushdi Mabrouk (1807791)</dc:creator>
  <keywords/>
  <dc:description/>
  <lastModifiedBy>Omar Roushdi Mabrouk (1807791)</lastModifiedBy>
  <revision>110</revision>
  <dcterms:created xsi:type="dcterms:W3CDTF">2025-02-14T21:25:00.0000000Z</dcterms:created>
  <dcterms:modified xsi:type="dcterms:W3CDTF">2025-02-15T13:31:16.1998486Z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7447b139-7235-458f-b52f-884601dceee6</vt:lpwstr>
  </property>
</Properties>
</file>