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41048954"/>
        <w:docPartObj>
          <w:docPartGallery w:val="Cover Pages"/>
          <w:docPartUnique/>
        </w:docPartObj>
      </w:sdtPr>
      <w:sdtEndPr>
        <w:rPr>
          <w:sz w:val="22"/>
        </w:rPr>
      </w:sdtEndPr>
      <w:sdtContent>
        <w:p w:rsidR="00B755F2" w:rsidRDefault="00B755F2">
          <w:pPr>
            <w:pStyle w:val="NoSpacing"/>
            <w:rPr>
              <w:sz w:val="2"/>
            </w:rPr>
          </w:pPr>
        </w:p>
        <w:p w:rsidR="00B755F2" w:rsidRDefault="00B755F2">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B755F2" w:rsidRDefault="00B755F2">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REPORT ON INTRODUCTION OF gdpr AND ITS IMPACT ON draGON DATA SUPPLIES</w:t>
                                    </w:r>
                                  </w:p>
                                </w:sdtContent>
                              </w:sdt>
                              <w:p w:rsidR="00B755F2" w:rsidRDefault="00B755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B755F2" w:rsidRDefault="00B755F2">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REPORT ON INTRODUCTION OF gdpr AND ITS IMPACT ON draGON DATA SUPPLIES</w:t>
                              </w:r>
                            </w:p>
                          </w:sdtContent>
                        </w:sdt>
                        <w:p w:rsidR="00B755F2" w:rsidRDefault="00B755F2"/>
                      </w:txbxContent>
                    </v:textbox>
                    <w10:wrap anchorx="page" anchory="margin"/>
                  </v:shape>
                </w:pict>
              </mc:Fallback>
            </mc:AlternateContent>
          </w:r>
          <w:r>
            <w:rPr>
              <w:noProof/>
              <w:color w:val="4F81BD"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ED901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55F2" w:rsidRDefault="006F7001" w:rsidP="00B755F2">
                                <w:pPr>
                                  <w:pStyle w:val="NoSpacing"/>
                                  <w:jc w:val="center"/>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755F2">
                                      <w:rPr>
                                        <w:color w:val="4F81BD" w:themeColor="accent1"/>
                                        <w:sz w:val="36"/>
                                        <w:szCs w:val="36"/>
                                      </w:rPr>
                                      <w:t>LEWIS JONES</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B755F2" w:rsidRDefault="00B755F2">
                                    <w:pPr>
                                      <w:pStyle w:val="NoSpacing"/>
                                      <w:jc w:val="right"/>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B755F2" w:rsidRDefault="006F7001" w:rsidP="00B755F2">
                          <w:pPr>
                            <w:pStyle w:val="NoSpacing"/>
                            <w:jc w:val="center"/>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755F2">
                                <w:rPr>
                                  <w:color w:val="4F81BD" w:themeColor="accent1"/>
                                  <w:sz w:val="36"/>
                                  <w:szCs w:val="36"/>
                                </w:rPr>
                                <w:t>LEWIS JONES</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B755F2" w:rsidRDefault="00B755F2">
                              <w:pPr>
                                <w:pStyle w:val="NoSpacing"/>
                                <w:jc w:val="right"/>
                                <w:rPr>
                                  <w:color w:val="4F81BD" w:themeColor="accent1"/>
                                  <w:sz w:val="36"/>
                                  <w:szCs w:val="36"/>
                                </w:rPr>
                              </w:pPr>
                              <w:r>
                                <w:rPr>
                                  <w:color w:val="4F81BD" w:themeColor="accent1"/>
                                  <w:sz w:val="36"/>
                                  <w:szCs w:val="36"/>
                                </w:rPr>
                                <w:t xml:space="preserve">     </w:t>
                              </w:r>
                            </w:p>
                          </w:sdtContent>
                        </w:sdt>
                      </w:txbxContent>
                    </v:textbox>
                    <w10:wrap anchorx="page" anchory="margin"/>
                  </v:shape>
                </w:pict>
              </mc:Fallback>
            </mc:AlternateContent>
          </w:r>
        </w:p>
        <w:p w:rsidR="00B755F2" w:rsidRDefault="00B755F2">
          <w:r>
            <w:br w:type="page"/>
          </w:r>
        </w:p>
      </w:sdtContent>
    </w:sdt>
    <w:p w:rsidR="00BF6025" w:rsidRDefault="00BF6025">
      <w:pPr>
        <w:rPr>
          <w:rFonts w:ascii="Arial" w:hAnsi="Arial" w:cs="Arial"/>
          <w:b/>
          <w:u w:val="single"/>
        </w:rPr>
      </w:pPr>
      <w:r>
        <w:rPr>
          <w:rFonts w:ascii="Arial" w:hAnsi="Arial" w:cs="Arial"/>
          <w:b/>
          <w:u w:val="single"/>
        </w:rPr>
        <w:lastRenderedPageBreak/>
        <w:t>Executive summary</w:t>
      </w:r>
    </w:p>
    <w:p w:rsidR="005B1E42" w:rsidRDefault="005B1E42" w:rsidP="005B1E42">
      <w:pPr>
        <w:rPr>
          <w:rFonts w:ascii="Arial" w:hAnsi="Arial" w:cs="Arial"/>
        </w:rPr>
      </w:pPr>
      <w:r w:rsidRPr="00B63955">
        <w:rPr>
          <w:rFonts w:ascii="Arial" w:hAnsi="Arial" w:cs="Arial"/>
        </w:rPr>
        <w:t>This report provides an analysis and evaluation of the</w:t>
      </w:r>
      <w:r w:rsidRPr="005B1E42">
        <w:rPr>
          <w:rFonts w:ascii="Arial" w:hAnsi="Arial" w:cs="Arial"/>
        </w:rPr>
        <w:t xml:space="preserve"> new General Data Protection Regulations (GDPR) and how they will effect smaller businesses, in particular Dragon Data Supplies</w:t>
      </w:r>
      <w:r w:rsidRPr="00B63955">
        <w:rPr>
          <w:rFonts w:ascii="Arial" w:hAnsi="Arial" w:cs="Arial"/>
        </w:rPr>
        <w:t>. </w:t>
      </w:r>
      <w:r w:rsidRPr="005B1E42">
        <w:rPr>
          <w:rFonts w:ascii="Arial" w:hAnsi="Arial" w:cs="Arial"/>
        </w:rPr>
        <w:t>This analysis will examine the changes being introduced by th</w:t>
      </w:r>
      <w:r w:rsidR="003A7140">
        <w:rPr>
          <w:rFonts w:ascii="Arial" w:hAnsi="Arial" w:cs="Arial"/>
        </w:rPr>
        <w:t>ese</w:t>
      </w:r>
      <w:r w:rsidRPr="005B1E42">
        <w:rPr>
          <w:rFonts w:ascii="Arial" w:hAnsi="Arial" w:cs="Arial"/>
        </w:rPr>
        <w:t xml:space="preserve"> new regulation</w:t>
      </w:r>
      <w:r w:rsidR="003A7140">
        <w:rPr>
          <w:rFonts w:ascii="Arial" w:hAnsi="Arial" w:cs="Arial"/>
        </w:rPr>
        <w:t>s</w:t>
      </w:r>
      <w:r w:rsidRPr="005B1E42">
        <w:rPr>
          <w:rFonts w:ascii="Arial" w:hAnsi="Arial" w:cs="Arial"/>
        </w:rPr>
        <w:t xml:space="preserve"> and the impact adopting </w:t>
      </w:r>
      <w:r w:rsidRPr="005B1E42">
        <w:rPr>
          <w:rFonts w:ascii="Arial" w:hAnsi="Arial" w:cs="Arial"/>
        </w:rPr>
        <w:t>the changes</w:t>
      </w:r>
      <w:r w:rsidR="003A7140">
        <w:rPr>
          <w:rFonts w:ascii="Arial" w:hAnsi="Arial" w:cs="Arial"/>
        </w:rPr>
        <w:t xml:space="preserve"> will have upon</w:t>
      </w:r>
      <w:r w:rsidRPr="005B1E42">
        <w:rPr>
          <w:rFonts w:ascii="Arial" w:hAnsi="Arial" w:cs="Arial"/>
        </w:rPr>
        <w:t xml:space="preserve"> small businesses to make </w:t>
      </w:r>
      <w:r w:rsidR="003A7140">
        <w:rPr>
          <w:rFonts w:ascii="Arial" w:hAnsi="Arial" w:cs="Arial"/>
        </w:rPr>
        <w:t>them</w:t>
      </w:r>
      <w:r w:rsidRPr="005B1E42">
        <w:rPr>
          <w:rFonts w:ascii="Arial" w:hAnsi="Arial" w:cs="Arial"/>
        </w:rPr>
        <w:t xml:space="preserve"> becom</w:t>
      </w:r>
      <w:r>
        <w:rPr>
          <w:rFonts w:ascii="Arial" w:hAnsi="Arial" w:cs="Arial"/>
        </w:rPr>
        <w:t>e</w:t>
      </w:r>
      <w:r w:rsidRPr="005B1E42">
        <w:rPr>
          <w:rFonts w:ascii="Arial" w:hAnsi="Arial" w:cs="Arial"/>
        </w:rPr>
        <w:t xml:space="preserve"> GDPR </w:t>
      </w:r>
      <w:r w:rsidR="00C351C8" w:rsidRPr="005B1E42">
        <w:rPr>
          <w:rFonts w:ascii="Arial" w:hAnsi="Arial" w:cs="Arial"/>
        </w:rPr>
        <w:t>compl</w:t>
      </w:r>
      <w:r w:rsidR="00C351C8">
        <w:rPr>
          <w:rFonts w:ascii="Arial" w:hAnsi="Arial" w:cs="Arial"/>
        </w:rPr>
        <w:t>iant</w:t>
      </w:r>
      <w:r w:rsidRPr="005B1E42">
        <w:rPr>
          <w:rFonts w:ascii="Arial" w:hAnsi="Arial" w:cs="Arial"/>
        </w:rPr>
        <w:t xml:space="preserve">. </w:t>
      </w:r>
    </w:p>
    <w:p w:rsidR="005B1E42" w:rsidRPr="005B1E42" w:rsidRDefault="005B1E42" w:rsidP="005B1E42">
      <w:pPr>
        <w:rPr>
          <w:rFonts w:ascii="Arial" w:hAnsi="Arial" w:cs="Arial"/>
        </w:rPr>
      </w:pPr>
      <w:r w:rsidRPr="005B1E42">
        <w:rPr>
          <w:rFonts w:ascii="Arial" w:hAnsi="Arial" w:cs="Arial"/>
        </w:rPr>
        <w:t xml:space="preserve">This Report has found that GDPR will have a large impact on the way data and consent (which now has to be explicit and intentional from the data subject) is obtain and kept on record. Data kept on record now has to be more accessible to the subject (and supplied upon request), and what is being kept and the purpose for which it is to be used has to be made more transparent. These regulations which are applicable to all EU </w:t>
      </w:r>
      <w:r w:rsidR="003A7140">
        <w:rPr>
          <w:rFonts w:ascii="Arial" w:hAnsi="Arial" w:cs="Arial"/>
        </w:rPr>
        <w:t>residents</w:t>
      </w:r>
      <w:r w:rsidRPr="005B1E42">
        <w:rPr>
          <w:rFonts w:ascii="Arial" w:hAnsi="Arial" w:cs="Arial"/>
        </w:rPr>
        <w:t xml:space="preserve">, and </w:t>
      </w:r>
      <w:r w:rsidR="003A7140">
        <w:rPr>
          <w:rFonts w:ascii="Arial" w:hAnsi="Arial" w:cs="Arial"/>
        </w:rPr>
        <w:t xml:space="preserve">effect </w:t>
      </w:r>
      <w:r w:rsidRPr="005B1E42">
        <w:rPr>
          <w:rFonts w:ascii="Arial" w:hAnsi="Arial" w:cs="Arial"/>
        </w:rPr>
        <w:t xml:space="preserve">any organisations worldwide which may be retaining their data, </w:t>
      </w:r>
      <w:r w:rsidR="003A7140">
        <w:rPr>
          <w:rFonts w:ascii="Arial" w:hAnsi="Arial" w:cs="Arial"/>
        </w:rPr>
        <w:t xml:space="preserve">they </w:t>
      </w:r>
      <w:r w:rsidRPr="005B1E42">
        <w:rPr>
          <w:rFonts w:ascii="Arial" w:hAnsi="Arial" w:cs="Arial"/>
        </w:rPr>
        <w:t xml:space="preserve">are enforceable by law and are deviations are punishable by fines of up to €20 million or 4% of global profits. </w:t>
      </w:r>
    </w:p>
    <w:p w:rsidR="005B1E42" w:rsidRDefault="005B1E42" w:rsidP="005B1E42">
      <w:pPr>
        <w:rPr>
          <w:rFonts w:ascii="Verdana" w:eastAsia="Times New Roman" w:hAnsi="Verdana" w:cs="Times New Roman"/>
          <w:sz w:val="20"/>
          <w:szCs w:val="20"/>
          <w:lang w:eastAsia="en-GB"/>
        </w:rPr>
      </w:pPr>
      <w:r w:rsidRPr="005B1E42">
        <w:rPr>
          <w:rFonts w:ascii="Arial" w:hAnsi="Arial" w:cs="Arial"/>
        </w:rPr>
        <w:t>This report finds that in order for Dragon Data Supplies to be compliant with these new regulations they will need to make organisational changes</w:t>
      </w:r>
      <w:r w:rsidR="00BE4957">
        <w:rPr>
          <w:rFonts w:ascii="Arial" w:hAnsi="Arial" w:cs="Arial"/>
        </w:rPr>
        <w:t xml:space="preserve"> in how data is handled</w:t>
      </w:r>
      <w:r w:rsidRPr="005B1E42">
        <w:rPr>
          <w:rFonts w:ascii="Arial" w:hAnsi="Arial" w:cs="Arial"/>
        </w:rPr>
        <w:t>. Recommendations discussed include:</w:t>
      </w:r>
    </w:p>
    <w:p w:rsidR="005B1E42" w:rsidRPr="005B1E42" w:rsidRDefault="005B1E42" w:rsidP="005B1E42">
      <w:pPr>
        <w:pStyle w:val="ListParagraph"/>
        <w:numPr>
          <w:ilvl w:val="0"/>
          <w:numId w:val="1"/>
        </w:numPr>
        <w:rPr>
          <w:rFonts w:ascii="Arial" w:eastAsia="Times New Roman" w:hAnsi="Arial" w:cs="Arial"/>
          <w:lang w:eastAsia="en-GB"/>
        </w:rPr>
      </w:pPr>
      <w:r w:rsidRPr="005B1E42">
        <w:rPr>
          <w:rFonts w:ascii="Arial" w:eastAsia="Times New Roman" w:hAnsi="Arial" w:cs="Arial"/>
          <w:lang w:eastAsia="en-GB"/>
        </w:rPr>
        <w:t xml:space="preserve">examining current data, including how it was obtained and minimise unnecessary data </w:t>
      </w:r>
    </w:p>
    <w:p w:rsidR="005B1E42" w:rsidRPr="005B1E42" w:rsidRDefault="005B1E42" w:rsidP="005B1E42">
      <w:pPr>
        <w:pStyle w:val="ListParagraph"/>
        <w:numPr>
          <w:ilvl w:val="0"/>
          <w:numId w:val="1"/>
        </w:numPr>
        <w:spacing w:after="0" w:line="240" w:lineRule="auto"/>
        <w:rPr>
          <w:rFonts w:ascii="Arial" w:eastAsia="Times New Roman" w:hAnsi="Arial" w:cs="Arial"/>
          <w:lang w:eastAsia="en-GB"/>
        </w:rPr>
      </w:pPr>
      <w:r w:rsidRPr="005B1E42">
        <w:rPr>
          <w:rFonts w:ascii="Arial" w:eastAsia="Times New Roman" w:hAnsi="Arial" w:cs="Arial"/>
          <w:lang w:eastAsia="en-GB"/>
        </w:rPr>
        <w:t>update data retention methods so data is able to be accessible</w:t>
      </w:r>
      <w:r w:rsidR="00BE4957">
        <w:rPr>
          <w:rFonts w:ascii="Arial" w:eastAsia="Times New Roman" w:hAnsi="Arial" w:cs="Arial"/>
          <w:lang w:eastAsia="en-GB"/>
        </w:rPr>
        <w:t xml:space="preserve">, </w:t>
      </w:r>
      <w:r w:rsidRPr="005B1E42">
        <w:rPr>
          <w:rFonts w:ascii="Arial" w:eastAsia="Times New Roman" w:hAnsi="Arial" w:cs="Arial"/>
          <w:lang w:eastAsia="en-GB"/>
        </w:rPr>
        <w:t>updateable</w:t>
      </w:r>
      <w:r w:rsidR="00BE4957">
        <w:rPr>
          <w:rFonts w:ascii="Arial" w:eastAsia="Times New Roman" w:hAnsi="Arial" w:cs="Arial"/>
          <w:lang w:eastAsia="en-GB"/>
        </w:rPr>
        <w:t>, and erasable</w:t>
      </w:r>
      <w:r w:rsidRPr="005B1E42">
        <w:rPr>
          <w:rFonts w:ascii="Arial" w:eastAsia="Times New Roman" w:hAnsi="Arial" w:cs="Arial"/>
          <w:lang w:eastAsia="en-GB"/>
        </w:rPr>
        <w:t xml:space="preserve"> to subjects</w:t>
      </w:r>
      <w:r w:rsidR="00BE4957">
        <w:rPr>
          <w:rFonts w:ascii="Arial" w:eastAsia="Times New Roman" w:hAnsi="Arial" w:cs="Arial"/>
          <w:lang w:eastAsia="en-GB"/>
        </w:rPr>
        <w:t xml:space="preserve"> upon request</w:t>
      </w:r>
    </w:p>
    <w:p w:rsidR="00BF6025" w:rsidRPr="005B1E42" w:rsidRDefault="005B1E42" w:rsidP="005B1E42">
      <w:pPr>
        <w:pStyle w:val="ListParagraph"/>
        <w:numPr>
          <w:ilvl w:val="0"/>
          <w:numId w:val="1"/>
        </w:numPr>
        <w:rPr>
          <w:rFonts w:ascii="Arial" w:hAnsi="Arial" w:cs="Arial"/>
        </w:rPr>
      </w:pPr>
      <w:r w:rsidRPr="005B1E42">
        <w:rPr>
          <w:rFonts w:ascii="Arial" w:eastAsia="Times New Roman" w:hAnsi="Arial" w:cs="Arial"/>
          <w:lang w:eastAsia="en-GB"/>
        </w:rPr>
        <w:t xml:space="preserve">ensure staff dealing with public data are aware of regulations and are equipped to handle information </w:t>
      </w:r>
      <w:r w:rsidR="006F7001" w:rsidRPr="005B1E42">
        <w:rPr>
          <w:rFonts w:ascii="Arial" w:eastAsia="Times New Roman" w:hAnsi="Arial" w:cs="Arial"/>
          <w:lang w:eastAsia="en-GB"/>
        </w:rPr>
        <w:t>in line</w:t>
      </w:r>
      <w:bookmarkStart w:id="0" w:name="_GoBack"/>
      <w:bookmarkEnd w:id="0"/>
      <w:r w:rsidRPr="005B1E42">
        <w:rPr>
          <w:rFonts w:ascii="Arial" w:eastAsia="Times New Roman" w:hAnsi="Arial" w:cs="Arial"/>
          <w:lang w:eastAsia="en-GB"/>
        </w:rPr>
        <w:t xml:space="preserve"> with GDPR, such as the reporting of lost data</w:t>
      </w:r>
    </w:p>
    <w:p w:rsidR="005B1E42" w:rsidRPr="005B1E42" w:rsidRDefault="005B1E42" w:rsidP="005B1E42">
      <w:pPr>
        <w:rPr>
          <w:rFonts w:ascii="Arial" w:hAnsi="Arial" w:cs="Arial"/>
        </w:rPr>
      </w:pPr>
    </w:p>
    <w:p w:rsidR="00940EF3" w:rsidRPr="00CE2CA1" w:rsidRDefault="00C44026">
      <w:pPr>
        <w:rPr>
          <w:rFonts w:ascii="Arial" w:hAnsi="Arial" w:cs="Arial"/>
          <w:b/>
          <w:u w:val="single"/>
        </w:rPr>
      </w:pPr>
      <w:r w:rsidRPr="00CE2CA1">
        <w:rPr>
          <w:rFonts w:ascii="Arial" w:hAnsi="Arial" w:cs="Arial"/>
          <w:b/>
          <w:u w:val="single"/>
        </w:rPr>
        <w:t>Introduction</w:t>
      </w:r>
    </w:p>
    <w:p w:rsidR="00AA160D" w:rsidRPr="00CE2CA1" w:rsidRDefault="00C44026">
      <w:pPr>
        <w:rPr>
          <w:rFonts w:ascii="Arial" w:hAnsi="Arial" w:cs="Arial"/>
          <w:color w:val="222222"/>
          <w:shd w:val="clear" w:color="auto" w:fill="FFFFFF"/>
        </w:rPr>
      </w:pPr>
      <w:r w:rsidRPr="00CE2CA1">
        <w:rPr>
          <w:rFonts w:ascii="Arial" w:hAnsi="Arial" w:cs="Arial"/>
        </w:rPr>
        <w:t>GDPR (or General Data Protection Regulations)</w:t>
      </w:r>
      <w:r w:rsidR="00AA160D" w:rsidRPr="00CE2CA1">
        <w:rPr>
          <w:rFonts w:ascii="Arial" w:hAnsi="Arial" w:cs="Arial"/>
        </w:rPr>
        <w:t xml:space="preserve">, is a regulation currently in the process of replacing the </w:t>
      </w:r>
      <w:r w:rsidR="00AD722D" w:rsidRPr="00CE2CA1">
        <w:rPr>
          <w:rFonts w:ascii="Arial" w:hAnsi="Arial" w:cs="Arial"/>
        </w:rPr>
        <w:t xml:space="preserve">Data Protection Directive 95/46/EC </w:t>
      </w:r>
      <w:r w:rsidR="00AA160D" w:rsidRPr="00CE2CA1">
        <w:rPr>
          <w:rFonts w:ascii="Arial" w:hAnsi="Arial" w:cs="Arial"/>
        </w:rPr>
        <w:t>in the European Union. GDPR not only affects organisations within the EU that retain personal information, but any organisation worldwide o</w:t>
      </w:r>
      <w:r w:rsidR="00BE4957">
        <w:rPr>
          <w:rFonts w:ascii="Arial" w:hAnsi="Arial" w:cs="Arial"/>
        </w:rPr>
        <w:t>f</w:t>
      </w:r>
      <w:r w:rsidR="00AA160D" w:rsidRPr="00CE2CA1">
        <w:rPr>
          <w:rFonts w:ascii="Arial" w:hAnsi="Arial" w:cs="Arial"/>
        </w:rPr>
        <w:t xml:space="preserve"> any size that retain personal information of any EU </w:t>
      </w:r>
      <w:r w:rsidR="00BE4957">
        <w:rPr>
          <w:rFonts w:ascii="Arial" w:hAnsi="Arial" w:cs="Arial"/>
        </w:rPr>
        <w:t>residents</w:t>
      </w:r>
      <w:r w:rsidR="00AA160D" w:rsidRPr="00CE2CA1">
        <w:rPr>
          <w:rFonts w:ascii="Arial" w:hAnsi="Arial" w:cs="Arial"/>
        </w:rPr>
        <w:t xml:space="preserve">. It was originally adopted on </w:t>
      </w:r>
      <w:r w:rsidR="00AA160D" w:rsidRPr="00CE2CA1">
        <w:rPr>
          <w:rFonts w:ascii="Arial" w:hAnsi="Arial" w:cs="Arial"/>
          <w:color w:val="222222"/>
          <w:shd w:val="clear" w:color="auto" w:fill="FFFFFF"/>
        </w:rPr>
        <w:t>14</w:t>
      </w:r>
      <w:r w:rsidR="00AA160D" w:rsidRPr="00CE2CA1">
        <w:rPr>
          <w:rFonts w:ascii="Arial" w:hAnsi="Arial" w:cs="Arial"/>
          <w:color w:val="222222"/>
          <w:shd w:val="clear" w:color="auto" w:fill="FFFFFF"/>
          <w:vertAlign w:val="superscript"/>
        </w:rPr>
        <w:t>th</w:t>
      </w:r>
      <w:r w:rsidR="00AA160D" w:rsidRPr="00CE2CA1">
        <w:rPr>
          <w:rFonts w:ascii="Arial" w:hAnsi="Arial" w:cs="Arial"/>
          <w:color w:val="222222"/>
          <w:shd w:val="clear" w:color="auto" w:fill="FFFFFF"/>
        </w:rPr>
        <w:t xml:space="preserve"> April 2016 and allowed a 2 year transitionary period for organisations to alter their systems to be compliant with the new regulations, which </w:t>
      </w:r>
      <w:r w:rsidR="00C15110" w:rsidRPr="00CE2CA1">
        <w:rPr>
          <w:rFonts w:ascii="Arial" w:hAnsi="Arial" w:cs="Arial"/>
          <w:color w:val="222222"/>
          <w:shd w:val="clear" w:color="auto" w:fill="FFFFFF"/>
        </w:rPr>
        <w:t>is due to</w:t>
      </w:r>
      <w:r w:rsidR="00AA160D" w:rsidRPr="00CE2CA1">
        <w:rPr>
          <w:rFonts w:ascii="Arial" w:hAnsi="Arial" w:cs="Arial"/>
          <w:color w:val="222222"/>
          <w:shd w:val="clear" w:color="auto" w:fill="FFFFFF"/>
        </w:rPr>
        <w:t xml:space="preserve"> end on 25 May 2018</w:t>
      </w:r>
      <w:r w:rsidR="00AD722D" w:rsidRPr="00CE2CA1">
        <w:rPr>
          <w:rFonts w:ascii="Arial" w:hAnsi="Arial" w:cs="Arial"/>
          <w:color w:val="222222"/>
          <w:shd w:val="clear" w:color="auto" w:fill="FFFFFF"/>
        </w:rPr>
        <w:t xml:space="preserve"> </w:t>
      </w:r>
      <w:sdt>
        <w:sdtPr>
          <w:rPr>
            <w:rFonts w:ascii="Arial" w:hAnsi="Arial" w:cs="Arial"/>
            <w:color w:val="222222"/>
            <w:shd w:val="clear" w:color="auto" w:fill="FFFFFF"/>
          </w:rPr>
          <w:id w:val="-866292827"/>
          <w:citation/>
        </w:sdtPr>
        <w:sdtEndPr/>
        <w:sdtContent>
          <w:r w:rsidR="00AD722D" w:rsidRPr="00CE2CA1">
            <w:rPr>
              <w:rFonts w:ascii="Arial" w:hAnsi="Arial" w:cs="Arial"/>
              <w:color w:val="222222"/>
              <w:shd w:val="clear" w:color="auto" w:fill="FFFFFF"/>
            </w:rPr>
            <w:fldChar w:fldCharType="begin"/>
          </w:r>
          <w:r w:rsidR="00AD722D" w:rsidRPr="00CE2CA1">
            <w:rPr>
              <w:rFonts w:ascii="Arial" w:hAnsi="Arial" w:cs="Arial"/>
              <w:color w:val="222222"/>
              <w:shd w:val="clear" w:color="auto" w:fill="FFFFFF"/>
            </w:rPr>
            <w:instrText xml:space="preserve"> CITATION EUD18 \l 2057 </w:instrText>
          </w:r>
          <w:r w:rsidR="00AD722D" w:rsidRPr="00CE2CA1">
            <w:rPr>
              <w:rFonts w:ascii="Arial" w:hAnsi="Arial" w:cs="Arial"/>
              <w:color w:val="222222"/>
              <w:shd w:val="clear" w:color="auto" w:fill="FFFFFF"/>
            </w:rPr>
            <w:fldChar w:fldCharType="separate"/>
          </w:r>
          <w:r w:rsidR="00AD722D" w:rsidRPr="00CE2CA1">
            <w:rPr>
              <w:rFonts w:ascii="Arial" w:hAnsi="Arial" w:cs="Arial"/>
              <w:noProof/>
              <w:color w:val="222222"/>
              <w:shd w:val="clear" w:color="auto" w:fill="FFFFFF"/>
            </w:rPr>
            <w:t>(EUDGPR, 2018)</w:t>
          </w:r>
          <w:r w:rsidR="00AD722D" w:rsidRPr="00CE2CA1">
            <w:rPr>
              <w:rFonts w:ascii="Arial" w:hAnsi="Arial" w:cs="Arial"/>
              <w:color w:val="222222"/>
              <w:shd w:val="clear" w:color="auto" w:fill="FFFFFF"/>
            </w:rPr>
            <w:fldChar w:fldCharType="end"/>
          </w:r>
        </w:sdtContent>
      </w:sdt>
      <w:r w:rsidR="00AA160D" w:rsidRPr="00CE2CA1">
        <w:rPr>
          <w:rFonts w:ascii="Arial" w:hAnsi="Arial" w:cs="Arial"/>
          <w:color w:val="222222"/>
          <w:shd w:val="clear" w:color="auto" w:fill="FFFFFF"/>
        </w:rPr>
        <w:t>.</w:t>
      </w:r>
    </w:p>
    <w:p w:rsidR="00AA160D" w:rsidRPr="00CE2CA1" w:rsidRDefault="00AA160D">
      <w:pPr>
        <w:rPr>
          <w:rFonts w:ascii="Arial" w:hAnsi="Arial" w:cs="Arial"/>
          <w:color w:val="222222"/>
          <w:shd w:val="clear" w:color="auto" w:fill="FFFFFF"/>
        </w:rPr>
      </w:pPr>
    </w:p>
    <w:p w:rsidR="00C15110" w:rsidRPr="00CE2CA1" w:rsidRDefault="00C15110">
      <w:pPr>
        <w:rPr>
          <w:rFonts w:ascii="Arial" w:hAnsi="Arial" w:cs="Arial"/>
          <w:b/>
          <w:u w:val="single"/>
        </w:rPr>
      </w:pPr>
      <w:r w:rsidRPr="00CE2CA1">
        <w:rPr>
          <w:rFonts w:ascii="Arial" w:hAnsi="Arial" w:cs="Arial"/>
          <w:b/>
          <w:u w:val="single"/>
        </w:rPr>
        <w:t>Major changes</w:t>
      </w:r>
      <w:r w:rsidR="00C351C8">
        <w:rPr>
          <w:rFonts w:ascii="Arial" w:hAnsi="Arial" w:cs="Arial"/>
          <w:b/>
          <w:u w:val="single"/>
        </w:rPr>
        <w:t xml:space="preserve"> introduced by GDPR</w:t>
      </w:r>
    </w:p>
    <w:p w:rsidR="00C15110" w:rsidRPr="00CE2CA1" w:rsidRDefault="00C15110">
      <w:pPr>
        <w:rPr>
          <w:rFonts w:ascii="Arial" w:hAnsi="Arial" w:cs="Arial"/>
          <w:color w:val="222222"/>
          <w:shd w:val="clear" w:color="auto" w:fill="FFFFFF"/>
        </w:rPr>
      </w:pPr>
      <w:r w:rsidRPr="00CE2CA1">
        <w:rPr>
          <w:rFonts w:ascii="Arial" w:hAnsi="Arial" w:cs="Arial"/>
          <w:color w:val="222222"/>
          <w:shd w:val="clear" w:color="auto" w:fill="FFFFFF"/>
        </w:rPr>
        <w:t xml:space="preserve">GDPR changes the ways in which organisations are permitted to obtain and retain data, if organisations are not compliant with these regulations they are liable to be fined up to €20 million or 4% of global profits, depending on which is higher. It is therefore very important for any businesses, no matter how small, to be aware of these changes </w:t>
      </w:r>
      <w:r w:rsidR="00AD722D" w:rsidRPr="00CE2CA1">
        <w:rPr>
          <w:rFonts w:ascii="Arial" w:hAnsi="Arial" w:cs="Arial"/>
          <w:color w:val="222222"/>
          <w:shd w:val="clear" w:color="auto" w:fill="FFFFFF"/>
        </w:rPr>
        <w:t>and make the necessary infrastructure changes to be compliant. Dragon Data Supplies as a company that retains customer information for marketing and data analysis purposes will need to be aware of the following changes:</w:t>
      </w:r>
    </w:p>
    <w:p w:rsidR="007F2762" w:rsidRPr="00CE2CA1" w:rsidRDefault="007F2762">
      <w:pPr>
        <w:rPr>
          <w:rFonts w:ascii="Arial" w:hAnsi="Arial" w:cs="Arial"/>
          <w:color w:val="222222"/>
          <w:shd w:val="clear" w:color="auto" w:fill="FFFFFF"/>
        </w:rPr>
      </w:pPr>
      <w:r w:rsidRPr="00CE2CA1">
        <w:rPr>
          <w:rFonts w:ascii="Arial" w:hAnsi="Arial" w:cs="Arial"/>
          <w:color w:val="222222"/>
          <w:shd w:val="clear" w:color="auto" w:fill="FFFFFF"/>
        </w:rPr>
        <w:lastRenderedPageBreak/>
        <w:t>Data access – data subjects must be able to have confirmation if data is being kept about them, what data</w:t>
      </w:r>
      <w:r w:rsidR="00BD3C7C">
        <w:rPr>
          <w:rFonts w:ascii="Arial" w:hAnsi="Arial" w:cs="Arial"/>
          <w:color w:val="222222"/>
          <w:shd w:val="clear" w:color="auto" w:fill="FFFFFF"/>
        </w:rPr>
        <w:t>,</w:t>
      </w:r>
      <w:r w:rsidRPr="00CE2CA1">
        <w:rPr>
          <w:rFonts w:ascii="Arial" w:hAnsi="Arial" w:cs="Arial"/>
          <w:color w:val="222222"/>
          <w:shd w:val="clear" w:color="auto" w:fill="FFFFFF"/>
        </w:rPr>
        <w:t xml:space="preserve"> and for what purpose</w:t>
      </w:r>
      <w:r w:rsidR="00D82E83">
        <w:rPr>
          <w:rFonts w:ascii="Arial" w:hAnsi="Arial" w:cs="Arial"/>
          <w:color w:val="222222"/>
          <w:shd w:val="clear" w:color="auto" w:fill="FFFFFF"/>
        </w:rPr>
        <w:t xml:space="preserve"> it’s being kept</w:t>
      </w:r>
      <w:r w:rsidR="00BE4957">
        <w:rPr>
          <w:rFonts w:ascii="Arial" w:hAnsi="Arial" w:cs="Arial"/>
          <w:color w:val="222222"/>
          <w:shd w:val="clear" w:color="auto" w:fill="FFFFFF"/>
        </w:rPr>
        <w:t xml:space="preserve"> for. The data</w:t>
      </w:r>
      <w:r w:rsidRPr="00CE2CA1">
        <w:rPr>
          <w:rFonts w:ascii="Arial" w:hAnsi="Arial" w:cs="Arial"/>
          <w:color w:val="222222"/>
          <w:shd w:val="clear" w:color="auto" w:fill="FFFFFF"/>
        </w:rPr>
        <w:t xml:space="preserve"> must be supplied for free </w:t>
      </w:r>
      <w:r w:rsidR="00BE4957">
        <w:rPr>
          <w:rFonts w:ascii="Arial" w:hAnsi="Arial" w:cs="Arial"/>
          <w:color w:val="222222"/>
          <w:shd w:val="clear" w:color="auto" w:fill="FFFFFF"/>
        </w:rPr>
        <w:t xml:space="preserve">by </w:t>
      </w:r>
      <w:r w:rsidRPr="00CE2CA1">
        <w:rPr>
          <w:rFonts w:ascii="Arial" w:hAnsi="Arial" w:cs="Arial"/>
          <w:color w:val="222222"/>
          <w:shd w:val="clear" w:color="auto" w:fill="FFFFFF"/>
        </w:rPr>
        <w:t xml:space="preserve">an electronic copy </w:t>
      </w:r>
      <w:r w:rsidR="00BE4957">
        <w:rPr>
          <w:rFonts w:ascii="Arial" w:hAnsi="Arial" w:cs="Arial"/>
          <w:color w:val="222222"/>
          <w:shd w:val="clear" w:color="auto" w:fill="FFFFFF"/>
        </w:rPr>
        <w:t>if it is requested by the subject</w:t>
      </w:r>
    </w:p>
    <w:p w:rsidR="004D45BD" w:rsidRPr="00CE2CA1" w:rsidRDefault="004D45BD">
      <w:pPr>
        <w:rPr>
          <w:rFonts w:ascii="Arial" w:hAnsi="Arial" w:cs="Arial"/>
          <w:color w:val="222222"/>
          <w:shd w:val="clear" w:color="auto" w:fill="FFFFFF"/>
        </w:rPr>
      </w:pPr>
      <w:r w:rsidRPr="00CE2CA1">
        <w:rPr>
          <w:rFonts w:ascii="Arial" w:hAnsi="Arial" w:cs="Arial"/>
          <w:color w:val="222222"/>
          <w:shd w:val="clear" w:color="auto" w:fill="FFFFFF"/>
        </w:rPr>
        <w:t>Notification of breach – if there is a breach of protected data, such as a website being hacked or a device containing data being lost, it is the responsibility of the holder of the data to inform individuals affected without unreasonable delay and the “supervisory authority” with</w:t>
      </w:r>
      <w:r w:rsidR="00D82E83">
        <w:rPr>
          <w:rFonts w:ascii="Arial" w:hAnsi="Arial" w:cs="Arial"/>
          <w:color w:val="222222"/>
          <w:shd w:val="clear" w:color="auto" w:fill="FFFFFF"/>
        </w:rPr>
        <w:t>in</w:t>
      </w:r>
      <w:r w:rsidRPr="00CE2CA1">
        <w:rPr>
          <w:rFonts w:ascii="Arial" w:hAnsi="Arial" w:cs="Arial"/>
          <w:color w:val="222222"/>
          <w:shd w:val="clear" w:color="auto" w:fill="FFFFFF"/>
        </w:rPr>
        <w:t xml:space="preserve"> 72 hours</w:t>
      </w:r>
      <w:r w:rsidR="00BE4957">
        <w:rPr>
          <w:rFonts w:ascii="Arial" w:hAnsi="Arial" w:cs="Arial"/>
          <w:color w:val="222222"/>
          <w:shd w:val="clear" w:color="auto" w:fill="FFFFFF"/>
        </w:rPr>
        <w:t xml:space="preserve"> </w:t>
      </w:r>
      <w:sdt>
        <w:sdtPr>
          <w:rPr>
            <w:rFonts w:ascii="Arial" w:hAnsi="Arial" w:cs="Arial"/>
            <w:color w:val="222222"/>
            <w:shd w:val="clear" w:color="auto" w:fill="FFFFFF"/>
          </w:rPr>
          <w:id w:val="-284434374"/>
          <w:citation/>
        </w:sdtPr>
        <w:sdtContent>
          <w:r w:rsidR="00BE4957">
            <w:rPr>
              <w:rFonts w:ascii="Arial" w:hAnsi="Arial" w:cs="Arial"/>
              <w:color w:val="222222"/>
              <w:shd w:val="clear" w:color="auto" w:fill="FFFFFF"/>
            </w:rPr>
            <w:fldChar w:fldCharType="begin"/>
          </w:r>
          <w:r w:rsidR="00BE4957">
            <w:rPr>
              <w:rFonts w:ascii="Arial" w:hAnsi="Arial" w:cs="Arial"/>
              <w:color w:val="222222"/>
              <w:shd w:val="clear" w:color="auto" w:fill="FFFFFF"/>
            </w:rPr>
            <w:instrText xml:space="preserve"> CITATION ICO18 \l 2057 </w:instrText>
          </w:r>
          <w:r w:rsidR="00BE4957">
            <w:rPr>
              <w:rFonts w:ascii="Arial" w:hAnsi="Arial" w:cs="Arial"/>
              <w:color w:val="222222"/>
              <w:shd w:val="clear" w:color="auto" w:fill="FFFFFF"/>
            </w:rPr>
            <w:fldChar w:fldCharType="separate"/>
          </w:r>
          <w:r w:rsidR="00BE4957" w:rsidRPr="00BE4957">
            <w:rPr>
              <w:rFonts w:ascii="Arial" w:hAnsi="Arial" w:cs="Arial"/>
              <w:noProof/>
              <w:color w:val="222222"/>
              <w:shd w:val="clear" w:color="auto" w:fill="FFFFFF"/>
            </w:rPr>
            <w:t>(ICO, 2018)</w:t>
          </w:r>
          <w:r w:rsidR="00BE4957">
            <w:rPr>
              <w:rFonts w:ascii="Arial" w:hAnsi="Arial" w:cs="Arial"/>
              <w:color w:val="222222"/>
              <w:shd w:val="clear" w:color="auto" w:fill="FFFFFF"/>
            </w:rPr>
            <w:fldChar w:fldCharType="end"/>
          </w:r>
        </w:sdtContent>
      </w:sdt>
      <w:r w:rsidR="00BE4957">
        <w:rPr>
          <w:rFonts w:ascii="Arial" w:hAnsi="Arial" w:cs="Arial"/>
          <w:color w:val="222222"/>
          <w:shd w:val="clear" w:color="auto" w:fill="FFFFFF"/>
        </w:rPr>
        <w:t>.</w:t>
      </w:r>
    </w:p>
    <w:p w:rsidR="00FD2A59" w:rsidRPr="00CE2CA1" w:rsidRDefault="00FD2A59">
      <w:pPr>
        <w:rPr>
          <w:rFonts w:ascii="Arial" w:hAnsi="Arial" w:cs="Arial"/>
          <w:color w:val="222222"/>
          <w:shd w:val="clear" w:color="auto" w:fill="FFFFFF"/>
        </w:rPr>
      </w:pPr>
      <w:r w:rsidRPr="00CE2CA1">
        <w:rPr>
          <w:rFonts w:ascii="Arial" w:hAnsi="Arial" w:cs="Arial"/>
          <w:color w:val="222222"/>
          <w:shd w:val="clear" w:color="auto" w:fill="FFFFFF"/>
        </w:rPr>
        <w:t xml:space="preserve">Consent </w:t>
      </w:r>
      <w:r w:rsidR="00122296" w:rsidRPr="00CE2CA1">
        <w:rPr>
          <w:rFonts w:ascii="Arial" w:hAnsi="Arial" w:cs="Arial"/>
          <w:color w:val="222222"/>
          <w:shd w:val="clear" w:color="auto" w:fill="FFFFFF"/>
        </w:rPr>
        <w:t>–</w:t>
      </w:r>
      <w:r w:rsidRPr="00CE2CA1">
        <w:rPr>
          <w:rFonts w:ascii="Arial" w:hAnsi="Arial" w:cs="Arial"/>
          <w:color w:val="222222"/>
          <w:shd w:val="clear" w:color="auto" w:fill="FFFFFF"/>
        </w:rPr>
        <w:t xml:space="preserve"> </w:t>
      </w:r>
      <w:r w:rsidR="00122296" w:rsidRPr="00CE2CA1">
        <w:rPr>
          <w:rFonts w:ascii="Arial" w:hAnsi="Arial" w:cs="Arial"/>
          <w:color w:val="222222"/>
          <w:shd w:val="clear" w:color="auto" w:fill="FFFFFF"/>
        </w:rPr>
        <w:t>There is now a requirement that</w:t>
      </w:r>
      <w:r w:rsidR="00D82E83">
        <w:rPr>
          <w:rFonts w:ascii="Arial" w:hAnsi="Arial" w:cs="Arial"/>
          <w:color w:val="222222"/>
          <w:shd w:val="clear" w:color="auto" w:fill="FFFFFF"/>
        </w:rPr>
        <w:t xml:space="preserve"> the</w:t>
      </w:r>
      <w:r w:rsidR="00122296" w:rsidRPr="00CE2CA1">
        <w:rPr>
          <w:rFonts w:ascii="Arial" w:hAnsi="Arial" w:cs="Arial"/>
          <w:color w:val="222222"/>
          <w:shd w:val="clear" w:color="auto" w:fill="FFFFFF"/>
        </w:rPr>
        <w:t xml:space="preserve"> consent given</w:t>
      </w:r>
      <w:r w:rsidR="00D82E83">
        <w:rPr>
          <w:rFonts w:ascii="Arial" w:hAnsi="Arial" w:cs="Arial"/>
          <w:color w:val="222222"/>
          <w:shd w:val="clear" w:color="auto" w:fill="FFFFFF"/>
        </w:rPr>
        <w:t xml:space="preserve"> to retain information</w:t>
      </w:r>
      <w:r w:rsidR="00122296" w:rsidRPr="00CE2CA1">
        <w:rPr>
          <w:rFonts w:ascii="Arial" w:hAnsi="Arial" w:cs="Arial"/>
          <w:color w:val="222222"/>
          <w:shd w:val="clear" w:color="auto" w:fill="FFFFFF"/>
        </w:rPr>
        <w:t xml:space="preserve"> is explicit</w:t>
      </w:r>
      <w:r w:rsidR="00D82E83">
        <w:rPr>
          <w:rFonts w:ascii="Arial" w:hAnsi="Arial" w:cs="Arial"/>
          <w:color w:val="222222"/>
          <w:shd w:val="clear" w:color="auto" w:fill="FFFFFF"/>
        </w:rPr>
        <w:t xml:space="preserve"> and </w:t>
      </w:r>
      <w:r w:rsidR="00D82E83" w:rsidRPr="00CE2CA1">
        <w:rPr>
          <w:rFonts w:ascii="Arial" w:hAnsi="Arial" w:cs="Arial"/>
          <w:color w:val="222222"/>
          <w:shd w:val="clear" w:color="auto" w:fill="FFFFFF"/>
        </w:rPr>
        <w:t>demonstrable</w:t>
      </w:r>
      <w:r w:rsidR="00122296" w:rsidRPr="00CE2CA1">
        <w:rPr>
          <w:rFonts w:ascii="Arial" w:hAnsi="Arial" w:cs="Arial"/>
          <w:color w:val="222222"/>
          <w:shd w:val="clear" w:color="auto" w:fill="FFFFFF"/>
        </w:rPr>
        <w:t xml:space="preserve">, and prohibits any form of consent </w:t>
      </w:r>
      <w:r w:rsidR="00D82E83">
        <w:rPr>
          <w:rFonts w:ascii="Arial" w:hAnsi="Arial" w:cs="Arial"/>
          <w:color w:val="222222"/>
          <w:shd w:val="clear" w:color="auto" w:fill="FFFFFF"/>
        </w:rPr>
        <w:t>based on assumption of consent such as pre-ticked boxes during user agreements or account signups.</w:t>
      </w:r>
    </w:p>
    <w:p w:rsidR="007F2762" w:rsidRPr="00CE2CA1" w:rsidRDefault="007F2762" w:rsidP="007F2762">
      <w:pPr>
        <w:rPr>
          <w:rFonts w:ascii="Arial" w:hAnsi="Arial" w:cs="Arial"/>
        </w:rPr>
      </w:pPr>
      <w:r w:rsidRPr="00CE2CA1">
        <w:rPr>
          <w:rFonts w:ascii="Arial" w:hAnsi="Arial" w:cs="Arial"/>
        </w:rPr>
        <w:t>Right to be f</w:t>
      </w:r>
      <w:r w:rsidR="004D45BD" w:rsidRPr="00CE2CA1">
        <w:rPr>
          <w:rFonts w:ascii="Arial" w:hAnsi="Arial" w:cs="Arial"/>
        </w:rPr>
        <w:t xml:space="preserve">orgotten – also referred to as “erasure” and allows data subjects to have their data erased </w:t>
      </w:r>
      <w:r w:rsidR="00D82E83">
        <w:rPr>
          <w:rFonts w:ascii="Arial" w:hAnsi="Arial" w:cs="Arial"/>
        </w:rPr>
        <w:t xml:space="preserve">from being kept in an organisations records, and upon request records must be removed </w:t>
      </w:r>
      <w:r w:rsidR="004D45BD" w:rsidRPr="00CE2CA1">
        <w:rPr>
          <w:rFonts w:ascii="Arial" w:hAnsi="Arial" w:cs="Arial"/>
        </w:rPr>
        <w:t xml:space="preserve">without unreasonable delay </w:t>
      </w:r>
      <w:sdt>
        <w:sdtPr>
          <w:rPr>
            <w:rFonts w:ascii="Arial" w:hAnsi="Arial" w:cs="Arial"/>
          </w:rPr>
          <w:id w:val="1987432655"/>
          <w:citation/>
        </w:sdtPr>
        <w:sdtEndPr/>
        <w:sdtContent>
          <w:r w:rsidR="004D45BD" w:rsidRPr="00CE2CA1">
            <w:rPr>
              <w:rFonts w:ascii="Arial" w:hAnsi="Arial" w:cs="Arial"/>
            </w:rPr>
            <w:fldChar w:fldCharType="begin"/>
          </w:r>
          <w:r w:rsidR="004D45BD" w:rsidRPr="00CE2CA1">
            <w:rPr>
              <w:rFonts w:ascii="Arial" w:hAnsi="Arial" w:cs="Arial"/>
            </w:rPr>
            <w:instrText xml:space="preserve"> CITATION Kir18 \l 2057 </w:instrText>
          </w:r>
          <w:r w:rsidR="004D45BD" w:rsidRPr="00CE2CA1">
            <w:rPr>
              <w:rFonts w:ascii="Arial" w:hAnsi="Arial" w:cs="Arial"/>
            </w:rPr>
            <w:fldChar w:fldCharType="separate"/>
          </w:r>
          <w:r w:rsidR="004D45BD" w:rsidRPr="00CE2CA1">
            <w:rPr>
              <w:rFonts w:ascii="Arial" w:hAnsi="Arial" w:cs="Arial"/>
              <w:noProof/>
            </w:rPr>
            <w:t>(Kirk, 2018)</w:t>
          </w:r>
          <w:r w:rsidR="004D45BD" w:rsidRPr="00CE2CA1">
            <w:rPr>
              <w:rFonts w:ascii="Arial" w:hAnsi="Arial" w:cs="Arial"/>
            </w:rPr>
            <w:fldChar w:fldCharType="end"/>
          </w:r>
        </w:sdtContent>
      </w:sdt>
      <w:r w:rsidR="004D45BD" w:rsidRPr="00CE2CA1">
        <w:rPr>
          <w:rFonts w:ascii="Arial" w:hAnsi="Arial" w:cs="Arial"/>
        </w:rPr>
        <w:t>.</w:t>
      </w:r>
    </w:p>
    <w:p w:rsidR="00AD722D" w:rsidRPr="00CE2CA1" w:rsidRDefault="00AD722D">
      <w:pPr>
        <w:rPr>
          <w:rFonts w:ascii="Arial" w:hAnsi="Arial" w:cs="Arial"/>
          <w:color w:val="222222"/>
          <w:shd w:val="clear" w:color="auto" w:fill="FFFFFF"/>
        </w:rPr>
      </w:pPr>
      <w:r w:rsidRPr="00CE2CA1">
        <w:rPr>
          <w:rFonts w:ascii="Arial" w:hAnsi="Arial" w:cs="Arial"/>
          <w:color w:val="222222"/>
          <w:shd w:val="clear" w:color="auto" w:fill="FFFFFF"/>
        </w:rPr>
        <w:t xml:space="preserve">Lawfulness, fairness and transparency – in addition to being kept fair and lawfully, there is an increased emphasis on transparency to the </w:t>
      </w:r>
      <w:r w:rsidR="008B77E7" w:rsidRPr="00CE2CA1">
        <w:rPr>
          <w:rFonts w:ascii="Arial" w:hAnsi="Arial" w:cs="Arial"/>
          <w:color w:val="222222"/>
          <w:shd w:val="clear" w:color="auto" w:fill="FFFFFF"/>
        </w:rPr>
        <w:t>data subject of what</w:t>
      </w:r>
      <w:r w:rsidR="00FA67F0">
        <w:rPr>
          <w:rFonts w:ascii="Arial" w:hAnsi="Arial" w:cs="Arial"/>
          <w:color w:val="222222"/>
          <w:shd w:val="clear" w:color="auto" w:fill="FFFFFF"/>
        </w:rPr>
        <w:t xml:space="preserve"> of their</w:t>
      </w:r>
      <w:r w:rsidR="00F62CB1">
        <w:rPr>
          <w:rFonts w:ascii="Arial" w:hAnsi="Arial" w:cs="Arial"/>
          <w:color w:val="222222"/>
          <w:shd w:val="clear" w:color="auto" w:fill="FFFFFF"/>
        </w:rPr>
        <w:t xml:space="preserve"> data is being stored and what purpose it is to be used for</w:t>
      </w:r>
      <w:r w:rsidR="00FA67F0">
        <w:rPr>
          <w:rFonts w:ascii="Arial" w:hAnsi="Arial" w:cs="Arial"/>
          <w:color w:val="222222"/>
          <w:shd w:val="clear" w:color="auto" w:fill="FFFFFF"/>
        </w:rPr>
        <w:t>.</w:t>
      </w:r>
    </w:p>
    <w:p w:rsidR="00AD722D" w:rsidRPr="00CE2CA1" w:rsidRDefault="00384743">
      <w:pPr>
        <w:rPr>
          <w:rFonts w:ascii="Arial" w:hAnsi="Arial" w:cs="Arial"/>
          <w:color w:val="222222"/>
          <w:shd w:val="clear" w:color="auto" w:fill="FFFFFF"/>
        </w:rPr>
      </w:pPr>
      <w:r w:rsidRPr="00CE2CA1">
        <w:rPr>
          <w:rFonts w:ascii="Arial" w:hAnsi="Arial" w:cs="Arial"/>
          <w:color w:val="222222"/>
          <w:shd w:val="clear" w:color="auto" w:fill="FFFFFF"/>
        </w:rPr>
        <w:t xml:space="preserve">Purpose limitation – Data is collected for a specific purpose, and </w:t>
      </w:r>
      <w:r w:rsidR="00122296" w:rsidRPr="00CE2CA1">
        <w:rPr>
          <w:rFonts w:ascii="Arial" w:hAnsi="Arial" w:cs="Arial"/>
          <w:color w:val="222222"/>
          <w:shd w:val="clear" w:color="auto" w:fill="FFFFFF"/>
        </w:rPr>
        <w:t>cannot</w:t>
      </w:r>
      <w:r w:rsidRPr="00CE2CA1">
        <w:rPr>
          <w:rFonts w:ascii="Arial" w:hAnsi="Arial" w:cs="Arial"/>
          <w:color w:val="222222"/>
          <w:shd w:val="clear" w:color="auto" w:fill="FFFFFF"/>
        </w:rPr>
        <w:t xml:space="preserve"> be retained and used for further incompatible purpose</w:t>
      </w:r>
      <w:r w:rsidR="00F62CB1">
        <w:rPr>
          <w:rFonts w:ascii="Arial" w:hAnsi="Arial" w:cs="Arial"/>
          <w:color w:val="222222"/>
          <w:shd w:val="clear" w:color="auto" w:fill="FFFFFF"/>
        </w:rPr>
        <w:t>s or be passed to external parties for other purposes</w:t>
      </w:r>
    </w:p>
    <w:p w:rsidR="00C57F21" w:rsidRPr="00CE2CA1" w:rsidRDefault="00384743" w:rsidP="00C57F21">
      <w:pPr>
        <w:rPr>
          <w:rFonts w:ascii="Arial" w:hAnsi="Arial" w:cs="Arial"/>
        </w:rPr>
      </w:pPr>
      <w:r w:rsidRPr="00CE2CA1">
        <w:rPr>
          <w:rFonts w:ascii="Arial" w:hAnsi="Arial" w:cs="Arial"/>
        </w:rPr>
        <w:t>Data minimisation –</w:t>
      </w:r>
      <w:r w:rsidR="00C57F21" w:rsidRPr="00CE2CA1">
        <w:rPr>
          <w:rFonts w:ascii="Arial" w:hAnsi="Arial" w:cs="Arial"/>
        </w:rPr>
        <w:t xml:space="preserve"> extraneous</w:t>
      </w:r>
      <w:r w:rsidRPr="00CE2CA1">
        <w:rPr>
          <w:rFonts w:ascii="Arial" w:hAnsi="Arial" w:cs="Arial"/>
        </w:rPr>
        <w:t xml:space="preserve"> </w:t>
      </w:r>
      <w:r w:rsidR="00C57F21" w:rsidRPr="00CE2CA1">
        <w:rPr>
          <w:rFonts w:ascii="Arial" w:hAnsi="Arial" w:cs="Arial"/>
        </w:rPr>
        <w:t>data</w:t>
      </w:r>
      <w:r w:rsidR="00FA67F0">
        <w:rPr>
          <w:rFonts w:ascii="Arial" w:hAnsi="Arial" w:cs="Arial"/>
        </w:rPr>
        <w:t xml:space="preserve"> cannot be kept outside of its stated</w:t>
      </w:r>
      <w:r w:rsidR="00C57F21" w:rsidRPr="00CE2CA1">
        <w:rPr>
          <w:rFonts w:ascii="Arial" w:hAnsi="Arial" w:cs="Arial"/>
        </w:rPr>
        <w:t xml:space="preserve"> purpose </w:t>
      </w:r>
      <w:r w:rsidR="00FA67F0">
        <w:rPr>
          <w:rFonts w:ascii="Arial" w:hAnsi="Arial" w:cs="Arial"/>
        </w:rPr>
        <w:t>as it was originally</w:t>
      </w:r>
      <w:r w:rsidR="00C57F21" w:rsidRPr="00CE2CA1">
        <w:rPr>
          <w:rFonts w:ascii="Arial" w:hAnsi="Arial" w:cs="Arial"/>
        </w:rPr>
        <w:t xml:space="preserve"> obtained</w:t>
      </w:r>
      <w:r w:rsidR="00FA67F0">
        <w:rPr>
          <w:rFonts w:ascii="Arial" w:hAnsi="Arial" w:cs="Arial"/>
        </w:rPr>
        <w:t xml:space="preserve">, and any data not </w:t>
      </w:r>
      <w:r w:rsidR="00BE4957">
        <w:rPr>
          <w:rFonts w:ascii="Arial" w:hAnsi="Arial" w:cs="Arial"/>
        </w:rPr>
        <w:t xml:space="preserve">retained </w:t>
      </w:r>
      <w:r w:rsidR="00FA67F0">
        <w:rPr>
          <w:rFonts w:ascii="Arial" w:hAnsi="Arial" w:cs="Arial"/>
        </w:rPr>
        <w:t>for this purpose</w:t>
      </w:r>
      <w:r w:rsidR="00BE4957">
        <w:rPr>
          <w:rFonts w:ascii="Arial" w:hAnsi="Arial" w:cs="Arial"/>
        </w:rPr>
        <w:t xml:space="preserve"> should be expunged </w:t>
      </w:r>
    </w:p>
    <w:p w:rsidR="00CE2CA1" w:rsidRPr="00CE2CA1" w:rsidRDefault="00CE2CA1">
      <w:pPr>
        <w:rPr>
          <w:rFonts w:ascii="Arial" w:hAnsi="Arial" w:cs="Arial"/>
          <w:color w:val="222222"/>
          <w:shd w:val="clear" w:color="auto" w:fill="FFFFFF"/>
        </w:rPr>
      </w:pPr>
    </w:p>
    <w:p w:rsidR="00AD722D" w:rsidRPr="00CE2CA1" w:rsidRDefault="00AD722D">
      <w:pPr>
        <w:rPr>
          <w:rFonts w:ascii="Arial" w:hAnsi="Arial" w:cs="Arial"/>
          <w:b/>
          <w:color w:val="222222"/>
          <w:u w:val="single"/>
          <w:shd w:val="clear" w:color="auto" w:fill="FFFFFF"/>
        </w:rPr>
      </w:pPr>
      <w:r w:rsidRPr="00CE2CA1">
        <w:rPr>
          <w:rFonts w:ascii="Arial" w:hAnsi="Arial" w:cs="Arial"/>
          <w:b/>
          <w:color w:val="222222"/>
          <w:u w:val="single"/>
          <w:shd w:val="clear" w:color="auto" w:fill="FFFFFF"/>
        </w:rPr>
        <w:t xml:space="preserve">Recommendations </w:t>
      </w:r>
    </w:p>
    <w:p w:rsidR="00C15110" w:rsidRPr="00CE2CA1" w:rsidRDefault="009E7C0E">
      <w:pPr>
        <w:rPr>
          <w:rFonts w:ascii="Arial" w:hAnsi="Arial" w:cs="Arial"/>
          <w:color w:val="222222"/>
          <w:u w:val="single"/>
          <w:shd w:val="clear" w:color="auto" w:fill="FFFFFF"/>
        </w:rPr>
      </w:pPr>
      <w:r w:rsidRPr="00CE2CA1">
        <w:rPr>
          <w:rFonts w:ascii="Arial" w:hAnsi="Arial" w:cs="Arial"/>
          <w:color w:val="222222"/>
          <w:u w:val="single"/>
          <w:shd w:val="clear" w:color="auto" w:fill="FFFFFF"/>
        </w:rPr>
        <w:t xml:space="preserve">Analyse </w:t>
      </w:r>
      <w:r w:rsidR="00AD722D" w:rsidRPr="00CE2CA1">
        <w:rPr>
          <w:rFonts w:ascii="Arial" w:hAnsi="Arial" w:cs="Arial"/>
          <w:color w:val="222222"/>
          <w:u w:val="single"/>
          <w:shd w:val="clear" w:color="auto" w:fill="FFFFFF"/>
        </w:rPr>
        <w:t>how data is kept</w:t>
      </w:r>
      <w:r w:rsidRPr="00CE2CA1">
        <w:rPr>
          <w:rFonts w:ascii="Arial" w:hAnsi="Arial" w:cs="Arial"/>
          <w:color w:val="222222"/>
          <w:u w:val="single"/>
          <w:shd w:val="clear" w:color="auto" w:fill="FFFFFF"/>
        </w:rPr>
        <w:t xml:space="preserve"> currently </w:t>
      </w:r>
    </w:p>
    <w:p w:rsidR="00C57F21" w:rsidRPr="00CE2CA1" w:rsidRDefault="00CC44DD">
      <w:pPr>
        <w:rPr>
          <w:rFonts w:ascii="Arial" w:hAnsi="Arial" w:cs="Arial"/>
          <w:color w:val="222222"/>
          <w:shd w:val="clear" w:color="auto" w:fill="FFFFFF"/>
        </w:rPr>
      </w:pPr>
      <w:r w:rsidRPr="00CE2CA1">
        <w:rPr>
          <w:rFonts w:ascii="Arial" w:hAnsi="Arial" w:cs="Arial"/>
          <w:color w:val="222222"/>
          <w:shd w:val="clear" w:color="auto" w:fill="FFFFFF"/>
        </w:rPr>
        <w:t>The first step for Dragon to become compliant with GDPR is to examine all the data that is currently being kept</w:t>
      </w:r>
      <w:r w:rsidR="00FD2A59" w:rsidRPr="00CE2CA1">
        <w:rPr>
          <w:rFonts w:ascii="Arial" w:hAnsi="Arial" w:cs="Arial"/>
          <w:color w:val="222222"/>
          <w:shd w:val="clear" w:color="auto" w:fill="FFFFFF"/>
        </w:rPr>
        <w:t xml:space="preserve"> regarding customers and how it has been obtained. With the updated consent requirements, it is now necessary to demonstrate that data subjects have explicitly consented to have their information collected. This means if any of the data Dragon is retaining has been collected with a</w:t>
      </w:r>
      <w:r w:rsidR="00717212" w:rsidRPr="00CE2CA1">
        <w:rPr>
          <w:rFonts w:ascii="Arial" w:hAnsi="Arial" w:cs="Arial"/>
          <w:color w:val="222222"/>
          <w:shd w:val="clear" w:color="auto" w:fill="FFFFFF"/>
        </w:rPr>
        <w:t xml:space="preserve"> soft opt-in such as a</w:t>
      </w:r>
      <w:r w:rsidR="00FD2A59" w:rsidRPr="00CE2CA1">
        <w:rPr>
          <w:rFonts w:ascii="Arial" w:hAnsi="Arial" w:cs="Arial"/>
          <w:color w:val="222222"/>
          <w:shd w:val="clear" w:color="auto" w:fill="FFFFFF"/>
        </w:rPr>
        <w:t xml:space="preserve"> pre-ticked consent box it is no longer compliant with </w:t>
      </w:r>
      <w:r w:rsidR="00BE4957">
        <w:rPr>
          <w:rFonts w:ascii="Arial" w:hAnsi="Arial" w:cs="Arial"/>
          <w:color w:val="222222"/>
          <w:shd w:val="clear" w:color="auto" w:fill="FFFFFF"/>
        </w:rPr>
        <w:t>data protection</w:t>
      </w:r>
      <w:r w:rsidR="00FD2A59" w:rsidRPr="00CE2CA1">
        <w:rPr>
          <w:rFonts w:ascii="Arial" w:hAnsi="Arial" w:cs="Arial"/>
          <w:color w:val="222222"/>
          <w:shd w:val="clear" w:color="auto" w:fill="FFFFFF"/>
        </w:rPr>
        <w:t xml:space="preserve">. </w:t>
      </w:r>
      <w:sdt>
        <w:sdtPr>
          <w:rPr>
            <w:rFonts w:ascii="Arial" w:hAnsi="Arial" w:cs="Arial"/>
            <w:color w:val="222222"/>
            <w:shd w:val="clear" w:color="auto" w:fill="FFFFFF"/>
          </w:rPr>
          <w:id w:val="-2143958354"/>
          <w:citation/>
        </w:sdtPr>
        <w:sdtEndPr/>
        <w:sdtContent>
          <w:r w:rsidR="00FD2A59" w:rsidRPr="00CE2CA1">
            <w:rPr>
              <w:rFonts w:ascii="Arial" w:hAnsi="Arial" w:cs="Arial"/>
              <w:color w:val="222222"/>
              <w:shd w:val="clear" w:color="auto" w:fill="FFFFFF"/>
            </w:rPr>
            <w:fldChar w:fldCharType="begin"/>
          </w:r>
          <w:r w:rsidR="00FD2A59" w:rsidRPr="00CE2CA1">
            <w:rPr>
              <w:rFonts w:ascii="Arial" w:hAnsi="Arial" w:cs="Arial"/>
              <w:color w:val="222222"/>
              <w:shd w:val="clear" w:color="auto" w:fill="FFFFFF"/>
            </w:rPr>
            <w:instrText xml:space="preserve"> CITATION Mai18 \l 2057 </w:instrText>
          </w:r>
          <w:r w:rsidR="00FD2A59" w:rsidRPr="00CE2CA1">
            <w:rPr>
              <w:rFonts w:ascii="Arial" w:hAnsi="Arial" w:cs="Arial"/>
              <w:color w:val="222222"/>
              <w:shd w:val="clear" w:color="auto" w:fill="FFFFFF"/>
            </w:rPr>
            <w:fldChar w:fldCharType="separate"/>
          </w:r>
          <w:r w:rsidR="00FD2A59" w:rsidRPr="00CE2CA1">
            <w:rPr>
              <w:rFonts w:ascii="Arial" w:hAnsi="Arial" w:cs="Arial"/>
              <w:noProof/>
              <w:color w:val="222222"/>
              <w:shd w:val="clear" w:color="auto" w:fill="FFFFFF"/>
            </w:rPr>
            <w:t>(MailJet, 2018)</w:t>
          </w:r>
          <w:r w:rsidR="00FD2A59" w:rsidRPr="00CE2CA1">
            <w:rPr>
              <w:rFonts w:ascii="Arial" w:hAnsi="Arial" w:cs="Arial"/>
              <w:color w:val="222222"/>
              <w:shd w:val="clear" w:color="auto" w:fill="FFFFFF"/>
            </w:rPr>
            <w:fldChar w:fldCharType="end"/>
          </w:r>
        </w:sdtContent>
      </w:sdt>
      <w:r w:rsidR="00FD2A59" w:rsidRPr="00CE2CA1">
        <w:rPr>
          <w:rFonts w:ascii="Arial" w:hAnsi="Arial" w:cs="Arial"/>
          <w:color w:val="222222"/>
          <w:shd w:val="clear" w:color="auto" w:fill="FFFFFF"/>
        </w:rPr>
        <w:t xml:space="preserve"> suggests using a </w:t>
      </w:r>
      <w:r w:rsidR="00717212" w:rsidRPr="00CE2CA1">
        <w:rPr>
          <w:rFonts w:ascii="Arial" w:hAnsi="Arial" w:cs="Arial"/>
          <w:color w:val="222222"/>
          <w:shd w:val="clear" w:color="auto" w:fill="FFFFFF"/>
        </w:rPr>
        <w:t>double opt-in, which requires participants to confirm an email address before they are added to an email distribution list. To ensure that current customer distribution lists are GDPR compliant, it will be necessary to contact all currently on the Dragon distribution list for them to consent to continue being contact</w:t>
      </w:r>
      <w:r w:rsidR="00BE4957">
        <w:rPr>
          <w:rFonts w:ascii="Arial" w:hAnsi="Arial" w:cs="Arial"/>
          <w:color w:val="222222"/>
          <w:shd w:val="clear" w:color="auto" w:fill="FFFFFF"/>
        </w:rPr>
        <w:t>ed</w:t>
      </w:r>
      <w:r w:rsidR="00717212" w:rsidRPr="00CE2CA1">
        <w:rPr>
          <w:rFonts w:ascii="Arial" w:hAnsi="Arial" w:cs="Arial"/>
          <w:color w:val="222222"/>
          <w:shd w:val="clear" w:color="auto" w:fill="FFFFFF"/>
        </w:rPr>
        <w:t>, and retain this consent so it can be retrieved if necessary.</w:t>
      </w:r>
      <w:r w:rsidR="006B231F" w:rsidRPr="00CE2CA1">
        <w:rPr>
          <w:rFonts w:ascii="Arial" w:hAnsi="Arial" w:cs="Arial"/>
          <w:color w:val="222222"/>
          <w:shd w:val="clear" w:color="auto" w:fill="FFFFFF"/>
        </w:rPr>
        <w:t xml:space="preserve"> </w:t>
      </w:r>
    </w:p>
    <w:p w:rsidR="00122296" w:rsidRDefault="00122296">
      <w:pPr>
        <w:rPr>
          <w:rFonts w:ascii="Arial" w:hAnsi="Arial" w:cs="Arial"/>
          <w:color w:val="222222"/>
          <w:shd w:val="clear" w:color="auto" w:fill="FFFFFF"/>
        </w:rPr>
      </w:pPr>
      <w:r w:rsidRPr="00CE2CA1">
        <w:rPr>
          <w:rFonts w:ascii="Arial" w:hAnsi="Arial" w:cs="Arial"/>
          <w:color w:val="222222"/>
          <w:shd w:val="clear" w:color="auto" w:fill="FFFFFF"/>
        </w:rPr>
        <w:t xml:space="preserve">A review of the data retained by Dragon will be necessary to ensure that </w:t>
      </w:r>
      <w:r w:rsidR="006B231F" w:rsidRPr="00CE2CA1">
        <w:rPr>
          <w:rFonts w:ascii="Arial" w:hAnsi="Arial" w:cs="Arial"/>
          <w:color w:val="222222"/>
          <w:shd w:val="clear" w:color="auto" w:fill="FFFFFF"/>
        </w:rPr>
        <w:t xml:space="preserve">only </w:t>
      </w:r>
      <w:r w:rsidRPr="00CE2CA1">
        <w:rPr>
          <w:rFonts w:ascii="Arial" w:hAnsi="Arial" w:cs="Arial"/>
          <w:color w:val="222222"/>
          <w:shd w:val="clear" w:color="auto" w:fill="FFFFFF"/>
        </w:rPr>
        <w:t>the minimal amount of data that is necessary for the stated purpose under wh</w:t>
      </w:r>
      <w:r w:rsidR="006B231F" w:rsidRPr="00CE2CA1">
        <w:rPr>
          <w:rFonts w:ascii="Arial" w:hAnsi="Arial" w:cs="Arial"/>
          <w:color w:val="222222"/>
          <w:shd w:val="clear" w:color="auto" w:fill="FFFFFF"/>
        </w:rPr>
        <w:t>ich it was originally collected is being retained. As dragon is to be responsible for all the data that collected, ensur</w:t>
      </w:r>
      <w:r w:rsidR="00BE4957">
        <w:rPr>
          <w:rFonts w:ascii="Arial" w:hAnsi="Arial" w:cs="Arial"/>
          <w:color w:val="222222"/>
          <w:shd w:val="clear" w:color="auto" w:fill="FFFFFF"/>
        </w:rPr>
        <w:t>ing</w:t>
      </w:r>
      <w:r w:rsidR="006B231F" w:rsidRPr="00CE2CA1">
        <w:rPr>
          <w:rFonts w:ascii="Arial" w:hAnsi="Arial" w:cs="Arial"/>
          <w:color w:val="222222"/>
          <w:shd w:val="clear" w:color="auto" w:fill="FFFFFF"/>
        </w:rPr>
        <w:t xml:space="preserve"> the data is as minimal as possible limits the liability undertaken by Dragon should there be an issue with data confidentiality breach.</w:t>
      </w:r>
    </w:p>
    <w:p w:rsidR="00CE2CA1" w:rsidRDefault="00CE2CA1">
      <w:pPr>
        <w:rPr>
          <w:rFonts w:ascii="Arial" w:hAnsi="Arial" w:cs="Arial"/>
          <w:color w:val="222222"/>
          <w:shd w:val="clear" w:color="auto" w:fill="FFFFFF"/>
        </w:rPr>
      </w:pPr>
    </w:p>
    <w:p w:rsidR="00CE2CA1" w:rsidRPr="00CE2CA1" w:rsidRDefault="00CE2CA1">
      <w:pPr>
        <w:rPr>
          <w:rFonts w:ascii="Arial" w:hAnsi="Arial" w:cs="Arial"/>
          <w:color w:val="222222"/>
          <w:u w:val="single"/>
          <w:shd w:val="clear" w:color="auto" w:fill="FFFFFF"/>
        </w:rPr>
      </w:pPr>
      <w:r w:rsidRPr="00CE2CA1">
        <w:rPr>
          <w:rFonts w:ascii="Arial" w:hAnsi="Arial" w:cs="Arial"/>
          <w:color w:val="222222"/>
          <w:u w:val="single"/>
          <w:shd w:val="clear" w:color="auto" w:fill="FFFFFF"/>
        </w:rPr>
        <w:lastRenderedPageBreak/>
        <w:t>Creation of new data storage solutions</w:t>
      </w:r>
    </w:p>
    <w:p w:rsidR="009E7C0E" w:rsidRPr="00CE2CA1" w:rsidRDefault="009E7C0E">
      <w:pPr>
        <w:rPr>
          <w:rFonts w:ascii="Arial" w:hAnsi="Arial" w:cs="Arial"/>
          <w:color w:val="222222"/>
          <w:shd w:val="clear" w:color="auto" w:fill="FFFFFF"/>
        </w:rPr>
      </w:pPr>
      <w:r w:rsidRPr="00CE2CA1">
        <w:rPr>
          <w:rFonts w:ascii="Arial" w:hAnsi="Arial" w:cs="Arial"/>
          <w:color w:val="222222"/>
          <w:shd w:val="clear" w:color="auto" w:fill="FFFFFF"/>
        </w:rPr>
        <w:t xml:space="preserve">It will also be necessary to ensure that the system Dragon Data uses to store information is able meet the requirements introduced by GDPR. </w:t>
      </w:r>
      <w:r w:rsidR="00044767" w:rsidRPr="00CE2CA1">
        <w:rPr>
          <w:rFonts w:ascii="Arial" w:hAnsi="Arial" w:cs="Arial"/>
          <w:color w:val="222222"/>
          <w:shd w:val="clear" w:color="auto" w:fill="FFFFFF"/>
        </w:rPr>
        <w:t>Currently data stored by Dragon is on a private Excel sheet</w:t>
      </w:r>
      <w:r w:rsidR="00615B74" w:rsidRPr="00CE2CA1">
        <w:rPr>
          <w:rFonts w:ascii="Arial" w:hAnsi="Arial" w:cs="Arial"/>
          <w:color w:val="222222"/>
          <w:shd w:val="clear" w:color="auto" w:fill="FFFFFF"/>
        </w:rPr>
        <w:t xml:space="preserve">, arrangements need to be made to ensure that subjects are able to access this data, change </w:t>
      </w:r>
      <w:r w:rsidR="00226D4B" w:rsidRPr="00CE2CA1">
        <w:rPr>
          <w:rFonts w:ascii="Arial" w:hAnsi="Arial" w:cs="Arial"/>
          <w:color w:val="222222"/>
          <w:shd w:val="clear" w:color="auto" w:fill="FFFFFF"/>
        </w:rPr>
        <w:t xml:space="preserve">and update, and to be removed </w:t>
      </w:r>
      <w:r w:rsidR="00EF62C0" w:rsidRPr="00CE2CA1">
        <w:rPr>
          <w:rFonts w:ascii="Arial" w:hAnsi="Arial" w:cs="Arial"/>
          <w:color w:val="222222"/>
          <w:shd w:val="clear" w:color="auto" w:fill="FFFFFF"/>
        </w:rPr>
        <w:t xml:space="preserve">if requested. </w:t>
      </w:r>
      <w:sdt>
        <w:sdtPr>
          <w:rPr>
            <w:rFonts w:ascii="Arial" w:hAnsi="Arial" w:cs="Arial"/>
            <w:color w:val="222222"/>
            <w:shd w:val="clear" w:color="auto" w:fill="FFFFFF"/>
          </w:rPr>
          <w:id w:val="1089428961"/>
          <w:citation/>
        </w:sdtPr>
        <w:sdtEndPr/>
        <w:sdtContent>
          <w:r w:rsidR="00EF62C0" w:rsidRPr="00CE2CA1">
            <w:rPr>
              <w:rFonts w:ascii="Arial" w:hAnsi="Arial" w:cs="Arial"/>
              <w:color w:val="222222"/>
              <w:shd w:val="clear" w:color="auto" w:fill="FFFFFF"/>
            </w:rPr>
            <w:fldChar w:fldCharType="begin"/>
          </w:r>
          <w:r w:rsidR="00EF62C0" w:rsidRPr="00CE2CA1">
            <w:rPr>
              <w:rFonts w:ascii="Arial" w:hAnsi="Arial" w:cs="Arial"/>
              <w:color w:val="222222"/>
              <w:shd w:val="clear" w:color="auto" w:fill="FFFFFF"/>
            </w:rPr>
            <w:instrText xml:space="preserve"> CITATION Col18 \l 2057 </w:instrText>
          </w:r>
          <w:r w:rsidR="00EF62C0" w:rsidRPr="00CE2CA1">
            <w:rPr>
              <w:rFonts w:ascii="Arial" w:hAnsi="Arial" w:cs="Arial"/>
              <w:color w:val="222222"/>
              <w:shd w:val="clear" w:color="auto" w:fill="FFFFFF"/>
            </w:rPr>
            <w:fldChar w:fldCharType="separate"/>
          </w:r>
          <w:r w:rsidR="00EF62C0" w:rsidRPr="00CE2CA1">
            <w:rPr>
              <w:rFonts w:ascii="Arial" w:hAnsi="Arial" w:cs="Arial"/>
              <w:noProof/>
              <w:color w:val="222222"/>
              <w:shd w:val="clear" w:color="auto" w:fill="FFFFFF"/>
            </w:rPr>
            <w:t>(Collibra, 2018)</w:t>
          </w:r>
          <w:r w:rsidR="00EF62C0" w:rsidRPr="00CE2CA1">
            <w:rPr>
              <w:rFonts w:ascii="Arial" w:hAnsi="Arial" w:cs="Arial"/>
              <w:color w:val="222222"/>
              <w:shd w:val="clear" w:color="auto" w:fill="FFFFFF"/>
            </w:rPr>
            <w:fldChar w:fldCharType="end"/>
          </w:r>
        </w:sdtContent>
      </w:sdt>
      <w:r w:rsidR="00EF62C0" w:rsidRPr="00CE2CA1">
        <w:rPr>
          <w:rFonts w:ascii="Arial" w:hAnsi="Arial" w:cs="Arial"/>
          <w:color w:val="222222"/>
          <w:shd w:val="clear" w:color="auto" w:fill="FFFFFF"/>
        </w:rPr>
        <w:t xml:space="preserve"> </w:t>
      </w:r>
      <w:r w:rsidR="00AD4D4C" w:rsidRPr="00CE2CA1">
        <w:rPr>
          <w:rFonts w:ascii="Arial" w:hAnsi="Arial" w:cs="Arial"/>
          <w:color w:val="222222"/>
          <w:shd w:val="clear" w:color="auto" w:fill="FFFFFF"/>
        </w:rPr>
        <w:t xml:space="preserve">points to weaknesses of data storage solutions such as Excel, as version control need to be closely monitored across an organisation to ensure consistency of data is maintained, and with the increased strain that GDPR applies in terms of data being updated and altered, Dragons current solution may be inadequate going forward. The method of data storage Dragon uses will also need to be able to track </w:t>
      </w:r>
      <w:r w:rsidR="00CE2CA1" w:rsidRPr="00CE2CA1">
        <w:rPr>
          <w:rFonts w:ascii="Arial" w:hAnsi="Arial" w:cs="Arial"/>
          <w:color w:val="222222"/>
          <w:shd w:val="clear" w:color="auto" w:fill="FFFFFF"/>
        </w:rPr>
        <w:t>information about the consent from subject</w:t>
      </w:r>
      <w:r w:rsidR="0004594B">
        <w:rPr>
          <w:rFonts w:ascii="Arial" w:hAnsi="Arial" w:cs="Arial"/>
          <w:color w:val="222222"/>
          <w:shd w:val="clear" w:color="auto" w:fill="FFFFFF"/>
        </w:rPr>
        <w:t>s</w:t>
      </w:r>
      <w:r w:rsidR="00CE2CA1" w:rsidRPr="00CE2CA1">
        <w:rPr>
          <w:rFonts w:ascii="Arial" w:hAnsi="Arial" w:cs="Arial"/>
          <w:color w:val="222222"/>
          <w:shd w:val="clear" w:color="auto" w:fill="FFFFFF"/>
        </w:rPr>
        <w:t xml:space="preserve"> such as subject name, date of consent (such as time stamp),</w:t>
      </w:r>
      <w:r w:rsidR="003A7140">
        <w:rPr>
          <w:rFonts w:ascii="Arial" w:hAnsi="Arial" w:cs="Arial"/>
          <w:color w:val="222222"/>
          <w:shd w:val="clear" w:color="auto" w:fill="FFFFFF"/>
        </w:rPr>
        <w:t xml:space="preserve"> and</w:t>
      </w:r>
      <w:r w:rsidR="00CE2CA1" w:rsidRPr="00CE2CA1">
        <w:rPr>
          <w:rFonts w:ascii="Arial" w:hAnsi="Arial" w:cs="Arial"/>
          <w:color w:val="222222"/>
          <w:shd w:val="clear" w:color="auto" w:fill="FFFFFF"/>
        </w:rPr>
        <w:t xml:space="preserve"> purpose for which it can be used. The record of IP address, location and time the consent form was submitted is not sufficient without actual screen capture, so the new system must be capable of storing this data</w:t>
      </w:r>
      <w:r w:rsidR="003A7140">
        <w:rPr>
          <w:rFonts w:ascii="Arial" w:hAnsi="Arial" w:cs="Arial"/>
          <w:color w:val="222222"/>
          <w:shd w:val="clear" w:color="auto" w:fill="FFFFFF"/>
        </w:rPr>
        <w:t xml:space="preserve"> also</w:t>
      </w:r>
      <w:r w:rsidR="00CE2CA1" w:rsidRPr="00CE2CA1">
        <w:rPr>
          <w:rFonts w:ascii="Arial" w:hAnsi="Arial" w:cs="Arial"/>
          <w:color w:val="222222"/>
          <w:shd w:val="clear" w:color="auto" w:fill="FFFFFF"/>
        </w:rPr>
        <w:t xml:space="preserve">. </w:t>
      </w:r>
      <w:r w:rsidR="003A7140">
        <w:rPr>
          <w:rFonts w:ascii="Arial" w:hAnsi="Arial" w:cs="Arial"/>
          <w:color w:val="222222"/>
          <w:shd w:val="clear" w:color="auto" w:fill="FFFFFF"/>
        </w:rPr>
        <w:t xml:space="preserve">Once the system has been configured so it contains all information necessary for legal consent, it will also need to be easily updatable with current information, allow for information to be completely removed, and can generate a report with all the individuals information upon request. It may also be advantageous to assign a member of Dragons staff as or bring in external services to act as a Data Protection Officer, during the switch over to these new regulations. </w:t>
      </w:r>
    </w:p>
    <w:p w:rsidR="00CE2CA1" w:rsidRDefault="00CE2CA1">
      <w:pPr>
        <w:rPr>
          <w:rFonts w:ascii="Arial" w:hAnsi="Arial" w:cs="Arial"/>
          <w:color w:val="222222"/>
          <w:shd w:val="clear" w:color="auto" w:fill="FFFFFF"/>
        </w:rPr>
      </w:pPr>
    </w:p>
    <w:p w:rsidR="00CE2CA1" w:rsidRPr="00CE2CA1" w:rsidRDefault="00CE2CA1">
      <w:pPr>
        <w:rPr>
          <w:rFonts w:ascii="Arial" w:hAnsi="Arial" w:cs="Arial"/>
          <w:color w:val="222222"/>
          <w:u w:val="single"/>
          <w:shd w:val="clear" w:color="auto" w:fill="FFFFFF"/>
        </w:rPr>
      </w:pPr>
      <w:r w:rsidRPr="00CE2CA1">
        <w:rPr>
          <w:rFonts w:ascii="Arial" w:hAnsi="Arial" w:cs="Arial"/>
          <w:color w:val="222222"/>
          <w:u w:val="single"/>
          <w:shd w:val="clear" w:color="auto" w:fill="FFFFFF"/>
        </w:rPr>
        <w:t>Staff awareness and training</w:t>
      </w:r>
    </w:p>
    <w:p w:rsidR="00C15110" w:rsidRDefault="00CE2CA1">
      <w:pPr>
        <w:rPr>
          <w:rFonts w:ascii="Arial" w:hAnsi="Arial" w:cs="Arial"/>
          <w:color w:val="222222"/>
          <w:shd w:val="clear" w:color="auto" w:fill="FFFFFF"/>
        </w:rPr>
      </w:pPr>
      <w:r>
        <w:rPr>
          <w:rFonts w:ascii="Arial" w:hAnsi="Arial" w:cs="Arial"/>
          <w:color w:val="222222"/>
          <w:shd w:val="clear" w:color="auto" w:fill="FFFFFF"/>
        </w:rPr>
        <w:t xml:space="preserve">To ensure there is consistency with how public data is recorded completion of a SOP (Standard Operating Procedure) will be beneficial. </w:t>
      </w:r>
      <w:r w:rsidR="00F62CB1">
        <w:rPr>
          <w:rFonts w:ascii="Arial" w:hAnsi="Arial" w:cs="Arial"/>
          <w:color w:val="222222"/>
          <w:shd w:val="clear" w:color="auto" w:fill="FFFFFF"/>
        </w:rPr>
        <w:t xml:space="preserve">This can detail how information is </w:t>
      </w:r>
      <w:r w:rsidR="0004594B">
        <w:rPr>
          <w:rFonts w:ascii="Arial" w:hAnsi="Arial" w:cs="Arial"/>
          <w:color w:val="222222"/>
          <w:shd w:val="clear" w:color="auto" w:fill="FFFFFF"/>
        </w:rPr>
        <w:t xml:space="preserve">going </w:t>
      </w:r>
      <w:r w:rsidR="00F62CB1">
        <w:rPr>
          <w:rFonts w:ascii="Arial" w:hAnsi="Arial" w:cs="Arial"/>
          <w:color w:val="222222"/>
          <w:shd w:val="clear" w:color="auto" w:fill="FFFFFF"/>
        </w:rPr>
        <w:t xml:space="preserve">to be stored by Dragon and what needs to be done in cases were data is compromised, such as all data leaks being reported to management so necessary authorities can be informed within the required 72 hour period. Training about GDPR and its requirements should be provided to all staff that will be involved with data so they are aware of their responsibilities under GDPR. </w:t>
      </w:r>
    </w:p>
    <w:p w:rsidR="003A7140" w:rsidRDefault="003A7140">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04594B" w:rsidRDefault="0004594B">
      <w:pPr>
        <w:rPr>
          <w:rFonts w:ascii="Arial" w:hAnsi="Arial" w:cs="Arial"/>
          <w:color w:val="222222"/>
          <w:shd w:val="clear" w:color="auto" w:fill="FFFFFF"/>
        </w:rPr>
      </w:pPr>
    </w:p>
    <w:p w:rsidR="00C351C8" w:rsidRDefault="00C351C8">
      <w:pPr>
        <w:rPr>
          <w:rFonts w:ascii="Arial" w:hAnsi="Arial" w:cs="Arial"/>
          <w:b/>
          <w:color w:val="222222"/>
          <w:u w:val="single"/>
          <w:shd w:val="clear" w:color="auto" w:fill="FFFFFF"/>
        </w:rPr>
      </w:pPr>
      <w:r w:rsidRPr="00C351C8">
        <w:rPr>
          <w:rFonts w:ascii="Arial" w:hAnsi="Arial" w:cs="Arial"/>
          <w:b/>
          <w:color w:val="222222"/>
          <w:u w:val="single"/>
          <w:shd w:val="clear" w:color="auto" w:fill="FFFFFF"/>
        </w:rPr>
        <w:lastRenderedPageBreak/>
        <w:t>References</w:t>
      </w:r>
    </w:p>
    <w:sdt>
      <w:sdtPr>
        <w:id w:val="-8227302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4594B" w:rsidRDefault="0004594B">
          <w:pPr>
            <w:pStyle w:val="Heading1"/>
          </w:pPr>
          <w:r>
            <w:t>Bibliography</w:t>
          </w:r>
        </w:p>
        <w:sdt>
          <w:sdtPr>
            <w:id w:val="111145805"/>
            <w:bibliography/>
          </w:sdtPr>
          <w:sdtContent>
            <w:p w:rsidR="0004594B" w:rsidRDefault="0004594B" w:rsidP="0004594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Collibra. (2018, March 14 ). </w:t>
              </w:r>
              <w:r>
                <w:rPr>
                  <w:i/>
                  <w:iCs/>
                  <w:noProof/>
                  <w:lang w:val="en-US"/>
                </w:rPr>
                <w:t>Collibra</w:t>
              </w:r>
              <w:r>
                <w:rPr>
                  <w:noProof/>
                  <w:lang w:val="en-US"/>
                </w:rPr>
                <w:t>. Retrieved from Collibra: https://www.collibra.com/blog/why-excel-sheets-wont-cut-it-for-gdpr-compliance/</w:t>
              </w:r>
            </w:p>
            <w:p w:rsidR="0004594B" w:rsidRDefault="0004594B" w:rsidP="0004594B">
              <w:pPr>
                <w:pStyle w:val="Bibliography"/>
                <w:ind w:left="720" w:hanging="720"/>
                <w:rPr>
                  <w:noProof/>
                  <w:lang w:val="en-US"/>
                </w:rPr>
              </w:pPr>
              <w:r>
                <w:rPr>
                  <w:noProof/>
                  <w:lang w:val="en-US"/>
                </w:rPr>
                <w:t xml:space="preserve">EUDGPR. (2018, May 7). </w:t>
              </w:r>
              <w:r>
                <w:rPr>
                  <w:i/>
                  <w:iCs/>
                  <w:noProof/>
                  <w:lang w:val="en-US"/>
                </w:rPr>
                <w:t>GDPR Portal: Site Overview</w:t>
              </w:r>
              <w:r>
                <w:rPr>
                  <w:noProof/>
                  <w:lang w:val="en-US"/>
                </w:rPr>
                <w:t>. Retrieved from EU GDPR Portal: https://www.eugdpr.org/</w:t>
              </w:r>
            </w:p>
            <w:p w:rsidR="0004594B" w:rsidRDefault="0004594B" w:rsidP="0004594B">
              <w:pPr>
                <w:pStyle w:val="Bibliography"/>
                <w:ind w:left="720" w:hanging="720"/>
                <w:rPr>
                  <w:noProof/>
                  <w:lang w:val="en-US"/>
                </w:rPr>
              </w:pPr>
              <w:r>
                <w:rPr>
                  <w:noProof/>
                  <w:lang w:val="en-US"/>
                </w:rPr>
                <w:t xml:space="preserve">ICO. (2018, May 01). </w:t>
              </w:r>
              <w:r>
                <w:rPr>
                  <w:i/>
                  <w:iCs/>
                  <w:noProof/>
                  <w:lang w:val="en-US"/>
                </w:rPr>
                <w:t>Guide to the General Data Protection Regulation (GDPR)</w:t>
              </w:r>
              <w:r>
                <w:rPr>
                  <w:noProof/>
                  <w:lang w:val="en-US"/>
                </w:rPr>
                <w:t>. Retrieved from Information Commissioner's Office: https://ico.org.uk/for-organisations/guide-to-the-general-data-protection-regulation-gdpr/personal-data-breaches/</w:t>
              </w:r>
            </w:p>
            <w:p w:rsidR="0004594B" w:rsidRDefault="0004594B" w:rsidP="0004594B">
              <w:pPr>
                <w:pStyle w:val="Bibliography"/>
                <w:ind w:left="720" w:hanging="720"/>
                <w:rPr>
                  <w:noProof/>
                  <w:lang w:val="en-US"/>
                </w:rPr>
              </w:pPr>
              <w:r>
                <w:rPr>
                  <w:noProof/>
                  <w:lang w:val="en-US"/>
                </w:rPr>
                <w:t xml:space="preserve">Kirk, N. (2018). Compliance and Personal Data Protection. </w:t>
              </w:r>
              <w:r>
                <w:rPr>
                  <w:i/>
                  <w:iCs/>
                  <w:noProof/>
                  <w:lang w:val="en-US"/>
                </w:rPr>
                <w:t>Journal of Property Management</w:t>
              </w:r>
              <w:r>
                <w:rPr>
                  <w:noProof/>
                  <w:lang w:val="en-US"/>
                </w:rPr>
                <w:t>, 40-41.</w:t>
              </w:r>
            </w:p>
            <w:p w:rsidR="0004594B" w:rsidRDefault="0004594B" w:rsidP="0004594B">
              <w:pPr>
                <w:pStyle w:val="Bibliography"/>
                <w:ind w:left="720" w:hanging="720"/>
                <w:rPr>
                  <w:noProof/>
                  <w:lang w:val="en-US"/>
                </w:rPr>
              </w:pPr>
              <w:r>
                <w:rPr>
                  <w:noProof/>
                  <w:lang w:val="en-US"/>
                </w:rPr>
                <w:t xml:space="preserve">MailJet. (2018, May 6). </w:t>
              </w:r>
              <w:r>
                <w:rPr>
                  <w:i/>
                  <w:iCs/>
                  <w:noProof/>
                  <w:lang w:val="en-US"/>
                </w:rPr>
                <w:t>MailJet GDPR Resources</w:t>
              </w:r>
              <w:r>
                <w:rPr>
                  <w:noProof/>
                  <w:lang w:val="en-US"/>
                </w:rPr>
                <w:t>. Retrieved from GDPR and Consent: https://www.mailjet.com/gdpr/consent/</w:t>
              </w:r>
            </w:p>
            <w:p w:rsidR="0004594B" w:rsidRDefault="0004594B" w:rsidP="0004594B">
              <w:pPr>
                <w:pStyle w:val="Bibliography"/>
                <w:ind w:left="720" w:hanging="720"/>
                <w:rPr>
                  <w:noProof/>
                  <w:lang w:val="en-US"/>
                </w:rPr>
              </w:pPr>
              <w:r>
                <w:rPr>
                  <w:noProof/>
                  <w:lang w:val="en-US"/>
                </w:rPr>
                <w:t xml:space="preserve">Thomas, M. (2018). Here Comes the GDPR. Are You Ready? </w:t>
              </w:r>
              <w:r>
                <w:rPr>
                  <w:i/>
                  <w:iCs/>
                  <w:noProof/>
                  <w:lang w:val="en-US"/>
                </w:rPr>
                <w:t>COBIT Focus.</w:t>
              </w:r>
              <w:r>
                <w:rPr>
                  <w:noProof/>
                  <w:lang w:val="en-US"/>
                </w:rPr>
                <w:t>, 1-5.</w:t>
              </w:r>
            </w:p>
            <w:p w:rsidR="0004594B" w:rsidRDefault="0004594B" w:rsidP="0004594B">
              <w:r>
                <w:rPr>
                  <w:b/>
                  <w:bCs/>
                  <w:noProof/>
                </w:rPr>
                <w:fldChar w:fldCharType="end"/>
              </w:r>
            </w:p>
          </w:sdtContent>
        </w:sdt>
      </w:sdtContent>
    </w:sdt>
    <w:p w:rsidR="0004594B" w:rsidRPr="00C351C8" w:rsidRDefault="0004594B">
      <w:pPr>
        <w:rPr>
          <w:rFonts w:ascii="Arial" w:hAnsi="Arial" w:cs="Arial"/>
          <w:b/>
          <w:color w:val="222222"/>
          <w:u w:val="single"/>
          <w:shd w:val="clear" w:color="auto" w:fill="FFFFFF"/>
        </w:rPr>
      </w:pPr>
    </w:p>
    <w:sectPr w:rsidR="0004594B" w:rsidRPr="00C351C8" w:rsidSect="00B755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33ED8"/>
    <w:multiLevelType w:val="hybridMultilevel"/>
    <w:tmpl w:val="E688B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026"/>
    <w:rsid w:val="000221C6"/>
    <w:rsid w:val="00044767"/>
    <w:rsid w:val="0004594B"/>
    <w:rsid w:val="00076CC3"/>
    <w:rsid w:val="000D290F"/>
    <w:rsid w:val="00122296"/>
    <w:rsid w:val="00184DB3"/>
    <w:rsid w:val="001D2326"/>
    <w:rsid w:val="001D4CE1"/>
    <w:rsid w:val="00226D4B"/>
    <w:rsid w:val="00253406"/>
    <w:rsid w:val="00384743"/>
    <w:rsid w:val="0038714F"/>
    <w:rsid w:val="003A7140"/>
    <w:rsid w:val="004B2D17"/>
    <w:rsid w:val="004D45BD"/>
    <w:rsid w:val="00520D26"/>
    <w:rsid w:val="005329A5"/>
    <w:rsid w:val="005B1E42"/>
    <w:rsid w:val="00615B74"/>
    <w:rsid w:val="006A5544"/>
    <w:rsid w:val="006B231F"/>
    <w:rsid w:val="006F4364"/>
    <w:rsid w:val="006F7001"/>
    <w:rsid w:val="00717212"/>
    <w:rsid w:val="007F2762"/>
    <w:rsid w:val="0080481A"/>
    <w:rsid w:val="008204AA"/>
    <w:rsid w:val="008B77E7"/>
    <w:rsid w:val="008D4A3D"/>
    <w:rsid w:val="00984171"/>
    <w:rsid w:val="009E7C0E"/>
    <w:rsid w:val="00AA160D"/>
    <w:rsid w:val="00AD4D4C"/>
    <w:rsid w:val="00AD722D"/>
    <w:rsid w:val="00B755F2"/>
    <w:rsid w:val="00BD2F6B"/>
    <w:rsid w:val="00BD3C7C"/>
    <w:rsid w:val="00BE4957"/>
    <w:rsid w:val="00BF4B54"/>
    <w:rsid w:val="00BF6025"/>
    <w:rsid w:val="00C15110"/>
    <w:rsid w:val="00C351C8"/>
    <w:rsid w:val="00C43160"/>
    <w:rsid w:val="00C44026"/>
    <w:rsid w:val="00C57F21"/>
    <w:rsid w:val="00CC44DD"/>
    <w:rsid w:val="00CE2CA1"/>
    <w:rsid w:val="00D7073C"/>
    <w:rsid w:val="00D82E83"/>
    <w:rsid w:val="00E62553"/>
    <w:rsid w:val="00E756B5"/>
    <w:rsid w:val="00EB54BE"/>
    <w:rsid w:val="00EF62C0"/>
    <w:rsid w:val="00F62CB1"/>
    <w:rsid w:val="00FA67F0"/>
    <w:rsid w:val="00FD2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AB40A"/>
  <w15:chartTrackingRefBased/>
  <w15:docId w15:val="{D149576D-1FD9-415A-8D58-80724C722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073C"/>
  </w:style>
  <w:style w:type="paragraph" w:styleId="Heading1">
    <w:name w:val="heading 1"/>
    <w:basedOn w:val="Normal"/>
    <w:next w:val="Normal"/>
    <w:link w:val="Heading1Char"/>
    <w:uiPriority w:val="9"/>
    <w:qFormat/>
    <w:rsid w:val="0004594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55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55F2"/>
    <w:rPr>
      <w:rFonts w:eastAsiaTheme="minorEastAsia"/>
      <w:lang w:val="en-US"/>
    </w:rPr>
  </w:style>
  <w:style w:type="paragraph" w:styleId="ListParagraph">
    <w:name w:val="List Paragraph"/>
    <w:basedOn w:val="Normal"/>
    <w:uiPriority w:val="34"/>
    <w:qFormat/>
    <w:rsid w:val="005B1E42"/>
    <w:pPr>
      <w:spacing w:after="160" w:line="259" w:lineRule="auto"/>
      <w:ind w:left="720"/>
      <w:contextualSpacing/>
    </w:pPr>
  </w:style>
  <w:style w:type="character" w:customStyle="1" w:styleId="Heading1Char">
    <w:name w:val="Heading 1 Char"/>
    <w:basedOn w:val="DefaultParagraphFont"/>
    <w:link w:val="Heading1"/>
    <w:uiPriority w:val="9"/>
    <w:rsid w:val="0004594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45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16088">
      <w:bodyDiv w:val="1"/>
      <w:marLeft w:val="0"/>
      <w:marRight w:val="0"/>
      <w:marTop w:val="0"/>
      <w:marBottom w:val="0"/>
      <w:divBdr>
        <w:top w:val="none" w:sz="0" w:space="0" w:color="auto"/>
        <w:left w:val="none" w:sz="0" w:space="0" w:color="auto"/>
        <w:bottom w:val="none" w:sz="0" w:space="0" w:color="auto"/>
        <w:right w:val="none" w:sz="0" w:space="0" w:color="auto"/>
      </w:divBdr>
    </w:div>
    <w:div w:id="303629087">
      <w:bodyDiv w:val="1"/>
      <w:marLeft w:val="0"/>
      <w:marRight w:val="0"/>
      <w:marTop w:val="0"/>
      <w:marBottom w:val="0"/>
      <w:divBdr>
        <w:top w:val="none" w:sz="0" w:space="0" w:color="auto"/>
        <w:left w:val="none" w:sz="0" w:space="0" w:color="auto"/>
        <w:bottom w:val="none" w:sz="0" w:space="0" w:color="auto"/>
        <w:right w:val="none" w:sz="0" w:space="0" w:color="auto"/>
      </w:divBdr>
    </w:div>
    <w:div w:id="404881557">
      <w:bodyDiv w:val="1"/>
      <w:marLeft w:val="0"/>
      <w:marRight w:val="0"/>
      <w:marTop w:val="0"/>
      <w:marBottom w:val="0"/>
      <w:divBdr>
        <w:top w:val="none" w:sz="0" w:space="0" w:color="auto"/>
        <w:left w:val="none" w:sz="0" w:space="0" w:color="auto"/>
        <w:bottom w:val="none" w:sz="0" w:space="0" w:color="auto"/>
        <w:right w:val="none" w:sz="0" w:space="0" w:color="auto"/>
      </w:divBdr>
    </w:div>
    <w:div w:id="869413693">
      <w:bodyDiv w:val="1"/>
      <w:marLeft w:val="0"/>
      <w:marRight w:val="0"/>
      <w:marTop w:val="0"/>
      <w:marBottom w:val="0"/>
      <w:divBdr>
        <w:top w:val="none" w:sz="0" w:space="0" w:color="auto"/>
        <w:left w:val="none" w:sz="0" w:space="0" w:color="auto"/>
        <w:bottom w:val="none" w:sz="0" w:space="0" w:color="auto"/>
        <w:right w:val="none" w:sz="0" w:space="0" w:color="auto"/>
      </w:divBdr>
    </w:div>
    <w:div w:id="1064063312">
      <w:bodyDiv w:val="1"/>
      <w:marLeft w:val="0"/>
      <w:marRight w:val="0"/>
      <w:marTop w:val="0"/>
      <w:marBottom w:val="0"/>
      <w:divBdr>
        <w:top w:val="none" w:sz="0" w:space="0" w:color="auto"/>
        <w:left w:val="none" w:sz="0" w:space="0" w:color="auto"/>
        <w:bottom w:val="none" w:sz="0" w:space="0" w:color="auto"/>
        <w:right w:val="none" w:sz="0" w:space="0" w:color="auto"/>
      </w:divBdr>
    </w:div>
    <w:div w:id="1711800674">
      <w:bodyDiv w:val="1"/>
      <w:marLeft w:val="0"/>
      <w:marRight w:val="0"/>
      <w:marTop w:val="0"/>
      <w:marBottom w:val="0"/>
      <w:divBdr>
        <w:top w:val="none" w:sz="0" w:space="0" w:color="auto"/>
        <w:left w:val="none" w:sz="0" w:space="0" w:color="auto"/>
        <w:bottom w:val="none" w:sz="0" w:space="0" w:color="auto"/>
        <w:right w:val="none" w:sz="0" w:space="0" w:color="auto"/>
      </w:divBdr>
    </w:div>
    <w:div w:id="1872185272">
      <w:bodyDiv w:val="1"/>
      <w:marLeft w:val="0"/>
      <w:marRight w:val="0"/>
      <w:marTop w:val="0"/>
      <w:marBottom w:val="0"/>
      <w:divBdr>
        <w:top w:val="none" w:sz="0" w:space="0" w:color="auto"/>
        <w:left w:val="none" w:sz="0" w:space="0" w:color="auto"/>
        <w:bottom w:val="none" w:sz="0" w:space="0" w:color="auto"/>
        <w:right w:val="none" w:sz="0" w:space="0" w:color="auto"/>
      </w:divBdr>
    </w:div>
    <w:div w:id="1964648970">
      <w:bodyDiv w:val="1"/>
      <w:marLeft w:val="0"/>
      <w:marRight w:val="0"/>
      <w:marTop w:val="0"/>
      <w:marBottom w:val="0"/>
      <w:divBdr>
        <w:top w:val="none" w:sz="0" w:space="0" w:color="auto"/>
        <w:left w:val="none" w:sz="0" w:space="0" w:color="auto"/>
        <w:bottom w:val="none" w:sz="0" w:space="0" w:color="auto"/>
        <w:right w:val="none" w:sz="0" w:space="0" w:color="auto"/>
      </w:divBdr>
    </w:div>
    <w:div w:id="196538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EUD18</b:Tag>
    <b:SourceType>InternetSite</b:SourceType>
    <b:Guid>{70E8CD17-E6AC-4CEA-BE2D-7493A946067E}</b:Guid>
    <b:Author>
      <b:Author>
        <b:Corporate>EUDGPR</b:Corporate>
      </b:Author>
    </b:Author>
    <b:Title>GDPR Portal: Site Overview</b:Title>
    <b:InternetSiteTitle>EU GDPR Portal</b:InternetSiteTitle>
    <b:Year>2018</b:Year>
    <b:Month>May</b:Month>
    <b:Day>7</b:Day>
    <b:URL>https://www.eugdpr.org/</b:URL>
    <b:RefOrder>1</b:RefOrder>
  </b:Source>
  <b:Source>
    <b:Tag>Tho18</b:Tag>
    <b:SourceType>JournalArticle</b:SourceType>
    <b:Guid>{E6560EBD-E0A5-4C65-B3CF-C15F97F47657}</b:Guid>
    <b:Title>Here Comes the GDPR. Are You Ready?</b:Title>
    <b:Year>2018</b:Year>
    <b:Author>
      <b:Author>
        <b:NameList>
          <b:Person>
            <b:Last>Thomas</b:Last>
            <b:First>Mark</b:First>
          </b:Person>
        </b:NameList>
      </b:Author>
    </b:Author>
    <b:JournalName>COBIT Focus.</b:JournalName>
    <b:Pages>1-5</b:Pages>
    <b:RefOrder>6</b:RefOrder>
  </b:Source>
  <b:Source>
    <b:Tag>Kir18</b:Tag>
    <b:SourceType>JournalArticle</b:SourceType>
    <b:Guid>{128B7329-4FB5-45DF-AD03-53F841CEB7A0}</b:Guid>
    <b:Author>
      <b:Author>
        <b:NameList>
          <b:Person>
            <b:Last>Kirk</b:Last>
            <b:First>Nancye</b:First>
          </b:Person>
        </b:NameList>
      </b:Author>
    </b:Author>
    <b:Title>Compliance and Personal Data Protection</b:Title>
    <b:JournalName>Journal of Property Management</b:JournalName>
    <b:Year>2018</b:Year>
    <b:Pages>40-41</b:Pages>
    <b:RefOrder>3</b:RefOrder>
  </b:Source>
  <b:Source>
    <b:Tag>Mai18</b:Tag>
    <b:SourceType>InternetSite</b:SourceType>
    <b:Guid>{46F1584C-F531-47D0-ABF9-24460E7CFFBF}</b:Guid>
    <b:Title>MailJet GDPR Resources</b:Title>
    <b:Year>2018</b:Year>
    <b:Author>
      <b:Author>
        <b:Corporate>MailJet</b:Corporate>
      </b:Author>
    </b:Author>
    <b:InternetSiteTitle>GDPR and Consent</b:InternetSiteTitle>
    <b:Month>May</b:Month>
    <b:Day>6</b:Day>
    <b:URL>https://www.mailjet.com/gdpr/consent/</b:URL>
    <b:RefOrder>4</b:RefOrder>
  </b:Source>
  <b:Source>
    <b:Tag>Col18</b:Tag>
    <b:SourceType>InternetSite</b:SourceType>
    <b:Guid>{6C362E06-9393-4E20-90FC-5E3E4209D99E}</b:Guid>
    <b:Author>
      <b:Author>
        <b:Corporate>Collibra</b:Corporate>
      </b:Author>
    </b:Author>
    <b:Title>Collibra</b:Title>
    <b:InternetSiteTitle>Collibra</b:InternetSiteTitle>
    <b:Year>2018</b:Year>
    <b:Month>March </b:Month>
    <b:Day>14 </b:Day>
    <b:URL>https://www.collibra.com/blog/why-excel-sheets-wont-cut-it-for-gdpr-compliance/</b:URL>
    <b:RefOrder>5</b:RefOrder>
  </b:Source>
  <b:Source>
    <b:Tag>ICO18</b:Tag>
    <b:SourceType>InternetSite</b:SourceType>
    <b:Guid>{A3EE24A6-A0B2-4261-A086-BF1B60AA6C82}</b:Guid>
    <b:Author>
      <b:Author>
        <b:Corporate>ICO</b:Corporate>
      </b:Author>
    </b:Author>
    <b:Title>Guide to the General Data Protection Regulation (GDPR)</b:Title>
    <b:InternetSiteTitle>Information Commissioner's Office</b:InternetSiteTitle>
    <b:Year>2018</b:Year>
    <b:Month>May</b:Month>
    <b:Day>01</b:Day>
    <b:URL>https://ico.org.uk/for-organisations/guide-to-the-general-data-protection-regulation-gdpr/personal-data-breaches/</b:URL>
    <b:RefOrder>2</b:RefOrder>
  </b:Source>
</b:Sources>
</file>

<file path=customXml/itemProps1.xml><?xml version="1.0" encoding="utf-8"?>
<ds:datastoreItem xmlns:ds="http://schemas.openxmlformats.org/officeDocument/2006/customXml" ds:itemID="{A1A7FDC7-4D92-4608-ABDB-8C0ABD60A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1328</Words>
  <Characters>7573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REPORT ON INTRODUCTION OF gdpr AND ITS IMPACT ON draGON DATA SUPPLIES</vt:lpstr>
    </vt:vector>
  </TitlesOfParts>
  <Company>LEWIS JONES</Company>
  <LinksUpToDate>false</LinksUpToDate>
  <CharactersWithSpaces>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INTRODUCTION OF gdpr AND ITS IMPACT ON draGON DATA SUPPLIES</dc:title>
  <dc:subject/>
  <dc:creator>le006915</dc:creator>
  <cp:keywords/>
  <dc:description/>
  <cp:lastModifiedBy>Lewis Rhys Jones</cp:lastModifiedBy>
  <cp:revision>6</cp:revision>
  <dcterms:created xsi:type="dcterms:W3CDTF">2018-05-14T07:16:00Z</dcterms:created>
  <dcterms:modified xsi:type="dcterms:W3CDTF">2018-05-14T14:40:00Z</dcterms:modified>
</cp:coreProperties>
</file>