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spacing w:lineRule="auto" w:line="480"/>
        <w:jc w:val="center"/>
        <w:rPr>
          <w:rFonts w:ascii="Times New Roman" w:cs="Times New Roman" w:hAnsi="Times New Roman"/>
          <w:b/>
          <w:sz w:val="24"/>
          <w:szCs w:val="24"/>
          <w:lang w:val="en-GB"/>
        </w:rPr>
      </w:pPr>
      <w:r>
        <w:rPr>
          <w:rFonts w:ascii="Times New Roman" w:cs="Times New Roman" w:hAnsi="Times New Roman"/>
          <w:b/>
          <w:sz w:val="24"/>
          <w:szCs w:val="24"/>
          <w:lang w:val="en-GB"/>
        </w:rPr>
        <w:t xml:space="preserve">Contract </w:t>
      </w:r>
      <w:r>
        <w:rPr>
          <w:rFonts w:ascii="Times New Roman" w:cs="Times New Roman" w:hAnsi="Times New Roman"/>
          <w:b/>
          <w:sz w:val="24"/>
          <w:szCs w:val="24"/>
          <w:lang w:val="en-GB"/>
        </w:rPr>
        <w:t>Law</w:t>
      </w: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r>
        <w:rPr>
          <w:rFonts w:ascii="Times New Roman" w:cs="Times New Roman" w:hAnsi="Times New Roman"/>
          <w:b/>
          <w:sz w:val="24"/>
          <w:szCs w:val="24"/>
          <w:lang w:val="en-GB"/>
        </w:rPr>
        <w:t>Advice Jack as w</w:t>
      </w:r>
      <w:r>
        <w:rPr>
          <w:rFonts w:ascii="Times New Roman" w:cs="Times New Roman" w:hAnsi="Times New Roman"/>
          <w:b/>
          <w:sz w:val="24"/>
          <w:szCs w:val="24"/>
          <w:lang w:val="en-GB"/>
        </w:rPr>
        <w:t xml:space="preserve">hether a Valid Contract been formed with Kate? </w:t>
      </w:r>
    </w:p>
    <w:p>
      <w:pPr>
        <w:pStyle w:val="style0"/>
        <w:spacing w:lineRule="auto" w:line="480"/>
        <w:rPr>
          <w:rFonts w:ascii="Times New Roman" w:cs="Times New Roman" w:hAnsi="Times New Roman"/>
          <w:sz w:val="24"/>
          <w:szCs w:val="24"/>
          <w:lang w:val="en-GB"/>
        </w:rPr>
      </w:pPr>
      <w:r>
        <w:rPr>
          <w:rFonts w:ascii="Times New Roman" w:cs="Times New Roman" w:hAnsi="Times New Roman"/>
          <w:sz w:val="24"/>
          <w:szCs w:val="24"/>
          <w:lang w:val="en-GB"/>
        </w:rPr>
        <w:t xml:space="preserve">This case refers to a situation that makes a contract valid between two people. According to the UK law on contracts, it is required that all parties to a </w:t>
      </w:r>
      <w:r>
        <w:rPr>
          <w:rFonts w:ascii="Times New Roman" w:cs="Times New Roman" w:hAnsi="Times New Roman"/>
          <w:sz w:val="24"/>
          <w:szCs w:val="24"/>
          <w:lang w:val="en-GB"/>
        </w:rPr>
        <w:t>contract enter an agreement associated with the reason for which they are engaged to each other. On the basis of whether a contract has to be in writing, it is clear that state laws require that this is implemented as such</w:t>
      </w:r>
      <w:r>
        <w:t xml:space="preserve"> (</w:t>
      </w:r>
      <w:r>
        <w:rPr>
          <w:rFonts w:ascii="Times New Roman" w:cs="Times New Roman" w:hAnsi="Times New Roman"/>
          <w:sz w:val="24"/>
          <w:szCs w:val="24"/>
          <w:lang w:val="en-GB"/>
        </w:rPr>
        <w:t>Fried, 2015, p. 31)</w:t>
      </w:r>
      <w:r>
        <w:rPr>
          <w:rFonts w:ascii="Times New Roman" w:cs="Times New Roman" w:hAnsi="Times New Roman"/>
          <w:sz w:val="24"/>
          <w:szCs w:val="24"/>
          <w:lang w:val="en-GB"/>
        </w:rPr>
        <w:t>. However, there are cases where o</w:t>
      </w:r>
      <w:r>
        <w:rPr>
          <w:rFonts w:ascii="Times New Roman" w:cs="Times New Roman" w:hAnsi="Times New Roman"/>
          <w:sz w:val="24"/>
          <w:szCs w:val="24"/>
          <w:lang w:val="en-GB"/>
        </w:rPr>
        <w:t>ral agreement would constitute a valid contract between two or more people. One essential element of contract is that all parties have to agree to all the aspects and terms of the contract in place. Consider the position of Lumineau and Deepak on the issue</w:t>
      </w:r>
      <w:r>
        <w:rPr>
          <w:rFonts w:ascii="Times New Roman" w:cs="Times New Roman" w:hAnsi="Times New Roman"/>
          <w:sz w:val="24"/>
          <w:szCs w:val="24"/>
          <w:lang w:val="en-GB"/>
        </w:rPr>
        <w:t xml:space="preserve"> of validity of a contract. A contract is looked at first from the position of offer and acceptance</w:t>
      </w:r>
      <w:r>
        <w:t xml:space="preserve"> (</w:t>
      </w:r>
      <w:r>
        <w:rPr>
          <w:rFonts w:ascii="Times New Roman" w:cs="Times New Roman" w:hAnsi="Times New Roman"/>
          <w:sz w:val="24"/>
          <w:szCs w:val="24"/>
          <w:lang w:val="en-GB"/>
        </w:rPr>
        <w:t>Knapp, Crystal and Prince, 2019, p. 67)</w:t>
      </w:r>
      <w:r>
        <w:rPr>
          <w:rFonts w:ascii="Times New Roman" w:cs="Times New Roman" w:hAnsi="Times New Roman"/>
          <w:sz w:val="24"/>
          <w:szCs w:val="24"/>
          <w:lang w:val="en-GB"/>
        </w:rPr>
        <w:t>. One party has to make an offer and the other has to accept it; either orally or in writing. It also means that acceptance has to be done under all the appl</w:t>
      </w:r>
      <w:r>
        <w:rPr>
          <w:rFonts w:ascii="Times New Roman" w:cs="Times New Roman" w:hAnsi="Times New Roman"/>
          <w:sz w:val="24"/>
          <w:szCs w:val="24"/>
          <w:lang w:val="en-GB"/>
        </w:rPr>
        <w:t>icable aspects within which the law is applicable, which brings in the meaning that when an offer has been made, there has to be a recognizable acceptable to it. This defines the fact that there is agreement to the terms and conditions of the contract</w:t>
      </w:r>
      <w:r>
        <w:t xml:space="preserve"> (</w:t>
      </w:r>
      <w:r>
        <w:rPr>
          <w:rFonts w:ascii="Times New Roman" w:cs="Times New Roman" w:hAnsi="Times New Roman"/>
          <w:sz w:val="24"/>
          <w:szCs w:val="24"/>
          <w:lang w:val="en-GB"/>
        </w:rPr>
        <w:t>Lumineau and Malhotra, 2011, p. 19).</w:t>
      </w:r>
      <w:r>
        <w:rPr>
          <w:rFonts w:ascii="Times New Roman" w:cs="Times New Roman" w:hAnsi="Times New Roman"/>
          <w:sz w:val="24"/>
          <w:szCs w:val="24"/>
          <w:lang w:val="en-GB"/>
        </w:rPr>
        <w:t xml:space="preserve"> Cha</w:t>
      </w:r>
      <w:r>
        <w:rPr>
          <w:rFonts w:ascii="Times New Roman" w:cs="Times New Roman" w:hAnsi="Times New Roman"/>
          <w:sz w:val="24"/>
          <w:szCs w:val="24"/>
          <w:lang w:val="en-GB"/>
        </w:rPr>
        <w:t xml:space="preserve">nging one term of the offer determines that the acceptance is not recognizable </w:t>
      </w:r>
      <w:r>
        <w:rPr>
          <w:rFonts w:ascii="Times New Roman" w:cs="Times New Roman" w:hAnsi="Times New Roman"/>
          <w:sz w:val="24"/>
          <w:szCs w:val="24"/>
          <w:highlight w:val="yellow"/>
          <w:lang w:val="en-GB"/>
        </w:rPr>
        <w:t>as such under the law. This can be understood with reference to Jack and Kate. When Jack invited Kate, this was just an invitation to treat and not the end to the contract. Kate</w:t>
      </w:r>
      <w:r>
        <w:rPr>
          <w:rFonts w:ascii="Times New Roman" w:cs="Times New Roman" w:hAnsi="Times New Roman"/>
          <w:sz w:val="24"/>
          <w:szCs w:val="24"/>
          <w:highlight w:val="yellow"/>
          <w:lang w:val="en-GB"/>
        </w:rPr>
        <w:t xml:space="preserve"> accepted but</w:t>
      </w:r>
      <w:r>
        <w:rPr>
          <w:rFonts w:ascii="Times New Roman" w:cs="Times New Roman" w:hAnsi="Times New Roman"/>
          <w:sz w:val="24"/>
          <w:szCs w:val="24"/>
          <w:lang w:val="en-GB"/>
        </w:rPr>
        <w:t xml:space="preserve"> did not receive an approval and confirmation from Jack. This can be noted in the case of Air </w:t>
      </w:r>
      <w:r>
        <w:rPr>
          <w:rFonts w:ascii="Times New Roman" w:cs="Times New Roman" w:hAnsi="Times New Roman"/>
          <w:i/>
          <w:sz w:val="24"/>
          <w:szCs w:val="24"/>
          <w:lang w:val="en-GB"/>
        </w:rPr>
        <w:t>Great Lakes Pty Ltd vs</w:t>
      </w:r>
      <w:r>
        <w:rPr>
          <w:rFonts w:ascii="Times New Roman" w:cs="Times New Roman" w:hAnsi="Times New Roman"/>
          <w:i/>
          <w:sz w:val="24"/>
          <w:szCs w:val="24"/>
          <w:lang w:val="en-GB"/>
        </w:rPr>
        <w:t>.</w:t>
      </w:r>
      <w:r>
        <w:rPr>
          <w:rFonts w:ascii="Times New Roman" w:cs="Times New Roman" w:hAnsi="Times New Roman"/>
          <w:i/>
          <w:sz w:val="24"/>
          <w:szCs w:val="24"/>
          <w:lang w:val="en-GB"/>
        </w:rPr>
        <w:t xml:space="preserve"> KS Easter (Holdings) Pty Ltd</w:t>
      </w:r>
      <w:r>
        <w:t xml:space="preserve"> (</w:t>
      </w:r>
      <w:r>
        <w:rPr>
          <w:rFonts w:ascii="Times New Roman" w:cs="Times New Roman" w:hAnsi="Times New Roman"/>
          <w:sz w:val="24"/>
          <w:szCs w:val="24"/>
          <w:lang w:val="en-GB"/>
        </w:rPr>
        <w:t>Meehan, 2012, P. 16)</w:t>
      </w:r>
      <w:r>
        <w:rPr>
          <w:rFonts w:ascii="Times New Roman" w:cs="Times New Roman" w:hAnsi="Times New Roman"/>
          <w:sz w:val="24"/>
          <w:szCs w:val="24"/>
          <w:lang w:val="en-GB"/>
        </w:rPr>
        <w:t>.</w:t>
      </w:r>
      <w:r>
        <w:rPr>
          <w:rFonts w:ascii="Times New Roman" w:cs="Times New Roman" w:hAnsi="Times New Roman"/>
          <w:i/>
          <w:sz w:val="24"/>
          <w:szCs w:val="24"/>
          <w:lang w:val="en-GB"/>
        </w:rPr>
        <w:t xml:space="preserve"> </w:t>
      </w:r>
      <w:r>
        <w:rPr>
          <w:rFonts w:ascii="Times New Roman" w:cs="Times New Roman" w:hAnsi="Times New Roman"/>
          <w:sz w:val="24"/>
          <w:szCs w:val="24"/>
          <w:lang w:val="en-GB"/>
        </w:rPr>
        <w:t>In this case, Air Great Lakes argued that they had entered a contract with Easter. The court fo</w:t>
      </w:r>
      <w:r>
        <w:rPr>
          <w:rFonts w:ascii="Times New Roman" w:cs="Times New Roman" w:hAnsi="Times New Roman"/>
          <w:sz w:val="24"/>
          <w:szCs w:val="24"/>
          <w:lang w:val="en-GB"/>
        </w:rPr>
        <w:t>und that the applicable contract was not to be imposed on the defendant. The same case applies to Kate who assumed that by Jack not replying, there was a go-ahead to participate in the entertainment jig. It is therefore maintained therefore that the case s</w:t>
      </w:r>
      <w:r>
        <w:rPr>
          <w:rFonts w:ascii="Times New Roman" w:cs="Times New Roman" w:hAnsi="Times New Roman"/>
          <w:sz w:val="24"/>
          <w:szCs w:val="24"/>
          <w:lang w:val="en-GB"/>
        </w:rPr>
        <w:t xml:space="preserve">ituation between Jack and Kate remains an </w:t>
      </w:r>
      <w:r>
        <w:rPr>
          <w:rFonts w:ascii="Times New Roman" w:cs="Times New Roman" w:hAnsi="Times New Roman"/>
          <w:sz w:val="24"/>
          <w:szCs w:val="24"/>
          <w:lang w:val="en-GB"/>
        </w:rPr>
        <w:t>invitation to treat in which case there was no agreement that was reached as Jack did not confirm to Kate about the o</w:t>
      </w:r>
      <w:r>
        <w:rPr>
          <w:rFonts w:ascii="Times New Roman" w:cs="Times New Roman" w:hAnsi="Times New Roman"/>
          <w:sz w:val="24"/>
          <w:szCs w:val="24"/>
          <w:lang w:val="en-GB"/>
        </w:rPr>
        <w:t xml:space="preserve">ther possible terms of service. </w:t>
      </w:r>
      <w:r>
        <w:rPr>
          <w:rFonts w:ascii="Times New Roman" w:cs="Times New Roman" w:hAnsi="Times New Roman"/>
          <w:sz w:val="24"/>
          <w:szCs w:val="24"/>
          <w:lang w:val="en-GB"/>
        </w:rPr>
        <w:t>It is much like an advertisement and there are no further defined method</w:t>
      </w:r>
      <w:r>
        <w:rPr>
          <w:rFonts w:ascii="Times New Roman" w:cs="Times New Roman" w:hAnsi="Times New Roman"/>
          <w:sz w:val="24"/>
          <w:szCs w:val="24"/>
          <w:lang w:val="en-GB"/>
        </w:rPr>
        <w:t>s to which this can be accepted and there is no specificity to the information that would qualify the same to being considered an offer</w:t>
      </w:r>
      <w:r>
        <w:t xml:space="preserve"> </w:t>
      </w:r>
      <w:r>
        <w:t>(</w:t>
      </w:r>
      <w:r>
        <w:rPr>
          <w:rFonts w:ascii="Times New Roman" w:cs="Times New Roman" w:hAnsi="Times New Roman"/>
          <w:sz w:val="24"/>
          <w:szCs w:val="24"/>
          <w:lang w:val="en-GB"/>
        </w:rPr>
        <w:t>Shmueli,</w:t>
      </w:r>
      <w:r>
        <w:rPr>
          <w:rFonts w:ascii="Times New Roman" w:cs="Times New Roman" w:hAnsi="Times New Roman"/>
          <w:sz w:val="24"/>
          <w:szCs w:val="24"/>
          <w:lang w:val="en-GB"/>
        </w:rPr>
        <w:t xml:space="preserve"> 2013</w:t>
      </w:r>
      <w:r>
        <w:rPr>
          <w:rFonts w:ascii="Times New Roman" w:cs="Times New Roman" w:hAnsi="Times New Roman"/>
          <w:sz w:val="24"/>
          <w:szCs w:val="24"/>
          <w:lang w:val="en-GB"/>
        </w:rPr>
        <w:t>, p. 117)</w:t>
      </w:r>
      <w:r>
        <w:rPr>
          <w:rFonts w:ascii="Times New Roman" w:cs="Times New Roman" w:hAnsi="Times New Roman"/>
          <w:sz w:val="24"/>
          <w:szCs w:val="24"/>
          <w:lang w:val="en-GB"/>
        </w:rPr>
        <w:t xml:space="preserve">. </w:t>
      </w:r>
      <w:r>
        <w:rPr>
          <w:rFonts w:ascii="Times New Roman" w:cs="Times New Roman" w:hAnsi="Times New Roman"/>
          <w:sz w:val="24"/>
          <w:szCs w:val="24"/>
          <w:lang w:val="en-GB"/>
        </w:rPr>
        <w:t xml:space="preserve">This also relates to </w:t>
      </w:r>
      <w:r>
        <w:rPr>
          <w:rFonts w:ascii="Times New Roman" w:cs="Times New Roman" w:hAnsi="Times New Roman"/>
          <w:i/>
          <w:sz w:val="24"/>
          <w:szCs w:val="24"/>
          <w:lang w:val="en-GB"/>
        </w:rPr>
        <w:t>Harvey vs. Facey</w:t>
      </w:r>
      <w:r>
        <w:rPr>
          <w:rFonts w:ascii="Times New Roman" w:cs="Times New Roman" w:hAnsi="Times New Roman"/>
          <w:sz w:val="24"/>
          <w:szCs w:val="24"/>
          <w:lang w:val="en-GB"/>
        </w:rPr>
        <w:t xml:space="preserve"> where the complainant sued for specific performance as being part of a standing contract in any case. The court held that by there being a reply to the </w:t>
      </w:r>
      <w:r>
        <w:rPr>
          <w:rFonts w:ascii="Times New Roman" w:cs="Times New Roman" w:hAnsi="Times New Roman"/>
          <w:sz w:val="24"/>
          <w:szCs w:val="24"/>
          <w:lang w:val="en-GB"/>
        </w:rPr>
        <w:t xml:space="preserve">question regarding the lowest price, there was no affirmative response regarding </w:t>
      </w:r>
      <w:r>
        <w:rPr>
          <w:rFonts w:ascii="Times New Roman" w:cs="Times New Roman" w:hAnsi="Times New Roman"/>
          <w:sz w:val="24"/>
          <w:szCs w:val="24"/>
          <w:lang w:val="en-GB"/>
        </w:rPr>
        <w:t xml:space="preserve">the starting question. </w:t>
      </w:r>
      <w:r>
        <w:rPr>
          <w:rFonts w:ascii="Times New Roman" w:cs="Times New Roman" w:hAnsi="Times New Roman"/>
          <w:sz w:val="24"/>
          <w:szCs w:val="24"/>
          <w:lang w:val="en-GB"/>
        </w:rPr>
        <w:t>The relationship between these two is an invitation to treat as o</w:t>
      </w:r>
      <w:r>
        <w:rPr>
          <w:rFonts w:ascii="Times New Roman" w:cs="Times New Roman" w:hAnsi="Times New Roman"/>
          <w:sz w:val="24"/>
          <w:szCs w:val="24"/>
          <w:lang w:val="en-GB"/>
        </w:rPr>
        <w:t xml:space="preserve">pposed to being an offer. There is no clear and direct approach to the required level of information that would create a binding understanding and relationship between the two. </w:t>
      </w:r>
      <w:r>
        <w:rPr>
          <w:rFonts w:ascii="Times New Roman" w:cs="Times New Roman" w:hAnsi="Times New Roman"/>
          <w:sz w:val="24"/>
          <w:szCs w:val="24"/>
          <w:lang w:val="en-GB"/>
        </w:rPr>
        <w:t>It is determinate that such invitations have other details such a</w:t>
      </w:r>
      <w:r>
        <w:rPr>
          <w:rFonts w:ascii="Times New Roman" w:cs="Times New Roman" w:hAnsi="Times New Roman"/>
          <w:sz w:val="24"/>
          <w:szCs w:val="24"/>
          <w:lang w:val="en-GB"/>
        </w:rPr>
        <w:t>s the specific time of performance</w:t>
      </w:r>
      <w:r>
        <w:t xml:space="preserve"> (</w:t>
      </w:r>
      <w:r>
        <w:rPr>
          <w:rFonts w:ascii="Times New Roman" w:cs="Times New Roman" w:hAnsi="Times New Roman"/>
          <w:sz w:val="24"/>
          <w:szCs w:val="24"/>
          <w:lang w:val="en-GB"/>
        </w:rPr>
        <w:t>Ontiveros, 2018, p. 98)</w:t>
      </w:r>
      <w:r>
        <w:rPr>
          <w:rFonts w:ascii="Times New Roman" w:cs="Times New Roman" w:hAnsi="Times New Roman"/>
          <w:sz w:val="24"/>
          <w:szCs w:val="24"/>
          <w:lang w:val="en-GB"/>
        </w:rPr>
        <w:t>, which are lacking in this case</w:t>
      </w:r>
      <w:r>
        <w:rPr>
          <w:rFonts w:ascii="Times New Roman" w:cs="Times New Roman" w:hAnsi="Times New Roman"/>
          <w:sz w:val="24"/>
          <w:szCs w:val="24"/>
          <w:lang w:val="en-GB"/>
        </w:rPr>
        <w:t>. Ideally, changing one term of the contract or not agreeing on all the terms means that the agreement is not in effect and therefore the contract is not validly in existence and therefore not legally enforceable</w:t>
      </w:r>
      <w:r>
        <w:rPr>
          <w:rFonts w:ascii="Times New Roman" w:cs="Times New Roman" w:hAnsi="Times New Roman"/>
          <w:sz w:val="24"/>
          <w:szCs w:val="24"/>
          <w:lang w:val="en-GB"/>
        </w:rPr>
        <w:t>. The oth</w:t>
      </w:r>
      <w:r>
        <w:rPr>
          <w:rFonts w:ascii="Times New Roman" w:cs="Times New Roman" w:hAnsi="Times New Roman"/>
          <w:sz w:val="24"/>
          <w:szCs w:val="24"/>
          <w:lang w:val="en-GB"/>
        </w:rPr>
        <w:t xml:space="preserve">er way of considering the viability in this case is that of looking at the level to which there is an acceptance to the offer. The issue of acceptance has become quite convoluted based on different interpretations. Before a party makes an acceptance to an </w:t>
      </w:r>
      <w:r>
        <w:rPr>
          <w:rFonts w:ascii="Times New Roman" w:cs="Times New Roman" w:hAnsi="Times New Roman"/>
          <w:sz w:val="24"/>
          <w:szCs w:val="24"/>
          <w:lang w:val="en-GB"/>
        </w:rPr>
        <w:t>offer, the other party may want to change the offer, withdraw or amend it; or even make a counter-offer. Jack made an offer, Kate accepted the offer but there was no timeline to which this has to be implemented. It is not even defined when Kate was suppose</w:t>
      </w:r>
      <w:r>
        <w:rPr>
          <w:rFonts w:ascii="Times New Roman" w:cs="Times New Roman" w:hAnsi="Times New Roman"/>
          <w:sz w:val="24"/>
          <w:szCs w:val="24"/>
          <w:lang w:val="en-GB"/>
        </w:rPr>
        <w:t xml:space="preserve">d to start performing as it is defined that the performance is on two possible days of the week. It is clear that Jack could make a counter-offer; a situation that remains indefinite in this case. Therefore, there was no valid contract formed between Jack </w:t>
      </w:r>
      <w:r>
        <w:rPr>
          <w:rFonts w:ascii="Times New Roman" w:cs="Times New Roman" w:hAnsi="Times New Roman"/>
          <w:sz w:val="24"/>
          <w:szCs w:val="24"/>
          <w:lang w:val="en-GB"/>
        </w:rPr>
        <w:t xml:space="preserve">and Kate. </w:t>
      </w: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r>
        <w:rPr>
          <w:rFonts w:ascii="Times New Roman" w:cs="Times New Roman" w:hAnsi="Times New Roman"/>
          <w:b/>
          <w:sz w:val="24"/>
          <w:szCs w:val="24"/>
          <w:lang w:val="en-GB"/>
        </w:rPr>
        <w:t xml:space="preserve">Advise Logan as to whether a valid contract was formed with Jack and if so whether Logan can claim for the £500 he would have earned selling merchandise? </w:t>
      </w:r>
    </w:p>
    <w:p>
      <w:pPr>
        <w:pStyle w:val="style0"/>
        <w:spacing w:lineRule="auto" w:line="480"/>
        <w:rPr>
          <w:rFonts w:ascii="Times New Roman" w:cs="Times New Roman" w:hAnsi="Times New Roman"/>
          <w:i/>
          <w:sz w:val="24"/>
          <w:szCs w:val="24"/>
          <w:lang w:val="en-GB"/>
        </w:rPr>
      </w:pPr>
      <w:r>
        <w:rPr>
          <w:rFonts w:ascii="Times New Roman" w:cs="Times New Roman" w:hAnsi="Times New Roman"/>
          <w:sz w:val="24"/>
          <w:szCs w:val="24"/>
          <w:lang w:val="en-GB"/>
        </w:rPr>
        <w:t>Within the determinations of the elements defining a contract, one aspect that has to remain paramount is that of offer and acceptance. Offers manifest a great deal of the willingness to entering into a bargain</w:t>
      </w:r>
      <w:r>
        <w:t xml:space="preserve"> (</w:t>
      </w:r>
      <w:r>
        <w:rPr>
          <w:rFonts w:ascii="Times New Roman" w:cs="Times New Roman" w:hAnsi="Times New Roman"/>
          <w:sz w:val="24"/>
          <w:szCs w:val="24"/>
          <w:lang w:val="en-GB"/>
        </w:rPr>
        <w:t>Posner, 1995, p.34)</w:t>
      </w:r>
      <w:r>
        <w:rPr>
          <w:rFonts w:ascii="Times New Roman" w:cs="Times New Roman" w:hAnsi="Times New Roman"/>
          <w:sz w:val="24"/>
          <w:szCs w:val="24"/>
          <w:lang w:val="en-GB"/>
        </w:rPr>
        <w:t xml:space="preserve">. A legally enforceable contract will not be </w:t>
      </w:r>
      <w:r>
        <w:rPr>
          <w:rFonts w:ascii="Times New Roman" w:cs="Times New Roman" w:hAnsi="Times New Roman"/>
          <w:sz w:val="24"/>
          <w:szCs w:val="24"/>
          <w:lang w:val="en-GB"/>
        </w:rPr>
        <w:t>said to exist unless there is an order given and accepted by both parties</w:t>
      </w:r>
      <w:r>
        <w:rPr>
          <w:rFonts w:ascii="Times New Roman" w:cs="Times New Roman" w:hAnsi="Times New Roman"/>
          <w:sz w:val="24"/>
          <w:szCs w:val="24"/>
          <w:lang w:val="en-GB"/>
        </w:rPr>
        <w:t>. In this case of Jack and Logan, it can be considered from the basis of the aspect of mutual assent to the given conditions. Both parties expressed an intent to be bound by the term</w:t>
      </w:r>
      <w:r>
        <w:rPr>
          <w:rFonts w:ascii="Times New Roman" w:cs="Times New Roman" w:hAnsi="Times New Roman"/>
          <w:sz w:val="24"/>
          <w:szCs w:val="24"/>
          <w:lang w:val="en-GB"/>
        </w:rPr>
        <w:t>s of the contract based on the fact that Jack did communicate and Logan accepted the offer by communicating back. Ideally, it is also determinate that after Logan communicated back to define his approval of the invitation, it was clear that there was assen</w:t>
      </w:r>
      <w:r>
        <w:rPr>
          <w:rFonts w:ascii="Times New Roman" w:cs="Times New Roman" w:hAnsi="Times New Roman"/>
          <w:sz w:val="24"/>
          <w:szCs w:val="24"/>
          <w:lang w:val="en-GB"/>
        </w:rPr>
        <w:t>t to the definiteness of the essential terms of the contract, which were altered on the basis that Logan was famous and would be paid a higher fee of £750 as opposed to £500. That is the extent to which the definiteness of the terms were determined between</w:t>
      </w:r>
      <w:r>
        <w:rPr>
          <w:rFonts w:ascii="Times New Roman" w:cs="Times New Roman" w:hAnsi="Times New Roman"/>
          <w:sz w:val="24"/>
          <w:szCs w:val="24"/>
          <w:lang w:val="en-GB"/>
        </w:rPr>
        <w:t xml:space="preserve"> the two parties involved in the contract. However, it is common knowledge that actors at such concerts would naturally make more money from selling their merchandise</w:t>
      </w:r>
      <w:r>
        <w:t xml:space="preserve"> (</w:t>
      </w:r>
      <w:r>
        <w:rPr>
          <w:rFonts w:ascii="Times New Roman" w:cs="Times New Roman" w:hAnsi="Times New Roman"/>
          <w:sz w:val="24"/>
          <w:szCs w:val="24"/>
          <w:lang w:val="en-GB"/>
        </w:rPr>
        <w:t>Shmueli, 2013, p. 98)</w:t>
      </w:r>
      <w:r>
        <w:rPr>
          <w:rFonts w:ascii="Times New Roman" w:cs="Times New Roman" w:hAnsi="Times New Roman"/>
          <w:sz w:val="24"/>
          <w:szCs w:val="24"/>
          <w:lang w:val="en-GB"/>
        </w:rPr>
        <w:t xml:space="preserve">. Jack </w:t>
      </w:r>
      <w:r>
        <w:rPr>
          <w:rFonts w:ascii="Times New Roman" w:cs="Times New Roman" w:hAnsi="Times New Roman"/>
          <w:sz w:val="24"/>
          <w:szCs w:val="24"/>
          <w:lang w:val="en-GB"/>
        </w:rPr>
        <w:t xml:space="preserve">did state in his invitation letter that </w:t>
      </w:r>
      <w:r>
        <w:rPr>
          <w:rFonts w:ascii="Times New Roman" w:cs="Times New Roman" w:hAnsi="Times New Roman"/>
          <w:i/>
          <w:sz w:val="24"/>
          <w:szCs w:val="24"/>
          <w:lang w:val="en-GB"/>
        </w:rPr>
        <w:t>“Want to attract new fans and get paid at t</w:t>
      </w:r>
      <w:r>
        <w:rPr>
          <w:rFonts w:ascii="Times New Roman" w:cs="Times New Roman" w:hAnsi="Times New Roman"/>
          <w:i/>
          <w:sz w:val="24"/>
          <w:szCs w:val="24"/>
          <w:lang w:val="en-GB"/>
        </w:rPr>
        <w:t>he same time?”</w:t>
      </w:r>
      <w:r>
        <w:rPr>
          <w:rFonts w:ascii="Times New Roman" w:cs="Times New Roman" w:hAnsi="Times New Roman"/>
          <w:sz w:val="24"/>
          <w:szCs w:val="24"/>
          <w:lang w:val="en-GB"/>
        </w:rPr>
        <w:t xml:space="preserve"> The ideal meaning of this statement lies in the fact that there was indefiniteness to the level of benefits that would be accrued from this level. Secondly, the contract was only to be terminated under the main aspects of contract terminatio</w:t>
      </w:r>
      <w:r>
        <w:rPr>
          <w:rFonts w:ascii="Times New Roman" w:cs="Times New Roman" w:hAnsi="Times New Roman"/>
          <w:sz w:val="24"/>
          <w:szCs w:val="24"/>
          <w:lang w:val="en-GB"/>
        </w:rPr>
        <w:t>n which are rejection, revocation, lapse and death</w:t>
      </w:r>
      <w:r>
        <w:rPr>
          <w:rFonts w:ascii="Times New Roman" w:cs="Times New Roman" w:hAnsi="Times New Roman"/>
          <w:sz w:val="24"/>
          <w:szCs w:val="24"/>
          <w:lang w:val="en-GB"/>
        </w:rPr>
        <w:t xml:space="preserve">; none of which were practical in this case. Logan was not just going to perform and get his £750 alone. From the basis of the Uniform Commercial Code (UCC), Jack in this case seemed to be destined to pay </w:t>
      </w:r>
      <w:r>
        <w:rPr>
          <w:rFonts w:ascii="Times New Roman" w:cs="Times New Roman" w:hAnsi="Times New Roman"/>
          <w:sz w:val="24"/>
          <w:szCs w:val="24"/>
          <w:lang w:val="en-GB"/>
        </w:rPr>
        <w:t>Logan other benefits that would probably be less than the £500 Logan is asking for on the basis of the indefiniteness of the contract. The very fact that the £500 benefit was missing from the agreed contract can be referenced to the existence of ‘gap fille</w:t>
      </w:r>
      <w:r>
        <w:rPr>
          <w:rFonts w:ascii="Times New Roman" w:cs="Times New Roman" w:hAnsi="Times New Roman"/>
          <w:sz w:val="24"/>
          <w:szCs w:val="24"/>
          <w:lang w:val="en-GB"/>
        </w:rPr>
        <w:t>rs’</w:t>
      </w:r>
      <w:r>
        <w:rPr>
          <w:rFonts w:ascii="Times New Roman" w:cs="Times New Roman" w:hAnsi="Times New Roman"/>
          <w:sz w:val="24"/>
          <w:szCs w:val="24"/>
          <w:lang w:val="en-GB"/>
        </w:rPr>
        <w:t xml:space="preserve"> in a contact that are meant to make up for the mis</w:t>
      </w:r>
      <w:r>
        <w:rPr>
          <w:rFonts w:ascii="Times New Roman" w:cs="Times New Roman" w:hAnsi="Times New Roman"/>
          <w:sz w:val="24"/>
          <w:szCs w:val="24"/>
          <w:lang w:val="en-GB"/>
        </w:rPr>
        <w:t xml:space="preserve">sing terms. An application of </w:t>
      </w:r>
      <w:r>
        <w:rPr>
          <w:rFonts w:ascii="Times New Roman" w:cs="Times New Roman" w:hAnsi="Times New Roman"/>
          <w:i/>
          <w:sz w:val="24"/>
          <w:szCs w:val="24"/>
          <w:lang w:val="en-GB"/>
        </w:rPr>
        <w:t>Ontario Downs Co. v.</w:t>
      </w:r>
    </w:p>
    <w:p>
      <w:pPr>
        <w:pStyle w:val="style0"/>
        <w:spacing w:lineRule="auto" w:line="480"/>
        <w:rPr>
          <w:rFonts w:ascii="Times New Roman" w:cs="Times New Roman" w:hAnsi="Times New Roman"/>
          <w:b/>
          <w:sz w:val="24"/>
          <w:szCs w:val="24"/>
          <w:lang w:val="en-GB"/>
        </w:rPr>
      </w:pPr>
      <w:r>
        <w:rPr>
          <w:rFonts w:ascii="Times New Roman" w:cs="Times New Roman" w:hAnsi="Times New Roman"/>
          <w:i/>
          <w:sz w:val="24"/>
          <w:szCs w:val="24"/>
          <w:lang w:val="en-GB"/>
        </w:rPr>
        <w:t>Lauppe</w:t>
      </w:r>
      <w:r>
        <w:rPr>
          <w:rFonts w:ascii="Times New Roman" w:cs="Times New Roman" w:hAnsi="Times New Roman"/>
          <w:sz w:val="24"/>
          <w:szCs w:val="24"/>
          <w:lang w:val="en-GB"/>
        </w:rPr>
        <w:t xml:space="preserve"> introduces the fact</w:t>
      </w:r>
      <w:r>
        <w:rPr>
          <w:rFonts w:ascii="Times New Roman" w:cs="Times New Roman" w:hAnsi="Times New Roman"/>
          <w:sz w:val="24"/>
          <w:szCs w:val="24"/>
          <w:lang w:val="en-GB"/>
        </w:rPr>
        <w:t xml:space="preserve"> that there is need to consider ‘reasonable benefit at the time of delivery’</w:t>
      </w:r>
      <w:r>
        <w:rPr>
          <w:rFonts w:ascii="Times New Roman" w:cs="Times New Roman" w:hAnsi="Times New Roman"/>
          <w:sz w:val="24"/>
          <w:szCs w:val="24"/>
          <w:lang w:val="en-GB"/>
        </w:rPr>
        <w:t xml:space="preserve"> of the required information</w:t>
      </w:r>
      <w:r>
        <w:t xml:space="preserve"> (</w:t>
      </w:r>
      <w:r>
        <w:rPr>
          <w:rFonts w:ascii="Times New Roman" w:cs="Times New Roman" w:hAnsi="Times New Roman"/>
          <w:sz w:val="24"/>
          <w:szCs w:val="24"/>
          <w:lang w:val="en-GB"/>
        </w:rPr>
        <w:t>Yonjan, 2019, p. 151)</w:t>
      </w:r>
      <w:r>
        <w:rPr>
          <w:rFonts w:ascii="Times New Roman" w:cs="Times New Roman" w:hAnsi="Times New Roman"/>
          <w:sz w:val="24"/>
          <w:szCs w:val="24"/>
          <w:lang w:val="en-GB"/>
        </w:rPr>
        <w:t xml:space="preserve">, which Logan is entitled to in this case. This is supported by the case </w:t>
      </w:r>
      <w:r>
        <w:rPr>
          <w:rFonts w:ascii="Times New Roman" w:cs="Times New Roman" w:hAnsi="Times New Roman"/>
          <w:i/>
          <w:sz w:val="24"/>
          <w:szCs w:val="24"/>
          <w:lang w:val="en-GB"/>
        </w:rPr>
        <w:t>Raffles v</w:t>
      </w:r>
      <w:r>
        <w:rPr>
          <w:rFonts w:ascii="Times New Roman" w:cs="Times New Roman" w:hAnsi="Times New Roman"/>
          <w:i/>
          <w:sz w:val="24"/>
          <w:szCs w:val="24"/>
          <w:lang w:val="en-GB"/>
        </w:rPr>
        <w:t>. Wichelhaus</w:t>
      </w:r>
      <w:r>
        <w:rPr>
          <w:rFonts w:ascii="Times New Roman" w:cs="Times New Roman" w:hAnsi="Times New Roman"/>
          <w:i/>
          <w:sz w:val="24"/>
          <w:szCs w:val="24"/>
          <w:lang w:val="en-GB"/>
        </w:rPr>
        <w:t xml:space="preserve"> </w:t>
      </w:r>
      <w:r>
        <w:rPr>
          <w:rFonts w:ascii="Times New Roman" w:cs="Times New Roman" w:hAnsi="Times New Roman"/>
          <w:sz w:val="24"/>
          <w:szCs w:val="24"/>
          <w:lang w:val="en-GB"/>
        </w:rPr>
        <w:t>in which case it was determined that</w:t>
      </w:r>
      <w:r>
        <w:rPr>
          <w:rFonts w:ascii="Times New Roman" w:cs="Times New Roman" w:hAnsi="Times New Roman"/>
          <w:i/>
          <w:sz w:val="24"/>
          <w:szCs w:val="24"/>
          <w:lang w:val="en-GB"/>
        </w:rPr>
        <w:t xml:space="preserve"> </w:t>
      </w:r>
      <w:r>
        <w:rPr>
          <w:rFonts w:ascii="Times New Roman" w:cs="Times New Roman" w:hAnsi="Times New Roman"/>
          <w:sz w:val="24"/>
          <w:szCs w:val="24"/>
          <w:lang w:val="en-GB"/>
        </w:rPr>
        <w:t>both parties had a meeting of the mind and one party (Logan) anticipated that there will be something more that would be settled as part of the negotiations. This was never settled. Jack is therefore suppo</w:t>
      </w:r>
      <w:r>
        <w:rPr>
          <w:rFonts w:ascii="Times New Roman" w:cs="Times New Roman" w:hAnsi="Times New Roman"/>
          <w:sz w:val="24"/>
          <w:szCs w:val="24"/>
          <w:lang w:val="en-GB"/>
        </w:rPr>
        <w:t xml:space="preserve">sed to fulfill the required contractual obligations associated with the agreements in this case. The extended earnings would be set under the curtain of other benefits associated with a contract. </w:t>
      </w:r>
      <w:r>
        <w:rPr>
          <w:rFonts w:ascii="Times New Roman" w:cs="Times New Roman" w:hAnsi="Times New Roman"/>
          <w:sz w:val="24"/>
          <w:szCs w:val="24"/>
          <w:lang w:val="en-GB"/>
        </w:rPr>
        <w:t>There will therefore be need to make payment of the £500 that is considerate in this case.</w:t>
      </w:r>
    </w:p>
    <w:p>
      <w:pPr>
        <w:pStyle w:val="style0"/>
        <w:spacing w:lineRule="auto" w:line="480"/>
        <w:rPr>
          <w:rFonts w:ascii="Times New Roman" w:cs="Times New Roman" w:hAnsi="Times New Roman"/>
          <w:b/>
          <w:sz w:val="24"/>
          <w:szCs w:val="24"/>
          <w:lang w:val="en-GB"/>
        </w:rPr>
      </w:pPr>
      <w:r>
        <w:rPr>
          <w:rFonts w:ascii="Times New Roman" w:cs="Times New Roman" w:hAnsi="Times New Roman"/>
          <w:b/>
          <w:sz w:val="24"/>
          <w:szCs w:val="24"/>
          <w:lang w:val="en-GB"/>
        </w:rPr>
        <w:t xml:space="preserve">Advice Jack whether he is legally obliged to Pay DJ Mason anything for his Performance? </w:t>
      </w:r>
    </w:p>
    <w:p>
      <w:pPr>
        <w:pStyle w:val="style0"/>
        <w:spacing w:lineRule="auto" w:line="480"/>
        <w:rPr>
          <w:rFonts w:ascii="Times New Roman" w:cs="Times New Roman" w:hAnsi="Times New Roman"/>
          <w:sz w:val="24"/>
          <w:szCs w:val="24"/>
          <w:lang w:val="en-GB"/>
        </w:rPr>
      </w:pPr>
      <w:r>
        <w:rPr>
          <w:rFonts w:ascii="Times New Roman" w:cs="Times New Roman" w:hAnsi="Times New Roman"/>
          <w:sz w:val="24"/>
          <w:szCs w:val="24"/>
          <w:lang w:val="en-GB"/>
        </w:rPr>
        <w:t>Offers become legally binding once they are accepted</w:t>
      </w:r>
      <w:r>
        <w:rPr>
          <w:rFonts w:ascii="Times New Roman" w:cs="Times New Roman" w:hAnsi="Times New Roman"/>
          <w:sz w:val="24"/>
          <w:szCs w:val="24"/>
          <w:lang w:val="en-GB"/>
        </w:rPr>
        <w:t>. It means that the offerer and the offeree have accepted the terms under which the ag</w:t>
      </w:r>
      <w:r>
        <w:rPr>
          <w:rFonts w:ascii="Times New Roman" w:cs="Times New Roman" w:hAnsi="Times New Roman"/>
          <w:sz w:val="24"/>
          <w:szCs w:val="24"/>
          <w:lang w:val="en-GB"/>
        </w:rPr>
        <w:t xml:space="preserve">reement was made with absoluteness. In this case, each of the parties is supposed to fulfill the contractual obligations in completeness. Dishonoring </w:t>
      </w:r>
      <w:r>
        <w:rPr>
          <w:rFonts w:ascii="Times New Roman" w:cs="Times New Roman" w:hAnsi="Times New Roman"/>
          <w:sz w:val="24"/>
          <w:szCs w:val="24"/>
          <w:lang w:val="en-GB"/>
        </w:rPr>
        <w:t>a contract is synonymous with the terms of the contract not being fully adhered to</w:t>
      </w:r>
      <w:r>
        <w:t xml:space="preserve"> (</w:t>
      </w:r>
      <w:r>
        <w:rPr>
          <w:rFonts w:ascii="Times New Roman" w:cs="Times New Roman" w:hAnsi="Times New Roman"/>
          <w:sz w:val="24"/>
          <w:szCs w:val="24"/>
          <w:lang w:val="en-GB"/>
        </w:rPr>
        <w:t>Yusof, 2011, p. 212)</w:t>
      </w:r>
      <w:r>
        <w:rPr>
          <w:rFonts w:ascii="Times New Roman" w:cs="Times New Roman" w:hAnsi="Times New Roman"/>
          <w:sz w:val="24"/>
          <w:szCs w:val="24"/>
          <w:lang w:val="en-GB"/>
        </w:rPr>
        <w:t>. The case of Jack and M</w:t>
      </w:r>
      <w:r>
        <w:rPr>
          <w:rFonts w:ascii="Times New Roman" w:cs="Times New Roman" w:hAnsi="Times New Roman"/>
          <w:sz w:val="24"/>
          <w:szCs w:val="24"/>
          <w:lang w:val="en-GB"/>
        </w:rPr>
        <w:t xml:space="preserve">ason can be looked at from the basis of the </w:t>
      </w:r>
      <w:r>
        <w:rPr>
          <w:rFonts w:ascii="Times New Roman" w:cs="Times New Roman" w:hAnsi="Times New Roman"/>
          <w:i/>
          <w:sz w:val="24"/>
          <w:szCs w:val="24"/>
          <w:lang w:val="en-GB"/>
        </w:rPr>
        <w:t>‘Mirror Image Rule’</w:t>
      </w:r>
      <w:r>
        <w:rPr>
          <w:rFonts w:ascii="Times New Roman" w:cs="Times New Roman" w:hAnsi="Times New Roman"/>
          <w:sz w:val="24"/>
          <w:szCs w:val="24"/>
          <w:lang w:val="en-GB"/>
        </w:rPr>
        <w:t>. This indicates that there is a requirement determining the fact that the offeree must accept all the terms of the offer at the original level. It means that the offeree needs not add or modi</w:t>
      </w:r>
      <w:r>
        <w:rPr>
          <w:rFonts w:ascii="Times New Roman" w:cs="Times New Roman" w:hAnsi="Times New Roman"/>
          <w:sz w:val="24"/>
          <w:szCs w:val="24"/>
          <w:lang w:val="en-GB"/>
        </w:rPr>
        <w:t>fy any of the terms of the agreement as agreed upon at the initial level of offer. If the acceptance will alter any of the terms or add additional terms in the process, there will be no contract that will be formed</w:t>
      </w:r>
      <w:r>
        <w:rPr>
          <w:rFonts w:ascii="Times New Roman" w:cs="Times New Roman" w:hAnsi="Times New Roman"/>
          <w:sz w:val="24"/>
          <w:szCs w:val="24"/>
          <w:lang w:val="en-GB"/>
        </w:rPr>
        <w:t>. Therefore, acceptance must be able to m</w:t>
      </w:r>
      <w:r>
        <w:rPr>
          <w:rFonts w:ascii="Times New Roman" w:cs="Times New Roman" w:hAnsi="Times New Roman"/>
          <w:sz w:val="24"/>
          <w:szCs w:val="24"/>
          <w:lang w:val="en-GB"/>
        </w:rPr>
        <w:t xml:space="preserve">irror the offer. This is what was applicable as could be seen from the basis of </w:t>
      </w:r>
      <w:r>
        <w:rPr>
          <w:rFonts w:ascii="Times New Roman" w:cs="Times New Roman" w:hAnsi="Times New Roman"/>
          <w:i/>
          <w:sz w:val="24"/>
          <w:szCs w:val="24"/>
          <w:lang w:val="en-GB"/>
        </w:rPr>
        <w:t>Ehlen v. Melvin</w:t>
      </w:r>
      <w:r>
        <w:rPr>
          <w:rFonts w:ascii="Times New Roman" w:cs="Times New Roman" w:hAnsi="Times New Roman"/>
          <w:i/>
          <w:sz w:val="24"/>
          <w:szCs w:val="24"/>
          <w:lang w:val="en-GB"/>
        </w:rPr>
        <w:t xml:space="preserve"> </w:t>
      </w:r>
      <w:r>
        <w:rPr>
          <w:rFonts w:ascii="Times New Roman" w:cs="Times New Roman" w:hAnsi="Times New Roman"/>
          <w:sz w:val="24"/>
          <w:szCs w:val="24"/>
          <w:lang w:val="en-GB"/>
        </w:rPr>
        <w:t xml:space="preserve">in which case an agreement document was altered when it was transferred to the plaintiff and that made the offer null within the realms of the law as observed </w:t>
      </w:r>
      <w:r>
        <w:rPr>
          <w:rFonts w:ascii="Times New Roman" w:cs="Times New Roman" w:hAnsi="Times New Roman"/>
          <w:sz w:val="24"/>
          <w:szCs w:val="24"/>
          <w:lang w:val="en-GB"/>
        </w:rPr>
        <w:t>by the court</w:t>
      </w:r>
      <w:r>
        <w:t xml:space="preserve"> (</w:t>
      </w:r>
      <w:r>
        <w:rPr>
          <w:rFonts w:ascii="Times New Roman" w:cs="Times New Roman" w:hAnsi="Times New Roman"/>
          <w:sz w:val="24"/>
          <w:szCs w:val="24"/>
          <w:lang w:val="en-GB"/>
        </w:rPr>
        <w:t>Fried, 2015, p. 116)</w:t>
      </w:r>
      <w:r>
        <w:rPr>
          <w:rFonts w:ascii="Times New Roman" w:cs="Times New Roman" w:hAnsi="Times New Roman"/>
          <w:sz w:val="24"/>
          <w:szCs w:val="24"/>
          <w:lang w:val="en-GB"/>
        </w:rPr>
        <w:t>. At the alteration of the original terms, the contract was stated to never have existed in the first place. However, the case of Jack and Mason have a valid contract that existed in completeness. In the same case, each party is entitled to a p</w:t>
      </w:r>
      <w:r>
        <w:rPr>
          <w:rFonts w:ascii="Times New Roman" w:cs="Times New Roman" w:hAnsi="Times New Roman"/>
          <w:sz w:val="24"/>
          <w:szCs w:val="24"/>
          <w:lang w:val="en-GB"/>
        </w:rPr>
        <w:t>erfect performance of a contract within the stipulated terms that were agreed upon. A party will effectively be in breach when they fail to honour any one of the warranties agreed upon in the contract</w:t>
      </w:r>
      <w:r>
        <w:rPr>
          <w:rFonts w:ascii="Times New Roman" w:cs="Times New Roman" w:hAnsi="Times New Roman"/>
          <w:sz w:val="24"/>
          <w:szCs w:val="24"/>
          <w:lang w:val="en-GB"/>
        </w:rPr>
        <w:t>. The most common forms of breach are that of defective</w:t>
      </w:r>
      <w:r>
        <w:rPr>
          <w:rFonts w:ascii="Times New Roman" w:cs="Times New Roman" w:hAnsi="Times New Roman"/>
          <w:sz w:val="24"/>
          <w:szCs w:val="24"/>
          <w:lang w:val="en-GB"/>
        </w:rPr>
        <w:t xml:space="preserve"> performance, delayed performance and complete non-performance</w:t>
      </w:r>
      <w:r>
        <w:rPr>
          <w:rFonts w:ascii="Times New Roman" w:cs="Times New Roman" w:hAnsi="Times New Roman"/>
          <w:sz w:val="24"/>
          <w:szCs w:val="24"/>
          <w:lang w:val="en-GB"/>
        </w:rPr>
        <w:t>. Defective performance is a case where the performance was partly performed but not deal standard agreed upon within the terms of the contract</w:t>
      </w:r>
      <w:r>
        <w:t xml:space="preserve"> (</w:t>
      </w:r>
      <w:r>
        <w:rPr>
          <w:rFonts w:ascii="Times New Roman" w:cs="Times New Roman" w:hAnsi="Times New Roman"/>
          <w:sz w:val="24"/>
          <w:szCs w:val="24"/>
          <w:lang w:val="en-GB"/>
        </w:rPr>
        <w:t>Ghazali et al, 2019, p. 117)</w:t>
      </w:r>
      <w:r>
        <w:rPr>
          <w:rFonts w:ascii="Times New Roman" w:cs="Times New Roman" w:hAnsi="Times New Roman"/>
          <w:sz w:val="24"/>
          <w:szCs w:val="24"/>
          <w:lang w:val="en-GB"/>
        </w:rPr>
        <w:t xml:space="preserve">. This is where DJ Mason’s case lies. However, it </w:t>
      </w:r>
      <w:r>
        <w:rPr>
          <w:rFonts w:ascii="Times New Roman" w:cs="Times New Roman" w:hAnsi="Times New Roman"/>
          <w:sz w:val="24"/>
          <w:szCs w:val="24"/>
          <w:lang w:val="en-GB"/>
        </w:rPr>
        <w:t>is also determinate that Mason still performed and his performance lasted 2 hours and the breach was attached to the last hour which he never performed. Therefore, there will be no application of the repudiatory breach of contract steps</w:t>
      </w:r>
      <w:r>
        <w:rPr>
          <w:rFonts w:ascii="Times New Roman" w:cs="Times New Roman" w:hAnsi="Times New Roman"/>
          <w:sz w:val="24"/>
          <w:szCs w:val="24"/>
          <w:lang w:val="en-GB"/>
        </w:rPr>
        <w:t xml:space="preserve"> but this would be </w:t>
      </w:r>
      <w:r>
        <w:rPr>
          <w:rFonts w:ascii="Times New Roman" w:cs="Times New Roman" w:hAnsi="Times New Roman"/>
          <w:sz w:val="24"/>
          <w:szCs w:val="24"/>
          <w:lang w:val="en-GB"/>
        </w:rPr>
        <w:t>taken from the form of a warra</w:t>
      </w:r>
      <w:r>
        <w:rPr>
          <w:rFonts w:ascii="Times New Roman" w:cs="Times New Roman" w:hAnsi="Times New Roman"/>
          <w:sz w:val="24"/>
          <w:szCs w:val="24"/>
          <w:lang w:val="en-GB"/>
        </w:rPr>
        <w:t xml:space="preserve">nty claim. The innocent in the </w:t>
      </w:r>
      <w:r>
        <w:rPr>
          <w:rFonts w:ascii="Times New Roman" w:cs="Times New Roman" w:hAnsi="Times New Roman"/>
          <w:sz w:val="24"/>
          <w:szCs w:val="24"/>
          <w:lang w:val="en-GB"/>
        </w:rPr>
        <w:t xml:space="preserve">process (Jack) can claim for damages but not terminate the contract. It is </w:t>
      </w:r>
      <w:r>
        <w:rPr>
          <w:rFonts w:ascii="Times New Roman" w:cs="Times New Roman" w:hAnsi="Times New Roman"/>
          <w:sz w:val="24"/>
          <w:szCs w:val="24"/>
          <w:lang w:val="en-GB"/>
        </w:rPr>
        <w:t>agreeable that Jack is not entitled to paying Mason full payment for the performance but may be limited to the period i</w:t>
      </w:r>
      <w:r>
        <w:rPr>
          <w:rFonts w:ascii="Times New Roman" w:cs="Times New Roman" w:hAnsi="Times New Roman"/>
          <w:sz w:val="24"/>
          <w:szCs w:val="24"/>
          <w:lang w:val="en-GB"/>
        </w:rPr>
        <w:t xml:space="preserve">n which Mason performed. </w:t>
      </w:r>
    </w:p>
    <w:p>
      <w:pPr>
        <w:pStyle w:val="style0"/>
        <w:spacing w:lineRule="auto" w:line="480"/>
        <w:rPr>
          <w:rFonts w:ascii="Times New Roman" w:cs="Times New Roman" w:hAnsi="Times New Roman"/>
          <w:sz w:val="24"/>
          <w:szCs w:val="24"/>
          <w:lang w:val="en-GB"/>
        </w:rPr>
      </w:pPr>
    </w:p>
    <w:p>
      <w:pPr>
        <w:pStyle w:val="style0"/>
        <w:spacing w:lineRule="auto" w:line="480"/>
        <w:rPr>
          <w:rFonts w:ascii="Times New Roman" w:cs="Times New Roman" w:hAnsi="Times New Roman"/>
          <w:sz w:val="24"/>
          <w:szCs w:val="24"/>
          <w:lang w:val="en-GB"/>
        </w:rPr>
      </w:pPr>
    </w:p>
    <w:p>
      <w:pPr>
        <w:pStyle w:val="style0"/>
        <w:spacing w:lineRule="auto" w:line="480"/>
        <w:rPr>
          <w:rFonts w:ascii="Times New Roman" w:cs="Times New Roman" w:hAnsi="Times New Roman"/>
          <w:sz w:val="24"/>
          <w:szCs w:val="24"/>
          <w:lang w:val="en-GB"/>
        </w:rPr>
      </w:pPr>
    </w:p>
    <w:p>
      <w:pPr>
        <w:pStyle w:val="style0"/>
        <w:spacing w:lineRule="auto" w:line="480"/>
        <w:rPr>
          <w:rFonts w:ascii="Times New Roman" w:cs="Times New Roman" w:hAnsi="Times New Roman"/>
          <w:sz w:val="24"/>
          <w:szCs w:val="24"/>
          <w:lang w:val="en-GB"/>
        </w:rPr>
      </w:pPr>
    </w:p>
    <w:p>
      <w:pPr>
        <w:pStyle w:val="style0"/>
        <w:spacing w:lineRule="auto" w:line="480"/>
        <w:rPr>
          <w:rFonts w:ascii="Times New Roman" w:cs="Times New Roman" w:hAnsi="Times New Roman"/>
          <w:sz w:val="24"/>
          <w:szCs w:val="24"/>
          <w:lang w:val="en-GB"/>
        </w:rPr>
      </w:pPr>
    </w:p>
    <w:p>
      <w:pPr>
        <w:pStyle w:val="style0"/>
        <w:spacing w:lineRule="auto" w:line="480"/>
        <w:rPr>
          <w:rFonts w:ascii="Times New Roman" w:cs="Times New Roman" w:hAnsi="Times New Roman"/>
          <w:b/>
          <w:sz w:val="24"/>
          <w:szCs w:val="24"/>
          <w:lang w:val="en-GB"/>
        </w:rPr>
      </w:pPr>
    </w:p>
    <w:p>
      <w:pPr>
        <w:pStyle w:val="style0"/>
        <w:spacing w:lineRule="auto" w:line="480"/>
        <w:rPr>
          <w:rFonts w:ascii="Times New Roman" w:cs="Times New Roman" w:hAnsi="Times New Roman"/>
          <w:b/>
          <w:sz w:val="24"/>
          <w:szCs w:val="24"/>
          <w:lang w:val="en-GB"/>
        </w:rPr>
      </w:pPr>
      <w:r>
        <w:rPr>
          <w:rFonts w:ascii="Times New Roman" w:cs="Times New Roman" w:hAnsi="Times New Roman"/>
          <w:b/>
          <w:sz w:val="24"/>
          <w:szCs w:val="24"/>
          <w:lang w:val="en-GB"/>
        </w:rPr>
        <w:t xml:space="preserve">Advise Nell Whether her Agreement with Jack was intended to Create Legal Relations? </w:t>
      </w:r>
    </w:p>
    <w:p>
      <w:pPr>
        <w:pStyle w:val="style0"/>
        <w:spacing w:lineRule="auto" w:line="480"/>
        <w:rPr>
          <w:rFonts w:ascii="Times New Roman" w:cs="Times New Roman" w:hAnsi="Times New Roman"/>
          <w:sz w:val="24"/>
          <w:szCs w:val="24"/>
          <w:lang w:val="en-GB"/>
        </w:rPr>
      </w:pPr>
      <w:r>
        <w:rPr>
          <w:rFonts w:ascii="Times New Roman" w:cs="Times New Roman" w:hAnsi="Times New Roman"/>
          <w:sz w:val="24"/>
          <w:szCs w:val="24"/>
          <w:lang w:val="en-GB"/>
        </w:rPr>
        <w:t xml:space="preserve">Nell and Jack entered an agreement where Jack asked Nell to perform for £250 for the hour that unattended to by DJ Mason. </w:t>
      </w:r>
      <w:r>
        <w:rPr>
          <w:rFonts w:ascii="Times New Roman" w:cs="Times New Roman" w:hAnsi="Times New Roman"/>
          <w:sz w:val="24"/>
          <w:szCs w:val="24"/>
          <w:lang w:val="en-GB"/>
        </w:rPr>
        <w:t xml:space="preserve">Quite succinctly, it was clear that there was a verbal agreement that was made between the two parties. One factor in this case is that of determining whether this type of agreement is legally enforceable. This is agreeable from the case basis of </w:t>
      </w:r>
      <w:r>
        <w:rPr>
          <w:rFonts w:ascii="Times New Roman" w:cs="Times New Roman" w:hAnsi="Times New Roman"/>
          <w:i/>
          <w:sz w:val="24"/>
          <w:szCs w:val="24"/>
          <w:lang w:val="en-GB"/>
        </w:rPr>
        <w:t>Joachim v</w:t>
      </w:r>
      <w:r>
        <w:rPr>
          <w:rFonts w:ascii="Times New Roman" w:cs="Times New Roman" w:hAnsi="Times New Roman"/>
          <w:i/>
          <w:sz w:val="24"/>
          <w:szCs w:val="24"/>
          <w:lang w:val="en-GB"/>
        </w:rPr>
        <w:t>. Weldon</w:t>
      </w:r>
      <w:r>
        <w:rPr>
          <w:rFonts w:ascii="Times New Roman" w:cs="Times New Roman" w:hAnsi="Times New Roman"/>
          <w:i/>
          <w:sz w:val="24"/>
          <w:szCs w:val="24"/>
          <w:lang w:val="en-GB"/>
        </w:rPr>
        <w:t xml:space="preserve"> </w:t>
      </w:r>
      <w:r>
        <w:rPr>
          <w:rFonts w:ascii="Times New Roman" w:cs="Times New Roman" w:hAnsi="Times New Roman"/>
          <w:sz w:val="24"/>
          <w:szCs w:val="24"/>
          <w:lang w:val="en-GB"/>
        </w:rPr>
        <w:t>in which case it is determined that such an oral contract is enforceable</w:t>
      </w:r>
      <w:r>
        <w:t xml:space="preserve"> (</w:t>
      </w:r>
      <w:r>
        <w:rPr>
          <w:rFonts w:ascii="Times New Roman" w:cs="Times New Roman" w:hAnsi="Times New Roman"/>
          <w:sz w:val="24"/>
          <w:szCs w:val="24"/>
          <w:lang w:val="en-GB"/>
        </w:rPr>
        <w:t>Meehan, 2012, p. 87)</w:t>
      </w:r>
      <w:r>
        <w:rPr>
          <w:rFonts w:ascii="Times New Roman" w:cs="Times New Roman" w:hAnsi="Times New Roman"/>
          <w:sz w:val="24"/>
          <w:szCs w:val="24"/>
          <w:lang w:val="en-GB"/>
        </w:rPr>
        <w:t>. Apart from that, the agreement had an acceptable that was based on a consideration where the meeting of the minds was implemented within the provisions of mutuality of the t</w:t>
      </w:r>
      <w:r>
        <w:rPr>
          <w:rFonts w:ascii="Times New Roman" w:cs="Times New Roman" w:hAnsi="Times New Roman"/>
          <w:sz w:val="24"/>
          <w:szCs w:val="24"/>
          <w:lang w:val="en-GB"/>
        </w:rPr>
        <w:t>erms of engagement. This did not also fall under any of the laws that prohibit verbal agreements such as the use of fraud. Nell and Jack had complete competency and legal capacity to the contract that they were creating between them. In this case, the proo</w:t>
      </w:r>
      <w:r>
        <w:rPr>
          <w:rFonts w:ascii="Times New Roman" w:cs="Times New Roman" w:hAnsi="Times New Roman"/>
          <w:sz w:val="24"/>
          <w:szCs w:val="24"/>
          <w:lang w:val="en-GB"/>
        </w:rPr>
        <w:t xml:space="preserve">f of existence of a contract is cogent, clear and enforceable as to leave any forms of doubts to the agreed-on terms and conditions, much like it can be attributed to </w:t>
      </w:r>
      <w:r>
        <w:rPr>
          <w:rFonts w:ascii="Times New Roman" w:cs="Times New Roman" w:hAnsi="Times New Roman"/>
          <w:i/>
          <w:sz w:val="24"/>
          <w:szCs w:val="24"/>
          <w:lang w:val="en-GB"/>
        </w:rPr>
        <w:t>Robinson v. Haynes</w:t>
      </w:r>
      <w:r>
        <w:t xml:space="preserve"> (</w:t>
      </w:r>
      <w:r>
        <w:rPr>
          <w:rFonts w:ascii="Times New Roman" w:cs="Times New Roman" w:hAnsi="Times New Roman"/>
          <w:sz w:val="24"/>
          <w:szCs w:val="24"/>
          <w:lang w:val="en-GB"/>
        </w:rPr>
        <w:t>Ontiveros, 2018</w:t>
      </w:r>
      <w:r>
        <w:rPr>
          <w:rFonts w:ascii="Times New Roman" w:cs="Times New Roman" w:hAnsi="Times New Roman"/>
          <w:sz w:val="24"/>
          <w:szCs w:val="24"/>
          <w:lang w:val="en-GB"/>
        </w:rPr>
        <w:t>, p. 19)</w:t>
      </w:r>
      <w:r>
        <w:rPr>
          <w:rFonts w:ascii="Times New Roman" w:cs="Times New Roman" w:hAnsi="Times New Roman"/>
          <w:sz w:val="24"/>
          <w:szCs w:val="24"/>
          <w:lang w:val="en-GB"/>
        </w:rPr>
        <w:t>.</w:t>
      </w:r>
      <w:r>
        <w:rPr>
          <w:rFonts w:ascii="Times New Roman" w:cs="Times New Roman" w:hAnsi="Times New Roman"/>
          <w:sz w:val="24"/>
          <w:szCs w:val="24"/>
          <w:lang w:val="en-GB"/>
        </w:rPr>
        <w:t xml:space="preserve"> With the voluntary consent of </w:t>
      </w:r>
      <w:r>
        <w:rPr>
          <w:rFonts w:ascii="Times New Roman" w:cs="Times New Roman" w:hAnsi="Times New Roman"/>
          <w:sz w:val="24"/>
          <w:szCs w:val="24"/>
          <w:lang w:val="en-GB"/>
        </w:rPr>
        <w:t>both cases, it is clear that there was</w:t>
      </w:r>
      <w:r>
        <w:rPr>
          <w:rFonts w:ascii="Times New Roman" w:cs="Times New Roman" w:hAnsi="Times New Roman"/>
          <w:sz w:val="24"/>
          <w:szCs w:val="24"/>
          <w:lang w:val="en-GB"/>
        </w:rPr>
        <w:t xml:space="preserve"> a clear need to understand the intensity of the level to which adherence to law of contracts was enforceable. Nell is contracted to perform for one hour in which case the aspect of indefiteness is eliminated. The consideration, being £250 is agreed upon b</w:t>
      </w:r>
      <w:r>
        <w:rPr>
          <w:rFonts w:ascii="Times New Roman" w:cs="Times New Roman" w:hAnsi="Times New Roman"/>
          <w:sz w:val="24"/>
          <w:szCs w:val="24"/>
          <w:lang w:val="en-GB"/>
        </w:rPr>
        <w:t xml:space="preserve">etween the two parties and the comedy was performed, which indicates that there was no teach of the contract from the side of Nell. With all the aspects of a contract law proven to be in existence, it is determinate that by choice, the agreement with Jack </w:t>
      </w:r>
      <w:r>
        <w:rPr>
          <w:rFonts w:ascii="Times New Roman" w:cs="Times New Roman" w:hAnsi="Times New Roman"/>
          <w:sz w:val="24"/>
          <w:szCs w:val="24"/>
          <w:lang w:val="en-GB"/>
        </w:rPr>
        <w:t xml:space="preserve">was intended to create legal relations as there was a legal basing to each of the terms of existence of a contract. </w:t>
      </w:r>
    </w:p>
    <w:p>
      <w:pPr>
        <w:pStyle w:val="style0"/>
        <w:spacing w:lineRule="auto" w:line="480"/>
        <w:rPr>
          <w:rFonts w:ascii="Times New Roman" w:cs="Times New Roman" w:hAnsi="Times New Roman"/>
          <w:b/>
          <w:sz w:val="24"/>
          <w:szCs w:val="24"/>
          <w:lang w:val="en-GB"/>
        </w:rPr>
      </w:pPr>
      <w:r>
        <w:rPr>
          <w:rFonts w:ascii="Times New Roman" w:cs="Times New Roman" w:hAnsi="Times New Roman"/>
          <w:b/>
          <w:sz w:val="24"/>
          <w:szCs w:val="24"/>
          <w:lang w:val="en-GB"/>
        </w:rPr>
        <w:t xml:space="preserve">Advise Nell whether there was there valid consideration for Jack’s promise to pay £250.00? </w:t>
      </w:r>
    </w:p>
    <w:p>
      <w:pPr>
        <w:pStyle w:val="style0"/>
        <w:spacing w:lineRule="auto" w:line="480"/>
        <w:rPr>
          <w:rFonts w:ascii="Times New Roman" w:cs="Times New Roman" w:hAnsi="Times New Roman"/>
          <w:sz w:val="24"/>
          <w:szCs w:val="24"/>
          <w:lang w:val="en-GB"/>
        </w:rPr>
      </w:pPr>
      <w:r>
        <w:rPr>
          <w:rFonts w:ascii="Times New Roman" w:cs="Times New Roman" w:hAnsi="Times New Roman"/>
          <w:sz w:val="24"/>
          <w:szCs w:val="24"/>
          <w:lang w:val="en-GB"/>
        </w:rPr>
        <w:t>The elements of consideration are very importan</w:t>
      </w:r>
      <w:r>
        <w:rPr>
          <w:rFonts w:ascii="Times New Roman" w:cs="Times New Roman" w:hAnsi="Times New Roman"/>
          <w:sz w:val="24"/>
          <w:szCs w:val="24"/>
          <w:lang w:val="en-GB"/>
        </w:rPr>
        <w:t>t in determining the possibility that at the end of the contract, there will be a proportionate value to the promise at the end of the deal</w:t>
      </w:r>
      <w:r>
        <w:t xml:space="preserve"> (</w:t>
      </w:r>
      <w:r>
        <w:rPr>
          <w:rFonts w:ascii="Times New Roman" w:cs="Times New Roman" w:hAnsi="Times New Roman"/>
          <w:sz w:val="24"/>
          <w:szCs w:val="24"/>
          <w:lang w:val="en-GB"/>
        </w:rPr>
        <w:t>Yonjan, 2019, p. 61)</w:t>
      </w:r>
      <w:r>
        <w:rPr>
          <w:rFonts w:ascii="Times New Roman" w:cs="Times New Roman" w:hAnsi="Times New Roman"/>
          <w:sz w:val="24"/>
          <w:szCs w:val="24"/>
          <w:lang w:val="en-GB"/>
        </w:rPr>
        <w:t>. In the case of Nell and Jack, there is need to determine whether the consideration provides a valid basis for a con</w:t>
      </w:r>
      <w:r>
        <w:rPr>
          <w:rFonts w:ascii="Times New Roman" w:cs="Times New Roman" w:hAnsi="Times New Roman"/>
          <w:sz w:val="24"/>
          <w:szCs w:val="24"/>
          <w:lang w:val="en-GB"/>
        </w:rPr>
        <w:t>tract. Much in the same way, it is clear that every contract that is valid must have a consideration. A consideration results from a person giving a promise to do something that they are not legally obliged to do; or not to do something that one has a righ</w:t>
      </w:r>
      <w:r>
        <w:rPr>
          <w:rFonts w:ascii="Times New Roman" w:cs="Times New Roman" w:hAnsi="Times New Roman"/>
          <w:sz w:val="24"/>
          <w:szCs w:val="24"/>
          <w:lang w:val="en-GB"/>
        </w:rPr>
        <w:t>t to do</w:t>
      </w:r>
      <w:r>
        <w:t xml:space="preserve"> (</w:t>
      </w:r>
      <w:r>
        <w:rPr>
          <w:rFonts w:ascii="Times New Roman" w:cs="Times New Roman" w:hAnsi="Times New Roman"/>
          <w:sz w:val="24"/>
          <w:szCs w:val="24"/>
          <w:lang w:val="en-GB"/>
        </w:rPr>
        <w:t>Yusof, 2011, p.41)</w:t>
      </w:r>
      <w:r>
        <w:rPr>
          <w:rFonts w:ascii="Times New Roman" w:cs="Times New Roman" w:hAnsi="Times New Roman"/>
          <w:sz w:val="24"/>
          <w:szCs w:val="24"/>
          <w:lang w:val="en-GB"/>
        </w:rPr>
        <w:t>. This change can also be noted to be a "bargained-for detriment”</w:t>
      </w:r>
      <w:r>
        <w:rPr>
          <w:rFonts w:ascii="Times New Roman" w:cs="Times New Roman" w:hAnsi="Times New Roman"/>
          <w:sz w:val="24"/>
          <w:szCs w:val="24"/>
          <w:lang w:val="en-GB"/>
        </w:rPr>
        <w:t xml:space="preserve"> and holds for all the parties to a contract at all levels. In reference to the case of Nell and Jack, the aspect of consideration is manifested because Nell was not already legally </w:t>
      </w:r>
      <w:r>
        <w:rPr>
          <w:rFonts w:ascii="Times New Roman" w:cs="Times New Roman" w:hAnsi="Times New Roman"/>
          <w:sz w:val="24"/>
          <w:szCs w:val="24"/>
          <w:lang w:val="en-GB"/>
        </w:rPr>
        <w:t xml:space="preserve">obliged to perform. She was approached at the point that Mason stopped at the second hour instead of the three hours he was supposed to have performed. In the other case, the promise of £250 from Jack to Nell was not that of a gift but was a consideration </w:t>
      </w:r>
      <w:r>
        <w:rPr>
          <w:rFonts w:ascii="Times New Roman" w:cs="Times New Roman" w:hAnsi="Times New Roman"/>
          <w:sz w:val="24"/>
          <w:szCs w:val="24"/>
          <w:lang w:val="en-GB"/>
        </w:rPr>
        <w:t xml:space="preserve">for the performance which was to last for one hour. As a matter of fact, Nell had the capacity to change her mind not to perform and Jack had the capacity to also change his mind and choose another person even after communicating verbally to her. However, </w:t>
      </w:r>
      <w:r>
        <w:rPr>
          <w:rFonts w:ascii="Times New Roman" w:cs="Times New Roman" w:hAnsi="Times New Roman"/>
          <w:sz w:val="24"/>
          <w:szCs w:val="24"/>
          <w:lang w:val="en-GB"/>
        </w:rPr>
        <w:t xml:space="preserve">this aspect is still limited by the fact that people are to be held responsible for their </w:t>
      </w:r>
      <w:r>
        <w:rPr>
          <w:rFonts w:ascii="Times New Roman" w:cs="Times New Roman" w:hAnsi="Times New Roman"/>
          <w:sz w:val="24"/>
          <w:szCs w:val="24"/>
          <w:lang w:val="en-GB"/>
        </w:rPr>
        <w:t>promises one an action has been taken by others having the assumption that there will be honouring of the promise, much like it would be in the “promissory estoppel”</w:t>
      </w:r>
      <w:r>
        <w:t xml:space="preserve"> (</w:t>
      </w:r>
      <w:r>
        <w:rPr>
          <w:rFonts w:ascii="Times New Roman" w:cs="Times New Roman" w:hAnsi="Times New Roman"/>
          <w:sz w:val="24"/>
          <w:szCs w:val="24"/>
          <w:lang w:val="en-GB"/>
        </w:rPr>
        <w:t>Fried, 2015, p. 38)</w:t>
      </w:r>
      <w:r>
        <w:rPr>
          <w:rFonts w:ascii="Times New Roman" w:cs="Times New Roman" w:hAnsi="Times New Roman"/>
          <w:sz w:val="24"/>
          <w:szCs w:val="24"/>
          <w:lang w:val="en-GB"/>
        </w:rPr>
        <w:t>. The other factor under consideration is that the promise was not a past consideration but was an action that was being undertaken at the presence of time in the current situations. It is therefore determinate that value would be given to the idea that th</w:t>
      </w:r>
      <w:r>
        <w:rPr>
          <w:rFonts w:ascii="Times New Roman" w:cs="Times New Roman" w:hAnsi="Times New Roman"/>
          <w:sz w:val="24"/>
          <w:szCs w:val="24"/>
          <w:lang w:val="en-GB"/>
        </w:rPr>
        <w:t>ere was a valid consideration to determining the fact that a consideration had been made between Jack and Nell. The bargained for promise in this case is also illusory in nature and quite proportionate. If Nell performed for the hour, she would bag the £25</w:t>
      </w:r>
      <w:r>
        <w:rPr>
          <w:rFonts w:ascii="Times New Roman" w:cs="Times New Roman" w:hAnsi="Times New Roman"/>
          <w:sz w:val="24"/>
          <w:szCs w:val="24"/>
          <w:lang w:val="en-GB"/>
        </w:rPr>
        <w:t xml:space="preserve">0 as compensation for her efforts. It is important noting that value in this case is defined in the case there is determination of all aspects that constitute a consideration and that has been effectively defined in the process. </w:t>
      </w:r>
    </w:p>
    <w:p>
      <w:pPr>
        <w:pStyle w:val="style0"/>
        <w:spacing w:lineRule="auto" w:line="480"/>
        <w:jc w:val="center"/>
        <w:rPr>
          <w:rFonts w:ascii="Times New Roman" w:cs="Times New Roman" w:hAnsi="Times New Roman"/>
          <w:b/>
          <w:sz w:val="24"/>
          <w:szCs w:val="24"/>
          <w:lang w:val="en-GB"/>
        </w:rPr>
      </w:pPr>
    </w:p>
    <w:p>
      <w:pPr>
        <w:pStyle w:val="style0"/>
        <w:spacing w:lineRule="auto" w:line="480"/>
        <w:jc w:val="center"/>
        <w:rPr>
          <w:rFonts w:ascii="Times New Roman" w:cs="Times New Roman" w:hAnsi="Times New Roman"/>
          <w:b/>
          <w:sz w:val="24"/>
          <w:szCs w:val="24"/>
          <w:lang w:val="en-GB"/>
        </w:rPr>
      </w:pPr>
    </w:p>
    <w:p>
      <w:pPr>
        <w:pStyle w:val="style0"/>
        <w:spacing w:lineRule="auto" w:line="480"/>
        <w:jc w:val="center"/>
        <w:rPr>
          <w:rFonts w:ascii="Times New Roman" w:cs="Times New Roman" w:hAnsi="Times New Roman"/>
          <w:b/>
          <w:sz w:val="24"/>
          <w:szCs w:val="24"/>
          <w:lang w:val="en-GB"/>
        </w:rPr>
      </w:pPr>
    </w:p>
    <w:p>
      <w:pPr>
        <w:pStyle w:val="style0"/>
        <w:spacing w:lineRule="auto" w:line="480"/>
        <w:jc w:val="center"/>
        <w:rPr>
          <w:rFonts w:ascii="Times New Roman" w:cs="Times New Roman" w:hAnsi="Times New Roman"/>
          <w:b/>
          <w:sz w:val="24"/>
          <w:szCs w:val="24"/>
          <w:lang w:val="en-GB"/>
        </w:rPr>
      </w:pPr>
    </w:p>
    <w:p>
      <w:pPr>
        <w:pStyle w:val="style0"/>
        <w:spacing w:lineRule="auto" w:line="480"/>
        <w:jc w:val="center"/>
        <w:rPr>
          <w:rFonts w:ascii="Times New Roman" w:cs="Times New Roman" w:hAnsi="Times New Roman"/>
          <w:b/>
          <w:sz w:val="24"/>
          <w:szCs w:val="24"/>
          <w:lang w:val="en-GB"/>
        </w:rPr>
      </w:pPr>
    </w:p>
    <w:p>
      <w:pPr>
        <w:pStyle w:val="style0"/>
        <w:spacing w:lineRule="auto" w:line="480"/>
        <w:jc w:val="center"/>
        <w:rPr>
          <w:rFonts w:ascii="Times New Roman" w:cs="Times New Roman" w:hAnsi="Times New Roman"/>
          <w:b/>
          <w:sz w:val="24"/>
          <w:szCs w:val="24"/>
          <w:lang w:val="en-GB"/>
        </w:rPr>
      </w:pPr>
    </w:p>
    <w:p>
      <w:pPr>
        <w:pStyle w:val="style0"/>
        <w:spacing w:lineRule="auto" w:line="480"/>
        <w:jc w:val="center"/>
        <w:rPr>
          <w:rFonts w:ascii="Times New Roman" w:cs="Times New Roman" w:hAnsi="Times New Roman"/>
          <w:b/>
          <w:sz w:val="24"/>
          <w:szCs w:val="24"/>
          <w:lang w:val="en-GB"/>
        </w:rPr>
      </w:pPr>
    </w:p>
    <w:p>
      <w:pPr>
        <w:pStyle w:val="style0"/>
        <w:spacing w:lineRule="auto" w:line="480"/>
        <w:jc w:val="center"/>
        <w:rPr>
          <w:rFonts w:ascii="Times New Roman" w:cs="Times New Roman" w:hAnsi="Times New Roman"/>
          <w:b/>
          <w:sz w:val="24"/>
          <w:szCs w:val="24"/>
          <w:lang w:val="en-GB"/>
        </w:rPr>
      </w:pPr>
    </w:p>
    <w:p>
      <w:pPr>
        <w:pStyle w:val="style0"/>
        <w:spacing w:lineRule="auto" w:line="480"/>
        <w:jc w:val="center"/>
        <w:rPr>
          <w:rFonts w:ascii="Times New Roman" w:cs="Times New Roman" w:hAnsi="Times New Roman"/>
          <w:b/>
          <w:sz w:val="24"/>
          <w:szCs w:val="24"/>
          <w:lang w:val="en-GB"/>
        </w:rPr>
      </w:pPr>
    </w:p>
    <w:p>
      <w:pPr>
        <w:pStyle w:val="style0"/>
        <w:spacing w:lineRule="auto" w:line="480"/>
        <w:jc w:val="center"/>
        <w:rPr>
          <w:rFonts w:ascii="Times New Roman" w:cs="Times New Roman" w:hAnsi="Times New Roman"/>
          <w:b/>
          <w:sz w:val="24"/>
          <w:szCs w:val="24"/>
          <w:lang w:val="en-GB"/>
        </w:rPr>
      </w:pPr>
    </w:p>
    <w:p>
      <w:pPr>
        <w:pStyle w:val="style0"/>
        <w:spacing w:lineRule="auto" w:line="480"/>
        <w:jc w:val="center"/>
        <w:rPr>
          <w:rFonts w:ascii="Arial" w:cs="Arial" w:hAnsi="Arial"/>
          <w:color w:val="222222"/>
          <w:sz w:val="20"/>
          <w:szCs w:val="20"/>
          <w:shd w:val="clear" w:color="auto" w:fill="ffffff"/>
        </w:rPr>
      </w:pPr>
      <w:r>
        <w:rPr>
          <w:rFonts w:ascii="Times New Roman" w:cs="Times New Roman" w:hAnsi="Times New Roman"/>
          <w:b/>
          <w:sz w:val="24"/>
          <w:szCs w:val="24"/>
          <w:lang w:val="en-GB"/>
        </w:rPr>
        <w:t>Bibliography</w:t>
      </w:r>
      <w:bookmarkStart w:id="0" w:name="_GoBack"/>
      <w:bookmarkEnd w:id="0"/>
    </w:p>
    <w:p>
      <w:pPr>
        <w:pStyle w:val="style0"/>
        <w:spacing w:lineRule="auto" w:line="480"/>
        <w:rPr>
          <w:rFonts w:ascii="Arial" w:cs="Arial" w:hAnsi="Arial"/>
          <w:color w:val="222222"/>
          <w:sz w:val="20"/>
          <w:szCs w:val="20"/>
          <w:shd w:val="clear" w:color="auto" w:fill="ffffff"/>
        </w:rPr>
      </w:pPr>
      <w:r>
        <w:rPr>
          <w:rFonts w:ascii="Arial" w:cs="Arial" w:hAnsi="Arial"/>
          <w:color w:val="222222"/>
          <w:sz w:val="20"/>
          <w:szCs w:val="20"/>
          <w:shd w:val="clear" w:color="auto" w:fill="ffffff"/>
        </w:rPr>
        <w:t>Fried, C., 2015. </w:t>
      </w:r>
      <w:r>
        <w:rPr>
          <w:rFonts w:ascii="Arial" w:cs="Arial" w:hAnsi="Arial"/>
          <w:i/>
          <w:iCs/>
          <w:color w:val="222222"/>
          <w:sz w:val="20"/>
          <w:szCs w:val="20"/>
          <w:shd w:val="clear" w:color="auto" w:fill="ffffff"/>
        </w:rPr>
        <w:t>Contract as promise: A theory of contractual obligation</w:t>
      </w:r>
      <w:r>
        <w:rPr>
          <w:rFonts w:ascii="Arial" w:cs="Arial" w:hAnsi="Arial"/>
          <w:color w:val="222222"/>
          <w:sz w:val="20"/>
          <w:szCs w:val="20"/>
          <w:shd w:val="clear" w:color="auto" w:fill="ffffff"/>
        </w:rPr>
        <w:t>. Oxford University Press, USA.</w:t>
      </w:r>
    </w:p>
    <w:p>
      <w:pPr>
        <w:pStyle w:val="style0"/>
        <w:spacing w:lineRule="auto" w:line="480"/>
        <w:rPr>
          <w:rFonts w:ascii="Arial" w:cs="Arial" w:hAnsi="Arial"/>
          <w:color w:val="222222"/>
          <w:sz w:val="20"/>
          <w:szCs w:val="20"/>
          <w:shd w:val="clear" w:color="auto" w:fill="ffffff"/>
        </w:rPr>
      </w:pPr>
      <w:r>
        <w:rPr>
          <w:rFonts w:ascii="Arial" w:cs="Arial" w:hAnsi="Arial"/>
          <w:color w:val="222222"/>
          <w:sz w:val="20"/>
          <w:szCs w:val="20"/>
          <w:shd w:val="clear" w:color="auto" w:fill="ffffff"/>
        </w:rPr>
        <w:t xml:space="preserve">Ghazali, N., Sipan, I., Abas, F., Fauziah, R. and Mohammad, M.T.S.H., 2019. Concept of Valid Contract </w:t>
      </w:r>
    </w:p>
    <w:p>
      <w:pPr>
        <w:pStyle w:val="style0"/>
        <w:spacing w:lineRule="auto" w:line="480"/>
        <w:ind w:firstLine="720"/>
        <w:rPr>
          <w:rFonts w:ascii="Arial" w:cs="Arial" w:hAnsi="Arial"/>
          <w:color w:val="222222"/>
          <w:sz w:val="20"/>
          <w:szCs w:val="20"/>
          <w:shd w:val="clear" w:color="auto" w:fill="ffffff"/>
        </w:rPr>
      </w:pPr>
      <w:r>
        <w:rPr>
          <w:rFonts w:ascii="Arial" w:cs="Arial" w:hAnsi="Arial"/>
          <w:color w:val="222222"/>
          <w:sz w:val="20"/>
          <w:szCs w:val="20"/>
          <w:shd w:val="clear" w:color="auto" w:fill="ffffff"/>
        </w:rPr>
        <w:t>Declaration of Waqf Property in Islamic Law. </w:t>
      </w:r>
      <w:r>
        <w:rPr>
          <w:rFonts w:ascii="Arial" w:cs="Arial" w:hAnsi="Arial"/>
          <w:i/>
          <w:iCs/>
          <w:color w:val="222222"/>
          <w:sz w:val="20"/>
          <w:szCs w:val="20"/>
          <w:shd w:val="clear" w:color="auto" w:fill="ffffff"/>
        </w:rPr>
        <w:t>Journal of Fatwa Management and Research</w:t>
      </w:r>
      <w:r>
        <w:rPr>
          <w:rFonts w:ascii="Arial" w:cs="Arial" w:hAnsi="Arial"/>
          <w:color w:val="222222"/>
          <w:sz w:val="20"/>
          <w:szCs w:val="20"/>
          <w:shd w:val="clear" w:color="auto" w:fill="ffffff"/>
        </w:rPr>
        <w:t>.</w:t>
      </w:r>
    </w:p>
    <w:p>
      <w:pPr>
        <w:pStyle w:val="style0"/>
        <w:spacing w:lineRule="auto" w:line="480"/>
        <w:rPr>
          <w:rFonts w:ascii="Arial" w:cs="Arial" w:hAnsi="Arial"/>
          <w:color w:val="222222"/>
          <w:sz w:val="20"/>
          <w:szCs w:val="20"/>
          <w:shd w:val="clear" w:color="auto" w:fill="ffffff"/>
        </w:rPr>
      </w:pPr>
      <w:r>
        <w:rPr>
          <w:rFonts w:ascii="Arial" w:cs="Arial" w:hAnsi="Arial"/>
          <w:color w:val="222222"/>
          <w:sz w:val="20"/>
          <w:szCs w:val="20"/>
          <w:shd w:val="clear" w:color="auto" w:fill="ffffff"/>
        </w:rPr>
        <w:t xml:space="preserve">Knapp, C.L., Crystal, N.M. and Prince, H.G., 2019. Problems in Contract Law: cases and materials. </w:t>
      </w:r>
    </w:p>
    <w:p>
      <w:pPr>
        <w:pStyle w:val="style0"/>
        <w:spacing w:lineRule="auto" w:line="480"/>
        <w:ind w:firstLine="720"/>
        <w:rPr>
          <w:rFonts w:ascii="Arial" w:cs="Arial" w:hAnsi="Arial"/>
          <w:color w:val="222222"/>
          <w:sz w:val="20"/>
          <w:szCs w:val="20"/>
          <w:shd w:val="clear" w:color="auto" w:fill="ffffff"/>
        </w:rPr>
      </w:pPr>
      <w:r>
        <w:rPr>
          <w:rFonts w:ascii="Arial" w:cs="Arial" w:hAnsi="Arial"/>
          <w:color w:val="222222"/>
          <w:sz w:val="20"/>
          <w:szCs w:val="20"/>
          <w:shd w:val="clear" w:color="auto" w:fill="ffffff"/>
        </w:rPr>
        <w:t>Aspen Publishers.</w:t>
      </w:r>
    </w:p>
    <w:p>
      <w:pPr>
        <w:pStyle w:val="style0"/>
        <w:spacing w:lineRule="auto" w:line="480"/>
        <w:rPr>
          <w:rFonts w:ascii="Arial" w:cs="Arial" w:hAnsi="Arial"/>
          <w:color w:val="222222"/>
          <w:sz w:val="20"/>
          <w:szCs w:val="20"/>
          <w:shd w:val="clear" w:color="auto" w:fill="ffffff"/>
        </w:rPr>
      </w:pPr>
      <w:r>
        <w:rPr>
          <w:rFonts w:ascii="Arial" w:cs="Arial" w:hAnsi="Arial"/>
          <w:color w:val="222222"/>
          <w:sz w:val="20"/>
          <w:szCs w:val="20"/>
          <w:shd w:val="clear" w:color="auto" w:fill="ffffff"/>
        </w:rPr>
        <w:t xml:space="preserve">Lumineau, F. and Malhotra, D., 2011. Shadow of the contract: How Contract Structure Shapes Interfirm </w:t>
      </w:r>
    </w:p>
    <w:p>
      <w:pPr>
        <w:pStyle w:val="style0"/>
        <w:spacing w:lineRule="auto" w:line="480"/>
        <w:ind w:firstLine="720"/>
        <w:rPr>
          <w:rFonts w:ascii="Arial" w:cs="Arial" w:hAnsi="Arial"/>
          <w:color w:val="222222"/>
          <w:sz w:val="20"/>
          <w:szCs w:val="20"/>
          <w:shd w:val="clear" w:color="auto" w:fill="ffffff"/>
        </w:rPr>
      </w:pPr>
      <w:r>
        <w:rPr>
          <w:rFonts w:ascii="Arial" w:cs="Arial" w:hAnsi="Arial"/>
          <w:color w:val="222222"/>
          <w:sz w:val="20"/>
          <w:szCs w:val="20"/>
          <w:shd w:val="clear" w:color="auto" w:fill="ffffff"/>
        </w:rPr>
        <w:t>Dispute Resolution. </w:t>
      </w:r>
      <w:r>
        <w:rPr>
          <w:rFonts w:ascii="Arial" w:cs="Arial" w:hAnsi="Arial"/>
          <w:i/>
          <w:iCs/>
          <w:color w:val="222222"/>
          <w:sz w:val="20"/>
          <w:szCs w:val="20"/>
          <w:shd w:val="clear" w:color="auto" w:fill="ffffff"/>
        </w:rPr>
        <w:t>Strategic Management Journal</w:t>
      </w:r>
      <w:r>
        <w:rPr>
          <w:rFonts w:ascii="Arial" w:cs="Arial" w:hAnsi="Arial"/>
          <w:color w:val="222222"/>
          <w:sz w:val="20"/>
          <w:szCs w:val="20"/>
          <w:shd w:val="clear" w:color="auto" w:fill="ffffff"/>
        </w:rPr>
        <w:t>, </w:t>
      </w:r>
      <w:r>
        <w:rPr>
          <w:rFonts w:ascii="Arial" w:cs="Arial" w:hAnsi="Arial"/>
          <w:i/>
          <w:iCs/>
          <w:color w:val="222222"/>
          <w:sz w:val="20"/>
          <w:szCs w:val="20"/>
          <w:shd w:val="clear" w:color="auto" w:fill="ffffff"/>
        </w:rPr>
        <w:t>32</w:t>
      </w:r>
      <w:r>
        <w:rPr>
          <w:rFonts w:ascii="Arial" w:cs="Arial" w:hAnsi="Arial"/>
          <w:color w:val="222222"/>
          <w:sz w:val="20"/>
          <w:szCs w:val="20"/>
          <w:shd w:val="clear" w:color="auto" w:fill="ffffff"/>
        </w:rPr>
        <w:t>(5), pp.532-555.</w:t>
      </w:r>
    </w:p>
    <w:p>
      <w:pPr>
        <w:pStyle w:val="style0"/>
        <w:spacing w:lineRule="auto" w:line="480"/>
        <w:rPr>
          <w:rFonts w:ascii="Arial" w:cs="Arial" w:hAnsi="Arial"/>
          <w:color w:val="222222"/>
          <w:sz w:val="20"/>
          <w:szCs w:val="20"/>
          <w:shd w:val="clear" w:color="auto" w:fill="ffffff"/>
        </w:rPr>
      </w:pPr>
      <w:r>
        <w:rPr>
          <w:rFonts w:ascii="Arial" w:cs="Arial" w:hAnsi="Arial"/>
          <w:color w:val="222222"/>
          <w:sz w:val="20"/>
          <w:szCs w:val="20"/>
          <w:shd w:val="clear" w:color="auto" w:fill="ffffff"/>
        </w:rPr>
        <w:t xml:space="preserve">Meehan, D., 2012. Check Please: The Allowance of an Unsecured Creditor's Attorney's Post-Petition </w:t>
      </w:r>
    </w:p>
    <w:p>
      <w:pPr>
        <w:pStyle w:val="style0"/>
        <w:spacing w:lineRule="auto" w:line="480"/>
        <w:ind w:left="720"/>
        <w:rPr>
          <w:rFonts w:ascii="Arial" w:cs="Arial" w:hAnsi="Arial"/>
          <w:color w:val="222222"/>
          <w:sz w:val="20"/>
          <w:szCs w:val="20"/>
          <w:shd w:val="clear" w:color="auto" w:fill="ffffff"/>
        </w:rPr>
      </w:pPr>
      <w:r>
        <w:rPr>
          <w:rFonts w:ascii="Arial" w:cs="Arial" w:hAnsi="Arial"/>
          <w:color w:val="222222"/>
          <w:sz w:val="20"/>
          <w:szCs w:val="20"/>
          <w:shd w:val="clear" w:color="auto" w:fill="ffffff"/>
        </w:rPr>
        <w:t>Fees in Bankruptcy Based on a Valid Pre-Petition Contract with the Debtor Part I. </w:t>
      </w:r>
      <w:r>
        <w:rPr>
          <w:rFonts w:ascii="Arial" w:cs="Arial" w:hAnsi="Arial"/>
          <w:i/>
          <w:iCs/>
          <w:color w:val="222222"/>
          <w:sz w:val="20"/>
          <w:szCs w:val="20"/>
          <w:shd w:val="clear" w:color="auto" w:fill="ffffff"/>
        </w:rPr>
        <w:t>Pratt's J. Bankr. L.</w:t>
      </w:r>
      <w:r>
        <w:rPr>
          <w:rFonts w:ascii="Arial" w:cs="Arial" w:hAnsi="Arial"/>
          <w:color w:val="222222"/>
          <w:sz w:val="20"/>
          <w:szCs w:val="20"/>
          <w:shd w:val="clear" w:color="auto" w:fill="ffffff"/>
        </w:rPr>
        <w:t>, </w:t>
      </w:r>
      <w:r>
        <w:rPr>
          <w:rFonts w:ascii="Arial" w:cs="Arial" w:hAnsi="Arial"/>
          <w:i/>
          <w:iCs/>
          <w:color w:val="222222"/>
          <w:sz w:val="20"/>
          <w:szCs w:val="20"/>
          <w:shd w:val="clear" w:color="auto" w:fill="ffffff"/>
        </w:rPr>
        <w:t>8</w:t>
      </w:r>
      <w:r>
        <w:rPr>
          <w:rFonts w:ascii="Arial" w:cs="Arial" w:hAnsi="Arial"/>
          <w:color w:val="222222"/>
          <w:sz w:val="20"/>
          <w:szCs w:val="20"/>
          <w:shd w:val="clear" w:color="auto" w:fill="ffffff"/>
        </w:rPr>
        <w:t>, p.451.</w:t>
      </w:r>
    </w:p>
    <w:p>
      <w:pPr>
        <w:pStyle w:val="style0"/>
        <w:spacing w:lineRule="auto" w:line="480"/>
        <w:rPr>
          <w:rFonts w:ascii="Arial" w:cs="Arial" w:hAnsi="Arial"/>
          <w:color w:val="222222"/>
          <w:sz w:val="20"/>
          <w:szCs w:val="20"/>
          <w:shd w:val="clear" w:color="auto" w:fill="ffffff"/>
        </w:rPr>
      </w:pPr>
      <w:r>
        <w:rPr>
          <w:rFonts w:ascii="Arial" w:cs="Arial" w:hAnsi="Arial"/>
          <w:color w:val="222222"/>
          <w:sz w:val="20"/>
          <w:szCs w:val="20"/>
          <w:shd w:val="clear" w:color="auto" w:fill="ffffff"/>
        </w:rPr>
        <w:t xml:space="preserve">Ontiveros, M.L., 2018. Liquidated Damages in Guest Worker Contracts: Involuntary Servitude, Debt </w:t>
      </w:r>
    </w:p>
    <w:p>
      <w:pPr>
        <w:pStyle w:val="style0"/>
        <w:spacing w:lineRule="auto" w:line="480"/>
        <w:ind w:firstLine="720"/>
        <w:rPr>
          <w:rFonts w:ascii="Arial" w:cs="Arial" w:hAnsi="Arial"/>
          <w:color w:val="222222"/>
          <w:sz w:val="20"/>
          <w:szCs w:val="20"/>
          <w:shd w:val="clear" w:color="auto" w:fill="ffffff"/>
        </w:rPr>
      </w:pPr>
      <w:r>
        <w:rPr>
          <w:rFonts w:ascii="Arial" w:cs="Arial" w:hAnsi="Arial"/>
          <w:color w:val="222222"/>
          <w:sz w:val="20"/>
          <w:szCs w:val="20"/>
          <w:shd w:val="clear" w:color="auto" w:fill="ffffff"/>
        </w:rPr>
        <w:t>Peonage or Valid Contract Clause. </w:t>
      </w:r>
      <w:r>
        <w:rPr>
          <w:rFonts w:ascii="Arial" w:cs="Arial" w:hAnsi="Arial"/>
          <w:i/>
          <w:iCs/>
          <w:color w:val="222222"/>
          <w:sz w:val="20"/>
          <w:szCs w:val="20"/>
          <w:shd w:val="clear" w:color="auto" w:fill="ffffff"/>
        </w:rPr>
        <w:t>Nev. LJ</w:t>
      </w:r>
      <w:r>
        <w:rPr>
          <w:rFonts w:ascii="Arial" w:cs="Arial" w:hAnsi="Arial"/>
          <w:color w:val="222222"/>
          <w:sz w:val="20"/>
          <w:szCs w:val="20"/>
          <w:shd w:val="clear" w:color="auto" w:fill="ffffff"/>
        </w:rPr>
        <w:t>, </w:t>
      </w:r>
      <w:r>
        <w:rPr>
          <w:rFonts w:ascii="Arial" w:cs="Arial" w:hAnsi="Arial"/>
          <w:i/>
          <w:iCs/>
          <w:color w:val="222222"/>
          <w:sz w:val="20"/>
          <w:szCs w:val="20"/>
          <w:shd w:val="clear" w:color="auto" w:fill="ffffff"/>
        </w:rPr>
        <w:t>19</w:t>
      </w:r>
      <w:r>
        <w:rPr>
          <w:rFonts w:ascii="Arial" w:cs="Arial" w:hAnsi="Arial"/>
          <w:color w:val="222222"/>
          <w:sz w:val="20"/>
          <w:szCs w:val="20"/>
          <w:shd w:val="clear" w:color="auto" w:fill="ffffff"/>
        </w:rPr>
        <w:t xml:space="preserve">, p.413. </w:t>
      </w:r>
    </w:p>
    <w:p>
      <w:pPr>
        <w:pStyle w:val="style0"/>
        <w:spacing w:lineRule="auto" w:line="480"/>
        <w:rPr>
          <w:rFonts w:ascii="Arial" w:cs="Arial" w:hAnsi="Arial"/>
          <w:color w:val="222222"/>
          <w:sz w:val="20"/>
          <w:szCs w:val="20"/>
          <w:shd w:val="clear" w:color="auto" w:fill="ffffff"/>
        </w:rPr>
      </w:pPr>
      <w:r>
        <w:rPr>
          <w:rFonts w:ascii="Arial" w:cs="Arial" w:hAnsi="Arial"/>
          <w:color w:val="222222"/>
          <w:sz w:val="20"/>
          <w:szCs w:val="20"/>
          <w:shd w:val="clear" w:color="auto" w:fill="ffffff"/>
        </w:rPr>
        <w:t xml:space="preserve">Posner, E.A., 1995. Contract law in the welfare state: A defense of the unconscionability doctrine, usury </w:t>
      </w:r>
    </w:p>
    <w:p>
      <w:pPr>
        <w:pStyle w:val="style0"/>
        <w:spacing w:lineRule="auto" w:line="480"/>
        <w:ind w:left="720"/>
        <w:rPr>
          <w:rFonts w:ascii="Arial" w:cs="Arial" w:hAnsi="Arial"/>
          <w:color w:val="222222"/>
          <w:sz w:val="20"/>
          <w:szCs w:val="20"/>
          <w:shd w:val="clear" w:color="auto" w:fill="ffffff"/>
        </w:rPr>
      </w:pPr>
      <w:r>
        <w:rPr>
          <w:rFonts w:ascii="Arial" w:cs="Arial" w:hAnsi="Arial"/>
          <w:color w:val="222222"/>
          <w:sz w:val="20"/>
          <w:szCs w:val="20"/>
          <w:shd w:val="clear" w:color="auto" w:fill="ffffff"/>
        </w:rPr>
        <w:t>Rights: Legal pluralism in cases of collision between two sets of laws. </w:t>
      </w:r>
      <w:r>
        <w:rPr>
          <w:rFonts w:ascii="Arial" w:cs="Arial" w:hAnsi="Arial"/>
          <w:i/>
          <w:iCs/>
          <w:color w:val="222222"/>
          <w:sz w:val="20"/>
          <w:szCs w:val="20"/>
          <w:shd w:val="clear" w:color="auto" w:fill="ffffff"/>
        </w:rPr>
        <w:t>Vand. J. Transnat'l L.</w:t>
      </w:r>
      <w:r>
        <w:rPr>
          <w:rFonts w:ascii="Arial" w:cs="Arial" w:hAnsi="Arial"/>
          <w:color w:val="222222"/>
          <w:sz w:val="20"/>
          <w:szCs w:val="20"/>
          <w:shd w:val="clear" w:color="auto" w:fill="ffffff"/>
        </w:rPr>
        <w:t>, </w:t>
      </w:r>
      <w:r>
        <w:rPr>
          <w:rFonts w:ascii="Arial" w:cs="Arial" w:hAnsi="Arial"/>
          <w:i/>
          <w:iCs/>
          <w:color w:val="222222"/>
          <w:sz w:val="20"/>
          <w:szCs w:val="20"/>
          <w:shd w:val="clear" w:color="auto" w:fill="ffffff"/>
        </w:rPr>
        <w:t>46</w:t>
      </w:r>
      <w:r>
        <w:rPr>
          <w:rFonts w:ascii="Arial" w:cs="Arial" w:hAnsi="Arial"/>
          <w:color w:val="222222"/>
          <w:sz w:val="20"/>
          <w:szCs w:val="20"/>
          <w:shd w:val="clear" w:color="auto" w:fill="ffffff"/>
        </w:rPr>
        <w:t>, p.823.</w:t>
      </w:r>
    </w:p>
    <w:p>
      <w:pPr>
        <w:pStyle w:val="style0"/>
        <w:spacing w:lineRule="auto" w:line="480"/>
        <w:rPr>
          <w:rFonts w:ascii="Arial" w:cs="Arial" w:hAnsi="Arial"/>
          <w:color w:val="222222"/>
          <w:sz w:val="20"/>
          <w:szCs w:val="20"/>
          <w:shd w:val="clear" w:color="auto" w:fill="ffffff"/>
        </w:rPr>
      </w:pPr>
      <w:r>
        <w:rPr>
          <w:rFonts w:ascii="Arial" w:cs="Arial" w:hAnsi="Arial"/>
          <w:color w:val="222222"/>
          <w:sz w:val="20"/>
          <w:szCs w:val="20"/>
          <w:shd w:val="clear" w:color="auto" w:fill="ffffff"/>
        </w:rPr>
        <w:t xml:space="preserve">Shmueli, B., 2013. Civil actions for acts that are valid according to religious family law but harm women's </w:t>
      </w:r>
    </w:p>
    <w:p>
      <w:pPr>
        <w:pStyle w:val="style0"/>
        <w:spacing w:lineRule="auto" w:line="480"/>
        <w:rPr>
          <w:rFonts w:ascii="Arial" w:cs="Arial" w:hAnsi="Arial"/>
          <w:color w:val="222222"/>
          <w:sz w:val="20"/>
          <w:szCs w:val="20"/>
          <w:shd w:val="clear" w:color="auto" w:fill="ffffff"/>
        </w:rPr>
      </w:pPr>
      <w:r>
        <w:rPr>
          <w:rFonts w:ascii="Arial" w:cs="Arial" w:hAnsi="Arial"/>
          <w:color w:val="222222"/>
          <w:sz w:val="20"/>
          <w:szCs w:val="20"/>
          <w:shd w:val="clear" w:color="auto" w:fill="ffffff"/>
        </w:rPr>
        <w:t xml:space="preserve">Yonjan, Y.K., 2019. An Analysis on Major Elements of a Valid Contract under Muluki Civil Code, 2074. </w:t>
      </w:r>
    </w:p>
    <w:p>
      <w:pPr>
        <w:pStyle w:val="style0"/>
        <w:spacing w:lineRule="auto" w:line="480"/>
        <w:ind w:firstLine="720"/>
        <w:rPr>
          <w:rFonts w:ascii="Arial" w:cs="Arial" w:hAnsi="Arial"/>
          <w:color w:val="222222"/>
          <w:sz w:val="20"/>
          <w:szCs w:val="20"/>
          <w:shd w:val="clear" w:color="auto" w:fill="ffffff"/>
        </w:rPr>
      </w:pPr>
      <w:r>
        <w:rPr>
          <w:rFonts w:ascii="Arial" w:cs="Arial" w:hAnsi="Arial"/>
          <w:color w:val="222222"/>
          <w:sz w:val="20"/>
          <w:szCs w:val="20"/>
          <w:shd w:val="clear" w:color="auto" w:fill="ffffff"/>
        </w:rPr>
        <w:t>Available at SSRN 3437233.</w:t>
      </w:r>
    </w:p>
    <w:p>
      <w:pPr>
        <w:pStyle w:val="style0"/>
        <w:spacing w:lineRule="auto" w:line="480"/>
        <w:rPr>
          <w:rFonts w:ascii="Arial" w:cs="Arial" w:hAnsi="Arial"/>
          <w:color w:val="222222"/>
          <w:sz w:val="20"/>
          <w:szCs w:val="20"/>
          <w:shd w:val="clear" w:color="auto" w:fill="ffffff"/>
        </w:rPr>
      </w:pPr>
      <w:r>
        <w:rPr>
          <w:rFonts w:ascii="Arial" w:cs="Arial" w:hAnsi="Arial"/>
          <w:color w:val="222222"/>
          <w:sz w:val="20"/>
          <w:szCs w:val="20"/>
          <w:shd w:val="clear" w:color="auto" w:fill="ffffff"/>
        </w:rPr>
        <w:t>Yusof, H., 2011. Quality in Qualitative Studies: The Case of Validity, Reliability and</w:t>
      </w:r>
    </w:p>
    <w:p>
      <w:pPr>
        <w:pStyle w:val="style0"/>
        <w:spacing w:lineRule="auto" w:line="480"/>
        <w:ind w:firstLine="720"/>
        <w:rPr>
          <w:rFonts w:cs="Times New Roman"/>
          <w:b/>
          <w:color w:val="222222"/>
          <w:szCs w:val="24"/>
          <w:shd w:val="clear" w:color="auto" w:fill="ffffff"/>
        </w:rPr>
      </w:pPr>
      <w:r>
        <w:rPr>
          <w:rFonts w:ascii="Arial" w:cs="Arial" w:hAnsi="Arial"/>
          <w:color w:val="222222"/>
          <w:sz w:val="20"/>
          <w:szCs w:val="20"/>
          <w:shd w:val="clear" w:color="auto" w:fill="ffffff"/>
        </w:rPr>
        <w:t>Generalizability. </w:t>
      </w:r>
      <w:r>
        <w:rPr>
          <w:rFonts w:ascii="Arial" w:cs="Arial" w:hAnsi="Arial"/>
          <w:i/>
          <w:iCs/>
          <w:color w:val="222222"/>
          <w:sz w:val="20"/>
          <w:szCs w:val="20"/>
          <w:shd w:val="clear" w:color="auto" w:fill="ffffff"/>
        </w:rPr>
        <w:t>Issues in Social &amp; Environmental Accounting</w:t>
      </w:r>
      <w:r>
        <w:rPr>
          <w:rFonts w:ascii="Arial" w:cs="Arial" w:hAnsi="Arial"/>
          <w:color w:val="222222"/>
          <w:sz w:val="20"/>
          <w:szCs w:val="20"/>
          <w:shd w:val="clear" w:color="auto" w:fill="ffffff"/>
        </w:rPr>
        <w:t>, </w:t>
      </w:r>
      <w:r>
        <w:rPr>
          <w:rFonts w:ascii="Arial" w:cs="Arial" w:hAnsi="Arial"/>
          <w:i/>
          <w:iCs/>
          <w:color w:val="222222"/>
          <w:sz w:val="20"/>
          <w:szCs w:val="20"/>
          <w:shd w:val="clear" w:color="auto" w:fill="ffffff"/>
        </w:rPr>
        <w:t>5</w:t>
      </w:r>
      <w:r>
        <w:rPr>
          <w:rFonts w:ascii="Arial" w:cs="Arial" w:hAnsi="Arial"/>
          <w:color w:val="222222"/>
          <w:sz w:val="20"/>
          <w:szCs w:val="20"/>
          <w:shd w:val="clear" w:color="auto" w:fill="ffffff"/>
        </w:rPr>
        <w:t>.</w:t>
      </w:r>
    </w:p>
    <w:p>
      <w:pPr>
        <w:pStyle w:val="style0"/>
        <w:spacing w:lineRule="auto" w:line="480"/>
        <w:rPr>
          <w:rFonts w:ascii="Times New Roman" w:cs="Times New Roman" w:hAnsi="Times New Roman"/>
          <w:sz w:val="24"/>
          <w:szCs w:val="24"/>
          <w:lang w:val="en-GB"/>
        </w:rPr>
      </w:pPr>
    </w:p>
    <w:p>
      <w:pPr>
        <w:pStyle w:val="style0"/>
        <w:spacing w:lineRule="auto" w:line="480"/>
        <w:rPr>
          <w:rFonts w:ascii="Times New Roman" w:cs="Times New Roman" w:hAnsi="Times New Roman"/>
          <w:sz w:val="24"/>
          <w:szCs w:val="24"/>
          <w:lang w:val="en-GB"/>
        </w:rPr>
      </w:pPr>
    </w:p>
    <w:sectPr>
      <w:headerReference w:type="default" r:id="rId2"/>
      <w:footerReference w:type="default" r:id="rId3"/>
      <w:pgSz w:w="12240" w:h="15840" w:orient="portrait"/>
      <w:pgMar w:top="1440" w:right="1440" w:bottom="1440" w:left="144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4002EFF" w:usb1="C000247B" w:usb2="00000009" w:usb3="00000000" w:csb0="000001FF" w:csb1="00000000"/>
  </w:font>
  <w:font w:name="SimSun">
    <w:altName w:val="宋体"/>
    <w:panose1 w:val="02010600030001010101"/>
    <w:charset w:val="86"/>
    <w:family w:val="auto"/>
    <w:pitch w:val="variable"/>
    <w:sig w:usb0="00000003" w:usb1="288F0000" w:usb2="00000016" w:usb3="00000000" w:csb0="00040001" w:csb1="00000000"/>
  </w:font>
  <w:font w:name="Times New Roman">
    <w:altName w:val="Times New Roman"/>
    <w:panose1 w:val="02020603050004020304"/>
    <w:charset w:val="00"/>
    <w:family w:val="roman"/>
    <w:pitch w:val="variable"/>
    <w:sig w:usb0="E0002EFF" w:usb1="C000785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jc w:val="right"/>
      <w:rPr/>
    </w:pPr>
    <w:r>
      <w:rPr/>
    </w:r>
    <w:r>
      <w:instrText/>
    </w:r>
    <w:r>
      <w:rPr/>
    </w:r>
    <w:r>
      <w:rPr>
        <w:noProof/>
      </w:rPr>
      <w:t>11</w:t>
    </w:r>
    <w:r>
      <w:rPr/>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0"/>
      <w:jc w:val="cent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SimSun"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29">
    <w:name w:val="footnote text"/>
    <w:basedOn w:val="style0"/>
    <w:next w:val="style29"/>
    <w:link w:val="style4097"/>
    <w:uiPriority w:val="99"/>
    <w:pPr>
      <w:spacing w:after="0" w:lineRule="auto" w:line="240"/>
    </w:pPr>
    <w:rPr>
      <w:sz w:val="20"/>
      <w:szCs w:val="20"/>
    </w:rPr>
  </w:style>
  <w:style w:type="character" w:customStyle="1" w:styleId="style4097">
    <w:name w:val="Footnote Text Char"/>
    <w:basedOn w:val="style65"/>
    <w:next w:val="style4097"/>
    <w:link w:val="style29"/>
    <w:uiPriority w:val="99"/>
    <w:rPr>
      <w:sz w:val="20"/>
      <w:szCs w:val="20"/>
    </w:rPr>
  </w:style>
  <w:style w:type="character" w:styleId="style38">
    <w:name w:val="footnote reference"/>
    <w:basedOn w:val="style65"/>
    <w:next w:val="style38"/>
    <w:uiPriority w:val="99"/>
    <w:rPr>
      <w:vertAlign w:val="superscript"/>
    </w:rPr>
  </w:style>
  <w:style w:type="character" w:styleId="style85">
    <w:name w:val="Hyperlink"/>
    <w:basedOn w:val="style65"/>
    <w:next w:val="style85"/>
    <w:uiPriority w:val="99"/>
    <w:rPr>
      <w:color w:val="0563c1"/>
      <w:u w:val="single"/>
    </w:rPr>
  </w:style>
  <w:style w:type="paragraph" w:styleId="style31">
    <w:name w:val="header"/>
    <w:basedOn w:val="style0"/>
    <w:next w:val="style31"/>
    <w:link w:val="style4098"/>
    <w:uiPriority w:val="99"/>
    <w:pPr>
      <w:tabs>
        <w:tab w:val="center" w:leader="none" w:pos="4320"/>
        <w:tab w:val="right" w:leader="none" w:pos="8640"/>
      </w:tabs>
      <w:spacing w:after="0" w:lineRule="auto" w:line="240"/>
    </w:pPr>
    <w:rPr/>
  </w:style>
  <w:style w:type="character" w:customStyle="1" w:styleId="style4098">
    <w:name w:val="Header Char_5302366c-b73a-4a75-804d-4028ad6e174a"/>
    <w:basedOn w:val="style65"/>
    <w:next w:val="style4098"/>
    <w:link w:val="style31"/>
    <w:uiPriority w:val="99"/>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9DBFFC03-EDCF-4395-957F-BC759E959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11</Pages>
  <Words>2770</Words>
  <Characters>13175</Characters>
  <DocSecurity>0</DocSecurity>
  <Paragraphs>77</Paragraphs>
  <ScaleCrop>false</ScaleCrop>
  <LinksUpToDate>false</LinksUpToDate>
  <CharactersWithSpaces>15931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2021-02-26T11:36:00Z</dcterms:created>
  <dcterms:modified xsi:type="dcterms:W3CDTF">2021-02-27T13:31:03Z</dcterms:modified>
</cp:coreProperties>
</file>

<file path=docProps/custom.xml><?xml version="1.0" encoding="utf-8"?>
<Properties xmlns="http://schemas.openxmlformats.org/officeDocument/2006/custom-properties" xmlns:vt="http://schemas.openxmlformats.org/officeDocument/2006/docPropsVTypes"/>
</file>