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1160785"/>
        <w:docPartObj>
          <w:docPartGallery w:val="Cover Pages"/>
          <w:docPartUnique/>
        </w:docPartObj>
      </w:sdtPr>
      <w:sdtEndPr/>
      <w:sdtContent>
        <w:p w14:paraId="4AA3264B" w14:textId="0E5670C1" w:rsidR="00FD525A" w:rsidRDefault="00FD525A">
          <w:r>
            <w:rPr>
              <w:noProof/>
            </w:rPr>
            <mc:AlternateContent>
              <mc:Choice Requires="wps">
                <w:drawing>
                  <wp:anchor distT="0" distB="0" distL="114300" distR="114300" simplePos="0" relativeHeight="251659264" behindDoc="1" locked="0" layoutInCell="1" allowOverlap="1" wp14:anchorId="49628199" wp14:editId="227FBA9E">
                    <wp:simplePos x="0" y="0"/>
                    <wp:positionH relativeFrom="page">
                      <wp:posOffset>222885</wp:posOffset>
                    </wp:positionH>
                    <wp:positionV relativeFrom="page">
                      <wp:posOffset>231140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2C8B4CF" id="Rectangle 464" o:spid="_x0000_s1026" alt="Title: Color background" style="position:absolute;margin-left:17.55pt;margin-top:18.2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ERxKlDhAAAAEAEAAA8AAAAAAAAAAAAAAAAAeAQAAGRycy9kb3ducmV2&#13;&#10;LnhtbFBLBQYAAAAABAAEAPMAAACGBQAAAAA=&#13;&#10;" fillcolor="#e7e6e6 [3214]" stroked="f">
                    <w10:wrap anchorx="page" anchory="page"/>
                  </v:rect>
                </w:pict>
              </mc:Fallback>
            </mc:AlternateContent>
          </w:r>
          <w:r>
            <w:rPr>
              <w:noProof/>
            </w:rPr>
            <mc:AlternateContent>
              <mc:Choice Requires="wpg">
                <w:drawing>
                  <wp:anchor distT="0" distB="0" distL="114300" distR="114300" simplePos="0" relativeHeight="251661312" behindDoc="0" locked="0" layoutInCell="1" allowOverlap="1" wp14:anchorId="7000E17C" wp14:editId="6CD754D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D51F19F" w14:textId="77CAF4A0" w:rsidR="00FD525A" w:rsidRDefault="00FD525A">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4BAF6310" w14:textId="5E12FFCC" w:rsidR="00FD525A" w:rsidRDefault="001477C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FD525A">
                                        <w:rPr>
                                          <w:color w:val="44546A" w:themeColor="text2"/>
                                          <w:spacing w:val="10"/>
                                          <w:sz w:val="28"/>
                                          <w:szCs w:val="28"/>
                                        </w:rPr>
                                        <w:t>(2004506)</w:t>
                                      </w:r>
                                    </w:sdtContent>
                                  </w:sdt>
                                  <w:r w:rsidR="00FD525A">
                                    <w:rPr>
                                      <w:color w:val="44546A" w:themeColor="text2"/>
                                      <w:spacing w:val="10"/>
                                      <w:sz w:val="28"/>
                                      <w:szCs w:val="28"/>
                                    </w:rPr>
                                    <w:t xml:space="preserve"> student ID</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00E17C"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D51F19F" w14:textId="77CAF4A0" w:rsidR="00FD525A" w:rsidRDefault="00FD525A">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4BAF6310" w14:textId="5E12FFCC" w:rsidR="00FD525A" w:rsidRDefault="00FD525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(2004506)</w:t>
                                </w:r>
                              </w:sdtContent>
                            </w:sdt>
                            <w:r>
                              <w:rPr>
                                <w:color w:val="44546A" w:themeColor="text2"/>
                                <w:spacing w:val="10"/>
                                <w:sz w:val="28"/>
                                <w:szCs w:val="28"/>
                              </w:rPr>
                              <w:t xml:space="preserve"> student ID</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BDFCE8C" wp14:editId="2530543D">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1D7E9D" w14:textId="7E095EA5" w:rsidR="00FD525A" w:rsidRDefault="00FD525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E8F47FF" w14:textId="53EB90F1" w:rsidR="00FD525A" w:rsidRDefault="00FD525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Criminal Law</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DFCE8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81D7E9D" w14:textId="7E095EA5" w:rsidR="00FD525A" w:rsidRDefault="00FD525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8F47FF" w14:textId="53EB90F1" w:rsidR="00FD525A" w:rsidRDefault="00FD525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Criminal Law</w:t>
                                </w:r>
                              </w:p>
                            </w:sdtContent>
                          </w:sdt>
                          <w:bookmarkEnd w:id="1" w:displacedByCustomXml="prev"/>
                        </w:txbxContent>
                      </v:textbox>
                    </v:shape>
                    <w10:wrap anchorx="page" anchory="page"/>
                  </v:group>
                </w:pict>
              </mc:Fallback>
            </mc:AlternateContent>
          </w:r>
        </w:p>
        <w:p w14:paraId="2DCFBE45" w14:textId="5F28FEA9" w:rsidR="00FD525A" w:rsidRDefault="00FD525A">
          <w:r>
            <w:br w:type="page"/>
          </w:r>
        </w:p>
      </w:sdtContent>
    </w:sdt>
    <w:p w14:paraId="7CCF5485" w14:textId="38EA73B8" w:rsidR="00BC61C0" w:rsidRDefault="00BC61C0"/>
    <w:p w14:paraId="6F27E505" w14:textId="5C8A8AE4" w:rsidR="00BC61C0" w:rsidRPr="00201DE8" w:rsidRDefault="00BC61C0" w:rsidP="00BC61C0">
      <w:pPr>
        <w:ind w:left="720"/>
        <w:rPr>
          <w:b/>
          <w:sz w:val="28"/>
          <w:szCs w:val="28"/>
        </w:rPr>
      </w:pPr>
      <w:r>
        <w:t xml:space="preserve">Part 1 </w:t>
      </w:r>
      <w:r w:rsidRPr="00201DE8">
        <w:rPr>
          <w:b/>
          <w:sz w:val="28"/>
          <w:szCs w:val="28"/>
        </w:rPr>
        <w:t>Consider whether the defence of insanity is fit for purpose or needs reform.</w:t>
      </w:r>
    </w:p>
    <w:p w14:paraId="5D38F742" w14:textId="20D6719B" w:rsidR="00BC61C0" w:rsidRDefault="007122FB">
      <w:proofErr w:type="spellStart"/>
      <w:r>
        <w:t>M’Naghten</w:t>
      </w:r>
      <w:proofErr w:type="spellEnd"/>
      <w:r>
        <w:t xml:space="preserve"> rule was created in 1843 this was because he attempted to kill the Prime Minister. However, instead he killed the Prime minister secretory. At the time of the incident, he was suffering from delusions at the time of killings. This meant that the rule </w:t>
      </w:r>
      <w:proofErr w:type="spellStart"/>
      <w:r>
        <w:t>M’Naghten</w:t>
      </w:r>
      <w:proofErr w:type="spellEnd"/>
      <w:r>
        <w:t xml:space="preserve"> rules was formed which meant that determining whether a person could escape criminal liability. </w:t>
      </w:r>
      <w:r w:rsidR="00EB6CA7">
        <w:t xml:space="preserve">The Cambridge dictionary states that meaning of insanity is seriously mentally ill. This means that you are not able to understand the impact your actions can have. </w:t>
      </w:r>
    </w:p>
    <w:p w14:paraId="7EFBCDA3" w14:textId="6186D875" w:rsidR="007122FB" w:rsidRDefault="007122FB">
      <w:r>
        <w:t xml:space="preserve">According to the CPS in order to have a successful plea of insanity you must be diagnosed with medical issues. </w:t>
      </w:r>
      <w:r w:rsidR="00564E6F">
        <w:t xml:space="preserve">These include learning disability, learning difficulty, autism disorder, dementia, brain injury and mental disorder. Therefore, in order to have a successful plea it is crucial that Full code test has happened in order </w:t>
      </w:r>
      <w:r w:rsidR="001134E5">
        <w:t xml:space="preserve">to be in the fit state to be prosecuted. </w:t>
      </w:r>
    </w:p>
    <w:p w14:paraId="5534ABDC" w14:textId="58C5CD2B" w:rsidR="00CF7F9C" w:rsidRPr="00C86D06" w:rsidRDefault="001134E5" w:rsidP="00CF7F9C">
      <w:r>
        <w:t xml:space="preserve">This would mean does the person can participate in the criminal proceedings when being prosecuted. </w:t>
      </w:r>
      <w:r w:rsidR="00C86D06">
        <w:t xml:space="preserve">The CPS suggests that for a special verdict to be reached the tribunal must be satisfied by prosecution that defendant cannot be held accountable due to being insane at the time of the offence. Therefore, it is vital that evidence from two or more registered practitioner deem the defendant not fit. This is required by S.1 Criminal Procedure Act 1991. This would require the court to decide the best order these include a hospital order, a supervision order or an order for absolute discharge. The Law </w:t>
      </w:r>
      <w:r>
        <w:t>commission</w:t>
      </w:r>
      <w:r w:rsidR="00C86D06">
        <w:t xml:space="preserve"> suggest that </w:t>
      </w:r>
      <w:r>
        <w:t>it</w:t>
      </w:r>
      <w:r w:rsidR="00C86D06">
        <w:t xml:space="preserve"> is very rare </w:t>
      </w:r>
      <w:r>
        <w:t xml:space="preserve">to have a plea of insanity on average a year only 30 people. This just shows how crucial and hard it is to prove insanity. The fact how much medical evidence is required in criminal proceedings shows that all medical practitioners must have the same outlook and in coherence. </w:t>
      </w:r>
    </w:p>
    <w:p w14:paraId="2C3D892C" w14:textId="1B295119" w:rsidR="008D04EC" w:rsidRPr="00977E23" w:rsidRDefault="001134E5">
      <w:r>
        <w:t>Therefore, it is crucial having an understanding for the difference t</w:t>
      </w:r>
      <w:r w:rsidR="007122FB">
        <w:t>he CPS also suggests that the meaning of</w:t>
      </w:r>
      <w:r w:rsidR="008D04EC">
        <w:t xml:space="preserve"> automatism is losing total loss of control. </w:t>
      </w:r>
      <w:r>
        <w:t>In addition</w:t>
      </w:r>
      <w:r w:rsidR="008D04EC">
        <w:t xml:space="preserve">, the suspect acts completely involuntary. This means violence, medical or hypnotic factors can impact the suspect mind/body. Therefore, this would mean the suspect cannot be held accountable for </w:t>
      </w:r>
      <w:r w:rsidR="00B24D59">
        <w:t xml:space="preserve">any of </w:t>
      </w:r>
      <w:r w:rsidR="008D04EC">
        <w:t>the acts or omission as they had no control. However, there is a difference auto</w:t>
      </w:r>
      <w:r w:rsidR="00B24D59">
        <w:t xml:space="preserve">matism can be classed as insane. This is because there is evidence which would mean that the person would be acquitted and have the special verdict of not guilty by reason of insanity. This is because of the internal factors. Wheras, non-insane automatism is when there are external factors which would mean the person </w:t>
      </w:r>
      <w:r w:rsidR="00DA152D">
        <w:t>cannot</w:t>
      </w:r>
      <w:r w:rsidR="00B24D59">
        <w:t xml:space="preserve"> be held accountable for their actions as they are not </w:t>
      </w:r>
      <w:r w:rsidR="00DA152D">
        <w:t>conscious</w:t>
      </w:r>
      <w:r w:rsidR="00B24D59">
        <w:t>. This can happen if the defendant is taking medication which would impact t</w:t>
      </w:r>
      <w:r w:rsidR="00DA152D">
        <w:t>heir control. Questions</w:t>
      </w:r>
      <w:r w:rsidR="00B24D59">
        <w:t xml:space="preserve"> such as was the defendant aware and could have for seen the sign of its onset. </w:t>
      </w:r>
      <w:r w:rsidR="008D04EC">
        <w:t xml:space="preserve">This requires judges to consider was </w:t>
      </w:r>
      <w:r w:rsidR="00B24D59">
        <w:t>their</w:t>
      </w:r>
      <w:r w:rsidR="008D04EC">
        <w:t xml:space="preserve"> total loss of control or was the control partially impaired. This means</w:t>
      </w:r>
      <w:r w:rsidR="00DA152D">
        <w:t xml:space="preserve"> was their possibility that it could have been avoided. As seen in Case Law </w:t>
      </w:r>
      <w:r w:rsidR="00977E23">
        <w:t xml:space="preserve">R V Kemp hit his wife with a hammer. Due to the fact he had no previous history of violence or a motive there was no apparent reason. This meant he was charged with GBH under the Offences Against the Person Act 1861. The defendant argued that the attack was caused by a medical condition called arteriosclerosis. This is when the hardening of the arteries causing congestion of blood in his brain. This was used as defence of automatism. However, the Jury decided that the appropriate verdict was ruled as insanity. </w:t>
      </w:r>
    </w:p>
    <w:p w14:paraId="57BB12D3" w14:textId="5FCF62FF" w:rsidR="000D2181" w:rsidRDefault="000D2181"/>
    <w:p w14:paraId="07E88AE7" w14:textId="77777777" w:rsidR="003D4CEF" w:rsidRDefault="00FC01A6" w:rsidP="003D4CEF">
      <w:r>
        <w:lastRenderedPageBreak/>
        <w:t xml:space="preserve">The Law Commission suggests that the outdated terminology “disease of mind” is not appropriate. </w:t>
      </w:r>
      <w:r w:rsidR="004D360E">
        <w:t xml:space="preserve">This is because it is extremely outdated as the term was formed in 1843. Therefore, regarding society things have evolved and the meaning of certain words can be interoperated in many ways. In my opinion I believe ‘disease of the mind’ is </w:t>
      </w:r>
      <w:r w:rsidR="00FD405D">
        <w:t>too</w:t>
      </w:r>
      <w:r w:rsidR="004D360E">
        <w:t xml:space="preserve"> broad of a defin</w:t>
      </w:r>
      <w:r w:rsidR="00FD405D">
        <w:t xml:space="preserve">ition as people could try and use it to their advantage. Meaning that people could use mental health and due to the fact, it is internal its harder to rule it out. </w:t>
      </w:r>
      <w:r w:rsidR="004F1D09">
        <w:t>Another issue I have identified there is no clarity with people who suffer with diabetes. This is because when so</w:t>
      </w:r>
      <w:r w:rsidR="003D4CEF">
        <w:t xml:space="preserve">meone has diabetes it is their duty to take the prescribed amount. Therefore, failure to comply and commit an offence is reckless and cannot be classed as “disease of the mind”. That is why when mixing alcohol or even drugs and no insulin you would not be acquitted. However, when a diabetic has taken insulin and followed correct protocol, but it has failed to work is the only justifiable reasoning. As seen in Case Law R V Quick the person was a diabetic who suffered from low blood sugar and had taken insulin in the morning for his condition. However, did not eat much during the day but consumed alcohol. This led to him suffering an episode which resulted in him blacking out and attacking his victim. Therefore, automatism would apply as the episode is since it was an external factor that impacted the defendant. </w:t>
      </w:r>
    </w:p>
    <w:p w14:paraId="504EAA81" w14:textId="10A267C5" w:rsidR="003D4CEF" w:rsidRDefault="007F17AF">
      <w:r>
        <w:t xml:space="preserve">The Law Commission report suggests that the need for reform for the homicide act is crucial. </w:t>
      </w:r>
      <w:r w:rsidR="00ED31EE">
        <w:t>For example</w:t>
      </w:r>
      <w:r w:rsidR="001E4B3A">
        <w:t>,</w:t>
      </w:r>
      <w:r w:rsidR="00ED31EE">
        <w:t xml:space="preserve"> the choice of wording “Malice aforethought” this has faced </w:t>
      </w:r>
      <w:proofErr w:type="spellStart"/>
      <w:r w:rsidR="001E4B3A">
        <w:t>critism</w:t>
      </w:r>
      <w:proofErr w:type="spellEnd"/>
      <w:r w:rsidR="00ED31EE">
        <w:t xml:space="preserve"> for over 300 years</w:t>
      </w:r>
      <w:r w:rsidR="001E4B3A">
        <w:t xml:space="preserve"> since it is heavily outdated. This is because in criminal law they do not have the same meaning and society has evolved. Another example is ‘maliciously” the meaning of this is intending to kill. However, it also used for someone who intends to cause serious harm. This is not fair as there’s one word with two meanings. Therefore, there should be sperate meanings to prevent miss interpretation. </w:t>
      </w:r>
      <w:r w:rsidR="00577AE7">
        <w:t xml:space="preserve">The part of the act regarding excessive force in self-defence is very brief. Therefore, the provocation defence needs updating because the meaning of reasonable force can differ from person to person. The decision in deciding whether the person should be convicted of murder or self-defence is difficult as it is down to the jury. The fact that is no differentiation between each situation is not fair. The law is very black and white. That is why I believe that parliament need to intervene and change legislation. This is because relying on the Lords from the past is not great especially as </w:t>
      </w:r>
      <w:r w:rsidR="00031572">
        <w:t xml:space="preserve">they are outdated and not current with today society. </w:t>
      </w:r>
    </w:p>
    <w:p w14:paraId="060EB64E" w14:textId="77777777" w:rsidR="00B92C37" w:rsidRPr="00914DB5" w:rsidRDefault="00B92C37">
      <w:pPr>
        <w:rPr>
          <w:b/>
          <w:bCs/>
        </w:rPr>
      </w:pPr>
    </w:p>
    <w:p w14:paraId="25C407CA" w14:textId="77777777" w:rsidR="007122FB" w:rsidRDefault="007122FB">
      <w:pPr>
        <w:rPr>
          <w:b/>
          <w:bCs/>
          <w:u w:val="single"/>
        </w:rPr>
      </w:pPr>
    </w:p>
    <w:p w14:paraId="037E0CC0" w14:textId="070D56B5" w:rsidR="00520625" w:rsidRPr="007122FB" w:rsidRDefault="007122FB">
      <w:pPr>
        <w:rPr>
          <w:b/>
          <w:bCs/>
          <w:u w:val="single"/>
        </w:rPr>
      </w:pPr>
      <w:r w:rsidRPr="007122FB">
        <w:rPr>
          <w:b/>
          <w:bCs/>
          <w:u w:val="single"/>
        </w:rPr>
        <w:t xml:space="preserve">References </w:t>
      </w:r>
    </w:p>
    <w:p w14:paraId="7318B9E9" w14:textId="048E97FE" w:rsidR="007122FB" w:rsidRDefault="007122FB">
      <w:proofErr w:type="spellStart"/>
      <w:r>
        <w:t>M’Naghten</w:t>
      </w:r>
      <w:proofErr w:type="spellEnd"/>
      <w:r>
        <w:t xml:space="preserve"> rule (1843)</w:t>
      </w:r>
    </w:p>
    <w:p w14:paraId="6D69A7F7" w14:textId="3C419CDA" w:rsidR="00CF7F9C" w:rsidRDefault="00CF7F9C">
      <w:r>
        <w:t>R v Quick</w:t>
      </w:r>
    </w:p>
    <w:p w14:paraId="3C2B1982" w14:textId="1B18E6FA" w:rsidR="003D4CEF" w:rsidRDefault="003D4CEF">
      <w:r>
        <w:t>R v Kemp</w:t>
      </w:r>
    </w:p>
    <w:p w14:paraId="2561D5D2" w14:textId="4793CDE9" w:rsidR="00977E23" w:rsidRDefault="00977E23"/>
    <w:p w14:paraId="0C4F4880" w14:textId="3FA2CF05" w:rsidR="00FD525A" w:rsidRDefault="00FD525A">
      <w:r>
        <w:t xml:space="preserve">The Cambridge dictionary (2021) {online} Available at </w:t>
      </w:r>
    </w:p>
    <w:p w14:paraId="64F2013A" w14:textId="6C494E41" w:rsidR="00EB6CA7" w:rsidRDefault="001477CB">
      <w:pPr>
        <w:rPr>
          <w:rStyle w:val="Hyperlink"/>
        </w:rPr>
      </w:pPr>
      <w:hyperlink r:id="rId4" w:history="1">
        <w:r w:rsidR="00EB6CA7" w:rsidRPr="00405F5D">
          <w:rPr>
            <w:rStyle w:val="Hyperlink"/>
          </w:rPr>
          <w:t>https://dictionary.cambridge.org/dictionary/english/insanity</w:t>
        </w:r>
      </w:hyperlink>
    </w:p>
    <w:p w14:paraId="534BF852" w14:textId="59D038A8" w:rsidR="00FD525A" w:rsidRDefault="00FD525A">
      <w:pPr>
        <w:rPr>
          <w:rStyle w:val="Hyperlink"/>
          <w:color w:val="000000" w:themeColor="text1"/>
        </w:rPr>
      </w:pPr>
      <w:r w:rsidRPr="00FD525A">
        <w:rPr>
          <w:rStyle w:val="Hyperlink"/>
          <w:color w:val="000000" w:themeColor="text1"/>
        </w:rPr>
        <w:t>{accessed on 22.04.21}</w:t>
      </w:r>
    </w:p>
    <w:p w14:paraId="241A5907" w14:textId="071EAD97" w:rsidR="00FD525A" w:rsidRDefault="00FD525A">
      <w:pPr>
        <w:rPr>
          <w:rStyle w:val="Hyperlink"/>
          <w:color w:val="000000" w:themeColor="text1"/>
        </w:rPr>
      </w:pPr>
    </w:p>
    <w:p w14:paraId="03FC95A7" w14:textId="77777777" w:rsidR="00FD525A" w:rsidRDefault="00FD525A" w:rsidP="00FD525A">
      <w:r>
        <w:t xml:space="preserve">The CPS (2021) Mental health conditions {online}. Available at </w:t>
      </w:r>
    </w:p>
    <w:p w14:paraId="0C05CF89" w14:textId="77777777" w:rsidR="00FD525A" w:rsidRDefault="001477CB" w:rsidP="00FD525A">
      <w:hyperlink r:id="rId5" w:history="1">
        <w:r w:rsidR="00FD525A" w:rsidRPr="00405F5D">
          <w:rPr>
            <w:rStyle w:val="Hyperlink"/>
          </w:rPr>
          <w:t>https://www.cps.gov.uk/publication/mental-health-conditions-and-disorders-draft-prosecution-guidance</w:t>
        </w:r>
      </w:hyperlink>
    </w:p>
    <w:p w14:paraId="55F76028" w14:textId="77777777" w:rsidR="00FD525A" w:rsidRDefault="00FD525A" w:rsidP="00FD525A">
      <w:r>
        <w:t>{accessed on 22.04.21}</w:t>
      </w:r>
    </w:p>
    <w:p w14:paraId="3EF6252A" w14:textId="77777777" w:rsidR="00FD525A" w:rsidRDefault="00FD525A">
      <w:pPr>
        <w:rPr>
          <w:rStyle w:val="Hyperlink"/>
          <w:color w:val="000000" w:themeColor="text1"/>
        </w:rPr>
      </w:pPr>
    </w:p>
    <w:p w14:paraId="3080697E" w14:textId="65F91D7B" w:rsidR="00FD525A" w:rsidRDefault="00FD525A">
      <w:r>
        <w:lastRenderedPageBreak/>
        <w:t xml:space="preserve">The Law Commission (2015) Criminal liability: Insanity and Automatism {online}. Available at </w:t>
      </w:r>
    </w:p>
    <w:p w14:paraId="04ADF5A6" w14:textId="77777777" w:rsidR="003D4CEF" w:rsidRDefault="001477CB" w:rsidP="003D4CEF">
      <w:pPr>
        <w:rPr>
          <w:b/>
          <w:bCs/>
        </w:rPr>
      </w:pPr>
      <w:hyperlink r:id="rId6" w:history="1">
        <w:r w:rsidR="003D4CEF" w:rsidRPr="00405F5D">
          <w:rPr>
            <w:rStyle w:val="Hyperlink"/>
            <w:b/>
            <w:bCs/>
          </w:rPr>
          <w:t>http://www.lawcom.gov.uk/app/uploads/2015/06/insanity_discussion.pdf</w:t>
        </w:r>
      </w:hyperlink>
    </w:p>
    <w:p w14:paraId="5FEC400A" w14:textId="262BE447" w:rsidR="001134E5" w:rsidRDefault="00FD525A" w:rsidP="001134E5">
      <w:r>
        <w:t>{accessed on 22.04.21}</w:t>
      </w:r>
    </w:p>
    <w:p w14:paraId="7CE146B0" w14:textId="6961D867" w:rsidR="00FD525A" w:rsidRDefault="00FD525A" w:rsidP="001134E5"/>
    <w:p w14:paraId="08378EEF" w14:textId="1C3F0FC5" w:rsidR="00031572" w:rsidRPr="00031572" w:rsidRDefault="00031572" w:rsidP="00031572">
      <w:r>
        <w:t>The Law Commission (2015) A new homicide act for England and Wales {online}. Available at</w:t>
      </w:r>
    </w:p>
    <w:p w14:paraId="56731F52" w14:textId="77777777" w:rsidR="00031572" w:rsidRDefault="001477CB" w:rsidP="00031572">
      <w:hyperlink r:id="rId7" w:history="1">
        <w:r w:rsidR="00031572" w:rsidRPr="00405F5D">
          <w:rPr>
            <w:rStyle w:val="Hyperlink"/>
          </w:rPr>
          <w:t>http://www.lawcom.gov.uk/app/uploads/2015/03/cp177_Murder_Manslaughter_and_Infanticide_consultation_overview_.pdf</w:t>
        </w:r>
      </w:hyperlink>
    </w:p>
    <w:p w14:paraId="2AC50A79" w14:textId="5070FA51" w:rsidR="00FD525A" w:rsidRPr="00031572" w:rsidRDefault="00031572">
      <w:pPr>
        <w:rPr>
          <w:sz w:val="22"/>
          <w:szCs w:val="22"/>
        </w:rPr>
      </w:pPr>
      <w:r>
        <w:rPr>
          <w:sz w:val="22"/>
          <w:szCs w:val="22"/>
        </w:rPr>
        <w:t>{accessed on 22.04.21}</w:t>
      </w:r>
    </w:p>
    <w:p w14:paraId="0CA6A7C2" w14:textId="77777777" w:rsidR="00FD525A" w:rsidRDefault="00FD525A">
      <w:pPr>
        <w:rPr>
          <w:b/>
          <w:bCs/>
          <w:i/>
          <w:iCs/>
          <w:u w:val="single"/>
        </w:rPr>
      </w:pPr>
    </w:p>
    <w:p w14:paraId="3D97D420" w14:textId="77777777" w:rsidR="00FD525A" w:rsidRDefault="00FD525A">
      <w:pPr>
        <w:rPr>
          <w:b/>
          <w:bCs/>
          <w:i/>
          <w:iCs/>
          <w:u w:val="single"/>
        </w:rPr>
      </w:pPr>
    </w:p>
    <w:p w14:paraId="2BD3AD87" w14:textId="77777777" w:rsidR="00FD525A" w:rsidRDefault="00FD525A">
      <w:pPr>
        <w:rPr>
          <w:b/>
          <w:bCs/>
          <w:i/>
          <w:iCs/>
          <w:u w:val="single"/>
        </w:rPr>
      </w:pPr>
    </w:p>
    <w:p w14:paraId="219E0E35" w14:textId="77777777" w:rsidR="00FD525A" w:rsidRDefault="00FD525A">
      <w:pPr>
        <w:rPr>
          <w:b/>
          <w:bCs/>
          <w:i/>
          <w:iCs/>
          <w:u w:val="single"/>
        </w:rPr>
      </w:pPr>
    </w:p>
    <w:p w14:paraId="5D55F70C" w14:textId="72B4EABB" w:rsidR="000D2181" w:rsidRDefault="000D2181">
      <w:pPr>
        <w:rPr>
          <w:b/>
          <w:bCs/>
          <w:i/>
          <w:iCs/>
          <w:u w:val="single"/>
        </w:rPr>
      </w:pPr>
      <w:r w:rsidRPr="0098740B">
        <w:rPr>
          <w:b/>
          <w:bCs/>
          <w:i/>
          <w:iCs/>
          <w:u w:val="single"/>
        </w:rPr>
        <w:t xml:space="preserve">PART 2 </w:t>
      </w:r>
    </w:p>
    <w:p w14:paraId="5312409B" w14:textId="77777777" w:rsidR="0098740B" w:rsidRPr="0098740B" w:rsidRDefault="0098740B">
      <w:pPr>
        <w:rPr>
          <w:b/>
          <w:bCs/>
          <w:i/>
          <w:iCs/>
          <w:u w:val="single"/>
        </w:rPr>
      </w:pPr>
    </w:p>
    <w:p w14:paraId="59BA6B61" w14:textId="64E11519" w:rsidR="00613874" w:rsidRDefault="00670B22">
      <w:r>
        <w:t xml:space="preserve">Although Ali did not </w:t>
      </w:r>
      <w:r w:rsidR="00613874">
        <w:t xml:space="preserve">necessarily </w:t>
      </w:r>
      <w:r>
        <w:t>set out looking for Jenny</w:t>
      </w:r>
      <w:r w:rsidR="00613874">
        <w:t xml:space="preserve"> that night, due to the history of controlling and jealously this has caused psychological trauma. </w:t>
      </w:r>
      <w:r>
        <w:t xml:space="preserve">This can be seen in case law relating to Ireland V Burstow. In this </w:t>
      </w:r>
      <w:r w:rsidR="00613874">
        <w:t xml:space="preserve">case the defendant and victim had a romantic relationship which the victim ended. However, over a period of several months making telephone calls, mailing and appearing unexpectedly. This meant that depression could </w:t>
      </w:r>
      <w:r w:rsidR="0098740B">
        <w:t>have happened</w:t>
      </w:r>
      <w:r w:rsidR="00613874">
        <w:t xml:space="preserve"> and really impacted </w:t>
      </w:r>
      <w:r w:rsidR="0098740B">
        <w:t xml:space="preserve">the victim. </w:t>
      </w:r>
      <w:r w:rsidR="0010267B">
        <w:t xml:space="preserve">Therefore, the actus rea of assault is the fact that this made the victim apprehend the infliction of violence. This means that the person action has caused such fear. In addition, the </w:t>
      </w:r>
      <w:proofErr w:type="spellStart"/>
      <w:r w:rsidR="0010267B">
        <w:t>mens</w:t>
      </w:r>
      <w:proofErr w:type="spellEnd"/>
      <w:r w:rsidR="0010267B">
        <w:t xml:space="preserve"> rea is the fact that the choice of wording can be classed as violent</w:t>
      </w:r>
      <w:r w:rsidR="00F926AF">
        <w:t>. This suggests that the defendant intentions were to create this fear. This means that Ali could be charged with the C</w:t>
      </w:r>
      <w:r w:rsidR="0010267B">
        <w:t xml:space="preserve">riminal </w:t>
      </w:r>
      <w:r w:rsidR="00F926AF">
        <w:t>J</w:t>
      </w:r>
      <w:r w:rsidR="0010267B">
        <w:t>ustice act 1988 s.39</w:t>
      </w:r>
      <w:r w:rsidR="00F926AF">
        <w:t xml:space="preserve">. This is when assault occurs when a person intentionally causes someone to apprehend immediate unlawful violence. The maximum sentence can only be up to 6 months imprisonment. </w:t>
      </w:r>
    </w:p>
    <w:p w14:paraId="5A822212" w14:textId="270F9876" w:rsidR="00894B04" w:rsidRDefault="00894B04"/>
    <w:p w14:paraId="22D9DD87" w14:textId="7890C463" w:rsidR="0098740B" w:rsidRDefault="0098740B">
      <w:r>
        <w:t xml:space="preserve">Due to the history and the extent of the issue Ali could be charged for being mentally abusive. This is because over a period he tore down Jenny as a person and tormented her. Therefore, </w:t>
      </w:r>
      <w:r w:rsidR="00D740EB">
        <w:t xml:space="preserve">the actus rea must be that they continuously over a period time demonstrating controlling or coercive behaviour. This means he really went to great lengths to lower her self-esteem and made her feel worthless. This means that the </w:t>
      </w:r>
      <w:proofErr w:type="spellStart"/>
      <w:r w:rsidR="00D740EB">
        <w:t>mens</w:t>
      </w:r>
      <w:proofErr w:type="spellEnd"/>
      <w:r w:rsidR="00D740EB">
        <w:t xml:space="preserve"> rea is the fact the defendant realises the extent of their actions and the serious harm and effect their behaviour would have on a person. This suggest that they are aware and know how to shatter confidence with certain </w:t>
      </w:r>
      <w:r w:rsidR="0010267B">
        <w:t>actions</w:t>
      </w:r>
      <w:r w:rsidR="00D740EB">
        <w:t xml:space="preserve">. </w:t>
      </w:r>
      <w:r>
        <w:t>This would mean that Ali could be charged with s.76 of the serious crime act 2015. The legislation purpose is to protect a person who is suffering all types of abuse</w:t>
      </w:r>
      <w:r w:rsidR="00D740EB">
        <w:t xml:space="preserve"> emotionally, physically, mentally and financially. </w:t>
      </w:r>
      <w:r w:rsidR="0010267B">
        <w:t xml:space="preserve">Therefore, the maximum sentence could be up to 5 years or a fine, </w:t>
      </w:r>
      <w:r w:rsidR="00F926AF">
        <w:t>however</w:t>
      </w:r>
      <w:r w:rsidR="0010267B">
        <w:t xml:space="preserve"> you can also receive both. </w:t>
      </w:r>
    </w:p>
    <w:p w14:paraId="00AF50AE" w14:textId="34FC80FB" w:rsidR="00D204F4" w:rsidRDefault="00FF2AB0" w:rsidP="00894B04">
      <w:r>
        <w:t xml:space="preserve">However, events drastically took a turn for the worst when Lee the doorman tried to intervene to defuse the situation he was assaulted. The case law which supports this is R V Mitchell as a person tried to jump a que and elderly man challenged him. This meant they got into a confrontation which resulted in the man falling back onto others. This then meant an elderly woman was harmed as she broke her leg and later died in the hospital. The actus rea of murder is </w:t>
      </w:r>
      <w:r w:rsidR="00D204F4">
        <w:t xml:space="preserve">the unlawful killing of a person. Therefore, the </w:t>
      </w:r>
      <w:proofErr w:type="spellStart"/>
      <w:r w:rsidR="00D204F4">
        <w:t>mens</w:t>
      </w:r>
      <w:proofErr w:type="spellEnd"/>
      <w:r w:rsidR="00D204F4">
        <w:t xml:space="preserve"> rea for this case would be the fact he set out to cause grievous bodily harm. However, the fact that he killed Lee he’d be charged with manslaughter. This would come under the Homicide Act 1957. </w:t>
      </w:r>
    </w:p>
    <w:p w14:paraId="17734B43" w14:textId="43E80231" w:rsidR="00FF2AB0" w:rsidRDefault="00FF2AB0" w:rsidP="00894B04">
      <w:r>
        <w:lastRenderedPageBreak/>
        <w:t>The reason why Ali would be charged with involuntary manslaughter is because he did not set out that night to kill Lee the bouncer</w:t>
      </w:r>
      <w:r w:rsidR="009D5A26">
        <w:t>. T</w:t>
      </w:r>
      <w:r w:rsidR="00D204F4">
        <w:t>he</w:t>
      </w:r>
      <w:r w:rsidR="009D5A26">
        <w:t>refore, the sentence</w:t>
      </w:r>
      <w:r w:rsidR="00D204F4">
        <w:t xml:space="preserve"> period could vary from 2-10 years. </w:t>
      </w:r>
    </w:p>
    <w:p w14:paraId="77CA0B4C" w14:textId="744F4FC6" w:rsidR="004A71B8" w:rsidRPr="004A71B8" w:rsidRDefault="00C63AFF" w:rsidP="00C63AFF">
      <w:pPr>
        <w:rPr>
          <w:b/>
          <w:bCs/>
        </w:rPr>
      </w:pPr>
      <w:r>
        <w:t xml:space="preserve">The defendant approached the situation by suggesting he was only speaking. However, when Collin turned to leave Ali grabbed his harm. The case Law in which supports this is Santana- Bermudez v DPP. </w:t>
      </w:r>
      <w:r w:rsidR="0085421C">
        <w:t>This resulted in the victim being pricked with a needle which then meant that the skin was pierced. The defendant should be charged with maliciously wounding or causing bodily grievous harm.</w:t>
      </w:r>
      <w:r w:rsidR="0085421C" w:rsidRPr="0085421C">
        <w:t xml:space="preserve"> </w:t>
      </w:r>
      <w:r w:rsidR="0085421C">
        <w:t>In addition, the act reus of battery is the physical contact made. Therefore, the intention to inflict violence is the issue. The term violence means any unlawful contact. In other words, the victim did not consent to the physical contact</w:t>
      </w:r>
      <w:r w:rsidR="00C37EDC">
        <w:t>.</w:t>
      </w:r>
      <w:r w:rsidR="0085421C">
        <w:t xml:space="preserve"> </w:t>
      </w:r>
      <w:r w:rsidR="00C37EDC">
        <w:t>T</w:t>
      </w:r>
      <w:r w:rsidR="0085421C">
        <w:t>he meaning of battery is if the defendant conduct intentionally or recklessly inflicts unlawful personal violence upon the victim. T</w:t>
      </w:r>
      <w:r>
        <w:t xml:space="preserve">herefore, the intention to inflict violence is the issue. </w:t>
      </w:r>
      <w:r w:rsidR="004A71B8">
        <w:t>This would then mean Ali could be charged with The Offences Against the person Act 1861 S.</w:t>
      </w:r>
      <w:r w:rsidR="00B41A35">
        <w:t>20</w:t>
      </w:r>
      <w:r w:rsidR="004A71B8">
        <w:t xml:space="preserve"> </w:t>
      </w:r>
      <w:r w:rsidR="00B41A35">
        <w:t xml:space="preserve">causing </w:t>
      </w:r>
      <w:r w:rsidR="004A71B8">
        <w:t xml:space="preserve">Grievous bodily harm. </w:t>
      </w:r>
      <w:r w:rsidR="00B41A35">
        <w:t xml:space="preserve">This could mean the defendant could face up to 5 years. </w:t>
      </w:r>
    </w:p>
    <w:p w14:paraId="10DCDDE3" w14:textId="3476E070" w:rsidR="00C63AFF" w:rsidRDefault="0085421C" w:rsidP="00C63AFF">
      <w:r>
        <w:t>However, due to the severity of the violence is the issue</w:t>
      </w:r>
      <w:r w:rsidR="00C37EDC">
        <w:t xml:space="preserve"> as Collin was stabbed and blead out. The case law Hancock V </w:t>
      </w:r>
      <w:proofErr w:type="spellStart"/>
      <w:r w:rsidR="00C37EDC">
        <w:t>Shankland</w:t>
      </w:r>
      <w:proofErr w:type="spellEnd"/>
      <w:r w:rsidR="00C37EDC">
        <w:t xml:space="preserve"> this resulted in the murder of a taxi driver because miners on strike were trying to prevent access. Therefore, the defendant should be charged with murder as he prevented the victim from leaving. The actus reus of murder is the unlawful killing of a human being in the Queen’s peace. This then means that the </w:t>
      </w:r>
      <w:proofErr w:type="spellStart"/>
      <w:r w:rsidR="00C37EDC">
        <w:t>mens</w:t>
      </w:r>
      <w:proofErr w:type="spellEnd"/>
      <w:r w:rsidR="00C37EDC">
        <w:t xml:space="preserve"> rea of murder is malice aforethought. </w:t>
      </w:r>
      <w:r w:rsidR="004A71B8">
        <w:t xml:space="preserve">This means that the person premediated the murder and set out to kill Collin that day. This would then mean the courts </w:t>
      </w:r>
      <w:r w:rsidR="00C37EDC">
        <w:t xml:space="preserve">believe that the defendant </w:t>
      </w:r>
      <w:r w:rsidR="004A71B8">
        <w:t xml:space="preserve">had the intention to kill or intention to cause GBH. </w:t>
      </w:r>
    </w:p>
    <w:p w14:paraId="74E4C1A6" w14:textId="0EF49967" w:rsidR="00C37EDC" w:rsidRDefault="00C37EDC" w:rsidP="00C63AFF">
      <w:r>
        <w:t xml:space="preserve">This would then mean Ali would be charged with the Homicide act 1957. </w:t>
      </w:r>
      <w:r w:rsidR="00B41A35">
        <w:t xml:space="preserve">This would mean that the person could face life in prison. However, the judge could decide a minimum tariff for how much the person should serve. This would be decided in court when they get sentenced. </w:t>
      </w:r>
    </w:p>
    <w:p w14:paraId="58ADAAC8" w14:textId="197D947F" w:rsidR="00B41A35" w:rsidRDefault="00B41A35" w:rsidP="00C63AFF"/>
    <w:p w14:paraId="01B69DD0" w14:textId="13B772D6" w:rsidR="00B41A35" w:rsidRPr="00B41A35" w:rsidRDefault="00B41A35" w:rsidP="00C63AFF">
      <w:pPr>
        <w:rPr>
          <w:b/>
          <w:bCs/>
          <w:u w:val="single"/>
        </w:rPr>
      </w:pPr>
      <w:r>
        <w:rPr>
          <w:b/>
          <w:bCs/>
          <w:u w:val="single"/>
        </w:rPr>
        <w:t xml:space="preserve">References </w:t>
      </w:r>
    </w:p>
    <w:p w14:paraId="75E34995" w14:textId="1790F91C" w:rsidR="00360D93" w:rsidRDefault="0085421C">
      <w:pPr>
        <w:rPr>
          <w:rFonts w:ascii="Segoe UI" w:eastAsia="Times New Roman" w:hAnsi="Segoe UI" w:cs="Segoe UI"/>
          <w:color w:val="212529"/>
          <w:shd w:val="clear" w:color="auto" w:fill="FFFFFF"/>
          <w:lang w:eastAsia="en-GB"/>
        </w:rPr>
      </w:pPr>
      <w:r w:rsidRPr="00360D93">
        <w:rPr>
          <w:rFonts w:ascii="Segoe UI" w:eastAsia="Times New Roman" w:hAnsi="Segoe UI" w:cs="Segoe UI"/>
          <w:color w:val="212529"/>
          <w:shd w:val="clear" w:color="auto" w:fill="FFFFFF"/>
          <w:lang w:eastAsia="en-GB"/>
        </w:rPr>
        <w:t xml:space="preserve">Hancock v </w:t>
      </w:r>
      <w:proofErr w:type="spellStart"/>
      <w:r w:rsidRPr="00360D93">
        <w:rPr>
          <w:rFonts w:ascii="Segoe UI" w:eastAsia="Times New Roman" w:hAnsi="Segoe UI" w:cs="Segoe UI"/>
          <w:color w:val="212529"/>
          <w:shd w:val="clear" w:color="auto" w:fill="FFFFFF"/>
          <w:lang w:eastAsia="en-GB"/>
        </w:rPr>
        <w:t>Shankland</w:t>
      </w:r>
      <w:proofErr w:type="spellEnd"/>
    </w:p>
    <w:p w14:paraId="2FB1643D" w14:textId="435F536C" w:rsidR="00B41A35" w:rsidRDefault="00B41A35">
      <w:pPr>
        <w:rPr>
          <w:rFonts w:ascii="Segoe UI" w:eastAsia="Times New Roman" w:hAnsi="Segoe UI" w:cs="Segoe UI"/>
          <w:color w:val="212529"/>
          <w:shd w:val="clear" w:color="auto" w:fill="FFFFFF"/>
          <w:lang w:eastAsia="en-GB"/>
        </w:rPr>
      </w:pPr>
      <w:r>
        <w:t>Ireland V Burstow</w:t>
      </w:r>
    </w:p>
    <w:p w14:paraId="14DE0D0B" w14:textId="73C3C973" w:rsidR="00B41A35" w:rsidRDefault="00B41A35">
      <w:r>
        <w:t>Santana- Bermudez v DPP</w:t>
      </w:r>
    </w:p>
    <w:p w14:paraId="586CB62C" w14:textId="77777777" w:rsidR="00B41A35" w:rsidRPr="00894B04" w:rsidRDefault="00B41A35" w:rsidP="00B41A35">
      <w:r w:rsidRPr="00894B04">
        <w:rPr>
          <w:rFonts w:ascii="Verdana" w:eastAsia="Times New Roman" w:hAnsi="Verdana" w:cs="Times New Roman"/>
          <w:i/>
          <w:iCs/>
          <w:color w:val="000000"/>
          <w:sz w:val="22"/>
          <w:szCs w:val="22"/>
          <w:lang w:eastAsia="en-GB"/>
        </w:rPr>
        <w:t>R v Mitchell</w:t>
      </w:r>
      <w:r w:rsidRPr="00894B04">
        <w:rPr>
          <w:rFonts w:ascii="Verdana" w:eastAsia="Times New Roman" w:hAnsi="Verdana" w:cs="Times New Roman"/>
          <w:color w:val="000000"/>
          <w:sz w:val="22"/>
          <w:szCs w:val="22"/>
          <w:lang w:eastAsia="en-GB"/>
        </w:rPr>
        <w:t> [1983] </w:t>
      </w:r>
    </w:p>
    <w:p w14:paraId="39143CC9" w14:textId="77777777" w:rsidR="00B41A35" w:rsidRPr="00B41A35" w:rsidRDefault="00B41A35">
      <w:pPr>
        <w:rPr>
          <w:rFonts w:ascii="Times New Roman" w:eastAsia="Times New Roman" w:hAnsi="Times New Roman" w:cs="Times New Roman"/>
          <w:lang w:eastAsia="en-GB"/>
        </w:rPr>
      </w:pPr>
    </w:p>
    <w:sectPr w:rsidR="00B41A35" w:rsidRPr="00B41A35" w:rsidSect="00FD52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1C0"/>
    <w:rsid w:val="00031572"/>
    <w:rsid w:val="0009593B"/>
    <w:rsid w:val="000D2181"/>
    <w:rsid w:val="0010267B"/>
    <w:rsid w:val="001134E5"/>
    <w:rsid w:val="001477CB"/>
    <w:rsid w:val="001E4B3A"/>
    <w:rsid w:val="0027794C"/>
    <w:rsid w:val="00360D93"/>
    <w:rsid w:val="003D4CEF"/>
    <w:rsid w:val="004671C3"/>
    <w:rsid w:val="004A71B8"/>
    <w:rsid w:val="004D360E"/>
    <w:rsid w:val="004E1D68"/>
    <w:rsid w:val="004F1D09"/>
    <w:rsid w:val="00520625"/>
    <w:rsid w:val="00564E6F"/>
    <w:rsid w:val="00577AE7"/>
    <w:rsid w:val="00613874"/>
    <w:rsid w:val="00670B22"/>
    <w:rsid w:val="007122FB"/>
    <w:rsid w:val="007F17AF"/>
    <w:rsid w:val="0085421C"/>
    <w:rsid w:val="00894B04"/>
    <w:rsid w:val="008D04EC"/>
    <w:rsid w:val="00914DB5"/>
    <w:rsid w:val="00977E23"/>
    <w:rsid w:val="0098740B"/>
    <w:rsid w:val="009D5A26"/>
    <w:rsid w:val="00B24D59"/>
    <w:rsid w:val="00B41A35"/>
    <w:rsid w:val="00B92C37"/>
    <w:rsid w:val="00BC61C0"/>
    <w:rsid w:val="00C37EDC"/>
    <w:rsid w:val="00C63AFF"/>
    <w:rsid w:val="00C86D06"/>
    <w:rsid w:val="00CF7F9C"/>
    <w:rsid w:val="00D204F4"/>
    <w:rsid w:val="00D740EB"/>
    <w:rsid w:val="00DA152D"/>
    <w:rsid w:val="00E52297"/>
    <w:rsid w:val="00EB6CA7"/>
    <w:rsid w:val="00ED31EE"/>
    <w:rsid w:val="00F926AF"/>
    <w:rsid w:val="00FC01A6"/>
    <w:rsid w:val="00FD405D"/>
    <w:rsid w:val="00FD525A"/>
    <w:rsid w:val="00FF2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86651"/>
  <w15:chartTrackingRefBased/>
  <w15:docId w15:val="{BB751148-F387-DE43-8B12-77E04D4CE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CA7"/>
    <w:rPr>
      <w:color w:val="0563C1" w:themeColor="hyperlink"/>
      <w:u w:val="single"/>
    </w:rPr>
  </w:style>
  <w:style w:type="character" w:styleId="UnresolvedMention">
    <w:name w:val="Unresolved Mention"/>
    <w:basedOn w:val="DefaultParagraphFont"/>
    <w:uiPriority w:val="99"/>
    <w:semiHidden/>
    <w:unhideWhenUsed/>
    <w:rsid w:val="00EB6CA7"/>
    <w:rPr>
      <w:color w:val="605E5C"/>
      <w:shd w:val="clear" w:color="auto" w:fill="E1DFDD"/>
    </w:rPr>
  </w:style>
  <w:style w:type="character" w:styleId="Strong">
    <w:name w:val="Strong"/>
    <w:basedOn w:val="DefaultParagraphFont"/>
    <w:uiPriority w:val="22"/>
    <w:qFormat/>
    <w:rsid w:val="00894B04"/>
    <w:rPr>
      <w:b/>
      <w:bCs/>
    </w:rPr>
  </w:style>
  <w:style w:type="character" w:styleId="Emphasis">
    <w:name w:val="Emphasis"/>
    <w:basedOn w:val="DefaultParagraphFont"/>
    <w:uiPriority w:val="20"/>
    <w:qFormat/>
    <w:rsid w:val="00894B04"/>
    <w:rPr>
      <w:i/>
      <w:iCs/>
    </w:rPr>
  </w:style>
  <w:style w:type="character" w:customStyle="1" w:styleId="apple-converted-space">
    <w:name w:val="apple-converted-space"/>
    <w:basedOn w:val="DefaultParagraphFont"/>
    <w:rsid w:val="00894B04"/>
  </w:style>
  <w:style w:type="character" w:styleId="FollowedHyperlink">
    <w:name w:val="FollowedHyperlink"/>
    <w:basedOn w:val="DefaultParagraphFont"/>
    <w:uiPriority w:val="99"/>
    <w:semiHidden/>
    <w:unhideWhenUsed/>
    <w:rsid w:val="00C63AFF"/>
    <w:rPr>
      <w:color w:val="954F72" w:themeColor="followedHyperlink"/>
      <w:u w:val="single"/>
    </w:rPr>
  </w:style>
  <w:style w:type="paragraph" w:styleId="NoSpacing">
    <w:name w:val="No Spacing"/>
    <w:link w:val="NoSpacingChar"/>
    <w:uiPriority w:val="1"/>
    <w:qFormat/>
    <w:rsid w:val="00FD525A"/>
    <w:rPr>
      <w:rFonts w:eastAsiaTheme="minorEastAsia"/>
      <w:sz w:val="22"/>
      <w:szCs w:val="22"/>
      <w:lang w:val="en-US" w:eastAsia="zh-CN"/>
    </w:rPr>
  </w:style>
  <w:style w:type="character" w:customStyle="1" w:styleId="NoSpacingChar">
    <w:name w:val="No Spacing Char"/>
    <w:basedOn w:val="DefaultParagraphFont"/>
    <w:link w:val="NoSpacing"/>
    <w:uiPriority w:val="1"/>
    <w:rsid w:val="00FD525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317665">
      <w:bodyDiv w:val="1"/>
      <w:marLeft w:val="0"/>
      <w:marRight w:val="0"/>
      <w:marTop w:val="0"/>
      <w:marBottom w:val="0"/>
      <w:divBdr>
        <w:top w:val="none" w:sz="0" w:space="0" w:color="auto"/>
        <w:left w:val="none" w:sz="0" w:space="0" w:color="auto"/>
        <w:bottom w:val="none" w:sz="0" w:space="0" w:color="auto"/>
        <w:right w:val="none" w:sz="0" w:space="0" w:color="auto"/>
      </w:divBdr>
    </w:div>
    <w:div w:id="131105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awcom.gov.uk/app/uploads/2015/03/cp177_Murder_Manslaughter_and_Infanticide_consultation_overview_.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awcom.gov.uk/app/uploads/2015/06/insanity_discussion.pdf" TargetMode="External"/><Relationship Id="rId5" Type="http://schemas.openxmlformats.org/officeDocument/2006/relationships/hyperlink" Target="https://www.cps.gov.uk/publication/mental-health-conditions-and-disorders-draft-prosecution-guidance" TargetMode="External"/><Relationship Id="rId4" Type="http://schemas.openxmlformats.org/officeDocument/2006/relationships/hyperlink" Target="https://dictionary.cambridge.org/dictionary/english/insanity"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1874</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(2004506)</Company>
  <LinksUpToDate>false</LinksUpToDate>
  <CharactersWithSpaces>12531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
  <dc:creator>Leonie Roberts</dc:creator>
  <cp:keywords/>
  <dc:description/>
  <cp:lastModifiedBy>Leonie Roberts</cp:lastModifiedBy>
  <cp:revision>2</cp:revision>
  <dcterms:created xsi:type="dcterms:W3CDTF">2021-05-06T21:46:00Z</dcterms:created>
  <dcterms:modified xsi:type="dcterms:W3CDTF">2021-05-06T21:46:00Z</dcterms:modified>
</cp:coreProperties>
</file>