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6F0753" w:rsidRPr="00EC1213" w:rsidRDefault="00837E8C" w:rsidP="00F6513E">
      <w:pPr>
        <w:pStyle w:val="Title"/>
        <w:rPr>
          <w:rFonts w:ascii="Arial" w:eastAsia="Arial" w:hAnsi="Arial" w:cs="Arial"/>
          <w:color w:val="000000" w:themeColor="text1"/>
          <w:sz w:val="22"/>
          <w:szCs w:val="22"/>
          <w:lang w:val="en-GB"/>
        </w:rPr>
      </w:pPr>
      <w:bookmarkStart w:id="0" w:name="_eqyhe0oginhm" w:colFirst="0" w:colLast="0"/>
      <w:bookmarkEnd w:id="0"/>
      <w:r w:rsidRPr="00EC1213">
        <w:rPr>
          <w:rFonts w:ascii="Arial" w:eastAsia="Arial" w:hAnsi="Arial" w:cs="Arial"/>
          <w:color w:val="000000" w:themeColor="text1"/>
          <w:sz w:val="22"/>
          <w:szCs w:val="22"/>
          <w:lang w:val="en-GB"/>
        </w:rPr>
        <w:t>CERTIFICATE OF HIGHER EDUCATION IN HEALTH AND SOCIAL CARE</w:t>
      </w:r>
    </w:p>
    <w:p w14:paraId="00000002" w14:textId="77777777" w:rsidR="006F0753" w:rsidRPr="00EC1213" w:rsidRDefault="00837E8C" w:rsidP="00F6513E">
      <w:pPr>
        <w:pStyle w:val="Title"/>
        <w:rPr>
          <w:rFonts w:ascii="Arial" w:eastAsia="Arial" w:hAnsi="Arial" w:cs="Arial"/>
          <w:color w:val="000000" w:themeColor="text1"/>
          <w:sz w:val="22"/>
          <w:szCs w:val="22"/>
          <w:lang w:val="en-GB"/>
        </w:rPr>
      </w:pPr>
      <w:bookmarkStart w:id="1" w:name="_6ahztz7hu2yq" w:colFirst="0" w:colLast="0"/>
      <w:bookmarkEnd w:id="1"/>
      <w:r w:rsidRPr="00EC1213">
        <w:rPr>
          <w:rFonts w:ascii="Arial" w:eastAsia="Arial" w:hAnsi="Arial" w:cs="Arial"/>
          <w:color w:val="000000" w:themeColor="text1"/>
          <w:sz w:val="22"/>
          <w:szCs w:val="22"/>
          <w:lang w:val="en-GB"/>
        </w:rPr>
        <w:t>LCHS4010: PSYCHOLOGY IN HEALTH AND SOCIAL CARE</w:t>
      </w:r>
    </w:p>
    <w:p w14:paraId="00000003" w14:textId="77777777" w:rsidR="006F0753" w:rsidRPr="00EC1213" w:rsidRDefault="00837E8C" w:rsidP="00F6513E">
      <w:pPr>
        <w:pStyle w:val="Title"/>
        <w:rPr>
          <w:rFonts w:ascii="Arial" w:eastAsia="Arial" w:hAnsi="Arial" w:cs="Arial"/>
          <w:color w:val="000000" w:themeColor="text1"/>
          <w:sz w:val="22"/>
          <w:szCs w:val="22"/>
          <w:lang w:val="en-GB"/>
        </w:rPr>
      </w:pPr>
      <w:bookmarkStart w:id="2" w:name="_dr294bs9ieaz" w:colFirst="0" w:colLast="0"/>
      <w:bookmarkEnd w:id="2"/>
      <w:r w:rsidRPr="00EC1213">
        <w:rPr>
          <w:rFonts w:ascii="Arial" w:eastAsia="Arial" w:hAnsi="Arial" w:cs="Arial"/>
          <w:color w:val="000000" w:themeColor="text1"/>
          <w:sz w:val="22"/>
          <w:szCs w:val="22"/>
          <w:lang w:val="en-GB"/>
        </w:rPr>
        <w:t>ASSESSMENT 2: BIBLIOGRAPHY &amp; REPORT</w:t>
      </w:r>
    </w:p>
    <w:p w14:paraId="00000004" w14:textId="187AE797" w:rsidR="006F0753" w:rsidRPr="00EC1213" w:rsidRDefault="00837E8C" w:rsidP="00F6513E">
      <w:pPr>
        <w:pStyle w:val="Title"/>
        <w:rPr>
          <w:rFonts w:ascii="Arial" w:eastAsia="Arial" w:hAnsi="Arial" w:cs="Arial"/>
          <w:color w:val="000000" w:themeColor="text1"/>
          <w:sz w:val="22"/>
          <w:szCs w:val="22"/>
          <w:lang w:val="en-GB"/>
        </w:rPr>
      </w:pPr>
      <w:bookmarkStart w:id="3" w:name="_jvjrrsinvk2z" w:colFirst="0" w:colLast="0"/>
      <w:bookmarkEnd w:id="3"/>
      <w:r w:rsidRPr="00EC1213">
        <w:rPr>
          <w:rFonts w:ascii="Arial" w:eastAsia="Arial" w:hAnsi="Arial" w:cs="Arial"/>
          <w:color w:val="000000" w:themeColor="text1"/>
          <w:sz w:val="22"/>
          <w:szCs w:val="22"/>
          <w:lang w:val="en-GB"/>
        </w:rPr>
        <w:t>STUDENT NAME:</w:t>
      </w:r>
      <w:r w:rsidR="00D20B14">
        <w:rPr>
          <w:rFonts w:ascii="Arial" w:eastAsia="Arial" w:hAnsi="Arial" w:cs="Arial"/>
          <w:color w:val="000000" w:themeColor="text1"/>
          <w:sz w:val="22"/>
          <w:szCs w:val="22"/>
          <w:lang w:val="en-GB"/>
        </w:rPr>
        <w:t xml:space="preserve"> Fairuj Haque Prome</w:t>
      </w:r>
    </w:p>
    <w:p w14:paraId="00000005" w14:textId="3ED87F9D" w:rsidR="006F0753" w:rsidRPr="00EC1213" w:rsidRDefault="00837E8C" w:rsidP="00F6513E">
      <w:pPr>
        <w:pStyle w:val="Title"/>
        <w:rPr>
          <w:rFonts w:ascii="Arial" w:eastAsia="Arial" w:hAnsi="Arial" w:cs="Arial"/>
          <w:color w:val="000000" w:themeColor="text1"/>
          <w:sz w:val="22"/>
          <w:szCs w:val="22"/>
          <w:lang w:val="en-GB"/>
        </w:rPr>
      </w:pPr>
      <w:bookmarkStart w:id="4" w:name="_b60u0gne1rwh" w:colFirst="0" w:colLast="0"/>
      <w:bookmarkEnd w:id="4"/>
      <w:r w:rsidRPr="00EC1213">
        <w:rPr>
          <w:rFonts w:ascii="Arial" w:eastAsia="Arial" w:hAnsi="Arial" w:cs="Arial"/>
          <w:color w:val="000000" w:themeColor="text1"/>
          <w:sz w:val="22"/>
          <w:szCs w:val="22"/>
          <w:lang w:val="en-GB"/>
        </w:rPr>
        <w:t xml:space="preserve">STUDENT ID: </w:t>
      </w:r>
      <w:r w:rsidR="00906FF5">
        <w:rPr>
          <w:rFonts w:ascii="Arial" w:eastAsia="Arial" w:hAnsi="Arial" w:cs="Arial"/>
          <w:color w:val="000000" w:themeColor="text1"/>
          <w:sz w:val="22"/>
          <w:szCs w:val="22"/>
          <w:lang w:val="en-GB"/>
        </w:rPr>
        <w:t>24</w:t>
      </w:r>
      <w:r w:rsidR="00193186">
        <w:rPr>
          <w:rFonts w:ascii="Arial" w:eastAsia="Arial" w:hAnsi="Arial" w:cs="Arial"/>
          <w:color w:val="000000" w:themeColor="text1"/>
          <w:sz w:val="22"/>
          <w:szCs w:val="22"/>
          <w:lang w:val="en-GB"/>
        </w:rPr>
        <w:t>36596</w:t>
      </w:r>
    </w:p>
    <w:p w14:paraId="5E9A0C04" w14:textId="7807EF3F" w:rsidR="00A1486E" w:rsidRPr="00EC1213" w:rsidRDefault="00837E8C" w:rsidP="00F6513E">
      <w:pPr>
        <w:pStyle w:val="Title"/>
        <w:rPr>
          <w:rFonts w:ascii="Arial" w:eastAsia="Arial" w:hAnsi="Arial" w:cs="Arial"/>
          <w:color w:val="000000" w:themeColor="text1"/>
          <w:sz w:val="22"/>
          <w:szCs w:val="22"/>
          <w:lang w:val="en-GB"/>
        </w:rPr>
      </w:pPr>
      <w:bookmarkStart w:id="5" w:name="_5v3m80d2lye6" w:colFirst="0" w:colLast="0"/>
      <w:bookmarkEnd w:id="5"/>
      <w:r w:rsidRPr="00EC1213">
        <w:rPr>
          <w:rFonts w:ascii="Arial" w:eastAsia="Arial" w:hAnsi="Arial" w:cs="Arial"/>
          <w:color w:val="000000" w:themeColor="text1"/>
          <w:sz w:val="22"/>
          <w:szCs w:val="22"/>
          <w:lang w:val="en-GB"/>
        </w:rPr>
        <w:t>LECTURER’S NAME:</w:t>
      </w:r>
      <w:r w:rsidR="00021507">
        <w:rPr>
          <w:rFonts w:ascii="Arial" w:eastAsia="Arial" w:hAnsi="Arial" w:cs="Arial"/>
          <w:color w:val="000000" w:themeColor="text1"/>
          <w:sz w:val="22"/>
          <w:szCs w:val="22"/>
          <w:lang w:val="en-GB"/>
        </w:rPr>
        <w:t xml:space="preserve"> F</w:t>
      </w:r>
      <w:r w:rsidR="0053267B">
        <w:rPr>
          <w:rFonts w:ascii="Arial" w:eastAsia="Arial" w:hAnsi="Arial" w:cs="Arial"/>
          <w:color w:val="000000" w:themeColor="text1"/>
          <w:sz w:val="22"/>
          <w:szCs w:val="22"/>
          <w:lang w:val="en-GB"/>
        </w:rPr>
        <w:t>arah</w:t>
      </w:r>
      <w:r w:rsidR="00021507">
        <w:rPr>
          <w:rFonts w:ascii="Arial" w:eastAsia="Arial" w:hAnsi="Arial" w:cs="Arial"/>
          <w:color w:val="000000" w:themeColor="text1"/>
          <w:sz w:val="22"/>
          <w:szCs w:val="22"/>
          <w:lang w:val="en-GB"/>
        </w:rPr>
        <w:t xml:space="preserve"> W</w:t>
      </w:r>
      <w:r w:rsidR="0053267B">
        <w:rPr>
          <w:rFonts w:ascii="Arial" w:eastAsia="Arial" w:hAnsi="Arial" w:cs="Arial"/>
          <w:color w:val="000000" w:themeColor="text1"/>
          <w:sz w:val="22"/>
          <w:szCs w:val="22"/>
          <w:lang w:val="en-GB"/>
        </w:rPr>
        <w:t>iita</w:t>
      </w:r>
    </w:p>
    <w:p w14:paraId="06D902B3" w14:textId="71D4FA40" w:rsidR="00196C15" w:rsidRPr="00EC1213" w:rsidRDefault="00196C15" w:rsidP="00F6513E">
      <w:pPr>
        <w:rPr>
          <w:rFonts w:ascii="Arial" w:eastAsia="Arial" w:hAnsi="Arial" w:cs="Arial"/>
          <w:color w:val="000000" w:themeColor="text1"/>
          <w:sz w:val="22"/>
          <w:szCs w:val="22"/>
          <w:lang w:val="en-GB"/>
        </w:rPr>
        <w:sectPr w:rsidR="00196C15" w:rsidRPr="00EC1213" w:rsidSect="00196C15">
          <w:headerReference w:type="even" r:id="rId7"/>
          <w:headerReference w:type="default" r:id="rId8"/>
          <w:footerReference w:type="even" r:id="rId9"/>
          <w:footerReference w:type="default" r:id="rId10"/>
          <w:headerReference w:type="first" r:id="rId11"/>
          <w:footerReference w:type="first" r:id="rId12"/>
          <w:pgSz w:w="12240" w:h="15840" w:code="1"/>
          <w:pgMar w:top="1440" w:right="1440" w:bottom="1440" w:left="1440" w:header="720" w:footer="720" w:gutter="0"/>
          <w:pgNumType w:start="0"/>
          <w:cols w:space="720"/>
          <w:vAlign w:val="center"/>
        </w:sectPr>
      </w:pPr>
    </w:p>
    <w:sdt>
      <w:sdtPr>
        <w:rPr>
          <w:rFonts w:ascii="Arial" w:eastAsia="Times New Roman" w:hAnsi="Arial" w:cs="Arial"/>
          <w:color w:val="000000" w:themeColor="text1"/>
          <w:sz w:val="22"/>
          <w:szCs w:val="22"/>
          <w:lang w:val="en" w:eastAsia="en-IN"/>
        </w:rPr>
        <w:id w:val="-891803320"/>
        <w:docPartObj>
          <w:docPartGallery w:val="Table of Contents"/>
          <w:docPartUnique/>
        </w:docPartObj>
      </w:sdtPr>
      <w:sdtEndPr>
        <w:rPr>
          <w:b/>
          <w:bCs/>
          <w:noProof/>
        </w:rPr>
      </w:sdtEndPr>
      <w:sdtContent>
        <w:p w14:paraId="41793F06" w14:textId="5C84959E" w:rsidR="00F6513E" w:rsidRPr="00EC1213" w:rsidRDefault="00F6513E" w:rsidP="0080056D">
          <w:pPr>
            <w:pStyle w:val="TOCHeading"/>
            <w:spacing w:line="360" w:lineRule="auto"/>
            <w:jc w:val="center"/>
            <w:rPr>
              <w:rFonts w:ascii="Arial" w:hAnsi="Arial" w:cs="Arial"/>
              <w:b/>
              <w:bCs/>
              <w:color w:val="000000" w:themeColor="text1"/>
              <w:sz w:val="22"/>
              <w:szCs w:val="22"/>
            </w:rPr>
          </w:pPr>
          <w:r w:rsidRPr="00EC1213">
            <w:rPr>
              <w:rFonts w:ascii="Arial" w:hAnsi="Arial" w:cs="Arial"/>
              <w:b/>
              <w:bCs/>
              <w:color w:val="000000" w:themeColor="text1"/>
              <w:sz w:val="22"/>
              <w:szCs w:val="22"/>
            </w:rPr>
            <w:t>Table of Contents</w:t>
          </w:r>
        </w:p>
        <w:p w14:paraId="46F96C59" w14:textId="1148F5FD" w:rsidR="0080056D" w:rsidRPr="00EC1213" w:rsidRDefault="00F6513E" w:rsidP="0080056D">
          <w:pPr>
            <w:pStyle w:val="TOC1"/>
            <w:tabs>
              <w:tab w:val="right" w:leader="dot" w:pos="9350"/>
            </w:tabs>
            <w:rPr>
              <w:rFonts w:ascii="Arial" w:eastAsiaTheme="minorEastAsia" w:hAnsi="Arial" w:cs="Arial"/>
              <w:noProof/>
              <w:kern w:val="2"/>
              <w:sz w:val="22"/>
              <w:szCs w:val="22"/>
              <w:lang w:val="en-IN"/>
              <w14:ligatures w14:val="standardContextual"/>
            </w:rPr>
          </w:pPr>
          <w:r w:rsidRPr="00EC1213">
            <w:rPr>
              <w:rFonts w:ascii="Arial" w:hAnsi="Arial" w:cs="Arial"/>
              <w:color w:val="000000" w:themeColor="text1"/>
              <w:sz w:val="22"/>
              <w:szCs w:val="22"/>
            </w:rPr>
            <w:fldChar w:fldCharType="begin"/>
          </w:r>
          <w:r w:rsidRPr="00EC1213">
            <w:rPr>
              <w:rFonts w:ascii="Arial" w:hAnsi="Arial" w:cs="Arial"/>
              <w:color w:val="000000" w:themeColor="text1"/>
              <w:sz w:val="22"/>
              <w:szCs w:val="22"/>
            </w:rPr>
            <w:instrText xml:space="preserve"> TOC \o "1-3" \h \z \u </w:instrText>
          </w:r>
          <w:r w:rsidRPr="00EC1213">
            <w:rPr>
              <w:rFonts w:ascii="Arial" w:hAnsi="Arial" w:cs="Arial"/>
              <w:color w:val="000000" w:themeColor="text1"/>
              <w:sz w:val="22"/>
              <w:szCs w:val="22"/>
            </w:rPr>
            <w:fldChar w:fldCharType="separate"/>
          </w:r>
          <w:hyperlink w:anchor="_Toc223795270" w:history="1">
            <w:r w:rsidR="0080056D" w:rsidRPr="00EC1213">
              <w:rPr>
                <w:rStyle w:val="Hyperlink"/>
                <w:rFonts w:ascii="Arial" w:eastAsia="Arial" w:hAnsi="Arial" w:cs="Arial"/>
                <w:noProof/>
                <w:sz w:val="22"/>
                <w:szCs w:val="22"/>
                <w:lang w:val="en-GB"/>
              </w:rPr>
              <w:t>Part A: Annotated Bibliography</w:t>
            </w:r>
            <w:r w:rsidR="0080056D" w:rsidRPr="00EC1213">
              <w:rPr>
                <w:rFonts w:ascii="Arial" w:hAnsi="Arial" w:cs="Arial"/>
                <w:noProof/>
                <w:webHidden/>
                <w:sz w:val="22"/>
                <w:szCs w:val="22"/>
              </w:rPr>
              <w:tab/>
            </w:r>
            <w:r w:rsidR="0080056D" w:rsidRPr="00EC1213">
              <w:rPr>
                <w:rFonts w:ascii="Arial" w:hAnsi="Arial" w:cs="Arial"/>
                <w:noProof/>
                <w:webHidden/>
                <w:sz w:val="22"/>
                <w:szCs w:val="22"/>
              </w:rPr>
              <w:fldChar w:fldCharType="begin"/>
            </w:r>
            <w:r w:rsidR="0080056D" w:rsidRPr="00EC1213">
              <w:rPr>
                <w:rFonts w:ascii="Arial" w:hAnsi="Arial" w:cs="Arial"/>
                <w:noProof/>
                <w:webHidden/>
                <w:sz w:val="22"/>
                <w:szCs w:val="22"/>
              </w:rPr>
              <w:instrText xml:space="preserve"> PAGEREF _Toc223795270 \h </w:instrText>
            </w:r>
            <w:r w:rsidR="0080056D" w:rsidRPr="00EC1213">
              <w:rPr>
                <w:rFonts w:ascii="Arial" w:hAnsi="Arial" w:cs="Arial"/>
                <w:noProof/>
                <w:webHidden/>
                <w:sz w:val="22"/>
                <w:szCs w:val="22"/>
              </w:rPr>
            </w:r>
            <w:r w:rsidR="0080056D" w:rsidRPr="00EC1213">
              <w:rPr>
                <w:rFonts w:ascii="Arial" w:hAnsi="Arial" w:cs="Arial"/>
                <w:noProof/>
                <w:webHidden/>
                <w:sz w:val="22"/>
                <w:szCs w:val="22"/>
              </w:rPr>
              <w:fldChar w:fldCharType="separate"/>
            </w:r>
            <w:r w:rsidR="0080056D" w:rsidRPr="00EC1213">
              <w:rPr>
                <w:rFonts w:ascii="Arial" w:hAnsi="Arial" w:cs="Arial"/>
                <w:noProof/>
                <w:webHidden/>
                <w:sz w:val="22"/>
                <w:szCs w:val="22"/>
              </w:rPr>
              <w:t>2</w:t>
            </w:r>
            <w:r w:rsidR="0080056D" w:rsidRPr="00EC1213">
              <w:rPr>
                <w:rFonts w:ascii="Arial" w:hAnsi="Arial" w:cs="Arial"/>
                <w:noProof/>
                <w:webHidden/>
                <w:sz w:val="22"/>
                <w:szCs w:val="22"/>
              </w:rPr>
              <w:fldChar w:fldCharType="end"/>
            </w:r>
          </w:hyperlink>
        </w:p>
        <w:p w14:paraId="69BE661A" w14:textId="3DE14081"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1" w:history="1">
            <w:r w:rsidRPr="00EC1213">
              <w:rPr>
                <w:rStyle w:val="Hyperlink"/>
                <w:rFonts w:ascii="Arial" w:eastAsia="Arial" w:hAnsi="Arial" w:cs="Arial"/>
                <w:noProof/>
                <w:sz w:val="22"/>
                <w:szCs w:val="22"/>
                <w:lang w:val="en-GB"/>
              </w:rPr>
              <w:t>Academic Source 1</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_Toc223795271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2</w:t>
            </w:r>
            <w:r w:rsidRPr="00EC1213">
              <w:rPr>
                <w:rFonts w:ascii="Arial" w:hAnsi="Arial" w:cs="Arial"/>
                <w:noProof/>
                <w:webHidden/>
                <w:sz w:val="22"/>
                <w:szCs w:val="22"/>
              </w:rPr>
              <w:fldChar w:fldCharType="end"/>
            </w:r>
          </w:hyperlink>
        </w:p>
        <w:p w14:paraId="485FD022" w14:textId="5BE5024C"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2" w:history="1">
            <w:r w:rsidRPr="00EC1213">
              <w:rPr>
                <w:rStyle w:val="Hyperlink"/>
                <w:rFonts w:ascii="Arial" w:eastAsia="Arial" w:hAnsi="Arial" w:cs="Arial"/>
                <w:noProof/>
                <w:sz w:val="22"/>
                <w:szCs w:val="22"/>
                <w:lang w:val="en-GB"/>
              </w:rPr>
              <w:t>Academic Source 2</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_Toc223795272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3</w:t>
            </w:r>
            <w:r w:rsidRPr="00EC1213">
              <w:rPr>
                <w:rFonts w:ascii="Arial" w:hAnsi="Arial" w:cs="Arial"/>
                <w:noProof/>
                <w:webHidden/>
                <w:sz w:val="22"/>
                <w:szCs w:val="22"/>
              </w:rPr>
              <w:fldChar w:fldCharType="end"/>
            </w:r>
          </w:hyperlink>
        </w:p>
        <w:p w14:paraId="1EC07648" w14:textId="46AF8101"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3" w:history="1">
            <w:r w:rsidRPr="00EC1213">
              <w:rPr>
                <w:rStyle w:val="Hyperlink"/>
                <w:rFonts w:ascii="Arial" w:eastAsia="Arial" w:hAnsi="Arial" w:cs="Arial"/>
                <w:noProof/>
                <w:sz w:val="22"/>
                <w:szCs w:val="22"/>
                <w:lang w:val="en-GB"/>
              </w:rPr>
              <w:t>Academic Source 3</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_Toc223795273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4</w:t>
            </w:r>
            <w:r w:rsidRPr="00EC1213">
              <w:rPr>
                <w:rFonts w:ascii="Arial" w:hAnsi="Arial" w:cs="Arial"/>
                <w:noProof/>
                <w:webHidden/>
                <w:sz w:val="22"/>
                <w:szCs w:val="22"/>
              </w:rPr>
              <w:fldChar w:fldCharType="end"/>
            </w:r>
          </w:hyperlink>
        </w:p>
        <w:p w14:paraId="58865809" w14:textId="2F245690"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4" w:history="1">
            <w:r w:rsidRPr="00EC1213">
              <w:rPr>
                <w:rStyle w:val="Hyperlink"/>
                <w:rFonts w:ascii="Arial" w:eastAsia="Arial" w:hAnsi="Arial" w:cs="Arial"/>
                <w:noProof/>
                <w:sz w:val="22"/>
                <w:szCs w:val="22"/>
                <w:lang w:val="en-GB"/>
              </w:rPr>
              <w:t>Academic Source 4</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_Toc223795274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5</w:t>
            </w:r>
            <w:r w:rsidRPr="00EC1213">
              <w:rPr>
                <w:rFonts w:ascii="Arial" w:hAnsi="Arial" w:cs="Arial"/>
                <w:noProof/>
                <w:webHidden/>
                <w:sz w:val="22"/>
                <w:szCs w:val="22"/>
              </w:rPr>
              <w:fldChar w:fldCharType="end"/>
            </w:r>
          </w:hyperlink>
        </w:p>
        <w:p w14:paraId="34EC2DBB" w14:textId="11368524" w:rsidR="0080056D" w:rsidRPr="00EC1213" w:rsidRDefault="0080056D" w:rsidP="0080056D">
          <w:pPr>
            <w:pStyle w:val="TOC1"/>
            <w:tabs>
              <w:tab w:val="right" w:leader="dot" w:pos="9350"/>
            </w:tabs>
            <w:rPr>
              <w:rFonts w:ascii="Arial" w:eastAsiaTheme="minorEastAsia" w:hAnsi="Arial" w:cs="Arial"/>
              <w:noProof/>
              <w:kern w:val="2"/>
              <w:sz w:val="22"/>
              <w:szCs w:val="22"/>
              <w:lang w:val="en-IN"/>
              <w14:ligatures w14:val="standardContextual"/>
            </w:rPr>
          </w:pPr>
          <w:hyperlink w:anchor="_Toc223795275" w:history="1">
            <w:r w:rsidRPr="00EC1213">
              <w:rPr>
                <w:rStyle w:val="Hyperlink"/>
                <w:rFonts w:ascii="Arial" w:eastAsia="Arial" w:hAnsi="Arial" w:cs="Arial"/>
                <w:noProof/>
                <w:sz w:val="22"/>
                <w:szCs w:val="22"/>
                <w:lang w:val="en-GB"/>
              </w:rPr>
              <w:t>Part B: Short Report</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_Toc223795275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6</w:t>
            </w:r>
            <w:r w:rsidRPr="00EC1213">
              <w:rPr>
                <w:rFonts w:ascii="Arial" w:hAnsi="Arial" w:cs="Arial"/>
                <w:noProof/>
                <w:webHidden/>
                <w:sz w:val="22"/>
                <w:szCs w:val="22"/>
              </w:rPr>
              <w:fldChar w:fldCharType="end"/>
            </w:r>
          </w:hyperlink>
        </w:p>
        <w:p w14:paraId="63A33E51" w14:textId="1F2D3F4B"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6" w:history="1">
            <w:r w:rsidRPr="00EC1213">
              <w:rPr>
                <w:rStyle w:val="Hyperlink"/>
                <w:rFonts w:ascii="Arial" w:eastAsia="Arial" w:hAnsi="Arial" w:cs="Arial"/>
                <w:noProof/>
                <w:sz w:val="22"/>
                <w:szCs w:val="22"/>
                <w:lang w:val="en-GB"/>
              </w:rPr>
              <w:t>Introduction</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_Toc223795276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6</w:t>
            </w:r>
            <w:r w:rsidRPr="00EC1213">
              <w:rPr>
                <w:rFonts w:ascii="Arial" w:hAnsi="Arial" w:cs="Arial"/>
                <w:noProof/>
                <w:webHidden/>
                <w:sz w:val="22"/>
                <w:szCs w:val="22"/>
              </w:rPr>
              <w:fldChar w:fldCharType="end"/>
            </w:r>
          </w:hyperlink>
        </w:p>
        <w:p w14:paraId="089A8C09" w14:textId="6869797E"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7" w:history="1">
            <w:r w:rsidRPr="00EC1213">
              <w:rPr>
                <w:rStyle w:val="Hyperlink"/>
                <w:rFonts w:ascii="Arial" w:eastAsia="Arial" w:hAnsi="Arial" w:cs="Arial"/>
                <w:noProof/>
                <w:sz w:val="22"/>
                <w:szCs w:val="22"/>
                <w:lang w:val="en-GB"/>
              </w:rPr>
              <w:t>Application of Havighurst’s Activity Theory to improve psychological wellbeing in older adults living in residential care</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_Toc223795277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6</w:t>
            </w:r>
            <w:r w:rsidRPr="00EC1213">
              <w:rPr>
                <w:rFonts w:ascii="Arial" w:hAnsi="Arial" w:cs="Arial"/>
                <w:noProof/>
                <w:webHidden/>
                <w:sz w:val="22"/>
                <w:szCs w:val="22"/>
              </w:rPr>
              <w:fldChar w:fldCharType="end"/>
            </w:r>
          </w:hyperlink>
        </w:p>
        <w:p w14:paraId="2BFAEA3F" w14:textId="4C727E9F"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8" w:history="1">
            <w:r w:rsidRPr="00EC1213">
              <w:rPr>
                <w:rStyle w:val="Hyperlink"/>
                <w:rFonts w:ascii="Arial" w:eastAsia="Arial" w:hAnsi="Arial" w:cs="Arial"/>
                <w:noProof/>
                <w:sz w:val="22"/>
                <w:szCs w:val="22"/>
                <w:lang w:val="en-GB"/>
              </w:rPr>
              <w:t>One real-world example to illustrate the application of Havighurst’s Activity Theory</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_Toc223795278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6</w:t>
            </w:r>
            <w:r w:rsidRPr="00EC1213">
              <w:rPr>
                <w:rFonts w:ascii="Arial" w:hAnsi="Arial" w:cs="Arial"/>
                <w:noProof/>
                <w:webHidden/>
                <w:sz w:val="22"/>
                <w:szCs w:val="22"/>
              </w:rPr>
              <w:fldChar w:fldCharType="end"/>
            </w:r>
          </w:hyperlink>
        </w:p>
        <w:p w14:paraId="53F93679" w14:textId="75D0C67B"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79" w:history="1">
            <w:r w:rsidRPr="00EC1213">
              <w:rPr>
                <w:rStyle w:val="Hyperlink"/>
                <w:rFonts w:ascii="Arial" w:eastAsia="Arial" w:hAnsi="Arial" w:cs="Arial"/>
                <w:noProof/>
                <w:sz w:val="22"/>
                <w:szCs w:val="22"/>
                <w:lang w:val="en-GB"/>
              </w:rPr>
              <w:t>One challenge professionals might face in application of the Havighurst’s Activity Theory and suggests strategy to overcome</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_Toc223795279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7</w:t>
            </w:r>
            <w:r w:rsidRPr="00EC1213">
              <w:rPr>
                <w:rFonts w:ascii="Arial" w:hAnsi="Arial" w:cs="Arial"/>
                <w:noProof/>
                <w:webHidden/>
                <w:sz w:val="22"/>
                <w:szCs w:val="22"/>
              </w:rPr>
              <w:fldChar w:fldCharType="end"/>
            </w:r>
          </w:hyperlink>
        </w:p>
        <w:p w14:paraId="1AAB93A8" w14:textId="79FF2520" w:rsidR="0080056D" w:rsidRPr="00EC1213" w:rsidRDefault="0080056D" w:rsidP="0080056D">
          <w:pPr>
            <w:pStyle w:val="TOC2"/>
            <w:tabs>
              <w:tab w:val="right" w:leader="dot" w:pos="9350"/>
            </w:tabs>
            <w:rPr>
              <w:rFonts w:ascii="Arial" w:eastAsiaTheme="minorEastAsia" w:hAnsi="Arial" w:cs="Arial"/>
              <w:noProof/>
              <w:kern w:val="2"/>
              <w:sz w:val="22"/>
              <w:szCs w:val="22"/>
              <w:lang w:val="en-IN"/>
              <w14:ligatures w14:val="standardContextual"/>
            </w:rPr>
          </w:pPr>
          <w:hyperlink w:anchor="_Toc223795280" w:history="1">
            <w:r w:rsidRPr="00EC1213">
              <w:rPr>
                <w:rStyle w:val="Hyperlink"/>
                <w:rFonts w:ascii="Arial" w:eastAsia="Arial" w:hAnsi="Arial" w:cs="Arial"/>
                <w:noProof/>
                <w:sz w:val="22"/>
                <w:szCs w:val="22"/>
                <w:lang w:val="en-GB"/>
              </w:rPr>
              <w:t>Conclusion</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_Toc223795280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7</w:t>
            </w:r>
            <w:r w:rsidRPr="00EC1213">
              <w:rPr>
                <w:rFonts w:ascii="Arial" w:hAnsi="Arial" w:cs="Arial"/>
                <w:noProof/>
                <w:webHidden/>
                <w:sz w:val="22"/>
                <w:szCs w:val="22"/>
              </w:rPr>
              <w:fldChar w:fldCharType="end"/>
            </w:r>
          </w:hyperlink>
        </w:p>
        <w:p w14:paraId="434C4363" w14:textId="586A372D" w:rsidR="0080056D" w:rsidRPr="00EC1213" w:rsidRDefault="0080056D" w:rsidP="0080056D">
          <w:pPr>
            <w:pStyle w:val="TOC1"/>
            <w:tabs>
              <w:tab w:val="right" w:leader="dot" w:pos="9350"/>
            </w:tabs>
            <w:rPr>
              <w:rFonts w:ascii="Arial" w:eastAsiaTheme="minorEastAsia" w:hAnsi="Arial" w:cs="Arial"/>
              <w:noProof/>
              <w:kern w:val="2"/>
              <w:sz w:val="22"/>
              <w:szCs w:val="22"/>
              <w:lang w:val="en-IN"/>
              <w14:ligatures w14:val="standardContextual"/>
            </w:rPr>
          </w:pPr>
          <w:hyperlink w:anchor="_Toc223795281" w:history="1">
            <w:r w:rsidRPr="00EC1213">
              <w:rPr>
                <w:rStyle w:val="Hyperlink"/>
                <w:rFonts w:ascii="Arial" w:eastAsia="Arial" w:hAnsi="Arial" w:cs="Arial"/>
                <w:noProof/>
                <w:sz w:val="22"/>
                <w:szCs w:val="22"/>
                <w:lang w:val="en-GB"/>
              </w:rPr>
              <w:t>Reference List</w:t>
            </w:r>
            <w:r w:rsidRPr="00EC1213">
              <w:rPr>
                <w:rFonts w:ascii="Arial" w:hAnsi="Arial" w:cs="Arial"/>
                <w:noProof/>
                <w:webHidden/>
                <w:sz w:val="22"/>
                <w:szCs w:val="22"/>
              </w:rPr>
              <w:tab/>
            </w:r>
            <w:r w:rsidRPr="00EC1213">
              <w:rPr>
                <w:rFonts w:ascii="Arial" w:hAnsi="Arial" w:cs="Arial"/>
                <w:noProof/>
                <w:webHidden/>
                <w:sz w:val="22"/>
                <w:szCs w:val="22"/>
              </w:rPr>
              <w:fldChar w:fldCharType="begin"/>
            </w:r>
            <w:r w:rsidRPr="00EC1213">
              <w:rPr>
                <w:rFonts w:ascii="Arial" w:hAnsi="Arial" w:cs="Arial"/>
                <w:noProof/>
                <w:webHidden/>
                <w:sz w:val="22"/>
                <w:szCs w:val="22"/>
              </w:rPr>
              <w:instrText xml:space="preserve"> PAGEREF _Toc223795281 \h </w:instrText>
            </w:r>
            <w:r w:rsidRPr="00EC1213">
              <w:rPr>
                <w:rFonts w:ascii="Arial" w:hAnsi="Arial" w:cs="Arial"/>
                <w:noProof/>
                <w:webHidden/>
                <w:sz w:val="22"/>
                <w:szCs w:val="22"/>
              </w:rPr>
            </w:r>
            <w:r w:rsidRPr="00EC1213">
              <w:rPr>
                <w:rFonts w:ascii="Arial" w:hAnsi="Arial" w:cs="Arial"/>
                <w:noProof/>
                <w:webHidden/>
                <w:sz w:val="22"/>
                <w:szCs w:val="22"/>
              </w:rPr>
              <w:fldChar w:fldCharType="separate"/>
            </w:r>
            <w:r w:rsidRPr="00EC1213">
              <w:rPr>
                <w:rFonts w:ascii="Arial" w:hAnsi="Arial" w:cs="Arial"/>
                <w:noProof/>
                <w:webHidden/>
                <w:sz w:val="22"/>
                <w:szCs w:val="22"/>
              </w:rPr>
              <w:t>8</w:t>
            </w:r>
            <w:r w:rsidRPr="00EC1213">
              <w:rPr>
                <w:rFonts w:ascii="Arial" w:hAnsi="Arial" w:cs="Arial"/>
                <w:noProof/>
                <w:webHidden/>
                <w:sz w:val="22"/>
                <w:szCs w:val="22"/>
              </w:rPr>
              <w:fldChar w:fldCharType="end"/>
            </w:r>
          </w:hyperlink>
        </w:p>
        <w:p w14:paraId="6373ADCE" w14:textId="5FC1FF02" w:rsidR="00F6513E" w:rsidRPr="00EC1213" w:rsidRDefault="00F6513E" w:rsidP="0080056D">
          <w:pPr>
            <w:rPr>
              <w:rFonts w:ascii="Arial" w:hAnsi="Arial" w:cs="Arial"/>
              <w:color w:val="000000" w:themeColor="text1"/>
              <w:sz w:val="22"/>
              <w:szCs w:val="22"/>
            </w:rPr>
          </w:pPr>
          <w:r w:rsidRPr="00EC1213">
            <w:rPr>
              <w:rFonts w:ascii="Arial" w:hAnsi="Arial" w:cs="Arial"/>
              <w:b/>
              <w:bCs/>
              <w:noProof/>
              <w:color w:val="000000" w:themeColor="text1"/>
              <w:sz w:val="22"/>
              <w:szCs w:val="22"/>
            </w:rPr>
            <w:fldChar w:fldCharType="end"/>
          </w:r>
        </w:p>
      </w:sdtContent>
    </w:sdt>
    <w:p w14:paraId="00000006" w14:textId="56CBD25D" w:rsidR="006F0753" w:rsidRPr="00EC1213" w:rsidRDefault="00837E8C" w:rsidP="00F6513E">
      <w:pPr>
        <w:jc w:val="center"/>
        <w:rPr>
          <w:rFonts w:ascii="Arial" w:eastAsia="Arial" w:hAnsi="Arial" w:cs="Arial"/>
          <w:color w:val="000000" w:themeColor="text1"/>
          <w:sz w:val="22"/>
          <w:szCs w:val="22"/>
          <w:lang w:val="en-GB"/>
        </w:rPr>
      </w:pPr>
      <w:r w:rsidRPr="00EC1213">
        <w:rPr>
          <w:rFonts w:ascii="Arial" w:hAnsi="Arial" w:cs="Arial"/>
          <w:color w:val="000000" w:themeColor="text1"/>
          <w:sz w:val="22"/>
          <w:szCs w:val="22"/>
          <w:lang w:val="en-GB"/>
        </w:rPr>
        <w:br w:type="page"/>
      </w:r>
    </w:p>
    <w:p w14:paraId="00000007" w14:textId="77777777" w:rsidR="006F0753" w:rsidRPr="00EC1213" w:rsidRDefault="00837E8C" w:rsidP="00F6513E">
      <w:pPr>
        <w:pStyle w:val="Heading1"/>
        <w:rPr>
          <w:rFonts w:ascii="Arial" w:eastAsia="Arial" w:hAnsi="Arial" w:cs="Arial"/>
          <w:color w:val="000000" w:themeColor="text1"/>
          <w:sz w:val="22"/>
          <w:szCs w:val="22"/>
          <w:highlight w:val="yellow"/>
          <w:lang w:val="en-GB"/>
        </w:rPr>
      </w:pPr>
      <w:bookmarkStart w:id="6" w:name="_681bytokma2z" w:colFirst="0" w:colLast="0"/>
      <w:bookmarkStart w:id="7" w:name="_Toc223795270"/>
      <w:bookmarkEnd w:id="6"/>
      <w:r w:rsidRPr="00EC1213">
        <w:rPr>
          <w:rFonts w:ascii="Arial" w:eastAsia="Arial" w:hAnsi="Arial" w:cs="Arial"/>
          <w:color w:val="000000" w:themeColor="text1"/>
          <w:sz w:val="22"/>
          <w:szCs w:val="22"/>
          <w:lang w:val="en-GB"/>
        </w:rPr>
        <w:lastRenderedPageBreak/>
        <w:t>Part A: Annotated Bibliography</w:t>
      </w:r>
      <w:bookmarkEnd w:id="7"/>
    </w:p>
    <w:p w14:paraId="00000008" w14:textId="77777777" w:rsidR="006F0753" w:rsidRPr="00EC1213" w:rsidRDefault="00837E8C" w:rsidP="00F6513E">
      <w:pPr>
        <w:pStyle w:val="Heading2"/>
        <w:rPr>
          <w:rFonts w:ascii="Arial" w:eastAsia="Arial" w:hAnsi="Arial" w:cs="Arial"/>
          <w:color w:val="000000" w:themeColor="text1"/>
          <w:sz w:val="22"/>
          <w:szCs w:val="22"/>
          <w:lang w:val="en-GB"/>
        </w:rPr>
      </w:pPr>
      <w:bookmarkStart w:id="8" w:name="_j01cunhfbf2d" w:colFirst="0" w:colLast="0"/>
      <w:bookmarkStart w:id="9" w:name="_Toc223795271"/>
      <w:bookmarkEnd w:id="8"/>
      <w:r w:rsidRPr="00EC1213">
        <w:rPr>
          <w:rFonts w:ascii="Arial" w:eastAsia="Arial" w:hAnsi="Arial" w:cs="Arial"/>
          <w:color w:val="000000" w:themeColor="text1"/>
          <w:sz w:val="22"/>
          <w:szCs w:val="22"/>
          <w:lang w:val="en-GB"/>
        </w:rPr>
        <w:t>Academic Source 1</w:t>
      </w:r>
      <w:bookmarkEnd w:id="9"/>
    </w:p>
    <w:p w14:paraId="00000009"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b/>
          <w:bCs/>
          <w:color w:val="000000" w:themeColor="text1"/>
          <w:sz w:val="22"/>
          <w:szCs w:val="22"/>
          <w:lang w:val="en-GB"/>
        </w:rPr>
        <w:t>Reference:</w:t>
      </w:r>
      <w:r w:rsidRPr="00EC1213">
        <w:rPr>
          <w:rFonts w:ascii="Arial" w:eastAsia="Arial" w:hAnsi="Arial" w:cs="Arial"/>
          <w:color w:val="000000" w:themeColor="text1"/>
          <w:sz w:val="22"/>
          <w:szCs w:val="22"/>
          <w:lang w:val="en-GB"/>
        </w:rPr>
        <w:t xml:space="preserve"> “</w:t>
      </w:r>
      <w:r w:rsidRPr="00EC1213">
        <w:rPr>
          <w:rFonts w:ascii="Arial" w:eastAsia="Arial" w:hAnsi="Arial" w:cs="Arial"/>
          <w:color w:val="000000" w:themeColor="text1"/>
          <w:sz w:val="22"/>
          <w:szCs w:val="22"/>
          <w:highlight w:val="white"/>
          <w:lang w:val="en-GB"/>
        </w:rPr>
        <w:t xml:space="preserve">Timm, J., Block, H., </w:t>
      </w:r>
      <w:proofErr w:type="spellStart"/>
      <w:r w:rsidRPr="00EC1213">
        <w:rPr>
          <w:rFonts w:ascii="Arial" w:eastAsia="Arial" w:hAnsi="Arial" w:cs="Arial"/>
          <w:color w:val="000000" w:themeColor="text1"/>
          <w:sz w:val="22"/>
          <w:szCs w:val="22"/>
          <w:highlight w:val="white"/>
          <w:lang w:val="en-GB"/>
        </w:rPr>
        <w:t>Boanca</w:t>
      </w:r>
      <w:proofErr w:type="spellEnd"/>
      <w:r w:rsidRPr="00EC1213">
        <w:rPr>
          <w:rFonts w:ascii="Arial" w:eastAsia="Arial" w:hAnsi="Arial" w:cs="Arial"/>
          <w:color w:val="000000" w:themeColor="text1"/>
          <w:sz w:val="22"/>
          <w:szCs w:val="22"/>
          <w:highlight w:val="white"/>
          <w:lang w:val="en-GB"/>
        </w:rPr>
        <w:t xml:space="preserve">, G. and Acquaye, H.E., (2022). ‘An exploratory study on the relationship between completion of Erikson’s fourth psychosocial stage and assurance of salvation’. </w:t>
      </w:r>
      <w:r w:rsidRPr="00EC1213">
        <w:rPr>
          <w:rFonts w:ascii="Arial" w:eastAsia="Arial" w:hAnsi="Arial" w:cs="Arial"/>
          <w:i/>
          <w:iCs/>
          <w:color w:val="000000" w:themeColor="text1"/>
          <w:sz w:val="22"/>
          <w:szCs w:val="22"/>
          <w:highlight w:val="white"/>
          <w:lang w:val="en-GB"/>
        </w:rPr>
        <w:t>Journal of Spirituality in Mental Health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24</w:t>
      </w:r>
      <w:r w:rsidRPr="00EC1213">
        <w:rPr>
          <w:rFonts w:ascii="Arial" w:eastAsia="Arial" w:hAnsi="Arial" w:cs="Arial"/>
          <w:color w:val="000000" w:themeColor="text1"/>
          <w:sz w:val="22"/>
          <w:szCs w:val="22"/>
          <w:highlight w:val="white"/>
          <w:lang w:val="en-GB"/>
        </w:rPr>
        <w:t xml:space="preserve">(1), pp.53-73. </w:t>
      </w:r>
      <w:r w:rsidRPr="00EC1213">
        <w:rPr>
          <w:rFonts w:ascii="Arial" w:eastAsia="Arial" w:hAnsi="Arial" w:cs="Arial"/>
          <w:color w:val="000000" w:themeColor="text1"/>
          <w:sz w:val="22"/>
          <w:szCs w:val="22"/>
          <w:lang w:val="en-GB"/>
        </w:rPr>
        <w:t>Available at: https://www.researchgate.net/profile/Hannah-Acquaye/publication/343446352_An_exploratory_study_on_the_relationship_between_completion_of_Erikson%27s_fourth_psychosocial_stage_and_assurance_of_salvation/links/60e3415892851ca944ab006e/An-exploratory-study-on-the-relationship-between-completion-of-Eriksons-fourth-psychosocial-stage-and-assurance-of-salvation.pdf”</w:t>
      </w:r>
    </w:p>
    <w:p w14:paraId="0000000A"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Summary of the Source’s Findings</w:t>
      </w:r>
    </w:p>
    <w:p w14:paraId="0000000B"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The study by Timm </w:t>
      </w:r>
      <w:r w:rsidRPr="00EC1213">
        <w:rPr>
          <w:rFonts w:ascii="Arial" w:eastAsia="Arial" w:hAnsi="Arial" w:cs="Arial"/>
          <w:i/>
          <w:iCs/>
          <w:color w:val="000000" w:themeColor="text1"/>
          <w:sz w:val="22"/>
          <w:szCs w:val="22"/>
          <w:lang w:val="en-GB"/>
        </w:rPr>
        <w:t xml:space="preserve">et al. </w:t>
      </w:r>
      <w:r w:rsidRPr="00EC1213">
        <w:rPr>
          <w:rFonts w:ascii="Arial" w:eastAsia="Arial" w:hAnsi="Arial" w:cs="Arial"/>
          <w:color w:val="000000" w:themeColor="text1"/>
          <w:sz w:val="22"/>
          <w:szCs w:val="22"/>
          <w:lang w:val="en-GB"/>
        </w:rPr>
        <w:t xml:space="preserve">(2022), focused on exploring the relationship between industry stage versus the competition of inferiority of “Erikson’s Theory of Psychosocial Development” or “Erikson’s psychosocial stages” along with discerning assurance of salvation. Based on the findings of research, it can be stated that despite there was no correlation between the identified two variables, it can be noted that mean differences were noted between recognised assurance of salvation as well as gender; assurance of generational age and salvation; and assurance of academic qualification and salvation. Considering the research findings, assurance of salvation attributes varies by generation, gender and academic level along with this, it assists in suggesting tailored pastoral care (Timm </w:t>
      </w:r>
      <w:r w:rsidRPr="00EC1213">
        <w:rPr>
          <w:rFonts w:ascii="Arial" w:eastAsia="Arial" w:hAnsi="Arial" w:cs="Arial"/>
          <w:i/>
          <w:iCs/>
          <w:color w:val="000000" w:themeColor="text1"/>
          <w:sz w:val="22"/>
          <w:szCs w:val="22"/>
          <w:lang w:val="en-GB"/>
        </w:rPr>
        <w:t xml:space="preserve">et al., </w:t>
      </w:r>
      <w:r w:rsidRPr="00EC1213">
        <w:rPr>
          <w:rFonts w:ascii="Arial" w:eastAsia="Arial" w:hAnsi="Arial" w:cs="Arial"/>
          <w:color w:val="000000" w:themeColor="text1"/>
          <w:sz w:val="22"/>
          <w:szCs w:val="22"/>
          <w:lang w:val="en-GB"/>
        </w:rPr>
        <w:t>2022). The findings of the research also illustrate that in health as well as social settings, supporting older adults needs addressing their existential or spiritual security (faith) and functional competence (industry) to promote well-being.</w:t>
      </w:r>
    </w:p>
    <w:p w14:paraId="0000000C"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Relevance to Supporting Older Adults in Health and Social Care Settings</w:t>
      </w:r>
    </w:p>
    <w:p w14:paraId="0000000D"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The respective source is relevant in supporting older adults in health and social care due to the better understanding of “Erikson’s psychosocial stages”. The research offers limited direct correlation yet reflects key psychosocial as well as spiritual needs among older adults. The holistic approach to aging that includes social, psychological and spiritual (faith-based) dimensions, that are significant for compassionate and person-</w:t>
      </w:r>
      <w:proofErr w:type="spellStart"/>
      <w:r w:rsidRPr="00EC1213">
        <w:rPr>
          <w:rFonts w:ascii="Arial" w:eastAsia="Arial" w:hAnsi="Arial" w:cs="Arial"/>
          <w:color w:val="000000" w:themeColor="text1"/>
          <w:sz w:val="22"/>
          <w:szCs w:val="22"/>
          <w:lang w:val="en-GB"/>
        </w:rPr>
        <w:t>centered</w:t>
      </w:r>
      <w:proofErr w:type="spellEnd"/>
      <w:r w:rsidRPr="00EC1213">
        <w:rPr>
          <w:rFonts w:ascii="Arial" w:eastAsia="Arial" w:hAnsi="Arial" w:cs="Arial"/>
          <w:color w:val="000000" w:themeColor="text1"/>
          <w:sz w:val="22"/>
          <w:szCs w:val="22"/>
          <w:lang w:val="en-GB"/>
        </w:rPr>
        <w:t xml:space="preserve"> care.</w:t>
      </w:r>
    </w:p>
    <w:p w14:paraId="54BED2D5" w14:textId="77777777" w:rsidR="00614EEE" w:rsidRPr="00EC1213" w:rsidRDefault="00614EEE">
      <w:pPr>
        <w:rPr>
          <w:rFonts w:ascii="Arial" w:hAnsi="Arial" w:cs="Arial"/>
          <w:b/>
          <w:bCs/>
          <w:i/>
          <w:iCs/>
          <w:color w:val="000000" w:themeColor="text1"/>
          <w:sz w:val="22"/>
          <w:szCs w:val="22"/>
          <w:lang w:val="en-GB"/>
        </w:rPr>
      </w:pPr>
      <w:bookmarkStart w:id="10" w:name="_vmk009rmuvpx" w:colFirst="0" w:colLast="0"/>
      <w:bookmarkStart w:id="11" w:name="_kxnxsjlrjr3m" w:colFirst="0" w:colLast="0"/>
      <w:bookmarkEnd w:id="10"/>
      <w:bookmarkEnd w:id="11"/>
      <w:r w:rsidRPr="00EC1213">
        <w:rPr>
          <w:rFonts w:ascii="Arial" w:hAnsi="Arial" w:cs="Arial"/>
          <w:color w:val="000000" w:themeColor="text1"/>
          <w:sz w:val="22"/>
          <w:szCs w:val="22"/>
          <w:lang w:val="en-GB"/>
        </w:rPr>
        <w:br w:type="page"/>
      </w:r>
    </w:p>
    <w:p w14:paraId="0000000F" w14:textId="4B85529B" w:rsidR="006F0753" w:rsidRPr="00EC1213" w:rsidRDefault="00837E8C" w:rsidP="00F6513E">
      <w:pPr>
        <w:pStyle w:val="Heading2"/>
        <w:rPr>
          <w:rFonts w:ascii="Arial" w:eastAsia="Arial" w:hAnsi="Arial" w:cs="Arial"/>
          <w:color w:val="000000" w:themeColor="text1"/>
          <w:sz w:val="22"/>
          <w:szCs w:val="22"/>
          <w:lang w:val="en-GB"/>
        </w:rPr>
      </w:pPr>
      <w:bookmarkStart w:id="12" w:name="_Toc223795272"/>
      <w:r w:rsidRPr="00EC1213">
        <w:rPr>
          <w:rFonts w:ascii="Arial" w:eastAsia="Arial" w:hAnsi="Arial" w:cs="Arial"/>
          <w:color w:val="000000" w:themeColor="text1"/>
          <w:sz w:val="22"/>
          <w:szCs w:val="22"/>
          <w:lang w:val="en-GB"/>
        </w:rPr>
        <w:lastRenderedPageBreak/>
        <w:t>Academic Source 2</w:t>
      </w:r>
      <w:bookmarkEnd w:id="12"/>
    </w:p>
    <w:p w14:paraId="00000010"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b/>
          <w:bCs/>
          <w:color w:val="000000" w:themeColor="text1"/>
          <w:sz w:val="22"/>
          <w:szCs w:val="22"/>
          <w:lang w:val="en-GB"/>
        </w:rPr>
        <w:t>Reference:</w:t>
      </w:r>
      <w:r w:rsidRPr="00EC1213">
        <w:rPr>
          <w:rFonts w:ascii="Arial" w:eastAsia="Arial" w:hAnsi="Arial" w:cs="Arial"/>
          <w:color w:val="000000" w:themeColor="text1"/>
          <w:sz w:val="22"/>
          <w:szCs w:val="22"/>
          <w:lang w:val="en-GB"/>
        </w:rPr>
        <w:t xml:space="preserve"> “</w:t>
      </w:r>
      <w:r w:rsidRPr="00EC1213">
        <w:rPr>
          <w:rFonts w:ascii="Arial" w:eastAsia="Arial" w:hAnsi="Arial" w:cs="Arial"/>
          <w:color w:val="000000" w:themeColor="text1"/>
          <w:sz w:val="22"/>
          <w:szCs w:val="22"/>
          <w:highlight w:val="white"/>
          <w:lang w:val="en-GB"/>
        </w:rPr>
        <w:t xml:space="preserve">Verma, M. and Sureka, R.K., (2024). ‘Sociological Theories of Ageing and Their Influence on the Quality of Life of the Elderly’. </w:t>
      </w:r>
      <w:r w:rsidRPr="00EC1213">
        <w:rPr>
          <w:rFonts w:ascii="Arial" w:eastAsia="Arial" w:hAnsi="Arial" w:cs="Arial"/>
          <w:i/>
          <w:iCs/>
          <w:color w:val="000000" w:themeColor="text1"/>
          <w:sz w:val="22"/>
          <w:szCs w:val="22"/>
          <w:highlight w:val="white"/>
          <w:lang w:val="en-GB"/>
        </w:rPr>
        <w:t>Research &amp; Review: Journal of Geriatric Nursing and Health Sciences</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6</w:t>
      </w:r>
      <w:r w:rsidRPr="00EC1213">
        <w:rPr>
          <w:rFonts w:ascii="Arial" w:eastAsia="Arial" w:hAnsi="Arial" w:cs="Arial"/>
          <w:color w:val="000000" w:themeColor="text1"/>
          <w:sz w:val="22"/>
          <w:szCs w:val="22"/>
          <w:highlight w:val="white"/>
          <w:lang w:val="en-GB"/>
        </w:rPr>
        <w:t xml:space="preserve">(1), pp.4-12. </w:t>
      </w:r>
      <w:r w:rsidRPr="00EC1213">
        <w:rPr>
          <w:rFonts w:ascii="Arial" w:eastAsia="Arial" w:hAnsi="Arial" w:cs="Arial"/>
          <w:color w:val="000000" w:themeColor="text1"/>
          <w:sz w:val="22"/>
          <w:szCs w:val="22"/>
          <w:lang w:val="en-GB"/>
        </w:rPr>
        <w:t>Available at: https://www.researchgate.net/profile/Ritu-Sureka/publication/387947091_Sociological_Theories_of_Ageing_and_Their_Influence_on_the_Quality_of_Life_of_the_Elderly/links/67852cc5d587995ad102cd84/Sociological-Theories-of-Ageing-and-Their-Influence-on-the-Quality-of-Life-of-the-Elderly.pdf”</w:t>
      </w:r>
    </w:p>
    <w:p w14:paraId="00000011"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Summary of the Source’s Findings</w:t>
      </w:r>
    </w:p>
    <w:p w14:paraId="00000012"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According to the research by Verma and Sureka (2024), it can be noted that aging reflects a decline in cognitive, physiological as well as sensory functions that can reflect increased risks of frailty, chronic diseases and disability. It can be noted that apart from such changes the psychosocial factors such as loss of social support and retirement can lower the “Quality of Life (QoL)” through diminishing mobility and independence. Based on the findings, considering the “Activity Theory”, by Havighurst the quality of life as well as nutritional status of adults and elderly might be well balanced or maintained in the later part of life as social interaction reflects a notable role in daily life (Verma and Sureka, 2024).</w:t>
      </w:r>
    </w:p>
    <w:p w14:paraId="00000013"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Relevance to Supporting Older Adults in Health and Social Care Settings</w:t>
      </w:r>
    </w:p>
    <w:p w14:paraId="00000014"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The respective source aligns in supporting older adults in the health and social care settings as “sociological theories” of ageing, such as Continuity, Activity and Disengagement are significant in health as well as social care that can aid to improve the “Quality of Life (QoL)” of older adults with the help of tailoring support based on emotional, social, and physical needs.</w:t>
      </w:r>
    </w:p>
    <w:p w14:paraId="5C4CDECD" w14:textId="77777777" w:rsidR="00F93075" w:rsidRPr="00EC1213" w:rsidRDefault="00F93075">
      <w:pPr>
        <w:rPr>
          <w:rFonts w:ascii="Arial" w:hAnsi="Arial" w:cs="Arial"/>
          <w:b/>
          <w:bCs/>
          <w:i/>
          <w:iCs/>
          <w:color w:val="000000" w:themeColor="text1"/>
          <w:sz w:val="22"/>
          <w:szCs w:val="22"/>
          <w:lang w:val="en-GB"/>
        </w:rPr>
      </w:pPr>
      <w:bookmarkStart w:id="13" w:name="_njt6kgrcx8e7" w:colFirst="0" w:colLast="0"/>
      <w:bookmarkStart w:id="14" w:name="_5gptg2f20j7s" w:colFirst="0" w:colLast="0"/>
      <w:bookmarkEnd w:id="13"/>
      <w:bookmarkEnd w:id="14"/>
      <w:r w:rsidRPr="00EC1213">
        <w:rPr>
          <w:rFonts w:ascii="Arial" w:hAnsi="Arial" w:cs="Arial"/>
          <w:color w:val="000000" w:themeColor="text1"/>
          <w:sz w:val="22"/>
          <w:szCs w:val="22"/>
          <w:lang w:val="en-GB"/>
        </w:rPr>
        <w:br w:type="page"/>
      </w:r>
    </w:p>
    <w:p w14:paraId="00000016" w14:textId="28A4FB63" w:rsidR="006F0753" w:rsidRPr="00EC1213" w:rsidRDefault="00837E8C" w:rsidP="00F6513E">
      <w:pPr>
        <w:pStyle w:val="Heading2"/>
        <w:rPr>
          <w:rFonts w:ascii="Arial" w:eastAsia="Arial" w:hAnsi="Arial" w:cs="Arial"/>
          <w:color w:val="000000" w:themeColor="text1"/>
          <w:sz w:val="22"/>
          <w:szCs w:val="22"/>
          <w:lang w:val="en-GB"/>
        </w:rPr>
      </w:pPr>
      <w:bookmarkStart w:id="15" w:name="_Toc223795273"/>
      <w:r w:rsidRPr="00EC1213">
        <w:rPr>
          <w:rFonts w:ascii="Arial" w:eastAsia="Arial" w:hAnsi="Arial" w:cs="Arial"/>
          <w:color w:val="000000" w:themeColor="text1"/>
          <w:sz w:val="22"/>
          <w:szCs w:val="22"/>
          <w:lang w:val="en-GB"/>
        </w:rPr>
        <w:lastRenderedPageBreak/>
        <w:t>Academic Source 3</w:t>
      </w:r>
      <w:bookmarkEnd w:id="15"/>
    </w:p>
    <w:p w14:paraId="00000017"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b/>
          <w:bCs/>
          <w:color w:val="000000" w:themeColor="text1"/>
          <w:sz w:val="22"/>
          <w:szCs w:val="22"/>
          <w:lang w:val="en-GB"/>
        </w:rPr>
        <w:t>Reference:</w:t>
      </w:r>
      <w:r w:rsidRPr="00EC1213">
        <w:rPr>
          <w:rFonts w:ascii="Arial" w:eastAsia="Arial" w:hAnsi="Arial" w:cs="Arial"/>
          <w:color w:val="000000" w:themeColor="text1"/>
          <w:sz w:val="22"/>
          <w:szCs w:val="22"/>
          <w:lang w:val="en-GB"/>
        </w:rPr>
        <w:t xml:space="preserve"> “</w:t>
      </w:r>
      <w:r w:rsidRPr="00EC1213">
        <w:rPr>
          <w:rFonts w:ascii="Arial" w:eastAsia="Arial" w:hAnsi="Arial" w:cs="Arial"/>
          <w:color w:val="000000" w:themeColor="text1"/>
          <w:sz w:val="22"/>
          <w:szCs w:val="22"/>
          <w:highlight w:val="white"/>
          <w:lang w:val="en-GB"/>
        </w:rPr>
        <w:t xml:space="preserve">Rodway, C. and Spencer, R., (2025). ‘Attachment in Old Age: A Fundamental Pillar for Public Health and Wellbeing’. </w:t>
      </w:r>
      <w:r w:rsidRPr="00EC1213">
        <w:rPr>
          <w:rFonts w:ascii="Arial" w:eastAsia="Arial" w:hAnsi="Arial" w:cs="Arial"/>
          <w:i/>
          <w:iCs/>
          <w:color w:val="000000" w:themeColor="text1"/>
          <w:sz w:val="22"/>
          <w:szCs w:val="22"/>
          <w:highlight w:val="white"/>
          <w:lang w:val="en-GB"/>
        </w:rPr>
        <w:t>International Journal of Public Health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70</w:t>
      </w:r>
      <w:r w:rsidRPr="00EC1213">
        <w:rPr>
          <w:rFonts w:ascii="Arial" w:eastAsia="Arial" w:hAnsi="Arial" w:cs="Arial"/>
          <w:color w:val="000000" w:themeColor="text1"/>
          <w:sz w:val="22"/>
          <w:szCs w:val="22"/>
          <w:highlight w:val="white"/>
          <w:lang w:val="en-GB"/>
        </w:rPr>
        <w:t xml:space="preserve">, p.1607770. </w:t>
      </w:r>
      <w:r w:rsidRPr="00EC1213">
        <w:rPr>
          <w:rFonts w:ascii="Arial" w:eastAsia="Arial" w:hAnsi="Arial" w:cs="Arial"/>
          <w:color w:val="000000" w:themeColor="text1"/>
          <w:sz w:val="22"/>
          <w:szCs w:val="22"/>
          <w:lang w:val="en-GB"/>
        </w:rPr>
        <w:t>Available at: https://pdfs.semanticscholar.org/1822/0a9a7aff53dcbd1c3320b5b93bf21ea1ecce.pdf”</w:t>
      </w:r>
    </w:p>
    <w:p w14:paraId="00000018"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Summary of the Source’s Findings</w:t>
      </w:r>
    </w:p>
    <w:p w14:paraId="00000019"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Considering the findings from the research of Rodway and Spencer (2025), it can be noted that attachment in old age is significant, yet overlooked. In addition, attachment directly impacts the physical and mental well-being that influences older adults to cope with disease, aging and social isolation. Based on the research attributes, it can be noted that the integration of “Attachment Theory” into care of the older adults with PHC can enhance clinical effectiveness along with this fostering human therapeutic relationships followed by optimized wellbeing in the later life (Rodway and Spencer, 2025).</w:t>
      </w:r>
    </w:p>
    <w:p w14:paraId="0000001A"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Relevance to Supporting Older Adults in Health and Social Care Settings</w:t>
      </w:r>
    </w:p>
    <w:p w14:paraId="0000001B"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The respective source is relevant for supporting older adults in the social and health care settings as it highlights that attachment considering the “Attachment Theory” in old age is significant and a pillar for public health that assists in providing a protective buffer to improve wellbeing in care settings.</w:t>
      </w:r>
    </w:p>
    <w:p w14:paraId="1E1B4B4B" w14:textId="77777777" w:rsidR="003F5711" w:rsidRPr="00EC1213" w:rsidRDefault="003F5711">
      <w:pPr>
        <w:rPr>
          <w:rFonts w:ascii="Arial" w:hAnsi="Arial" w:cs="Arial"/>
          <w:b/>
          <w:bCs/>
          <w:i/>
          <w:iCs/>
          <w:color w:val="000000" w:themeColor="text1"/>
          <w:sz w:val="22"/>
          <w:szCs w:val="22"/>
          <w:lang w:val="en-GB"/>
        </w:rPr>
      </w:pPr>
      <w:bookmarkStart w:id="16" w:name="_668d94ojjs3x" w:colFirst="0" w:colLast="0"/>
      <w:bookmarkStart w:id="17" w:name="_i2w11nt124ij" w:colFirst="0" w:colLast="0"/>
      <w:bookmarkEnd w:id="16"/>
      <w:bookmarkEnd w:id="17"/>
      <w:r w:rsidRPr="00EC1213">
        <w:rPr>
          <w:rFonts w:ascii="Arial" w:hAnsi="Arial" w:cs="Arial"/>
          <w:color w:val="000000" w:themeColor="text1"/>
          <w:sz w:val="22"/>
          <w:szCs w:val="22"/>
          <w:lang w:val="en-GB"/>
        </w:rPr>
        <w:br w:type="page"/>
      </w:r>
    </w:p>
    <w:p w14:paraId="0000001D" w14:textId="6D6A325F" w:rsidR="006F0753" w:rsidRPr="00EC1213" w:rsidRDefault="00837E8C" w:rsidP="00F6513E">
      <w:pPr>
        <w:pStyle w:val="Heading2"/>
        <w:rPr>
          <w:rFonts w:ascii="Arial" w:eastAsia="Arial" w:hAnsi="Arial" w:cs="Arial"/>
          <w:color w:val="000000" w:themeColor="text1"/>
          <w:sz w:val="22"/>
          <w:szCs w:val="22"/>
          <w:lang w:val="en-GB"/>
        </w:rPr>
      </w:pPr>
      <w:bookmarkStart w:id="18" w:name="_Toc223795274"/>
      <w:r w:rsidRPr="00EC1213">
        <w:rPr>
          <w:rFonts w:ascii="Arial" w:eastAsia="Arial" w:hAnsi="Arial" w:cs="Arial"/>
          <w:color w:val="000000" w:themeColor="text1"/>
          <w:sz w:val="22"/>
          <w:szCs w:val="22"/>
          <w:lang w:val="en-GB"/>
        </w:rPr>
        <w:lastRenderedPageBreak/>
        <w:t>Academic Source 4</w:t>
      </w:r>
      <w:bookmarkEnd w:id="18"/>
    </w:p>
    <w:p w14:paraId="0000001E"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b/>
          <w:bCs/>
          <w:color w:val="000000" w:themeColor="text1"/>
          <w:sz w:val="22"/>
          <w:szCs w:val="22"/>
          <w:lang w:val="en-GB"/>
        </w:rPr>
        <w:t>Reference:</w:t>
      </w:r>
      <w:r w:rsidRPr="00EC1213">
        <w:rPr>
          <w:rFonts w:ascii="Arial" w:eastAsia="Arial" w:hAnsi="Arial" w:cs="Arial"/>
          <w:color w:val="000000" w:themeColor="text1"/>
          <w:sz w:val="22"/>
          <w:szCs w:val="22"/>
          <w:lang w:val="en-GB"/>
        </w:rPr>
        <w:t xml:space="preserve"> “</w:t>
      </w:r>
      <w:r w:rsidRPr="00EC1213">
        <w:rPr>
          <w:rFonts w:ascii="Arial" w:eastAsia="Arial" w:hAnsi="Arial" w:cs="Arial"/>
          <w:color w:val="000000" w:themeColor="text1"/>
          <w:sz w:val="22"/>
          <w:szCs w:val="22"/>
          <w:highlight w:val="white"/>
          <w:lang w:val="en-GB"/>
        </w:rPr>
        <w:t xml:space="preserve">Lim, W.L. and Tierney, S., (2023). ‘The effectiveness of positive psychology interventions for promoting well-being of adults experiencing depression compared to other active psychological treatments: a systematic review and meta-analysis’. </w:t>
      </w:r>
      <w:r w:rsidRPr="00EC1213">
        <w:rPr>
          <w:rFonts w:ascii="Arial" w:eastAsia="Arial" w:hAnsi="Arial" w:cs="Arial"/>
          <w:i/>
          <w:iCs/>
          <w:color w:val="000000" w:themeColor="text1"/>
          <w:sz w:val="22"/>
          <w:szCs w:val="22"/>
          <w:highlight w:val="white"/>
          <w:lang w:val="en-GB"/>
        </w:rPr>
        <w:t>Journal of Happiness Studies</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24</w:t>
      </w:r>
      <w:r w:rsidRPr="00EC1213">
        <w:rPr>
          <w:rFonts w:ascii="Arial" w:eastAsia="Arial" w:hAnsi="Arial" w:cs="Arial"/>
          <w:color w:val="000000" w:themeColor="text1"/>
          <w:sz w:val="22"/>
          <w:szCs w:val="22"/>
          <w:highlight w:val="white"/>
          <w:lang w:val="en-GB"/>
        </w:rPr>
        <w:t xml:space="preserve">(1), pp.249-273. </w:t>
      </w:r>
      <w:r w:rsidRPr="00EC1213">
        <w:rPr>
          <w:rFonts w:ascii="Arial" w:eastAsia="Arial" w:hAnsi="Arial" w:cs="Arial"/>
          <w:color w:val="000000" w:themeColor="text1"/>
          <w:sz w:val="22"/>
          <w:szCs w:val="22"/>
          <w:lang w:val="en-GB"/>
        </w:rPr>
        <w:t>Available at: https://link.springer.com/content/pdf/10.1007/s10902-022-00598-z.pdf”</w:t>
      </w:r>
    </w:p>
    <w:p w14:paraId="0000001F"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Summary of the Source’s Findings</w:t>
      </w:r>
    </w:p>
    <w:p w14:paraId="00000020"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Research by Lim and Tierney (2023), has revealed that “Positive Psychology Interventions (PPIs)” or approach are as effective just as the traditional active treatments such as CBT for reducing depression as well as improving well-being. The findings of the research </w:t>
      </w:r>
      <w:proofErr w:type="gramStart"/>
      <w:r w:rsidRPr="00EC1213">
        <w:rPr>
          <w:rFonts w:ascii="Arial" w:eastAsia="Arial" w:hAnsi="Arial" w:cs="Arial"/>
          <w:color w:val="000000" w:themeColor="text1"/>
          <w:sz w:val="22"/>
          <w:szCs w:val="22"/>
          <w:lang w:val="en-GB"/>
        </w:rPr>
        <w:t>helps</w:t>
      </w:r>
      <w:proofErr w:type="gramEnd"/>
      <w:r w:rsidRPr="00EC1213">
        <w:rPr>
          <w:rFonts w:ascii="Arial" w:eastAsia="Arial" w:hAnsi="Arial" w:cs="Arial"/>
          <w:color w:val="000000" w:themeColor="text1"/>
          <w:sz w:val="22"/>
          <w:szCs w:val="22"/>
          <w:lang w:val="en-GB"/>
        </w:rPr>
        <w:t xml:space="preserve"> in revealing that PPIs reflects as a lower-intensity, comparable alternative for depression management instead of a superior intervention (Lim and Tierney, 2023).</w:t>
      </w:r>
    </w:p>
    <w:p w14:paraId="00000021" w14:textId="77777777" w:rsidR="006F0753" w:rsidRPr="00EC1213" w:rsidRDefault="00837E8C" w:rsidP="00F6513E">
      <w:pPr>
        <w:rPr>
          <w:rFonts w:ascii="Arial" w:eastAsia="Arial" w:hAnsi="Arial" w:cs="Arial"/>
          <w:b/>
          <w:bCs/>
          <w:color w:val="000000" w:themeColor="text1"/>
          <w:sz w:val="22"/>
          <w:szCs w:val="22"/>
          <w:lang w:val="en-GB"/>
        </w:rPr>
      </w:pPr>
      <w:r w:rsidRPr="00EC1213">
        <w:rPr>
          <w:rFonts w:ascii="Arial" w:eastAsia="Arial" w:hAnsi="Arial" w:cs="Arial"/>
          <w:b/>
          <w:bCs/>
          <w:color w:val="000000" w:themeColor="text1"/>
          <w:sz w:val="22"/>
          <w:szCs w:val="22"/>
          <w:lang w:val="en-GB"/>
        </w:rPr>
        <w:t>Relevance to Supporting Older Adults in Health and Social Care Settings</w:t>
      </w:r>
    </w:p>
    <w:p w14:paraId="00000022"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Considering its relevance with supporting older adults in health and social care the integration of “Positive psychology interventions (PPIs)” or approach is highly significant for the older adults in health as well as social care. In addition to this, the respective approach can effectively lower depression as well as enhance well-being with the help of fostering gratitude, strengths and social connection that often complements or outperforms the traditional therapies.</w:t>
      </w:r>
    </w:p>
    <w:p w14:paraId="410DC972" w14:textId="77777777" w:rsidR="003F5711" w:rsidRPr="00EC1213" w:rsidRDefault="003F5711">
      <w:pPr>
        <w:rPr>
          <w:rFonts w:ascii="Arial" w:hAnsi="Arial" w:cs="Arial"/>
          <w:b/>
          <w:bCs/>
          <w:color w:val="000000" w:themeColor="text1"/>
          <w:sz w:val="22"/>
          <w:szCs w:val="22"/>
          <w:lang w:val="en-GB"/>
        </w:rPr>
      </w:pPr>
      <w:bookmarkStart w:id="19" w:name="_2wi7u6ljw8b7" w:colFirst="0" w:colLast="0"/>
      <w:bookmarkStart w:id="20" w:name="_e5jmrcw8laep" w:colFirst="0" w:colLast="0"/>
      <w:bookmarkEnd w:id="19"/>
      <w:bookmarkEnd w:id="20"/>
      <w:r w:rsidRPr="00EC1213">
        <w:rPr>
          <w:rFonts w:ascii="Arial" w:hAnsi="Arial" w:cs="Arial"/>
          <w:color w:val="000000" w:themeColor="text1"/>
          <w:sz w:val="22"/>
          <w:szCs w:val="22"/>
          <w:lang w:val="en-GB"/>
        </w:rPr>
        <w:br w:type="page"/>
      </w:r>
    </w:p>
    <w:p w14:paraId="00000024" w14:textId="18243B90" w:rsidR="006F0753" w:rsidRPr="00EC1213" w:rsidRDefault="00837E8C" w:rsidP="00F6513E">
      <w:pPr>
        <w:pStyle w:val="Heading1"/>
        <w:rPr>
          <w:rFonts w:ascii="Arial" w:eastAsia="Arial" w:hAnsi="Arial" w:cs="Arial"/>
          <w:color w:val="000000" w:themeColor="text1"/>
          <w:sz w:val="22"/>
          <w:szCs w:val="22"/>
          <w:lang w:val="en-GB"/>
        </w:rPr>
      </w:pPr>
      <w:bookmarkStart w:id="21" w:name="_Toc223795275"/>
      <w:r w:rsidRPr="00EC1213">
        <w:rPr>
          <w:rFonts w:ascii="Arial" w:eastAsia="Arial" w:hAnsi="Arial" w:cs="Arial"/>
          <w:color w:val="000000" w:themeColor="text1"/>
          <w:sz w:val="22"/>
          <w:szCs w:val="22"/>
          <w:lang w:val="en-GB"/>
        </w:rPr>
        <w:lastRenderedPageBreak/>
        <w:t>Part B: Short Report</w:t>
      </w:r>
      <w:bookmarkEnd w:id="21"/>
    </w:p>
    <w:p w14:paraId="00000025" w14:textId="77777777" w:rsidR="006F0753" w:rsidRPr="00EC1213" w:rsidRDefault="00837E8C" w:rsidP="00F6513E">
      <w:pPr>
        <w:pStyle w:val="Heading2"/>
        <w:rPr>
          <w:rFonts w:ascii="Arial" w:eastAsia="Arial" w:hAnsi="Arial" w:cs="Arial"/>
          <w:color w:val="000000" w:themeColor="text1"/>
          <w:sz w:val="22"/>
          <w:szCs w:val="22"/>
          <w:lang w:val="en-GB"/>
        </w:rPr>
      </w:pPr>
      <w:bookmarkStart w:id="22" w:name="_5nwz3sbti8sw" w:colFirst="0" w:colLast="0"/>
      <w:bookmarkStart w:id="23" w:name="_Toc223795276"/>
      <w:bookmarkEnd w:id="22"/>
      <w:r w:rsidRPr="00EC1213">
        <w:rPr>
          <w:rFonts w:ascii="Arial" w:eastAsia="Arial" w:hAnsi="Arial" w:cs="Arial"/>
          <w:color w:val="000000" w:themeColor="text1"/>
          <w:sz w:val="22"/>
          <w:szCs w:val="22"/>
          <w:lang w:val="en-GB"/>
        </w:rPr>
        <w:t>Introduction</w:t>
      </w:r>
      <w:bookmarkEnd w:id="23"/>
    </w:p>
    <w:p w14:paraId="00000026"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The integration of psychological wellbeing theories for older adults living in residential care can be beneficial to develop strategies. The report aims to analyse the inclusion of “Havighurst’s Activity Theory” that can be used by health and social care professionals working in an older </w:t>
      </w:r>
      <w:proofErr w:type="gramStart"/>
      <w:r w:rsidRPr="00EC1213">
        <w:rPr>
          <w:rFonts w:ascii="Arial" w:eastAsia="Arial" w:hAnsi="Arial" w:cs="Arial"/>
          <w:color w:val="000000" w:themeColor="text1"/>
          <w:sz w:val="22"/>
          <w:szCs w:val="22"/>
          <w:lang w:val="en-GB"/>
        </w:rPr>
        <w:t>adults</w:t>
      </w:r>
      <w:proofErr w:type="gramEnd"/>
      <w:r w:rsidRPr="00EC1213">
        <w:rPr>
          <w:rFonts w:ascii="Arial" w:eastAsia="Arial" w:hAnsi="Arial" w:cs="Arial"/>
          <w:color w:val="000000" w:themeColor="text1"/>
          <w:sz w:val="22"/>
          <w:szCs w:val="22"/>
          <w:lang w:val="en-GB"/>
        </w:rPr>
        <w:t xml:space="preserve"> care home. The report also illustrates an example along with a challenge followed by a solution to provide better care with “Havighurst’s Activity Theory”.</w:t>
      </w:r>
    </w:p>
    <w:p w14:paraId="00000027" w14:textId="77777777" w:rsidR="006F0753" w:rsidRPr="00EC1213" w:rsidRDefault="00837E8C" w:rsidP="00F6513E">
      <w:pPr>
        <w:pStyle w:val="Heading2"/>
        <w:rPr>
          <w:rFonts w:ascii="Arial" w:eastAsia="Arial" w:hAnsi="Arial" w:cs="Arial"/>
          <w:color w:val="000000" w:themeColor="text1"/>
          <w:sz w:val="22"/>
          <w:szCs w:val="22"/>
          <w:lang w:val="en-GB"/>
        </w:rPr>
      </w:pPr>
      <w:bookmarkStart w:id="24" w:name="_4xgcky6jsy" w:colFirst="0" w:colLast="0"/>
      <w:bookmarkStart w:id="25" w:name="_Toc223795277"/>
      <w:bookmarkEnd w:id="24"/>
      <w:r w:rsidRPr="00EC1213">
        <w:rPr>
          <w:rFonts w:ascii="Arial" w:eastAsia="Arial" w:hAnsi="Arial" w:cs="Arial"/>
          <w:color w:val="000000" w:themeColor="text1"/>
          <w:sz w:val="22"/>
          <w:szCs w:val="22"/>
          <w:lang w:val="en-GB"/>
        </w:rPr>
        <w:t>Application of Havighurst’s Activity Theory to improve psychological wellbeing in older adults living in residential care</w:t>
      </w:r>
      <w:bookmarkEnd w:id="25"/>
    </w:p>
    <w:p w14:paraId="00000028"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The implication of “Havighurst’s Activity Theory” can shed a positive impact in improving psychological wellbeing living in residential care. According to the ideas of Gonot-</w:t>
      </w:r>
      <w:proofErr w:type="spellStart"/>
      <w:r w:rsidRPr="00EC1213">
        <w:rPr>
          <w:rFonts w:ascii="Arial" w:eastAsia="Arial" w:hAnsi="Arial" w:cs="Arial"/>
          <w:color w:val="000000" w:themeColor="text1"/>
          <w:sz w:val="22"/>
          <w:szCs w:val="22"/>
          <w:lang w:val="en-GB"/>
        </w:rPr>
        <w:t>Schoupinsky</w:t>
      </w:r>
      <w:proofErr w:type="spellEnd"/>
      <w:r w:rsidRPr="00EC1213">
        <w:rPr>
          <w:rFonts w:ascii="Arial" w:eastAsia="Arial" w:hAnsi="Arial" w:cs="Arial"/>
          <w:color w:val="000000" w:themeColor="text1"/>
          <w:sz w:val="22"/>
          <w:szCs w:val="22"/>
          <w:lang w:val="en-GB"/>
        </w:rPr>
        <w:t xml:space="preserve"> </w:t>
      </w:r>
      <w:r w:rsidRPr="00EC1213">
        <w:rPr>
          <w:rFonts w:ascii="Arial" w:eastAsia="Arial" w:hAnsi="Arial" w:cs="Arial"/>
          <w:i/>
          <w:iCs/>
          <w:color w:val="000000" w:themeColor="text1"/>
          <w:sz w:val="22"/>
          <w:szCs w:val="22"/>
          <w:lang w:val="en-GB"/>
        </w:rPr>
        <w:t xml:space="preserve">et al. </w:t>
      </w:r>
      <w:r w:rsidRPr="00EC1213">
        <w:rPr>
          <w:rFonts w:ascii="Arial" w:eastAsia="Arial" w:hAnsi="Arial" w:cs="Arial"/>
          <w:color w:val="000000" w:themeColor="text1"/>
          <w:sz w:val="22"/>
          <w:szCs w:val="22"/>
          <w:lang w:val="en-GB"/>
        </w:rPr>
        <w:t xml:space="preserve">(2022), stated that the integration of “Havighurst’s Activity Theory” can shed a positive impact in promoting continued physical, social as well as cognitive engagement. Additionally, in order to replace lost roles, that can positively impact in increasing self-worth, life satisfaction and morale. Apart from this, Dominguez (2025), revealed that the inclusion of “Havighurst’s Activity Theory” assists in suggesting that changing past activities with new, meaningful ones can aid residents to maintain positive self-identity. </w:t>
      </w:r>
    </w:p>
    <w:p w14:paraId="00000029"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Incorporation of “Havighurst’s Activity Theory” can shed a positive impact to focus on activities that are specifically personally fulfilling instead of just filling time that can impact positively to enhance psychological wellbeing among older adults living in residential care. It can be illustrated that it is significant to align the activities with past roles such as gardening, teaching or any other as it can aid in maintaining a sense of purpose. The “Havighurst’s Activity Theory” assists to create or foster opportunities for regular interaction in residential care for older adults such as games, group discussions or communal celebrations. Apart from this focus can also be laid on actively helping residents to identify substitute activities that can aid in increasing engagement. Bansal and Singh (2023), stated that “Havighurst’s Activity Theory” can also be implied by encouraging participation for the intellectually stimulating activities such as quizzes, reading along with light physical exercise in order to enhance mental </w:t>
      </w:r>
      <w:proofErr w:type="spellStart"/>
      <w:r w:rsidRPr="00EC1213">
        <w:rPr>
          <w:rFonts w:ascii="Arial" w:eastAsia="Arial" w:hAnsi="Arial" w:cs="Arial"/>
          <w:color w:val="000000" w:themeColor="text1"/>
          <w:sz w:val="22"/>
          <w:szCs w:val="22"/>
          <w:lang w:val="en-GB"/>
        </w:rPr>
        <w:t>vigor</w:t>
      </w:r>
      <w:proofErr w:type="spellEnd"/>
      <w:r w:rsidRPr="00EC1213">
        <w:rPr>
          <w:rFonts w:ascii="Arial" w:eastAsia="Arial" w:hAnsi="Arial" w:cs="Arial"/>
          <w:color w:val="000000" w:themeColor="text1"/>
          <w:sz w:val="22"/>
          <w:szCs w:val="22"/>
          <w:lang w:val="en-GB"/>
        </w:rPr>
        <w:t>, enhance self-esteem and reduce depression. Furthermore, promoting activities that can help in fostering sense of accomplishment might aid in reinforcing that older adults in residential care are still valued and productive.</w:t>
      </w:r>
    </w:p>
    <w:p w14:paraId="0000002A" w14:textId="77777777" w:rsidR="006F0753" w:rsidRPr="00EC1213" w:rsidRDefault="00837E8C" w:rsidP="00F6513E">
      <w:pPr>
        <w:pStyle w:val="Heading2"/>
        <w:rPr>
          <w:rFonts w:ascii="Arial" w:eastAsia="Arial" w:hAnsi="Arial" w:cs="Arial"/>
          <w:color w:val="000000" w:themeColor="text1"/>
          <w:sz w:val="22"/>
          <w:szCs w:val="22"/>
          <w:lang w:val="en-GB"/>
        </w:rPr>
      </w:pPr>
      <w:bookmarkStart w:id="26" w:name="_1cfddnbac1s0" w:colFirst="0" w:colLast="0"/>
      <w:bookmarkStart w:id="27" w:name="_Toc223795278"/>
      <w:bookmarkEnd w:id="26"/>
      <w:r w:rsidRPr="00EC1213">
        <w:rPr>
          <w:rFonts w:ascii="Arial" w:eastAsia="Arial" w:hAnsi="Arial" w:cs="Arial"/>
          <w:color w:val="000000" w:themeColor="text1"/>
          <w:sz w:val="22"/>
          <w:szCs w:val="22"/>
          <w:lang w:val="en-GB"/>
        </w:rPr>
        <w:t>One real-world example to illustrate the application of Havighurst’s Activity Theory</w:t>
      </w:r>
      <w:bookmarkEnd w:id="27"/>
    </w:p>
    <w:p w14:paraId="0000002B"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One of the noteworthy examples of application of “Havighurst’s Activity Theory” can be a nursing home can partner with local preschools and bring children into the facility on a weekly basis for shared activities such as arts reading and crafts, or singing or others. Considering the </w:t>
      </w:r>
      <w:r w:rsidRPr="00EC1213">
        <w:rPr>
          <w:rFonts w:ascii="Arial" w:eastAsia="Arial" w:hAnsi="Arial" w:cs="Arial"/>
          <w:color w:val="000000" w:themeColor="text1"/>
          <w:sz w:val="22"/>
          <w:szCs w:val="22"/>
          <w:lang w:val="en-GB"/>
        </w:rPr>
        <w:lastRenderedPageBreak/>
        <w:t>“Havighurst’s Activity Theory” helps to focus on replacing the lost societal roles with new, meaningful activities such as interacting or mentoring with the younger generations that positively impacts in maintaining a positive self-concept as well as high life satisfaction (NAPA, 2024). Relying on the example the psychological wellbeing outcome can be that residents can move to regaining a sense of purpose, active mentors from passive recipients of care.</w:t>
      </w:r>
    </w:p>
    <w:p w14:paraId="0000002C" w14:textId="77777777" w:rsidR="006F0753" w:rsidRPr="00EC1213" w:rsidRDefault="00837E8C" w:rsidP="00F6513E">
      <w:pPr>
        <w:pStyle w:val="Heading2"/>
        <w:rPr>
          <w:rFonts w:ascii="Arial" w:eastAsia="Arial" w:hAnsi="Arial" w:cs="Arial"/>
          <w:color w:val="000000" w:themeColor="text1"/>
          <w:sz w:val="22"/>
          <w:szCs w:val="22"/>
          <w:lang w:val="en-GB"/>
        </w:rPr>
      </w:pPr>
      <w:bookmarkStart w:id="28" w:name="_s6fpzfcqa8ke" w:colFirst="0" w:colLast="0"/>
      <w:bookmarkStart w:id="29" w:name="_Toc223795279"/>
      <w:bookmarkEnd w:id="28"/>
      <w:r w:rsidRPr="00EC1213">
        <w:rPr>
          <w:rFonts w:ascii="Arial" w:eastAsia="Arial" w:hAnsi="Arial" w:cs="Arial"/>
          <w:color w:val="000000" w:themeColor="text1"/>
          <w:sz w:val="22"/>
          <w:szCs w:val="22"/>
          <w:lang w:val="en-GB"/>
        </w:rPr>
        <w:t xml:space="preserve">One challenge </w:t>
      </w:r>
      <w:proofErr w:type="gramStart"/>
      <w:r w:rsidRPr="00EC1213">
        <w:rPr>
          <w:rFonts w:ascii="Arial" w:eastAsia="Arial" w:hAnsi="Arial" w:cs="Arial"/>
          <w:color w:val="000000" w:themeColor="text1"/>
          <w:sz w:val="22"/>
          <w:szCs w:val="22"/>
          <w:lang w:val="en-GB"/>
        </w:rPr>
        <w:t>professionals</w:t>
      </w:r>
      <w:proofErr w:type="gramEnd"/>
      <w:r w:rsidRPr="00EC1213">
        <w:rPr>
          <w:rFonts w:ascii="Arial" w:eastAsia="Arial" w:hAnsi="Arial" w:cs="Arial"/>
          <w:color w:val="000000" w:themeColor="text1"/>
          <w:sz w:val="22"/>
          <w:szCs w:val="22"/>
          <w:lang w:val="en-GB"/>
        </w:rPr>
        <w:t xml:space="preserve"> might face in application of the Havighurst’s Activity Theory and suggests strategy to overcome</w:t>
      </w:r>
      <w:bookmarkEnd w:id="29"/>
    </w:p>
    <w:p w14:paraId="0000002D"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 xml:space="preserve">One of the noteworthy </w:t>
      </w:r>
      <w:proofErr w:type="gramStart"/>
      <w:r w:rsidRPr="00EC1213">
        <w:rPr>
          <w:rFonts w:ascii="Arial" w:eastAsia="Arial" w:hAnsi="Arial" w:cs="Arial"/>
          <w:color w:val="000000" w:themeColor="text1"/>
          <w:sz w:val="22"/>
          <w:szCs w:val="22"/>
          <w:lang w:val="en-GB"/>
        </w:rPr>
        <w:t>challenge</w:t>
      </w:r>
      <w:proofErr w:type="gramEnd"/>
      <w:r w:rsidRPr="00EC1213">
        <w:rPr>
          <w:rFonts w:ascii="Arial" w:eastAsia="Arial" w:hAnsi="Arial" w:cs="Arial"/>
          <w:color w:val="000000" w:themeColor="text1"/>
          <w:sz w:val="22"/>
          <w:szCs w:val="22"/>
          <w:lang w:val="en-GB"/>
        </w:rPr>
        <w:t xml:space="preserve"> that can be faced by health as well as social care professionals in applying “Havighurst’s Activity Theory” might be ignoring mental, physical or socioeconomic barriers that reflect limitations among older adult's ability in order to remain active. In accordance with the “Havighurst’s Activity Theory” higher levels of activity can directly equate to more successful aging. The application can lead to a “one-size-fits-all” approach that negatively places the unrealistic pressure on individuals and to engage in active roles that can potentially cause frustration as well as lower self-esteem (Karaba Bäckström </w:t>
      </w:r>
      <w:r w:rsidRPr="00EC1213">
        <w:rPr>
          <w:rFonts w:ascii="Arial" w:eastAsia="Arial" w:hAnsi="Arial" w:cs="Arial"/>
          <w:i/>
          <w:iCs/>
          <w:color w:val="000000" w:themeColor="text1"/>
          <w:sz w:val="22"/>
          <w:szCs w:val="22"/>
          <w:lang w:val="en-GB"/>
        </w:rPr>
        <w:t>et al.,</w:t>
      </w:r>
      <w:r w:rsidRPr="00EC1213">
        <w:rPr>
          <w:rFonts w:ascii="Arial" w:eastAsia="Arial" w:hAnsi="Arial" w:cs="Arial"/>
          <w:color w:val="000000" w:themeColor="text1"/>
          <w:sz w:val="22"/>
          <w:szCs w:val="22"/>
          <w:lang w:val="en-GB"/>
        </w:rPr>
        <w:t xml:space="preserve"> 2025). The adaptation of “person-</w:t>
      </w:r>
      <w:proofErr w:type="spellStart"/>
      <w:r w:rsidRPr="00EC1213">
        <w:rPr>
          <w:rFonts w:ascii="Arial" w:eastAsia="Arial" w:hAnsi="Arial" w:cs="Arial"/>
          <w:color w:val="000000" w:themeColor="text1"/>
          <w:sz w:val="22"/>
          <w:szCs w:val="22"/>
          <w:lang w:val="en-GB"/>
        </w:rPr>
        <w:t>centered</w:t>
      </w:r>
      <w:proofErr w:type="spellEnd"/>
      <w:r w:rsidRPr="00EC1213">
        <w:rPr>
          <w:rFonts w:ascii="Arial" w:eastAsia="Arial" w:hAnsi="Arial" w:cs="Arial"/>
          <w:color w:val="000000" w:themeColor="text1"/>
          <w:sz w:val="22"/>
          <w:szCs w:val="22"/>
          <w:lang w:val="en-GB"/>
        </w:rPr>
        <w:t xml:space="preserve"> approach” can be an effective solution to overcome such problems. According to </w:t>
      </w:r>
      <w:proofErr w:type="spellStart"/>
      <w:r w:rsidRPr="00EC1213">
        <w:rPr>
          <w:rFonts w:ascii="Arial" w:eastAsia="Arial" w:hAnsi="Arial" w:cs="Arial"/>
          <w:color w:val="000000" w:themeColor="text1"/>
          <w:sz w:val="22"/>
          <w:szCs w:val="22"/>
          <w:lang w:val="en-GB"/>
        </w:rPr>
        <w:t>Moggia</w:t>
      </w:r>
      <w:proofErr w:type="spellEnd"/>
      <w:r w:rsidRPr="00EC1213">
        <w:rPr>
          <w:rFonts w:ascii="Arial" w:eastAsia="Arial" w:hAnsi="Arial" w:cs="Arial"/>
          <w:color w:val="000000" w:themeColor="text1"/>
          <w:sz w:val="22"/>
          <w:szCs w:val="22"/>
          <w:lang w:val="en-GB"/>
        </w:rPr>
        <w:t xml:space="preserve"> </w:t>
      </w:r>
      <w:r w:rsidRPr="00EC1213">
        <w:rPr>
          <w:rFonts w:ascii="Arial" w:eastAsia="Arial" w:hAnsi="Arial" w:cs="Arial"/>
          <w:i/>
          <w:iCs/>
          <w:color w:val="000000" w:themeColor="text1"/>
          <w:sz w:val="22"/>
          <w:szCs w:val="22"/>
          <w:lang w:val="en-GB"/>
        </w:rPr>
        <w:t xml:space="preserve">et al. </w:t>
      </w:r>
      <w:r w:rsidRPr="00EC1213">
        <w:rPr>
          <w:rFonts w:ascii="Arial" w:eastAsia="Arial" w:hAnsi="Arial" w:cs="Arial"/>
          <w:color w:val="000000" w:themeColor="text1"/>
          <w:sz w:val="22"/>
          <w:szCs w:val="22"/>
          <w:lang w:val="en-GB"/>
        </w:rPr>
        <w:t>(2024), mentioned that using “person-</w:t>
      </w:r>
      <w:proofErr w:type="spellStart"/>
      <w:r w:rsidRPr="00EC1213">
        <w:rPr>
          <w:rFonts w:ascii="Arial" w:eastAsia="Arial" w:hAnsi="Arial" w:cs="Arial"/>
          <w:color w:val="000000" w:themeColor="text1"/>
          <w:sz w:val="22"/>
          <w:szCs w:val="22"/>
          <w:lang w:val="en-GB"/>
        </w:rPr>
        <w:t>centered</w:t>
      </w:r>
      <w:proofErr w:type="spellEnd"/>
      <w:r w:rsidRPr="00EC1213">
        <w:rPr>
          <w:rFonts w:ascii="Arial" w:eastAsia="Arial" w:hAnsi="Arial" w:cs="Arial"/>
          <w:color w:val="000000" w:themeColor="text1"/>
          <w:sz w:val="22"/>
          <w:szCs w:val="22"/>
          <w:lang w:val="en-GB"/>
        </w:rPr>
        <w:t xml:space="preserve"> approach” can aid to focus on meaningful substitution instead of focussing on high-intensity activity. In this regard, evaluating the individual’s previous life roles as well as identifying manageable, smaller or adapted activities can be beneficial. Further, this also aligns with the modern adaptations of the theory that assists to emphasize on the quality along with personal significance regarding the activity.</w:t>
      </w:r>
    </w:p>
    <w:p w14:paraId="0000002E" w14:textId="77777777" w:rsidR="006F0753" w:rsidRPr="00EC1213" w:rsidRDefault="00837E8C" w:rsidP="00F6513E">
      <w:pPr>
        <w:pStyle w:val="Heading2"/>
        <w:rPr>
          <w:rFonts w:ascii="Arial" w:eastAsia="Arial" w:hAnsi="Arial" w:cs="Arial"/>
          <w:color w:val="000000" w:themeColor="text1"/>
          <w:sz w:val="22"/>
          <w:szCs w:val="22"/>
          <w:lang w:val="en-GB"/>
        </w:rPr>
      </w:pPr>
      <w:bookmarkStart w:id="30" w:name="_ea74coqizw19" w:colFirst="0" w:colLast="0"/>
      <w:bookmarkStart w:id="31" w:name="_Toc223795280"/>
      <w:bookmarkEnd w:id="30"/>
      <w:r w:rsidRPr="00EC1213">
        <w:rPr>
          <w:rFonts w:ascii="Arial" w:eastAsia="Arial" w:hAnsi="Arial" w:cs="Arial"/>
          <w:color w:val="000000" w:themeColor="text1"/>
          <w:sz w:val="22"/>
          <w:szCs w:val="22"/>
          <w:lang w:val="en-GB"/>
        </w:rPr>
        <w:t>Conclusion</w:t>
      </w:r>
      <w:bookmarkEnd w:id="31"/>
    </w:p>
    <w:p w14:paraId="0000002F" w14:textId="77777777" w:rsidR="006F0753" w:rsidRPr="00EC1213" w:rsidRDefault="00837E8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Based on the above factors, it can be concluded that the inclusion of “Havighurst’s Activity Theory” can positively impact to enhance physical, social and cognitive engagement with increasing engagement in different activities that aligns with the past preferred actions. Furthermore, the integration of “person-</w:t>
      </w:r>
      <w:proofErr w:type="spellStart"/>
      <w:r w:rsidRPr="00EC1213">
        <w:rPr>
          <w:rFonts w:ascii="Arial" w:eastAsia="Arial" w:hAnsi="Arial" w:cs="Arial"/>
          <w:color w:val="000000" w:themeColor="text1"/>
          <w:sz w:val="22"/>
          <w:szCs w:val="22"/>
          <w:lang w:val="en-GB"/>
        </w:rPr>
        <w:t>centered</w:t>
      </w:r>
      <w:proofErr w:type="spellEnd"/>
      <w:r w:rsidRPr="00EC1213">
        <w:rPr>
          <w:rFonts w:ascii="Arial" w:eastAsia="Arial" w:hAnsi="Arial" w:cs="Arial"/>
          <w:color w:val="000000" w:themeColor="text1"/>
          <w:sz w:val="22"/>
          <w:szCs w:val="22"/>
          <w:lang w:val="en-GB"/>
        </w:rPr>
        <w:t xml:space="preserve"> approach” can aid to enhance the integration of “Havighurst’s Activity Theory”.</w:t>
      </w:r>
      <w:r w:rsidRPr="00EC1213">
        <w:rPr>
          <w:rFonts w:ascii="Arial" w:hAnsi="Arial" w:cs="Arial"/>
          <w:color w:val="000000" w:themeColor="text1"/>
          <w:sz w:val="22"/>
          <w:szCs w:val="22"/>
          <w:lang w:val="en-GB"/>
        </w:rPr>
        <w:br w:type="page"/>
      </w:r>
    </w:p>
    <w:p w14:paraId="00000030" w14:textId="77777777" w:rsidR="006F0753" w:rsidRPr="00EC1213" w:rsidRDefault="00837E8C" w:rsidP="00F6513E">
      <w:pPr>
        <w:pStyle w:val="Heading1"/>
        <w:rPr>
          <w:rFonts w:ascii="Arial" w:eastAsia="Arial" w:hAnsi="Arial" w:cs="Arial"/>
          <w:color w:val="000000" w:themeColor="text1"/>
          <w:sz w:val="22"/>
          <w:szCs w:val="22"/>
          <w:lang w:val="en-GB"/>
        </w:rPr>
      </w:pPr>
      <w:bookmarkStart w:id="32" w:name="_go8u1o7xw7up" w:colFirst="0" w:colLast="0"/>
      <w:bookmarkStart w:id="33" w:name="_Toc223795281"/>
      <w:bookmarkEnd w:id="32"/>
      <w:r w:rsidRPr="00EC1213">
        <w:rPr>
          <w:rFonts w:ascii="Arial" w:eastAsia="Arial" w:hAnsi="Arial" w:cs="Arial"/>
          <w:color w:val="000000" w:themeColor="text1"/>
          <w:sz w:val="22"/>
          <w:szCs w:val="22"/>
          <w:lang w:val="en-GB"/>
        </w:rPr>
        <w:lastRenderedPageBreak/>
        <w:t>Reference List</w:t>
      </w:r>
      <w:bookmarkEnd w:id="33"/>
    </w:p>
    <w:p w14:paraId="00000031" w14:textId="77777777" w:rsidR="006F0753" w:rsidRPr="00EC1213" w:rsidRDefault="00837E8C" w:rsidP="00F6513E">
      <w:pPr>
        <w:spacing w:before="200" w:after="200"/>
        <w:rPr>
          <w:rFonts w:ascii="Arial" w:eastAsia="Arial" w:hAnsi="Arial" w:cs="Arial"/>
          <w:b/>
          <w:bCs/>
          <w:i/>
          <w:iCs/>
          <w:color w:val="000000" w:themeColor="text1"/>
          <w:sz w:val="22"/>
          <w:szCs w:val="22"/>
          <w:lang w:val="en-GB"/>
        </w:rPr>
      </w:pPr>
      <w:r w:rsidRPr="00EC1213">
        <w:rPr>
          <w:rFonts w:ascii="Arial" w:eastAsia="Arial" w:hAnsi="Arial" w:cs="Arial"/>
          <w:b/>
          <w:bCs/>
          <w:i/>
          <w:iCs/>
          <w:color w:val="000000" w:themeColor="text1"/>
          <w:sz w:val="22"/>
          <w:szCs w:val="22"/>
          <w:lang w:val="en-GB"/>
        </w:rPr>
        <w:t>Part A</w:t>
      </w:r>
    </w:p>
    <w:p w14:paraId="495E32B4"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Lim, W.L. and Tierney, S., (2023). ‘The effectiveness of positive psychology interventions for promoting well-being of adults experiencing depression compared to other active psychological treatments: a systematic review and meta-analysis’. </w:t>
      </w:r>
      <w:r w:rsidRPr="00EC1213">
        <w:rPr>
          <w:rFonts w:ascii="Arial" w:eastAsia="Arial" w:hAnsi="Arial" w:cs="Arial"/>
          <w:i/>
          <w:iCs/>
          <w:color w:val="000000" w:themeColor="text1"/>
          <w:sz w:val="22"/>
          <w:szCs w:val="22"/>
          <w:highlight w:val="white"/>
          <w:lang w:val="en-GB"/>
        </w:rPr>
        <w:t>Journal of Happiness Studies</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24</w:t>
      </w:r>
      <w:r w:rsidRPr="00EC1213">
        <w:rPr>
          <w:rFonts w:ascii="Arial" w:eastAsia="Arial" w:hAnsi="Arial" w:cs="Arial"/>
          <w:color w:val="000000" w:themeColor="text1"/>
          <w:sz w:val="22"/>
          <w:szCs w:val="22"/>
          <w:highlight w:val="white"/>
          <w:lang w:val="en-GB"/>
        </w:rPr>
        <w:t xml:space="preserve">(1), pp.249-273. </w:t>
      </w:r>
      <w:r w:rsidRPr="00EC1213">
        <w:rPr>
          <w:rFonts w:ascii="Arial" w:eastAsia="Arial" w:hAnsi="Arial" w:cs="Arial"/>
          <w:color w:val="000000" w:themeColor="text1"/>
          <w:sz w:val="22"/>
          <w:szCs w:val="22"/>
          <w:lang w:val="en-GB"/>
        </w:rPr>
        <w:t>Available at: https://link.springer.com/content/pdf/10.1007/s10902-022-00598-z.pdf</w:t>
      </w:r>
    </w:p>
    <w:p w14:paraId="3DCBFCEE"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Rodway, C. and Spencer, R., (2025). ‘Attachment in Old Age: A Fundamental Pillar for Public Health and Wellbeing’. </w:t>
      </w:r>
      <w:r w:rsidRPr="00EC1213">
        <w:rPr>
          <w:rFonts w:ascii="Arial" w:eastAsia="Arial" w:hAnsi="Arial" w:cs="Arial"/>
          <w:i/>
          <w:iCs/>
          <w:color w:val="000000" w:themeColor="text1"/>
          <w:sz w:val="22"/>
          <w:szCs w:val="22"/>
          <w:highlight w:val="white"/>
          <w:lang w:val="en-GB"/>
        </w:rPr>
        <w:t>International Journal of Public Health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70</w:t>
      </w:r>
      <w:r w:rsidRPr="00EC1213">
        <w:rPr>
          <w:rFonts w:ascii="Arial" w:eastAsia="Arial" w:hAnsi="Arial" w:cs="Arial"/>
          <w:color w:val="000000" w:themeColor="text1"/>
          <w:sz w:val="22"/>
          <w:szCs w:val="22"/>
          <w:highlight w:val="white"/>
          <w:lang w:val="en-GB"/>
        </w:rPr>
        <w:t xml:space="preserve">, p.1607770. </w:t>
      </w:r>
      <w:r w:rsidRPr="00EC1213">
        <w:rPr>
          <w:rFonts w:ascii="Arial" w:eastAsia="Arial" w:hAnsi="Arial" w:cs="Arial"/>
          <w:color w:val="000000" w:themeColor="text1"/>
          <w:sz w:val="22"/>
          <w:szCs w:val="22"/>
          <w:lang w:val="en-GB"/>
        </w:rPr>
        <w:t>Available at: https://pdfs.semanticscholar.org/1822/0a9a7aff53dcbd1c3320b5b93bf21ea1ecce.pdf</w:t>
      </w:r>
    </w:p>
    <w:p w14:paraId="55B3129F"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Timm, J., Block, H., </w:t>
      </w:r>
      <w:proofErr w:type="spellStart"/>
      <w:r w:rsidRPr="00EC1213">
        <w:rPr>
          <w:rFonts w:ascii="Arial" w:eastAsia="Arial" w:hAnsi="Arial" w:cs="Arial"/>
          <w:color w:val="000000" w:themeColor="text1"/>
          <w:sz w:val="22"/>
          <w:szCs w:val="22"/>
          <w:highlight w:val="white"/>
          <w:lang w:val="en-GB"/>
        </w:rPr>
        <w:t>Boanca</w:t>
      </w:r>
      <w:proofErr w:type="spellEnd"/>
      <w:r w:rsidRPr="00EC1213">
        <w:rPr>
          <w:rFonts w:ascii="Arial" w:eastAsia="Arial" w:hAnsi="Arial" w:cs="Arial"/>
          <w:color w:val="000000" w:themeColor="text1"/>
          <w:sz w:val="22"/>
          <w:szCs w:val="22"/>
          <w:highlight w:val="white"/>
          <w:lang w:val="en-GB"/>
        </w:rPr>
        <w:t xml:space="preserve">, G. and Acquaye, H.E., (2022). ‘An exploratory study on the relationship between completion of Erikson’s fourth psychosocial stage and assurance of salvation’. </w:t>
      </w:r>
      <w:r w:rsidRPr="00EC1213">
        <w:rPr>
          <w:rFonts w:ascii="Arial" w:eastAsia="Arial" w:hAnsi="Arial" w:cs="Arial"/>
          <w:i/>
          <w:iCs/>
          <w:color w:val="000000" w:themeColor="text1"/>
          <w:sz w:val="22"/>
          <w:szCs w:val="22"/>
          <w:highlight w:val="white"/>
          <w:lang w:val="en-GB"/>
        </w:rPr>
        <w:t>Journal of Spirituality in Mental Health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24</w:t>
      </w:r>
      <w:r w:rsidRPr="00EC1213">
        <w:rPr>
          <w:rFonts w:ascii="Arial" w:eastAsia="Arial" w:hAnsi="Arial" w:cs="Arial"/>
          <w:color w:val="000000" w:themeColor="text1"/>
          <w:sz w:val="22"/>
          <w:szCs w:val="22"/>
          <w:highlight w:val="white"/>
          <w:lang w:val="en-GB"/>
        </w:rPr>
        <w:t xml:space="preserve">(1), pp.53-73. </w:t>
      </w:r>
      <w:r w:rsidRPr="00EC1213">
        <w:rPr>
          <w:rFonts w:ascii="Arial" w:eastAsia="Arial" w:hAnsi="Arial" w:cs="Arial"/>
          <w:color w:val="000000" w:themeColor="text1"/>
          <w:sz w:val="22"/>
          <w:szCs w:val="22"/>
          <w:lang w:val="en-GB"/>
        </w:rPr>
        <w:t>Available at: https://www.researchgate.net/profile/Hannah-Acquaye/publication/343446352_An_exploratory_study_on_the_relationship_between_completion_of_Erikson%27s_fourth_psychosocial_stage_and_assurance_of_salvation/links/60e3415892851ca944ab006e/An-exploratory-study-on-the-relationship-between-completion-of-Eriksons-fourth-psychosocial-stage-and-assurance-of-salvation.pdf</w:t>
      </w:r>
    </w:p>
    <w:p w14:paraId="51DE47A2"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Verma, M. and Sureka, R.K., (2024). ‘Sociological Theories of Ageing and Their Influence on the Quality of Life of the Elderly’. </w:t>
      </w:r>
      <w:r w:rsidRPr="00EC1213">
        <w:rPr>
          <w:rFonts w:ascii="Arial" w:eastAsia="Arial" w:hAnsi="Arial" w:cs="Arial"/>
          <w:i/>
          <w:iCs/>
          <w:color w:val="000000" w:themeColor="text1"/>
          <w:sz w:val="22"/>
          <w:szCs w:val="22"/>
          <w:highlight w:val="white"/>
          <w:lang w:val="en-GB"/>
        </w:rPr>
        <w:t>Research &amp; Review: Journal of Geriatric Nursing and Health Sciences</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6</w:t>
      </w:r>
      <w:r w:rsidRPr="00EC1213">
        <w:rPr>
          <w:rFonts w:ascii="Arial" w:eastAsia="Arial" w:hAnsi="Arial" w:cs="Arial"/>
          <w:color w:val="000000" w:themeColor="text1"/>
          <w:sz w:val="22"/>
          <w:szCs w:val="22"/>
          <w:highlight w:val="white"/>
          <w:lang w:val="en-GB"/>
        </w:rPr>
        <w:t xml:space="preserve">(1), pp.4-12. </w:t>
      </w:r>
      <w:r w:rsidRPr="00EC1213">
        <w:rPr>
          <w:rFonts w:ascii="Arial" w:eastAsia="Arial" w:hAnsi="Arial" w:cs="Arial"/>
          <w:color w:val="000000" w:themeColor="text1"/>
          <w:sz w:val="22"/>
          <w:szCs w:val="22"/>
          <w:lang w:val="en-GB"/>
        </w:rPr>
        <w:t>Available at: https://www.researchgate.net/profile/Ritu-Sureka/publication/387947091_Sociological_Theories_of_Ageing_and_Their_Influence_on_the_Quality_of_Life_of_the_Elderly/links/67852cc5d587995ad102cd84/Sociological-Theories-of-Ageing-and-Their-Influence-on-the-Quality-of-Life-of-the-Elderly.pdf</w:t>
      </w:r>
    </w:p>
    <w:p w14:paraId="00000036" w14:textId="77777777" w:rsidR="006F0753" w:rsidRPr="00EC1213" w:rsidRDefault="00837E8C" w:rsidP="00F6513E">
      <w:pPr>
        <w:spacing w:before="200" w:after="200"/>
        <w:rPr>
          <w:rFonts w:ascii="Arial" w:eastAsia="Arial" w:hAnsi="Arial" w:cs="Arial"/>
          <w:b/>
          <w:bCs/>
          <w:i/>
          <w:iCs/>
          <w:color w:val="000000" w:themeColor="text1"/>
          <w:sz w:val="22"/>
          <w:szCs w:val="22"/>
          <w:lang w:val="en-GB"/>
        </w:rPr>
      </w:pPr>
      <w:r w:rsidRPr="00EC1213">
        <w:rPr>
          <w:rFonts w:ascii="Arial" w:eastAsia="Arial" w:hAnsi="Arial" w:cs="Arial"/>
          <w:b/>
          <w:bCs/>
          <w:i/>
          <w:iCs/>
          <w:color w:val="000000" w:themeColor="text1"/>
          <w:sz w:val="22"/>
          <w:szCs w:val="22"/>
          <w:lang w:val="en-GB"/>
        </w:rPr>
        <w:t xml:space="preserve">Part B </w:t>
      </w:r>
    </w:p>
    <w:p w14:paraId="08E0DFC6"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Bansal, N. and Singh, J., (2023). ‘Association of leisure activity participation and perceived life satisfaction among elderly: evidences from longitudinal ageing study in India Wave-1’. </w:t>
      </w:r>
      <w:r w:rsidRPr="00EC1213">
        <w:rPr>
          <w:rFonts w:ascii="Arial" w:eastAsia="Arial" w:hAnsi="Arial" w:cs="Arial"/>
          <w:i/>
          <w:iCs/>
          <w:color w:val="000000" w:themeColor="text1"/>
          <w:sz w:val="22"/>
          <w:szCs w:val="22"/>
          <w:highlight w:val="white"/>
          <w:lang w:val="en-GB"/>
        </w:rPr>
        <w:t>IER J Health Demography</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9</w:t>
      </w:r>
      <w:r w:rsidRPr="00EC1213">
        <w:rPr>
          <w:rFonts w:ascii="Arial" w:eastAsia="Arial" w:hAnsi="Arial" w:cs="Arial"/>
          <w:color w:val="000000" w:themeColor="text1"/>
          <w:sz w:val="22"/>
          <w:szCs w:val="22"/>
          <w:highlight w:val="white"/>
          <w:lang w:val="en-GB"/>
        </w:rPr>
        <w:t xml:space="preserve">(1), p.52. </w:t>
      </w:r>
      <w:r w:rsidRPr="00EC1213">
        <w:rPr>
          <w:rFonts w:ascii="Arial" w:eastAsia="Arial" w:hAnsi="Arial" w:cs="Arial"/>
          <w:color w:val="000000" w:themeColor="text1"/>
          <w:sz w:val="22"/>
          <w:szCs w:val="22"/>
          <w:lang w:val="en-GB"/>
        </w:rPr>
        <w:t>Available at: https://www.researchgate.net/profile/Nidhi-Bansal-8/publication/377693127_Association_of_Leisure_Activity_Participation_and_Perceived_Life_Satisfaction_Among_Elderly_Evidences_from_Longitudinal_Ageing_Study_of_India_Wave-1/links/65dedcb8adc608480aed9c0b/Association-of-Leisure-Activity-Participation-and-</w:t>
      </w:r>
      <w:r w:rsidRPr="00EC1213">
        <w:rPr>
          <w:rFonts w:ascii="Arial" w:eastAsia="Arial" w:hAnsi="Arial" w:cs="Arial"/>
          <w:color w:val="000000" w:themeColor="text1"/>
          <w:sz w:val="22"/>
          <w:szCs w:val="22"/>
          <w:lang w:val="en-GB"/>
        </w:rPr>
        <w:lastRenderedPageBreak/>
        <w:t>Perceived-Life-Satisfaction-Among-Elderly-Evidences-from-Longitudinal-Ageing-Study-of-India-Wave-1.pdf</w:t>
      </w:r>
    </w:p>
    <w:p w14:paraId="35F55F69"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Dominguez, J.N., (2025). ‘Mediating Role of Social Support between Regrets and Quality of Life among Filipino Lasallian Retirees’. </w:t>
      </w:r>
      <w:r w:rsidRPr="00EC1213">
        <w:rPr>
          <w:rFonts w:ascii="Arial" w:eastAsia="Arial" w:hAnsi="Arial" w:cs="Arial"/>
          <w:i/>
          <w:iCs/>
          <w:color w:val="000000" w:themeColor="text1"/>
          <w:sz w:val="22"/>
          <w:szCs w:val="22"/>
          <w:highlight w:val="white"/>
          <w:lang w:val="en-GB"/>
        </w:rPr>
        <w:t>PSIKODIMENSIA</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24</w:t>
      </w:r>
      <w:r w:rsidRPr="00EC1213">
        <w:rPr>
          <w:rFonts w:ascii="Arial" w:eastAsia="Arial" w:hAnsi="Arial" w:cs="Arial"/>
          <w:color w:val="000000" w:themeColor="text1"/>
          <w:sz w:val="22"/>
          <w:szCs w:val="22"/>
          <w:highlight w:val="white"/>
          <w:lang w:val="en-GB"/>
        </w:rPr>
        <w:t xml:space="preserve">(1), pp.1-17. </w:t>
      </w:r>
      <w:r w:rsidRPr="00EC1213">
        <w:rPr>
          <w:rFonts w:ascii="Arial" w:eastAsia="Arial" w:hAnsi="Arial" w:cs="Arial"/>
          <w:color w:val="000000" w:themeColor="text1"/>
          <w:sz w:val="22"/>
          <w:szCs w:val="22"/>
          <w:lang w:val="en-GB"/>
        </w:rPr>
        <w:t>Available at: https://journal.unika.ac.id/index.php/psi/article/download/13444/3266</w:t>
      </w:r>
    </w:p>
    <w:p w14:paraId="215A06A1"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Gonot-Schoupinsky, F., Garip, G. and Sheffield, D., (2022). ‘The engage-disengage model as an inclusive model for the promotion of healthy and successful aging in the oldest-old’. </w:t>
      </w:r>
      <w:r w:rsidRPr="00EC1213">
        <w:rPr>
          <w:rFonts w:ascii="Arial" w:eastAsia="Arial" w:hAnsi="Arial" w:cs="Arial"/>
          <w:i/>
          <w:iCs/>
          <w:color w:val="000000" w:themeColor="text1"/>
          <w:sz w:val="22"/>
          <w:szCs w:val="22"/>
          <w:highlight w:val="white"/>
          <w:lang w:val="en-GB"/>
        </w:rPr>
        <w:t>Activities, Adaptation &amp; Aging</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46</w:t>
      </w:r>
      <w:r w:rsidRPr="00EC1213">
        <w:rPr>
          <w:rFonts w:ascii="Arial" w:eastAsia="Arial" w:hAnsi="Arial" w:cs="Arial"/>
          <w:color w:val="000000" w:themeColor="text1"/>
          <w:sz w:val="22"/>
          <w:szCs w:val="22"/>
          <w:highlight w:val="white"/>
          <w:lang w:val="en-GB"/>
        </w:rPr>
        <w:t xml:space="preserve">(2), pp.159-181. </w:t>
      </w:r>
      <w:r w:rsidRPr="00EC1213">
        <w:rPr>
          <w:rFonts w:ascii="Arial" w:eastAsia="Arial" w:hAnsi="Arial" w:cs="Arial"/>
          <w:color w:val="000000" w:themeColor="text1"/>
          <w:sz w:val="22"/>
          <w:szCs w:val="22"/>
          <w:lang w:val="en-GB"/>
        </w:rPr>
        <w:t>Available at: https://www.tandfonline.com/doi/pdf/10.1080/01924788.2021.1970892</w:t>
      </w:r>
    </w:p>
    <w:p w14:paraId="15BD0CE8" w14:textId="77777777" w:rsidR="0015047C" w:rsidRPr="00EC1213" w:rsidRDefault="0015047C" w:rsidP="00F6513E">
      <w:pPr>
        <w:spacing w:before="200" w:after="200"/>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highlight w:val="white"/>
          <w:lang w:val="en-GB"/>
        </w:rPr>
        <w:t xml:space="preserve">Karaba Bäckström, M., Girdler, S., Milbourn, B. and </w:t>
      </w:r>
      <w:proofErr w:type="spellStart"/>
      <w:r w:rsidRPr="00EC1213">
        <w:rPr>
          <w:rFonts w:ascii="Arial" w:eastAsia="Arial" w:hAnsi="Arial" w:cs="Arial"/>
          <w:color w:val="000000" w:themeColor="text1"/>
          <w:sz w:val="22"/>
          <w:szCs w:val="22"/>
          <w:highlight w:val="white"/>
          <w:lang w:val="en-GB"/>
        </w:rPr>
        <w:t>Lexén</w:t>
      </w:r>
      <w:proofErr w:type="spellEnd"/>
      <w:r w:rsidRPr="00EC1213">
        <w:rPr>
          <w:rFonts w:ascii="Arial" w:eastAsia="Arial" w:hAnsi="Arial" w:cs="Arial"/>
          <w:color w:val="000000" w:themeColor="text1"/>
          <w:sz w:val="22"/>
          <w:szCs w:val="22"/>
          <w:highlight w:val="white"/>
          <w:lang w:val="en-GB"/>
        </w:rPr>
        <w:t xml:space="preserve">, A., (2025). ‘Needs and Preferences of Swedish Young Adults for a Digital App Promoting Mental Health Literacy, Occupational Balance, and Peer Support: Qualitative Interview Study’. </w:t>
      </w:r>
      <w:r w:rsidRPr="00EC1213">
        <w:rPr>
          <w:rFonts w:ascii="Arial" w:eastAsia="Arial" w:hAnsi="Arial" w:cs="Arial"/>
          <w:i/>
          <w:iCs/>
          <w:color w:val="000000" w:themeColor="text1"/>
          <w:sz w:val="22"/>
          <w:szCs w:val="22"/>
          <w:highlight w:val="white"/>
          <w:lang w:val="en-GB"/>
        </w:rPr>
        <w:t>JMIR Formative Research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9</w:t>
      </w:r>
      <w:r w:rsidRPr="00EC1213">
        <w:rPr>
          <w:rFonts w:ascii="Arial" w:eastAsia="Arial" w:hAnsi="Arial" w:cs="Arial"/>
          <w:color w:val="000000" w:themeColor="text1"/>
          <w:sz w:val="22"/>
          <w:szCs w:val="22"/>
          <w:highlight w:val="white"/>
          <w:lang w:val="en-GB"/>
        </w:rPr>
        <w:t xml:space="preserve">, p.e71563. </w:t>
      </w:r>
      <w:r w:rsidRPr="00EC1213">
        <w:rPr>
          <w:rFonts w:ascii="Arial" w:eastAsia="Arial" w:hAnsi="Arial" w:cs="Arial"/>
          <w:color w:val="000000" w:themeColor="text1"/>
          <w:sz w:val="22"/>
          <w:szCs w:val="22"/>
          <w:lang w:val="en-GB"/>
        </w:rPr>
        <w:t>Available at: https://formative.jmir.org/2025/1/e71563</w:t>
      </w:r>
    </w:p>
    <w:p w14:paraId="10A4DF86" w14:textId="77777777" w:rsidR="0015047C" w:rsidRPr="00EC1213" w:rsidRDefault="0015047C" w:rsidP="00F6513E">
      <w:pPr>
        <w:spacing w:before="200" w:after="200"/>
        <w:rPr>
          <w:rFonts w:ascii="Arial" w:eastAsia="Arial" w:hAnsi="Arial" w:cs="Arial"/>
          <w:color w:val="000000" w:themeColor="text1"/>
          <w:sz w:val="22"/>
          <w:szCs w:val="22"/>
          <w:lang w:val="en-GB"/>
        </w:rPr>
      </w:pPr>
      <w:proofErr w:type="spellStart"/>
      <w:r w:rsidRPr="00EC1213">
        <w:rPr>
          <w:rFonts w:ascii="Arial" w:eastAsia="Arial" w:hAnsi="Arial" w:cs="Arial"/>
          <w:color w:val="000000" w:themeColor="text1"/>
          <w:sz w:val="22"/>
          <w:szCs w:val="22"/>
          <w:highlight w:val="white"/>
          <w:lang w:val="en-GB"/>
        </w:rPr>
        <w:t>Moggia</w:t>
      </w:r>
      <w:proofErr w:type="spellEnd"/>
      <w:r w:rsidRPr="00EC1213">
        <w:rPr>
          <w:rFonts w:ascii="Arial" w:eastAsia="Arial" w:hAnsi="Arial" w:cs="Arial"/>
          <w:color w:val="000000" w:themeColor="text1"/>
          <w:sz w:val="22"/>
          <w:szCs w:val="22"/>
          <w:highlight w:val="white"/>
          <w:lang w:val="en-GB"/>
        </w:rPr>
        <w:t>, D., Saxon, D., Lutz, W., Hardy, G.E. and Barkham, M., (2024). ‘Applying precision methods to treatment selection for moderate/severe depression in person-</w:t>
      </w:r>
      <w:proofErr w:type="spellStart"/>
      <w:r w:rsidRPr="00EC1213">
        <w:rPr>
          <w:rFonts w:ascii="Arial" w:eastAsia="Arial" w:hAnsi="Arial" w:cs="Arial"/>
          <w:color w:val="000000" w:themeColor="text1"/>
          <w:sz w:val="22"/>
          <w:szCs w:val="22"/>
          <w:highlight w:val="white"/>
          <w:lang w:val="en-GB"/>
        </w:rPr>
        <w:t>centered</w:t>
      </w:r>
      <w:proofErr w:type="spellEnd"/>
      <w:r w:rsidRPr="00EC1213">
        <w:rPr>
          <w:rFonts w:ascii="Arial" w:eastAsia="Arial" w:hAnsi="Arial" w:cs="Arial"/>
          <w:color w:val="000000" w:themeColor="text1"/>
          <w:sz w:val="22"/>
          <w:szCs w:val="22"/>
          <w:highlight w:val="white"/>
          <w:lang w:val="en-GB"/>
        </w:rPr>
        <w:t xml:space="preserve"> experiential therapy or cognitive </w:t>
      </w:r>
      <w:proofErr w:type="spellStart"/>
      <w:r w:rsidRPr="00EC1213">
        <w:rPr>
          <w:rFonts w:ascii="Arial" w:eastAsia="Arial" w:hAnsi="Arial" w:cs="Arial"/>
          <w:color w:val="000000" w:themeColor="text1"/>
          <w:sz w:val="22"/>
          <w:szCs w:val="22"/>
          <w:highlight w:val="white"/>
          <w:lang w:val="en-GB"/>
        </w:rPr>
        <w:t>behavioral</w:t>
      </w:r>
      <w:proofErr w:type="spellEnd"/>
      <w:r w:rsidRPr="00EC1213">
        <w:rPr>
          <w:rFonts w:ascii="Arial" w:eastAsia="Arial" w:hAnsi="Arial" w:cs="Arial"/>
          <w:color w:val="000000" w:themeColor="text1"/>
          <w:sz w:val="22"/>
          <w:szCs w:val="22"/>
          <w:highlight w:val="white"/>
          <w:lang w:val="en-GB"/>
        </w:rPr>
        <w:t xml:space="preserve"> therapy’. </w:t>
      </w:r>
      <w:r w:rsidRPr="00EC1213">
        <w:rPr>
          <w:rFonts w:ascii="Arial" w:eastAsia="Arial" w:hAnsi="Arial" w:cs="Arial"/>
          <w:i/>
          <w:iCs/>
          <w:color w:val="000000" w:themeColor="text1"/>
          <w:sz w:val="22"/>
          <w:szCs w:val="22"/>
          <w:highlight w:val="white"/>
          <w:lang w:val="en-GB"/>
        </w:rPr>
        <w:t>Psychotherapy Research</w:t>
      </w:r>
      <w:r w:rsidRPr="00EC1213">
        <w:rPr>
          <w:rFonts w:ascii="Arial" w:eastAsia="Arial" w:hAnsi="Arial" w:cs="Arial"/>
          <w:color w:val="000000" w:themeColor="text1"/>
          <w:sz w:val="22"/>
          <w:szCs w:val="22"/>
          <w:highlight w:val="white"/>
          <w:lang w:val="en-GB"/>
        </w:rPr>
        <w:t xml:space="preserve">, </w:t>
      </w:r>
      <w:r w:rsidRPr="00EC1213">
        <w:rPr>
          <w:rFonts w:ascii="Arial" w:eastAsia="Arial" w:hAnsi="Arial" w:cs="Arial"/>
          <w:i/>
          <w:iCs/>
          <w:color w:val="000000" w:themeColor="text1"/>
          <w:sz w:val="22"/>
          <w:szCs w:val="22"/>
          <w:highlight w:val="white"/>
          <w:lang w:val="en-GB"/>
        </w:rPr>
        <w:t>34</w:t>
      </w:r>
      <w:r w:rsidRPr="00EC1213">
        <w:rPr>
          <w:rFonts w:ascii="Arial" w:eastAsia="Arial" w:hAnsi="Arial" w:cs="Arial"/>
          <w:color w:val="000000" w:themeColor="text1"/>
          <w:sz w:val="22"/>
          <w:szCs w:val="22"/>
          <w:highlight w:val="white"/>
          <w:lang w:val="en-GB"/>
        </w:rPr>
        <w:t xml:space="preserve">(8), pp.1035-1050. </w:t>
      </w:r>
      <w:r w:rsidRPr="00EC1213">
        <w:rPr>
          <w:rFonts w:ascii="Arial" w:eastAsia="Arial" w:hAnsi="Arial" w:cs="Arial"/>
          <w:color w:val="000000" w:themeColor="text1"/>
          <w:sz w:val="22"/>
          <w:szCs w:val="22"/>
          <w:lang w:val="en-GB"/>
        </w:rPr>
        <w:t>Available at: https://www.tandfonline.com/doi/pdf/10.1080/10503307.2023.2269297</w:t>
      </w:r>
    </w:p>
    <w:p w14:paraId="201FD6D9" w14:textId="77777777" w:rsidR="0015047C" w:rsidRPr="00EC1213" w:rsidRDefault="0015047C" w:rsidP="00F6513E">
      <w:pPr>
        <w:rPr>
          <w:rFonts w:ascii="Arial" w:eastAsia="Arial" w:hAnsi="Arial" w:cs="Arial"/>
          <w:color w:val="000000" w:themeColor="text1"/>
          <w:sz w:val="22"/>
          <w:szCs w:val="22"/>
          <w:lang w:val="en-GB"/>
        </w:rPr>
      </w:pPr>
      <w:r w:rsidRPr="00EC1213">
        <w:rPr>
          <w:rFonts w:ascii="Arial" w:eastAsia="Arial" w:hAnsi="Arial" w:cs="Arial"/>
          <w:color w:val="000000" w:themeColor="text1"/>
          <w:sz w:val="22"/>
          <w:szCs w:val="22"/>
          <w:lang w:val="en-GB"/>
        </w:rPr>
        <w:t>NAPA, (2024)</w:t>
      </w:r>
      <w:r w:rsidRPr="00EC1213">
        <w:rPr>
          <w:rFonts w:ascii="Arial" w:eastAsia="Arial" w:hAnsi="Arial" w:cs="Arial"/>
          <w:i/>
          <w:iCs/>
          <w:color w:val="000000" w:themeColor="text1"/>
          <w:sz w:val="22"/>
          <w:szCs w:val="22"/>
          <w:lang w:val="en-GB"/>
        </w:rPr>
        <w:t xml:space="preserve"> The Activity Theory of Ageing and Modern Practice. </w:t>
      </w:r>
      <w:r w:rsidRPr="00EC1213">
        <w:rPr>
          <w:rFonts w:ascii="Arial" w:eastAsia="Arial" w:hAnsi="Arial" w:cs="Arial"/>
          <w:color w:val="000000" w:themeColor="text1"/>
          <w:sz w:val="22"/>
          <w:szCs w:val="22"/>
          <w:lang w:val="en-GB"/>
        </w:rPr>
        <w:t xml:space="preserve">Available at: https://napa-activities.co.uk/activity-theory-of-ageing-and-modern-practice#:~:text=Activity%2C%20Engagement%20and%20Successful%20Ageing,a%20solitary%20lifestyle%20in%20general (Accessed: 6 March 2026).  </w:t>
      </w:r>
    </w:p>
    <w:sectPr w:rsidR="0015047C" w:rsidRPr="00EC1213" w:rsidSect="0080056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3BA70" w14:textId="77777777" w:rsidR="00C24D23" w:rsidRDefault="00C24D23" w:rsidP="00014376">
      <w:pPr>
        <w:spacing w:line="240" w:lineRule="auto"/>
      </w:pPr>
      <w:r>
        <w:separator/>
      </w:r>
    </w:p>
  </w:endnote>
  <w:endnote w:type="continuationSeparator" w:id="0">
    <w:p w14:paraId="692BD605" w14:textId="77777777" w:rsidR="00C24D23" w:rsidRDefault="00C24D23" w:rsidP="000143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A05ED467-B92F-4BBF-BF97-F89F112ACBF7}"/>
  </w:font>
  <w:font w:name="Cambria">
    <w:panose1 w:val="02040503050406030204"/>
    <w:charset w:val="00"/>
    <w:family w:val="roman"/>
    <w:pitch w:val="variable"/>
    <w:sig w:usb0="E00006FF" w:usb1="420024FF" w:usb2="02000000" w:usb3="00000000" w:csb0="0000019F" w:csb1="00000000"/>
    <w:embedRegular r:id="rId2" w:fontKey="{42577EDD-46FE-486D-91AB-FD75F2C01B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47DA6" w14:textId="77777777" w:rsidR="00884245" w:rsidRDefault="008842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8322948"/>
      <w:docPartObj>
        <w:docPartGallery w:val="Page Numbers (Bottom of Page)"/>
        <w:docPartUnique/>
      </w:docPartObj>
    </w:sdtPr>
    <w:sdtEndPr>
      <w:rPr>
        <w:noProof/>
      </w:rPr>
    </w:sdtEndPr>
    <w:sdtContent>
      <w:p w14:paraId="42109536" w14:textId="0F3DA9BD" w:rsidR="00014376" w:rsidRDefault="00014376" w:rsidP="00014376">
        <w:pPr>
          <w:pStyle w:val="Footer"/>
          <w:jc w:val="right"/>
        </w:pPr>
        <w:r w:rsidRPr="00014376">
          <w:rPr>
            <w:rFonts w:ascii="Arial" w:hAnsi="Arial" w:cs="Arial"/>
            <w:sz w:val="20"/>
            <w:szCs w:val="20"/>
          </w:rPr>
          <w:fldChar w:fldCharType="begin"/>
        </w:r>
        <w:r w:rsidRPr="00014376">
          <w:rPr>
            <w:rFonts w:ascii="Arial" w:hAnsi="Arial" w:cs="Arial"/>
            <w:sz w:val="20"/>
            <w:szCs w:val="20"/>
          </w:rPr>
          <w:instrText xml:space="preserve"> PAGE   \* MERGEFORMAT </w:instrText>
        </w:r>
        <w:r w:rsidRPr="00014376">
          <w:rPr>
            <w:rFonts w:ascii="Arial" w:hAnsi="Arial" w:cs="Arial"/>
            <w:sz w:val="20"/>
            <w:szCs w:val="20"/>
          </w:rPr>
          <w:fldChar w:fldCharType="separate"/>
        </w:r>
        <w:r w:rsidRPr="00014376">
          <w:rPr>
            <w:rFonts w:ascii="Arial" w:hAnsi="Arial" w:cs="Arial"/>
            <w:noProof/>
            <w:sz w:val="20"/>
            <w:szCs w:val="20"/>
          </w:rPr>
          <w:t>2</w:t>
        </w:r>
        <w:r w:rsidRPr="00014376">
          <w:rPr>
            <w:rFonts w:ascii="Arial" w:hAnsi="Arial" w:cs="Arial"/>
            <w:noProof/>
            <w:sz w:val="20"/>
            <w:szCs w:val="20"/>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3FB14" w14:textId="77777777" w:rsidR="00884245" w:rsidRDefault="00884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591AB" w14:textId="77777777" w:rsidR="00C24D23" w:rsidRDefault="00C24D23" w:rsidP="00014376">
      <w:pPr>
        <w:spacing w:line="240" w:lineRule="auto"/>
      </w:pPr>
      <w:r>
        <w:separator/>
      </w:r>
    </w:p>
  </w:footnote>
  <w:footnote w:type="continuationSeparator" w:id="0">
    <w:p w14:paraId="76045CCB" w14:textId="77777777" w:rsidR="00C24D23" w:rsidRDefault="00C24D23" w:rsidP="0001437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03B65" w14:textId="77777777" w:rsidR="00884245" w:rsidRDefault="008842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A4342A" w14:textId="77777777" w:rsidR="00884245" w:rsidRDefault="008842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ED4B8" w14:textId="77777777" w:rsidR="00884245" w:rsidRDefault="008842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753"/>
    <w:rsid w:val="00014376"/>
    <w:rsid w:val="00021507"/>
    <w:rsid w:val="0015047C"/>
    <w:rsid w:val="00185905"/>
    <w:rsid w:val="00193186"/>
    <w:rsid w:val="00196C15"/>
    <w:rsid w:val="00200E1A"/>
    <w:rsid w:val="00241737"/>
    <w:rsid w:val="003F5711"/>
    <w:rsid w:val="0053267B"/>
    <w:rsid w:val="00614EEE"/>
    <w:rsid w:val="006F0753"/>
    <w:rsid w:val="007046A5"/>
    <w:rsid w:val="007D472C"/>
    <w:rsid w:val="0080056D"/>
    <w:rsid w:val="00837E8C"/>
    <w:rsid w:val="00884245"/>
    <w:rsid w:val="00906FF5"/>
    <w:rsid w:val="00A1486E"/>
    <w:rsid w:val="00A57896"/>
    <w:rsid w:val="00C24D23"/>
    <w:rsid w:val="00CE1396"/>
    <w:rsid w:val="00D20B14"/>
    <w:rsid w:val="00E03A48"/>
    <w:rsid w:val="00EA6172"/>
    <w:rsid w:val="00EC1213"/>
    <w:rsid w:val="00F6513E"/>
    <w:rsid w:val="00F930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376B5"/>
  <w15:docId w15:val="{17D0E953-2BD3-4214-9DF6-BC6F28068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 w:after="20"/>
      <w:outlineLvl w:val="0"/>
    </w:pPr>
    <w:rPr>
      <w:b/>
      <w:bCs/>
    </w:rPr>
  </w:style>
  <w:style w:type="paragraph" w:styleId="Heading2">
    <w:name w:val="heading 2"/>
    <w:basedOn w:val="Normal"/>
    <w:next w:val="Normal"/>
    <w:uiPriority w:val="9"/>
    <w:unhideWhenUsed/>
    <w:qFormat/>
    <w:pPr>
      <w:keepNext/>
      <w:keepLines/>
      <w:spacing w:before="20" w:after="20"/>
      <w:outlineLvl w:val="1"/>
    </w:pPr>
    <w:rPr>
      <w:b/>
      <w:bCs/>
      <w:i/>
      <w:i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after="40"/>
      <w:jc w:val="center"/>
      <w:outlineLvl w:val="3"/>
    </w:pPr>
    <w:rPr>
      <w:b/>
      <w:bCs/>
    </w:rPr>
  </w:style>
  <w:style w:type="paragraph" w:styleId="Heading5">
    <w:name w:val="heading 5"/>
    <w:basedOn w:val="Normal"/>
    <w:next w:val="Normal"/>
    <w:uiPriority w:val="9"/>
    <w:semiHidden/>
    <w:unhideWhenUsed/>
    <w:qFormat/>
    <w:pPr>
      <w:keepNext/>
      <w:keepLines/>
      <w:spacing w:after="4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0" w:after="2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014376"/>
    <w:pPr>
      <w:tabs>
        <w:tab w:val="center" w:pos="4513"/>
        <w:tab w:val="right" w:pos="9026"/>
      </w:tabs>
      <w:spacing w:line="240" w:lineRule="auto"/>
    </w:pPr>
  </w:style>
  <w:style w:type="character" w:customStyle="1" w:styleId="HeaderChar">
    <w:name w:val="Header Char"/>
    <w:basedOn w:val="DefaultParagraphFont"/>
    <w:link w:val="Header"/>
    <w:uiPriority w:val="99"/>
    <w:rsid w:val="00014376"/>
  </w:style>
  <w:style w:type="paragraph" w:styleId="Footer">
    <w:name w:val="footer"/>
    <w:basedOn w:val="Normal"/>
    <w:link w:val="FooterChar"/>
    <w:uiPriority w:val="99"/>
    <w:unhideWhenUsed/>
    <w:rsid w:val="00014376"/>
    <w:pPr>
      <w:tabs>
        <w:tab w:val="center" w:pos="4513"/>
        <w:tab w:val="right" w:pos="9026"/>
      </w:tabs>
      <w:spacing w:line="240" w:lineRule="auto"/>
    </w:pPr>
  </w:style>
  <w:style w:type="character" w:customStyle="1" w:styleId="FooterChar">
    <w:name w:val="Footer Char"/>
    <w:basedOn w:val="DefaultParagraphFont"/>
    <w:link w:val="Footer"/>
    <w:uiPriority w:val="99"/>
    <w:rsid w:val="00014376"/>
  </w:style>
  <w:style w:type="paragraph" w:styleId="TOCHeading">
    <w:name w:val="TOC Heading"/>
    <w:basedOn w:val="Heading1"/>
    <w:next w:val="Normal"/>
    <w:uiPriority w:val="39"/>
    <w:unhideWhenUsed/>
    <w:qFormat/>
    <w:rsid w:val="00F6513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6513E"/>
    <w:pPr>
      <w:spacing w:after="100"/>
    </w:pPr>
  </w:style>
  <w:style w:type="paragraph" w:styleId="TOC2">
    <w:name w:val="toc 2"/>
    <w:basedOn w:val="Normal"/>
    <w:next w:val="Normal"/>
    <w:autoRedefine/>
    <w:uiPriority w:val="39"/>
    <w:unhideWhenUsed/>
    <w:rsid w:val="00F6513E"/>
    <w:pPr>
      <w:spacing w:after="100"/>
      <w:ind w:left="240"/>
    </w:pPr>
  </w:style>
  <w:style w:type="character" w:styleId="Hyperlink">
    <w:name w:val="Hyperlink"/>
    <w:basedOn w:val="DefaultParagraphFont"/>
    <w:uiPriority w:val="99"/>
    <w:unhideWhenUsed/>
    <w:rsid w:val="00F6513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A21AF-54E0-4DA8-A1EA-FD9A41E7C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2613</Words>
  <Characters>14899</Characters>
  <Application>Microsoft Office Word</Application>
  <DocSecurity>0</DocSecurity>
  <Lines>124</Lines>
  <Paragraphs>34</Paragraphs>
  <ScaleCrop>false</ScaleCrop>
  <Company/>
  <LinksUpToDate>false</LinksUpToDate>
  <CharactersWithSpaces>17478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Fairuj Prome</cp:lastModifiedBy>
  <cp:revision>10</cp:revision>
  <dcterms:created xsi:type="dcterms:W3CDTF">2026-04-07T08:38:00Z</dcterms:created>
  <dcterms:modified xsi:type="dcterms:W3CDTF">2026-04-10T11:16:00Z</dcterms:modified>
</cp:coreProperties>
</file>