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57"/>
        <w:jc w:val="center"/>
        <w:rPr/>
      </w:pPr>
      <w:r>
        <w:rPr>
          <w:noProof/>
        </w:rPr>
        <mc:AlternateContent>
          <mc:Choice Requires="wps">
            <w:drawing>
              <wp:anchor distT="0" distB="0" distL="0" distR="0" simplePos="false" relativeHeight="3" behindDoc="false" locked="false" layoutInCell="true" allowOverlap="true">
                <wp:simplePos x="0" y="0"/>
                <wp:positionH relativeFrom="page">
                  <wp14:pctPosHOffset>42000</wp14:pctPosHOffset>
                </wp:positionH>
                <wp:positionV relativeFrom="page">
                  <wp14:pctPosVOffset>88000</wp14:pctPosVOffset>
                </wp:positionV>
                <wp:extent cx="3657600" cy="365760"/>
                <wp:effectExtent l="0" t="0" r="0" b="0"/>
                <wp:wrapNone/>
                <wp:docPr id="1026" name="Text Box 3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657600" cy="365760"/>
                        </a:xfrm>
                        <a:prstGeom prst="rect"/>
                        <a:ln>
                          <a:noFill/>
                        </a:ln>
                      </wps:spPr>
                      <wps:txbx id="1026">
                        <w:txbxContent>
                          <w:p>
                            <w:pPr>
                              <w:pStyle w:val="style157"/>
                              <w:rPr>
                                <w:color w:val="4472c4"/>
                                <w:sz w:val="26"/>
                                <w:szCs w:val="26"/>
                              </w:rPr>
                            </w:pPr>
                            <w:r>
                              <w:rPr>
                                <w:color w:val="4472c4"/>
                                <w:sz w:val="26"/>
                                <w:szCs w:val="26"/>
                              </w:rPr>
                              <w:t xml:space="preserve">     </w:t>
                            </w:r>
                          </w:p>
                          <w:p>
                            <w:pPr>
                              <w:pStyle w:val="style157"/>
                              <w:rPr>
                                <w:color w:val="595959"/>
                                <w:sz w:val="20"/>
                                <w:szCs w:val="20"/>
                              </w:rPr>
                            </w:pPr>
                            <w:r>
                              <w:rPr>
                                <w:caps/>
                                <w:color w:val="595959"/>
                                <w:sz w:val="20"/>
                                <w:szCs w:val="20"/>
                              </w:rPr>
                              <w:t xml:space="preserve">     </w:t>
                            </w:r>
                          </w:p>
                        </w:txbxContent>
                      </wps:txbx>
                      <wps:bodyPr lIns="0" rIns="0" tIns="0" bIns="0" vert="horz" anchor="b" wrap="square">
                        <a:prstTxWarp prst="textNoShape"/>
                        <a:spAutoFit/>
                      </wps:bodyPr>
                    </wps:wsp>
                  </a:graphicData>
                </a:graphic>
                <wp14:sizeRelH relativeFrom="page">
                  <wp14:pctWidth>45000</wp14:pctWidth>
                </wp14:sizeRelH>
                <wp14:sizeRelV relativeFrom="margin">
                  <wp14:pctHeight>0</wp14:pctHeight>
                </wp14:sizeRelV>
              </wp:anchor>
            </w:drawing>
          </mc:Choice>
          <mc:Fallback>
            <w:pict>
              <v:rect id="1026" filled="f" stroked="f" style="position:absolute;margin-left:0.0pt;margin-top:0.0pt;width:288.0pt;height:28.8pt;z-index:3;mso-left-percent:420;mso-top-percent:880;mso-position-horizontal-relative:page;mso-position-vertical-relative:page;mso-width-percent:450;mso-height-percent:0;mso-width-relative:page;mso-height-relative:margin;mso-wrap-distance-left:0.0pt;mso-wrap-distance-right:0.0pt;visibility:visible;v-text-anchor:bottom;">
                <v:stroke on="f" weight="0.5pt"/>
                <v:fill/>
                <v:textbox inset="0.0pt,0.0pt,0.0pt,0.0pt" style="mso-fit-shape-to-text:true;">
                  <w:txbxContent>
                    <w:p>
                      <w:pPr>
                        <w:pStyle w:val="style157"/>
                        <w:rPr>
                          <w:color w:val="4472c4"/>
                          <w:sz w:val="26"/>
                          <w:szCs w:val="26"/>
                        </w:rPr>
                      </w:pPr>
                      <w:r>
                        <w:rPr>
                          <w:color w:val="4472c4"/>
                          <w:sz w:val="26"/>
                          <w:szCs w:val="26"/>
                        </w:rPr>
                        <w:t xml:space="preserve">     </w:t>
                      </w:r>
                    </w:p>
                    <w:p>
                      <w:pPr>
                        <w:pStyle w:val="style157"/>
                        <w:rPr>
                          <w:color w:val="595959"/>
                          <w:sz w:val="20"/>
                          <w:szCs w:val="20"/>
                        </w:rPr>
                      </w:pPr>
                      <w:r>
                        <w:rPr>
                          <w:caps/>
                          <w:color w:val="595959"/>
                          <w:sz w:val="20"/>
                          <w:szCs w:val="20"/>
                        </w:rPr>
                        <w:t xml:space="preserve">     </w:t>
                      </w:r>
                    </w:p>
                  </w:txbxContent>
                </v:textbox>
              </v:rect>
            </w:pict>
          </mc:Fallback>
        </mc:AlternateContent>
      </w:r>
    </w:p>
    <w:bookmarkStart w:id="0" w:name="_Hlk140442462"/>
    <w:p>
      <w:pPr>
        <w:pStyle w:val="style0"/>
        <w:spacing w:before="0" w:lineRule="auto" w:line="259"/>
        <w:jc w:val="center"/>
        <w:rPr>
          <w:rFonts w:eastAsia="宋体"/>
          <w:b/>
          <w:bCs/>
          <w:sz w:val="36"/>
          <w:szCs w:val="36"/>
        </w:rPr>
      </w:pPr>
      <w:r>
        <w:rPr>
          <w:noProof/>
        </w:rPr>
        <mc:AlternateContent>
          <mc:Choice Requires="wps">
            <w:drawing>
              <wp:anchor distT="0" distB="0" distL="0" distR="0" simplePos="false" relativeHeight="2" behindDoc="false" locked="false" layoutInCell="true" allowOverlap="true">
                <wp:simplePos x="0" y="0"/>
                <wp:positionH relativeFrom="page">
                  <wp14:pctPosHOffset>42000</wp14:pctPosHOffset>
                </wp:positionH>
                <wp:positionV relativeFrom="page">
                  <wp14:pctPosVOffset>17000</wp14:pctPosVOffset>
                </wp:positionV>
                <wp:extent cx="4069079" cy="1069340"/>
                <wp:effectExtent l="0" t="0" r="7620" b="0"/>
                <wp:wrapNone/>
                <wp:docPr id="1027"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069079" cy="1069340"/>
                        </a:xfrm>
                        <a:prstGeom prst="rect"/>
                        <a:ln>
                          <a:noFill/>
                        </a:ln>
                      </wps:spPr>
                      <wps:txbx id="1027">
                        <w:txbxContent>
                          <w:p>
                            <w:pPr>
                              <w:pStyle w:val="style157"/>
                              <w:rPr>
                                <w:rFonts w:ascii="Calibri Light" w:cs="Vrinda" w:eastAsia="宋体" w:hAnsi="Calibri Light"/>
                                <w:color w:val="262626"/>
                                <w:sz w:val="72"/>
                                <w:szCs w:val="72"/>
                              </w:rPr>
                            </w:pPr>
                            <w:r>
                              <w:rPr>
                                <w:rFonts w:ascii="Calibri Light" w:cs="Vrinda" w:eastAsia="宋体" w:hAnsi="Calibri Light"/>
                                <w:color w:val="262626"/>
                                <w:sz w:val="72"/>
                                <w:szCs w:val="72"/>
                              </w:rPr>
                              <w:t xml:space="preserve">     </w:t>
                            </w:r>
                          </w:p>
                        </w:txbxContent>
                      </wps:txbx>
                      <wps:bodyPr lIns="0" rIns="0" tIns="0" bIns="0" vert="horz" anchor="t" wrap="square">
                        <a:prstTxWarp prst="textNoShape"/>
                        <a:noAutofit/>
                      </wps:bodyPr>
                    </wps:wsp>
                  </a:graphicData>
                </a:graphic>
                <wp14:sizeRelH relativeFrom="page">
                  <wp14:pctWidth>0</wp14:pctWidth>
                </wp14:sizeRelH>
                <wp14:sizeRelV relativeFrom="margin">
                  <wp14:pctHeight>0</wp14:pctHeight>
                </wp14:sizeRelV>
              </wp:anchor>
            </w:drawing>
          </mc:Choice>
          <mc:Fallback>
            <w:pict>
              <v:rect id="1027" filled="f" stroked="f" style="position:absolute;margin-left:0.0pt;margin-top:0.0pt;width:320.4pt;height:84.2pt;z-index:2;mso-left-percent:420;mso-top-percent:170;mso-position-horizontal-relative:page;mso-position-vertical-relative:page;mso-width-percent:0;mso-height-percent:0;mso-width-relative:page;mso-height-relative:margin;mso-wrap-distance-left:0.0pt;mso-wrap-distance-right:0.0pt;visibility:visible;">
                <v:stroke on="f" weight="0.5pt"/>
                <v:fill/>
                <v:textbox inset="0.0pt,0.0pt,0.0pt,0.0pt">
                  <w:txbxContent>
                    <w:p>
                      <w:pPr>
                        <w:pStyle w:val="style157"/>
                        <w:rPr>
                          <w:rFonts w:ascii="Calibri Light" w:cs="Vrinda" w:eastAsia="宋体" w:hAnsi="Calibri Light"/>
                          <w:color w:val="262626"/>
                          <w:sz w:val="72"/>
                          <w:szCs w:val="72"/>
                        </w:rPr>
                      </w:pPr>
                      <w:r>
                        <w:rPr>
                          <w:rFonts w:ascii="Calibri Light" w:cs="Vrinda" w:eastAsia="宋体" w:hAnsi="Calibri Light"/>
                          <w:color w:val="262626"/>
                          <w:sz w:val="72"/>
                          <w:szCs w:val="72"/>
                        </w:rPr>
                        <w:t xml:space="preserve">     </w:t>
                      </w:r>
                    </w:p>
                  </w:txbxContent>
                </v:textbox>
              </v:rect>
            </w:pict>
          </mc:Fallback>
        </mc:AlternateContent>
      </w:r>
    </w:p>
    <w:p>
      <w:pPr>
        <w:pStyle w:val="style0"/>
        <w:spacing w:before="0" w:lineRule="auto" w:line="259"/>
        <w:jc w:val="center"/>
        <w:rPr>
          <w:rFonts w:eastAsia="宋体"/>
          <w:b/>
          <w:bCs/>
          <w:sz w:val="36"/>
          <w:szCs w:val="36"/>
        </w:rPr>
      </w:pPr>
    </w:p>
    <w:p>
      <w:pPr>
        <w:pStyle w:val="style0"/>
        <w:spacing w:before="0" w:lineRule="auto" w:line="259"/>
        <w:jc w:val="center"/>
        <w:rPr>
          <w:rFonts w:eastAsia="宋体"/>
          <w:b/>
          <w:bCs/>
          <w:sz w:val="36"/>
          <w:szCs w:val="36"/>
        </w:rPr>
      </w:pPr>
    </w:p>
    <w:p>
      <w:pPr>
        <w:pStyle w:val="style0"/>
        <w:spacing w:before="0" w:lineRule="auto" w:line="259"/>
        <w:jc w:val="center"/>
        <w:rPr>
          <w:rFonts w:eastAsia="宋体"/>
          <w:b/>
          <w:bCs/>
          <w:sz w:val="36"/>
          <w:szCs w:val="36"/>
        </w:rPr>
      </w:pPr>
    </w:p>
    <w:bookmarkEnd w:id="0"/>
    <w:p>
      <w:pPr>
        <w:pStyle w:val="style0"/>
        <w:spacing w:before="0" w:lineRule="auto" w:line="259"/>
        <w:jc w:val="center"/>
        <w:rPr>
          <w:rFonts w:eastAsia="宋体"/>
          <w:b/>
          <w:bCs/>
          <w:sz w:val="36"/>
          <w:szCs w:val="36"/>
        </w:rPr>
      </w:pPr>
      <w:r>
        <w:rPr>
          <w:noProof/>
        </w:rPr>
        <mc:AlternateContent>
          <mc:Choice Requires="wps">
            <w:drawing>
              <wp:anchor distT="0" distB="0" distL="0" distR="0" simplePos="false" relativeHeight="4" behindDoc="false" locked="false" layoutInCell="true" allowOverlap="true">
                <wp:simplePos x="0" y="0"/>
                <wp:positionH relativeFrom="page">
                  <wp14:pctPosHOffset>42000</wp14:pctPosHOffset>
                </wp:positionH>
                <wp:positionV relativeFrom="page">
                  <wp14:pctPosVOffset>17000</wp14:pctPosVOffset>
                </wp:positionV>
                <wp:extent cx="4069079" cy="1069340"/>
                <wp:effectExtent l="0" t="0" r="7620" b="0"/>
                <wp:wrapNone/>
                <wp:docPr id="1028" name="Text Box 42508800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069079" cy="1069340"/>
                        </a:xfrm>
                        <a:prstGeom prst="rect"/>
                        <a:ln>
                          <a:noFill/>
                        </a:ln>
                      </wps:spPr>
                      <wps:txbx id="1028">
                        <w:txbxContent>
                          <w:p>
                            <w:pPr>
                              <w:pStyle w:val="style157"/>
                              <w:rPr>
                                <w:rFonts w:ascii="Calibri Light" w:cs="Vrinda" w:eastAsia="宋体" w:hAnsi="Calibri Light"/>
                                <w:color w:val="262626"/>
                                <w:sz w:val="72"/>
                                <w:szCs w:val="72"/>
                              </w:rPr>
                            </w:pPr>
                            <w:r>
                              <w:rPr>
                                <w:rFonts w:ascii="Calibri Light" w:cs="Vrinda" w:eastAsia="宋体" w:hAnsi="Calibri Light"/>
                                <w:color w:val="262626"/>
                                <w:sz w:val="72"/>
                                <w:szCs w:val="72"/>
                              </w:rPr>
                              <w:t xml:space="preserve">     </w:t>
                            </w:r>
                          </w:p>
                        </w:txbxContent>
                      </wps:txbx>
                      <wps:bodyPr lIns="0" rIns="0" tIns="0" bIns="0" vert="horz" anchor="t" wrap="square">
                        <a:prstTxWarp prst="textNoShape"/>
                        <a:noAutofit/>
                      </wps:bodyPr>
                    </wps:wsp>
                  </a:graphicData>
                </a:graphic>
                <wp14:sizeRelH relativeFrom="page">
                  <wp14:pctWidth>0</wp14:pctWidth>
                </wp14:sizeRelH>
                <wp14:sizeRelV relativeFrom="margin">
                  <wp14:pctHeight>0</wp14:pctHeight>
                </wp14:sizeRelV>
              </wp:anchor>
            </w:drawing>
          </mc:Choice>
          <mc:Fallback>
            <w:pict>
              <v:rect id="1028" filled="f" stroked="f" style="position:absolute;margin-left:0.0pt;margin-top:0.0pt;width:320.4pt;height:84.2pt;z-index:4;mso-left-percent:420;mso-top-percent:170;mso-position-horizontal-relative:page;mso-position-vertical-relative:page;mso-width-percent:0;mso-height-percent:0;mso-width-relative:page;mso-height-relative:margin;mso-wrap-distance-left:0.0pt;mso-wrap-distance-right:0.0pt;visibility:visible;">
                <v:stroke on="f" weight="0.5pt"/>
                <v:fill/>
                <v:textbox inset="0.0pt,0.0pt,0.0pt,0.0pt">
                  <w:txbxContent>
                    <w:p>
                      <w:pPr>
                        <w:pStyle w:val="style157"/>
                        <w:rPr>
                          <w:rFonts w:ascii="Calibri Light" w:cs="Vrinda" w:eastAsia="宋体" w:hAnsi="Calibri Light"/>
                          <w:color w:val="262626"/>
                          <w:sz w:val="72"/>
                          <w:szCs w:val="72"/>
                        </w:rPr>
                      </w:pPr>
                      <w:r>
                        <w:rPr>
                          <w:rFonts w:ascii="Calibri Light" w:cs="Vrinda" w:eastAsia="宋体" w:hAnsi="Calibri Light"/>
                          <w:color w:val="262626"/>
                          <w:sz w:val="72"/>
                          <w:szCs w:val="72"/>
                        </w:rPr>
                        <w:t xml:space="preserve">     </w:t>
                      </w:r>
                    </w:p>
                  </w:txbxContent>
                </v:textbox>
              </v:rect>
            </w:pict>
          </mc:Fallback>
        </mc:AlternateContent>
      </w:r>
      <w:r>
        <w:rPr>
          <w:rFonts w:eastAsia="宋体"/>
          <w:b/>
          <w:bCs/>
          <w:sz w:val="36"/>
          <w:szCs w:val="36"/>
        </w:rPr>
        <w:t xml:space="preserve">LCBB5001 </w:t>
      </w:r>
      <w:r>
        <w:rPr>
          <w:rFonts w:eastAsia="宋体"/>
          <w:b/>
          <w:bCs/>
          <w:sz w:val="36"/>
          <w:szCs w:val="36"/>
        </w:rPr>
        <w:t>Enterpreneurship</w:t>
      </w:r>
    </w:p>
    <w:p>
      <w:pPr>
        <w:pStyle w:val="style0"/>
        <w:spacing w:before="0" w:lineRule="auto" w:line="259"/>
        <w:jc w:val="center"/>
        <w:rPr>
          <w:rFonts w:eastAsia="宋体"/>
          <w:b/>
          <w:bCs/>
          <w:sz w:val="36"/>
          <w:szCs w:val="36"/>
        </w:rPr>
      </w:pPr>
      <w:r>
        <w:rPr>
          <w:rFonts w:eastAsia="宋体"/>
          <w:b/>
          <w:bCs/>
          <w:sz w:val="36"/>
          <w:szCs w:val="36"/>
        </w:rPr>
        <w:t>Assessment 1</w:t>
      </w:r>
    </w:p>
    <w:p>
      <w:pPr>
        <w:pStyle w:val="style0"/>
        <w:spacing w:before="0" w:lineRule="auto" w:line="259"/>
        <w:jc w:val="center"/>
        <w:rPr>
          <w:rFonts w:eastAsia="宋体"/>
          <w:b/>
          <w:bCs/>
          <w:sz w:val="36"/>
          <w:szCs w:val="36"/>
        </w:rPr>
      </w:pPr>
      <w:r>
        <w:rPr>
          <w:rFonts w:eastAsia="宋体"/>
          <w:b/>
          <w:bCs/>
          <w:sz w:val="36"/>
          <w:szCs w:val="36"/>
        </w:rPr>
        <w:t>Student Name : Valentina Stefanovska</w:t>
      </w:r>
    </w:p>
    <w:p>
      <w:pPr>
        <w:pStyle w:val="style0"/>
        <w:spacing w:before="0" w:lineRule="auto" w:line="259"/>
        <w:jc w:val="center"/>
        <w:rPr>
          <w:rFonts w:eastAsia="宋体"/>
          <w:b/>
          <w:bCs/>
          <w:sz w:val="36"/>
          <w:szCs w:val="36"/>
        </w:rPr>
      </w:pPr>
      <w:r>
        <w:rPr>
          <w:rFonts w:eastAsia="宋体"/>
          <w:b/>
          <w:bCs/>
          <w:sz w:val="36"/>
          <w:szCs w:val="36"/>
        </w:rPr>
        <w:t>Student ID: 2123930</w:t>
      </w:r>
    </w:p>
    <w:p>
      <w:pPr>
        <w:pStyle w:val="style0"/>
        <w:spacing w:before="0" w:lineRule="auto" w:line="259"/>
        <w:jc w:val="center"/>
        <w:rPr>
          <w:rFonts w:eastAsia="宋体"/>
          <w:b/>
          <w:bCs/>
          <w:sz w:val="36"/>
          <w:szCs w:val="36"/>
        </w:rPr>
      </w:pPr>
      <w:r>
        <w:rPr>
          <w:rFonts w:eastAsia="宋体"/>
          <w:b/>
          <w:bCs/>
          <w:sz w:val="36"/>
          <w:szCs w:val="36"/>
        </w:rPr>
        <w:t>Lecturer Name: Nishi Ramsurrun</w:t>
      </w:r>
    </w:p>
    <w:p>
      <w:pPr>
        <w:pStyle w:val="style0"/>
        <w:spacing w:before="0" w:lineRule="auto" w:line="259"/>
        <w:jc w:val="center"/>
        <w:rPr>
          <w:rFonts w:eastAsia="宋体"/>
          <w:b/>
          <w:bCs/>
          <w:sz w:val="36"/>
          <w:szCs w:val="36"/>
        </w:rPr>
      </w:pPr>
      <w:r>
        <w:rPr>
          <w:rFonts w:eastAsia="宋体"/>
          <w:b/>
          <w:bCs/>
          <w:sz w:val="36"/>
          <w:szCs w:val="36"/>
        </w:rPr>
        <w:t>Session: June 2023 Term</w:t>
      </w: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r>
        <w:rPr>
          <w:rFonts w:eastAsia="宋体"/>
          <w:b/>
          <w:bCs/>
          <w:sz w:val="36"/>
          <w:szCs w:val="36"/>
        </w:rPr>
        <w:t>Table of content</w:t>
      </w:r>
    </w:p>
    <w:p>
      <w:pPr>
        <w:pStyle w:val="style0"/>
        <w:spacing w:before="0" w:lineRule="auto" w:line="259"/>
        <w:jc w:val="left"/>
        <w:rPr>
          <w:rFonts w:eastAsia="宋体"/>
          <w:b/>
          <w:bCs/>
          <w:sz w:val="36"/>
          <w:szCs w:val="36"/>
        </w:rPr>
      </w:pPr>
    </w:p>
    <w:p>
      <w:pPr>
        <w:pStyle w:val="style179"/>
        <w:numPr>
          <w:ilvl w:val="0"/>
          <w:numId w:val="1"/>
        </w:numPr>
        <w:spacing w:before="0" w:lineRule="auto" w:line="259"/>
        <w:jc w:val="left"/>
        <w:rPr>
          <w:rFonts w:eastAsia="宋体"/>
          <w:b/>
          <w:bCs/>
          <w:sz w:val="36"/>
          <w:szCs w:val="36"/>
        </w:rPr>
      </w:pPr>
      <w:r>
        <w:rPr>
          <w:rFonts w:eastAsia="宋体"/>
          <w:b/>
          <w:bCs/>
          <w:sz w:val="36"/>
          <w:szCs w:val="36"/>
        </w:rPr>
        <w:t xml:space="preserve"> Introduction</w:t>
      </w:r>
      <w:r>
        <w:rPr>
          <w:rFonts w:eastAsia="宋体"/>
          <w:b/>
          <w:bCs/>
          <w:sz w:val="36"/>
          <w:szCs w:val="36"/>
        </w:rPr>
        <w:t xml:space="preserve"> (</w:t>
      </w:r>
      <w:r>
        <w:rPr>
          <w:rFonts w:eastAsia="宋体"/>
          <w:b/>
          <w:bCs/>
          <w:sz w:val="36"/>
          <w:szCs w:val="36"/>
        </w:rPr>
        <w:t>jeweleryIndustry</w:t>
      </w:r>
      <w:r>
        <w:rPr>
          <w:rFonts w:eastAsia="宋体"/>
          <w:b/>
          <w:bCs/>
          <w:sz w:val="36"/>
          <w:szCs w:val="36"/>
        </w:rPr>
        <w:t>)</w:t>
      </w:r>
      <w:r>
        <w:rPr>
          <w:rFonts w:eastAsia="宋体"/>
          <w:b/>
          <w:bCs/>
          <w:sz w:val="36"/>
          <w:szCs w:val="36"/>
        </w:rPr>
        <w:t>……………</w:t>
      </w:r>
      <w:r>
        <w:rPr>
          <w:rFonts w:eastAsia="宋体"/>
          <w:b/>
          <w:bCs/>
          <w:sz w:val="36"/>
          <w:szCs w:val="36"/>
        </w:rPr>
        <w:t>……</w:t>
      </w:r>
      <w:r>
        <w:rPr>
          <w:rFonts w:eastAsia="宋体"/>
          <w:b/>
          <w:bCs/>
          <w:sz w:val="36"/>
          <w:szCs w:val="36"/>
        </w:rPr>
        <w:t>…………………</w:t>
      </w:r>
      <w:r>
        <w:rPr>
          <w:rFonts w:eastAsia="宋体"/>
          <w:b/>
          <w:bCs/>
          <w:sz w:val="36"/>
          <w:szCs w:val="36"/>
        </w:rPr>
        <w:t xml:space="preserve">  1-2</w:t>
      </w:r>
    </w:p>
    <w:p>
      <w:pPr>
        <w:pStyle w:val="style179"/>
        <w:numPr>
          <w:ilvl w:val="0"/>
          <w:numId w:val="1"/>
        </w:numPr>
        <w:spacing w:before="0" w:lineRule="auto" w:line="259"/>
        <w:jc w:val="left"/>
        <w:rPr>
          <w:rFonts w:eastAsia="宋体"/>
          <w:b/>
          <w:bCs/>
          <w:sz w:val="36"/>
          <w:szCs w:val="36"/>
        </w:rPr>
      </w:pPr>
      <w:r>
        <w:rPr>
          <w:rFonts w:eastAsia="宋体"/>
          <w:b/>
          <w:bCs/>
          <w:sz w:val="36"/>
          <w:szCs w:val="36"/>
        </w:rPr>
        <w:t>Pest Analyses…………………</w:t>
      </w:r>
      <w:r>
        <w:rPr>
          <w:rFonts w:eastAsia="宋体"/>
          <w:b/>
          <w:bCs/>
          <w:sz w:val="36"/>
          <w:szCs w:val="36"/>
        </w:rPr>
        <w:t>………………...</w:t>
      </w:r>
      <w:r>
        <w:rPr>
          <w:rFonts w:eastAsia="宋体"/>
          <w:b/>
          <w:bCs/>
          <w:sz w:val="36"/>
          <w:szCs w:val="36"/>
        </w:rPr>
        <w:t xml:space="preserve">   2-3</w:t>
      </w:r>
    </w:p>
    <w:p>
      <w:pPr>
        <w:pStyle w:val="style179"/>
        <w:numPr>
          <w:ilvl w:val="0"/>
          <w:numId w:val="1"/>
        </w:numPr>
        <w:spacing w:before="0" w:lineRule="auto" w:line="259"/>
        <w:jc w:val="left"/>
        <w:rPr>
          <w:rFonts w:eastAsia="宋体"/>
          <w:b/>
          <w:bCs/>
          <w:sz w:val="36"/>
          <w:szCs w:val="36"/>
        </w:rPr>
      </w:pPr>
      <w:r>
        <w:rPr>
          <w:rFonts w:eastAsia="宋体"/>
          <w:b/>
          <w:bCs/>
          <w:sz w:val="36"/>
          <w:szCs w:val="36"/>
        </w:rPr>
        <w:t>Enterprenual</w:t>
      </w:r>
      <w:r>
        <w:rPr>
          <w:rFonts w:eastAsia="宋体"/>
          <w:b/>
          <w:bCs/>
          <w:sz w:val="36"/>
          <w:szCs w:val="36"/>
        </w:rPr>
        <w:t xml:space="preserve"> Skills…………………………….</w:t>
      </w:r>
      <w:r>
        <w:rPr>
          <w:rFonts w:eastAsia="宋体"/>
          <w:b/>
          <w:bCs/>
          <w:sz w:val="36"/>
          <w:szCs w:val="36"/>
        </w:rPr>
        <w:t xml:space="preserve">   </w:t>
      </w:r>
      <w:r>
        <w:rPr>
          <w:rFonts w:eastAsia="宋体"/>
          <w:b/>
          <w:bCs/>
          <w:sz w:val="36"/>
          <w:szCs w:val="36"/>
        </w:rPr>
        <w:t>4</w:t>
      </w:r>
    </w:p>
    <w:p>
      <w:pPr>
        <w:pStyle w:val="style179"/>
        <w:numPr>
          <w:ilvl w:val="0"/>
          <w:numId w:val="1"/>
        </w:numPr>
        <w:spacing w:before="0" w:lineRule="auto" w:line="259"/>
        <w:jc w:val="left"/>
        <w:rPr>
          <w:rFonts w:eastAsia="宋体"/>
          <w:b/>
          <w:bCs/>
          <w:sz w:val="36"/>
          <w:szCs w:val="36"/>
        </w:rPr>
      </w:pPr>
      <w:r>
        <w:rPr>
          <w:rFonts w:eastAsia="宋体"/>
          <w:b/>
          <w:bCs/>
          <w:sz w:val="36"/>
          <w:szCs w:val="36"/>
        </w:rPr>
        <w:t>Swot Analyses…………………………………..</w:t>
      </w:r>
      <w:r>
        <w:rPr>
          <w:rFonts w:eastAsia="宋体"/>
          <w:b/>
          <w:bCs/>
          <w:sz w:val="36"/>
          <w:szCs w:val="36"/>
        </w:rPr>
        <w:t xml:space="preserve">   </w:t>
      </w:r>
      <w:r>
        <w:rPr>
          <w:rFonts w:eastAsia="宋体"/>
          <w:b/>
          <w:bCs/>
          <w:sz w:val="36"/>
          <w:szCs w:val="36"/>
          <w:lang w:val="en-US"/>
        </w:rPr>
        <w:t>5-6</w:t>
      </w:r>
    </w:p>
    <w:p>
      <w:pPr>
        <w:pStyle w:val="style179"/>
        <w:numPr>
          <w:ilvl w:val="0"/>
          <w:numId w:val="1"/>
        </w:numPr>
        <w:spacing w:before="0" w:lineRule="auto" w:line="259"/>
        <w:jc w:val="left"/>
        <w:rPr>
          <w:rFonts w:eastAsia="宋体"/>
          <w:b/>
          <w:bCs/>
          <w:sz w:val="36"/>
          <w:szCs w:val="36"/>
        </w:rPr>
      </w:pPr>
      <w:r>
        <w:rPr>
          <w:rFonts w:eastAsia="宋体"/>
          <w:b/>
          <w:bCs/>
          <w:sz w:val="36"/>
          <w:szCs w:val="36"/>
        </w:rPr>
        <w:t>Skil</w:t>
      </w:r>
      <w:r>
        <w:rPr>
          <w:rFonts w:eastAsia="宋体"/>
          <w:b/>
          <w:bCs/>
          <w:sz w:val="36"/>
          <w:szCs w:val="36"/>
        </w:rPr>
        <w:t xml:space="preserve"> Audit……………………………………….</w:t>
      </w:r>
      <w:r>
        <w:rPr>
          <w:rFonts w:eastAsia="宋体"/>
          <w:b/>
          <w:bCs/>
          <w:sz w:val="36"/>
          <w:szCs w:val="36"/>
        </w:rPr>
        <w:t xml:space="preserve">   </w:t>
      </w:r>
      <w:r>
        <w:rPr>
          <w:rFonts w:eastAsia="宋体"/>
          <w:b/>
          <w:bCs/>
          <w:sz w:val="36"/>
          <w:szCs w:val="36"/>
          <w:lang w:val="en-US"/>
        </w:rPr>
        <w:t>6-</w:t>
      </w:r>
      <w:r>
        <w:rPr>
          <w:rFonts w:eastAsia="宋体"/>
          <w:b/>
          <w:bCs/>
          <w:sz w:val="36"/>
          <w:szCs w:val="36"/>
        </w:rPr>
        <w:t>7</w:t>
      </w:r>
    </w:p>
    <w:p>
      <w:pPr>
        <w:pStyle w:val="style179"/>
        <w:numPr>
          <w:ilvl w:val="0"/>
          <w:numId w:val="1"/>
        </w:numPr>
        <w:spacing w:before="0" w:lineRule="auto" w:line="259"/>
        <w:jc w:val="left"/>
        <w:rPr>
          <w:rFonts w:eastAsia="宋体"/>
          <w:b/>
          <w:bCs/>
          <w:sz w:val="36"/>
          <w:szCs w:val="36"/>
        </w:rPr>
      </w:pPr>
      <w:r>
        <w:rPr>
          <w:rFonts w:eastAsia="宋体"/>
          <w:b/>
          <w:bCs/>
          <w:sz w:val="36"/>
          <w:szCs w:val="36"/>
        </w:rPr>
        <w:t>Profesional</w:t>
      </w:r>
      <w:r>
        <w:rPr>
          <w:rFonts w:eastAsia="宋体"/>
          <w:b/>
          <w:bCs/>
          <w:sz w:val="36"/>
          <w:szCs w:val="36"/>
        </w:rPr>
        <w:t xml:space="preserve"> Development Plan…………………</w:t>
      </w:r>
      <w:r>
        <w:rPr>
          <w:rFonts w:eastAsia="宋体"/>
          <w:b/>
          <w:bCs/>
          <w:sz w:val="36"/>
          <w:szCs w:val="36"/>
        </w:rPr>
        <w:t xml:space="preserve">  </w:t>
      </w:r>
      <w:r>
        <w:rPr>
          <w:rFonts w:eastAsia="宋体"/>
          <w:b/>
          <w:bCs/>
          <w:sz w:val="36"/>
          <w:szCs w:val="36"/>
          <w:lang w:val="en-US"/>
        </w:rPr>
        <w:t>8-9</w:t>
      </w:r>
    </w:p>
    <w:p>
      <w:pPr>
        <w:pStyle w:val="style179"/>
        <w:numPr>
          <w:ilvl w:val="0"/>
          <w:numId w:val="1"/>
        </w:numPr>
        <w:spacing w:before="0" w:lineRule="auto" w:line="259"/>
        <w:jc w:val="left"/>
        <w:rPr>
          <w:rFonts w:eastAsia="宋体"/>
          <w:b/>
          <w:bCs/>
          <w:sz w:val="36"/>
          <w:szCs w:val="36"/>
        </w:rPr>
      </w:pPr>
      <w:r>
        <w:rPr>
          <w:rFonts w:eastAsia="宋体"/>
          <w:b/>
          <w:bCs/>
          <w:sz w:val="36"/>
          <w:szCs w:val="36"/>
        </w:rPr>
        <w:t>Conclusion………………………………………</w:t>
      </w:r>
      <w:r>
        <w:rPr>
          <w:rFonts w:eastAsia="宋体"/>
          <w:b/>
          <w:bCs/>
          <w:sz w:val="36"/>
          <w:szCs w:val="36"/>
        </w:rPr>
        <w:t xml:space="preserve">  9</w:t>
      </w:r>
    </w:p>
    <w:p>
      <w:pPr>
        <w:pStyle w:val="style179"/>
        <w:numPr>
          <w:ilvl w:val="0"/>
          <w:numId w:val="1"/>
        </w:numPr>
        <w:spacing w:before="0" w:lineRule="auto" w:line="259"/>
        <w:jc w:val="left"/>
        <w:rPr>
          <w:rFonts w:eastAsia="宋体"/>
          <w:b/>
          <w:bCs/>
          <w:sz w:val="36"/>
          <w:szCs w:val="36"/>
        </w:rPr>
      </w:pPr>
      <w:r>
        <w:rPr>
          <w:rFonts w:eastAsia="宋体"/>
          <w:b/>
          <w:bCs/>
          <w:sz w:val="36"/>
          <w:szCs w:val="36"/>
        </w:rPr>
        <w:t>References………………………………………</w:t>
      </w:r>
      <w:r>
        <w:rPr>
          <w:rFonts w:eastAsia="宋体"/>
          <w:b/>
          <w:bCs/>
          <w:sz w:val="36"/>
          <w:szCs w:val="36"/>
        </w:rPr>
        <w:t xml:space="preserve">   10</w:t>
      </w:r>
    </w:p>
    <w:p>
      <w:pPr>
        <w:pStyle w:val="style0"/>
        <w:spacing w:before="0" w:lineRule="auto" w:line="259"/>
        <w:ind w:left="360"/>
        <w:jc w:val="left"/>
        <w:rPr>
          <w:rFonts w:eastAsia="宋体"/>
          <w:b/>
          <w:bCs/>
          <w:sz w:val="36"/>
          <w:szCs w:val="36"/>
        </w:rPr>
      </w:pPr>
    </w:p>
    <w:p>
      <w:pPr>
        <w:pStyle w:val="style0"/>
        <w:spacing w:before="0" w:lineRule="auto" w:line="259"/>
        <w:jc w:val="left"/>
        <w:rPr>
          <w:rFonts w:eastAsia="宋体"/>
          <w:b/>
          <w:bCs/>
          <w:sz w:val="36"/>
          <w:szCs w:val="36"/>
        </w:rPr>
      </w:pPr>
    </w:p>
    <w:p>
      <w:pPr>
        <w:pStyle w:val="style0"/>
        <w:spacing w:before="0" w:lineRule="auto" w:line="259"/>
        <w:jc w:val="left"/>
        <w:rPr>
          <w:rFonts w:eastAsia="宋体"/>
          <w:b/>
          <w:bCs/>
          <w:sz w:val="36"/>
          <w:szCs w:val="36"/>
        </w:rPr>
      </w:pPr>
      <w:r>
        <w:rPr>
          <w:noProof/>
        </w:rPr>
        <w:drawing>
          <wp:inline distL="0" distT="0" distB="0" distR="0">
            <wp:extent cx="1188720" cy="2042160"/>
            <wp:effectExtent l="0" t="0" r="0" b="0"/>
            <wp:docPr id="1029" name="Picture 1" descr="A close-up of a person's ear&#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188720" cy="2042160"/>
                    </a:xfrm>
                    <a:prstGeom prst="rect"/>
                  </pic:spPr>
                </pic:pic>
              </a:graphicData>
            </a:graphic>
          </wp:inline>
        </w:drawing>
      </w:r>
      <w:r>
        <w:rPr>
          <w:noProof/>
        </w:rPr>
        <w:t xml:space="preserve"> </w:t>
      </w:r>
      <w:r>
        <w:rPr>
          <w:noProof/>
        </w:rPr>
        <w:drawing>
          <wp:inline distL="0" distT="0" distB="0" distR="0">
            <wp:extent cx="1150620" cy="2013585"/>
            <wp:effectExtent l="0" t="0" r="0" b="5715"/>
            <wp:docPr id="1030" name="Picture 1" descr="A person wearing a white jacket with a large brooch&#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1150620" cy="2013585"/>
                    </a:xfrm>
                    <a:prstGeom prst="rect"/>
                  </pic:spPr>
                </pic:pic>
              </a:graphicData>
            </a:graphic>
          </wp:inline>
        </w:drawing>
      </w:r>
      <w:r>
        <w:rPr>
          <w:noProof/>
        </w:rPr>
        <w:t xml:space="preserve"> </w:t>
      </w:r>
      <w:r>
        <w:rPr>
          <w:noProof/>
        </w:rPr>
        <w:drawing>
          <wp:inline distL="0" distT="0" distB="0" distR="0">
            <wp:extent cx="1623060" cy="1992629"/>
            <wp:effectExtent l="0" t="0" r="0" b="7620"/>
            <wp:docPr id="1031" name="Picture 1" descr="A pair of earrings with large crystals&#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1623060" cy="1992629"/>
                    </a:xfrm>
                    <a:prstGeom prst="rect"/>
                  </pic:spPr>
                </pic:pic>
              </a:graphicData>
            </a:graphic>
          </wp:inline>
        </w:drawing>
      </w:r>
      <w:r>
        <w:rPr>
          <w:noProof/>
        </w:rPr>
        <w:t xml:space="preserve"> </w:t>
      </w:r>
      <w:r>
        <w:rPr>
          <w:noProof/>
        </w:rPr>
        <w:drawing>
          <wp:inline distL="0" distT="0" distB="0" distR="0">
            <wp:extent cx="1851660" cy="1889760"/>
            <wp:effectExtent l="0" t="0" r="0" b="0"/>
            <wp:docPr id="1032" name="Picture 1" descr="A group of earrings with green and white stones&#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flipH="1">
                      <a:off x="0" y="0"/>
                      <a:ext cx="1851660" cy="1889760"/>
                    </a:xfrm>
                    <a:prstGeom prst="rect"/>
                  </pic:spPr>
                </pic:pic>
              </a:graphicData>
            </a:graphic>
          </wp:inline>
        </w:drawing>
      </w:r>
    </w:p>
    <w:p>
      <w:pPr>
        <w:pStyle w:val="style0"/>
        <w:spacing w:before="0" w:lineRule="auto" w:line="259"/>
        <w:jc w:val="left"/>
        <w:rPr>
          <w:rFonts w:eastAsia="宋体"/>
          <w:b/>
          <w:bCs/>
          <w:sz w:val="36"/>
          <w:szCs w:val="36"/>
        </w:rPr>
      </w:pPr>
    </w:p>
    <w:p>
      <w:pPr>
        <w:pStyle w:val="style0"/>
        <w:spacing w:before="0" w:lineRule="auto" w:line="259"/>
        <w:jc w:val="left"/>
        <w:rPr>
          <w:rFonts w:eastAsia="宋体"/>
          <w:b/>
          <w:bCs/>
          <w:color w:val="385623"/>
          <w:sz w:val="36"/>
          <w:szCs w:val="36"/>
        </w:rPr>
      </w:pPr>
    </w:p>
    <w:p>
      <w:pPr>
        <w:pStyle w:val="style0"/>
        <w:rPr/>
      </w:pPr>
      <w:r>
        <w:t xml:space="preserve">Innovation and economic development have always relied on the efforts of enterprising individuals. Aspiring entrepreneurs have a lot of intriguing options in today's business climate. This paper delves </w:t>
      </w:r>
      <w:r>
        <w:t>into</w:t>
      </w:r>
      <w:r>
        <w:t xml:space="preserve"> an aspiring businessperson's plan to open a </w:t>
      </w:r>
      <w:r>
        <w:t>jewellery</w:t>
      </w:r>
      <w:r>
        <w:t xml:space="preserve"> store in the UK. The purpose of this exercise is to establish the feasibility of continuing with this concept by gauging </w:t>
      </w:r>
      <w:r>
        <w:t xml:space="preserve">its potential in the market, spotting relevant trends, and doing a PEST analysis. This essay not only </w:t>
      </w:r>
      <w:r>
        <w:t>summarises</w:t>
      </w:r>
      <w:r>
        <w:t xml:space="preserve"> everything </w:t>
      </w:r>
      <w:r>
        <w:t>i</w:t>
      </w:r>
      <w:r>
        <w:t>'ve</w:t>
      </w:r>
      <w:r>
        <w:t xml:space="preserve"> learned about entrepreneurship in this class, but it also lays out a strategy for professional growth based on the SMART framework that will help </w:t>
      </w:r>
      <w:r>
        <w:t>me</w:t>
      </w:r>
      <w:r>
        <w:t xml:space="preserve"> reach </w:t>
      </w:r>
      <w:r>
        <w:t xml:space="preserve">my </w:t>
      </w:r>
      <w:r>
        <w:t>goals and launch a successful business.</w:t>
      </w:r>
    </w:p>
    <w:p>
      <w:pPr>
        <w:pStyle w:val="style0"/>
        <w:rPr/>
      </w:pPr>
      <w:r>
        <w:t xml:space="preserve">Our proposed business model calls for the launch of a </w:t>
      </w:r>
      <w:r>
        <w:t>jewellery</w:t>
      </w:r>
      <w:r>
        <w:t xml:space="preserve"> store in the United Kingdom selling high-quality, one-of-a-kind items. Superior workmanship, classic styles, and bespoke service are the hallmarks of this enterprise. Our goal is to design </w:t>
      </w:r>
      <w:r>
        <w:t>jewellery</w:t>
      </w:r>
      <w:r>
        <w:t xml:space="preserve"> that will be worn and cherished as a symbol of meaningful emotions and experiences.</w:t>
      </w:r>
      <w:r>
        <w:t xml:space="preserve"> </w:t>
      </w:r>
      <w:r>
        <w:t>By stocking a wide variety of styles, we can meet the needs of a wide spectrum of consumers and ensure that every item has its own narrative to tell.</w:t>
      </w:r>
      <w:r>
        <w:t xml:space="preserve"> </w:t>
      </w:r>
      <w:r>
        <w:t xml:space="preserve">Our goal is to become a household name in the </w:t>
      </w:r>
      <w:r>
        <w:t>jewellery</w:t>
      </w:r>
      <w:r>
        <w:t xml:space="preserve"> industry, revered for our one-of-a-kind creations, meticulous attention to detail, and bespoke service. </w:t>
      </w:r>
    </w:p>
    <w:p>
      <w:pPr>
        <w:pStyle w:val="style0"/>
        <w:rPr/>
      </w:pPr>
      <w:r>
        <w:t>To evaluate the potential influences of external variables on the selected business concept in the UK market, a PEST study is performed. Here, we look at how the company might benefit from, or be hindered by, various political, economic, sociocultural, and technical aspects.</w:t>
      </w:r>
    </w:p>
    <w:bookmarkStart w:id="1" w:name="_Toc139671235"/>
    <w:p>
      <w:pPr>
        <w:pStyle w:val="style0"/>
        <w:rPr>
          <w:b/>
          <w:bCs/>
        </w:rPr>
      </w:pPr>
      <w:r>
        <w:rPr>
          <w:b/>
          <w:bCs/>
        </w:rPr>
        <w:t>Political Factors</w:t>
      </w:r>
      <w:bookmarkEnd w:id="1"/>
    </w:p>
    <w:p>
      <w:pPr>
        <w:pStyle w:val="style0"/>
        <w:rPr/>
      </w:pPr>
      <w:r>
        <w:t xml:space="preserve">A nation's political climate includes its policies, rules, and level of stability. Businesses thrive in the United Kingdom because of the country's low crime rate and high level of political stability. However, tax policies, laws pertaining to the </w:t>
      </w:r>
      <w:r>
        <w:t>jewellery</w:t>
      </w:r>
      <w:r>
        <w:t xml:space="preserve"> sector, and future shifts in government efforts supporting healthy lifestyles are all examples of political variables that might have an effect on our company. Any new rules or restrictions will need us to reevaluate our operations</w:t>
      </w:r>
      <w:r>
        <w:t xml:space="preserve"> (Erikson, 2017)</w:t>
      </w:r>
      <w:r>
        <w:t>.</w:t>
      </w:r>
    </w:p>
    <w:bookmarkStart w:id="2" w:name="_Toc139671236"/>
    <w:p>
      <w:pPr>
        <w:pStyle w:val="style0"/>
        <w:rPr>
          <w:b/>
          <w:bCs/>
        </w:rPr>
      </w:pPr>
      <w:r>
        <w:rPr>
          <w:b/>
          <w:bCs/>
        </w:rPr>
        <w:t>Economic</w:t>
      </w:r>
      <w:r>
        <w:rPr>
          <w:b/>
          <w:bCs/>
        </w:rPr>
        <w:t xml:space="preserve"> Factors</w:t>
      </w:r>
      <w:bookmarkEnd w:id="2"/>
    </w:p>
    <w:p>
      <w:pPr>
        <w:pStyle w:val="style0"/>
        <w:rPr/>
      </w:pPr>
      <w:r>
        <w:t xml:space="preserve">By "economic factors," we mean the general state of a nation's economy. The prosperous and varied economy of the United Kingdom is a boon to our little company. There may be a market opening up due to the growing interest in health and wellbeing, as well as the desire for home </w:t>
      </w:r>
      <w:r>
        <w:t>jewellary</w:t>
      </w:r>
      <w:r>
        <w:t xml:space="preserve"> </w:t>
      </w:r>
      <w:r>
        <w:t>solutions</w:t>
      </w:r>
      <w:r>
        <w:t xml:space="preserve"> (Erica, 2019)</w:t>
      </w:r>
      <w:r>
        <w:t xml:space="preserve">. However, obstacles might be presented by economic swings like recessions or shifts in consumer buying habits. We may successfully traverse these economic </w:t>
      </w:r>
      <w:r>
        <w:t>issues via in-depth market research and the maintenance of pricing and advertising approaches that allow for some degree of flexibility.</w:t>
      </w:r>
    </w:p>
    <w:bookmarkStart w:id="3" w:name="_Toc139671237"/>
    <w:p>
      <w:pPr>
        <w:pStyle w:val="style0"/>
        <w:rPr>
          <w:b/>
          <w:bCs/>
        </w:rPr>
      </w:pPr>
      <w:r>
        <w:rPr>
          <w:b/>
          <w:bCs/>
        </w:rPr>
        <w:t>Social Factors</w:t>
      </w:r>
      <w:bookmarkEnd w:id="3"/>
    </w:p>
    <w:p>
      <w:pPr>
        <w:pStyle w:val="style0"/>
        <w:rPr/>
      </w:pPr>
      <w:r>
        <w:t xml:space="preserve">Attitudes, beliefs, and lifestyle tendencies are all examples of socio-cultural influences. The promotion </w:t>
      </w:r>
      <w:r>
        <w:t>(Weller, 2021)</w:t>
      </w:r>
      <w:r>
        <w:t xml:space="preserve">. The rising popularity of </w:t>
      </w:r>
      <w:r>
        <w:t>fashion</w:t>
      </w:r>
      <w:r>
        <w:t>-oriented persons and the widespread use of digital technology all contribute to a hospitable setting for our company. Our success in the UK marketplace depends on our ability to adapt to the changing tastes of consumers and provide them with products that meet their requirements.</w:t>
      </w:r>
    </w:p>
    <w:bookmarkStart w:id="4" w:name="_Toc139671238"/>
    <w:p>
      <w:pPr>
        <w:pStyle w:val="style0"/>
        <w:rPr>
          <w:b/>
          <w:bCs/>
        </w:rPr>
      </w:pPr>
      <w:r>
        <w:rPr>
          <w:b/>
          <w:bCs/>
        </w:rPr>
        <w:t>Technological Factors</w:t>
      </w:r>
      <w:bookmarkEnd w:id="4"/>
    </w:p>
    <w:p>
      <w:pPr>
        <w:pStyle w:val="style0"/>
        <w:rPr/>
      </w:pPr>
      <w:r>
        <w:t xml:space="preserve">Technological factors are developments and advances in technology that may have an effect on a sector. The advanced technology infrastructure in the UK is a solid basis for our tech-based </w:t>
      </w:r>
      <w:r>
        <w:t>jewellary</w:t>
      </w:r>
      <w:r>
        <w:t xml:space="preserve"> </w:t>
      </w:r>
      <w:r>
        <w:t>solution. We are at the cutting edge of our field because we have adopted innovative methods of doing business, such as the use of machine learning, data analytics, using mobile applications</w:t>
      </w:r>
      <w:r>
        <w:t xml:space="preserve"> (Phillips, 2017)</w:t>
      </w:r>
      <w:r>
        <w:t>. To maintain our competitive edge, however, we must maintain our ability to adapt quickly to new technologies. Leveraging technical elements successfully will include monitoring developing technologies, engaging in R&amp;D, and cultivating strategic alliances.</w:t>
      </w:r>
    </w:p>
    <w:p>
      <w:pPr>
        <w:pStyle w:val="style0"/>
        <w:rPr/>
      </w:pPr>
      <w:r>
        <w:t xml:space="preserve">Our entrepreneurial concept has been evaluated, and the results of the PEST study of the UK market have provided various reasons to go forward with a business strategy for </w:t>
      </w:r>
      <w:r>
        <w:t>Dazzle</w:t>
      </w:r>
      <w:r>
        <w:t>.</w:t>
      </w:r>
    </w:p>
    <w:p>
      <w:pPr>
        <w:pStyle w:val="style179"/>
        <w:numPr>
          <w:ilvl w:val="0"/>
          <w:numId w:val="2"/>
        </w:numPr>
        <w:rPr/>
      </w:pPr>
      <w:r>
        <w:t xml:space="preserve">Our core concept is to launch a </w:t>
      </w:r>
      <w:r>
        <w:t>jewellery</w:t>
      </w:r>
      <w:r>
        <w:t xml:space="preserve"> line known for its high quality, unique designs, and skilled craftsmanship. Our mission is to provide shoppers with an extensive selection of distinctive, fashionable </w:t>
      </w:r>
      <w:r>
        <w:t>jewellery</w:t>
      </w:r>
      <w:r>
        <w:t>, including earrings, necklaces, bracelets, and rings, that reflects their own sense of style and personality</w:t>
      </w:r>
      <w:r>
        <w:t xml:space="preserve"> </w:t>
      </w:r>
      <w:r>
        <w:t>(Algar &amp; Griffiths, 2022)</w:t>
      </w:r>
      <w:r>
        <w:t xml:space="preserve">. The gemstones and metals used in the </w:t>
      </w:r>
      <w:r>
        <w:t>jewellery</w:t>
      </w:r>
      <w:r>
        <w:t xml:space="preserve"> will be of the highest quality, and each item will be hand-crafted to perfection.</w:t>
      </w:r>
    </w:p>
    <w:p>
      <w:pPr>
        <w:pStyle w:val="style179"/>
        <w:numPr>
          <w:ilvl w:val="0"/>
          <w:numId w:val="2"/>
        </w:numPr>
        <w:rPr/>
      </w:pPr>
      <w:r>
        <w:t xml:space="preserve">Our company's vision is to provide consumers with one-of-a-kind designs that speak to them and become treasured tokens of affection, joy, and individuality. We think </w:t>
      </w:r>
      <w:r>
        <w:t>jewellery</w:t>
      </w:r>
      <w:r>
        <w:t xml:space="preserve"> has the ability to make individuals feel things and remember times in their life forever. By </w:t>
      </w:r>
      <w:r>
        <w:t>stocking a wide variety of styles, we can meet the needs of a wide spectrum of consumers and ensure that every item has its own narrative to tell</w:t>
      </w:r>
      <w:r>
        <w:t xml:space="preserve"> </w:t>
      </w:r>
      <w:r>
        <w:t>(Marcellin, 2022)</w:t>
      </w:r>
      <w:r>
        <w:t>.</w:t>
      </w:r>
    </w:p>
    <w:p>
      <w:pPr>
        <w:pStyle w:val="style179"/>
        <w:numPr>
          <w:ilvl w:val="0"/>
          <w:numId w:val="2"/>
        </w:numPr>
        <w:rPr/>
      </w:pPr>
      <w:r>
        <w:t xml:space="preserve">The world after Covid 19 sees a rise in interest in </w:t>
      </w:r>
      <w:r>
        <w:t>individualised</w:t>
      </w:r>
      <w:r>
        <w:t xml:space="preserve"> and purposeful goods. Our </w:t>
      </w:r>
      <w:r>
        <w:t>jewellery</w:t>
      </w:r>
      <w:r>
        <w:t xml:space="preserve"> line strives to satisfy this need by providing a variety of personalization choices for each item. Because we know how important it is for consumers to be able to shop for our </w:t>
      </w:r>
      <w:r>
        <w:t>jewellery</w:t>
      </w:r>
      <w:r>
        <w:t xml:space="preserve"> without leaving the convenience of their own homes, we will make sure that our online store is easy to use and secure.</w:t>
      </w:r>
    </w:p>
    <w:p>
      <w:pPr>
        <w:pStyle w:val="style179"/>
        <w:numPr>
          <w:ilvl w:val="0"/>
          <w:numId w:val="2"/>
        </w:numPr>
        <w:rPr/>
      </w:pPr>
      <w:r>
        <w:t xml:space="preserve">Our goal is to become a household name in the </w:t>
      </w:r>
      <w:r>
        <w:t>jewellery</w:t>
      </w:r>
      <w:r>
        <w:t xml:space="preserve"> industry, revered for our one-of-a-kind creations, meticulous attention to detail, and bespoke service</w:t>
      </w:r>
      <w:r>
        <w:t xml:space="preserve"> </w:t>
      </w:r>
      <w:r>
        <w:t>(Gough, 2022)</w:t>
      </w:r>
      <w:r>
        <w:t xml:space="preserve">. </w:t>
      </w:r>
      <w:r>
        <w:t xml:space="preserve">Our mission is to become the go-to </w:t>
      </w:r>
      <w:r>
        <w:t>jeweller</w:t>
      </w:r>
      <w:r>
        <w:t xml:space="preserve"> for clients searching for meaningful and aesthetically pleasing </w:t>
      </w:r>
      <w:r>
        <w:t>jewellery</w:t>
      </w:r>
      <w:r>
        <w:t xml:space="preserve"> to accent their own sense of style.</w:t>
      </w:r>
    </w:p>
    <w:bookmarkStart w:id="5" w:name="_Toc139671240"/>
    <w:p>
      <w:pPr>
        <w:pStyle w:val="style0"/>
        <w:rPr>
          <w:b/>
          <w:bCs/>
        </w:rPr>
      </w:pPr>
      <w:r>
        <w:rPr>
          <w:b/>
          <w:bCs/>
        </w:rPr>
        <w:t>Entrepreneurial Skills</w:t>
      </w:r>
      <w:bookmarkEnd w:id="5"/>
    </w:p>
    <w:bookmarkStart w:id="6" w:name="_Toc139671241"/>
    <w:p>
      <w:pPr>
        <w:pStyle w:val="style0"/>
        <w:rPr>
          <w:b/>
          <w:bCs/>
          <w:u w:val="double"/>
        </w:rPr>
      </w:pPr>
      <w:r>
        <w:rPr>
          <w:b/>
          <w:bCs/>
          <w:u w:val="double"/>
        </w:rPr>
        <w:t>Swot Analysis</w:t>
      </w:r>
      <w:bookmarkEnd w:id="6"/>
    </w:p>
    <w:tbl>
      <w:tblPr>
        <w:tblStyle w:val="style154"/>
        <w:tblW w:w="0" w:type="auto"/>
        <w:tblLook w:val="04A0" w:firstRow="1" w:lastRow="0" w:firstColumn="1" w:lastColumn="0" w:noHBand="0" w:noVBand="1"/>
      </w:tblPr>
      <w:tblGrid>
        <w:gridCol w:w="4675"/>
        <w:gridCol w:w="4675"/>
      </w:tblGrid>
      <w:tr>
        <w:trPr/>
        <w:tc>
          <w:tcPr>
            <w:tcW w:w="4675" w:type="dxa"/>
            <w:tcBorders/>
            <w:shd w:val="clear" w:color="auto" w:fill="f7caac"/>
          </w:tcPr>
          <w:p>
            <w:pPr>
              <w:pStyle w:val="style0"/>
              <w:jc w:val="center"/>
              <w:rPr>
                <w:b/>
                <w:bCs/>
              </w:rPr>
            </w:pPr>
            <w:r>
              <w:rPr>
                <w:b/>
                <w:bCs/>
              </w:rPr>
              <w:t>Strength</w:t>
            </w:r>
            <w:r>
              <w:rPr>
                <w:b/>
                <w:bCs/>
              </w:rPr>
              <w:t>s</w:t>
            </w:r>
          </w:p>
        </w:tc>
        <w:tc>
          <w:tcPr>
            <w:tcW w:w="4675" w:type="dxa"/>
            <w:tcBorders/>
            <w:shd w:val="clear" w:color="auto" w:fill="ffd966"/>
          </w:tcPr>
          <w:p>
            <w:pPr>
              <w:pStyle w:val="style0"/>
              <w:jc w:val="center"/>
              <w:rPr>
                <w:b/>
                <w:bCs/>
              </w:rPr>
            </w:pPr>
            <w:r>
              <w:rPr>
                <w:b/>
                <w:bCs/>
              </w:rPr>
              <w:t>Weaknesses</w:t>
            </w:r>
          </w:p>
        </w:tc>
      </w:tr>
      <w:tr>
        <w:tblPrEx/>
        <w:trPr/>
        <w:tc>
          <w:tcPr>
            <w:tcW w:w="4675" w:type="dxa"/>
            <w:tcBorders/>
          </w:tcPr>
          <w:p>
            <w:pPr>
              <w:pStyle w:val="style179"/>
              <w:numPr>
                <w:ilvl w:val="0"/>
                <w:numId w:val="4"/>
              </w:numPr>
              <w:rPr/>
            </w:pPr>
            <w:r>
              <w:t>The training has improved</w:t>
            </w:r>
            <w:r>
              <w:t xml:space="preserve"> </w:t>
            </w:r>
            <w:r>
              <w:t xml:space="preserve"> </w:t>
            </w:r>
            <w:r>
              <w:t>my</w:t>
            </w:r>
            <w:r>
              <w:t xml:space="preserve"> capacity to identify and assess market openings. With this knowledge</w:t>
            </w:r>
            <w:r>
              <w:t xml:space="preserve"> </w:t>
            </w:r>
            <w:r>
              <w:t>i</w:t>
            </w:r>
            <w:r>
              <w:t xml:space="preserve"> can identify niches and unmet demands in the home exercise business and position our product accordingly to increase its market share.</w:t>
            </w:r>
          </w:p>
          <w:p>
            <w:pPr>
              <w:pStyle w:val="style179"/>
              <w:numPr>
                <w:ilvl w:val="0"/>
                <w:numId w:val="4"/>
              </w:numPr>
              <w:rPr/>
            </w:pPr>
            <w:r>
              <w:t xml:space="preserve">The training has helped </w:t>
            </w:r>
            <w:r>
              <w:t>me</w:t>
            </w:r>
            <w:r>
              <w:t xml:space="preserve"> develop a more imaginative and original way of thinking. With this knowledge, </w:t>
            </w:r>
            <w:r>
              <w:t>i</w:t>
            </w:r>
            <w:r>
              <w:t xml:space="preserve"> can create one-of-a-kind capabilities for </w:t>
            </w:r>
            <w:r>
              <w:t>my</w:t>
            </w:r>
            <w:r>
              <w:t xml:space="preserve"> smart exercise equipment system, strengthening its USP and giving </w:t>
            </w:r>
            <w:r>
              <w:t>me</w:t>
            </w:r>
            <w:r>
              <w:t xml:space="preserve"> a leg up on the competition.</w:t>
            </w:r>
          </w:p>
          <w:p>
            <w:pPr>
              <w:pStyle w:val="style179"/>
              <w:numPr>
                <w:ilvl w:val="0"/>
                <w:numId w:val="4"/>
              </w:numPr>
              <w:rPr/>
            </w:pPr>
            <w:r>
              <w:t xml:space="preserve"> Business planning fundamentals have been thoroughly covered in this course. With this information in hand, </w:t>
            </w:r>
            <w:r>
              <w:t>i</w:t>
            </w:r>
            <w:r>
              <w:t xml:space="preserve"> can write a thorough business plan that specifies </w:t>
            </w:r>
            <w:r>
              <w:t>my</w:t>
            </w:r>
            <w:r>
              <w:t xml:space="preserve"> objectives, tactics, financial forecasts, and operational methods. A solid business plan will increase </w:t>
            </w:r>
            <w:r>
              <w:t>my</w:t>
            </w:r>
            <w:r>
              <w:t xml:space="preserve"> chances of getting money and running our company efficiently.</w:t>
            </w:r>
          </w:p>
        </w:tc>
        <w:tc>
          <w:tcPr>
            <w:tcW w:w="4675" w:type="dxa"/>
            <w:tcBorders/>
          </w:tcPr>
          <w:p>
            <w:pPr>
              <w:pStyle w:val="style179"/>
              <w:numPr>
                <w:ilvl w:val="0"/>
                <w:numId w:val="4"/>
              </w:numPr>
              <w:rPr/>
            </w:pPr>
            <w:r>
              <w:t xml:space="preserve">Although the course of study has covered the fundamentals of financial management, there is still room for improvement in areas such as financial projections, budgeting, and analysis. Gaining these competencies will allow </w:t>
            </w:r>
            <w:r>
              <w:t>me</w:t>
            </w:r>
            <w:r>
              <w:t xml:space="preserve"> to better manage the company's finances and assure its long-term success.</w:t>
            </w:r>
          </w:p>
          <w:p>
            <w:pPr>
              <w:pStyle w:val="style179"/>
              <w:numPr>
                <w:ilvl w:val="0"/>
                <w:numId w:val="4"/>
              </w:numPr>
              <w:rPr/>
            </w:pPr>
            <w:r>
              <w:t xml:space="preserve">Risk management has been discussed in class, but </w:t>
            </w:r>
            <w:r>
              <w:t>i</w:t>
            </w:r>
            <w:r>
              <w:t xml:space="preserve"> still need to work on improving </w:t>
            </w:r>
            <w:r>
              <w:t>my</w:t>
            </w:r>
            <w:r>
              <w:t xml:space="preserve"> ability to </w:t>
            </w:r>
            <w:r>
              <w:t>recognise</w:t>
            </w:r>
            <w:r>
              <w:t xml:space="preserve"> threats, evaluate their severity, and devise plans to counteract them. Because of this, </w:t>
            </w:r>
            <w:r>
              <w:t>I will</w:t>
            </w:r>
            <w:r>
              <w:t xml:space="preserve"> be better </w:t>
            </w:r>
            <w:r>
              <w:t xml:space="preserve">equipped to avoid problems, take preventative measures, and keep </w:t>
            </w:r>
            <w:r>
              <w:t xml:space="preserve">my </w:t>
            </w:r>
            <w:r>
              <w:t>company going strong.</w:t>
            </w:r>
          </w:p>
        </w:tc>
      </w:tr>
      <w:tr>
        <w:tblPrEx/>
        <w:trPr/>
        <w:tc>
          <w:tcPr>
            <w:tcW w:w="4675" w:type="dxa"/>
            <w:tcBorders/>
            <w:shd w:val="clear" w:color="auto" w:fill="b4c6e7"/>
          </w:tcPr>
          <w:p>
            <w:pPr>
              <w:pStyle w:val="style0"/>
              <w:jc w:val="center"/>
              <w:rPr>
                <w:b/>
                <w:bCs/>
              </w:rPr>
            </w:pPr>
            <w:r>
              <w:rPr>
                <w:b/>
                <w:bCs/>
              </w:rPr>
              <w:t>Opportunities</w:t>
            </w:r>
          </w:p>
        </w:tc>
        <w:tc>
          <w:tcPr>
            <w:tcW w:w="4675" w:type="dxa"/>
            <w:tcBorders/>
            <w:shd w:val="clear" w:color="auto" w:fill="c5e0b3"/>
          </w:tcPr>
          <w:p>
            <w:pPr>
              <w:pStyle w:val="style0"/>
              <w:jc w:val="center"/>
              <w:rPr>
                <w:b/>
                <w:bCs/>
              </w:rPr>
            </w:pPr>
            <w:r>
              <w:rPr>
                <w:b/>
                <w:bCs/>
              </w:rPr>
              <w:t>Threats</w:t>
            </w:r>
          </w:p>
        </w:tc>
      </w:tr>
      <w:tr>
        <w:tblPrEx/>
        <w:trPr/>
        <w:tc>
          <w:tcPr>
            <w:tcW w:w="4675" w:type="dxa"/>
            <w:tcBorders/>
          </w:tcPr>
          <w:p>
            <w:pPr>
              <w:pStyle w:val="style179"/>
              <w:numPr>
                <w:ilvl w:val="0"/>
                <w:numId w:val="5"/>
              </w:numPr>
              <w:rPr/>
            </w:pPr>
            <w:r>
              <w:t xml:space="preserve">Using what we've learned about seeing opportunities and being creative, </w:t>
            </w:r>
            <w:r>
              <w:t>i</w:t>
            </w:r>
            <w:r>
              <w:t xml:space="preserve"> can make </w:t>
            </w:r>
            <w:r>
              <w:t>my</w:t>
            </w:r>
            <w:r>
              <w:t xml:space="preserve"> smart workout equipment system even better. </w:t>
            </w:r>
            <w:r>
              <w:t>I</w:t>
            </w:r>
            <w:r>
              <w:t xml:space="preserve"> can then stand out from the competition, draw in new clients, and build </w:t>
            </w:r>
            <w:r>
              <w:t>my</w:t>
            </w:r>
            <w:r>
              <w:t xml:space="preserve"> brand in this way.</w:t>
            </w:r>
          </w:p>
          <w:p>
            <w:pPr>
              <w:pStyle w:val="style179"/>
              <w:numPr>
                <w:ilvl w:val="0"/>
                <w:numId w:val="5"/>
              </w:numPr>
              <w:rPr/>
            </w:pPr>
            <w:r>
              <w:t xml:space="preserve">The course material has expanded my knowledge of branding and marketing. Using this information, </w:t>
            </w:r>
            <w:r>
              <w:t>i</w:t>
            </w:r>
            <w:r>
              <w:t xml:space="preserve"> can develop engaging marketing strategies, establish a solid brand identity, and clearly articulate the benefits of </w:t>
            </w:r>
            <w:r>
              <w:t>my</w:t>
            </w:r>
            <w:r>
              <w:t xml:space="preserve"> product to our target audience.</w:t>
            </w:r>
          </w:p>
        </w:tc>
        <w:tc>
          <w:tcPr>
            <w:tcW w:w="4675" w:type="dxa"/>
            <w:tcBorders/>
          </w:tcPr>
          <w:p>
            <w:pPr>
              <w:pStyle w:val="style179"/>
              <w:numPr>
                <w:ilvl w:val="0"/>
                <w:numId w:val="5"/>
              </w:numPr>
              <w:rPr/>
            </w:pPr>
            <w:r>
              <w:t xml:space="preserve">There are several well-established companies and newcomers to the home </w:t>
            </w:r>
            <w:r>
              <w:t>jewellary</w:t>
            </w:r>
            <w:r>
              <w:t xml:space="preserve"> </w:t>
            </w:r>
            <w:r>
              <w:t xml:space="preserve">market. The competition from both existing businesses and possible new entrants poses a significant risk. However, </w:t>
            </w:r>
            <w:r>
              <w:t>i</w:t>
            </w:r>
            <w:r>
              <w:t xml:space="preserve"> can lessen the impact of this risk by using </w:t>
            </w:r>
            <w:r>
              <w:t>my</w:t>
            </w:r>
            <w:r>
              <w:t xml:space="preserve"> capacity for seeing new opportunities and coming up with creative solutions.</w:t>
            </w:r>
          </w:p>
          <w:p>
            <w:pPr>
              <w:pStyle w:val="style179"/>
              <w:numPr>
                <w:ilvl w:val="0"/>
                <w:numId w:val="5"/>
              </w:numPr>
              <w:rPr/>
            </w:pPr>
            <w:r>
              <w:t xml:space="preserve">Rapid technological development is risky because it has the potential to make current responses obsolete. Keeping abreast of technical developments, funding R&amp;D, and modifying </w:t>
            </w:r>
            <w:r>
              <w:t>my</w:t>
            </w:r>
            <w:r>
              <w:t xml:space="preserve"> product to accommodate new technology are all necessary countermeasures.</w:t>
            </w:r>
          </w:p>
          <w:p>
            <w:pPr>
              <w:pStyle w:val="style0"/>
              <w:tabs>
                <w:tab w:val="left" w:leader="none" w:pos="1680"/>
              </w:tabs>
              <w:rPr/>
            </w:pPr>
          </w:p>
        </w:tc>
      </w:tr>
      <w:bookmarkStart w:id="7" w:name="_Toc139671242"/>
    </w:tbl>
    <w:p>
      <w:pPr>
        <w:pStyle w:val="style0"/>
        <w:rPr>
          <w:b/>
          <w:bCs/>
          <w:u w:val="double"/>
        </w:rPr>
      </w:pPr>
      <w:r>
        <w:rPr>
          <w:b/>
          <w:bCs/>
          <w:u w:val="double"/>
        </w:rPr>
        <w:t>Skill Audit</w:t>
      </w:r>
      <w:bookmarkEnd w:id="7"/>
    </w:p>
    <w:tbl>
      <w:tblPr>
        <w:tblStyle w:val="style154"/>
        <w:tblW w:w="0" w:type="auto"/>
        <w:tblLook w:val="04A0" w:firstRow="1" w:lastRow="0" w:firstColumn="1" w:lastColumn="0" w:noHBand="0" w:noVBand="1"/>
      </w:tblPr>
      <w:tblGrid>
        <w:gridCol w:w="2337"/>
        <w:gridCol w:w="2337"/>
        <w:gridCol w:w="2338"/>
        <w:gridCol w:w="2338"/>
      </w:tblGrid>
      <w:tr>
        <w:trPr/>
        <w:tc>
          <w:tcPr>
            <w:tcW w:w="2337" w:type="dxa"/>
            <w:tcBorders/>
            <w:shd w:val="clear" w:color="auto" w:fill="d0cece"/>
          </w:tcPr>
          <w:p>
            <w:pPr>
              <w:pStyle w:val="style0"/>
              <w:jc w:val="center"/>
              <w:rPr>
                <w:b/>
                <w:bCs/>
              </w:rPr>
            </w:pPr>
            <w:r>
              <w:rPr>
                <w:b/>
                <w:bCs/>
              </w:rPr>
              <w:t>Skill Area</w:t>
            </w:r>
          </w:p>
        </w:tc>
        <w:tc>
          <w:tcPr>
            <w:tcW w:w="2337" w:type="dxa"/>
            <w:tcBorders/>
            <w:shd w:val="clear" w:color="auto" w:fill="d0cece"/>
          </w:tcPr>
          <w:p>
            <w:pPr>
              <w:pStyle w:val="style0"/>
              <w:jc w:val="center"/>
              <w:rPr>
                <w:b/>
                <w:bCs/>
              </w:rPr>
            </w:pPr>
            <w:r>
              <w:rPr>
                <w:b/>
                <w:bCs/>
              </w:rPr>
              <w:t>Description</w:t>
            </w:r>
          </w:p>
        </w:tc>
        <w:tc>
          <w:tcPr>
            <w:tcW w:w="2338" w:type="dxa"/>
            <w:tcBorders/>
            <w:shd w:val="clear" w:color="auto" w:fill="d0cece"/>
          </w:tcPr>
          <w:p>
            <w:pPr>
              <w:pStyle w:val="style0"/>
              <w:jc w:val="center"/>
              <w:rPr>
                <w:b/>
                <w:bCs/>
              </w:rPr>
            </w:pPr>
            <w:r>
              <w:rPr>
                <w:b/>
                <w:bCs/>
              </w:rPr>
              <w:t>Evidence of Skill</w:t>
            </w:r>
          </w:p>
        </w:tc>
        <w:tc>
          <w:tcPr>
            <w:tcW w:w="2338" w:type="dxa"/>
            <w:tcBorders/>
            <w:shd w:val="clear" w:color="auto" w:fill="d0cece"/>
          </w:tcPr>
          <w:p>
            <w:pPr>
              <w:pStyle w:val="style0"/>
              <w:jc w:val="center"/>
              <w:rPr>
                <w:b/>
                <w:bCs/>
              </w:rPr>
            </w:pPr>
            <w:r>
              <w:rPr>
                <w:b/>
                <w:bCs/>
              </w:rPr>
              <w:t>How Am I Doing?</w:t>
            </w:r>
          </w:p>
        </w:tc>
      </w:tr>
      <w:tr>
        <w:tblPrEx/>
        <w:trPr/>
        <w:tc>
          <w:tcPr>
            <w:tcW w:w="2337" w:type="dxa"/>
            <w:tcBorders/>
          </w:tcPr>
          <w:p>
            <w:pPr>
              <w:pStyle w:val="style0"/>
              <w:jc w:val="left"/>
              <w:rPr/>
            </w:pPr>
            <w:r>
              <w:t>Recognising</w:t>
            </w:r>
            <w:r>
              <w:t xml:space="preserve"> Potential</w:t>
            </w:r>
          </w:p>
        </w:tc>
        <w:tc>
          <w:tcPr>
            <w:tcW w:w="2337" w:type="dxa"/>
            <w:tcBorders/>
          </w:tcPr>
          <w:p>
            <w:pPr>
              <w:pStyle w:val="style0"/>
              <w:jc w:val="left"/>
              <w:rPr/>
            </w:pPr>
            <w:r>
              <w:t>Able to identify and assess market opportunities.</w:t>
            </w:r>
          </w:p>
        </w:tc>
        <w:tc>
          <w:tcPr>
            <w:tcW w:w="2338" w:type="dxa"/>
            <w:tcBorders/>
          </w:tcPr>
          <w:p>
            <w:pPr>
              <w:pStyle w:val="style0"/>
              <w:jc w:val="left"/>
              <w:rPr/>
            </w:pPr>
            <w:r>
              <w:t xml:space="preserve">I took an active role in class case studies and activities that </w:t>
            </w:r>
            <w:r>
              <w:t>emphasised</w:t>
            </w:r>
            <w:r>
              <w:t xml:space="preserve"> the identification of business prospects. I was able to </w:t>
            </w:r>
            <w:r>
              <w:t>analyse</w:t>
            </w:r>
            <w:r>
              <w:t xml:space="preserve"> the market and find gaps, unmet demands, and new trends</w:t>
            </w:r>
          </w:p>
        </w:tc>
        <w:tc>
          <w:tcPr>
            <w:tcW w:w="2338" w:type="dxa"/>
            <w:tcBorders/>
          </w:tcPr>
          <w:p>
            <w:pPr>
              <w:pStyle w:val="style0"/>
              <w:jc w:val="left"/>
              <w:rPr/>
            </w:pPr>
            <w:r>
              <w:t>My ability to identify promising situations has greatly improved. However, I still have much to learn in terms of market research, competitive landscape analysis, and keeping up with the latest business developments.</w:t>
            </w:r>
          </w:p>
        </w:tc>
      </w:tr>
      <w:tr>
        <w:tblPrEx/>
        <w:trPr/>
        <w:tc>
          <w:tcPr>
            <w:tcW w:w="2337" w:type="dxa"/>
            <w:tcBorders/>
          </w:tcPr>
          <w:p>
            <w:pPr>
              <w:pStyle w:val="style0"/>
              <w:jc w:val="left"/>
              <w:rPr/>
            </w:pPr>
            <w:r>
              <w:t>Creative and Innovative Thinking</w:t>
            </w:r>
          </w:p>
        </w:tc>
        <w:tc>
          <w:tcPr>
            <w:tcW w:w="2337" w:type="dxa"/>
            <w:tcBorders/>
          </w:tcPr>
          <w:p>
            <w:pPr>
              <w:pStyle w:val="style0"/>
              <w:jc w:val="left"/>
              <w:rPr/>
            </w:pPr>
            <w:r>
              <w:t>T</w:t>
            </w:r>
            <w:r>
              <w:t>he capacity for original thought and the production of novel ideas.</w:t>
            </w:r>
          </w:p>
        </w:tc>
        <w:tc>
          <w:tcPr>
            <w:tcW w:w="2338" w:type="dxa"/>
            <w:tcBorders/>
          </w:tcPr>
          <w:p>
            <w:pPr>
              <w:pStyle w:val="style0"/>
              <w:jc w:val="left"/>
              <w:rPr/>
            </w:pPr>
            <w:r>
              <w:t>In every situation, I offered fresh viewpoints and original approaches to problems. I was able to show that I could think creatively by suggesting new options for features, functions, and business approaches.</w:t>
            </w:r>
          </w:p>
        </w:tc>
        <w:tc>
          <w:tcPr>
            <w:tcW w:w="2338" w:type="dxa"/>
            <w:tcBorders/>
          </w:tcPr>
          <w:p>
            <w:pPr>
              <w:pStyle w:val="style0"/>
              <w:jc w:val="left"/>
              <w:rPr/>
            </w:pPr>
            <w:r>
              <w:t xml:space="preserve">I've shown that I'm quite good at thinking outside the box. Nonetheless, I understand the need of developing and honing my capacity for original thought on a regular basis. To further improve my creative talents, I aim to participate in activities like brainstorming sessions, studying new viewpoints, and finding inspiration </w:t>
            </w:r>
            <w:r>
              <w:t>from different fields of work.</w:t>
            </w:r>
          </w:p>
        </w:tc>
      </w:tr>
      <w:tr>
        <w:tblPrEx/>
        <w:trPr/>
        <w:tc>
          <w:tcPr>
            <w:tcW w:w="2337" w:type="dxa"/>
            <w:tcBorders/>
          </w:tcPr>
          <w:p>
            <w:pPr>
              <w:pStyle w:val="style0"/>
              <w:jc w:val="left"/>
              <w:rPr/>
            </w:pPr>
            <w:r>
              <w:t>Strategic Preparation</w:t>
            </w:r>
          </w:p>
        </w:tc>
        <w:tc>
          <w:tcPr>
            <w:tcW w:w="2337" w:type="dxa"/>
            <w:tcBorders/>
          </w:tcPr>
          <w:p>
            <w:pPr>
              <w:pStyle w:val="style0"/>
              <w:jc w:val="left"/>
              <w:rPr/>
            </w:pPr>
            <w:r>
              <w:t>Capacity to create an in-depth strategy for a firm.</w:t>
            </w:r>
          </w:p>
        </w:tc>
        <w:tc>
          <w:tcPr>
            <w:tcW w:w="2338" w:type="dxa"/>
            <w:tcBorders/>
          </w:tcPr>
          <w:p>
            <w:pPr>
              <w:pStyle w:val="style0"/>
              <w:jc w:val="left"/>
              <w:rPr/>
            </w:pPr>
            <w:r>
              <w:t>I completed a number of tasks and projects related to business planning during the semester. I have written comprehensive business plans that include everything from a thorough evaluation of the industry to detailed financial forecasts, advertising plans, and operating blueprints.</w:t>
            </w:r>
          </w:p>
        </w:tc>
        <w:tc>
          <w:tcPr>
            <w:tcW w:w="2338" w:type="dxa"/>
            <w:tcBorders/>
          </w:tcPr>
          <w:p>
            <w:pPr>
              <w:pStyle w:val="style0"/>
              <w:jc w:val="left"/>
              <w:rPr/>
            </w:pPr>
            <w:r>
              <w:t xml:space="preserve">I've learned the fundamentals of company strategy. But I can always become better at predicting and </w:t>
            </w:r>
            <w:r>
              <w:t>analysing</w:t>
            </w:r>
            <w:r>
              <w:t xml:space="preserve"> financial outcomes and making sure my company strategy is in line with market reality</w:t>
            </w:r>
          </w:p>
        </w:tc>
      </w:tr>
      <w:bookmarkStart w:id="8" w:name="_Toc139671243"/>
    </w:tbl>
    <w:p>
      <w:pPr>
        <w:pStyle w:val="style0"/>
        <w:rPr>
          <w:b/>
          <w:bCs/>
          <w:u w:val="double"/>
        </w:rPr>
      </w:pPr>
      <w:r>
        <w:rPr>
          <w:b/>
          <w:bCs/>
          <w:u w:val="double"/>
        </w:rPr>
        <w:t>Professional Development Plan</w:t>
      </w:r>
      <w:bookmarkEnd w:id="8"/>
    </w:p>
    <w:tbl>
      <w:tblPr>
        <w:tblStyle w:val="style154"/>
        <w:tblW w:w="10435" w:type="dxa"/>
        <w:tblLayout w:type="fixed"/>
        <w:tblLook w:val="04A0" w:firstRow="1" w:lastRow="0" w:firstColumn="1" w:lastColumn="0" w:noHBand="0" w:noVBand="1"/>
      </w:tblPr>
      <w:tblGrid>
        <w:gridCol w:w="1615"/>
        <w:gridCol w:w="1391"/>
        <w:gridCol w:w="1429"/>
        <w:gridCol w:w="1670"/>
        <w:gridCol w:w="1116"/>
        <w:gridCol w:w="1324"/>
        <w:gridCol w:w="1890"/>
      </w:tblGrid>
      <w:tr>
        <w:trPr/>
        <w:tc>
          <w:tcPr>
            <w:tcW w:w="1615" w:type="dxa"/>
            <w:tcBorders/>
            <w:shd w:val="clear" w:color="auto" w:fill="8eaadb"/>
          </w:tcPr>
          <w:p>
            <w:pPr>
              <w:pStyle w:val="style0"/>
              <w:jc w:val="left"/>
              <w:rPr>
                <w:b/>
                <w:bCs/>
              </w:rPr>
            </w:pPr>
            <w:r>
              <w:rPr>
                <w:b/>
                <w:bCs/>
              </w:rPr>
              <w:t>Development Goal</w:t>
            </w:r>
          </w:p>
        </w:tc>
        <w:tc>
          <w:tcPr>
            <w:tcW w:w="1391" w:type="dxa"/>
            <w:tcBorders/>
            <w:shd w:val="clear" w:color="auto" w:fill="8eaadb"/>
          </w:tcPr>
          <w:p>
            <w:pPr>
              <w:pStyle w:val="style0"/>
              <w:jc w:val="left"/>
              <w:rPr>
                <w:b/>
                <w:bCs/>
              </w:rPr>
            </w:pPr>
            <w:r>
              <w:rPr>
                <w:b/>
                <w:bCs/>
              </w:rPr>
              <w:t>How Important is it</w:t>
            </w:r>
          </w:p>
        </w:tc>
        <w:tc>
          <w:tcPr>
            <w:tcW w:w="1429" w:type="dxa"/>
            <w:tcBorders/>
            <w:shd w:val="clear" w:color="auto" w:fill="8eaadb"/>
          </w:tcPr>
          <w:p>
            <w:pPr>
              <w:pStyle w:val="style0"/>
              <w:jc w:val="left"/>
              <w:rPr>
                <w:b/>
                <w:bCs/>
              </w:rPr>
            </w:pPr>
            <w:r>
              <w:rPr>
                <w:b/>
                <w:bCs/>
              </w:rPr>
              <w:t>Activities to be undertaken</w:t>
            </w:r>
          </w:p>
        </w:tc>
        <w:tc>
          <w:tcPr>
            <w:tcW w:w="1670" w:type="dxa"/>
            <w:tcBorders/>
            <w:shd w:val="clear" w:color="auto" w:fill="8eaadb"/>
          </w:tcPr>
          <w:p>
            <w:pPr>
              <w:pStyle w:val="style0"/>
              <w:jc w:val="left"/>
              <w:rPr>
                <w:b/>
                <w:bCs/>
              </w:rPr>
            </w:pPr>
            <w:r>
              <w:rPr>
                <w:b/>
                <w:bCs/>
              </w:rPr>
              <w:t>Resources I Need</w:t>
            </w:r>
          </w:p>
        </w:tc>
        <w:tc>
          <w:tcPr>
            <w:tcW w:w="1116" w:type="dxa"/>
            <w:tcBorders/>
            <w:shd w:val="clear" w:color="auto" w:fill="8eaadb"/>
          </w:tcPr>
          <w:p>
            <w:pPr>
              <w:pStyle w:val="style0"/>
              <w:jc w:val="left"/>
              <w:rPr>
                <w:b/>
                <w:bCs/>
              </w:rPr>
            </w:pPr>
            <w:r>
              <w:rPr>
                <w:b/>
                <w:bCs/>
              </w:rPr>
              <w:t>Start Date</w:t>
            </w:r>
          </w:p>
        </w:tc>
        <w:tc>
          <w:tcPr>
            <w:tcW w:w="1324" w:type="dxa"/>
            <w:tcBorders/>
            <w:shd w:val="clear" w:color="auto" w:fill="8eaadb"/>
          </w:tcPr>
          <w:p>
            <w:pPr>
              <w:pStyle w:val="style0"/>
              <w:jc w:val="left"/>
              <w:rPr>
                <w:b/>
                <w:bCs/>
              </w:rPr>
            </w:pPr>
            <w:r>
              <w:rPr>
                <w:b/>
                <w:bCs/>
              </w:rPr>
              <w:t>Target End Date</w:t>
            </w:r>
          </w:p>
        </w:tc>
        <w:tc>
          <w:tcPr>
            <w:tcW w:w="1890" w:type="dxa"/>
            <w:tcBorders/>
            <w:shd w:val="clear" w:color="auto" w:fill="8eaadb"/>
          </w:tcPr>
          <w:p>
            <w:pPr>
              <w:pStyle w:val="style0"/>
              <w:jc w:val="left"/>
              <w:rPr>
                <w:b/>
                <w:bCs/>
              </w:rPr>
            </w:pPr>
            <w:r>
              <w:rPr>
                <w:b/>
                <w:bCs/>
              </w:rPr>
              <w:t>Criteria for Success</w:t>
            </w:r>
          </w:p>
        </w:tc>
      </w:tr>
      <w:tr>
        <w:tblPrEx/>
        <w:trPr/>
        <w:tc>
          <w:tcPr>
            <w:tcW w:w="1615" w:type="dxa"/>
            <w:tcBorders/>
          </w:tcPr>
          <w:p>
            <w:pPr>
              <w:pStyle w:val="style0"/>
              <w:jc w:val="left"/>
              <w:rPr/>
            </w:pPr>
            <w:r>
              <w:t>Acquire Better Financial Management Skills</w:t>
            </w:r>
          </w:p>
        </w:tc>
        <w:tc>
          <w:tcPr>
            <w:tcW w:w="1391" w:type="dxa"/>
            <w:tcBorders/>
          </w:tcPr>
          <w:p>
            <w:pPr>
              <w:pStyle w:val="style0"/>
              <w:jc w:val="left"/>
              <w:rPr/>
            </w:pPr>
            <w:r>
              <w:t xml:space="preserve">In order to make sound company choices, ensure long-term financial </w:t>
            </w:r>
            <w:r>
              <w:t>viability, and pique the interest of prospective investors, sound financial management is essential.</w:t>
            </w:r>
          </w:p>
        </w:tc>
        <w:tc>
          <w:tcPr>
            <w:tcW w:w="1429" w:type="dxa"/>
            <w:tcBorders/>
          </w:tcPr>
          <w:p>
            <w:pPr>
              <w:pStyle w:val="style0"/>
              <w:jc w:val="left"/>
              <w:rPr/>
            </w:pPr>
            <w:r>
              <w:t xml:space="preserve">To learn more about financial planning, budgeting, forecasting, and </w:t>
            </w:r>
            <w:r>
              <w:t>analysis, consider taking an online course or participating in a workshop.</w:t>
            </w:r>
          </w:p>
          <w:p>
            <w:pPr>
              <w:pStyle w:val="style0"/>
              <w:jc w:val="left"/>
              <w:rPr/>
            </w:pPr>
            <w:r>
              <w:t>Find a mentor who has expertise in business and finance and can provide advice tailored to our sector and company.</w:t>
            </w:r>
          </w:p>
        </w:tc>
        <w:tc>
          <w:tcPr>
            <w:tcW w:w="1670" w:type="dxa"/>
            <w:tcBorders/>
          </w:tcPr>
          <w:p>
            <w:pPr>
              <w:pStyle w:val="style0"/>
              <w:jc w:val="left"/>
              <w:rPr/>
            </w:pPr>
            <w:r>
              <w:t xml:space="preserve">The opportunity to participate in virtual seminars on budgeting and </w:t>
            </w:r>
            <w:r>
              <w:t>financial planning.</w:t>
            </w:r>
          </w:p>
          <w:p>
            <w:pPr>
              <w:pStyle w:val="style0"/>
              <w:jc w:val="left"/>
              <w:rPr/>
            </w:pPr>
            <w:r>
              <w:t>Help and advice from seasoned businesspeople or monetary pros.</w:t>
            </w:r>
          </w:p>
          <w:p>
            <w:pPr>
              <w:pStyle w:val="style0"/>
              <w:jc w:val="left"/>
              <w:rPr/>
            </w:pPr>
            <w:r>
              <w:t>Materials for effective financial management, such as books, articles, and websites.</w:t>
            </w:r>
          </w:p>
        </w:tc>
        <w:tc>
          <w:tcPr>
            <w:tcW w:w="1116" w:type="dxa"/>
            <w:tcBorders/>
          </w:tcPr>
          <w:p>
            <w:pPr>
              <w:pStyle w:val="style0"/>
              <w:jc w:val="left"/>
              <w:rPr/>
            </w:pPr>
            <w:r>
              <w:t>At the end of the latest semester.</w:t>
            </w:r>
          </w:p>
        </w:tc>
        <w:tc>
          <w:tcPr>
            <w:tcW w:w="1324" w:type="dxa"/>
            <w:tcBorders/>
          </w:tcPr>
          <w:p>
            <w:pPr>
              <w:pStyle w:val="style0"/>
              <w:jc w:val="left"/>
              <w:rPr/>
            </w:pPr>
            <w:r>
              <w:t>Start of the next semester.</w:t>
            </w:r>
          </w:p>
        </w:tc>
        <w:tc>
          <w:tcPr>
            <w:tcW w:w="1890" w:type="dxa"/>
            <w:tcBorders/>
          </w:tcPr>
          <w:p>
            <w:pPr>
              <w:pStyle w:val="style0"/>
              <w:jc w:val="left"/>
              <w:rPr/>
            </w:pPr>
            <w:r>
              <w:t xml:space="preserve">Successfully completing at least one financial management-related online </w:t>
            </w:r>
            <w:r>
              <w:t>course or workshop.</w:t>
            </w:r>
          </w:p>
          <w:p>
            <w:pPr>
              <w:pStyle w:val="style0"/>
              <w:jc w:val="left"/>
              <w:rPr/>
            </w:pPr>
            <w:r>
              <w:t>Proven skill in applying financial management principles by hands-on experience and analysis of real-world cases.</w:t>
            </w:r>
          </w:p>
        </w:tc>
      </w:tr>
    </w:tbl>
    <w:p>
      <w:pPr>
        <w:pStyle w:val="style0"/>
        <w:rPr/>
      </w:pPr>
    </w:p>
    <w:p>
      <w:pPr>
        <w:pStyle w:val="style0"/>
        <w:rPr/>
      </w:pPr>
      <w:r>
        <w:t xml:space="preserve">As a result of the course's appraisal of the entrepreneur's concept and the acquisition of relevant skills and information, there are solid grounds on which to build a business strategy for Stay Fit in the UK. We have the chance to </w:t>
      </w:r>
      <w:r>
        <w:t>capitalise</w:t>
      </w:r>
      <w:r>
        <w:t xml:space="preserve"> on major shifts in the economy, in technology, and in social and cultural norms. We may increase our odds of success by playing to our </w:t>
      </w:r>
      <w:r>
        <w:t>advantage</w:t>
      </w:r>
      <w:r>
        <w:t xml:space="preserve">, working to improve our deficiencies, seizing advantageous chances, and </w:t>
      </w:r>
      <w:r>
        <w:t>minimising</w:t>
      </w:r>
      <w:r>
        <w:t xml:space="preserve"> harmful risks</w:t>
      </w:r>
      <w:r>
        <w:t xml:space="preserve"> (Blanchflower &amp; </w:t>
      </w:r>
      <w:r>
        <w:t>Shadforth</w:t>
      </w:r>
      <w:r>
        <w:t>, 2017)</w:t>
      </w:r>
      <w:r>
        <w:t xml:space="preserve">. Our startup's launch and ongoing success will rely heavily on the entrepreneurial skills and knowledge we gain through this course, including the ability to see </w:t>
      </w:r>
      <w:r>
        <w:t>opportunities, be creative and innovative, plan strategically, manage finances effectively, and mitigate risks. Keeping these areas of expertise at a high level allows us to respond quickly to changes in the business world, grasp opportunities, and overcome obstacles. A business owner's professional development may be charted out in detail using a Professional Development Plan (PDP). I can better myself over time by making goals that are SMART (specific, measurable, attainable, relevant, and time-bound). Participating in activities like taking classes, participating in seminars, and seeking out a mentor will help you get access to the information and assistance you need to reach your goals.</w:t>
      </w:r>
    </w:p>
    <w:p>
      <w:pPr>
        <w:pStyle w:val="style0"/>
        <w:spacing w:before="0" w:lineRule="auto" w:line="259"/>
        <w:jc w:val="left"/>
        <w:rPr/>
      </w:pPr>
      <w:r>
        <w:br w:type="page"/>
      </w:r>
    </w:p>
    <w:bookmarkStart w:id="9" w:name="_Toc139671245"/>
    <w:p>
      <w:pPr>
        <w:pStyle w:val="style1"/>
        <w:rPr/>
      </w:pPr>
      <w:r>
        <w:t>References</w:t>
      </w:r>
      <w:bookmarkEnd w:id="9"/>
    </w:p>
    <w:p>
      <w:pPr>
        <w:pStyle w:val="style0"/>
        <w:rPr/>
      </w:pPr>
      <w:r>
        <w:t xml:space="preserve">Algar, R. and Griffiths, G. (2022) ‘The digitally enabled UK </w:t>
      </w:r>
      <w:r>
        <w:rPr>
          <w:i/>
          <w:iCs/>
        </w:rPr>
        <w:t>Jewellary</w:t>
      </w:r>
      <w:r>
        <w:t xml:space="preserve"> </w:t>
      </w:r>
      <w:r>
        <w:t xml:space="preserve">Sector’, </w:t>
      </w:r>
      <w:r>
        <w:rPr>
          <w:i/>
          <w:iCs/>
        </w:rPr>
        <w:t xml:space="preserve">The Digital Transformation of the </w:t>
      </w:r>
      <w:r>
        <w:rPr>
          <w:i/>
          <w:iCs/>
        </w:rPr>
        <w:t>jewellary</w:t>
      </w:r>
      <w:r>
        <w:rPr>
          <w:i/>
          <w:iCs/>
        </w:rPr>
        <w:t xml:space="preserve"> Sector: A Global Perspective</w:t>
      </w:r>
      <w:r>
        <w:t xml:space="preserve">, pp. 7–14. doi:10.1108/978-1-80117-860-020221002. </w:t>
      </w:r>
    </w:p>
    <w:p>
      <w:pPr>
        <w:pStyle w:val="style0"/>
        <w:rPr/>
      </w:pPr>
      <w:r>
        <w:t xml:space="preserve">Blanchflower, D.G. and </w:t>
      </w:r>
      <w:r>
        <w:t>Shadforth</w:t>
      </w:r>
      <w:r>
        <w:t xml:space="preserve">, C. (2017) </w:t>
      </w:r>
      <w:r>
        <w:rPr>
          <w:i/>
          <w:iCs/>
        </w:rPr>
        <w:t>Entrepreneurship in the UK</w:t>
      </w:r>
      <w:r>
        <w:t xml:space="preserve">. Boston: Now. </w:t>
      </w:r>
    </w:p>
    <w:p>
      <w:pPr>
        <w:pStyle w:val="style0"/>
        <w:rPr/>
      </w:pPr>
      <w:r>
        <w:t xml:space="preserve">Casson, M. (2014) </w:t>
      </w:r>
      <w:r>
        <w:rPr>
          <w:i/>
          <w:iCs/>
        </w:rPr>
        <w:t>Entrepreneurship</w:t>
      </w:r>
      <w:r>
        <w:t xml:space="preserve">. Cheltenham: Edward Elgar. </w:t>
      </w:r>
    </w:p>
    <w:p>
      <w:pPr>
        <w:pStyle w:val="style0"/>
        <w:rPr/>
      </w:pPr>
      <w:r>
        <w:rPr>
          <w:i/>
          <w:iCs/>
        </w:rPr>
        <w:t>Entrepreneurship in United Kingdom</w:t>
      </w:r>
      <w:r>
        <w:t xml:space="preserve"> (2023) </w:t>
      </w:r>
      <w:r>
        <w:rPr>
          <w:i/>
          <w:iCs/>
        </w:rPr>
        <w:t>GEM Global Entrepreneurship Monitor</w:t>
      </w:r>
      <w:r>
        <w:t xml:space="preserve">. Available at: https://gemconsortium.org/country-profile/121. </w:t>
      </w:r>
    </w:p>
    <w:p>
      <w:pPr>
        <w:pStyle w:val="style0"/>
        <w:rPr/>
      </w:pPr>
      <w:r>
        <w:t xml:space="preserve">Erica, L. (2019) ‘Economic Analysis in Pest risk analysis.’, </w:t>
      </w:r>
      <w:r>
        <w:rPr>
          <w:i/>
          <w:iCs/>
        </w:rPr>
        <w:t>Plant pest risk analysis: concepts and application</w:t>
      </w:r>
      <w:r>
        <w:t xml:space="preserve">, pp. 65–81. doi:10.1079/9781780640365.0065. </w:t>
      </w:r>
    </w:p>
    <w:p>
      <w:pPr>
        <w:pStyle w:val="style0"/>
        <w:rPr/>
      </w:pPr>
      <w:r>
        <w:t xml:space="preserve">Erikson, L. (2017) ‘Economic Analysis in Pest risk analysis.’, </w:t>
      </w:r>
      <w:r>
        <w:rPr>
          <w:i/>
          <w:iCs/>
        </w:rPr>
        <w:t>Plant pest risk analysis: concepts and application</w:t>
      </w:r>
      <w:r>
        <w:t xml:space="preserve">, pp. 65–81. doi:10.1079/9781780640365.0065. </w:t>
      </w:r>
    </w:p>
    <w:p>
      <w:pPr>
        <w:pStyle w:val="style0"/>
        <w:rPr/>
      </w:pPr>
      <w:r>
        <w:t xml:space="preserve">Gough, C. (2022) </w:t>
      </w:r>
      <w:r>
        <w:rPr>
          <w:i/>
          <w:iCs/>
        </w:rPr>
        <w:t xml:space="preserve">Topic: </w:t>
      </w:r>
      <w:r>
        <w:rPr>
          <w:i/>
          <w:iCs/>
        </w:rPr>
        <w:t>Jewellary</w:t>
      </w:r>
      <w:r>
        <w:rPr>
          <w:i/>
          <w:iCs/>
        </w:rPr>
        <w:t xml:space="preserve"> industry in the UK</w:t>
      </w:r>
      <w:r>
        <w:t xml:space="preserve">, </w:t>
      </w:r>
      <w:r>
        <w:rPr>
          <w:i/>
          <w:iCs/>
        </w:rPr>
        <w:t>Statista</w:t>
      </w:r>
      <w:r>
        <w:t>. Available at: https://www.statista.com/topics/3411/</w:t>
      </w:r>
      <w:r>
        <w:t>jewellary</w:t>
      </w:r>
      <w:r>
        <w:t xml:space="preserve">-industry-in-the-united-kingdom-uk/. </w:t>
      </w:r>
    </w:p>
    <w:p>
      <w:pPr>
        <w:pStyle w:val="style0"/>
        <w:rPr/>
      </w:pPr>
      <w:r>
        <w:t xml:space="preserve">Marcellin, F. (2022) </w:t>
      </w:r>
      <w:r>
        <w:rPr>
          <w:i/>
          <w:iCs/>
        </w:rPr>
        <w:t xml:space="preserve">State of the </w:t>
      </w:r>
      <w:r>
        <w:rPr>
          <w:i/>
          <w:iCs/>
        </w:rPr>
        <w:t>Jewellary</w:t>
      </w:r>
      <w:r>
        <w:rPr>
          <w:i/>
          <w:iCs/>
        </w:rPr>
        <w:t xml:space="preserve"> </w:t>
      </w:r>
      <w:r>
        <w:rPr>
          <w:i/>
          <w:iCs/>
        </w:rPr>
        <w:t>Industry Report 2022 finds UK industry building back to pre-pandemic levels: Leisure Opportunities News</w:t>
      </w:r>
      <w:r>
        <w:t xml:space="preserve">, </w:t>
      </w:r>
      <w:r>
        <w:rPr>
          <w:i/>
          <w:iCs/>
        </w:rPr>
        <w:t>Leisure Opportunities: Daily leisure jobs, news, training and property</w:t>
      </w:r>
      <w:r>
        <w:t>. Available at: https://www.leisureopportunities.co.uk/news/Club-closure-stats-reveal-impact-of-Covid-on-</w:t>
      </w:r>
      <w:r>
        <w:t>jewellary</w:t>
      </w:r>
      <w:r>
        <w:t>-industry-new-State-of-the-</w:t>
      </w:r>
      <w:r>
        <w:t>jewellary</w:t>
      </w:r>
      <w:r>
        <w:t xml:space="preserve">-Industry-Report-for-2022-released-David-Minton/349557. </w:t>
      </w:r>
    </w:p>
    <w:p>
      <w:pPr>
        <w:pStyle w:val="style0"/>
        <w:rPr/>
      </w:pPr>
      <w:r>
        <w:t xml:space="preserve">Phillips, A. (2017) ‘What is market research?’, </w:t>
      </w:r>
      <w:r>
        <w:rPr>
          <w:i/>
          <w:iCs/>
        </w:rPr>
        <w:t>Market Research Handbook</w:t>
      </w:r>
      <w:r>
        <w:t xml:space="preserve">, pp. 37–60. doi:10.1002/9781119208044.ch2. </w:t>
      </w:r>
    </w:p>
    <w:p>
      <w:pPr>
        <w:pStyle w:val="style0"/>
        <w:rPr/>
      </w:pPr>
      <w:r>
        <w:t xml:space="preserve">Weller, J. (2021) </w:t>
      </w:r>
      <w:r>
        <w:rPr>
          <w:i/>
          <w:iCs/>
        </w:rPr>
        <w:t xml:space="preserve">The </w:t>
      </w:r>
      <w:r>
        <w:rPr>
          <w:i/>
          <w:iCs/>
        </w:rPr>
        <w:t>Jewellary</w:t>
      </w:r>
      <w:r>
        <w:rPr>
          <w:i/>
          <w:iCs/>
        </w:rPr>
        <w:t xml:space="preserve"> </w:t>
      </w:r>
      <w:r>
        <w:rPr>
          <w:i/>
          <w:iCs/>
        </w:rPr>
        <w:t xml:space="preserve">Marketing Guide for the Modern </w:t>
      </w:r>
      <w:r>
        <w:rPr>
          <w:i/>
          <w:iCs/>
        </w:rPr>
        <w:t>Jewellary</w:t>
      </w:r>
      <w:r>
        <w:rPr>
          <w:i/>
          <w:iCs/>
        </w:rPr>
        <w:t xml:space="preserve"> </w:t>
      </w:r>
      <w:r>
        <w:rPr>
          <w:i/>
          <w:iCs/>
        </w:rPr>
        <w:t>founder</w:t>
      </w:r>
      <w:r>
        <w:t xml:space="preserve">, </w:t>
      </w:r>
      <w:r>
        <w:rPr>
          <w:i/>
          <w:iCs/>
        </w:rPr>
        <w:t>Glofox</w:t>
      </w:r>
      <w:r>
        <w:t>. Available at: https://www.glofox.com/blog/7-steps-to-creating-a-</w:t>
      </w:r>
      <w:r>
        <w:t>jewellary</w:t>
      </w:r>
      <w:r>
        <w:t xml:space="preserve">-marketing-strategy-for-the-digital-age/. </w:t>
      </w:r>
    </w:p>
    <w:p>
      <w:pPr>
        <w:pStyle w:val="style0"/>
        <w:rPr/>
      </w:pPr>
    </w:p>
    <w:sectPr>
      <w:footerReference w:type="default" r:id="rId6"/>
      <w:headerReference w:type="first" r:id="rId7"/>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b/>
        <w:bCs/>
      </w:rPr>
    </w:pPr>
    <w:r>
      <w:rPr/>
      <w:fldChar w:fldCharType="begin"/>
    </w:r>
    <w:r>
      <w:instrText xml:space="preserve"> PAGE   \* MERGEFORMAT </w:instrText>
    </w:r>
    <w:r>
      <w:rPr/>
      <w:fldChar w:fldCharType="separate"/>
    </w:r>
    <w:r>
      <w:rPr>
        <w:b/>
        <w:bCs/>
        <w:noProof/>
      </w:rPr>
      <w:t>2</w:t>
    </w:r>
    <w:r>
      <w:rPr>
        <w:b/>
        <w:bCs/>
        <w:noProof/>
      </w:rPr>
      <w:fldChar w:fldCharType="end"/>
    </w:r>
    <w:r>
      <w:rPr>
        <w:b/>
        <w:bCs/>
      </w:rPr>
      <w:t xml:space="preserve"> | </w:t>
    </w:r>
    <w:r>
      <w:rPr>
        <w:color w:val="7f7f7f"/>
        <w:spacing w:val="60"/>
      </w:rPr>
      <w:t>Page</w:t>
    </w:r>
  </w:p>
  <w:p>
    <w:pPr>
      <w:pStyle w:val="style32"/>
      <w:rPr/>
    </w:pPr>
  </w:p>
</w:ft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p>
    <w:pPr>
      <w:pStyle w:val="style31"/>
      <w:rPr/>
    </w:pPr>
  </w:p>
  <w:p>
    <w:pPr>
      <w:pStyle w:val="style31"/>
      <w:rPr/>
    </w:pPr>
    <w:r>
      <w:rPr>
        <w:noProof/>
      </w:rPr>
      <w:drawing>
        <wp:inline distL="0" distT="0" distB="0" distR="0">
          <wp:extent cx="5715000" cy="1760219"/>
          <wp:effectExtent l="0" t="0" r="0" b="0"/>
          <wp:docPr id="4097" name="Picture 852188965" descr="Text&#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852188965"/>
                  <pic:cNvPicPr/>
                </pic:nvPicPr>
                <pic:blipFill>
                  <a:blip r:embed="rId1" cstate="print"/>
                  <a:srcRect l="0" t="0" r="0" b="0"/>
                  <a:stretch/>
                </pic:blipFill>
                <pic:spPr>
                  <a:xfrm rot="0">
                    <a:off x="0" y="0"/>
                    <a:ext cx="5715000" cy="1760219"/>
                  </a:xfrm>
                  <a:prstGeom prst="rec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FC6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B5446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F1BE8E62"/>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E796F858"/>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74E4C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94865108"/>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5D285F0C"/>
    <w:lvl w:ilvl="0" w:tplc="8D848F0C">
      <w:start w:val="1"/>
      <w:numFmt w:val="bullet"/>
      <w:lvlText w:val="-"/>
      <w:lvlJc w:val="left"/>
      <w:pPr>
        <w:ind w:left="720" w:hanging="360"/>
      </w:pPr>
      <w:rPr>
        <w:rFonts w:ascii="Times New Roman" w:cs="Times New Roman" w:eastAsia="宋体" w:hAnsi="Times New Roman"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E728A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Vrinda"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before="240" w:lineRule="auto" w:line="360"/>
      <w:jc w:val="both"/>
    </w:pPr>
    <w:rPr>
      <w:rFonts w:ascii="Times New Roman" w:cs="Times New Roman" w:hAnsi="Times New Roman"/>
      <w:sz w:val="24"/>
      <w:szCs w:val="24"/>
    </w:rPr>
  </w:style>
  <w:style w:type="paragraph" w:styleId="style1">
    <w:name w:val="heading 1"/>
    <w:basedOn w:val="style0"/>
    <w:next w:val="style0"/>
    <w:link w:val="style4099"/>
    <w:qFormat/>
    <w:uiPriority w:val="9"/>
    <w:pPr>
      <w:keepNext/>
      <w:keepLines/>
      <w:spacing w:after="0"/>
      <w:outlineLvl w:val="0"/>
    </w:pPr>
    <w:rPr>
      <w:rFonts w:eastAsia="宋体"/>
      <w:b/>
      <w:bCs/>
      <w:color w:val="385623"/>
      <w:sz w:val="36"/>
      <w:szCs w:val="36"/>
    </w:rPr>
  </w:style>
  <w:style w:type="paragraph" w:styleId="style2">
    <w:name w:val="heading 2"/>
    <w:basedOn w:val="style0"/>
    <w:next w:val="style0"/>
    <w:link w:val="style4100"/>
    <w:qFormat/>
    <w:uiPriority w:val="9"/>
    <w:pPr>
      <w:keepNext/>
      <w:keepLines/>
      <w:spacing w:before="40" w:after="0"/>
      <w:outlineLvl w:val="1"/>
    </w:pPr>
    <w:rPr>
      <w:rFonts w:eastAsia="宋体"/>
      <w:b/>
      <w:bCs/>
      <w:color w:val="538135"/>
      <w:sz w:val="32"/>
      <w:szCs w:val="32"/>
    </w:rPr>
  </w:style>
  <w:style w:type="paragraph" w:styleId="style3">
    <w:name w:val="heading 3"/>
    <w:basedOn w:val="style0"/>
    <w:next w:val="style0"/>
    <w:link w:val="style4101"/>
    <w:qFormat/>
    <w:uiPriority w:val="9"/>
    <w:pPr>
      <w:keepNext/>
      <w:keepLines/>
      <w:spacing w:before="40" w:after="0"/>
      <w:outlineLvl w:val="2"/>
    </w:pPr>
    <w:rPr>
      <w:rFonts w:eastAsia="宋体"/>
      <w:b/>
      <w:bCs/>
      <w:color w:val="833c0b"/>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before="0" w:after="0" w:lineRule="auto" w:line="240"/>
    </w:pPr>
    <w:rPr/>
  </w:style>
  <w:style w:type="character" w:customStyle="1" w:styleId="style4097">
    <w:name w:val="Header Char_df232647-774a-4b64-a03a-6b8c9696f218"/>
    <w:basedOn w:val="style65"/>
    <w:next w:val="style4097"/>
    <w:link w:val="style31"/>
    <w:uiPriority w:val="99"/>
    <w:rPr>
      <w:rFonts w:ascii="Times New Roman" w:cs="Times New Roman" w:hAnsi="Times New Roman"/>
      <w:sz w:val="24"/>
      <w:szCs w:val="24"/>
    </w:rPr>
  </w:style>
  <w:style w:type="paragraph" w:styleId="style32">
    <w:name w:val="footer"/>
    <w:basedOn w:val="style0"/>
    <w:next w:val="style32"/>
    <w:link w:val="style4098"/>
    <w:uiPriority w:val="99"/>
    <w:pPr>
      <w:tabs>
        <w:tab w:val="center" w:leader="none" w:pos="4680"/>
        <w:tab w:val="right" w:leader="none" w:pos="9360"/>
      </w:tabs>
      <w:spacing w:before="0" w:after="0" w:lineRule="auto" w:line="240"/>
    </w:pPr>
    <w:rPr/>
  </w:style>
  <w:style w:type="character" w:customStyle="1" w:styleId="style4098">
    <w:name w:val="Footer Char_e72e6f62-38c9-4358-903d-38e81209e5a4"/>
    <w:basedOn w:val="style65"/>
    <w:next w:val="style4098"/>
    <w:link w:val="style32"/>
    <w:uiPriority w:val="99"/>
    <w:rPr>
      <w:rFonts w:ascii="Times New Roman" w:cs="Times New Roman" w:hAnsi="Times New Roman"/>
      <w:sz w:val="24"/>
      <w:szCs w:val="24"/>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9">
    <w:name w:val="Heading 1 Char_4dc3dce8-4fed-4256-ac50-2525574c7fd2"/>
    <w:basedOn w:val="style65"/>
    <w:next w:val="style4099"/>
    <w:link w:val="style1"/>
    <w:uiPriority w:val="9"/>
    <w:rPr>
      <w:rFonts w:ascii="Times New Roman" w:cs="Times New Roman" w:eastAsia="宋体" w:hAnsi="Times New Roman"/>
      <w:b/>
      <w:bCs/>
      <w:color w:val="385623"/>
      <w:sz w:val="36"/>
      <w:szCs w:val="36"/>
    </w:rPr>
  </w:style>
  <w:style w:type="character" w:customStyle="1" w:styleId="style4100">
    <w:name w:val="Heading 2 Char_3b4d74bc-7a0c-4d07-ad7d-b8da9eb81914"/>
    <w:basedOn w:val="style65"/>
    <w:next w:val="style4100"/>
    <w:link w:val="style2"/>
    <w:uiPriority w:val="9"/>
    <w:rPr>
      <w:rFonts w:ascii="Times New Roman" w:cs="Times New Roman" w:eastAsia="宋体" w:hAnsi="Times New Roman"/>
      <w:b/>
      <w:bCs/>
      <w:color w:val="538135"/>
      <w:sz w:val="32"/>
      <w:szCs w:val="32"/>
    </w:rPr>
  </w:style>
  <w:style w:type="character" w:customStyle="1" w:styleId="style4101">
    <w:name w:val="Heading 3 Char_e8ffaa39-5bea-4fe2-a971-c49663ef1c64"/>
    <w:basedOn w:val="style65"/>
    <w:next w:val="style4101"/>
    <w:link w:val="style3"/>
    <w:uiPriority w:val="9"/>
    <w:rPr>
      <w:rFonts w:ascii="Times New Roman" w:cs="Times New Roman" w:eastAsia="宋体" w:hAnsi="Times New Roman"/>
      <w:b/>
      <w:bCs/>
      <w:color w:val="833c0b"/>
      <w:sz w:val="28"/>
      <w:szCs w:val="28"/>
    </w:rPr>
  </w:style>
  <w:style w:type="paragraph" w:styleId="style157">
    <w:name w:val="No Spacing"/>
    <w:next w:val="style157"/>
    <w:link w:val="style4102"/>
    <w:qFormat/>
    <w:uiPriority w:val="1"/>
    <w:pPr>
      <w:spacing w:after="0" w:lineRule="auto" w:line="240"/>
    </w:pPr>
    <w:rPr>
      <w:rFonts w:eastAsia="宋体"/>
    </w:rPr>
  </w:style>
  <w:style w:type="character" w:customStyle="1" w:styleId="style4102">
    <w:name w:val="No Spacing Char"/>
    <w:basedOn w:val="style65"/>
    <w:next w:val="style4102"/>
    <w:link w:val="style157"/>
    <w:uiPriority w:val="1"/>
    <w:rPr>
      <w:rFonts w:eastAsia="宋体"/>
    </w:rPr>
  </w:style>
  <w:style w:type="paragraph" w:styleId="style266">
    <w:name w:val="TOC Heading"/>
    <w:basedOn w:val="style1"/>
    <w:next w:val="style0"/>
    <w:qFormat/>
    <w:uiPriority w:val="39"/>
    <w:pPr>
      <w:spacing w:lineRule="auto" w:line="259"/>
      <w:jc w:val="left"/>
      <w:outlineLvl w:val="9"/>
    </w:pPr>
    <w:rPr>
      <w:rFonts w:ascii="Calibri Light" w:cs="Vrinda" w:hAnsi="Calibri Light"/>
      <w:b w:val="false"/>
      <w:bCs w:val="false"/>
      <w:color w:val="2f5496"/>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563c1"/>
      <w:u w:val="single"/>
    </w:rPr>
  </w:style>
  <w:style w:type="paragraph" w:styleId="style94">
    <w:name w:val="Normal (Web)"/>
    <w:basedOn w:val="style0"/>
    <w:next w:val="style94"/>
    <w:uiPriority w:val="99"/>
    <w:pPr>
      <w:spacing w:before="100" w:beforeAutospacing="true" w:after="100" w:afterAutospacing="true" w:lineRule="auto" w:line="240"/>
      <w:jc w:val="left"/>
    </w:pPr>
    <w:rPr>
      <w:rFonts w:eastAsia="Times New Roma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settings" Target="settings.xml"/><Relationship Id="rId9" Type="http://schemas.openxmlformats.org/officeDocument/2006/relationships/fontTable" Target="fontTable.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styles" Target="styles.xml"/></Relationships>
</file>

<file path=word/_rels/header2.xml.rels><?xml version="1.0" encoding="UTF-8"?>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2153</Words>
  <Pages>12</Pages>
  <Characters>12621</Characters>
  <Application>WPS Office</Application>
  <DocSecurity>0</DocSecurity>
  <Paragraphs>139</Paragraphs>
  <ScaleCrop>false</ScaleCrop>
  <LinksUpToDate>false</LinksUpToDate>
  <CharactersWithSpaces>14725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2023-07-07T17:47:00Z</dcterms:created>
  <dc:creator>WPS Office</dc:creator>
  <lastModifiedBy>FNE-NX9</lastModifiedBy>
  <dcterms:modified xsi:type="dcterms:W3CDTF">2023-07-24T09:08:07Z</dcterms:modified>
  <revision>52</revision>
  <dc:subject>LCBB5001 Entrepreneurship</dc:subject>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98bf4ddaed08a6d1eae01cd40e844d3cc9e7377521b04a6422b00954d7b617bc</vt:lpwstr>
  </property>
  <property fmtid="{D5CDD505-2E9C-101B-9397-08002B2CF9AE}" pid="3" name="ICV">
    <vt:lpwstr>7c75f3953c614f0fa1f9774cd0272c8d</vt:lpwstr>
  </property>
</Properties>
</file>