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78AA4" w14:textId="77777777" w:rsidR="006E0036" w:rsidRPr="00353CAD" w:rsidRDefault="006E0036" w:rsidP="006E0036">
      <w:pPr>
        <w:pStyle w:val="Nornal"/>
        <w:numPr>
          <w:ilvl w:val="0"/>
          <w:numId w:val="2"/>
        </w:numPr>
        <w:rPr>
          <w:b/>
          <w:bCs/>
          <w:lang w:val="en-GB"/>
        </w:rPr>
      </w:pPr>
      <w:r w:rsidRPr="00353CAD">
        <w:rPr>
          <w:rStyle w:val="None"/>
          <w:b/>
          <w:bCs/>
          <w:lang w:val="en-GB"/>
        </w:rPr>
        <w:t xml:space="preserve">New entrants to the parcel delivery market and other labour market competitors have adversely affected </w:t>
      </w:r>
      <w:proofErr w:type="spellStart"/>
      <w:r w:rsidRPr="00353CAD">
        <w:rPr>
          <w:rStyle w:val="None"/>
          <w:b/>
          <w:bCs/>
          <w:lang w:val="en-GB"/>
        </w:rPr>
        <w:t>ParcelCare’s</w:t>
      </w:r>
      <w:proofErr w:type="spellEnd"/>
      <w:r w:rsidRPr="00353CAD">
        <w:rPr>
          <w:rStyle w:val="None"/>
          <w:b/>
          <w:bCs/>
          <w:lang w:val="en-GB"/>
        </w:rPr>
        <w:t xml:space="preserve"> ability to compete in labour markets. Explain how </w:t>
      </w:r>
      <w:proofErr w:type="spellStart"/>
      <w:r w:rsidRPr="00353CAD">
        <w:rPr>
          <w:rStyle w:val="None"/>
          <w:b/>
          <w:bCs/>
          <w:lang w:val="en-GB"/>
        </w:rPr>
        <w:t>ParcelCare</w:t>
      </w:r>
      <w:proofErr w:type="spellEnd"/>
      <w:r w:rsidRPr="00353CAD">
        <w:rPr>
          <w:rStyle w:val="None"/>
          <w:b/>
          <w:bCs/>
          <w:lang w:val="en-GB"/>
        </w:rPr>
        <w:t xml:space="preserve"> can strategically position themselves in competitive labour markets. (AC 1.1)</w:t>
      </w:r>
    </w:p>
    <w:p w14:paraId="499EA658" w14:textId="77777777" w:rsidR="006E0036" w:rsidRPr="00353CAD" w:rsidRDefault="006E0036" w:rsidP="006E0036">
      <w:pPr>
        <w:pStyle w:val="Nornal"/>
        <w:rPr>
          <w:lang w:val="en-GB"/>
        </w:rPr>
      </w:pPr>
      <w:r w:rsidRPr="00353CAD">
        <w:rPr>
          <w:rStyle w:val="None"/>
          <w:rFonts w:eastAsia="Arial Unicode MS" w:cs="Arial Unicode MS"/>
          <w:lang w:val="en-GB"/>
        </w:rPr>
        <w:t xml:space="preserve">It is vital that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remain competitive in the courier industry or face the reality of not keeping up with the changing pace of the market and eventually fail. It would be prudent to carry out competitor analysis to see what makes the new entrants more attractive to prospective new talent (Porter, 1979). A SWOT analysis must be undertaken to find out </w:t>
      </w:r>
      <w:proofErr w:type="spellStart"/>
      <w:r w:rsidRPr="00353CAD">
        <w:rPr>
          <w:rStyle w:val="None"/>
          <w:rFonts w:eastAsia="Arial Unicode MS" w:cs="Arial Unicode MS"/>
          <w:lang w:val="en-GB"/>
        </w:rPr>
        <w:t>ParcelCare’s</w:t>
      </w:r>
      <w:proofErr w:type="spellEnd"/>
      <w:r w:rsidRPr="00353CAD">
        <w:rPr>
          <w:rStyle w:val="None"/>
          <w:rFonts w:eastAsia="Arial Unicode MS" w:cs="Arial Unicode MS"/>
          <w:lang w:val="en-GB"/>
        </w:rPr>
        <w:t xml:space="preserve"> position and rivals’ strength and weaknesses to benchmark and focus on improvements (CIPD 2024). </w:t>
      </w:r>
    </w:p>
    <w:p w14:paraId="6660660B" w14:textId="77777777" w:rsidR="006E0036" w:rsidRPr="00353CAD" w:rsidRDefault="006E0036" w:rsidP="006E0036">
      <w:pPr>
        <w:pStyle w:val="Nornal"/>
        <w:rPr>
          <w:lang w:val="en-GB"/>
        </w:rPr>
      </w:pPr>
      <w:r w:rsidRPr="00353CAD">
        <w:rPr>
          <w:rStyle w:val="None"/>
          <w:rFonts w:eastAsia="Arial Unicode MS" w:cs="Arial Unicode MS"/>
          <w:lang w:val="en-GB"/>
        </w:rPr>
        <w:t xml:space="preserve">It is crucial that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focus on attracting skilled labour force to withstand pressures of a volatile market and remain competitive, without spending unnecessarily on paying more in benefits or salary. This can be done by talent planning in the shorter term through offering greater flexibility to its couriers and remote/hybrid working for its office-based staff. This has been seen to directly impact retention in a positive fashion (CIPD, 2024). The option for flexible working has recently been made law, whereby employees can request up to two requests for greater flexibility in work, per year (ACAS, 2024). If the option is feasible in individual circumstances, this could lead to greater engagement with the current workforce.  </w:t>
      </w:r>
    </w:p>
    <w:p w14:paraId="1B37994D" w14:textId="77777777" w:rsidR="006E0036" w:rsidRPr="00353CAD" w:rsidRDefault="006E0036" w:rsidP="006E0036">
      <w:pPr>
        <w:pStyle w:val="Nornal"/>
        <w:rPr>
          <w:lang w:val="en-GB"/>
        </w:rPr>
      </w:pPr>
      <w:r w:rsidRPr="00353CAD">
        <w:rPr>
          <w:rStyle w:val="None"/>
          <w:rFonts w:eastAsia="Arial Unicode MS" w:cs="Arial Unicode MS"/>
          <w:lang w:val="en-GB"/>
        </w:rPr>
        <w:t xml:space="preserve">Another way to keep talent, without breaking the bank, could be to develop talent within and ultimately lead to succession planning, that allows for simpler backfilling internally, should a vacancy arise. This retention strategy of providing the development opportunities within has shown to positively affect retention (Taylor &amp; Woodhams, 2022). </w:t>
      </w:r>
    </w:p>
    <w:p w14:paraId="3F00E8A1" w14:textId="77777777" w:rsidR="006E0036" w:rsidRDefault="006E0036" w:rsidP="006E0036">
      <w:pPr>
        <w:pStyle w:val="Nornal"/>
        <w:rPr>
          <w:rStyle w:val="None"/>
          <w:rFonts w:eastAsia="Arial Unicode MS" w:cs="Arial Unicode MS"/>
          <w:lang w:val="en-GB"/>
        </w:rPr>
      </w:pP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can also ensure they remain competitive in the labour market by enticing new talent and retaining current staff through portraying a positive image. This is typically done by focusing on developing a greater brand through having values that relate to the organisations culture as well as appealing to people or consumers on the outside. This method appears to be in vogue with 81% of UK employers seeking to improve their image to attract and retain talent within the past year (Resourcing and talent planning report 2024). By having greater brand strength, it has shown it can lead to greater performance in their industry of choice, with enhanced reputation and productivity, which would positively affect retention or become an employer of choice,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could become a market leader and withstand a competitive labour market. </w:t>
      </w:r>
    </w:p>
    <w:p w14:paraId="2D101FCE" w14:textId="77777777" w:rsidR="006E0036" w:rsidRPr="00353CAD" w:rsidRDefault="006E0036" w:rsidP="006E0036">
      <w:pPr>
        <w:pStyle w:val="Nornal"/>
        <w:numPr>
          <w:ilvl w:val="0"/>
          <w:numId w:val="2"/>
        </w:numPr>
        <w:rPr>
          <w:b/>
          <w:bCs/>
          <w:lang w:val="en-GB"/>
        </w:rPr>
      </w:pPr>
      <w:r w:rsidRPr="00353CAD">
        <w:rPr>
          <w:rStyle w:val="None"/>
          <w:b/>
          <w:bCs/>
          <w:lang w:val="en-GB"/>
        </w:rPr>
        <w:t xml:space="preserve">Explain the impact of changing labour market conditions on resourcing decisions at </w:t>
      </w:r>
      <w:proofErr w:type="spellStart"/>
      <w:r w:rsidRPr="00353CAD">
        <w:rPr>
          <w:rStyle w:val="None"/>
          <w:b/>
          <w:bCs/>
          <w:lang w:val="en-GB"/>
        </w:rPr>
        <w:t>ParcelCare</w:t>
      </w:r>
      <w:proofErr w:type="spellEnd"/>
      <w:r w:rsidRPr="00353CAD">
        <w:rPr>
          <w:rStyle w:val="None"/>
          <w:b/>
          <w:bCs/>
          <w:lang w:val="en-GB"/>
        </w:rPr>
        <w:t>. (AC 1.2)</w:t>
      </w:r>
    </w:p>
    <w:p w14:paraId="5EA0EBDD" w14:textId="77777777" w:rsidR="006E0036" w:rsidRPr="00353CAD" w:rsidRDefault="006E0036" w:rsidP="006E0036">
      <w:pPr>
        <w:pStyle w:val="Nornal"/>
        <w:rPr>
          <w:rStyle w:val="None"/>
          <w:lang w:val="en-GB"/>
        </w:rPr>
      </w:pPr>
      <w:r w:rsidRPr="00353CAD">
        <w:rPr>
          <w:rStyle w:val="None"/>
          <w:rFonts w:eastAsia="Arial Unicode MS" w:cs="Arial Unicode MS"/>
          <w:lang w:val="en-GB"/>
        </w:rPr>
        <w:t xml:space="preserve">Changing labour market conditions does directly impact organisations resourcing decisions and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will not be immune to this. Economic forecasting and measures of productivity will require industrial and organisation intervention to cope with changing demands. The latest Labour market projection released this autumn informs us that around “two thirds of employers are expected to recruit in the next three months” (CIPD, 2024). Which points to a tighter labour market, meaning many employers will be looking for the same talent from the same pool. This could potentially impact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demonstrably as the war for talent continues (The McKinsey quarterly, 1997). Alternatively, if there was a looser labour market, it would point to more people seeking employment for fewer opportunities, meaning the balance of power lays with employers. </w:t>
      </w:r>
    </w:p>
    <w:p w14:paraId="5E8568CE" w14:textId="77777777" w:rsidR="006E0036" w:rsidRPr="00353CAD" w:rsidRDefault="006E0036" w:rsidP="006E0036">
      <w:pPr>
        <w:pStyle w:val="Nornal"/>
        <w:rPr>
          <w:rStyle w:val="None"/>
          <w:lang w:val="en-GB"/>
        </w:rPr>
      </w:pPr>
      <w:r w:rsidRPr="00353CAD">
        <w:rPr>
          <w:rStyle w:val="None"/>
          <w:rFonts w:eastAsia="Arial Unicode MS" w:cs="Arial Unicode MS"/>
          <w:lang w:val="en-GB"/>
        </w:rPr>
        <w:t xml:space="preserve">In conducting a PESTLE analysis (CIPD, 2024) of the current labour market, it is evident, that the labour market has recently been affected by a range of issues, notably political, the </w:t>
      </w:r>
      <w:r w:rsidRPr="00353CAD">
        <w:rPr>
          <w:rStyle w:val="None"/>
          <w:rFonts w:eastAsia="Arial Unicode MS" w:cs="Arial Unicode MS"/>
          <w:lang w:val="en-GB"/>
        </w:rPr>
        <w:lastRenderedPageBreak/>
        <w:t>change in government has begun a process of introducing a draft employment rights bill, to reform employment rights, in which employers will need to adapt and adhere to (GOV.UK, 2024). Economic factors i.e. inflation, leading to increased costs for goods and services and increased salaries being offered to entice and retain talent despite the rising inflation (ONS, 2024). Social trends such as increased migration in the UK (BBC News, 2024) has led to policy changes, now migrant workers are encouraged to fill skills gap shortages as the threshold has been lowered. Technological advances such as AI - ChatGP</w:t>
      </w:r>
      <w:r w:rsidRPr="00353CAD">
        <w:rPr>
          <w:rStyle w:val="None"/>
          <w:rFonts w:eastAsia="Arial Unicode MS" w:cs="Arial Unicode MS"/>
          <w:color w:val="FF0000"/>
          <w:lang w:val="en-GB"/>
        </w:rPr>
        <w:t>T</w:t>
      </w:r>
      <w:r w:rsidRPr="00353CAD">
        <w:rPr>
          <w:rStyle w:val="None"/>
          <w:rFonts w:eastAsia="Arial Unicode MS" w:cs="Arial Unicode MS"/>
          <w:lang w:val="en-GB"/>
        </w:rPr>
        <w:t xml:space="preserve"> has replaced humans in industries with writing and coding skills, with jobs in these areas of the market now declining by 21% (Bratton, 2024). The recent budget announcement has led to legal implications on employers to having to pay more in national minimum wage (£10 per hour) from April 2025 (Parliament UK, 2024). Environmental impacts such as global climate change initiatives e.g. the net zero target is leading to investment into greener jobs being created by way of the Great British Energy Bill (Parliament UK, 2024).</w:t>
      </w:r>
    </w:p>
    <w:p w14:paraId="3F1299C7" w14:textId="77777777" w:rsidR="006E0036" w:rsidRDefault="006E0036" w:rsidP="006E0036">
      <w:pPr>
        <w:pStyle w:val="Nornal"/>
        <w:rPr>
          <w:rStyle w:val="None"/>
          <w:rFonts w:eastAsia="Arial Unicode MS" w:cs="Arial Unicode MS"/>
          <w:lang w:val="en-GB"/>
        </w:rPr>
      </w:pPr>
      <w:r w:rsidRPr="00353CAD">
        <w:rPr>
          <w:rStyle w:val="None"/>
          <w:rFonts w:eastAsia="Arial Unicode MS" w:cs="Arial Unicode MS"/>
          <w:lang w:val="en-GB"/>
        </w:rPr>
        <w:t xml:space="preserve">With </w:t>
      </w:r>
      <w:proofErr w:type="gramStart"/>
      <w:r w:rsidRPr="00353CAD">
        <w:rPr>
          <w:rStyle w:val="None"/>
          <w:rFonts w:eastAsia="Arial Unicode MS" w:cs="Arial Unicode MS"/>
          <w:lang w:val="en-GB"/>
        </w:rPr>
        <w:t>all of</w:t>
      </w:r>
      <w:proofErr w:type="gramEnd"/>
      <w:r w:rsidRPr="00353CAD">
        <w:rPr>
          <w:rStyle w:val="None"/>
          <w:rFonts w:eastAsia="Arial Unicode MS" w:cs="Arial Unicode MS"/>
          <w:lang w:val="en-GB"/>
        </w:rPr>
        <w:t xml:space="preserve"> these factors listed above, it is incumbent on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to adapt by focusing on resourcing decisions in the short term to ensure the </w:t>
      </w:r>
      <w:proofErr w:type="spellStart"/>
      <w:r w:rsidRPr="00353CAD">
        <w:rPr>
          <w:rStyle w:val="None"/>
          <w:rFonts w:eastAsia="Arial Unicode MS" w:cs="Arial Unicode MS"/>
          <w:strike/>
          <w:lang w:val="en-GB"/>
        </w:rPr>
        <w:t>organsiation</w:t>
      </w:r>
      <w:proofErr w:type="spellEnd"/>
      <w:r w:rsidRPr="00353CAD">
        <w:rPr>
          <w:rStyle w:val="None"/>
          <w:rFonts w:eastAsia="Arial Unicode MS" w:cs="Arial Unicode MS"/>
          <w:lang w:val="en-GB"/>
        </w:rPr>
        <w:t xml:space="preserve"> </w:t>
      </w:r>
      <w:r w:rsidRPr="00353CAD">
        <w:rPr>
          <w:rStyle w:val="None"/>
          <w:rFonts w:eastAsia="Arial Unicode MS" w:cs="Arial Unicode MS"/>
          <w:color w:val="FF0000"/>
          <w:lang w:val="en-GB"/>
        </w:rPr>
        <w:t xml:space="preserve">organisation </w:t>
      </w:r>
      <w:r>
        <w:rPr>
          <w:rStyle w:val="None"/>
          <w:rFonts w:eastAsia="Arial Unicode MS" w:cs="Arial Unicode MS"/>
          <w:lang w:val="en-GB"/>
        </w:rPr>
        <w:t>f</w:t>
      </w:r>
      <w:r w:rsidRPr="00353CAD">
        <w:rPr>
          <w:rStyle w:val="None"/>
          <w:rFonts w:eastAsia="Arial Unicode MS" w:cs="Arial Unicode MS"/>
          <w:lang w:val="en-GB"/>
        </w:rPr>
        <w:t>irstly remains viable, competitive and is attractive to new recruits, whilst planning ahead to endure with these external factors present. This can be done by forecasting the future demand and supply of skills. With the rise of technology in driverless vehicles and pickers, perhaps automation may be the future for the business, meaning lower skilled workers may not be required in the long term.</w:t>
      </w:r>
    </w:p>
    <w:p w14:paraId="3492DF14" w14:textId="77777777" w:rsidR="006E0036" w:rsidRPr="00353CAD" w:rsidRDefault="006E0036" w:rsidP="006E0036">
      <w:pPr>
        <w:pStyle w:val="Nornal"/>
        <w:numPr>
          <w:ilvl w:val="0"/>
          <w:numId w:val="2"/>
        </w:numPr>
        <w:rPr>
          <w:b/>
          <w:bCs/>
          <w:lang w:val="en-GB"/>
        </w:rPr>
      </w:pPr>
      <w:r w:rsidRPr="00353CAD">
        <w:rPr>
          <w:rStyle w:val="None"/>
          <w:b/>
          <w:bCs/>
          <w:lang w:val="en-GB"/>
        </w:rPr>
        <w:t xml:space="preserve">You are aware that workforce planning has not been carried out in the past and decide to persuade the senior leadership team that this activity is worth doing.  Analyse the impact of effective workforce planning, making clear how </w:t>
      </w:r>
      <w:proofErr w:type="spellStart"/>
      <w:r w:rsidRPr="00353CAD">
        <w:rPr>
          <w:rStyle w:val="None"/>
          <w:b/>
          <w:bCs/>
          <w:lang w:val="en-GB"/>
        </w:rPr>
        <w:t>ParcelCare</w:t>
      </w:r>
      <w:proofErr w:type="spellEnd"/>
      <w:r w:rsidRPr="00353CAD">
        <w:rPr>
          <w:rStyle w:val="None"/>
          <w:b/>
          <w:bCs/>
          <w:lang w:val="en-GB"/>
        </w:rPr>
        <w:t xml:space="preserve"> could benefit from this activity. (AC 2.1)</w:t>
      </w:r>
    </w:p>
    <w:p w14:paraId="0184DAE9" w14:textId="77777777" w:rsidR="006E0036" w:rsidRPr="00353CAD" w:rsidRDefault="006E0036" w:rsidP="006E0036">
      <w:pPr>
        <w:pStyle w:val="Nornal"/>
        <w:rPr>
          <w:lang w:val="en-GB"/>
        </w:rPr>
      </w:pPr>
      <w:r w:rsidRPr="00353CAD">
        <w:rPr>
          <w:rStyle w:val="None"/>
          <w:rFonts w:eastAsia="Arial Unicode MS" w:cs="Arial Unicode MS"/>
          <w:lang w:val="en-GB"/>
        </w:rPr>
        <w:t xml:space="preserve">Workforce planning has a direct impact on the trajectory of future recruitment for skills in a competitive labour market. It is a key part of determining the business need for labour and in carrying out this exercise it could identify a current shortage that could be focused upon to be filled going forward. There are four stages to this process; forecasting </w:t>
      </w:r>
      <w:proofErr w:type="spellStart"/>
      <w:r w:rsidRPr="00353CAD">
        <w:rPr>
          <w:rStyle w:val="None"/>
          <w:rFonts w:eastAsia="Arial Unicode MS" w:cs="Arial Unicode MS"/>
          <w:lang w:val="en-GB"/>
        </w:rPr>
        <w:t>ParcelCare’s</w:t>
      </w:r>
      <w:proofErr w:type="spellEnd"/>
      <w:r w:rsidRPr="00353CAD">
        <w:rPr>
          <w:rStyle w:val="None"/>
          <w:rFonts w:eastAsia="Arial Unicode MS" w:cs="Arial Unicode MS"/>
          <w:lang w:val="en-GB"/>
        </w:rPr>
        <w:t xml:space="preserve"> demand for skills, forecasting skills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will have in the future, identifying gaps between future demand and supply of skills and putting plans in place to fill these gaps (CIPD, 2024).</w:t>
      </w:r>
    </w:p>
    <w:p w14:paraId="60CECB8C" w14:textId="77777777" w:rsidR="006E0036" w:rsidRPr="00353CAD" w:rsidRDefault="006E0036" w:rsidP="006E0036">
      <w:pPr>
        <w:pStyle w:val="Nornal"/>
        <w:rPr>
          <w:lang w:val="en-GB"/>
        </w:rPr>
      </w:pPr>
      <w:r w:rsidRPr="00353CAD">
        <w:rPr>
          <w:rStyle w:val="None"/>
          <w:lang w:val="en-GB"/>
        </w:rPr>
        <w:t xml:space="preserve">Focusing firstly on forecasting the demand, </w:t>
      </w:r>
      <w:proofErr w:type="spellStart"/>
      <w:r w:rsidRPr="00353CAD">
        <w:rPr>
          <w:rStyle w:val="None"/>
          <w:lang w:val="en-GB"/>
        </w:rPr>
        <w:t>ParcelCare</w:t>
      </w:r>
      <w:proofErr w:type="spellEnd"/>
      <w:r w:rsidRPr="00353CAD">
        <w:rPr>
          <w:rStyle w:val="None"/>
          <w:lang w:val="en-GB"/>
        </w:rPr>
        <w:t xml:space="preserve"> need to think about their service delivery and how this will be carried out in both the immediate short term and longer term to remain competitive and future proof the business. This can be assessed by making forecasted projections on performance e.g. if the </w:t>
      </w:r>
      <w:proofErr w:type="spellStart"/>
      <w:r w:rsidRPr="00353CAD">
        <w:rPr>
          <w:rStyle w:val="None"/>
          <w:lang w:val="en-GB"/>
        </w:rPr>
        <w:t>organsiations</w:t>
      </w:r>
      <w:proofErr w:type="spellEnd"/>
      <w:r w:rsidRPr="00353CAD">
        <w:rPr>
          <w:rStyle w:val="None"/>
          <w:lang w:val="en-GB"/>
        </w:rPr>
        <w:t xml:space="preserve"> focused on more quality skills to perform with fewer volume with the same output or having a varied, diverse workforce with an array of skills be more versatile. Could this lead to increased growth and higher returns in the long run? Or would the service delivery decrease due to reduced productivity and morale depreciating leading to higher turnover. </w:t>
      </w:r>
    </w:p>
    <w:p w14:paraId="7863AED2" w14:textId="77777777" w:rsidR="006E0036" w:rsidRPr="00353CAD" w:rsidRDefault="006E0036" w:rsidP="006E0036">
      <w:pPr>
        <w:pStyle w:val="Nornal"/>
        <w:rPr>
          <w:lang w:val="en-GB"/>
        </w:rPr>
      </w:pPr>
      <w:r w:rsidRPr="00353CAD">
        <w:rPr>
          <w:rStyle w:val="None"/>
          <w:rFonts w:eastAsia="Arial Unicode MS" w:cs="Arial Unicode MS"/>
          <w:lang w:val="en-GB"/>
        </w:rPr>
        <w:t xml:space="preserve">To forecast the supply,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need to focus on its current workforce and assess their contractual obligations and determine whether expansion is viable, or current levels of headcount and skills on the books are sufficient. This can be measured in an overall headcount and looking at salaries to benchmark against, age to succession plan and turnover to analyse the cost implication to replace if talent could be retained versus the cost to attract. For example, if </w:t>
      </w:r>
      <w:proofErr w:type="spellStart"/>
      <w:r w:rsidRPr="00353CAD">
        <w:rPr>
          <w:rStyle w:val="None"/>
          <w:rFonts w:eastAsia="Arial Unicode MS" w:cs="Arial Unicode MS"/>
          <w:lang w:val="en-GB"/>
        </w:rPr>
        <w:t>ParcelCare’s</w:t>
      </w:r>
      <w:proofErr w:type="spellEnd"/>
      <w:r w:rsidRPr="00353CAD">
        <w:rPr>
          <w:rStyle w:val="None"/>
          <w:rFonts w:eastAsia="Arial Unicode MS" w:cs="Arial Unicode MS"/>
          <w:lang w:val="en-GB"/>
        </w:rPr>
        <w:t xml:space="preserve"> main issue is retirement, and the numbers of couriers are nearing retirement age, it would be beneficial to start </w:t>
      </w:r>
      <w:proofErr w:type="gramStart"/>
      <w:r w:rsidRPr="00353CAD">
        <w:rPr>
          <w:rStyle w:val="None"/>
          <w:rFonts w:eastAsia="Arial Unicode MS" w:cs="Arial Unicode MS"/>
          <w:lang w:val="en-GB"/>
        </w:rPr>
        <w:t>planning ahead</w:t>
      </w:r>
      <w:proofErr w:type="gramEnd"/>
      <w:r w:rsidRPr="00353CAD">
        <w:rPr>
          <w:rStyle w:val="None"/>
          <w:rFonts w:eastAsia="Arial Unicode MS" w:cs="Arial Unicode MS"/>
          <w:lang w:val="en-GB"/>
        </w:rPr>
        <w:t xml:space="preserve"> for longer term </w:t>
      </w:r>
      <w:r w:rsidRPr="00353CAD">
        <w:rPr>
          <w:rStyle w:val="None"/>
          <w:rFonts w:eastAsia="Arial Unicode MS" w:cs="Arial Unicode MS"/>
          <w:lang w:val="en-GB"/>
        </w:rPr>
        <w:lastRenderedPageBreak/>
        <w:t xml:space="preserve">replacement to prevent it becoming an issue that leads to a slump in productivity due to losses of experience and talent. </w:t>
      </w:r>
    </w:p>
    <w:p w14:paraId="2336A859" w14:textId="77777777" w:rsidR="006E0036" w:rsidRDefault="006E0036" w:rsidP="006E0036">
      <w:pPr>
        <w:pStyle w:val="Nornal"/>
        <w:rPr>
          <w:rStyle w:val="None"/>
          <w:rFonts w:eastAsia="Arial Unicode MS" w:cs="Arial Unicode MS"/>
          <w:lang w:val="en-GB"/>
        </w:rPr>
      </w:pPr>
      <w:r w:rsidRPr="00353CAD">
        <w:rPr>
          <w:rStyle w:val="None"/>
          <w:rFonts w:eastAsia="Arial Unicode MS" w:cs="Arial Unicode MS"/>
          <w:lang w:val="en-GB"/>
        </w:rPr>
        <w:t xml:space="preserve">To identify the current skills gap between demand and supply,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needs to take an honest assessment of its current structure. This can be done by having a dedicated people professional looking solely at workforce planning, a summary of its critical roles should be identified firstly and then look at gaps between these types and ultimately what would supplement future goals (Adam Gibson, 2020).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can then look to integrate a plan alongside the strategy of the business, with skills being sourced to influence management decisions for the betterment of the longer-term vision. </w:t>
      </w:r>
    </w:p>
    <w:p w14:paraId="2E0D88A4" w14:textId="77777777" w:rsidR="006E0036" w:rsidRPr="00353CAD" w:rsidRDefault="006E0036" w:rsidP="006E0036">
      <w:pPr>
        <w:pStyle w:val="Nornal"/>
        <w:numPr>
          <w:ilvl w:val="0"/>
          <w:numId w:val="2"/>
        </w:numPr>
        <w:rPr>
          <w:b/>
          <w:bCs/>
          <w:lang w:val="en-GB"/>
        </w:rPr>
      </w:pPr>
      <w:r w:rsidRPr="00353CAD">
        <w:rPr>
          <w:rStyle w:val="None"/>
          <w:b/>
          <w:bCs/>
          <w:lang w:val="en-GB"/>
        </w:rPr>
        <w:t>To strengthen your argument to introduce workforce planning, evaluate techniques that can be used to support the process of workforce planning. (AC 2.2)</w:t>
      </w:r>
    </w:p>
    <w:p w14:paraId="583FCD53" w14:textId="77777777" w:rsidR="006E0036" w:rsidRDefault="006E0036" w:rsidP="006E0036">
      <w:pPr>
        <w:pStyle w:val="Nornal"/>
        <w:rPr>
          <w:rStyle w:val="None"/>
          <w:rFonts w:eastAsia="Arial Unicode MS" w:cs="Arial Unicode MS"/>
          <w:lang w:val="en-GB"/>
        </w:rPr>
      </w:pPr>
      <w:r w:rsidRPr="00353CAD">
        <w:rPr>
          <w:rStyle w:val="None"/>
          <w:rFonts w:eastAsia="Arial Unicode MS" w:cs="Arial Unicode MS"/>
          <w:lang w:val="en-GB"/>
        </w:rPr>
        <w:t xml:space="preserve">There is an array of techniques available to implement workforce planning successfully, to achieve this there is a need to consider the “7 Rs of strategic workforce planning.” They are the right people, right skills, right shape, right time, right place, and right cost (CIPD, 2023). If all of these are considered in unison in the process of talent acquisition or retention, then it can lead to more proactive decision making. Simply identifying future or current resource issues could lead to greater alignment and business direction. </w:t>
      </w:r>
    </w:p>
    <w:p w14:paraId="5864CB54" w14:textId="77777777" w:rsidR="006E0036" w:rsidRDefault="006E0036" w:rsidP="006E0036">
      <w:pPr>
        <w:pStyle w:val="Nornal"/>
        <w:rPr>
          <w:rStyle w:val="None"/>
          <w:color w:val="FF0000"/>
          <w:lang w:val="en-GB"/>
        </w:rPr>
      </w:pPr>
      <w:r w:rsidRPr="00353CAD">
        <w:rPr>
          <w:rStyle w:val="None"/>
          <w:lang w:val="en-GB"/>
        </w:rPr>
        <w:t xml:space="preserve">The workforce plan can be facilitated by HR, with the corporate plan at heart, and can be initiated by providing a general overview of the </w:t>
      </w:r>
      <w:proofErr w:type="spellStart"/>
      <w:r w:rsidRPr="00353CAD">
        <w:rPr>
          <w:rStyle w:val="None"/>
          <w:strike/>
          <w:lang w:val="en-GB"/>
        </w:rPr>
        <w:t>orgnaisations</w:t>
      </w:r>
      <w:proofErr w:type="spellEnd"/>
      <w:r w:rsidRPr="00353CAD">
        <w:rPr>
          <w:rStyle w:val="None"/>
          <w:lang w:val="en-GB"/>
        </w:rPr>
        <w:t xml:space="preserve"> </w:t>
      </w:r>
      <w:r w:rsidRPr="00353CAD">
        <w:rPr>
          <w:rStyle w:val="None"/>
          <w:color w:val="FF0000"/>
          <w:lang w:val="en-GB"/>
        </w:rPr>
        <w:t xml:space="preserve">organisations </w:t>
      </w:r>
      <w:r w:rsidRPr="0095428F">
        <w:rPr>
          <w:rStyle w:val="None"/>
          <w:strike/>
          <w:lang w:val="en-GB"/>
        </w:rPr>
        <w:t>course</w:t>
      </w:r>
      <w:r w:rsidRPr="00353CAD">
        <w:rPr>
          <w:rStyle w:val="None"/>
          <w:lang w:val="en-GB"/>
        </w:rPr>
        <w:t xml:space="preserve"> </w:t>
      </w:r>
      <w:r w:rsidRPr="0095428F">
        <w:rPr>
          <w:rStyle w:val="None"/>
          <w:color w:val="FF0000"/>
          <w:lang w:val="en-GB"/>
        </w:rPr>
        <w:t xml:space="preserve">current </w:t>
      </w:r>
      <w:r>
        <w:rPr>
          <w:rStyle w:val="None"/>
          <w:color w:val="FF0000"/>
          <w:lang w:val="en-GB"/>
        </w:rPr>
        <w:t>resource available by way of succession planning</w:t>
      </w:r>
      <w:r>
        <w:rPr>
          <w:rStyle w:val="None"/>
          <w:color w:val="FF0000"/>
          <w:lang w:val="en-GB"/>
        </w:rPr>
        <w:t>,</w:t>
      </w:r>
      <w:r>
        <w:rPr>
          <w:rStyle w:val="None"/>
          <w:color w:val="FF0000"/>
          <w:lang w:val="en-GB"/>
        </w:rPr>
        <w:t xml:space="preserve"> </w:t>
      </w:r>
      <w:r w:rsidRPr="0095428F">
        <w:rPr>
          <w:rStyle w:val="None"/>
          <w:strike/>
          <w:lang w:val="en-GB"/>
        </w:rPr>
        <w:t>through a scenario plan,</w:t>
      </w:r>
      <w:r w:rsidRPr="00353CAD">
        <w:rPr>
          <w:rStyle w:val="None"/>
          <w:lang w:val="en-GB"/>
        </w:rPr>
        <w:t xml:space="preserve"> </w:t>
      </w:r>
      <w:r w:rsidRPr="006E0036">
        <w:rPr>
          <w:rStyle w:val="None"/>
          <w:strike/>
          <w:lang w:val="en-GB"/>
        </w:rPr>
        <w:t>the</w:t>
      </w:r>
      <w:r w:rsidRPr="00353CAD">
        <w:rPr>
          <w:rStyle w:val="None"/>
          <w:lang w:val="en-GB"/>
        </w:rPr>
        <w:t xml:space="preserve"> people professionals can conduct a workforce analysis to achieve this</w:t>
      </w:r>
      <w:r w:rsidRPr="0095428F">
        <w:rPr>
          <w:rStyle w:val="None"/>
          <w:color w:val="FF0000"/>
          <w:lang w:val="en-GB"/>
        </w:rPr>
        <w:t>.  The overarching objective of workforce planning is to assess what resource is required by the business, to ensure sufficient resource is provided to meet demand.</w:t>
      </w:r>
      <w:r>
        <w:rPr>
          <w:rStyle w:val="None"/>
          <w:color w:val="FF0000"/>
          <w:lang w:val="en-GB"/>
        </w:rPr>
        <w:t xml:space="preserve"> By conducting a succession plan, the people professional can seek to identify current or future skills shortages by identifying current, ‘critical positions’ (Taylor, 2022) and developing its own talent to fill future gaps left by, either an ambitious or ageing workforce. This can be done by looking at long term data trends on predicted retirements or projected turnover in a particular area of the business, using a deterministic model. It would be incumbent on the people professional to assess the current talent and their level, whether they could maximise their potential to step up into a progressive role, by using a 9-box grid. If this requirement to develop is satisfied, the next step would be to nurture it, being readymade to promote, should an employer find itself in a position to replace outgoing talent or knowledge,</w:t>
      </w:r>
      <w:r w:rsidRPr="006C6648">
        <w:rPr>
          <w:rStyle w:val="None"/>
          <w:color w:val="FF0000"/>
          <w:lang w:val="en-GB"/>
        </w:rPr>
        <w:t xml:space="preserve"> </w:t>
      </w:r>
      <w:r>
        <w:rPr>
          <w:rStyle w:val="None"/>
          <w:color w:val="FF0000"/>
          <w:lang w:val="en-GB"/>
        </w:rPr>
        <w:t xml:space="preserve">and safeguard the future of the organisation.                                                                   </w:t>
      </w:r>
    </w:p>
    <w:p w14:paraId="22B4E084" w14:textId="3B2D88AF" w:rsidR="006E0036" w:rsidRDefault="006E0036" w:rsidP="006E0036">
      <w:pPr>
        <w:pStyle w:val="Nornal"/>
        <w:rPr>
          <w:rStyle w:val="None"/>
          <w:color w:val="FF0000"/>
          <w:lang w:val="en-GB"/>
        </w:rPr>
      </w:pPr>
      <w:r>
        <w:rPr>
          <w:rStyle w:val="None"/>
          <w:color w:val="FF0000"/>
          <w:lang w:val="en-GB"/>
        </w:rPr>
        <w:t xml:space="preserve">Although, this is seen to be a dated practice, there are perhaps more influential techniques that has greater impact on workforce planning, as it could lead to an echo chamber scenario, with passed on knowledge and the same ideas circulated which can prove stagnant (Hirsch, 2000). And to be too long term in approach, with less focus on the present should things change unpredictably. This technique of workforce planning would be beneficial to </w:t>
      </w:r>
      <w:proofErr w:type="spellStart"/>
      <w:r>
        <w:rPr>
          <w:rStyle w:val="None"/>
          <w:color w:val="FF0000"/>
          <w:lang w:val="en-GB"/>
        </w:rPr>
        <w:t>ParcelCare</w:t>
      </w:r>
      <w:proofErr w:type="spellEnd"/>
      <w:r>
        <w:rPr>
          <w:rStyle w:val="None"/>
          <w:color w:val="FF0000"/>
          <w:lang w:val="en-GB"/>
        </w:rPr>
        <w:t xml:space="preserve"> to help mitigate future losses of valuable resource.</w:t>
      </w:r>
    </w:p>
    <w:p w14:paraId="1015E8FE" w14:textId="77777777" w:rsidR="006E0036" w:rsidRDefault="006E0036" w:rsidP="006E0036">
      <w:pPr>
        <w:pStyle w:val="Nornal"/>
        <w:rPr>
          <w:rStyle w:val="None"/>
          <w:color w:val="FF0000"/>
          <w:lang w:val="en-GB"/>
        </w:rPr>
      </w:pPr>
      <w:r>
        <w:rPr>
          <w:rStyle w:val="None"/>
          <w:color w:val="FF0000"/>
          <w:lang w:val="en-GB"/>
        </w:rPr>
        <w:t xml:space="preserve">Another workforce planning technique in contrast with the former would be to look at scenario planning. In using this, </w:t>
      </w:r>
      <w:proofErr w:type="spellStart"/>
      <w:r>
        <w:rPr>
          <w:rStyle w:val="None"/>
          <w:color w:val="FF0000"/>
          <w:lang w:val="en-GB"/>
        </w:rPr>
        <w:t>ParcelCare</w:t>
      </w:r>
      <w:proofErr w:type="spellEnd"/>
      <w:r>
        <w:rPr>
          <w:rStyle w:val="None"/>
          <w:color w:val="FF0000"/>
          <w:lang w:val="en-GB"/>
        </w:rPr>
        <w:t xml:space="preserve"> can look to prepare for any eventuality foreseen, this could be achieved by reviewing the state of the industry assess using a PESTLE analysis (Battista, 2024) to determine what the future looks like for the parcel delivery service in an increasingly competitive market. </w:t>
      </w:r>
    </w:p>
    <w:p w14:paraId="6ED8EA73" w14:textId="77777777" w:rsidR="006E0036" w:rsidRPr="00353CAD" w:rsidRDefault="006E0036" w:rsidP="006E0036">
      <w:pPr>
        <w:pStyle w:val="Nornal"/>
        <w:numPr>
          <w:ilvl w:val="0"/>
          <w:numId w:val="2"/>
        </w:numPr>
        <w:rPr>
          <w:b/>
          <w:bCs/>
          <w:lang w:val="en-GB"/>
        </w:rPr>
      </w:pPr>
      <w:r w:rsidRPr="00353CAD">
        <w:rPr>
          <w:rStyle w:val="None"/>
          <w:b/>
          <w:bCs/>
          <w:lang w:val="en-GB"/>
        </w:rPr>
        <w:lastRenderedPageBreak/>
        <w:t xml:space="preserve">Currently, vacancies are advertised on </w:t>
      </w:r>
      <w:proofErr w:type="spellStart"/>
      <w:r w:rsidRPr="00353CAD">
        <w:rPr>
          <w:rStyle w:val="None"/>
          <w:b/>
          <w:bCs/>
          <w:lang w:val="en-GB"/>
        </w:rPr>
        <w:t>ParcelCare’s</w:t>
      </w:r>
      <w:proofErr w:type="spellEnd"/>
      <w:r w:rsidRPr="00353CAD">
        <w:rPr>
          <w:rStyle w:val="None"/>
          <w:b/>
          <w:bCs/>
          <w:lang w:val="en-GB"/>
        </w:rPr>
        <w:t xml:space="preserve"> website. Line managers then interview shortlisted applicants. You feel that these are suitable recruitment and selection methods to use but want to broaden the methods used. Evaluate the strengths and weaknesses of two different recruitment methods and two different selection methods. (AC 2.3)</w:t>
      </w:r>
    </w:p>
    <w:p w14:paraId="12A72974" w14:textId="77777777" w:rsidR="006E0036" w:rsidRPr="00353CAD" w:rsidRDefault="006E0036" w:rsidP="006E0036">
      <w:pPr>
        <w:pStyle w:val="Nornal"/>
        <w:rPr>
          <w:lang w:val="en-GB"/>
        </w:rPr>
      </w:pPr>
      <w:r w:rsidRPr="00353CAD">
        <w:rPr>
          <w:rStyle w:val="None"/>
          <w:rFonts w:eastAsia="Arial Unicode MS" w:cs="Arial Unicode MS"/>
          <w:lang w:val="en-GB"/>
        </w:rPr>
        <w:t xml:space="preserve">Effective recruitment methods are vital to ensure the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attracts the best talent available and generates a high volume of interest to fill vacancies as they arise. The current method by way of advertising externally through the company website is a popular one, and a broad net to entice talent (CIPD, 2024). </w:t>
      </w:r>
    </w:p>
    <w:p w14:paraId="31EDFB5E" w14:textId="77777777" w:rsidR="006E0036" w:rsidRPr="00353CAD" w:rsidRDefault="006E0036" w:rsidP="006E0036">
      <w:pPr>
        <w:pStyle w:val="Nornal"/>
        <w:rPr>
          <w:lang w:val="en-GB"/>
        </w:rPr>
      </w:pPr>
      <w:r w:rsidRPr="00353CAD">
        <w:rPr>
          <w:rStyle w:val="None"/>
          <w:lang w:val="en-GB"/>
        </w:rPr>
        <w:t xml:space="preserve">However, an alternative formal approach may be to </w:t>
      </w:r>
      <w:proofErr w:type="spellStart"/>
      <w:r w:rsidRPr="00353CAD">
        <w:rPr>
          <w:rStyle w:val="None"/>
          <w:strike/>
          <w:lang w:val="en-GB"/>
        </w:rPr>
        <w:t>utlitse</w:t>
      </w:r>
      <w:proofErr w:type="spellEnd"/>
      <w:r w:rsidRPr="00353CAD">
        <w:rPr>
          <w:rStyle w:val="None"/>
          <w:lang w:val="en-GB"/>
        </w:rPr>
        <w:t xml:space="preserve"> </w:t>
      </w:r>
      <w:r w:rsidRPr="00353CAD">
        <w:rPr>
          <w:rStyle w:val="None"/>
          <w:color w:val="FF0000"/>
          <w:lang w:val="en-GB"/>
        </w:rPr>
        <w:t xml:space="preserve">utilise </w:t>
      </w:r>
      <w:r w:rsidRPr="00353CAD">
        <w:rPr>
          <w:rStyle w:val="None"/>
          <w:lang w:val="en-GB"/>
        </w:rPr>
        <w:t xml:space="preserve">a recruitment agency to source readymade talent. The advantage of this approach could be speed up the process by directly sourcing a person to fill a skills gap, without the need to go through the motions of advertising/shortlisting/interviewing and then appointing someone. This along with finding quality candidates readymade to be recruited as they are available through the agency. However, a downside to this in </w:t>
      </w:r>
      <w:proofErr w:type="spellStart"/>
      <w:r w:rsidRPr="00353CAD">
        <w:rPr>
          <w:rStyle w:val="None"/>
          <w:lang w:val="en-GB"/>
        </w:rPr>
        <w:t>ParcelCare’s</w:t>
      </w:r>
      <w:proofErr w:type="spellEnd"/>
      <w:r w:rsidRPr="00353CAD">
        <w:rPr>
          <w:rStyle w:val="None"/>
          <w:lang w:val="en-GB"/>
        </w:rPr>
        <w:t xml:space="preserve"> case, would be that it would likely cost more in finders fees and/or commission, and likely to be excessive, given the nature of the companies’ industry as a courier service. This could also be a negative in that the candidates nominated are not right fits for the </w:t>
      </w:r>
      <w:proofErr w:type="spellStart"/>
      <w:r w:rsidRPr="00353CAD">
        <w:rPr>
          <w:rStyle w:val="None"/>
          <w:strike/>
          <w:lang w:val="en-GB"/>
        </w:rPr>
        <w:t>organsiation</w:t>
      </w:r>
      <w:proofErr w:type="spellEnd"/>
      <w:r>
        <w:rPr>
          <w:rStyle w:val="None"/>
          <w:color w:val="FF0000"/>
          <w:lang w:val="en-GB"/>
        </w:rPr>
        <w:t xml:space="preserve"> organisation</w:t>
      </w:r>
      <w:r w:rsidRPr="00353CAD">
        <w:rPr>
          <w:rStyle w:val="None"/>
          <w:lang w:val="en-GB"/>
        </w:rPr>
        <w:t xml:space="preserve">. </w:t>
      </w:r>
    </w:p>
    <w:p w14:paraId="11D10FC8" w14:textId="77777777" w:rsidR="006E0036" w:rsidRPr="00353CAD" w:rsidRDefault="006E0036" w:rsidP="006E0036">
      <w:pPr>
        <w:pStyle w:val="Nornal"/>
        <w:rPr>
          <w:lang w:val="en-GB"/>
        </w:rPr>
      </w:pPr>
      <w:r w:rsidRPr="00353CAD">
        <w:rPr>
          <w:rStyle w:val="None"/>
          <w:rFonts w:eastAsia="Arial Unicode MS" w:cs="Arial Unicode MS"/>
          <w:lang w:val="en-GB"/>
        </w:rPr>
        <w:t>Another method of recruitment could be through informal internal referrals, i.e. refer a friend. This can help maintain staff engagement with aligned thinking and increased buy in with their considerations being valued. It is also a cheap method as there is little cost of filling vacancies through referrals. Although, this could be problematic as it could be perceived to be nepotistic, with certain individuals being given opportunities based on influence within, rather than merit. This could also lead to a lack of diversity as likeminded people become recruited, with a similar outlook and ideas.</w:t>
      </w:r>
    </w:p>
    <w:p w14:paraId="1C571BD6" w14:textId="77777777" w:rsidR="006E0036" w:rsidRPr="00353CAD" w:rsidRDefault="006E0036" w:rsidP="006E0036">
      <w:pPr>
        <w:pStyle w:val="Nornal"/>
        <w:rPr>
          <w:lang w:val="en-GB"/>
        </w:rPr>
      </w:pPr>
      <w:r w:rsidRPr="00353CAD">
        <w:rPr>
          <w:rStyle w:val="None"/>
          <w:rFonts w:eastAsia="Arial Unicode MS" w:cs="Arial Unicode MS"/>
          <w:lang w:val="en-GB"/>
        </w:rPr>
        <w:t xml:space="preserve">The current selection method of line managers interviewing the shortlisted applicants who have applied through the website. An alternate selection process could be to conduct skills-based assessments opened to shortlisted candidates who have met criteria for the role they have applied. This provides a real scenario, and they are assessed based on competency, which appears to be fair, rather than being selected based on a successful interview. It also allows the perspective candidate to be assessed over time rather than be made over a brief interview. However, it can be quite time consuming to logistically facilitate this and costly to draw out the process (Taylor &amp; Woodhams, 2022). </w:t>
      </w:r>
    </w:p>
    <w:p w14:paraId="54D3B2B6" w14:textId="77777777" w:rsidR="006E0036" w:rsidRDefault="006E0036" w:rsidP="006E0036">
      <w:pPr>
        <w:pStyle w:val="Nornal"/>
        <w:rPr>
          <w:rStyle w:val="None"/>
          <w:rFonts w:eastAsia="Arial Unicode MS" w:cs="Arial Unicode MS"/>
          <w:lang w:val="en-GB"/>
        </w:rPr>
      </w:pPr>
      <w:r w:rsidRPr="00353CAD">
        <w:rPr>
          <w:rStyle w:val="None"/>
          <w:rFonts w:eastAsia="Arial Unicode MS" w:cs="Arial Unicode MS"/>
          <w:lang w:val="en-GB"/>
        </w:rPr>
        <w:t xml:space="preserve">Another selection method could be to select based on psychometric testing. This can be a very supportive tool for hiring managers to make their decision based on personality traits to assess suitability. This is a good indicator of how a person will perform and react to the job demands. Although the negatives to this method are that it is perceived to put prospective candidates from diverse backgrounds at a disadvantage due to cultural/language differences in their responses (Wadsworth, 2022). </w:t>
      </w:r>
    </w:p>
    <w:p w14:paraId="241B9E58" w14:textId="77777777" w:rsidR="006E0036" w:rsidRPr="00353CAD" w:rsidRDefault="006E0036" w:rsidP="006E0036">
      <w:pPr>
        <w:pStyle w:val="Nornal"/>
        <w:numPr>
          <w:ilvl w:val="0"/>
          <w:numId w:val="2"/>
        </w:numPr>
        <w:rPr>
          <w:b/>
          <w:bCs/>
          <w:lang w:val="en-GB"/>
        </w:rPr>
      </w:pPr>
      <w:r w:rsidRPr="00353CAD">
        <w:rPr>
          <w:rStyle w:val="None"/>
          <w:b/>
          <w:bCs/>
          <w:lang w:val="en-GB"/>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52966338" w14:textId="77777777" w:rsidR="006E0036" w:rsidRPr="00353CAD" w:rsidRDefault="006E0036" w:rsidP="006E0036">
      <w:pPr>
        <w:pStyle w:val="Nornal"/>
        <w:rPr>
          <w:lang w:val="en-GB"/>
        </w:rPr>
      </w:pPr>
      <w:r w:rsidRPr="00353CAD">
        <w:rPr>
          <w:rStyle w:val="None"/>
          <w:rFonts w:eastAsia="Arial Unicode MS" w:cs="Arial Unicode MS"/>
          <w:lang w:val="en-GB"/>
        </w:rPr>
        <w:t xml:space="preserve">Turnover of workers/employees needs to be assessed in greater detail to understand why people are truly leaving workplaces, as leaving reasons can be masked and not all turnover is negative. Turnover can be summarised in two forms: avoidable turnover and unavoidable </w:t>
      </w:r>
      <w:r w:rsidRPr="00353CAD">
        <w:rPr>
          <w:rStyle w:val="None"/>
          <w:rFonts w:eastAsia="Arial Unicode MS" w:cs="Arial Unicode MS"/>
          <w:lang w:val="en-GB"/>
        </w:rPr>
        <w:lastRenderedPageBreak/>
        <w:t xml:space="preserve">turnover. Avoidable turnover is evident when people leave, but their reasons for leaving could have been avoided within control of the employer. These can range from lack of training opportunities, feeling undervalued or job dissatisfaction. On the other hand, unavoidable turnover reasons are usually beyond the control of the employer, these can be factors such as career changes, leaving work to care for family dependents. </w:t>
      </w:r>
    </w:p>
    <w:p w14:paraId="6E693F98" w14:textId="77777777" w:rsidR="006E0036" w:rsidRPr="00353CAD" w:rsidRDefault="006E0036" w:rsidP="006E0036">
      <w:pPr>
        <w:pStyle w:val="Nornal"/>
        <w:rPr>
          <w:lang w:val="en-GB"/>
        </w:rPr>
      </w:pPr>
      <w:r w:rsidRPr="00353CAD">
        <w:rPr>
          <w:rStyle w:val="None"/>
          <w:rFonts w:eastAsia="Arial Unicode MS" w:cs="Arial Unicode MS"/>
          <w:lang w:val="en-GB"/>
        </w:rPr>
        <w:t>Measuring the employee turnover is usually worked out monthly; total number of leavers x 100 vs monthly headcount e.g. if 3 people left the organisation this month and there is a workforce of 500 (3/500*100 = 0.6% of turnover).</w:t>
      </w:r>
    </w:p>
    <w:p w14:paraId="56B9ABC5" w14:textId="77777777" w:rsidR="006E0036" w:rsidRPr="00353CAD" w:rsidRDefault="006E0036" w:rsidP="006E0036">
      <w:pPr>
        <w:pStyle w:val="Nornal"/>
        <w:rPr>
          <w:lang w:val="en-GB"/>
        </w:rPr>
      </w:pPr>
      <w:r w:rsidRPr="00353CAD">
        <w:rPr>
          <w:rStyle w:val="None"/>
          <w:lang w:val="en-GB"/>
        </w:rPr>
        <w:t xml:space="preserve">Turnover can be costly for organisations as employers need to invest time and money into replacing talent as well as reviewing their practices that has led to departing employees. In recent times the balance of power has shifted with greater demands for hybrid working practices by prospective applicants in the job market, since the pandemic, this phenomenon was known as “The Great Resignation” (Klotz, 2021).  Turnover can provide an alarming snapshot of your </w:t>
      </w:r>
      <w:proofErr w:type="spellStart"/>
      <w:r w:rsidRPr="00353CAD">
        <w:rPr>
          <w:rStyle w:val="None"/>
          <w:strike/>
          <w:lang w:val="en-GB"/>
        </w:rPr>
        <w:t>orgnaisations</w:t>
      </w:r>
      <w:proofErr w:type="spellEnd"/>
      <w:r w:rsidRPr="00353CAD">
        <w:rPr>
          <w:rStyle w:val="None"/>
          <w:lang w:val="en-GB"/>
        </w:rPr>
        <w:t xml:space="preserve"> </w:t>
      </w:r>
      <w:r w:rsidRPr="00353CAD">
        <w:rPr>
          <w:rStyle w:val="None"/>
          <w:color w:val="FF0000"/>
          <w:lang w:val="en-GB"/>
        </w:rPr>
        <w:t xml:space="preserve">organisation’s </w:t>
      </w:r>
      <w:r w:rsidRPr="00353CAD">
        <w:rPr>
          <w:rStyle w:val="None"/>
          <w:lang w:val="en-GB"/>
        </w:rPr>
        <w:t xml:space="preserve">present and future, if good employees are leaving at a higher rate than lower performing employees, this is known as dysfunctional turnover (CIPD, 2024). Although many speculate that the great resignation was inflated, and since the pandemic we have seen more “quiet quitting” being enacted (Bremen, 2022). This is particularly difficult for employers to assess as the outgoing employees do not provide reasoning for their departure. Employers seeking to improve on retention will </w:t>
      </w:r>
      <w:r w:rsidRPr="000B6AAC">
        <w:rPr>
          <w:rStyle w:val="None"/>
          <w:strike/>
          <w:lang w:val="en-GB"/>
        </w:rPr>
        <w:t>utilize</w:t>
      </w:r>
      <w:r w:rsidRPr="00353CAD">
        <w:rPr>
          <w:rStyle w:val="None"/>
          <w:lang w:val="en-GB"/>
        </w:rPr>
        <w:t xml:space="preserve"> </w:t>
      </w:r>
      <w:proofErr w:type="spellStart"/>
      <w:r w:rsidRPr="000B6AAC">
        <w:rPr>
          <w:rStyle w:val="None"/>
          <w:color w:val="FF0000"/>
          <w:lang w:val="en-GB"/>
        </w:rPr>
        <w:t>utlise</w:t>
      </w:r>
      <w:proofErr w:type="spellEnd"/>
      <w:r w:rsidRPr="000B6AAC">
        <w:rPr>
          <w:rStyle w:val="None"/>
          <w:color w:val="FF0000"/>
          <w:lang w:val="en-GB"/>
        </w:rPr>
        <w:t xml:space="preserve"> </w:t>
      </w:r>
      <w:r w:rsidRPr="00353CAD">
        <w:rPr>
          <w:rStyle w:val="None"/>
          <w:lang w:val="en-GB"/>
        </w:rPr>
        <w:t xml:space="preserve">leavers questionnaires to uncover underlying </w:t>
      </w:r>
      <w:r w:rsidRPr="000B6AAC">
        <w:rPr>
          <w:rStyle w:val="None"/>
          <w:color w:val="FF0000"/>
          <w:lang w:val="en-GB"/>
        </w:rPr>
        <w:t xml:space="preserve">leaving </w:t>
      </w:r>
      <w:r w:rsidRPr="00353CAD">
        <w:rPr>
          <w:rStyle w:val="None"/>
          <w:lang w:val="en-GB"/>
        </w:rPr>
        <w:t xml:space="preserve">reasons </w:t>
      </w:r>
      <w:r w:rsidRPr="000B6AAC">
        <w:rPr>
          <w:rStyle w:val="None"/>
          <w:strike/>
          <w:lang w:val="en-GB"/>
        </w:rPr>
        <w:t>for leavers</w:t>
      </w:r>
      <w:r w:rsidRPr="00353CAD">
        <w:rPr>
          <w:rStyle w:val="None"/>
          <w:lang w:val="en-GB"/>
        </w:rPr>
        <w:t xml:space="preserve"> and can look to implement changes off the back of their findings. </w:t>
      </w:r>
    </w:p>
    <w:p w14:paraId="2BFF80A8" w14:textId="77777777" w:rsidR="006E0036" w:rsidRPr="00353CAD" w:rsidRDefault="006E0036" w:rsidP="006E0036">
      <w:pPr>
        <w:pStyle w:val="Nornal"/>
        <w:rPr>
          <w:lang w:val="en-GB"/>
        </w:rPr>
      </w:pPr>
      <w:r w:rsidRPr="00353CAD">
        <w:rPr>
          <w:rStyle w:val="None"/>
          <w:rFonts w:eastAsia="Arial Unicode MS" w:cs="Arial Unicode MS"/>
          <w:lang w:val="en-GB"/>
        </w:rPr>
        <w:t xml:space="preserve">For the outgoing employees, their motivation/s can be either simple or complex, but are simply broken down into two categories; push factors, what has caused them to leave, or pull factors whereby they felt enticed to go. Push factors can be the result of breakdown in relationship between manager and colleague, leading the employee to look at alternative ventures. Or pull factors such as better salary or benefit offerings elsewhere, which their existing employer could not compete with. </w:t>
      </w:r>
    </w:p>
    <w:p w14:paraId="03F76994" w14:textId="77777777" w:rsidR="006E0036" w:rsidRDefault="006E0036" w:rsidP="006E0036">
      <w:pPr>
        <w:pStyle w:val="Nornal"/>
        <w:rPr>
          <w:rStyle w:val="None"/>
          <w:rFonts w:eastAsia="Arial Unicode MS" w:cs="Arial Unicode MS"/>
          <w:lang w:val="en-GB"/>
        </w:rPr>
      </w:pPr>
      <w:r w:rsidRPr="00353CAD">
        <w:rPr>
          <w:rStyle w:val="None"/>
          <w:rFonts w:eastAsia="Arial Unicode MS" w:cs="Arial Unicode MS"/>
          <w:lang w:val="en-GB"/>
        </w:rPr>
        <w:t>Ultimately, employer can and should try to improve its retention rates as losing key personnel can be costly to replace talent and can signify a downturn in culture, which can also lead to negative performance (</w:t>
      </w:r>
      <w:proofErr w:type="spellStart"/>
      <w:r w:rsidRPr="00353CAD">
        <w:rPr>
          <w:rStyle w:val="None"/>
          <w:rFonts w:eastAsia="Arial Unicode MS" w:cs="Arial Unicode MS"/>
          <w:lang w:val="en-GB"/>
        </w:rPr>
        <w:t>Cholteeva</w:t>
      </w:r>
      <w:proofErr w:type="spellEnd"/>
      <w:r w:rsidRPr="00353CAD">
        <w:rPr>
          <w:rStyle w:val="None"/>
          <w:rFonts w:eastAsia="Arial Unicode MS" w:cs="Arial Unicode MS"/>
          <w:lang w:val="en-GB"/>
        </w:rPr>
        <w:t xml:space="preserve">, 2022). </w:t>
      </w:r>
    </w:p>
    <w:p w14:paraId="3F9559B7" w14:textId="77777777" w:rsidR="006E0036" w:rsidRPr="00353CAD" w:rsidRDefault="006E0036" w:rsidP="006E0036">
      <w:pPr>
        <w:pStyle w:val="Nornal"/>
        <w:numPr>
          <w:ilvl w:val="0"/>
          <w:numId w:val="2"/>
        </w:numPr>
        <w:rPr>
          <w:b/>
          <w:bCs/>
          <w:lang w:val="en-GB"/>
        </w:rPr>
      </w:pPr>
      <w:r w:rsidRPr="00353CAD">
        <w:rPr>
          <w:rStyle w:val="None"/>
          <w:b/>
          <w:bCs/>
          <w:lang w:val="en-GB"/>
        </w:rPr>
        <w:t>Retention of warehouse staff is an issue, as there are many labour market competitors. Compare the following retention approaches: realistic job previews; induction; job enrichment; and reward. (AC 3.2)</w:t>
      </w:r>
    </w:p>
    <w:p w14:paraId="5F9F96AC" w14:textId="77777777" w:rsidR="006E0036" w:rsidRPr="00353CAD" w:rsidRDefault="006E0036" w:rsidP="006E0036">
      <w:pPr>
        <w:pStyle w:val="Nornal"/>
        <w:rPr>
          <w:lang w:val="en-GB"/>
        </w:rPr>
      </w:pPr>
      <w:r w:rsidRPr="00353CAD">
        <w:rPr>
          <w:rStyle w:val="None"/>
          <w:rFonts w:eastAsia="Arial Unicode MS" w:cs="Arial Unicode MS"/>
          <w:lang w:val="en-GB"/>
        </w:rPr>
        <w:t xml:space="preserve">Competitive labour markets require </w:t>
      </w:r>
      <w:proofErr w:type="spellStart"/>
      <w:r w:rsidRPr="00353CAD">
        <w:rPr>
          <w:rStyle w:val="None"/>
          <w:rFonts w:eastAsia="Arial Unicode MS" w:cs="Arial Unicode MS"/>
          <w:strike/>
          <w:lang w:val="en-GB"/>
        </w:rPr>
        <w:t>organsiation</w:t>
      </w:r>
      <w:proofErr w:type="spellEnd"/>
      <w:r w:rsidRPr="00353CAD">
        <w:rPr>
          <w:rStyle w:val="None"/>
          <w:rFonts w:eastAsia="Arial Unicode MS" w:cs="Arial Unicode MS"/>
          <w:lang w:val="en-GB"/>
        </w:rPr>
        <w:t xml:space="preserve"> </w:t>
      </w:r>
      <w:r w:rsidRPr="00353CAD">
        <w:rPr>
          <w:rStyle w:val="None"/>
          <w:rFonts w:eastAsia="Arial Unicode MS" w:cs="Arial Unicode MS"/>
          <w:color w:val="FF0000"/>
          <w:lang w:val="en-GB"/>
        </w:rPr>
        <w:t xml:space="preserve">organisation </w:t>
      </w:r>
      <w:r w:rsidRPr="00353CAD">
        <w:rPr>
          <w:rStyle w:val="None"/>
          <w:rFonts w:eastAsia="Arial Unicode MS" w:cs="Arial Unicode MS"/>
          <w:lang w:val="en-GB"/>
        </w:rPr>
        <w:t xml:space="preserve">to reflect and act differently to cope with changing demands, there is an array of different approaches that can help nullify </w:t>
      </w:r>
      <w:proofErr w:type="spellStart"/>
      <w:r w:rsidRPr="00353CAD">
        <w:rPr>
          <w:rStyle w:val="None"/>
          <w:rFonts w:eastAsia="Arial Unicode MS" w:cs="Arial Unicode MS"/>
          <w:strike/>
          <w:lang w:val="en-GB"/>
        </w:rPr>
        <w:t>spiraling</w:t>
      </w:r>
      <w:proofErr w:type="spellEnd"/>
      <w:r w:rsidRPr="00353CAD">
        <w:rPr>
          <w:rStyle w:val="None"/>
          <w:rFonts w:eastAsia="Arial Unicode MS" w:cs="Arial Unicode MS"/>
          <w:lang w:val="en-GB"/>
        </w:rPr>
        <w:t xml:space="preserve"> </w:t>
      </w:r>
      <w:r w:rsidRPr="00353CAD">
        <w:rPr>
          <w:rStyle w:val="None"/>
          <w:rFonts w:eastAsia="Arial Unicode MS" w:cs="Arial Unicode MS"/>
          <w:color w:val="FF0000"/>
          <w:lang w:val="en-GB"/>
        </w:rPr>
        <w:t xml:space="preserve">spiralling </w:t>
      </w:r>
      <w:r w:rsidRPr="00353CAD">
        <w:rPr>
          <w:rStyle w:val="None"/>
          <w:rFonts w:eastAsia="Arial Unicode MS" w:cs="Arial Unicode MS"/>
          <w:lang w:val="en-GB"/>
        </w:rPr>
        <w:t>retention rates. The first approach is to identify a realistic job preview, this will help make the role appeal to people externally and the elements to carry out the role are clear from the outset. This is usually articulated in the form of a job description and complements and advert when looking for talent. Clear intentions of the role’s functions are key, and it is then up to the applicant to proceed in applying for the role, however, it must not be misleading and give an indication of false pretences</w:t>
      </w:r>
      <w:r w:rsidRPr="00353CAD">
        <w:rPr>
          <w:rStyle w:val="None"/>
          <w:rFonts w:eastAsia="Arial Unicode MS" w:cs="Arial Unicode MS"/>
          <w:color w:val="FF0000"/>
          <w:lang w:val="en-GB"/>
        </w:rPr>
        <w:t xml:space="preserve"> </w:t>
      </w:r>
      <w:r w:rsidRPr="00353CAD">
        <w:rPr>
          <w:rStyle w:val="None"/>
          <w:rFonts w:eastAsia="Arial Unicode MS" w:cs="Arial Unicode MS"/>
          <w:lang w:val="en-GB"/>
        </w:rPr>
        <w:t xml:space="preserve">(CIPD, 2023). </w:t>
      </w:r>
    </w:p>
    <w:p w14:paraId="0864327C" w14:textId="77777777" w:rsidR="006E0036" w:rsidRPr="00353CAD" w:rsidRDefault="006E0036" w:rsidP="006E0036">
      <w:pPr>
        <w:pStyle w:val="Nornal"/>
        <w:rPr>
          <w:lang w:val="en-GB"/>
        </w:rPr>
      </w:pPr>
      <w:r w:rsidRPr="00353CAD">
        <w:rPr>
          <w:rStyle w:val="None"/>
          <w:rFonts w:eastAsia="Arial Unicode MS" w:cs="Arial Unicode MS"/>
          <w:lang w:val="en-GB"/>
        </w:rPr>
        <w:t xml:space="preserve">An induction will likely follow in the onboarding process, after a candidate has been selected and appointed, they will be onboarded by a people professional and invited to a new starter induction to help familiarise them with the company they are joining. Improving induction processes to ensure the candidate settles in quickly is key to integration and can provide a cheaper solution to prevent increased turnover in people with shorter lengths of service, 55% </w:t>
      </w:r>
      <w:r w:rsidRPr="00353CAD">
        <w:rPr>
          <w:rStyle w:val="None"/>
          <w:rFonts w:eastAsia="Arial Unicode MS" w:cs="Arial Unicode MS"/>
          <w:lang w:val="en-GB"/>
        </w:rPr>
        <w:lastRenderedPageBreak/>
        <w:t xml:space="preserve">of employers have sought to improve their induction programs in the past 5 years (CIPD, 2024). The latest talent planning report shows a direct correlation between improved inductions and improved retention rates. </w:t>
      </w:r>
    </w:p>
    <w:p w14:paraId="06F1650A" w14:textId="77777777" w:rsidR="006E0036" w:rsidRPr="00353CAD" w:rsidRDefault="006E0036" w:rsidP="006E0036">
      <w:pPr>
        <w:pStyle w:val="Nornal"/>
        <w:rPr>
          <w:lang w:val="en-GB"/>
        </w:rPr>
      </w:pPr>
      <w:r w:rsidRPr="00353CAD">
        <w:rPr>
          <w:rStyle w:val="None"/>
          <w:rFonts w:eastAsia="Arial Unicode MS" w:cs="Arial Unicode MS"/>
          <w:lang w:val="en-GB"/>
        </w:rPr>
        <w:t xml:space="preserve">Job enrichment is done by way of challenging demotivated staff </w:t>
      </w:r>
      <w:proofErr w:type="gramStart"/>
      <w:r w:rsidRPr="00353CAD">
        <w:rPr>
          <w:rStyle w:val="None"/>
          <w:rFonts w:eastAsia="Arial Unicode MS" w:cs="Arial Unicode MS"/>
          <w:lang w:val="en-GB"/>
        </w:rPr>
        <w:t>in an effort to</w:t>
      </w:r>
      <w:proofErr w:type="gramEnd"/>
      <w:r w:rsidRPr="00353CAD">
        <w:rPr>
          <w:rStyle w:val="None"/>
          <w:rFonts w:eastAsia="Arial Unicode MS" w:cs="Arial Unicode MS"/>
          <w:lang w:val="en-GB"/>
        </w:rPr>
        <w:t xml:space="preserve"> reengage them to ensure they remain satisfied and productive. This can be achieved by providing more autonomy to someone to make empowered decisions, provide more responsibilities such as supervisory duties to develop leadership skills, and can lead to greater recognition for efforts which adds to the harmony and culture within. This is another low-cost approach that can deliver improved retention rates as happy and motivated staff usually want to stay (Paul, Robertson and Herzberg, 1969).    </w:t>
      </w:r>
    </w:p>
    <w:p w14:paraId="75BDE7A1" w14:textId="77777777" w:rsidR="006E0036" w:rsidRDefault="006E0036" w:rsidP="006E0036">
      <w:pPr>
        <w:pStyle w:val="Nornal"/>
        <w:rPr>
          <w:rStyle w:val="None"/>
          <w:rFonts w:eastAsia="Arial Unicode MS" w:cs="Arial Unicode MS"/>
          <w:lang w:val="en-GB"/>
        </w:rPr>
      </w:pPr>
      <w:r w:rsidRPr="00353CAD">
        <w:rPr>
          <w:rStyle w:val="None"/>
          <w:rFonts w:eastAsia="Arial Unicode MS" w:cs="Arial Unicode MS"/>
          <w:lang w:val="en-GB"/>
        </w:rPr>
        <w:t xml:space="preserve">Rewarding features are the simplest form of encouraging applicants to join and to improve retention rates amongst existing staff (CIPD, 2024). However, this can lead to detrimental impacts quickly if not planned and done in reaction to the market or risk inflating salaries, putting strains on the companies’ financial obligations. Salary reviews and projected pay forecasts are indicative of the economy and its trajectory, to determine </w:t>
      </w:r>
      <w:proofErr w:type="spellStart"/>
      <w:r w:rsidRPr="00353CAD">
        <w:rPr>
          <w:rStyle w:val="None"/>
          <w:rFonts w:eastAsia="Arial Unicode MS" w:cs="Arial Unicode MS"/>
          <w:lang w:val="en-GB"/>
        </w:rPr>
        <w:t>ParcelCare’s</w:t>
      </w:r>
      <w:proofErr w:type="spellEnd"/>
      <w:r w:rsidRPr="00353CAD">
        <w:rPr>
          <w:rStyle w:val="None"/>
          <w:rFonts w:eastAsia="Arial Unicode MS" w:cs="Arial Unicode MS"/>
          <w:lang w:val="en-GB"/>
        </w:rPr>
        <w:t xml:space="preserve"> competitiveness, it is a legal requirement not to pay below a certain amount e.g. national minimum wage and advisory boards such as ACAS and </w:t>
      </w:r>
      <w:r w:rsidRPr="000B6AAC">
        <w:rPr>
          <w:rStyle w:val="None"/>
          <w:rFonts w:eastAsia="Arial Unicode MS" w:cs="Arial Unicode MS"/>
          <w:strike/>
          <w:lang w:val="en-GB"/>
        </w:rPr>
        <w:t>the</w:t>
      </w:r>
      <w:r>
        <w:rPr>
          <w:rStyle w:val="None"/>
          <w:rFonts w:eastAsia="Arial Unicode MS" w:cs="Arial Unicode MS"/>
          <w:lang w:val="en-GB"/>
        </w:rPr>
        <w:t xml:space="preserve"> </w:t>
      </w:r>
      <w:proofErr w:type="spellStart"/>
      <w:r w:rsidRPr="000B6AAC">
        <w:rPr>
          <w:rStyle w:val="None"/>
          <w:rFonts w:eastAsia="Arial Unicode MS" w:cs="Arial Unicode MS"/>
          <w:color w:val="FF0000"/>
          <w:lang w:val="en-GB"/>
        </w:rPr>
        <w:t>The</w:t>
      </w:r>
      <w:proofErr w:type="spellEnd"/>
      <w:r w:rsidRPr="000B6AAC">
        <w:rPr>
          <w:rStyle w:val="None"/>
          <w:rFonts w:eastAsia="Arial Unicode MS" w:cs="Arial Unicode MS"/>
          <w:color w:val="FF0000"/>
          <w:lang w:val="en-GB"/>
        </w:rPr>
        <w:t xml:space="preserve"> </w:t>
      </w:r>
      <w:r w:rsidRPr="00353CAD">
        <w:rPr>
          <w:rStyle w:val="None"/>
          <w:rFonts w:eastAsia="Arial Unicode MS" w:cs="Arial Unicode MS"/>
          <w:lang w:val="en-GB"/>
        </w:rPr>
        <w:t xml:space="preserve">Low Pay Commission </w:t>
      </w:r>
      <w:r w:rsidRPr="000B6AAC">
        <w:rPr>
          <w:rStyle w:val="None"/>
          <w:rFonts w:eastAsia="Arial Unicode MS" w:cs="Arial Unicode MS"/>
          <w:color w:val="FF0000"/>
          <w:lang w:val="en-GB"/>
        </w:rPr>
        <w:t xml:space="preserve">(2024) </w:t>
      </w:r>
      <w:r w:rsidRPr="00353CAD">
        <w:rPr>
          <w:rStyle w:val="None"/>
          <w:rFonts w:eastAsia="Arial Unicode MS" w:cs="Arial Unicode MS"/>
          <w:lang w:val="en-GB"/>
        </w:rPr>
        <w:t xml:space="preserve">provide clear guidance on recommended wages to plan for the year that follows </w:t>
      </w:r>
      <w:r w:rsidRPr="000B6AAC">
        <w:rPr>
          <w:rStyle w:val="None"/>
          <w:rFonts w:eastAsia="Arial Unicode MS" w:cs="Arial Unicode MS"/>
          <w:strike/>
          <w:lang w:val="en-GB"/>
        </w:rPr>
        <w:t>(Low Pay Commission, 2024)</w:t>
      </w:r>
      <w:r w:rsidRPr="00353CAD">
        <w:rPr>
          <w:rStyle w:val="None"/>
          <w:rFonts w:eastAsia="Arial Unicode MS" w:cs="Arial Unicode MS"/>
          <w:lang w:val="en-GB"/>
        </w:rPr>
        <w:t xml:space="preserve">.  </w:t>
      </w:r>
    </w:p>
    <w:p w14:paraId="7526C3CB" w14:textId="77777777" w:rsidR="006E0036" w:rsidRPr="00353CAD" w:rsidRDefault="006E0036" w:rsidP="006E0036">
      <w:pPr>
        <w:pStyle w:val="Nornal"/>
        <w:numPr>
          <w:ilvl w:val="0"/>
          <w:numId w:val="2"/>
        </w:numPr>
        <w:rPr>
          <w:b/>
          <w:bCs/>
          <w:lang w:val="en-GB"/>
        </w:rPr>
      </w:pPr>
      <w:r w:rsidRPr="00353CAD">
        <w:rPr>
          <w:rStyle w:val="None"/>
          <w:b/>
          <w:bCs/>
          <w:lang w:val="en-GB"/>
        </w:rPr>
        <w:t>To influence the senior leadership team to accept that employee turnover should be addressed, explain the impact of dysfunctional employee turnover. (AC 3.3)</w:t>
      </w:r>
    </w:p>
    <w:p w14:paraId="6B32298C" w14:textId="77777777" w:rsidR="006E0036" w:rsidRPr="00353CAD" w:rsidRDefault="006E0036" w:rsidP="006E0036">
      <w:pPr>
        <w:pStyle w:val="Nornal"/>
        <w:rPr>
          <w:lang w:val="en-GB"/>
        </w:rPr>
      </w:pPr>
      <w:r w:rsidRPr="00353CAD">
        <w:rPr>
          <w:rStyle w:val="None"/>
          <w:lang w:val="en-GB"/>
        </w:rPr>
        <w:t xml:space="preserve">Turnover can be costly for organisations as employers need to invest time and money into replacing talent as well as reviewing their practices that has led to departing employees. In recent times the balance of power has shifted with greater demands for hybrid working practices by prospective applicants in the job market, since the pandemic, this phenomenon was known as “The Great Resignation” (Klotz, 2021).  Turnover can provide an alarming indication of an organisations present and future, if good employees are leaving at a higher rate than lower performing employees, this is known as dysfunctional turnover (CIPD, 2024). Although many speculate that the great resignation was inflated, whereby people were leaving due to changes in attitude following the pandemic, and since the end of the pandemic we have seen more “quiet quitting” being enacted (Bremen, 2022). This is particularly concerning as it is difficult for employers to assess the reasons for the outgoing employees leaving as they do not provide clear rationale for their departure. Employers seeking to improve on retention will utilize leavers questionnaires to uncover underlying reasons for leavers and can look to implement changes off the back of their findings. </w:t>
      </w:r>
    </w:p>
    <w:p w14:paraId="7E70C1CA" w14:textId="77777777" w:rsidR="006E0036" w:rsidRPr="00353CAD" w:rsidRDefault="006E0036" w:rsidP="006E0036">
      <w:pPr>
        <w:pStyle w:val="Nornal"/>
        <w:rPr>
          <w:lang w:val="en-GB"/>
        </w:rPr>
      </w:pPr>
      <w:r w:rsidRPr="00353CAD">
        <w:rPr>
          <w:rStyle w:val="None"/>
          <w:rFonts w:eastAsia="Arial Unicode MS" w:cs="Arial Unicode MS"/>
          <w:lang w:val="en-GB"/>
        </w:rPr>
        <w:t xml:space="preserve">The cost of replacing a person in the workplace is speculated to cost around £25,000 on average (Berns, 2022), this negative impact collated in productivity terms, time and effort to source a replacement is a very costly process if not addressed. It is imperative that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seeks to avoid losing good talent in amongst the turnover statistics.</w:t>
      </w:r>
    </w:p>
    <w:p w14:paraId="46C74BCF" w14:textId="77777777" w:rsidR="006E0036" w:rsidRDefault="006E0036" w:rsidP="006E0036">
      <w:pPr>
        <w:pStyle w:val="Nornal"/>
        <w:rPr>
          <w:rStyle w:val="None"/>
          <w:rFonts w:eastAsia="Arial Unicode MS" w:cs="Arial Unicode MS"/>
          <w:lang w:val="en-GB"/>
        </w:rPr>
      </w:pPr>
      <w:r w:rsidRPr="00353CAD">
        <w:rPr>
          <w:rStyle w:val="None"/>
          <w:rFonts w:eastAsia="Arial Unicode MS" w:cs="Arial Unicode MS"/>
          <w:lang w:val="en-GB"/>
        </w:rPr>
        <w:t xml:space="preserve">The cost of someone leaving can put a strain on existing employees as the service demands shift to them, with the expectancy that service is maintained in the interim whilst a replacement is sought. When low staffing levels occur, it can be problematic as this can then negatively impact morale (ACAS, 2014), even leading to absence in extreme cases which doubles the cost impact created due to a vacant position.  </w:t>
      </w:r>
    </w:p>
    <w:p w14:paraId="2478D3C2" w14:textId="77777777" w:rsidR="006E0036" w:rsidRPr="00353CAD" w:rsidRDefault="006E0036" w:rsidP="006E0036">
      <w:pPr>
        <w:pStyle w:val="Nornal"/>
        <w:numPr>
          <w:ilvl w:val="0"/>
          <w:numId w:val="2"/>
        </w:numPr>
        <w:rPr>
          <w:lang w:val="en-GB"/>
        </w:rPr>
      </w:pPr>
      <w:proofErr w:type="spellStart"/>
      <w:r w:rsidRPr="00353CAD">
        <w:rPr>
          <w:rStyle w:val="None"/>
          <w:b/>
          <w:bCs/>
          <w:lang w:val="en-GB"/>
        </w:rPr>
        <w:lastRenderedPageBreak/>
        <w:t>ParcelCare</w:t>
      </w:r>
      <w:proofErr w:type="spellEnd"/>
      <w:r w:rsidRPr="00353CAD">
        <w:rPr>
          <w:rStyle w:val="None"/>
          <w:b/>
          <w:bCs/>
          <w:lang w:val="en-GB"/>
        </w:rPr>
        <w:t xml:space="preserve"> employs </w:t>
      </w:r>
      <w:proofErr w:type="gramStart"/>
      <w:r w:rsidRPr="00353CAD">
        <w:rPr>
          <w:rStyle w:val="None"/>
          <w:b/>
          <w:bCs/>
          <w:lang w:val="en-GB"/>
        </w:rPr>
        <w:t>the majority of</w:t>
      </w:r>
      <w:proofErr w:type="gramEnd"/>
      <w:r w:rsidRPr="00353CAD">
        <w:rPr>
          <w:rStyle w:val="None"/>
          <w:b/>
          <w:bCs/>
          <w:lang w:val="en-GB"/>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4A6084C7" w14:textId="77777777" w:rsidR="006E0036" w:rsidRPr="00353CAD" w:rsidRDefault="006E0036" w:rsidP="006E0036">
      <w:pPr>
        <w:pStyle w:val="Nornal"/>
        <w:rPr>
          <w:lang w:val="en-GB"/>
        </w:rPr>
      </w:pPr>
      <w:r w:rsidRPr="00353CAD">
        <w:rPr>
          <w:rStyle w:val="None"/>
          <w:lang w:val="en-GB"/>
        </w:rPr>
        <w:t xml:space="preserve">To ensure that a business has enough people within to deliver on its primary business function, it is key that employees are on secure contracts of employment, for an organisation to expect to be able to rely upon them to deliver upon their obligations, providing certainty that service functions i.e. deliveries can be made without manpower disruptions. This is typical of full-time and permanent contracts as the commitment is long term in nature; however, it may be wise to explore other contractual types as the world of work becomes more flexible and demand for the delivery service ebbs and flows. </w:t>
      </w:r>
    </w:p>
    <w:p w14:paraId="73D2B52F" w14:textId="77777777" w:rsidR="006E0036" w:rsidRPr="00353CAD" w:rsidRDefault="006E0036" w:rsidP="006E0036">
      <w:pPr>
        <w:pStyle w:val="Nornal"/>
        <w:rPr>
          <w:lang w:val="en-GB"/>
        </w:rPr>
      </w:pPr>
      <w:r w:rsidRPr="00353CAD">
        <w:rPr>
          <w:rStyle w:val="None"/>
          <w:rFonts w:eastAsia="Arial Unicode MS" w:cs="Arial Unicode MS"/>
          <w:lang w:val="en-GB"/>
        </w:rPr>
        <w:t>Contracts of employment outline arrangements on both sides of the bargain e.g. you will do X and be remunerated for performing a service, it should also set out express terms of the agreement in terms of exclusivity and will commence upon a person starting employment (ACAS, 2024). Its intention should be to bind both parties into upholding their side of the bargain when it comes to obligations and an employee can request a copy of their statement of particulars even if the contract has been exercised verbally. The Employment Rights Act (1996) provides an exhaustive list of what the employer must include in this (Daniels, 2022).</w:t>
      </w:r>
    </w:p>
    <w:p w14:paraId="757DC5AE" w14:textId="77777777" w:rsidR="006E0036" w:rsidRPr="00353CAD" w:rsidRDefault="006E0036" w:rsidP="006E0036">
      <w:pPr>
        <w:pStyle w:val="Nornal"/>
        <w:rPr>
          <w:lang w:val="en-GB"/>
        </w:rPr>
      </w:pPr>
      <w:r w:rsidRPr="00353CAD">
        <w:rPr>
          <w:rStyle w:val="None"/>
          <w:lang w:val="en-GB"/>
        </w:rPr>
        <w:t xml:space="preserve">Looking in depth at permanent contracts, as stated above, they do offer more stability to know that </w:t>
      </w:r>
      <w:proofErr w:type="spellStart"/>
      <w:r w:rsidRPr="00353CAD">
        <w:rPr>
          <w:rStyle w:val="None"/>
          <w:lang w:val="en-GB"/>
        </w:rPr>
        <w:t>ParcelCare’s</w:t>
      </w:r>
      <w:proofErr w:type="spellEnd"/>
      <w:r w:rsidRPr="00353CAD">
        <w:rPr>
          <w:rStyle w:val="None"/>
          <w:lang w:val="en-GB"/>
        </w:rPr>
        <w:t xml:space="preserve"> employees are all maximised to cover the full operational hours, within the limits of working time regulations (The Working Time Regulations, 1998). These tend to be fixed, with little room to manoeuvre, and are perhaps too rigid when service demand levels decrease around peaks of courier service demands e.g. Xmas. There are further liabilities when it comes to benefits to consider which are to be factored such as sick pay and holiday entitlement for permanent employees. Statue dictates that a permanent employee would accrue and be paid 28 days per annum at the minimum, which usually includes bank holidays (GOV.UK, 2024). This may be quite costly with many employees hired on this contract type.</w:t>
      </w:r>
    </w:p>
    <w:p w14:paraId="75159CEB" w14:textId="77777777" w:rsidR="006E0036" w:rsidRPr="00353CAD" w:rsidRDefault="006E0036" w:rsidP="006E0036">
      <w:pPr>
        <w:pStyle w:val="Nornal"/>
        <w:rPr>
          <w:lang w:val="en-GB"/>
        </w:rPr>
      </w:pPr>
      <w:r w:rsidRPr="00353CAD">
        <w:rPr>
          <w:rStyle w:val="None"/>
          <w:rFonts w:eastAsia="Arial Unicode MS" w:cs="Arial Unicode MS"/>
          <w:lang w:val="en-GB"/>
        </w:rPr>
        <w:t xml:space="preserve">An alternative contract type that may be more fitting would be that of zero hours contracts (CIPD, 2021). Courier delivery service fits the bill within the gig economy (McKinsey &amp; Company, 2023) by having people on the books on a </w:t>
      </w:r>
      <w:r w:rsidRPr="000B6AAC">
        <w:rPr>
          <w:rStyle w:val="None"/>
          <w:rFonts w:eastAsia="Arial Unicode MS" w:cs="Arial Unicode MS"/>
          <w:strike/>
          <w:lang w:val="en-GB"/>
        </w:rPr>
        <w:t>totally</w:t>
      </w:r>
      <w:r w:rsidRPr="00353CAD">
        <w:rPr>
          <w:rStyle w:val="None"/>
          <w:rFonts w:eastAsia="Arial Unicode MS" w:cs="Arial Unicode MS"/>
          <w:lang w:val="en-GB"/>
        </w:rPr>
        <w:t xml:space="preserve"> no-strings attached basis,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could limit its financial obligations when it comes to salary for downtimes and requirements to provide work and can look to increase demand for labour around the demand for service. They offer greater flexibility to those wishing to work unsociable hours or hours around their own social lives, which could in turn benefit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to carry out its service and meet consumer demand in times such as evenings/weekends. However, with the recent change in government and policy reforms, it appears to be looking at placing greater obligations upon employers with employee/workers placed in these contract types (Collins, 2024). </w:t>
      </w:r>
    </w:p>
    <w:p w14:paraId="5931D530" w14:textId="77777777" w:rsidR="006E0036" w:rsidRPr="00353CAD" w:rsidRDefault="006E0036" w:rsidP="006E0036">
      <w:pPr>
        <w:pStyle w:val="Nornal"/>
        <w:rPr>
          <w:lang w:val="en-GB"/>
        </w:rPr>
      </w:pPr>
      <w:r w:rsidRPr="00353CAD">
        <w:rPr>
          <w:rStyle w:val="None"/>
          <w:rFonts w:eastAsia="Arial Unicode MS" w:cs="Arial Unicode MS"/>
          <w:lang w:val="en-GB"/>
        </w:rPr>
        <w:t xml:space="preserve">Another solution could be to impose contractual types such as Fixed-Term contracts. This may be better suited to secure talent at a premium rate of pay in the short term to secure the best talent in a competitive labour market, </w:t>
      </w:r>
      <w:r w:rsidRPr="0067763C">
        <w:rPr>
          <w:rStyle w:val="None"/>
          <w:rFonts w:eastAsia="Arial Unicode MS" w:cs="Arial Unicode MS"/>
          <w:strike/>
          <w:lang w:val="en-GB"/>
        </w:rPr>
        <w:t>and</w:t>
      </w:r>
      <w:r w:rsidRPr="00353CAD">
        <w:rPr>
          <w:rStyle w:val="None"/>
          <w:rFonts w:eastAsia="Arial Unicode MS" w:cs="Arial Unicode MS"/>
          <w:lang w:val="en-GB"/>
        </w:rPr>
        <w:t xml:space="preserve">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would not be bound in the long term in terms of benefit obligations and could dispose of its labour upon completion of tasks (CIPD, 2023). However, for this to be effective, it would be prudent to ensure service is not </w:t>
      </w:r>
      <w:r w:rsidRPr="00353CAD">
        <w:rPr>
          <w:rStyle w:val="None"/>
          <w:rFonts w:eastAsia="Arial Unicode MS" w:cs="Arial Unicode MS"/>
          <w:lang w:val="en-GB"/>
        </w:rPr>
        <w:lastRenderedPageBreak/>
        <w:t xml:space="preserve">maintained, or continued use of fixed-term contracts may constitute permanency after four years. </w:t>
      </w:r>
    </w:p>
    <w:p w14:paraId="7924C86D" w14:textId="06BE2E09" w:rsidR="006E0036" w:rsidRPr="006E0036" w:rsidRDefault="006E0036" w:rsidP="006E0036">
      <w:pPr>
        <w:pStyle w:val="Nornal"/>
        <w:rPr>
          <w:rStyle w:val="None"/>
          <w:rFonts w:eastAsia="Arial Unicode MS" w:cs="Arial Unicode MS"/>
          <w:lang w:val="en-GB"/>
        </w:rPr>
      </w:pPr>
      <w:r w:rsidRPr="00353CAD">
        <w:rPr>
          <w:rStyle w:val="None"/>
          <w:rFonts w:eastAsia="Arial Unicode MS" w:cs="Arial Unicode MS"/>
          <w:lang w:val="en-GB"/>
        </w:rPr>
        <w:t xml:space="preserve">Overall, it may be difficult to impose such a change in contracts in the short term, as varying contracts cause a great deal of angst amongst the workforce and potential conflict may arise if code of practice on varying contract terms is not followed (ACAS, 2024). It may be better applied over a longer-term approach. </w:t>
      </w:r>
    </w:p>
    <w:p w14:paraId="132A0811" w14:textId="77777777" w:rsidR="006E0036" w:rsidRPr="00353CAD" w:rsidRDefault="006E0036" w:rsidP="006E0036">
      <w:pPr>
        <w:pStyle w:val="Nornal"/>
        <w:numPr>
          <w:ilvl w:val="0"/>
          <w:numId w:val="2"/>
        </w:numPr>
        <w:rPr>
          <w:b/>
          <w:bCs/>
          <w:lang w:val="en-GB"/>
        </w:rPr>
      </w:pPr>
      <w:r w:rsidRPr="00353CAD">
        <w:rPr>
          <w:rStyle w:val="None"/>
          <w:b/>
          <w:bCs/>
          <w:lang w:val="en-GB"/>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4E84416D" w14:textId="77777777" w:rsidR="006E0036" w:rsidRPr="00353CAD" w:rsidRDefault="006E0036" w:rsidP="006E0036">
      <w:pPr>
        <w:pStyle w:val="Nornal"/>
        <w:rPr>
          <w:lang w:val="en-GB"/>
        </w:rPr>
      </w:pPr>
      <w:r w:rsidRPr="00353CAD">
        <w:rPr>
          <w:rStyle w:val="None"/>
          <w:rFonts w:eastAsia="Arial Unicode MS" w:cs="Arial Unicode MS"/>
          <w:lang w:val="en-GB"/>
        </w:rPr>
        <w:t xml:space="preserve">Effective onboarding is crucial to ensure new employees integrate quickly and settle into their new surroundings without people feeling lost in the process of joining a new organisation. It is usually carried out by people professionals to facilitate the onboarding and focusing on a great experience as the employee begins their journey on the employee lifecycle as it portrays an image in the mind of the new joiner and a negative onboarding experience can cause doubts to creep in about their decision (CIPD, 2024). </w:t>
      </w:r>
    </w:p>
    <w:p w14:paraId="42CED6DA" w14:textId="77777777" w:rsidR="006E0036" w:rsidRDefault="006E0036" w:rsidP="006E0036">
      <w:pPr>
        <w:pStyle w:val="Nornal"/>
        <w:rPr>
          <w:rStyle w:val="None"/>
          <w:rFonts w:eastAsia="Arial Unicode MS" w:cs="Arial Unicode MS"/>
          <w:lang w:val="en-GB"/>
        </w:rPr>
      </w:pPr>
      <w:r w:rsidRPr="00353CAD">
        <w:rPr>
          <w:rStyle w:val="None"/>
          <w:rFonts w:eastAsia="Arial Unicode MS" w:cs="Arial Unicode MS"/>
          <w:lang w:val="en-GB"/>
        </w:rPr>
        <w:t xml:space="preserve">The new hire turnover phenomenon can be reduced with more effective onboarding (Pavlou, 2018). As much as 20% of new recruits leave within the first three months, it is in the interests of </w:t>
      </w:r>
      <w:proofErr w:type="spellStart"/>
      <w:r w:rsidRPr="00353CAD">
        <w:rPr>
          <w:rStyle w:val="None"/>
          <w:rFonts w:eastAsia="Arial Unicode MS" w:cs="Arial Unicode MS"/>
          <w:lang w:val="en-GB"/>
        </w:rPr>
        <w:t>ParcelCare</w:t>
      </w:r>
      <w:proofErr w:type="spellEnd"/>
      <w:r w:rsidRPr="00353CAD">
        <w:rPr>
          <w:rStyle w:val="None"/>
          <w:rFonts w:eastAsia="Arial Unicode MS" w:cs="Arial Unicode MS"/>
          <w:lang w:val="en-GB"/>
        </w:rPr>
        <w:t xml:space="preserve"> to avoid spending unnecessarily to replace the outgoing talent on such a frequent basis. </w:t>
      </w:r>
    </w:p>
    <w:p w14:paraId="14154463" w14:textId="77777777" w:rsidR="006E0036" w:rsidRDefault="006E0036" w:rsidP="006E0036">
      <w:pPr>
        <w:pStyle w:val="Nornal"/>
        <w:rPr>
          <w:rStyle w:val="None"/>
          <w:rFonts w:eastAsia="Arial Unicode MS" w:cs="Arial Unicode MS"/>
          <w:color w:val="FF0000"/>
          <w:lang w:val="en-GB"/>
        </w:rPr>
      </w:pPr>
      <w:r>
        <w:rPr>
          <w:rStyle w:val="None"/>
          <w:rFonts w:eastAsia="Arial Unicode MS" w:cs="Arial Unicode MS"/>
          <w:color w:val="FF0000"/>
          <w:lang w:val="en-GB"/>
        </w:rPr>
        <w:t>Loyalty can be built over time, and it starts with the first impression; as relationships are built, new people being welcomed into a business creating a lasting impression recognising the time and effort spent to welcome them, leading to enhanced loyalty over time, this along with enhanced engagement can also directly affect output and performance, as they are aligned and feel supported by people professionals who ensure they are integrated into the organisation from day-one (</w:t>
      </w:r>
      <w:r w:rsidRPr="00720C89">
        <w:rPr>
          <w:rFonts w:eastAsia="Arial Unicode MS" w:cs="Arial Unicode MS"/>
          <w:color w:val="FF0000"/>
          <w:lang w:val="en-GB"/>
        </w:rPr>
        <w:t>Smith et al., 2022)</w:t>
      </w:r>
      <w:r>
        <w:rPr>
          <w:rFonts w:eastAsia="Arial Unicode MS" w:cs="Arial Unicode MS"/>
          <w:color w:val="FF0000"/>
          <w:lang w:val="en-GB"/>
        </w:rPr>
        <w:t>.</w:t>
      </w:r>
    </w:p>
    <w:p w14:paraId="0EED3F9E" w14:textId="77777777" w:rsidR="006E0036" w:rsidRPr="00A04AFC" w:rsidRDefault="006E0036" w:rsidP="006E0036">
      <w:pPr>
        <w:pStyle w:val="Nornal"/>
        <w:rPr>
          <w:rStyle w:val="None"/>
          <w:rFonts w:eastAsia="Arial Unicode MS" w:cs="Arial Unicode MS"/>
          <w:color w:val="FF0000"/>
          <w:lang w:val="en-GB"/>
        </w:rPr>
      </w:pPr>
      <w:proofErr w:type="spellStart"/>
      <w:r>
        <w:rPr>
          <w:rStyle w:val="None"/>
          <w:rFonts w:eastAsia="Arial Unicode MS" w:cs="Arial Unicode MS"/>
          <w:color w:val="FF0000"/>
          <w:lang w:val="en-GB"/>
        </w:rPr>
        <w:t>ParceCare</w:t>
      </w:r>
      <w:proofErr w:type="spellEnd"/>
      <w:r>
        <w:rPr>
          <w:rStyle w:val="None"/>
          <w:rFonts w:eastAsia="Arial Unicode MS" w:cs="Arial Unicode MS"/>
          <w:color w:val="FF0000"/>
          <w:lang w:val="en-GB"/>
        </w:rPr>
        <w:t xml:space="preserve"> currently have an issue retaining staff, onboarding could be a simple solution to alleviate turnover woes and help retain employees. Effective onboarding has been measured to show improvements in tangible indicators for employers such as reduced absence rates and lower attrition rates in the long run (Gallup, 2019). The cost impact of improvements in these areas cannot be overlooked and solidifies the need to get onboarding done right in the first instance. </w:t>
      </w:r>
    </w:p>
    <w:p w14:paraId="3EAE45F9" w14:textId="77777777" w:rsidR="006E0036" w:rsidRPr="00FF489E" w:rsidRDefault="006E0036" w:rsidP="006E0036">
      <w:pPr>
        <w:pStyle w:val="Nornal"/>
        <w:rPr>
          <w:rStyle w:val="None"/>
          <w:rFonts w:ascii="Trebuchet MS" w:eastAsia="Trebuchet MS" w:hAnsi="Trebuchet MS" w:cs="Trebuchet MS"/>
          <w:color w:val="FF0000"/>
          <w:u w:color="004147"/>
          <w:lang w:val="en-GB"/>
        </w:rPr>
      </w:pPr>
      <w:r>
        <w:rPr>
          <w:rStyle w:val="None"/>
          <w:rFonts w:eastAsia="Arial Unicode MS" w:cs="Arial Unicode MS"/>
          <w:color w:val="FF0000"/>
          <w:lang w:val="en-GB"/>
        </w:rPr>
        <w:t>More</w:t>
      </w:r>
      <w:r w:rsidRPr="00FF489E">
        <w:rPr>
          <w:rStyle w:val="None"/>
          <w:rFonts w:eastAsia="Arial Unicode MS" w:cs="Arial Unicode MS"/>
          <w:color w:val="FF0000"/>
          <w:lang w:val="en-GB"/>
        </w:rPr>
        <w:t xml:space="preserve"> effective onboarding could </w:t>
      </w:r>
      <w:r>
        <w:rPr>
          <w:rStyle w:val="None"/>
          <w:rFonts w:eastAsia="Arial Unicode MS" w:cs="Arial Unicode MS"/>
          <w:color w:val="FF0000"/>
          <w:lang w:val="en-GB"/>
        </w:rPr>
        <w:t>lead</w:t>
      </w:r>
      <w:r w:rsidRPr="00FF489E">
        <w:rPr>
          <w:rStyle w:val="None"/>
          <w:rFonts w:eastAsia="Arial Unicode MS" w:cs="Arial Unicode MS"/>
          <w:color w:val="FF0000"/>
          <w:lang w:val="en-GB"/>
        </w:rPr>
        <w:t xml:space="preserve"> to greater integration for hybrid workers. In the current climate, there is a </w:t>
      </w:r>
      <w:r>
        <w:rPr>
          <w:rStyle w:val="None"/>
          <w:rFonts w:eastAsia="Arial Unicode MS" w:cs="Arial Unicode MS"/>
          <w:color w:val="FF0000"/>
          <w:lang w:val="en-GB"/>
        </w:rPr>
        <w:t>concern</w:t>
      </w:r>
      <w:r w:rsidRPr="00FF489E">
        <w:rPr>
          <w:rStyle w:val="None"/>
          <w:rFonts w:eastAsia="Arial Unicode MS" w:cs="Arial Unicode MS"/>
          <w:color w:val="FF0000"/>
          <w:lang w:val="en-GB"/>
        </w:rPr>
        <w:t xml:space="preserve"> that many operate in silos, onboarding could provide a level of consistency for all employees, and clarity for new ones to support their integration and conform to the values of the company they have chosen to join</w:t>
      </w:r>
      <w:r>
        <w:rPr>
          <w:rStyle w:val="None"/>
          <w:rFonts w:eastAsia="Arial Unicode MS" w:cs="Arial Unicode MS"/>
          <w:color w:val="FF0000"/>
          <w:lang w:val="en-GB"/>
        </w:rPr>
        <w:t xml:space="preserve"> (People Management, 2023).</w:t>
      </w:r>
    </w:p>
    <w:p w14:paraId="3EBF366D" w14:textId="77777777" w:rsidR="006E0036" w:rsidRPr="000B6AAC" w:rsidRDefault="006E0036" w:rsidP="006E0036">
      <w:pPr>
        <w:pStyle w:val="Nornal"/>
        <w:rPr>
          <w:rStyle w:val="None"/>
          <w:strike/>
          <w:lang w:val="en-GB"/>
        </w:rPr>
      </w:pPr>
      <w:r w:rsidRPr="000B6AAC">
        <w:rPr>
          <w:rStyle w:val="None"/>
          <w:strike/>
          <w:lang w:val="en-GB"/>
        </w:rPr>
        <w:t xml:space="preserve">Subtle improvements could be implemented at low cost with the rise of AI, with checklist functionality to save human effort in the leadup to satisfy compliance. It could also free-up management as they are not exerting too much unnecessary time on the onboarding process and can be achieved in the lead-up to their first day successfully in a virtual setting (Citrin and DeRosa, 2021). Remote onboarding techniques such as can be far quicker than a traditional drawn-out day of presentations. This could take the form of a digital café drop-in to ensure existing commitments are maintained and it does not impact the organisation’s productivity. </w:t>
      </w:r>
    </w:p>
    <w:p w14:paraId="029454A8" w14:textId="71F2B2B1" w:rsidR="006E0036" w:rsidRPr="006E0036" w:rsidRDefault="006E0036" w:rsidP="006E0036">
      <w:pPr>
        <w:pStyle w:val="Nornal"/>
        <w:rPr>
          <w:b/>
          <w:bCs/>
          <w:lang w:val="en-GB"/>
        </w:rPr>
      </w:pPr>
      <w:r w:rsidRPr="006E0036">
        <w:rPr>
          <w:rStyle w:val="None"/>
          <w:b/>
          <w:bCs/>
          <w:lang w:val="en-GB"/>
        </w:rPr>
        <w:lastRenderedPageBreak/>
        <w:t xml:space="preserve">Declared Word Count: </w:t>
      </w:r>
      <w:r w:rsidRPr="006E0036">
        <w:rPr>
          <w:rStyle w:val="None"/>
          <w:b/>
          <w:bCs/>
          <w:lang w:val="en-GB"/>
        </w:rPr>
        <w:t>4</w:t>
      </w:r>
      <w:r w:rsidRPr="006E0036">
        <w:rPr>
          <w:rStyle w:val="None"/>
          <w:b/>
          <w:bCs/>
          <w:lang w:val="en-GB"/>
        </w:rPr>
        <w:t>267</w:t>
      </w:r>
    </w:p>
    <w:p w14:paraId="5A825140" w14:textId="3886009E" w:rsidR="00466196" w:rsidRDefault="003B2A20" w:rsidP="006E0036">
      <w:pPr>
        <w:pBdr>
          <w:top w:val="nil"/>
          <w:left w:val="nil"/>
          <w:bottom w:val="nil"/>
          <w:right w:val="nil"/>
          <w:between w:val="nil"/>
          <w:bar w:val="nil"/>
        </w:pBdr>
        <w:spacing w:after="0" w:line="240" w:lineRule="auto"/>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r w:rsidRPr="003B2A20">
        <w:rPr>
          <w:rFonts w:ascii="Trebuchet MS" w:eastAsia="Trebuchet MS" w:hAnsi="Trebuchet MS" w:cs="Trebuchet MS"/>
          <w:noProof/>
          <w:color w:val="004147"/>
          <w:kern w:val="0"/>
          <w:u w:color="004147"/>
          <w:bdr w:val="nil"/>
          <w:lang w:eastAsia="en-GB"/>
          <w14:ligatures w14:val="none"/>
        </w:rPr>
        <mc:AlternateContent>
          <mc:Choice Requires="wps">
            <w:drawing>
              <wp:anchor distT="0" distB="0" distL="0" distR="0" simplePos="0" relativeHeight="251659264" behindDoc="1" locked="0" layoutInCell="1" allowOverlap="1" wp14:anchorId="73DD6DE2" wp14:editId="10CD5B35">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rgbClr val="00838E">
                            <a:alpha val="5098"/>
                          </a:srgbClr>
                        </a:solidFill>
                        <a:ln w="12700" cap="flat">
                          <a:noFill/>
                          <a:miter lim="400000"/>
                        </a:ln>
                        <a:effectLst/>
                      </wps:spPr>
                      <wps:bodyPr/>
                    </wps:wsp>
                  </a:graphicData>
                </a:graphic>
              </wp:anchor>
            </w:drawing>
          </mc:Choice>
          <mc:Fallback>
            <w:pict>
              <v:rect w14:anchorId="319C07A3" id="officeArt object" o:spid="_x0000_s1026" alt="Rectangle 6" style="position:absolute;margin-left:56.8pt;margin-top:9.4pt;width:490pt;height:76.5pt;z-index:-251657216;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" fillcolor="#00838e" stroked="f" strokeweight="1pt">
                <v:fill opacity="3341f"/>
                <v:stroke miterlimit="4"/>
                <w10:wrap anchorx="page" anchory="line"/>
              </v:rect>
            </w:pict>
          </mc:Fallback>
        </mc:AlternateContent>
      </w:r>
    </w:p>
    <w:p w14:paraId="319B2C58" w14:textId="77777777" w:rsidR="006E0036" w:rsidRDefault="006E0036" w:rsidP="006E0036">
      <w:pPr>
        <w:pBdr>
          <w:top w:val="nil"/>
          <w:left w:val="nil"/>
          <w:bottom w:val="nil"/>
          <w:right w:val="nil"/>
          <w:between w:val="nil"/>
          <w:bar w:val="nil"/>
        </w:pBdr>
        <w:spacing w:after="0" w:line="240" w:lineRule="auto"/>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24B0A5BF" w14:textId="77777777" w:rsidR="006E0036" w:rsidRDefault="006E0036" w:rsidP="006E0036">
      <w:pPr>
        <w:pBdr>
          <w:top w:val="nil"/>
          <w:left w:val="nil"/>
          <w:bottom w:val="nil"/>
          <w:right w:val="nil"/>
          <w:between w:val="nil"/>
          <w:bar w:val="nil"/>
        </w:pBdr>
        <w:spacing w:after="0" w:line="240" w:lineRule="auto"/>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7D7A9A3F"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3545C2DD"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5D5DC0C6"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0F93BE49"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03A37FEF"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0312A863"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1147F78F"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01DAE392"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015E3830"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4E6B9C00"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41BE3366"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359C2874"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2B6981FA"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2C078D96"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0CBB8F93"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4538F9B0"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7D4E047E"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29481F39"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65D2B398"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5033E555"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66B52AEA"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55F56B72"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6C454112"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0928F883"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3B9AAC3E"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0DF35590"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1292D813"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6660C27E"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3E822CF6"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5EF655D2"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6A8350FA"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3DA9BDAE"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7B6916D3"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7E5DD1E3"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619D89DC"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768450A4"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76349CD1"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187EAD90" w14:textId="77777777" w:rsidR="006E0036" w:rsidRDefault="006E003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6621C3B8"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13FB3AE1"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4E202193"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550C07AF"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258C3C61"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4B0AD039" w14:textId="77777777" w:rsidR="00466196"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36E903BB" w14:textId="77777777" w:rsidR="00466196" w:rsidRPr="003B2A20" w:rsidRDefault="00466196" w:rsidP="003B2A20">
      <w:pPr>
        <w:pBdr>
          <w:top w:val="nil"/>
          <w:left w:val="nil"/>
          <w:bottom w:val="nil"/>
          <w:right w:val="nil"/>
          <w:between w:val="nil"/>
          <w:bar w:val="nil"/>
        </w:pBdr>
        <w:spacing w:after="0"/>
        <w:rPr>
          <w:rFonts w:ascii="Arial" w:eastAsia="Arial Unicode MS" w:hAnsi="Arial" w:cs="Arial Unicode MS"/>
          <w:color w:val="000000"/>
          <w:kern w:val="0"/>
          <w:u w:color="000000"/>
          <w:bdr w:val="nil"/>
          <w:lang w:eastAsia="en-GB"/>
          <w14:textOutline w14:w="12700" w14:cap="flat" w14:cmpd="sng" w14:algn="ctr">
            <w14:noFill/>
            <w14:prstDash w14:val="solid"/>
            <w14:miter w14:lim="400000"/>
          </w14:textOutline>
          <w14:ligatures w14:val="none"/>
        </w:rPr>
      </w:pPr>
    </w:p>
    <w:p w14:paraId="765377AE" w14:textId="77777777" w:rsidR="003B2A20" w:rsidRPr="003B2A20" w:rsidRDefault="003B2A20" w:rsidP="003B2A20">
      <w:pPr>
        <w:pBdr>
          <w:top w:val="nil"/>
          <w:left w:val="nil"/>
          <w:bottom w:val="nil"/>
          <w:right w:val="nil"/>
          <w:between w:val="nil"/>
          <w:bar w:val="nil"/>
        </w:pBdr>
        <w:spacing w:before="120" w:after="360" w:line="264" w:lineRule="auto"/>
        <w:outlineLvl w:val="0"/>
        <w:rPr>
          <w:rFonts w:ascii="Georgia" w:eastAsia="Georgia" w:hAnsi="Georgia" w:cs="Georgia"/>
          <w:i/>
          <w:iCs/>
          <w:color w:val="004147"/>
          <w:kern w:val="0"/>
          <w:sz w:val="48"/>
          <w:szCs w:val="48"/>
          <w:u w:color="000000"/>
          <w:bdr w:val="nil"/>
          <w:lang w:eastAsia="en-GB"/>
          <w14:textOutline w14:w="0" w14:cap="flat" w14:cmpd="sng" w14:algn="ctr">
            <w14:noFill/>
            <w14:prstDash w14:val="solid"/>
            <w14:bevel/>
          </w14:textOutline>
          <w14:ligatures w14:val="none"/>
        </w:rPr>
      </w:pPr>
      <w:r w:rsidRPr="003B2A20">
        <w:rPr>
          <w:rFonts w:ascii="Georgia" w:eastAsia="Times New Roman" w:hAnsi="Georgia" w:cs="Times New Roman"/>
          <w:i/>
          <w:iCs/>
          <w:color w:val="004147"/>
          <w:kern w:val="0"/>
          <w:sz w:val="48"/>
          <w:szCs w:val="48"/>
          <w:u w:color="000000"/>
          <w:bdr w:val="nil"/>
          <w:lang w:eastAsia="en-GB"/>
          <w14:textOutline w14:w="0" w14:cap="flat" w14:cmpd="sng" w14:algn="ctr">
            <w14:noFill/>
            <w14:prstDash w14:val="solid"/>
            <w14:bevel/>
          </w14:textOutline>
          <w14:ligatures w14:val="none"/>
        </w:rPr>
        <w:lastRenderedPageBreak/>
        <w:t>References</w:t>
      </w:r>
    </w:p>
    <w:p w14:paraId="7B2352AE"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ACAS (2014),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Managing attendance and employee turnover</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Advisory booklet. London: ACAS. Available at: </w:t>
      </w:r>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file:///C:/Users/uac2258/Downloads/Managing_attendance_employee_turnover_(Oct_11)-accessible-version-Apr-2012.pdf</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1527E2D0"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ACAS (2022),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Making a claim to an employment tribunal.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Available at:</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 </w:t>
      </w:r>
      <w:hyperlink r:id="rId5" w:history="1">
        <w:r w:rsidRPr="003B2A20">
          <w:rPr>
            <w:rFonts w:ascii="Arial" w:eastAsia="Arial" w:hAnsi="Arial" w:cs="Arial"/>
            <w:i/>
            <w:iCs/>
            <w:color w:val="0000FF"/>
            <w:kern w:val="0"/>
            <w:u w:val="single" w:color="0000FF"/>
            <w:bdr w:val="nil"/>
            <w:lang w:eastAsia="en-GB"/>
            <w14:textOutline w14:w="0" w14:cap="flat" w14:cmpd="sng" w14:algn="ctr">
              <w14:noFill/>
              <w14:prstDash w14:val="solid"/>
              <w14:bevel/>
            </w14:textOutline>
            <w14:ligatures w14:val="none"/>
          </w:rPr>
          <w:t>https://www.acas.org.uk/making-a-claim-to-an-employment-tribunal</w:t>
        </w:r>
      </w:hyperlink>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May 2024).</w:t>
      </w:r>
    </w:p>
    <w:p w14:paraId="3634F3F2"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ACAS (2023),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Rest and breaks at work</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6"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https://www.acas.org.uk/rest-breaks</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October 2024).  </w:t>
      </w:r>
    </w:p>
    <w:p w14:paraId="287F4F1A"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ACAS (2021),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Considering Employment Contract changes: Making Changes to Employment Contracts – Employer Responsibilities - </w:t>
      </w:r>
      <w:proofErr w:type="spellStart"/>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Acas</w:t>
      </w:r>
      <w:proofErr w:type="spellEnd"/>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www.acas.org.uk</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w:t>
      </w:r>
      <w:proofErr w:type="spellStart"/>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Acas</w:t>
      </w:r>
      <w:proofErr w:type="spellEnd"/>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7"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https://www.acas.org.uk/changing-an-employment-contract/employer-responsibilities</w:t>
        </w:r>
      </w:hyperlink>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370A5729"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ACAS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Code of Practice on requests for flexible working</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8"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https://www.acas.org.uk/acas-code-of-practice-on-flexible-working-requests/html</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October 2024). </w:t>
      </w:r>
    </w:p>
    <w:p w14:paraId="22BE9B02"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ACAS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Employment contracts and the law. What an employment contract is.</w:t>
      </w:r>
    </w:p>
    <w:p w14:paraId="054D70C6" w14:textId="77777777" w:rsidR="003B2A20" w:rsidRPr="003B2A20" w:rsidRDefault="003B2A20" w:rsidP="003B2A20">
      <w:pPr>
        <w:pBdr>
          <w:top w:val="nil"/>
          <w:left w:val="nil"/>
          <w:bottom w:val="nil"/>
          <w:right w:val="nil"/>
          <w:between w:val="nil"/>
          <w:bar w:val="nil"/>
        </w:pBdr>
        <w:spacing w:after="0"/>
        <w:ind w:left="7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Available at: </w:t>
      </w:r>
      <w:hyperlink r:id="rId9" w:history="1">
        <w:r w:rsidRPr="003B2A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t>https://www.acas.org.uk/employment-contracts-and-the-law</w:t>
        </w:r>
      </w:hyperlink>
      <w:r w:rsidRPr="003B2A20">
        <w:rPr>
          <w:rFonts w:ascii="Arial" w:eastAsia="Times New Roman" w:hAnsi="Arial" w:cs="Times New Roman"/>
          <w:color w:val="0000FF"/>
          <w:kern w:val="0"/>
          <w:u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p w14:paraId="06EC15A1"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ACAS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Equal pay and the law.</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10"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https://www.acas.org.uk/equal-pay/equal-pay-law</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October 2024). </w:t>
      </w:r>
    </w:p>
    <w:p w14:paraId="2A066FB9"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ACAS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National Minimum Wage.</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11" w:history="1">
        <w:r w:rsidRPr="003B2A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t>https://www.acas.org.uk/national-minimum-wage-entitlement/if-an-employer-does-not-pay-minimum-wage</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October 2024). </w:t>
      </w:r>
    </w:p>
    <w:p w14:paraId="53F8C274"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ACAS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Statutory flexible working requests.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Available at:</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 </w:t>
      </w:r>
      <w:hyperlink r:id="rId12"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https://www.acas.org.uk/statutory-flexible-working-requests/making-a-request</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w:t>
      </w:r>
      <w:bookmarkStart w:id="0" w:name="_Hlk183944919"/>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(Accessed November 2024). </w:t>
      </w:r>
    </w:p>
    <w:p w14:paraId="0948C977"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Agile Workforce Planning (2020),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Identifying your critical workforce</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13"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https://agileworkforceplanning.com/combatting-capability-decay-copy/</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48658E3B"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April 2023, K.F. 21 (2023) </w:t>
      </w:r>
      <w:r w:rsidRPr="003B2A20">
        <w:rPr>
          <w:rFonts w:ascii="Arial" w:eastAsia="Times New Roman" w:hAnsi="Arial" w:cs="Times New Roman"/>
          <w:i/>
          <w:iCs/>
          <w:color w:val="FF0000"/>
          <w:kern w:val="0"/>
          <w:u w:color="000000"/>
          <w:bdr w:val="nil"/>
          <w:lang w:eastAsia="en-GB"/>
          <w14:textOutline w14:w="0" w14:cap="flat" w14:cmpd="sng" w14:algn="ctr">
            <w14:noFill/>
            <w14:prstDash w14:val="solid"/>
            <w14:bevel/>
          </w14:textOutline>
          <w14:ligatures w14:val="none"/>
        </w:rPr>
        <w:t>Four tips for getting inductions right in a hybrid working world</w:t>
      </w: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 </w:t>
      </w:r>
      <w:r w:rsidRPr="003B2A20">
        <w:rPr>
          <w:rFonts w:ascii="Arial" w:eastAsia="Times New Roman" w:hAnsi="Arial" w:cs="Times New Roman"/>
          <w:i/>
          <w:iCs/>
          <w:color w:val="FF0000"/>
          <w:kern w:val="0"/>
          <w:u w:color="000000"/>
          <w:bdr w:val="nil"/>
          <w:lang w:eastAsia="en-GB"/>
          <w14:textOutline w14:w="0" w14:cap="flat" w14:cmpd="sng" w14:algn="ctr">
            <w14:noFill/>
            <w14:prstDash w14:val="solid"/>
            <w14:bevel/>
          </w14:textOutline>
          <w14:ligatures w14:val="none"/>
        </w:rPr>
        <w:t>www.peoplemanagement.co.uk</w:t>
      </w: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 xml:space="preserve">. Available at: </w:t>
      </w:r>
      <w:hyperlink r:id="rId14" w:history="1">
        <w:r w:rsidRPr="003B2A20">
          <w:rPr>
            <w:rFonts w:ascii="Times New Roman" w:eastAsia="Arial" w:hAnsi="Times New Roman" w:cs="Times New Roman"/>
            <w:color w:val="FF0000"/>
            <w:kern w:val="0"/>
            <w:sz w:val="24"/>
            <w:szCs w:val="24"/>
            <w:u w:val="single" w:color="0000FF"/>
            <w:bdr w:val="nil"/>
            <w:lang w:eastAsia="en-GB"/>
            <w14:textOutline w14:w="0" w14:cap="flat" w14:cmpd="sng" w14:algn="ctr">
              <w14:noFill/>
              <w14:prstDash w14:val="solid"/>
              <w14:bevel/>
            </w14:textOutline>
            <w14:ligatures w14:val="none"/>
          </w:rPr>
          <w:t>https://www.peoplemanagement.co.uk/article/1820372/four-tips-getting-inductions-right-hybrid-working-world</w:t>
        </w:r>
      </w:hyperlink>
      <w:r w:rsidRPr="003B2A20">
        <w:rPr>
          <w:rFonts w:ascii="Times New Roman" w:eastAsia="Arial" w:hAnsi="Times New Roman" w:cs="Times New Roman"/>
          <w:color w:val="FF0000"/>
          <w:kern w:val="0"/>
          <w:sz w:val="24"/>
          <w:szCs w:val="24"/>
          <w:u w:val="single" w:color="0000FF"/>
          <w:bdr w:val="nil"/>
          <w:lang w:eastAsia="en-GB"/>
          <w14:textOutline w14:w="0" w14:cap="flat" w14:cmpd="sng" w14:algn="ctr">
            <w14:noFill/>
            <w14:prstDash w14:val="solid"/>
            <w14:bevel/>
          </w14:textOutline>
          <w14:ligatures w14:val="none"/>
        </w:rPr>
        <w:t>.</w:t>
      </w: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 xml:space="preserve"> (Accessed January 2025).</w:t>
      </w:r>
    </w:p>
    <w:p w14:paraId="7B0E4984"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Arial" w:hAnsi="Arial" w:cs="Arial"/>
          <w:color w:val="FF0000"/>
          <w:kern w:val="0"/>
          <w:u w:val="single" w:color="0000FF"/>
          <w:bdr w:val="nil"/>
          <w:lang w:eastAsia="en-GB"/>
          <w14:textOutline w14:w="0" w14:cap="flat" w14:cmpd="sng" w14:algn="ctr">
            <w14:noFill/>
            <w14:prstDash w14:val="solid"/>
            <w14:bevel/>
          </w14:textOutline>
          <w14:ligatures w14:val="none"/>
        </w:rPr>
      </w:pPr>
      <w:r w:rsidRPr="003B2A20">
        <w:rPr>
          <w:rFonts w:ascii="Arial" w:eastAsia="Times New Roman" w:hAnsi="Arial" w:cs="Arial"/>
          <w:color w:val="FF0000"/>
          <w:kern w:val="0"/>
          <w:sz w:val="24"/>
          <w:szCs w:val="24"/>
          <w:u w:color="000000"/>
          <w:bdr w:val="nil"/>
          <w:lang w:eastAsia="en-GB"/>
          <w14:textOutline w14:w="0" w14:cap="flat" w14:cmpd="sng" w14:algn="ctr">
            <w14:noFill/>
            <w14:prstDash w14:val="solid"/>
            <w14:bevel/>
          </w14:textOutline>
          <w14:ligatures w14:val="none"/>
        </w:rPr>
        <w:t xml:space="preserve">Battista, M. (2024) PESTLE Analysis, CIPD. CIPD. Available at: </w:t>
      </w:r>
      <w:hyperlink r:id="rId15" w:history="1">
        <w:r w:rsidRPr="003B2A20">
          <w:rPr>
            <w:rFonts w:ascii="Arial" w:eastAsia="Arial" w:hAnsi="Arial" w:cs="Arial"/>
            <w:color w:val="FF0000"/>
            <w:kern w:val="0"/>
            <w:u w:val="single" w:color="0000FF"/>
            <w:bdr w:val="nil"/>
            <w:lang w:eastAsia="en-GB"/>
            <w14:textOutline w14:w="0" w14:cap="flat" w14:cmpd="sng" w14:algn="ctr">
              <w14:noFill/>
              <w14:prstDash w14:val="solid"/>
              <w14:bevel/>
            </w14:textOutline>
            <w14:ligatures w14:val="none"/>
          </w:rPr>
          <w:t>https://www.cipd.org/uk/knowledge/factsheets/pestle-analysis-factsheet/</w:t>
        </w:r>
      </w:hyperlink>
      <w:r w:rsidRPr="003B2A20">
        <w:rPr>
          <w:rFonts w:ascii="Arial" w:eastAsia="Arial" w:hAnsi="Arial" w:cs="Arial"/>
          <w:color w:val="FF0000"/>
          <w:kern w:val="0"/>
          <w:u w:val="single" w:color="0000FF"/>
          <w:bdr w:val="nil"/>
          <w:lang w:eastAsia="en-GB"/>
          <w14:textOutline w14:w="0" w14:cap="flat" w14:cmpd="sng" w14:algn="ctr">
            <w14:noFill/>
            <w14:prstDash w14:val="solid"/>
            <w14:bevel/>
          </w14:textOutline>
          <w14:ligatures w14:val="none"/>
        </w:rPr>
        <w:t>.</w:t>
      </w:r>
      <w:r w:rsidRPr="003B2A20">
        <w:rPr>
          <w:rFonts w:ascii="Times New Roman" w:eastAsia="Arial" w:hAnsi="Times New Roman" w:cs="Times New Roman"/>
          <w:color w:val="FF0000"/>
          <w:kern w:val="0"/>
          <w:sz w:val="24"/>
          <w:szCs w:val="24"/>
          <w:bdr w:val="nil"/>
          <w:lang w:eastAsia="en-GB"/>
          <w14:textOutline w14:w="0" w14:cap="flat" w14:cmpd="sng" w14:algn="ctr">
            <w14:noFill/>
            <w14:prstDash w14:val="solid"/>
            <w14:bevel/>
          </w14:textOutline>
          <w14:ligatures w14:val="none"/>
        </w:rPr>
        <w:t xml:space="preserve"> (Accessed February 2025).</w:t>
      </w:r>
    </w:p>
    <w:p w14:paraId="6E275638"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BBC News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Migration: How many people come to the UK and how have rules changed?</w:t>
      </w:r>
    </w:p>
    <w:p w14:paraId="7623998D" w14:textId="77777777" w:rsidR="003B2A20" w:rsidRPr="003B2A20" w:rsidRDefault="003B2A20" w:rsidP="003B2A20">
      <w:pPr>
        <w:pBdr>
          <w:top w:val="nil"/>
          <w:left w:val="nil"/>
          <w:bottom w:val="nil"/>
          <w:right w:val="nil"/>
          <w:between w:val="nil"/>
          <w:bar w:val="nil"/>
        </w:pBdr>
        <w:spacing w:after="0"/>
        <w:ind w:left="7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pPr>
      <w:hyperlink r:id="rId16" w:history="1">
        <w:r w:rsidRPr="003B2A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t>https://www.bbc.co.uk/news/uk-48785695</w:t>
        </w:r>
      </w:hyperlink>
      <w:r w:rsidRPr="003B2A20">
        <w:rPr>
          <w:rFonts w:ascii="Arial" w:eastAsia="Times New Roman" w:hAnsi="Arial" w:cs="Times New Roman"/>
          <w:color w:val="0000FF"/>
          <w:kern w:val="0"/>
          <w:u w:color="0000FF"/>
          <w:bdr w:val="nil"/>
          <w:lang w:eastAsia="en-GB"/>
          <w14:textOutline w14:w="0" w14:cap="flat" w14:cmpd="sng" w14:algn="ctr">
            <w14:noFill/>
            <w14:prstDash w14:val="solid"/>
            <w14:bevel/>
          </w14:textOutline>
          <w14:ligatures w14:val="none"/>
        </w:rPr>
        <w:t xml:space="preserve"> </w:t>
      </w:r>
      <w:bookmarkStart w:id="1" w:name="_Hlk184018076"/>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bookmarkEnd w:id="1"/>
    </w:p>
    <w:p w14:paraId="4EC6B620"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Bremen, J. M. (2022, September 20).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Quiet quitting</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The real story (don’t blame Generation Z).</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Forbes</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Available at: </w:t>
      </w:r>
      <w:hyperlink r:id="rId17"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t>
        </w:r>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w:t>
        </w:r>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www.forbes.com/</w:t>
        </w:r>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sites/</w:t>
        </w:r>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johnbremen/</w:t>
        </w:r>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2022/</w:t>
        </w:r>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09/</w:t>
        </w:r>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20/</w:t>
        </w:r>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quiet-quitting-the-real-story-dont-blame-gen-z/</w:t>
        </w:r>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Times New Roman" w:eastAsia="Arial" w:hAnsi="Times New Roman" w:cs="Times New Roman"/>
            <w:color w:val="0000FF"/>
            <w:kern w:val="0"/>
            <w:sz w:val="24"/>
            <w:szCs w:val="24"/>
            <w:u w:val="single" w:color="0000FF"/>
            <w:bdr w:val="nil"/>
            <w:lang w:eastAsia="zh-TW"/>
            <w14:textOutline w14:w="0" w14:cap="flat" w14:cmpd="sng" w14:algn="ctr">
              <w14:noFill/>
              <w14:prstDash w14:val="solid"/>
              <w14:bevel/>
            </w14:textOutline>
            <w14:ligatures w14:val="none"/>
          </w:rPr>
          <w:t>?sh=311042d12eab</w:t>
        </w:r>
      </w:hyperlink>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bookmarkEnd w:id="0"/>
    <w:p w14:paraId="3845C5DD"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Berns, S. (2022)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What is the true cost of replacing an Employee? | News | Centric HR</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Centric HR</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18"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https://centrichr.co.uk/what-is-the-true-cost-of-replacing-an-employee/</w:t>
        </w:r>
      </w:hyperlink>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w:t>
      </w:r>
      <w:r w:rsidRPr="003B2A20">
        <w:rPr>
          <w:rFonts w:ascii="Arial" w:eastAsia="Times New Roman" w:hAnsi="Arial" w:cs="Times New Roman"/>
          <w:color w:val="0000FF"/>
          <w:kern w:val="0"/>
          <w:u w:color="000000"/>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p w14:paraId="67C479C3"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lastRenderedPageBreak/>
        <w:t xml:space="preserve">Bratton, L.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ChatGPT is stealing jobs from online freelancers, study shows</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Quartz. Available at: </w:t>
      </w:r>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https://qz.com/chatgpt-ai-steals-jobs-freelancers-1851557134.</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w:t>
      </w:r>
      <w:bookmarkStart w:id="2" w:name="_Hlk184056790"/>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bookmarkEnd w:id="2"/>
    </w:p>
    <w:p w14:paraId="77801CCE"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Chambers, E.G. &amp; Foulon, Mark &amp; Handfield-Jones, Helen &amp; Hankin, Steven &amp; Michaels, Edward. (1998).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The War for Talent. The McKinsey Quarterly</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3. 44-57. Available at: </w:t>
      </w:r>
      <w:hyperlink r:id="rId19"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https://www.researchgate.net/publication/284689712_The_War_for_Talent</w:t>
        </w:r>
      </w:hyperlink>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p w14:paraId="08DE0B6B"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Arial Unicode MS" w:hAnsi="Arial" w:cs="Arial Unicode MS"/>
          <w:color w:val="000000"/>
          <w:kern w:val="0"/>
          <w:u w:color="000000"/>
          <w:bdr w:val="nil"/>
          <w:lang w:eastAsia="en-GB"/>
          <w14:ligatures w14:val="none"/>
        </w:rPr>
      </w:pPr>
      <w:proofErr w:type="spellStart"/>
      <w:r w:rsidRPr="003B2A20">
        <w:rPr>
          <w:rFonts w:ascii="Arial" w:eastAsia="Arial Unicode MS" w:hAnsi="Arial" w:cs="Arial Unicode MS"/>
          <w:color w:val="000000"/>
          <w:kern w:val="0"/>
          <w:u w:color="000000"/>
          <w:bdr w:val="nil"/>
          <w:lang w:eastAsia="en-GB"/>
          <w14:ligatures w14:val="none"/>
        </w:rPr>
        <w:t>Cholteeva</w:t>
      </w:r>
      <w:proofErr w:type="spellEnd"/>
      <w:r w:rsidRPr="003B2A20">
        <w:rPr>
          <w:rFonts w:ascii="Arial" w:eastAsia="Arial Unicode MS" w:hAnsi="Arial" w:cs="Arial Unicode MS"/>
          <w:color w:val="000000"/>
          <w:kern w:val="0"/>
          <w:u w:color="000000"/>
          <w:bdr w:val="nil"/>
          <w:lang w:eastAsia="en-GB"/>
          <w14:ligatures w14:val="none"/>
        </w:rPr>
        <w:t>, Y. (2022) </w:t>
      </w:r>
      <w:r w:rsidRPr="003B2A20">
        <w:rPr>
          <w:rFonts w:ascii="Arial" w:eastAsia="Arial Unicode MS" w:hAnsi="Arial" w:cs="Arial Unicode MS"/>
          <w:i/>
          <w:iCs/>
          <w:color w:val="000000"/>
          <w:kern w:val="0"/>
          <w:u w:color="000000"/>
          <w:bdr w:val="nil"/>
          <w:lang w:eastAsia="en-GB"/>
          <w14:ligatures w14:val="none"/>
        </w:rPr>
        <w:t>High Employee Turnover Damaging Company Culture, Research Suggests</w:t>
      </w:r>
      <w:r w:rsidRPr="003B2A20">
        <w:rPr>
          <w:rFonts w:ascii="Arial" w:eastAsia="Arial Unicode MS" w:hAnsi="Arial" w:cs="Arial Unicode MS"/>
          <w:color w:val="000000"/>
          <w:kern w:val="0"/>
          <w:u w:color="000000"/>
          <w:bdr w:val="nil"/>
          <w:lang w:eastAsia="en-GB"/>
          <w14:ligatures w14:val="none"/>
        </w:rPr>
        <w:t>, </w:t>
      </w:r>
      <w:r w:rsidRPr="003B2A20">
        <w:rPr>
          <w:rFonts w:ascii="Arial" w:eastAsia="Arial Unicode MS" w:hAnsi="Arial" w:cs="Arial Unicode MS"/>
          <w:i/>
          <w:iCs/>
          <w:color w:val="000000"/>
          <w:kern w:val="0"/>
          <w:u w:color="000000"/>
          <w:bdr w:val="nil"/>
          <w:lang w:eastAsia="en-GB"/>
          <w14:ligatures w14:val="none"/>
        </w:rPr>
        <w:t>www.peoplemanagement.co.uk</w:t>
      </w:r>
      <w:r w:rsidRPr="003B2A20">
        <w:rPr>
          <w:rFonts w:ascii="Arial" w:eastAsia="Arial Unicode MS" w:hAnsi="Arial" w:cs="Arial Unicode MS"/>
          <w:color w:val="000000"/>
          <w:kern w:val="0"/>
          <w:u w:color="000000"/>
          <w:bdr w:val="nil"/>
          <w:lang w:eastAsia="en-GB"/>
          <w14:ligatures w14:val="none"/>
        </w:rPr>
        <w:t xml:space="preserve">. Available at: </w:t>
      </w:r>
      <w:hyperlink r:id="rId20" w:history="1">
        <w:r w:rsidRPr="003B2A20">
          <w:rPr>
            <w:rFonts w:ascii="Arial" w:eastAsia="Arial Unicode MS" w:hAnsi="Arial" w:cs="Arial Unicode MS"/>
            <w:color w:val="0000FF"/>
            <w:kern w:val="0"/>
            <w:u w:val="single" w:color="0000FF"/>
            <w:bdr w:val="nil"/>
            <w:lang w:eastAsia="en-GB"/>
            <w14:ligatures w14:val="none"/>
          </w:rPr>
          <w:t>https://www.peoplemanagement.co.uk/article/1795419/high-employee-turnover-damaging-company-culture-research-suggests</w:t>
        </w:r>
      </w:hyperlink>
      <w:r w:rsidRPr="003B2A20">
        <w:rPr>
          <w:rFonts w:ascii="Arial" w:eastAsia="Arial Unicode MS" w:hAnsi="Arial" w:cs="Arial Unicode MS"/>
          <w:color w:val="0000FF"/>
          <w:kern w:val="0"/>
          <w:u w:val="single" w:color="0000FF"/>
          <w:bdr w:val="nil"/>
          <w:lang w:eastAsia="en-GB"/>
          <w14:ligatures w14:val="none"/>
        </w:rPr>
        <w:t>.</w:t>
      </w:r>
      <w:r w:rsidRPr="003B2A20">
        <w:rPr>
          <w:rFonts w:ascii="Arial" w:eastAsia="Arial Unicode MS" w:hAnsi="Arial" w:cs="Arial Unicode MS"/>
          <w:color w:val="000000"/>
          <w:kern w:val="0"/>
          <w:u w:color="000000"/>
          <w:bdr w:val="nil"/>
          <w:lang w:eastAsia="en-GB"/>
          <w14:ligatures w14:val="none"/>
        </w:rPr>
        <w:t xml:space="preserve"> (Accessed November 2024). </w:t>
      </w:r>
    </w:p>
    <w:p w14:paraId="4968AFA8"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FF"/>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Citrin, J.M. and DeRosa, D. (2021)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How to Set Up a Remote Employee for Success on Day One</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Harvard Business Review</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21" w:history="1">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https://hbr.org/2021/05/how-to-set-up-a-remote-employee-for-success-on-day-one</w:t>
        </w:r>
      </w:hyperlink>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p w14:paraId="5027AB2E"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(2021),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ZERO-HOURS CONTRACTS Understanding the law in partnership with</w:t>
      </w:r>
    </w:p>
    <w:p w14:paraId="1CDED3D0" w14:textId="77777777" w:rsidR="003B2A20" w:rsidRPr="003B2A20" w:rsidRDefault="003B2A20" w:rsidP="003B2A20">
      <w:pPr>
        <w:pBdr>
          <w:top w:val="nil"/>
          <w:left w:val="nil"/>
          <w:bottom w:val="nil"/>
          <w:right w:val="nil"/>
          <w:between w:val="nil"/>
          <w:bar w:val="nil"/>
        </w:pBdr>
        <w:spacing w:after="0"/>
        <w:ind w:left="720"/>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Guide</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22" w:history="1">
        <w:r w:rsidRPr="003B2A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t>https://www.cipd.org/globalassets/media/knowledge/knowledge-hub/guides/zero-hours-contracts-guide-web-2021_tcm18-10706.pdf</w:t>
        </w:r>
      </w:hyperlink>
      <w:r w:rsidRPr="003B2A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t>.</w:t>
      </w:r>
      <w:r w:rsidRPr="003B2A20">
        <w:rPr>
          <w:rFonts w:ascii="Arial" w:eastAsia="Times New Roman" w:hAnsi="Arial" w:cs="Times New Roman"/>
          <w:color w:val="0000FF"/>
          <w:kern w:val="0"/>
          <w:u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(Accessed November 2024). </w:t>
      </w:r>
    </w:p>
    <w:p w14:paraId="2B708CB5"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CIPD (2023),</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 A guide to inclusive recruitment for employers</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23"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https://www.cipd.org/globalassets/media/knowledge/knowledge-hub/guides/2023-pdfs/inclusive-recruitment-employers-guide_tcm18-112787.pdf</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w:t>
      </w:r>
    </w:p>
    <w:p w14:paraId="17D2D3CC" w14:textId="77777777" w:rsidR="003B2A20" w:rsidRPr="003B2A20" w:rsidRDefault="003B2A20" w:rsidP="003B2A20">
      <w:pPr>
        <w:pBdr>
          <w:top w:val="nil"/>
          <w:left w:val="nil"/>
          <w:bottom w:val="nil"/>
          <w:right w:val="nil"/>
          <w:between w:val="nil"/>
          <w:bar w:val="nil"/>
        </w:pBdr>
        <w:spacing w:after="0"/>
        <w:ind w:left="720"/>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pPr>
      <w:bookmarkStart w:id="3" w:name="_Hlk184065122"/>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bookmarkEnd w:id="3"/>
    </w:p>
    <w:p w14:paraId="0E13FCFF"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FF"/>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(2021),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Fixed-term contracts: Understanding the Law</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CIPD. Available at: </w:t>
      </w:r>
      <w:hyperlink r:id="rId24" w:history="1">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https://www.cipd.org/uk/knowledge/guides/fixed-term-contracts-guide/</w:t>
        </w:r>
      </w:hyperlink>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w:t>
      </w:r>
      <w:r w:rsidRPr="003B2A20">
        <w:rPr>
          <w:rFonts w:ascii="Arial" w:eastAsia="Times New Roman" w:hAnsi="Arial" w:cs="Times New Roman"/>
          <w:color w:val="000000"/>
          <w:kern w:val="0"/>
          <w:u w:val="single" w:color="000000"/>
          <w:bdr w:val="nil"/>
          <w:lang w:eastAsia="en-GB"/>
          <w14:textOutline w14:w="0" w14:cap="flat" w14:cmpd="sng" w14:algn="ctr">
            <w14:noFill/>
            <w14:prstDash w14:val="solid"/>
            <w14:bevel/>
          </w14:textOutline>
          <w14:ligatures w14:val="none"/>
        </w:rPr>
        <w:t xml:space="preserve"> </w:t>
      </w:r>
    </w:p>
    <w:p w14:paraId="2FDD8BD8"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(2023), Resourcing and talent planning 2021: Case studies. Available at: </w:t>
      </w:r>
      <w:hyperlink r:id="rId25"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Tile: Resources | Talent Management and Workforce Planning (BMPD5020) | Home</w:t>
        </w:r>
      </w:hyperlink>
      <w:r w:rsidRPr="003B2A20">
        <w:rPr>
          <w:rFonts w:ascii="Arial" w:eastAsia="Times New Roman" w:hAnsi="Arial" w:cs="Times New Roman"/>
          <w:color w:val="0000FF"/>
          <w:kern w:val="0"/>
          <w:u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p w14:paraId="614AA2B3"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(2023),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Strategic workforce planning: Guide for people professionals</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26"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https://www.cipd.org/uk/knowledge/guides/strategic-workforce-planning/</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w:t>
      </w:r>
    </w:p>
    <w:p w14:paraId="0750A6F1"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(2024), Employee turnover and retention. Available at: </w:t>
      </w:r>
      <w:hyperlink r:id="rId27"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https://www.cipd.org/uk/knowledge/factsheets/turnover-retention-factsheet/</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3C210CF8"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Employee experience</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28"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https://www.cipd.org/uk/the-people-profession/the-profession-map/explore-the-profession-map/specialist-knowledge/employee-experience/</w:t>
        </w:r>
      </w:hyperlink>
      <w:r w:rsidRPr="003B2A20">
        <w:rPr>
          <w:rFonts w:ascii="Arial" w:eastAsia="Times New Roman" w:hAnsi="Arial" w:cs="Times New Roman"/>
          <w:color w:val="0000FF"/>
          <w:kern w:val="0"/>
          <w:u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(Accessed November 2024). </w:t>
      </w:r>
    </w:p>
    <w:p w14:paraId="5AFB6062"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Labour Market Outlook</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29" w:history="1">
        <w:r w:rsidRPr="003B2A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t>https://www.cipd.org/uk/knowledge/reports/labour-market-outlook/</w:t>
        </w:r>
      </w:hyperlink>
      <w:r w:rsidRPr="003B2A20">
        <w:rPr>
          <w:rFonts w:ascii="Arial" w:eastAsia="Times New Roman" w:hAnsi="Arial" w:cs="Times New Roman"/>
          <w:color w:val="0000FF"/>
          <w:kern w:val="0"/>
          <w:u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p w14:paraId="78AD64B8"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Recruitment.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Available at: </w:t>
      </w:r>
      <w:hyperlink r:id="rId30"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https://www.cipd.org/uk/topics/recruitment/c</w:t>
        </w:r>
      </w:hyperlink>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p w14:paraId="2EFDCDDF"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Responding to a formal flexible working request</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31"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https://www.cipd.org/globalassets/media/knowledge/knowledge-hub/tools/2024-pdfs/8411-respond-to-flexible-working-request-flowchart-feb24.pdf</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w:t>
      </w:r>
      <w:bookmarkStart w:id="4" w:name="_Hlk183961873"/>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(Accessed November 2024). </w:t>
      </w:r>
      <w:bookmarkEnd w:id="4"/>
    </w:p>
    <w:p w14:paraId="59CFB48F"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FF"/>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Resourcing and talent planning report</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32" w:history="1">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https://www.cipd.org/uk/knowledge/reports/resourcing-surveys/</w:t>
        </w:r>
      </w:hyperlink>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 xml:space="preserve"> </w:t>
      </w:r>
    </w:p>
    <w:p w14:paraId="104EB5E8" w14:textId="77777777" w:rsidR="003B2A20" w:rsidRPr="003B2A20" w:rsidRDefault="003B2A20" w:rsidP="003B2A20">
      <w:pPr>
        <w:pBdr>
          <w:top w:val="nil"/>
          <w:left w:val="nil"/>
          <w:bottom w:val="nil"/>
          <w:right w:val="nil"/>
          <w:between w:val="nil"/>
          <w:bar w:val="nil"/>
        </w:pBdr>
        <w:spacing w:after="0"/>
        <w:ind w:left="720"/>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pPr>
      <w:bookmarkStart w:id="5" w:name="_Hlk183945225"/>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(Accessed November 2024). </w:t>
      </w:r>
      <w:bookmarkEnd w:id="5"/>
    </w:p>
    <w:p w14:paraId="36A54499"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Arial Unicode MS" w:hAnsi="Arial" w:cs="Arial Unicode MS"/>
          <w:color w:val="000000"/>
          <w:kern w:val="0"/>
          <w:u w:color="000000"/>
          <w:bdr w:val="nil"/>
          <w:lang w:eastAsia="en-GB"/>
          <w14:ligatures w14:val="none"/>
        </w:rPr>
      </w:pPr>
      <w:r w:rsidRPr="003B2A20">
        <w:rPr>
          <w:rFonts w:ascii="Arial" w:eastAsia="Arial Unicode MS" w:hAnsi="Arial" w:cs="Arial Unicode MS"/>
          <w:color w:val="000000"/>
          <w:kern w:val="0"/>
          <w:u w:color="000000"/>
          <w:bdr w:val="nil"/>
          <w:lang w:eastAsia="en-GB"/>
          <w14:ligatures w14:val="none"/>
        </w:rPr>
        <w:t xml:space="preserve">CIPD (2024), </w:t>
      </w:r>
      <w:r w:rsidRPr="003B2A20">
        <w:rPr>
          <w:rFonts w:ascii="Arial" w:eastAsia="Arial Unicode MS" w:hAnsi="Arial" w:cs="Arial Unicode MS"/>
          <w:i/>
          <w:iCs/>
          <w:color w:val="000000"/>
          <w:kern w:val="0"/>
          <w:u w:color="000000"/>
          <w:bdr w:val="nil"/>
          <w:lang w:eastAsia="en-GB"/>
          <w14:ligatures w14:val="none"/>
        </w:rPr>
        <w:t xml:space="preserve">Reward: an introduction. </w:t>
      </w:r>
      <w:r w:rsidRPr="003B2A20">
        <w:rPr>
          <w:rFonts w:ascii="Arial" w:eastAsia="Arial Unicode MS" w:hAnsi="Arial" w:cs="Arial Unicode MS"/>
          <w:color w:val="000000"/>
          <w:kern w:val="0"/>
          <w:u w:color="000000"/>
          <w:bdr w:val="nil"/>
          <w:lang w:eastAsia="en-GB"/>
          <w14:ligatures w14:val="none"/>
        </w:rPr>
        <w:t xml:space="preserve">Available at: </w:t>
      </w:r>
      <w:hyperlink r:id="rId33" w:history="1">
        <w:r w:rsidRPr="003B2A20">
          <w:rPr>
            <w:rFonts w:ascii="Arial" w:eastAsia="Arial Unicode MS" w:hAnsi="Arial" w:cs="Arial Unicode MS"/>
            <w:color w:val="0000FF"/>
            <w:kern w:val="0"/>
            <w:u w:val="single" w:color="0000FF"/>
            <w:bdr w:val="nil"/>
            <w:lang w:eastAsia="en-GB"/>
            <w14:ligatures w14:val="none"/>
          </w:rPr>
          <w:t>https://www.cipd.org/uk/knowledge/factsheets/reward-factsheet/</w:t>
        </w:r>
      </w:hyperlink>
    </w:p>
    <w:p w14:paraId="7D4567B6" w14:textId="77777777" w:rsidR="003B2A20" w:rsidRPr="003B2A20" w:rsidRDefault="003B2A20" w:rsidP="003B2A20">
      <w:pPr>
        <w:pBdr>
          <w:top w:val="nil"/>
          <w:left w:val="nil"/>
          <w:bottom w:val="nil"/>
          <w:right w:val="nil"/>
          <w:between w:val="nil"/>
          <w:bar w:val="nil"/>
        </w:pBdr>
        <w:spacing w:after="0"/>
        <w:ind w:left="720"/>
        <w:rPr>
          <w:rFonts w:ascii="Arial" w:eastAsia="Arial Unicode MS" w:hAnsi="Arial" w:cs="Arial Unicode MS"/>
          <w:color w:val="000000"/>
          <w:kern w:val="0"/>
          <w:u w:color="000000"/>
          <w:bdr w:val="nil"/>
          <w:lang w:eastAsia="en-GB"/>
          <w14:ligatures w14:val="none"/>
        </w:rPr>
      </w:pPr>
      <w:r w:rsidRPr="003B2A20">
        <w:rPr>
          <w:rFonts w:ascii="Arial" w:eastAsia="Arial Unicode MS" w:hAnsi="Arial" w:cs="Arial Unicode MS"/>
          <w:color w:val="000000"/>
          <w:kern w:val="0"/>
          <w:u w:color="000000"/>
          <w:bdr w:val="nil"/>
          <w:lang w:eastAsia="en-GB"/>
          <w14:ligatures w14:val="none"/>
        </w:rPr>
        <w:lastRenderedPageBreak/>
        <w:t>(Accessed November 2024).</w:t>
      </w:r>
    </w:p>
    <w:p w14:paraId="6AA8B1EB"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Arial Unicode MS" w:hAnsi="Arial" w:cs="Arial Unicode MS"/>
          <w:color w:val="000000"/>
          <w:kern w:val="0"/>
          <w:u w:color="000000"/>
          <w:bdr w:val="nil"/>
          <w:lang w:eastAsia="en-GB"/>
          <w14:ligatures w14:val="none"/>
        </w:rPr>
      </w:pPr>
      <w:r w:rsidRPr="003B2A20">
        <w:rPr>
          <w:rFonts w:ascii="Arial" w:eastAsia="Arial Unicode MS" w:hAnsi="Arial" w:cs="Arial Unicode MS"/>
          <w:color w:val="000000"/>
          <w:kern w:val="0"/>
          <w:u w:color="000000"/>
          <w:bdr w:val="nil"/>
          <w:lang w:eastAsia="en-GB"/>
          <w14:ligatures w14:val="none"/>
        </w:rPr>
        <w:t xml:space="preserve">CIPD (2024), </w:t>
      </w:r>
      <w:r w:rsidRPr="003B2A20">
        <w:rPr>
          <w:rFonts w:ascii="Arial" w:eastAsia="Arial Unicode MS" w:hAnsi="Arial" w:cs="Arial Unicode MS"/>
          <w:i/>
          <w:iCs/>
          <w:color w:val="000000"/>
          <w:kern w:val="0"/>
          <w:u w:color="000000"/>
          <w:bdr w:val="nil"/>
          <w:lang w:eastAsia="en-GB"/>
          <w14:ligatures w14:val="none"/>
        </w:rPr>
        <w:t>SWOT Analysis</w:t>
      </w:r>
      <w:r w:rsidRPr="003B2A20">
        <w:rPr>
          <w:rFonts w:ascii="Arial" w:eastAsia="Arial Unicode MS" w:hAnsi="Arial" w:cs="Arial Unicode MS"/>
          <w:color w:val="000000"/>
          <w:kern w:val="0"/>
          <w:u w:color="000000"/>
          <w:bdr w:val="nil"/>
          <w:lang w:eastAsia="en-GB"/>
          <w14:ligatures w14:val="none"/>
        </w:rPr>
        <w:t xml:space="preserve">. Available at: </w:t>
      </w:r>
      <w:hyperlink r:id="rId34" w:anchor="when-to-use-a-swot-analysis" w:history="1">
        <w:r w:rsidRPr="003B2A20">
          <w:rPr>
            <w:rFonts w:ascii="Arial" w:eastAsia="Arial Unicode MS" w:hAnsi="Arial" w:cs="Arial Unicode MS"/>
            <w:color w:val="0000FF"/>
            <w:kern w:val="0"/>
            <w:u w:val="single" w:color="0000FF"/>
            <w:bdr w:val="nil"/>
            <w:lang w:eastAsia="en-GB"/>
            <w14:ligatures w14:val="none"/>
          </w:rPr>
          <w:t>https://www.cipd.org/uk/knowledge/factsheets/swot-analysis-factsheet/#when-to-use-a-swot-analysis</w:t>
        </w:r>
      </w:hyperlink>
      <w:r w:rsidRPr="003B2A20">
        <w:rPr>
          <w:rFonts w:ascii="Arial" w:eastAsia="Arial Unicode MS" w:hAnsi="Arial" w:cs="Arial Unicode MS"/>
          <w:color w:val="0000FF"/>
          <w:kern w:val="0"/>
          <w:u w:color="0000FF"/>
          <w:bdr w:val="nil"/>
          <w:lang w:eastAsia="en-GB"/>
          <w14:ligatures w14:val="none"/>
        </w:rPr>
        <w:t xml:space="preserve"> </w:t>
      </w:r>
      <w:r w:rsidRPr="003B2A20">
        <w:rPr>
          <w:rFonts w:ascii="Arial" w:eastAsia="Arial Unicode MS" w:hAnsi="Arial" w:cs="Arial Unicode MS"/>
          <w:color w:val="000000"/>
          <w:kern w:val="0"/>
          <w:u w:color="000000"/>
          <w:bdr w:val="nil"/>
          <w:lang w:eastAsia="en-GB"/>
          <w14:ligatures w14:val="none"/>
        </w:rPr>
        <w:t xml:space="preserve">(Accessed November 2024). </w:t>
      </w:r>
    </w:p>
    <w:p w14:paraId="64BE6780"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Understanding the economy and labour market</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35" w:anchor="gref"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https://www.cipd.org/uk/knowledge/factsheets/economy-labour-market-factsheet/#gref</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w:t>
      </w:r>
      <w:bookmarkStart w:id="6" w:name="_Hlk183945571"/>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bookmarkEnd w:id="6"/>
    </w:p>
    <w:p w14:paraId="77957F40"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CIPD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Workforce planning</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36"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https://www.cipd.org/uk/knowledge/factsheets/workforce-planning-factsheet/</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w:t>
      </w:r>
    </w:p>
    <w:p w14:paraId="3D3FADB7"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Collins, R. (2024) Zero-hours contracts: Workers react to the ban, BBC News. Available at: </w:t>
      </w:r>
      <w:hyperlink r:id="rId37"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https://www.bbc.co.uk/news/articles/cw4yvprvn94o</w:t>
        </w:r>
      </w:hyperlink>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w:t>
      </w:r>
    </w:p>
    <w:p w14:paraId="4EF81BDF"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Daniels, K. (2022) Introduction to Employment Law: Fundamentals for HR and Business Students. 6th </w:t>
      </w:r>
      <w:proofErr w:type="spellStart"/>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edn</w:t>
      </w:r>
      <w:proofErr w:type="spellEnd"/>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London, United Kingdom; New York, Ny, USA: Kogan Page Limited.p.47</w:t>
      </w:r>
    </w:p>
    <w:p w14:paraId="1F52246A"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Employment Relations (Flexible Working) Act 2023 c. 33. Available at: </w:t>
      </w:r>
      <w:hyperlink r:id="rId38"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https://www.legislation.gov.uk/ukpga/2023/33/contents/enacted</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w:t>
      </w:r>
    </w:p>
    <w:p w14:paraId="2D4BA74A" w14:textId="77777777" w:rsidR="003B2A20" w:rsidRPr="003B2A20" w:rsidRDefault="003B2A20" w:rsidP="003B2A20">
      <w:pPr>
        <w:pBdr>
          <w:top w:val="nil"/>
          <w:left w:val="nil"/>
          <w:bottom w:val="nil"/>
          <w:right w:val="nil"/>
          <w:between w:val="nil"/>
          <w:bar w:val="nil"/>
        </w:pBdr>
        <w:spacing w:after="0"/>
        <w:ind w:left="720"/>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(Accessed November 2024). </w:t>
      </w:r>
    </w:p>
    <w:p w14:paraId="4A5D7EE0"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Employment Rights Act (1996) c. 18. Available at: </w:t>
      </w:r>
      <w:hyperlink r:id="rId39"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https://www.legislation.gov.uk/ukpga/1996/18/contents</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7FD92BAA"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Employment Rights Act (1996) c. 18. Part II. Available at: </w:t>
      </w:r>
      <w:hyperlink r:id="rId40"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https://publications.parliament.uk/pa/ld200809/ldjudgmt/jd090610/string-2.htm</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496D2639"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Equality Act (2010) c.15. Available at: </w:t>
      </w:r>
      <w:hyperlink r:id="rId41"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https://www.legislation.gov.uk/ukpga/2010/15</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w:t>
      </w:r>
    </w:p>
    <w:p w14:paraId="7B603025"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GOV.UK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Holiday entitlement.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Available at: </w:t>
      </w:r>
      <w:hyperlink r:id="rId42"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https://www.gov.uk/holiday-entitlement-rights</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3423FAAC"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GOV.UK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Maternity </w:t>
      </w:r>
      <w:proofErr w:type="gramStart"/>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pay</w:t>
      </w:r>
      <w:proofErr w:type="gramEnd"/>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 and leave</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43"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https://www.gov.uk/maternity-pay-leave/leave</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w:t>
      </w:r>
    </w:p>
    <w:p w14:paraId="63545C71"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GOV.UK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Maximum weekly working hours</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44"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https://www.gov.uk/maximum-weekly-working-hours</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366B5197"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FF"/>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GOV.UK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What does the Employment Rights Bill mean for you?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Available at: </w:t>
      </w:r>
      <w:hyperlink r:id="rId45" w:history="1">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https://www.gov.uk/government/news/what-does-the-employment-rights-bill-mean-for-you</w:t>
        </w:r>
      </w:hyperlink>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p w14:paraId="4E25CEF8"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 xml:space="preserve">Harter, J. (2019) Employee Engagement vs. Employee Satisfaction and Organizational Culture, Gallup. Available at: </w:t>
      </w:r>
      <w:hyperlink r:id="rId46" w:history="1">
        <w:r w:rsidRPr="003B2A20">
          <w:rPr>
            <w:rFonts w:ascii="Times New Roman" w:eastAsia="Arial" w:hAnsi="Times New Roman" w:cs="Times New Roman"/>
            <w:color w:val="FF0000"/>
            <w:kern w:val="0"/>
            <w:sz w:val="24"/>
            <w:szCs w:val="24"/>
            <w:u w:val="single" w:color="0000FF"/>
            <w:bdr w:val="nil"/>
            <w:lang w:eastAsia="en-GB"/>
            <w14:textOutline w14:w="0" w14:cap="flat" w14:cmpd="sng" w14:algn="ctr">
              <w14:noFill/>
              <w14:prstDash w14:val="solid"/>
              <w14:bevel/>
            </w14:textOutline>
            <w14:ligatures w14:val="none"/>
          </w:rPr>
          <w:t>https://www.gallup.com/workplace/236366/right-culture-not-employee-satisfaction.aspx</w:t>
        </w:r>
      </w:hyperlink>
      <w:r w:rsidRPr="003B2A20">
        <w:rPr>
          <w:rFonts w:ascii="Times New Roman" w:eastAsia="Arial" w:hAnsi="Times New Roman" w:cs="Times New Roman"/>
          <w:color w:val="FF0000"/>
          <w:kern w:val="0"/>
          <w:sz w:val="24"/>
          <w:szCs w:val="24"/>
          <w:u w:val="single" w:color="0000FF"/>
          <w:bdr w:val="nil"/>
          <w:lang w:eastAsia="en-GB"/>
          <w14:textOutline w14:w="0" w14:cap="flat" w14:cmpd="sng" w14:algn="ctr">
            <w14:noFill/>
            <w14:prstDash w14:val="solid"/>
            <w14:bevel/>
          </w14:textOutline>
          <w14:ligatures w14:val="none"/>
        </w:rPr>
        <w:t>.</w:t>
      </w: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 xml:space="preserve"> (Accessed January 2025).</w:t>
      </w:r>
    </w:p>
    <w:p w14:paraId="1B81D404"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Times New Roman" w:eastAsia="Arial" w:hAnsi="Times New Roman" w:cs="Times New Roman"/>
          <w:color w:val="FF0000"/>
          <w:kern w:val="0"/>
          <w:sz w:val="24"/>
          <w:szCs w:val="24"/>
          <w:u w:val="single" w:color="0000FF"/>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 xml:space="preserve">Hirsh, W. (2000) Succession Planning Demystified. Available at: </w:t>
      </w:r>
      <w:hyperlink r:id="rId47" w:history="1">
        <w:r w:rsidRPr="003B2A20">
          <w:rPr>
            <w:rFonts w:ascii="Times New Roman" w:eastAsia="Arial" w:hAnsi="Times New Roman" w:cs="Times New Roman"/>
            <w:color w:val="FF0000"/>
            <w:kern w:val="0"/>
            <w:sz w:val="24"/>
            <w:szCs w:val="24"/>
            <w:u w:val="single" w:color="0000FF"/>
            <w:bdr w:val="nil"/>
            <w:lang w:eastAsia="en-GB"/>
            <w14:textOutline w14:w="0" w14:cap="flat" w14:cmpd="sng" w14:algn="ctr">
              <w14:noFill/>
              <w14:prstDash w14:val="solid"/>
              <w14:bevel/>
            </w14:textOutline>
            <w14:ligatures w14:val="none"/>
          </w:rPr>
          <w:t>https://www.employment-studies.co.uk/system/files/resources/files/372.pdf</w:t>
        </w:r>
      </w:hyperlink>
      <w:r w:rsidRPr="003B2A20">
        <w:rPr>
          <w:rFonts w:ascii="Times New Roman" w:eastAsia="Arial" w:hAnsi="Times New Roman" w:cs="Times New Roman"/>
          <w:color w:val="FF0000"/>
          <w:kern w:val="0"/>
          <w:sz w:val="24"/>
          <w:szCs w:val="24"/>
          <w:u w:val="single" w:color="0000FF"/>
          <w:bdr w:val="nil"/>
          <w:lang w:eastAsia="en-GB"/>
          <w14:textOutline w14:w="0" w14:cap="flat" w14:cmpd="sng" w14:algn="ctr">
            <w14:noFill/>
            <w14:prstDash w14:val="solid"/>
            <w14:bevel/>
          </w14:textOutline>
          <w14:ligatures w14:val="none"/>
        </w:rPr>
        <w:t>.</w:t>
      </w:r>
      <w:r w:rsidRPr="003B2A20">
        <w:rPr>
          <w:rFonts w:ascii="Times New Roman" w:eastAsia="Arial" w:hAnsi="Times New Roman" w:cs="Times New Roman"/>
          <w:color w:val="FF0000"/>
          <w:kern w:val="0"/>
          <w:sz w:val="24"/>
          <w:szCs w:val="24"/>
          <w:u w:color="0000FF"/>
          <w:bdr w:val="nil"/>
          <w:lang w:eastAsia="en-GB"/>
          <w14:textOutline w14:w="0" w14:cap="flat" w14:cmpd="sng" w14:algn="ctr">
            <w14:noFill/>
            <w14:prstDash w14:val="solid"/>
            <w14:bevel/>
          </w14:textOutline>
          <w14:ligatures w14:val="none"/>
        </w:rPr>
        <w:t xml:space="preserve"> (Accessed January 2025).</w:t>
      </w:r>
    </w:p>
    <w:p w14:paraId="5EAF61B6"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FF"/>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Low Pay Commission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Minimum wage rates for 2025</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GOV.UK. Available at: </w:t>
      </w:r>
      <w:hyperlink r:id="rId48" w:history="1">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https://www.gov.uk/government/publications/minimum-wage-rates-for-2025</w:t>
        </w:r>
      </w:hyperlink>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Arial" w:eastAsia="Times New Roman" w:hAnsi="Arial" w:cs="Times New Roman"/>
          <w:color w:val="0000FF"/>
          <w:kern w:val="0"/>
          <w:u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p w14:paraId="09446F2B"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Michael E. Porter. (1979).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How Competitive Forces Shape Strategy</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Harvard Business Review (Vol. 57, No. 2, pp. 137–145). Available at: </w:t>
      </w:r>
      <w:hyperlink r:id="rId49"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https://asiakas.kotisivukone.com/files/laatuoptimi2013.kotisivukone.com/tiedostot/porter_5competitive_forces.pdf</w:t>
        </w:r>
      </w:hyperlink>
      <w:r w:rsidRPr="003B2A20">
        <w:rPr>
          <w:rFonts w:ascii="Arial" w:eastAsia="Times New Roman" w:hAnsi="Arial" w:cs="Times New Roman"/>
          <w:color w:val="0000FF"/>
          <w:kern w:val="0"/>
          <w:u w:color="0000FF"/>
          <w:bdr w:val="nil"/>
          <w:lang w:eastAsia="en-GB"/>
          <w14:textOutline w14:w="0" w14:cap="flat" w14:cmpd="sng" w14:algn="ctr">
            <w14:noFill/>
            <w14:prstDash w14:val="solid"/>
            <w14:bevel/>
          </w14:textOutline>
          <w14:ligatures w14:val="none"/>
        </w:rPr>
        <w:t xml:space="preserve"> </w:t>
      </w:r>
      <w:bookmarkStart w:id="7" w:name="_Hlk184017871"/>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bookmarkEnd w:id="7"/>
    </w:p>
    <w:p w14:paraId="21697540"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FF"/>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McKinsey &amp; Company (2023)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What is the gig </w:t>
      </w:r>
      <w:proofErr w:type="gramStart"/>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economy?</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w:t>
      </w:r>
      <w:proofErr w:type="gramEnd"/>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www.mckinsey.com</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Available at:</w:t>
      </w:r>
      <w:r w:rsidRPr="003B2A20">
        <w:rPr>
          <w:rFonts w:ascii="Arial" w:eastAsia="Times New Roman" w:hAnsi="Arial" w:cs="Times New Roman"/>
          <w:color w:val="000000"/>
          <w:kern w:val="0"/>
          <w:u w:val="single" w:color="000000"/>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https://www.mckinsey.com/featured-insights/mckinsey-explainers/what-is-the-gig-economy.</w:t>
      </w:r>
    </w:p>
    <w:p w14:paraId="65C3EDAB" w14:textId="77777777" w:rsidR="003B2A20" w:rsidRPr="003B2A20" w:rsidRDefault="003B2A20" w:rsidP="003B2A20">
      <w:pPr>
        <w:pBdr>
          <w:top w:val="nil"/>
          <w:left w:val="nil"/>
          <w:bottom w:val="nil"/>
          <w:right w:val="nil"/>
          <w:between w:val="nil"/>
          <w:bar w:val="nil"/>
        </w:pBdr>
        <w:spacing w:after="0"/>
        <w:ind w:left="7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p w14:paraId="288195A9"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FF"/>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lastRenderedPageBreak/>
        <w:t xml:space="preserve">Office for National Statistics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Average weekly earnings in Great Britain: November 2024</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50" w:history="1">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https://www.ons.gov.uk/employmentandlabourmarket/peopleinwork/employmentandemployeetypes/bulletins/averageweeklyearningsingreatbritain/november2024</w:t>
        </w:r>
      </w:hyperlink>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r w:rsidRPr="003B2A20">
        <w:rPr>
          <w:rFonts w:ascii="Arial" w:eastAsia="Times New Roman" w:hAnsi="Arial" w:cs="Times New Roman"/>
          <w:color w:val="000000"/>
          <w:kern w:val="0"/>
          <w:u w:val="single" w:color="000000"/>
          <w:bdr w:val="nil"/>
          <w:lang w:eastAsia="en-GB"/>
          <w14:textOutline w14:w="0" w14:cap="flat" w14:cmpd="sng" w14:algn="ctr">
            <w14:noFill/>
            <w14:prstDash w14:val="solid"/>
            <w14:bevel/>
          </w14:textOutline>
          <w14:ligatures w14:val="none"/>
        </w:rPr>
        <w:t xml:space="preserve"> </w:t>
      </w:r>
    </w:p>
    <w:p w14:paraId="0E573463"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FF"/>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Paul, W., Robertson, K. and Herzberg, F. (1969)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Job Enrichment Pays Off</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Harvard Business Review</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51" w:history="1">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https://hbr.org/1969/03/job-enrichment-pays-off</w:t>
        </w:r>
      </w:hyperlink>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42817216"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FF"/>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Pavlou, C. (2018)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How to calculate and reduce new hire turnover rate | Workable</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Recruiting Resources: How to Recruit and Hire Better</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52" w:history="1">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https://resources.workable.com/tutorial/new-hire-turnover-rate</w:t>
        </w:r>
      </w:hyperlink>
      <w:r w:rsidRPr="003B2A20">
        <w:rPr>
          <w:rFonts w:ascii="Arial" w:eastAsia="Times New Roman" w:hAnsi="Arial" w:cs="Times New Roman"/>
          <w:color w:val="0000FF"/>
          <w:kern w:val="0"/>
          <w:u w:val="single" w:color="0000FF"/>
          <w:bdr w:val="nil"/>
          <w:lang w:eastAsia="en-GB"/>
          <w14:textOutline w14:w="0" w14:cap="flat" w14:cmpd="sng" w14:algn="ctr">
            <w14:noFill/>
            <w14:prstDash w14:val="solid"/>
            <w14:bevel/>
          </w14:textOutline>
          <w14:ligatures w14:val="none"/>
        </w:rPr>
        <w:t>.</w:t>
      </w:r>
      <w:r w:rsidRPr="003B2A20">
        <w:rPr>
          <w:rFonts w:ascii="Arial" w:eastAsia="Times New Roman" w:hAnsi="Arial" w:cs="Times New Roman"/>
          <w:color w:val="0000FF"/>
          <w:kern w:val="0"/>
          <w:u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(Accessed November 2024). </w:t>
      </w:r>
    </w:p>
    <w:p w14:paraId="7B0291B3"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FF0000"/>
          <w:kern w:val="0"/>
          <w:u w:val="single"/>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Smith, C.E., Matthews, R.A., Mills, M., Hong, Y.-H. and Sim, S. (2021). Organizational benefits of onboarding contingent workers: An anchoring model approach. </w:t>
      </w:r>
      <w:r w:rsidRPr="003B2A20">
        <w:rPr>
          <w:rFonts w:ascii="Arial" w:eastAsia="Times New Roman" w:hAnsi="Arial" w:cs="Times New Roman"/>
          <w:i/>
          <w:iCs/>
          <w:color w:val="FF0000"/>
          <w:kern w:val="0"/>
          <w:u w:color="000000"/>
          <w:bdr w:val="nil"/>
          <w:lang w:eastAsia="en-GB"/>
          <w14:textOutline w14:w="0" w14:cap="flat" w14:cmpd="sng" w14:algn="ctr">
            <w14:noFill/>
            <w14:prstDash w14:val="solid"/>
            <w14:bevel/>
          </w14:textOutline>
          <w14:ligatures w14:val="none"/>
        </w:rPr>
        <w:t>Journal of Business and Psychology</w:t>
      </w: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 xml:space="preserve">, 37(3). Available at: </w:t>
      </w:r>
      <w:hyperlink r:id="rId53" w:history="1">
        <w:r w:rsidRPr="003B2A20">
          <w:rPr>
            <w:rFonts w:ascii="Arial" w:eastAsia="Times New Roman" w:hAnsi="Arial" w:cs="Times New Roman"/>
            <w:color w:val="FF0000"/>
            <w:kern w:val="0"/>
            <w:u w:val="single" w:color="0000FF"/>
            <w:bdr w:val="nil"/>
            <w:lang w:eastAsia="en-GB"/>
            <w14:textOutline w14:w="0" w14:cap="flat" w14:cmpd="sng" w14:algn="ctr">
              <w14:noFill/>
              <w14:prstDash w14:val="solid"/>
              <w14:bevel/>
            </w14:textOutline>
            <w14:ligatures w14:val="none"/>
          </w:rPr>
          <w:t>https://link.springer.com/article/10.1007/s10869-021-09757-0</w:t>
        </w:r>
      </w:hyperlink>
      <w:r w:rsidRPr="003B2A20">
        <w:rPr>
          <w:rFonts w:ascii="Times New Roman" w:eastAsia="Times New Roman" w:hAnsi="Times New Roman" w:cs="Times New Roman"/>
          <w:color w:val="FF0000"/>
          <w:kern w:val="0"/>
          <w:sz w:val="24"/>
          <w:szCs w:val="24"/>
          <w:u w:val="single"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(Accessed February 2025).</w:t>
      </w:r>
    </w:p>
    <w:p w14:paraId="2C9C8CD2"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Taylor, S. and Chartered Institute of Personnel and Development. (2022) </w:t>
      </w:r>
      <w:r w:rsidRPr="003B2A20">
        <w:rPr>
          <w:rFonts w:ascii="Arial" w:eastAsia="Times New Roman" w:hAnsi="Arial" w:cs="Times New Roman"/>
          <w:i/>
          <w:iCs/>
          <w:color w:val="FF0000"/>
          <w:kern w:val="0"/>
          <w:u w:color="000000"/>
          <w:bdr w:val="nil"/>
          <w:lang w:eastAsia="en-GB"/>
          <w14:textOutline w14:w="0" w14:cap="flat" w14:cmpd="sng" w14:algn="ctr">
            <w14:noFill/>
            <w14:prstDash w14:val="solid"/>
            <w14:bevel/>
          </w14:textOutline>
          <w14:ligatures w14:val="none"/>
        </w:rPr>
        <w:t>Resourcing and talent management: the theory and practice of recruiting and developing a workforce</w:t>
      </w:r>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 xml:space="preserve">. 8th ed. London: </w:t>
      </w:r>
      <w:proofErr w:type="spellStart"/>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KoganPage</w:t>
      </w:r>
      <w:proofErr w:type="spellEnd"/>
      <w:r w:rsidRPr="003B2A20">
        <w:rPr>
          <w:rFonts w:ascii="Arial" w:eastAsia="Times New Roman" w:hAnsi="Arial" w:cs="Times New Roman"/>
          <w:color w:val="FF0000"/>
          <w:kern w:val="0"/>
          <w:u w:color="000000"/>
          <w:bdr w:val="nil"/>
          <w:lang w:eastAsia="en-GB"/>
          <w14:textOutline w14:w="0" w14:cap="flat" w14:cmpd="sng" w14:algn="ctr">
            <w14:noFill/>
            <w14:prstDash w14:val="solid"/>
            <w14:bevel/>
          </w14:textOutline>
          <w14:ligatures w14:val="none"/>
        </w:rPr>
        <w:t>. P298</w:t>
      </w:r>
    </w:p>
    <w:p w14:paraId="0CD31375"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Taylor, S., &amp; Woodhams, C. (Eds.). (2022).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Human resource management: people and organisations</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(Third Edition.). Kogan Page Inc. pp. 29-59</w:t>
      </w:r>
    </w:p>
    <w:p w14:paraId="189E27B4"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pPr>
      <w:bookmarkStart w:id="8" w:name="_Hlk184062903"/>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The Deduction from Wages (Limitation) Regulations 2014 No. 3322. Available at: </w:t>
      </w:r>
      <w:hyperlink r:id="rId54"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https://www.legislation.gov.uk/uksi/2014/3322/made</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0665E0B6"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The National Minimum Wage Act (1998) c. 39. Available at: </w:t>
      </w:r>
      <w:hyperlink r:id="rId55"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https://www.legislation.gov.uk/ukpga/1998/39/contents</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0D6A6210"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The National Minimum Wage (Amendment) Regulations 2016 No. 68 Regulation 3. Available at: </w:t>
      </w:r>
      <w:hyperlink r:id="rId56"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https://www.legislation.gov.uk/uksi/2016/68/regulation/3/made</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June 2024).</w:t>
      </w:r>
    </w:p>
    <w:p w14:paraId="4540BF47"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The Part-time Workers (Prevention of Less Favourable Treatment) Regulations 2000 No. 1551. Available at: </w:t>
      </w:r>
      <w:hyperlink r:id="rId57" w:history="1">
        <w:r w:rsidRPr="003B2A20">
          <w:rPr>
            <w:rFonts w:ascii="Times New Roman" w:eastAsia="Arial" w:hAnsi="Times New Roman" w:cs="Times New Roman"/>
            <w:color w:val="0000FF"/>
            <w:kern w:val="0"/>
            <w:sz w:val="24"/>
            <w:szCs w:val="24"/>
            <w:u w:val="single" w:color="0000FF"/>
            <w:bdr w:val="nil"/>
            <w:lang w:eastAsia="en-GB"/>
            <w14:textOutline w14:w="0" w14:cap="flat" w14:cmpd="sng" w14:algn="ctr">
              <w14:noFill/>
              <w14:prstDash w14:val="solid"/>
              <w14:bevel/>
            </w14:textOutline>
            <w14:ligatures w14:val="none"/>
          </w:rPr>
          <w:t>https://www.legislation.gov.uk/uksi/2000/1551/contents/made</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5FF6DADC"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The Working Time Regulations (1998)</w:t>
      </w:r>
      <w:bookmarkEnd w:id="8"/>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No. 1833. Available at: </w:t>
      </w:r>
      <w:hyperlink r:id="rId58" w:history="1">
        <w:r w:rsidRPr="003B2A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t>https://www.legislation.gov.uk/uksi/1998/1833/contents/made</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w:t>
      </w:r>
    </w:p>
    <w:p w14:paraId="1C37227C"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Wadsworth, H. (2022)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The pros and cons of psychometric testing | Reality HR</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Reality HR Limited</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Available at: </w:t>
      </w:r>
      <w:hyperlink r:id="rId59" w:history="1">
        <w:r w:rsidRPr="003B2A20">
          <w:rPr>
            <w:rFonts w:ascii="Arial" w:eastAsia="Arial" w:hAnsi="Arial" w:cs="Arial"/>
            <w:color w:val="0000FF"/>
            <w:kern w:val="0"/>
            <w:u w:color="0000FF"/>
            <w:bdr w:val="nil"/>
            <w:lang w:eastAsia="en-GB"/>
            <w14:textOutline w14:w="0" w14:cap="flat" w14:cmpd="sng" w14:algn="ctr">
              <w14:noFill/>
              <w14:prstDash w14:val="solid"/>
              <w14:bevel/>
            </w14:textOutline>
            <w14:ligatures w14:val="none"/>
          </w:rPr>
          <w:t>ht</w:t>
        </w:r>
        <w:r w:rsidRPr="003B2A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t>tps://www.realityhr.co.uk/psychometric-testing-pros-cons</w:t>
        </w:r>
      </w:hyperlink>
      <w:r w:rsidRPr="003B2A20">
        <w:rPr>
          <w:rFonts w:ascii="Arial" w:eastAsia="Arial" w:hAnsi="Arial" w:cs="Arial"/>
          <w:color w:val="0000FF"/>
          <w:kern w:val="0"/>
          <w:u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r w:rsidRPr="003B2A20">
        <w:rPr>
          <w:rFonts w:ascii="Arial" w:eastAsia="Times New Roman" w:hAnsi="Arial" w:cs="Times New Roman"/>
          <w:color w:val="000000"/>
          <w:kern w:val="0"/>
          <w:u w:val="single" w:color="000000"/>
          <w:bdr w:val="nil"/>
          <w:lang w:eastAsia="en-GB"/>
          <w14:textOutline w14:w="0" w14:cap="flat" w14:cmpd="sng" w14:algn="ctr">
            <w14:noFill/>
            <w14:prstDash w14:val="solid"/>
            <w14:bevel/>
          </w14:textOutline>
          <w14:ligatures w14:val="none"/>
        </w:rPr>
        <w:t xml:space="preserve"> </w:t>
      </w:r>
    </w:p>
    <w:p w14:paraId="0A32AC7E"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UK Parliament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Autumn budget 2024: Key announcements and analysis. </w:t>
      </w:r>
    </w:p>
    <w:p w14:paraId="55100F26" w14:textId="77777777" w:rsidR="003B2A20" w:rsidRPr="003B2A20" w:rsidRDefault="003B2A20" w:rsidP="003B2A20">
      <w:pPr>
        <w:pBdr>
          <w:top w:val="nil"/>
          <w:left w:val="nil"/>
          <w:bottom w:val="nil"/>
          <w:right w:val="nil"/>
          <w:between w:val="nil"/>
          <w:bar w:val="nil"/>
        </w:pBdr>
        <w:spacing w:after="0"/>
        <w:ind w:left="720"/>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Available at: </w:t>
      </w:r>
      <w:hyperlink r:id="rId60" w:anchor="heading-13" w:history="1">
        <w:r w:rsidRPr="003B2A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t>https://lordslibrary.parliament.uk/autumn-budget-2024-key-announcements-and-analysis/#heading-13</w:t>
        </w:r>
      </w:hyperlink>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 (Accessed November 2024). </w:t>
      </w:r>
    </w:p>
    <w:p w14:paraId="6422198B" w14:textId="77777777" w:rsidR="003B2A20" w:rsidRPr="003B2A20" w:rsidRDefault="003B2A20" w:rsidP="003B2A20">
      <w:pPr>
        <w:numPr>
          <w:ilvl w:val="0"/>
          <w:numId w:val="6"/>
        </w:numPr>
        <w:pBdr>
          <w:top w:val="nil"/>
          <w:left w:val="nil"/>
          <w:bottom w:val="nil"/>
          <w:right w:val="nil"/>
          <w:between w:val="nil"/>
          <w:bar w:val="nil"/>
        </w:pBdr>
        <w:spacing w:after="0" w:line="240" w:lineRule="auto"/>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pP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 xml:space="preserve">UK Parliament (2024), </w:t>
      </w:r>
      <w:r w:rsidRPr="003B2A20">
        <w:rPr>
          <w:rFonts w:ascii="Arial" w:eastAsia="Times New Roman" w:hAnsi="Arial" w:cs="Times New Roman"/>
          <w:i/>
          <w:iCs/>
          <w:color w:val="000000"/>
          <w:kern w:val="0"/>
          <w:u w:color="000000"/>
          <w:bdr w:val="nil"/>
          <w:lang w:eastAsia="en-GB"/>
          <w14:textOutline w14:w="0" w14:cap="flat" w14:cmpd="sng" w14:algn="ctr">
            <w14:noFill/>
            <w14:prstDash w14:val="solid"/>
            <w14:bevel/>
          </w14:textOutline>
          <w14:ligatures w14:val="none"/>
        </w:rPr>
        <w:t xml:space="preserve">Great British Energy Bill: HL Bill 43 of 2024–25. Available at: </w:t>
      </w:r>
    </w:p>
    <w:p w14:paraId="0B3AC330" w14:textId="77777777" w:rsidR="003B2A20" w:rsidRPr="003B2A20" w:rsidRDefault="003B2A20" w:rsidP="003B2A20">
      <w:pPr>
        <w:pBdr>
          <w:top w:val="nil"/>
          <w:left w:val="nil"/>
          <w:bottom w:val="nil"/>
          <w:right w:val="nil"/>
          <w:between w:val="nil"/>
          <w:bar w:val="nil"/>
        </w:pBdr>
        <w:spacing w:after="0"/>
        <w:ind w:left="720"/>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pPr>
      <w:hyperlink r:id="rId61" w:history="1">
        <w:r w:rsidRPr="003B2A20">
          <w:rPr>
            <w:rFonts w:ascii="Arial" w:eastAsia="Arial" w:hAnsi="Arial" w:cs="Arial"/>
            <w:color w:val="0000FF"/>
            <w:kern w:val="0"/>
            <w:u w:val="single" w:color="0000FF"/>
            <w:bdr w:val="nil"/>
            <w:lang w:eastAsia="en-GB"/>
            <w14:textOutline w14:w="0" w14:cap="flat" w14:cmpd="sng" w14:algn="ctr">
              <w14:noFill/>
              <w14:prstDash w14:val="solid"/>
              <w14:bevel/>
            </w14:textOutline>
            <w14:ligatures w14:val="none"/>
          </w:rPr>
          <w:t>https://lordslibrary.parliament.uk/research-briefings/lln-2024-0066/</w:t>
        </w:r>
      </w:hyperlink>
      <w:r w:rsidRPr="003B2A20">
        <w:rPr>
          <w:rFonts w:ascii="Arial" w:eastAsia="Times New Roman" w:hAnsi="Arial" w:cs="Times New Roman"/>
          <w:color w:val="0000FF"/>
          <w:kern w:val="0"/>
          <w:u w:color="0000FF"/>
          <w:bdr w:val="nil"/>
          <w:lang w:eastAsia="en-GB"/>
          <w14:textOutline w14:w="0" w14:cap="flat" w14:cmpd="sng" w14:algn="ctr">
            <w14:noFill/>
            <w14:prstDash w14:val="solid"/>
            <w14:bevel/>
          </w14:textOutline>
          <w14:ligatures w14:val="none"/>
        </w:rPr>
        <w:t xml:space="preserve"> </w:t>
      </w:r>
      <w:r w:rsidRPr="003B2A20">
        <w:rPr>
          <w:rFonts w:ascii="Arial" w:eastAsia="Times New Roman" w:hAnsi="Arial" w:cs="Times New Roman"/>
          <w:color w:val="000000"/>
          <w:kern w:val="0"/>
          <w:u w:color="000000"/>
          <w:bdr w:val="nil"/>
          <w:lang w:eastAsia="en-GB"/>
          <w14:textOutline w14:w="0" w14:cap="flat" w14:cmpd="sng" w14:algn="ctr">
            <w14:noFill/>
            <w14:prstDash w14:val="solid"/>
            <w14:bevel/>
          </w14:textOutline>
          <w14:ligatures w14:val="none"/>
        </w:rPr>
        <w:t>(Accessed November 2024).</w:t>
      </w:r>
    </w:p>
    <w:p w14:paraId="685ECC2C" w14:textId="77777777" w:rsidR="003B2A20" w:rsidRPr="003B2A20" w:rsidRDefault="003B2A20" w:rsidP="003B2A20">
      <w:pPr>
        <w:pBdr>
          <w:top w:val="nil"/>
          <w:left w:val="nil"/>
          <w:bottom w:val="nil"/>
          <w:right w:val="nil"/>
          <w:between w:val="nil"/>
          <w:bar w:val="nil"/>
        </w:pBdr>
        <w:spacing w:after="0" w:line="240" w:lineRule="auto"/>
        <w:rPr>
          <w:rFonts w:ascii="Trebuchet MS" w:eastAsia="Trebuchet MS" w:hAnsi="Trebuchet MS" w:cs="Trebuchet MS"/>
          <w:color w:val="000000"/>
          <w:kern w:val="0"/>
          <w:u w:color="000000"/>
          <w:bdr w:val="nil"/>
          <w:lang w:eastAsia="en-GB"/>
          <w14:ligatures w14:val="none"/>
        </w:rPr>
      </w:pPr>
    </w:p>
    <w:p w14:paraId="17CB959E" w14:textId="77777777" w:rsidR="003B2A20" w:rsidRPr="003B2A20" w:rsidRDefault="003B2A20" w:rsidP="003B2A20">
      <w:pPr>
        <w:pBdr>
          <w:top w:val="nil"/>
          <w:left w:val="nil"/>
          <w:bottom w:val="nil"/>
          <w:right w:val="nil"/>
          <w:between w:val="nil"/>
          <w:bar w:val="nil"/>
        </w:pBdr>
        <w:spacing w:after="0" w:line="240" w:lineRule="auto"/>
        <w:rPr>
          <w:rFonts w:ascii="Trebuchet MS" w:eastAsia="Trebuchet MS" w:hAnsi="Trebuchet MS" w:cs="Trebuchet MS"/>
          <w:color w:val="000000"/>
          <w:kern w:val="0"/>
          <w:u w:color="000000"/>
          <w:bdr w:val="nil"/>
          <w:lang w:eastAsia="en-GB"/>
          <w14:ligatures w14:val="none"/>
        </w:rPr>
      </w:pPr>
    </w:p>
    <w:p w14:paraId="78379BDF" w14:textId="77777777" w:rsidR="003B2A20" w:rsidRPr="003B2A20" w:rsidRDefault="003B2A20" w:rsidP="003B2A20">
      <w:pPr>
        <w:pBdr>
          <w:top w:val="nil"/>
          <w:left w:val="nil"/>
          <w:bottom w:val="nil"/>
          <w:right w:val="nil"/>
          <w:between w:val="nil"/>
          <w:bar w:val="nil"/>
        </w:pBdr>
        <w:spacing w:after="0" w:line="240" w:lineRule="auto"/>
        <w:rPr>
          <w:rFonts w:ascii="Trebuchet MS" w:eastAsia="Trebuchet MS" w:hAnsi="Trebuchet MS" w:cs="Trebuchet MS"/>
          <w:color w:val="000000"/>
          <w:kern w:val="0"/>
          <w:u w:color="000000"/>
          <w:bdr w:val="nil"/>
          <w:lang w:eastAsia="en-GB"/>
          <w14:ligatures w14:val="none"/>
        </w:rPr>
      </w:pPr>
    </w:p>
    <w:p w14:paraId="0863B32D" w14:textId="77777777" w:rsidR="003B2A20" w:rsidRPr="003B2A20" w:rsidRDefault="003B2A20" w:rsidP="003B2A20">
      <w:pPr>
        <w:pBdr>
          <w:top w:val="nil"/>
          <w:left w:val="nil"/>
          <w:bottom w:val="nil"/>
          <w:right w:val="nil"/>
          <w:between w:val="nil"/>
          <w:bar w:val="nil"/>
        </w:pBdr>
        <w:spacing w:after="0" w:line="240" w:lineRule="auto"/>
        <w:rPr>
          <w:rFonts w:ascii="Trebuchet MS" w:eastAsia="Trebuchet MS" w:hAnsi="Trebuchet MS" w:cs="Trebuchet MS"/>
          <w:color w:val="000000"/>
          <w:kern w:val="0"/>
          <w:u w:color="000000"/>
          <w:bdr w:val="nil"/>
          <w:lang w:eastAsia="en-GB"/>
          <w14:ligatures w14:val="none"/>
        </w:rPr>
      </w:pPr>
    </w:p>
    <w:p w14:paraId="68D87CCA" w14:textId="77777777" w:rsidR="007D5FAF" w:rsidRDefault="007D5FAF"/>
    <w:sectPr w:rsidR="007D5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EBADE"/>
    <w:multiLevelType w:val="hybridMultilevel"/>
    <w:tmpl w:val="EFAE9C34"/>
    <w:styleLink w:val="ImportedStyle5"/>
    <w:lvl w:ilvl="0" w:tplc="0098323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B8C91B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DDA304C">
      <w:start w:val="1"/>
      <w:numFmt w:val="lowerRoman"/>
      <w:lvlText w:val="%3."/>
      <w:lvlJc w:val="left"/>
      <w:pPr>
        <w:ind w:left="2160" w:hanging="295"/>
      </w:pPr>
      <w:rPr>
        <w:rFonts w:hAnsi="Arial Unicode MS"/>
        <w:b/>
        <w:bCs/>
        <w:caps w:val="0"/>
        <w:smallCaps w:val="0"/>
        <w:strike w:val="0"/>
        <w:dstrike w:val="0"/>
        <w:outline w:val="0"/>
        <w:emboss w:val="0"/>
        <w:imprint w:val="0"/>
        <w:spacing w:val="0"/>
        <w:w w:val="100"/>
        <w:kern w:val="0"/>
        <w:position w:val="0"/>
        <w:highlight w:val="none"/>
        <w:vertAlign w:val="baseline"/>
      </w:rPr>
    </w:lvl>
    <w:lvl w:ilvl="3" w:tplc="2BBE6F0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D42D24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2FC90FC">
      <w:start w:val="1"/>
      <w:numFmt w:val="lowerRoman"/>
      <w:lvlText w:val="%6."/>
      <w:lvlJc w:val="left"/>
      <w:pPr>
        <w:ind w:left="4320" w:hanging="295"/>
      </w:pPr>
      <w:rPr>
        <w:rFonts w:hAnsi="Arial Unicode MS"/>
        <w:b/>
        <w:bCs/>
        <w:caps w:val="0"/>
        <w:smallCaps w:val="0"/>
        <w:strike w:val="0"/>
        <w:dstrike w:val="0"/>
        <w:outline w:val="0"/>
        <w:emboss w:val="0"/>
        <w:imprint w:val="0"/>
        <w:spacing w:val="0"/>
        <w:w w:val="100"/>
        <w:kern w:val="0"/>
        <w:position w:val="0"/>
        <w:highlight w:val="none"/>
        <w:vertAlign w:val="baseline"/>
      </w:rPr>
    </w:lvl>
    <w:lvl w:ilvl="6" w:tplc="B13E11E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E32393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C6F40B16">
      <w:start w:val="1"/>
      <w:numFmt w:val="lowerRoman"/>
      <w:lvlText w:val="%9."/>
      <w:lvlJc w:val="left"/>
      <w:pPr>
        <w:ind w:left="6480" w:hanging="29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E23B515"/>
    <w:multiLevelType w:val="hybridMultilevel"/>
    <w:tmpl w:val="5462B5EE"/>
    <w:numStyleLink w:val="ImportedStyle30"/>
  </w:abstractNum>
  <w:abstractNum w:abstractNumId="2" w15:restartNumberingAfterBreak="0">
    <w:nsid w:val="336487D6"/>
    <w:multiLevelType w:val="hybridMultilevel"/>
    <w:tmpl w:val="5462B5EE"/>
    <w:styleLink w:val="ImportedStyle30"/>
    <w:lvl w:ilvl="0" w:tplc="1FDC8CAC">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16007226">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AB7E9FCC">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D904FA82">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CF6AC85E">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5AEA169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CF85EF8">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AA586B86">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5336CFCC">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F279472"/>
    <w:multiLevelType w:val="hybridMultilevel"/>
    <w:tmpl w:val="BE42A36E"/>
    <w:styleLink w:val="ImportedStyle6"/>
    <w:lvl w:ilvl="0" w:tplc="65F0361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2E6C214">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8E8AD8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6B80EDA">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FECBD56">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FC0838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D6871E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3DA728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C647CCE">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6849E631"/>
    <w:multiLevelType w:val="hybridMultilevel"/>
    <w:tmpl w:val="EFAE9C34"/>
    <w:numStyleLink w:val="ImportedStyle5"/>
  </w:abstractNum>
  <w:abstractNum w:abstractNumId="5" w15:restartNumberingAfterBreak="0">
    <w:nsid w:val="6C6183FC"/>
    <w:multiLevelType w:val="hybridMultilevel"/>
    <w:tmpl w:val="BE42A36E"/>
    <w:numStyleLink w:val="ImportedStyle6"/>
  </w:abstractNum>
  <w:num w:numId="1" w16cid:durableId="2100784535">
    <w:abstractNumId w:val="0"/>
  </w:num>
  <w:num w:numId="2" w16cid:durableId="355430677">
    <w:abstractNumId w:val="4"/>
  </w:num>
  <w:num w:numId="3" w16cid:durableId="1805266736">
    <w:abstractNumId w:val="3"/>
  </w:num>
  <w:num w:numId="4" w16cid:durableId="548228505">
    <w:abstractNumId w:val="5"/>
  </w:num>
  <w:num w:numId="5" w16cid:durableId="1087308911">
    <w:abstractNumId w:val="2"/>
  </w:num>
  <w:num w:numId="6" w16cid:durableId="1132602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20"/>
    <w:rsid w:val="000E013F"/>
    <w:rsid w:val="003B2A20"/>
    <w:rsid w:val="00466196"/>
    <w:rsid w:val="006E0036"/>
    <w:rsid w:val="006F38A8"/>
    <w:rsid w:val="007D5FAF"/>
    <w:rsid w:val="009D5AEF"/>
    <w:rsid w:val="00B05AED"/>
    <w:rsid w:val="00EE677C"/>
    <w:rsid w:val="00FD1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EB342"/>
  <w15:chartTrackingRefBased/>
  <w15:docId w15:val="{41E23452-E904-4996-944E-76030E38B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A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2A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2A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2A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2A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2A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2A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2A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2A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A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2A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2A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2A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2A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2A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2A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2A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2A20"/>
    <w:rPr>
      <w:rFonts w:eastAsiaTheme="majorEastAsia" w:cstheme="majorBidi"/>
      <w:color w:val="272727" w:themeColor="text1" w:themeTint="D8"/>
    </w:rPr>
  </w:style>
  <w:style w:type="paragraph" w:styleId="Title">
    <w:name w:val="Title"/>
    <w:basedOn w:val="Normal"/>
    <w:next w:val="Normal"/>
    <w:link w:val="TitleChar"/>
    <w:uiPriority w:val="10"/>
    <w:qFormat/>
    <w:rsid w:val="003B2A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A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2A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A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2A20"/>
    <w:pPr>
      <w:spacing w:before="160"/>
      <w:jc w:val="center"/>
    </w:pPr>
    <w:rPr>
      <w:i/>
      <w:iCs/>
      <w:color w:val="404040" w:themeColor="text1" w:themeTint="BF"/>
    </w:rPr>
  </w:style>
  <w:style w:type="character" w:customStyle="1" w:styleId="QuoteChar">
    <w:name w:val="Quote Char"/>
    <w:basedOn w:val="DefaultParagraphFont"/>
    <w:link w:val="Quote"/>
    <w:uiPriority w:val="29"/>
    <w:rsid w:val="003B2A20"/>
    <w:rPr>
      <w:i/>
      <w:iCs/>
      <w:color w:val="404040" w:themeColor="text1" w:themeTint="BF"/>
    </w:rPr>
  </w:style>
  <w:style w:type="paragraph" w:styleId="ListParagraph">
    <w:name w:val="List Paragraph"/>
    <w:basedOn w:val="Normal"/>
    <w:uiPriority w:val="34"/>
    <w:qFormat/>
    <w:rsid w:val="003B2A20"/>
    <w:pPr>
      <w:ind w:left="720"/>
      <w:contextualSpacing/>
    </w:pPr>
  </w:style>
  <w:style w:type="character" w:styleId="IntenseEmphasis">
    <w:name w:val="Intense Emphasis"/>
    <w:basedOn w:val="DefaultParagraphFont"/>
    <w:uiPriority w:val="21"/>
    <w:qFormat/>
    <w:rsid w:val="003B2A20"/>
    <w:rPr>
      <w:i/>
      <w:iCs/>
      <w:color w:val="0F4761" w:themeColor="accent1" w:themeShade="BF"/>
    </w:rPr>
  </w:style>
  <w:style w:type="paragraph" w:styleId="IntenseQuote">
    <w:name w:val="Intense Quote"/>
    <w:basedOn w:val="Normal"/>
    <w:next w:val="Normal"/>
    <w:link w:val="IntenseQuoteChar"/>
    <w:uiPriority w:val="30"/>
    <w:qFormat/>
    <w:rsid w:val="003B2A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2A20"/>
    <w:rPr>
      <w:i/>
      <w:iCs/>
      <w:color w:val="0F4761" w:themeColor="accent1" w:themeShade="BF"/>
    </w:rPr>
  </w:style>
  <w:style w:type="character" w:styleId="IntenseReference">
    <w:name w:val="Intense Reference"/>
    <w:basedOn w:val="DefaultParagraphFont"/>
    <w:uiPriority w:val="32"/>
    <w:qFormat/>
    <w:rsid w:val="003B2A20"/>
    <w:rPr>
      <w:b/>
      <w:bCs/>
      <w:smallCaps/>
      <w:color w:val="0F4761" w:themeColor="accent1" w:themeShade="BF"/>
      <w:spacing w:val="5"/>
    </w:rPr>
  </w:style>
  <w:style w:type="numbering" w:customStyle="1" w:styleId="ImportedStyle5">
    <w:name w:val="Imported Style 5"/>
    <w:rsid w:val="003B2A20"/>
    <w:pPr>
      <w:numPr>
        <w:numId w:val="1"/>
      </w:numPr>
    </w:pPr>
  </w:style>
  <w:style w:type="numbering" w:customStyle="1" w:styleId="ImportedStyle6">
    <w:name w:val="Imported Style 6"/>
    <w:rsid w:val="003B2A20"/>
    <w:pPr>
      <w:numPr>
        <w:numId w:val="3"/>
      </w:numPr>
    </w:pPr>
  </w:style>
  <w:style w:type="numbering" w:customStyle="1" w:styleId="ImportedStyle30">
    <w:name w:val="Imported Style 3.0"/>
    <w:rsid w:val="003B2A20"/>
    <w:pPr>
      <w:numPr>
        <w:numId w:val="5"/>
      </w:numPr>
    </w:pPr>
  </w:style>
  <w:style w:type="paragraph" w:customStyle="1" w:styleId="BodyA">
    <w:name w:val="Body A"/>
    <w:rsid w:val="006E0036"/>
    <w:pPr>
      <w:pBdr>
        <w:top w:val="nil"/>
        <w:left w:val="nil"/>
        <w:bottom w:val="nil"/>
        <w:right w:val="nil"/>
        <w:between w:val="nil"/>
        <w:bar w:val="nil"/>
      </w:pBdr>
      <w:spacing w:after="0"/>
    </w:pPr>
    <w:rPr>
      <w:rFonts w:ascii="Arial" w:eastAsia="Arial Unicode MS" w:hAnsi="Arial" w:cs="Arial Unicode MS"/>
      <w:color w:val="000000"/>
      <w:kern w:val="0"/>
      <w:u w:color="000000"/>
      <w:bdr w:val="nil"/>
      <w:lang w:val="en-US" w:eastAsia="en-GB"/>
      <w14:textOutline w14:w="12700" w14:cap="flat" w14:cmpd="sng" w14:algn="ctr">
        <w14:noFill/>
        <w14:prstDash w14:val="solid"/>
        <w14:miter w14:lim="400000"/>
      </w14:textOutline>
      <w14:ligatures w14:val="none"/>
    </w:rPr>
  </w:style>
  <w:style w:type="paragraph" w:customStyle="1" w:styleId="Nornal">
    <w:name w:val="Nornal"/>
    <w:rsid w:val="006E0036"/>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character" w:customStyle="1" w:styleId="None">
    <w:name w:val="None"/>
    <w:rsid w:val="006E0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gileworkforceplanning.com/combatting-capability-decay-copy/" TargetMode="External"/><Relationship Id="rId18" Type="http://schemas.openxmlformats.org/officeDocument/2006/relationships/hyperlink" Target="https://centrichr.co.uk/what-is-the-true-cost-of-replacing-an-employee/" TargetMode="External"/><Relationship Id="rId26" Type="http://schemas.openxmlformats.org/officeDocument/2006/relationships/hyperlink" Target="https://www.cipd.org/uk/knowledge/guides/strategic-workforce-planning/" TargetMode="External"/><Relationship Id="rId39" Type="http://schemas.openxmlformats.org/officeDocument/2006/relationships/hyperlink" Target="https://www.legislation.gov.uk/ukpga/1996/18/contents" TargetMode="External"/><Relationship Id="rId21" Type="http://schemas.openxmlformats.org/officeDocument/2006/relationships/hyperlink" Target="https://hbr.org/2021/05/how-to-set-up-a-remote-employee-for-success-on-day-one" TargetMode="External"/><Relationship Id="rId34" Type="http://schemas.openxmlformats.org/officeDocument/2006/relationships/hyperlink" Target="https://www.cipd.org/uk/knowledge/factsheets/swot-analysis-factsheet/" TargetMode="External"/><Relationship Id="rId42" Type="http://schemas.openxmlformats.org/officeDocument/2006/relationships/hyperlink" Target="https://www.gov.uk/holiday-entitlement-rights" TargetMode="External"/><Relationship Id="rId47" Type="http://schemas.openxmlformats.org/officeDocument/2006/relationships/hyperlink" Target="https://www.employment-studies.co.uk/system/files/resources/files/372.pdf" TargetMode="External"/><Relationship Id="rId50" Type="http://schemas.openxmlformats.org/officeDocument/2006/relationships/hyperlink" Target="https://www.ons.gov.uk/employmentandlabourmarket/peopleinwork/employmentandemployeetypes/bulletins/averageweeklyearningsingreatbritain/november2024" TargetMode="External"/><Relationship Id="rId55" Type="http://schemas.openxmlformats.org/officeDocument/2006/relationships/hyperlink" Target="https://www.legislation.gov.uk/ukpga/1998/39/contents" TargetMode="External"/><Relationship Id="rId63" Type="http://schemas.openxmlformats.org/officeDocument/2006/relationships/theme" Target="theme/theme1.xml"/><Relationship Id="rId7" Type="http://schemas.openxmlformats.org/officeDocument/2006/relationships/hyperlink" Target="https://www.acas.org.uk/changing-an-employment-contract/employer-responsibilities" TargetMode="External"/><Relationship Id="rId2" Type="http://schemas.openxmlformats.org/officeDocument/2006/relationships/styles" Target="styles.xml"/><Relationship Id="rId16" Type="http://schemas.openxmlformats.org/officeDocument/2006/relationships/hyperlink" Target="https://www.bbc.co.uk/news/uk-48785695" TargetMode="External"/><Relationship Id="rId29" Type="http://schemas.openxmlformats.org/officeDocument/2006/relationships/hyperlink" Target="https://www.cipd.org/uk/knowledge/reports/labour-market-outlook/" TargetMode="External"/><Relationship Id="rId11" Type="http://schemas.openxmlformats.org/officeDocument/2006/relationships/hyperlink" Target="https://www.acas.org.uk/national-minimum-wage-entitlement/if-an-employer-does-not-pay-minimum-wage" TargetMode="External"/><Relationship Id="rId24" Type="http://schemas.openxmlformats.org/officeDocument/2006/relationships/hyperlink" Target="https://www.cipd.org/uk/knowledge/guides/fixed-term-contracts-guide/" TargetMode="External"/><Relationship Id="rId32" Type="http://schemas.openxmlformats.org/officeDocument/2006/relationships/hyperlink" Target="https://www.cipd.org/uk/knowledge/reports/resourcing-surveys/" TargetMode="External"/><Relationship Id="rId37" Type="http://schemas.openxmlformats.org/officeDocument/2006/relationships/hyperlink" Target="https://www.bbc.co.uk/news/articles/cw4yvprvn94o" TargetMode="External"/><Relationship Id="rId40" Type="http://schemas.openxmlformats.org/officeDocument/2006/relationships/hyperlink" Target="https://publications.parliament.uk/pa/ld200809/ldjudgmt/jd090610/string-2.htm" TargetMode="External"/><Relationship Id="rId45" Type="http://schemas.openxmlformats.org/officeDocument/2006/relationships/hyperlink" Target="https://www.gov.uk/government/news/what-does-the-employment-rights-bill-mean-for-you" TargetMode="External"/><Relationship Id="rId53" Type="http://schemas.openxmlformats.org/officeDocument/2006/relationships/hyperlink" Target="https://link.springer.com/article/10.1007/s10869-021-09757-0" TargetMode="External"/><Relationship Id="rId58" Type="http://schemas.openxmlformats.org/officeDocument/2006/relationships/hyperlink" Target="https://www.legislation.gov.uk/uksi/1998/1833/contents/made" TargetMode="External"/><Relationship Id="rId5" Type="http://schemas.openxmlformats.org/officeDocument/2006/relationships/hyperlink" Target="https://www.acas.org.uk/making-a-claim-to-an-employment-tribunal" TargetMode="External"/><Relationship Id="rId61" Type="http://schemas.openxmlformats.org/officeDocument/2006/relationships/hyperlink" Target="https://lordslibrary.parliament.uk/research-briefings/lln-2024-0066/" TargetMode="External"/><Relationship Id="rId19" Type="http://schemas.openxmlformats.org/officeDocument/2006/relationships/hyperlink" Target="https://www.researchgate.net/publication/284689712_The_War_for_Talent" TargetMode="External"/><Relationship Id="rId14" Type="http://schemas.openxmlformats.org/officeDocument/2006/relationships/hyperlink" Target="https://www.peoplemanagement.co.uk/article/1820372/four-tips-getting-inductions-right-hybrid-working-world" TargetMode="External"/><Relationship Id="rId22" Type="http://schemas.openxmlformats.org/officeDocument/2006/relationships/hyperlink" Target="https://www.cipd.org/globalassets/media/knowledge/knowledge-hub/guides/zero-hours-contracts-guide-web-2021_tcm18-10706.pdf" TargetMode="External"/><Relationship Id="rId27" Type="http://schemas.openxmlformats.org/officeDocument/2006/relationships/hyperlink" Target="https://www.cipd.org/uk/knowledge/factsheets/turnover-retention-factsheet/" TargetMode="External"/><Relationship Id="rId30" Type="http://schemas.openxmlformats.org/officeDocument/2006/relationships/hyperlink" Target="https://www.cipd.org/uk/topics/recruitment/c" TargetMode="External"/><Relationship Id="rId35" Type="http://schemas.openxmlformats.org/officeDocument/2006/relationships/hyperlink" Target="https://www.cipd.org/uk/knowledge/factsheets/economy-labour-market-factsheet/" TargetMode="External"/><Relationship Id="rId43" Type="http://schemas.openxmlformats.org/officeDocument/2006/relationships/hyperlink" Target="https://www.gov.uk/maternity-pay-leave/leave" TargetMode="External"/><Relationship Id="rId48" Type="http://schemas.openxmlformats.org/officeDocument/2006/relationships/hyperlink" Target="https://www.gov.uk/government/publications/minimum-wage-rates-for-2025" TargetMode="External"/><Relationship Id="rId56" Type="http://schemas.openxmlformats.org/officeDocument/2006/relationships/hyperlink" Target="https://www.legislation.gov.uk/uksi/2016/68/regulation/3/made" TargetMode="External"/><Relationship Id="rId8" Type="http://schemas.openxmlformats.org/officeDocument/2006/relationships/hyperlink" Target="https://www.acas.org.uk/acas-code-of-practice-on-flexible-working-requests/html" TargetMode="External"/><Relationship Id="rId51" Type="http://schemas.openxmlformats.org/officeDocument/2006/relationships/hyperlink" Target="https://hbr.org/1969/03/job-enrichment-pays-off" TargetMode="External"/><Relationship Id="rId3" Type="http://schemas.openxmlformats.org/officeDocument/2006/relationships/settings" Target="settings.xml"/><Relationship Id="rId12" Type="http://schemas.openxmlformats.org/officeDocument/2006/relationships/hyperlink" Target="https://www.acas.org.uk/statutory-flexible-working-requests/making-a-request" TargetMode="External"/><Relationship Id="rId17" Type="http://schemas.openxmlformats.org/officeDocument/2006/relationships/hyperlink" Target="https://www.forbes.com/sites/johnbremen/2022/09/20/quiet-quitting-the-real-story-dont-blame-gen-z/?sh=311042d12eab" TargetMode="External"/><Relationship Id="rId25" Type="http://schemas.openxmlformats.org/officeDocument/2006/relationships/hyperlink" Target="https://moodle.uwtsd.ac.uk/course/view.php?id=10060&amp;section=6" TargetMode="External"/><Relationship Id="rId33" Type="http://schemas.openxmlformats.org/officeDocument/2006/relationships/hyperlink" Target="https://www.cipd.org/uk/knowledge/factsheets/reward-factsheet/" TargetMode="External"/><Relationship Id="rId38" Type="http://schemas.openxmlformats.org/officeDocument/2006/relationships/hyperlink" Target="https://www.legislation.gov.uk/ukpga/2023/33/contents/enacted" TargetMode="External"/><Relationship Id="rId46" Type="http://schemas.openxmlformats.org/officeDocument/2006/relationships/hyperlink" Target="https://www.gallup.com/workplace/236366/right-culture-not-employee-satisfaction.aspx" TargetMode="External"/><Relationship Id="rId59" Type="http://schemas.openxmlformats.org/officeDocument/2006/relationships/hyperlink" Target="https://www.realityhr.co.uk/psychometric-testing-pros-cons" TargetMode="External"/><Relationship Id="rId20" Type="http://schemas.openxmlformats.org/officeDocument/2006/relationships/hyperlink" Target="https://www.peoplemanagement.co.uk/article/1795419/high-employee-turnover-damaging-company-culture-research-suggests" TargetMode="External"/><Relationship Id="rId41" Type="http://schemas.openxmlformats.org/officeDocument/2006/relationships/hyperlink" Target="https://www.legislation.gov.uk/ukpga/2010/15" TargetMode="External"/><Relationship Id="rId54" Type="http://schemas.openxmlformats.org/officeDocument/2006/relationships/hyperlink" Target="https://www.legislation.gov.uk/uksi/2014/3322/made"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as.org.uk/rest-breaks" TargetMode="External"/><Relationship Id="rId15" Type="http://schemas.openxmlformats.org/officeDocument/2006/relationships/hyperlink" Target="https://www.cipd.org/uk/knowledge/factsheets/pestle-analysis-factsheet/" TargetMode="External"/><Relationship Id="rId23" Type="http://schemas.openxmlformats.org/officeDocument/2006/relationships/hyperlink" Target="https://www.cipd.org/globalassets/media/knowledge/knowledge-hub/guides/2023-pdfs/inclusive-recruitment-employers-guide_tcm18-112787.pdf" TargetMode="External"/><Relationship Id="rId28" Type="http://schemas.openxmlformats.org/officeDocument/2006/relationships/hyperlink" Target="https://www.cipd.org/uk/the-people-profession/the-profession-map/explore-the-profession-map/specialist-knowledge/employee-experience/" TargetMode="External"/><Relationship Id="rId36" Type="http://schemas.openxmlformats.org/officeDocument/2006/relationships/hyperlink" Target="https://www.cipd.org/uk/knowledge/factsheets/workforce-planning-factsheet/" TargetMode="External"/><Relationship Id="rId49" Type="http://schemas.openxmlformats.org/officeDocument/2006/relationships/hyperlink" Target="https://asiakas.kotisivukone.com/files/laatuoptimi2013.kotisivukone.com/tiedostot/porter_5competitive_forces.pdf" TargetMode="External"/><Relationship Id="rId57" Type="http://schemas.openxmlformats.org/officeDocument/2006/relationships/hyperlink" Target="https://www.legislation.gov.uk/uksi/2000/1551/contents/made" TargetMode="External"/><Relationship Id="rId10" Type="http://schemas.openxmlformats.org/officeDocument/2006/relationships/hyperlink" Target="https://www.acas.org.uk/equal-pay/equal-pay-law" TargetMode="External"/><Relationship Id="rId31" Type="http://schemas.openxmlformats.org/officeDocument/2006/relationships/hyperlink" Target="https://www.cipd.org/globalassets/media/knowledge/knowledge-hub/tools/2024-pdfs/8411-respond-to-flexible-working-request-flowchart-feb24.pdf" TargetMode="External"/><Relationship Id="rId44" Type="http://schemas.openxmlformats.org/officeDocument/2006/relationships/hyperlink" Target="https://www.gov.uk/maximum-weekly-working-hours" TargetMode="External"/><Relationship Id="rId52" Type="http://schemas.openxmlformats.org/officeDocument/2006/relationships/hyperlink" Target="https://resources.workable.com/tutorial/new-hire-turnover-rate" TargetMode="External"/><Relationship Id="rId60" Type="http://schemas.openxmlformats.org/officeDocument/2006/relationships/hyperlink" Target="https://lordslibrary.parliament.uk/autumn-budget-2024-key-announcements-and-analysis/" TargetMode="External"/><Relationship Id="rId4" Type="http://schemas.openxmlformats.org/officeDocument/2006/relationships/webSettings" Target="webSettings.xml"/><Relationship Id="rId9" Type="http://schemas.openxmlformats.org/officeDocument/2006/relationships/hyperlink" Target="https://www.acas.org.uk/employment-contracts-and-the-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7058</Words>
  <Characters>40235</Characters>
  <Application>Microsoft Office Word</Application>
  <DocSecurity>0</DocSecurity>
  <Lines>335</Lines>
  <Paragraphs>94</Paragraphs>
  <ScaleCrop>false</ScaleCrop>
  <Company/>
  <LinksUpToDate>false</LinksUpToDate>
  <CharactersWithSpaces>47199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Jones</dc:creator>
  <cp:keywords/>
  <dc:description/>
  <cp:lastModifiedBy>Thomas Jones</cp:lastModifiedBy>
  <cp:revision>2</cp:revision>
  <dcterms:created xsi:type="dcterms:W3CDTF">2025-02-24T10:07:00Z</dcterms:created>
  <dcterms:modified xsi:type="dcterms:W3CDTF">2025-02-24T10:07:00Z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819d78-938c-4872-af2b-40cf5b347000_Enabled">
    <vt:lpwstr>true</vt:lpwstr>
  </property>
  <property fmtid="{D5CDD505-2E9C-101B-9397-08002B2CF9AE}" pid="3" name="MSIP_Label_7f819d78-938c-4872-af2b-40cf5b347000_SetDate">
    <vt:lpwstr>2025-02-24T09:06:58Z</vt:lpwstr>
  </property>
  <property fmtid="{D5CDD505-2E9C-101B-9397-08002B2CF9AE}" pid="4" name="MSIP_Label_7f819d78-938c-4872-af2b-40cf5b347000_Method">
    <vt:lpwstr>Standard</vt:lpwstr>
  </property>
  <property fmtid="{D5CDD505-2E9C-101B-9397-08002B2CF9AE}" pid="5" name="MSIP_Label_7f819d78-938c-4872-af2b-40cf5b347000_Name">
    <vt:lpwstr>Internal</vt:lpwstr>
  </property>
  <property fmtid="{D5CDD505-2E9C-101B-9397-08002B2CF9AE}" pid="6" name="MSIP_Label_7f819d78-938c-4872-af2b-40cf5b347000_SiteId">
    <vt:lpwstr>1f758329-8df9-4285-af1e-1f1e58d2d08b</vt:lpwstr>
  </property>
  <property fmtid="{D5CDD505-2E9C-101B-9397-08002B2CF9AE}" pid="7" name="MSIP_Label_7f819d78-938c-4872-af2b-40cf5b347000_ActionId">
    <vt:lpwstr>26685927-c7bf-41e2-8c59-103d0b41bfc7</vt:lpwstr>
  </property>
  <property fmtid="{D5CDD505-2E9C-101B-9397-08002B2CF9AE}" pid="8" name="MSIP_Label_7f819d78-938c-4872-af2b-40cf5b347000_ContentBits">
    <vt:lpwstr>0</vt:lpwstr>
  </property>
  <property fmtid="{D5CDD505-2E9C-101B-9397-08002B2CF9AE}" pid="9" name="MSIP_Label_7f819d78-938c-4872-af2b-40cf5b347000_Tag">
    <vt:lpwstr>10, 3, 0, 1</vt:lpwstr>
  </property>
</Properties>
</file>