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A48F9" w14:textId="5BEFF11F" w:rsidR="00FA1EBE" w:rsidRPr="00FA1EBE" w:rsidRDefault="00FA1EBE" w:rsidP="00FA1EBE">
      <w:pPr>
        <w:spacing w:line="360" w:lineRule="auto"/>
        <w:jc w:val="center"/>
        <w:rPr>
          <w:rFonts w:ascii="Times New Roman" w:hAnsi="Times New Roman" w:cs="Times New Roman"/>
          <w:b/>
          <w:bCs/>
          <w:sz w:val="32"/>
          <w:szCs w:val="32"/>
        </w:rPr>
      </w:pPr>
      <w:r w:rsidRPr="00FA1EBE">
        <w:rPr>
          <w:rFonts w:ascii="Times New Roman" w:hAnsi="Times New Roman" w:cs="Times New Roman"/>
          <w:b/>
          <w:bCs/>
          <w:noProof/>
          <w:sz w:val="32"/>
          <w:szCs w:val="32"/>
        </w:rPr>
        <w:drawing>
          <wp:inline distT="0" distB="0" distL="0" distR="0" wp14:anchorId="4DA322C9" wp14:editId="69C23ECB">
            <wp:extent cx="3787140" cy="1257300"/>
            <wp:effectExtent l="0" t="0" r="3810" b="0"/>
            <wp:docPr id="321312231"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7140" cy="1257300"/>
                    </a:xfrm>
                    <a:prstGeom prst="rect">
                      <a:avLst/>
                    </a:prstGeom>
                    <a:noFill/>
                    <a:ln>
                      <a:noFill/>
                    </a:ln>
                  </pic:spPr>
                </pic:pic>
              </a:graphicData>
            </a:graphic>
          </wp:inline>
        </w:drawing>
      </w:r>
    </w:p>
    <w:p w14:paraId="1C4E24AB" w14:textId="77777777" w:rsidR="00FA1EBE" w:rsidRPr="00FA1EBE" w:rsidRDefault="00FA1EBE" w:rsidP="00FA1EBE">
      <w:pPr>
        <w:spacing w:line="360" w:lineRule="auto"/>
        <w:jc w:val="center"/>
        <w:rPr>
          <w:rFonts w:ascii="Times New Roman" w:hAnsi="Times New Roman" w:cs="Times New Roman"/>
          <w:b/>
          <w:bCs/>
          <w:sz w:val="32"/>
          <w:szCs w:val="32"/>
        </w:rPr>
      </w:pPr>
    </w:p>
    <w:p w14:paraId="7CE16E0A" w14:textId="77777777" w:rsidR="00FA1EBE" w:rsidRPr="00FA1EBE" w:rsidRDefault="00FA1EBE" w:rsidP="00FA1EBE">
      <w:pPr>
        <w:spacing w:line="360" w:lineRule="auto"/>
        <w:jc w:val="center"/>
        <w:rPr>
          <w:rFonts w:ascii="Times New Roman" w:hAnsi="Times New Roman" w:cs="Times New Roman"/>
          <w:b/>
          <w:bCs/>
          <w:sz w:val="32"/>
          <w:szCs w:val="32"/>
        </w:rPr>
      </w:pPr>
    </w:p>
    <w:p w14:paraId="6F475F21" w14:textId="77777777" w:rsidR="00FA1EBE" w:rsidRPr="00FA1EBE" w:rsidRDefault="00FA1EBE" w:rsidP="00FA1EBE">
      <w:pPr>
        <w:spacing w:line="360" w:lineRule="auto"/>
        <w:jc w:val="center"/>
        <w:rPr>
          <w:rFonts w:ascii="Times New Roman" w:hAnsi="Times New Roman" w:cs="Times New Roman"/>
          <w:b/>
          <w:bCs/>
          <w:sz w:val="32"/>
          <w:szCs w:val="32"/>
        </w:rPr>
      </w:pPr>
    </w:p>
    <w:p w14:paraId="20196B9A" w14:textId="6DFE7A2F" w:rsidR="00FA1EBE" w:rsidRPr="00FA1EBE" w:rsidRDefault="00FA1EBE" w:rsidP="00FA1EBE">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Module name: </w:t>
      </w:r>
      <w:r w:rsidR="00496730">
        <w:rPr>
          <w:rFonts w:ascii="Times New Roman" w:hAnsi="Times New Roman" w:cs="Times New Roman"/>
          <w:b/>
          <w:bCs/>
          <w:sz w:val="32"/>
          <w:szCs w:val="32"/>
        </w:rPr>
        <w:t xml:space="preserve">Health </w:t>
      </w:r>
      <w:r w:rsidR="00DF0C90">
        <w:rPr>
          <w:rFonts w:ascii="Times New Roman" w:hAnsi="Times New Roman" w:cs="Times New Roman"/>
          <w:b/>
          <w:bCs/>
          <w:sz w:val="32"/>
          <w:szCs w:val="32"/>
        </w:rPr>
        <w:t xml:space="preserve">Economics </w:t>
      </w:r>
    </w:p>
    <w:p w14:paraId="0A41BB1B" w14:textId="0500B11B" w:rsidR="00FA1EBE" w:rsidRPr="00FA1EBE" w:rsidRDefault="00FA1EBE" w:rsidP="00FA1EBE">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Module Lead: </w:t>
      </w:r>
      <w:r w:rsidR="00DF0C90">
        <w:rPr>
          <w:rFonts w:ascii="Times New Roman" w:hAnsi="Times New Roman" w:cs="Times New Roman"/>
          <w:b/>
          <w:bCs/>
          <w:sz w:val="32"/>
          <w:szCs w:val="32"/>
        </w:rPr>
        <w:t xml:space="preserve">Dr. L. Simona </w:t>
      </w:r>
      <w:r w:rsidR="00EF57EA">
        <w:rPr>
          <w:rFonts w:ascii="Times New Roman" w:hAnsi="Times New Roman" w:cs="Times New Roman"/>
          <w:b/>
          <w:bCs/>
          <w:sz w:val="32"/>
          <w:szCs w:val="32"/>
        </w:rPr>
        <w:t>Ferraraccio</w:t>
      </w:r>
    </w:p>
    <w:p w14:paraId="16B3AB37" w14:textId="3A878AB3" w:rsidR="00FA1EBE" w:rsidRPr="00FA1EBE" w:rsidRDefault="00FA1EBE" w:rsidP="00FA1EBE">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Module code: BMHP502</w:t>
      </w:r>
      <w:r w:rsidR="00496730">
        <w:rPr>
          <w:rFonts w:ascii="Times New Roman" w:hAnsi="Times New Roman" w:cs="Times New Roman"/>
          <w:b/>
          <w:bCs/>
          <w:sz w:val="32"/>
          <w:szCs w:val="32"/>
        </w:rPr>
        <w:t>2</w:t>
      </w:r>
    </w:p>
    <w:p w14:paraId="05BC1D7F" w14:textId="77777777" w:rsidR="00FA1EBE" w:rsidRPr="00AE6548" w:rsidRDefault="00FA1EBE" w:rsidP="00FA1EBE">
      <w:pPr>
        <w:spacing w:line="360" w:lineRule="auto"/>
        <w:jc w:val="center"/>
        <w:rPr>
          <w:rFonts w:ascii="Times New Roman" w:hAnsi="Times New Roman" w:cs="Times New Roman"/>
          <w:b/>
          <w:bCs/>
          <w:sz w:val="32"/>
          <w:szCs w:val="32"/>
        </w:rPr>
      </w:pPr>
      <w:r w:rsidRPr="00AE6548">
        <w:rPr>
          <w:rFonts w:ascii="Times New Roman" w:hAnsi="Times New Roman" w:cs="Times New Roman"/>
          <w:b/>
          <w:bCs/>
          <w:sz w:val="32"/>
          <w:szCs w:val="32"/>
        </w:rPr>
        <w:t>Student: Tami Biban</w:t>
      </w:r>
    </w:p>
    <w:p w14:paraId="1CC453AD" w14:textId="77777777" w:rsidR="00FA1EBE" w:rsidRPr="00AE6548" w:rsidRDefault="00FA1EBE" w:rsidP="00FA1EBE">
      <w:pPr>
        <w:spacing w:line="360" w:lineRule="auto"/>
        <w:jc w:val="center"/>
        <w:rPr>
          <w:rFonts w:ascii="Times New Roman" w:hAnsi="Times New Roman" w:cs="Times New Roman"/>
          <w:b/>
          <w:bCs/>
          <w:sz w:val="32"/>
          <w:szCs w:val="32"/>
        </w:rPr>
      </w:pPr>
      <w:r w:rsidRPr="00AE6548">
        <w:rPr>
          <w:rFonts w:ascii="Times New Roman" w:hAnsi="Times New Roman" w:cs="Times New Roman"/>
          <w:b/>
          <w:bCs/>
          <w:sz w:val="32"/>
          <w:szCs w:val="32"/>
        </w:rPr>
        <w:t>Student ID: 2311222</w:t>
      </w:r>
    </w:p>
    <w:p w14:paraId="32CAD2B7" w14:textId="01CFCE6A" w:rsidR="00FA1EBE" w:rsidRPr="00FA1EBE" w:rsidRDefault="00FA1EBE" w:rsidP="00FA1EBE">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Word count: </w:t>
      </w:r>
      <w:r w:rsidR="00AE6548">
        <w:rPr>
          <w:rFonts w:ascii="Times New Roman" w:hAnsi="Times New Roman" w:cs="Times New Roman"/>
          <w:b/>
          <w:bCs/>
          <w:sz w:val="32"/>
          <w:szCs w:val="32"/>
        </w:rPr>
        <w:t>2245</w:t>
      </w:r>
    </w:p>
    <w:p w14:paraId="2A02792B" w14:textId="77777777" w:rsidR="00FA1EBE" w:rsidRPr="00FA1EBE" w:rsidRDefault="00FA1EBE" w:rsidP="00FA1EBE">
      <w:pPr>
        <w:spacing w:line="360" w:lineRule="auto"/>
        <w:jc w:val="both"/>
        <w:rPr>
          <w:rFonts w:ascii="Times New Roman" w:hAnsi="Times New Roman" w:cs="Times New Roman"/>
          <w:b/>
          <w:bCs/>
          <w:sz w:val="32"/>
          <w:szCs w:val="32"/>
        </w:rPr>
      </w:pPr>
    </w:p>
    <w:p w14:paraId="49C0760A" w14:textId="77777777" w:rsidR="00FA1EBE" w:rsidRDefault="00FA1EBE" w:rsidP="00F41884">
      <w:pPr>
        <w:spacing w:line="360" w:lineRule="auto"/>
        <w:jc w:val="both"/>
        <w:rPr>
          <w:rFonts w:ascii="Times New Roman" w:hAnsi="Times New Roman" w:cs="Times New Roman"/>
          <w:b/>
          <w:bCs/>
          <w:sz w:val="32"/>
          <w:szCs w:val="32"/>
        </w:rPr>
      </w:pPr>
    </w:p>
    <w:p w14:paraId="485BA4C3" w14:textId="77777777" w:rsidR="00FA1EBE" w:rsidRDefault="00FA1EBE" w:rsidP="00F41884">
      <w:pPr>
        <w:spacing w:line="360" w:lineRule="auto"/>
        <w:jc w:val="both"/>
        <w:rPr>
          <w:rFonts w:ascii="Times New Roman" w:hAnsi="Times New Roman" w:cs="Times New Roman"/>
          <w:b/>
          <w:bCs/>
          <w:sz w:val="32"/>
          <w:szCs w:val="32"/>
        </w:rPr>
      </w:pPr>
    </w:p>
    <w:p w14:paraId="0DC6E001" w14:textId="77777777" w:rsidR="00FA1EBE" w:rsidRDefault="00FA1EBE" w:rsidP="00F41884">
      <w:pPr>
        <w:spacing w:line="360" w:lineRule="auto"/>
        <w:jc w:val="both"/>
        <w:rPr>
          <w:rFonts w:ascii="Times New Roman" w:hAnsi="Times New Roman" w:cs="Times New Roman"/>
          <w:b/>
          <w:bCs/>
          <w:sz w:val="32"/>
          <w:szCs w:val="32"/>
        </w:rPr>
      </w:pPr>
    </w:p>
    <w:p w14:paraId="1D542A9B" w14:textId="77777777" w:rsidR="00FA1EBE" w:rsidRDefault="00FA1EBE" w:rsidP="00F41884">
      <w:pPr>
        <w:spacing w:line="360" w:lineRule="auto"/>
        <w:jc w:val="both"/>
        <w:rPr>
          <w:rFonts w:ascii="Times New Roman" w:hAnsi="Times New Roman" w:cs="Times New Roman"/>
          <w:b/>
          <w:bCs/>
          <w:sz w:val="32"/>
          <w:szCs w:val="32"/>
        </w:rPr>
      </w:pPr>
    </w:p>
    <w:p w14:paraId="4DD0346E" w14:textId="77777777" w:rsidR="00FA1EBE" w:rsidRDefault="00FA1EBE" w:rsidP="00F41884">
      <w:pPr>
        <w:spacing w:line="360" w:lineRule="auto"/>
        <w:jc w:val="both"/>
        <w:rPr>
          <w:rFonts w:ascii="Times New Roman" w:hAnsi="Times New Roman" w:cs="Times New Roman"/>
          <w:b/>
          <w:bCs/>
          <w:sz w:val="32"/>
          <w:szCs w:val="32"/>
        </w:rPr>
      </w:pPr>
    </w:p>
    <w:p w14:paraId="41F68D34" w14:textId="77777777" w:rsidR="00EF2FCD" w:rsidRDefault="00EF2FCD" w:rsidP="00F41884">
      <w:pPr>
        <w:spacing w:line="360" w:lineRule="auto"/>
        <w:jc w:val="both"/>
        <w:rPr>
          <w:rFonts w:ascii="Times New Roman" w:hAnsi="Times New Roman" w:cs="Times New Roman"/>
          <w:b/>
          <w:bCs/>
          <w:sz w:val="32"/>
          <w:szCs w:val="32"/>
        </w:rPr>
      </w:pPr>
    </w:p>
    <w:p w14:paraId="02E6562F" w14:textId="0757AE25" w:rsidR="003E7E11" w:rsidRPr="00943D43" w:rsidRDefault="003E7E11" w:rsidP="00EF57EA">
      <w:pPr>
        <w:spacing w:line="360" w:lineRule="auto"/>
        <w:jc w:val="center"/>
        <w:rPr>
          <w:rFonts w:ascii="Times New Roman" w:hAnsi="Times New Roman" w:cs="Times New Roman"/>
          <w:b/>
          <w:bCs/>
          <w:sz w:val="32"/>
          <w:szCs w:val="32"/>
        </w:rPr>
      </w:pPr>
      <w:r w:rsidRPr="00943D43">
        <w:rPr>
          <w:rFonts w:ascii="Times New Roman" w:hAnsi="Times New Roman" w:cs="Times New Roman"/>
          <w:b/>
          <w:bCs/>
          <w:sz w:val="32"/>
          <w:szCs w:val="32"/>
        </w:rPr>
        <w:lastRenderedPageBreak/>
        <w:t>Current Funding Model - NHS</w:t>
      </w:r>
    </w:p>
    <w:p w14:paraId="68E74154" w14:textId="77777777" w:rsidR="003E7E11" w:rsidRPr="00943D43" w:rsidRDefault="003E7E11" w:rsidP="00F41884">
      <w:pPr>
        <w:spacing w:line="360" w:lineRule="auto"/>
        <w:jc w:val="both"/>
        <w:rPr>
          <w:rFonts w:ascii="Times New Roman" w:hAnsi="Times New Roman" w:cs="Times New Roman"/>
        </w:rPr>
      </w:pPr>
    </w:p>
    <w:p w14:paraId="6F53BE6F" w14:textId="77777777" w:rsidR="003E7E11" w:rsidRPr="00943D43" w:rsidRDefault="003E7E11" w:rsidP="00F41884">
      <w:pPr>
        <w:spacing w:line="360" w:lineRule="auto"/>
        <w:jc w:val="both"/>
        <w:rPr>
          <w:rFonts w:ascii="Times New Roman" w:hAnsi="Times New Roman" w:cs="Times New Roman"/>
          <w:b/>
          <w:bCs/>
        </w:rPr>
      </w:pPr>
      <w:r w:rsidRPr="00943D43">
        <w:rPr>
          <w:rFonts w:ascii="Times New Roman" w:hAnsi="Times New Roman" w:cs="Times New Roman"/>
          <w:b/>
          <w:bCs/>
        </w:rPr>
        <w:t>Abstract</w:t>
      </w:r>
    </w:p>
    <w:p w14:paraId="7ABDA42D" w14:textId="77777777" w:rsidR="003E7E11"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 National Health Service (NHS) in the United Kingdom operates as a publicly funded healthcare system, primarily financed through general taxation and National Insurance contributions. While this model ensures universal healthcare access, rising demand, financial constraints, and workforce shortages have put immense pressure on NHS sustainability. This report examines the NHS funding structure, explores regional disparities across devolved governments, and compares the UK system to alternative universal healthcare models. It also evaluates potential reforms, including hypothecated taxes, co-payments, and public-private partnerships, through the lens of economic theories such as public goods theory, Baumol’s cost disease, and fiscal sustainability theory. The findings highlight the need for a multi-faceted approach to NHS funding reform that balances financial efficiency with equitable healthcare access. Recommendations include implementing a hypothecated health tax, investing in preventive healthcare, reforming workforce policies, and optimizing digital transformation to enhance efficiency. These strategies aim to secure the long-term financial viability of the NHS while maintaining its foundational principles of universality and equity.</w:t>
      </w:r>
    </w:p>
    <w:p w14:paraId="3CA96BF2" w14:textId="77777777" w:rsidR="00AE6548" w:rsidRDefault="00AE6548" w:rsidP="00F41884">
      <w:pPr>
        <w:spacing w:line="360" w:lineRule="auto"/>
        <w:jc w:val="both"/>
        <w:rPr>
          <w:rFonts w:ascii="Times New Roman" w:hAnsi="Times New Roman" w:cs="Times New Roman"/>
        </w:rPr>
      </w:pPr>
    </w:p>
    <w:p w14:paraId="4EACBCCC" w14:textId="77777777" w:rsidR="00AE6548" w:rsidRDefault="00AE6548" w:rsidP="00F41884">
      <w:pPr>
        <w:spacing w:line="360" w:lineRule="auto"/>
        <w:jc w:val="both"/>
        <w:rPr>
          <w:rFonts w:ascii="Times New Roman" w:hAnsi="Times New Roman" w:cs="Times New Roman"/>
        </w:rPr>
      </w:pPr>
    </w:p>
    <w:p w14:paraId="7AFFE58F" w14:textId="77777777" w:rsidR="00AE6548" w:rsidRDefault="00AE6548" w:rsidP="00F41884">
      <w:pPr>
        <w:spacing w:line="360" w:lineRule="auto"/>
        <w:jc w:val="both"/>
        <w:rPr>
          <w:rFonts w:ascii="Times New Roman" w:hAnsi="Times New Roman" w:cs="Times New Roman"/>
        </w:rPr>
      </w:pPr>
    </w:p>
    <w:p w14:paraId="6D9F446E" w14:textId="77777777" w:rsidR="00AE6548" w:rsidRDefault="00AE6548" w:rsidP="00F41884">
      <w:pPr>
        <w:spacing w:line="360" w:lineRule="auto"/>
        <w:jc w:val="both"/>
        <w:rPr>
          <w:rFonts w:ascii="Times New Roman" w:hAnsi="Times New Roman" w:cs="Times New Roman"/>
        </w:rPr>
      </w:pPr>
    </w:p>
    <w:p w14:paraId="387A2CB1" w14:textId="77777777" w:rsidR="00AE6548" w:rsidRDefault="00AE6548" w:rsidP="00F41884">
      <w:pPr>
        <w:spacing w:line="360" w:lineRule="auto"/>
        <w:jc w:val="both"/>
        <w:rPr>
          <w:rFonts w:ascii="Times New Roman" w:hAnsi="Times New Roman" w:cs="Times New Roman"/>
        </w:rPr>
      </w:pPr>
    </w:p>
    <w:p w14:paraId="2F33C0D0" w14:textId="77777777" w:rsidR="00AE6548" w:rsidRDefault="00AE6548" w:rsidP="00F41884">
      <w:pPr>
        <w:spacing w:line="360" w:lineRule="auto"/>
        <w:jc w:val="both"/>
        <w:rPr>
          <w:rFonts w:ascii="Times New Roman" w:hAnsi="Times New Roman" w:cs="Times New Roman"/>
        </w:rPr>
      </w:pPr>
    </w:p>
    <w:p w14:paraId="03A4DB59" w14:textId="77777777" w:rsidR="00AE6548" w:rsidRDefault="00AE6548" w:rsidP="00F41884">
      <w:pPr>
        <w:spacing w:line="360" w:lineRule="auto"/>
        <w:jc w:val="both"/>
        <w:rPr>
          <w:rFonts w:ascii="Times New Roman" w:hAnsi="Times New Roman" w:cs="Times New Roman"/>
        </w:rPr>
      </w:pPr>
    </w:p>
    <w:p w14:paraId="49917DCD" w14:textId="77777777" w:rsidR="00AE6548" w:rsidRDefault="00AE6548" w:rsidP="00F41884">
      <w:pPr>
        <w:spacing w:line="360" w:lineRule="auto"/>
        <w:jc w:val="both"/>
        <w:rPr>
          <w:rFonts w:ascii="Times New Roman" w:hAnsi="Times New Roman" w:cs="Times New Roman"/>
        </w:rPr>
      </w:pPr>
    </w:p>
    <w:p w14:paraId="60034A68" w14:textId="77777777" w:rsidR="00AE6548" w:rsidRDefault="00AE6548" w:rsidP="00F41884">
      <w:pPr>
        <w:spacing w:line="360" w:lineRule="auto"/>
        <w:jc w:val="both"/>
        <w:rPr>
          <w:rFonts w:ascii="Times New Roman" w:hAnsi="Times New Roman" w:cs="Times New Roman"/>
        </w:rPr>
      </w:pPr>
    </w:p>
    <w:p w14:paraId="3620F04B" w14:textId="77777777" w:rsidR="00AE6548" w:rsidRDefault="00AE6548" w:rsidP="00F41884">
      <w:pPr>
        <w:spacing w:line="360" w:lineRule="auto"/>
        <w:jc w:val="both"/>
        <w:rPr>
          <w:rFonts w:ascii="Times New Roman" w:hAnsi="Times New Roman" w:cs="Times New Roman"/>
        </w:rPr>
      </w:pPr>
    </w:p>
    <w:p w14:paraId="04A80112" w14:textId="77777777" w:rsidR="00AE6548" w:rsidRPr="00943D43" w:rsidRDefault="00AE6548" w:rsidP="00F41884">
      <w:pPr>
        <w:spacing w:line="360" w:lineRule="auto"/>
        <w:jc w:val="both"/>
        <w:rPr>
          <w:rFonts w:ascii="Times New Roman" w:hAnsi="Times New Roman" w:cs="Times New Roman"/>
        </w:rPr>
      </w:pPr>
    </w:p>
    <w:p w14:paraId="38A45A7D"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lastRenderedPageBreak/>
        <w:t>Table of Contents</w:t>
      </w:r>
    </w:p>
    <w:p w14:paraId="1430387E"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Introduction</w:t>
      </w:r>
    </w:p>
    <w:p w14:paraId="18F3ED67" w14:textId="77777777" w:rsidR="003E7E11" w:rsidRPr="00943D43" w:rsidRDefault="003E7E11" w:rsidP="00F41884">
      <w:pPr>
        <w:pStyle w:val="ListParagraph"/>
        <w:numPr>
          <w:ilvl w:val="0"/>
          <w:numId w:val="8"/>
        </w:numPr>
        <w:spacing w:line="360" w:lineRule="auto"/>
        <w:jc w:val="both"/>
        <w:rPr>
          <w:rFonts w:ascii="Times New Roman" w:hAnsi="Times New Roman" w:cs="Times New Roman"/>
        </w:rPr>
      </w:pPr>
      <w:r w:rsidRPr="00943D43">
        <w:rPr>
          <w:rFonts w:ascii="Times New Roman" w:hAnsi="Times New Roman" w:cs="Times New Roman"/>
        </w:rPr>
        <w:t>Background and Significance of NHS Funding</w:t>
      </w:r>
    </w:p>
    <w:p w14:paraId="60E741A9" w14:textId="77777777" w:rsidR="003E7E11" w:rsidRPr="00943D43" w:rsidRDefault="003E7E11" w:rsidP="00F41884">
      <w:pPr>
        <w:pStyle w:val="ListParagraph"/>
        <w:numPr>
          <w:ilvl w:val="0"/>
          <w:numId w:val="8"/>
        </w:numPr>
        <w:spacing w:line="360" w:lineRule="auto"/>
        <w:jc w:val="both"/>
        <w:rPr>
          <w:rFonts w:ascii="Times New Roman" w:hAnsi="Times New Roman" w:cs="Times New Roman"/>
        </w:rPr>
      </w:pPr>
      <w:r w:rsidRPr="00943D43">
        <w:rPr>
          <w:rFonts w:ascii="Times New Roman" w:hAnsi="Times New Roman" w:cs="Times New Roman"/>
        </w:rPr>
        <w:t>Objectives of the Report</w:t>
      </w:r>
    </w:p>
    <w:p w14:paraId="22CEE7E8"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The Current NHS Funding Model in the UK</w:t>
      </w:r>
    </w:p>
    <w:p w14:paraId="76A37E41" w14:textId="77777777" w:rsidR="003E7E11" w:rsidRPr="00943D43" w:rsidRDefault="003E7E11" w:rsidP="00F41884">
      <w:pPr>
        <w:pStyle w:val="ListParagraph"/>
        <w:numPr>
          <w:ilvl w:val="0"/>
          <w:numId w:val="7"/>
        </w:numPr>
        <w:spacing w:line="360" w:lineRule="auto"/>
        <w:jc w:val="both"/>
        <w:rPr>
          <w:rFonts w:ascii="Times New Roman" w:hAnsi="Times New Roman" w:cs="Times New Roman"/>
        </w:rPr>
      </w:pPr>
      <w:r w:rsidRPr="00943D43">
        <w:rPr>
          <w:rFonts w:ascii="Times New Roman" w:hAnsi="Times New Roman" w:cs="Times New Roman"/>
        </w:rPr>
        <w:t>Sources of NHS Funding</w:t>
      </w:r>
    </w:p>
    <w:p w14:paraId="792F6EAF" w14:textId="77777777" w:rsidR="003E7E11" w:rsidRPr="00943D43" w:rsidRDefault="003E7E11" w:rsidP="00F41884">
      <w:pPr>
        <w:pStyle w:val="ListParagraph"/>
        <w:numPr>
          <w:ilvl w:val="0"/>
          <w:numId w:val="7"/>
        </w:numPr>
        <w:spacing w:line="360" w:lineRule="auto"/>
        <w:jc w:val="both"/>
        <w:rPr>
          <w:rFonts w:ascii="Times New Roman" w:hAnsi="Times New Roman" w:cs="Times New Roman"/>
        </w:rPr>
      </w:pPr>
      <w:r w:rsidRPr="00943D43">
        <w:rPr>
          <w:rFonts w:ascii="Times New Roman" w:hAnsi="Times New Roman" w:cs="Times New Roman"/>
        </w:rPr>
        <w:t>Challenges in the Current Model</w:t>
      </w:r>
    </w:p>
    <w:p w14:paraId="2BB61F25"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The UK’s Economic Position and Its Impact on NHS Funding</w:t>
      </w:r>
    </w:p>
    <w:p w14:paraId="04D593C1" w14:textId="77777777" w:rsidR="003E7E11" w:rsidRPr="00943D43" w:rsidRDefault="003E7E11" w:rsidP="00F41884">
      <w:pPr>
        <w:pStyle w:val="ListParagraph"/>
        <w:numPr>
          <w:ilvl w:val="0"/>
          <w:numId w:val="6"/>
        </w:numPr>
        <w:spacing w:line="360" w:lineRule="auto"/>
        <w:jc w:val="both"/>
        <w:rPr>
          <w:rFonts w:ascii="Times New Roman" w:hAnsi="Times New Roman" w:cs="Times New Roman"/>
        </w:rPr>
      </w:pPr>
      <w:r w:rsidRPr="00943D43">
        <w:rPr>
          <w:rFonts w:ascii="Times New Roman" w:hAnsi="Times New Roman" w:cs="Times New Roman"/>
        </w:rPr>
        <w:t>Economic Growth and Public Spending</w:t>
      </w:r>
    </w:p>
    <w:p w14:paraId="10920744" w14:textId="77777777" w:rsidR="003E7E11" w:rsidRPr="00943D43" w:rsidRDefault="003E7E11" w:rsidP="00F41884">
      <w:pPr>
        <w:pStyle w:val="ListParagraph"/>
        <w:numPr>
          <w:ilvl w:val="0"/>
          <w:numId w:val="6"/>
        </w:numPr>
        <w:spacing w:line="360" w:lineRule="auto"/>
        <w:jc w:val="both"/>
        <w:rPr>
          <w:rFonts w:ascii="Times New Roman" w:hAnsi="Times New Roman" w:cs="Times New Roman"/>
        </w:rPr>
      </w:pPr>
      <w:r w:rsidRPr="00943D43">
        <w:rPr>
          <w:rFonts w:ascii="Times New Roman" w:hAnsi="Times New Roman" w:cs="Times New Roman"/>
        </w:rPr>
        <w:t>Inflation and Operational Costs</w:t>
      </w:r>
    </w:p>
    <w:p w14:paraId="4D2D7F5D" w14:textId="77777777" w:rsidR="003E7E11" w:rsidRPr="00943D43" w:rsidRDefault="003E7E11" w:rsidP="00F41884">
      <w:pPr>
        <w:pStyle w:val="ListParagraph"/>
        <w:numPr>
          <w:ilvl w:val="0"/>
          <w:numId w:val="6"/>
        </w:numPr>
        <w:spacing w:line="360" w:lineRule="auto"/>
        <w:jc w:val="both"/>
        <w:rPr>
          <w:rFonts w:ascii="Times New Roman" w:hAnsi="Times New Roman" w:cs="Times New Roman"/>
        </w:rPr>
      </w:pPr>
      <w:r w:rsidRPr="00943D43">
        <w:rPr>
          <w:rFonts w:ascii="Times New Roman" w:hAnsi="Times New Roman" w:cs="Times New Roman"/>
        </w:rPr>
        <w:t>Demographic Changes and Healthcare Demand</w:t>
      </w:r>
    </w:p>
    <w:p w14:paraId="657BED72" w14:textId="77777777" w:rsidR="003E7E11" w:rsidRPr="00943D43" w:rsidRDefault="003E7E11" w:rsidP="00F41884">
      <w:pPr>
        <w:pStyle w:val="ListParagraph"/>
        <w:numPr>
          <w:ilvl w:val="0"/>
          <w:numId w:val="6"/>
        </w:numPr>
        <w:spacing w:line="360" w:lineRule="auto"/>
        <w:jc w:val="both"/>
        <w:rPr>
          <w:rFonts w:ascii="Times New Roman" w:hAnsi="Times New Roman" w:cs="Times New Roman"/>
        </w:rPr>
      </w:pPr>
      <w:r w:rsidRPr="00943D43">
        <w:rPr>
          <w:rFonts w:ascii="Times New Roman" w:hAnsi="Times New Roman" w:cs="Times New Roman"/>
        </w:rPr>
        <w:t>Fiscal Sustainability Concerns</w:t>
      </w:r>
    </w:p>
    <w:p w14:paraId="5E51265F"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NHS Funding Across the Devolved Governments</w:t>
      </w:r>
    </w:p>
    <w:p w14:paraId="6A3A034B" w14:textId="77777777" w:rsidR="003E7E11" w:rsidRPr="00943D43" w:rsidRDefault="003E7E11" w:rsidP="00F41884">
      <w:pPr>
        <w:pStyle w:val="ListParagraph"/>
        <w:numPr>
          <w:ilvl w:val="0"/>
          <w:numId w:val="20"/>
        </w:numPr>
        <w:spacing w:line="360" w:lineRule="auto"/>
        <w:jc w:val="both"/>
        <w:rPr>
          <w:rFonts w:ascii="Times New Roman" w:hAnsi="Times New Roman" w:cs="Times New Roman"/>
        </w:rPr>
      </w:pPr>
      <w:r w:rsidRPr="00943D43">
        <w:rPr>
          <w:rFonts w:ascii="Times New Roman" w:hAnsi="Times New Roman" w:cs="Times New Roman"/>
        </w:rPr>
        <w:t>Funding Disparities and the Barnett Formula</w:t>
      </w:r>
    </w:p>
    <w:p w14:paraId="4E9D4CF4" w14:textId="77777777" w:rsidR="003E7E11" w:rsidRPr="00943D43" w:rsidRDefault="003E7E11" w:rsidP="00F41884">
      <w:pPr>
        <w:pStyle w:val="ListParagraph"/>
        <w:numPr>
          <w:ilvl w:val="0"/>
          <w:numId w:val="20"/>
        </w:numPr>
        <w:spacing w:line="360" w:lineRule="auto"/>
        <w:jc w:val="both"/>
        <w:rPr>
          <w:rFonts w:ascii="Times New Roman" w:hAnsi="Times New Roman" w:cs="Times New Roman"/>
        </w:rPr>
      </w:pPr>
      <w:r w:rsidRPr="00943D43">
        <w:rPr>
          <w:rFonts w:ascii="Times New Roman" w:hAnsi="Times New Roman" w:cs="Times New Roman"/>
        </w:rPr>
        <w:t>NHS England</w:t>
      </w:r>
    </w:p>
    <w:p w14:paraId="039E1E63" w14:textId="77777777" w:rsidR="003E7E11" w:rsidRPr="00943D43" w:rsidRDefault="003E7E11" w:rsidP="00F41884">
      <w:pPr>
        <w:pStyle w:val="ListParagraph"/>
        <w:numPr>
          <w:ilvl w:val="0"/>
          <w:numId w:val="20"/>
        </w:numPr>
        <w:spacing w:line="360" w:lineRule="auto"/>
        <w:jc w:val="both"/>
        <w:rPr>
          <w:rFonts w:ascii="Times New Roman" w:hAnsi="Times New Roman" w:cs="Times New Roman"/>
        </w:rPr>
      </w:pPr>
      <w:r w:rsidRPr="00943D43">
        <w:rPr>
          <w:rFonts w:ascii="Times New Roman" w:hAnsi="Times New Roman" w:cs="Times New Roman"/>
        </w:rPr>
        <w:t>NHS Scotland</w:t>
      </w:r>
    </w:p>
    <w:p w14:paraId="64006519" w14:textId="77777777" w:rsidR="003E7E11" w:rsidRPr="00943D43" w:rsidRDefault="003E7E11" w:rsidP="00F41884">
      <w:pPr>
        <w:pStyle w:val="ListParagraph"/>
        <w:numPr>
          <w:ilvl w:val="0"/>
          <w:numId w:val="20"/>
        </w:numPr>
        <w:spacing w:line="360" w:lineRule="auto"/>
        <w:jc w:val="both"/>
        <w:rPr>
          <w:rFonts w:ascii="Times New Roman" w:hAnsi="Times New Roman" w:cs="Times New Roman"/>
        </w:rPr>
      </w:pPr>
      <w:r w:rsidRPr="00943D43">
        <w:rPr>
          <w:rFonts w:ascii="Times New Roman" w:hAnsi="Times New Roman" w:cs="Times New Roman"/>
        </w:rPr>
        <w:t>NHS Wales</w:t>
      </w:r>
    </w:p>
    <w:p w14:paraId="7E336591" w14:textId="77777777" w:rsidR="003E7E11" w:rsidRPr="00943D43" w:rsidRDefault="003E7E11" w:rsidP="00F41884">
      <w:pPr>
        <w:pStyle w:val="ListParagraph"/>
        <w:numPr>
          <w:ilvl w:val="0"/>
          <w:numId w:val="20"/>
        </w:numPr>
        <w:spacing w:line="360" w:lineRule="auto"/>
        <w:jc w:val="both"/>
        <w:rPr>
          <w:rFonts w:ascii="Times New Roman" w:hAnsi="Times New Roman" w:cs="Times New Roman"/>
        </w:rPr>
      </w:pPr>
      <w:r w:rsidRPr="00943D43">
        <w:rPr>
          <w:rFonts w:ascii="Times New Roman" w:hAnsi="Times New Roman" w:cs="Times New Roman"/>
        </w:rPr>
        <w:t>NHS Northern Ireland</w:t>
      </w:r>
    </w:p>
    <w:p w14:paraId="14CC64B0"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International Comparisons: NHS vs. Other Universal Healthcare Models</w:t>
      </w:r>
    </w:p>
    <w:p w14:paraId="003F74E8" w14:textId="77777777" w:rsidR="003E7E11" w:rsidRPr="00943D43" w:rsidRDefault="003E7E11" w:rsidP="00F41884">
      <w:pPr>
        <w:pStyle w:val="ListParagraph"/>
        <w:numPr>
          <w:ilvl w:val="0"/>
          <w:numId w:val="19"/>
        </w:numPr>
        <w:spacing w:line="360" w:lineRule="auto"/>
        <w:jc w:val="both"/>
        <w:rPr>
          <w:rFonts w:ascii="Times New Roman" w:hAnsi="Times New Roman" w:cs="Times New Roman"/>
        </w:rPr>
      </w:pPr>
      <w:r w:rsidRPr="00943D43">
        <w:rPr>
          <w:rFonts w:ascii="Times New Roman" w:hAnsi="Times New Roman" w:cs="Times New Roman"/>
        </w:rPr>
        <w:t>Germany’s Social Health Insurance (SHI) Model</w:t>
      </w:r>
    </w:p>
    <w:p w14:paraId="1D7487E7" w14:textId="77777777" w:rsidR="003E7E11" w:rsidRPr="00943D43" w:rsidRDefault="003E7E11" w:rsidP="00F41884">
      <w:pPr>
        <w:pStyle w:val="ListParagraph"/>
        <w:numPr>
          <w:ilvl w:val="0"/>
          <w:numId w:val="19"/>
        </w:numPr>
        <w:spacing w:line="360" w:lineRule="auto"/>
        <w:jc w:val="both"/>
        <w:rPr>
          <w:rFonts w:ascii="Times New Roman" w:hAnsi="Times New Roman" w:cs="Times New Roman"/>
        </w:rPr>
      </w:pPr>
      <w:r w:rsidRPr="00943D43">
        <w:rPr>
          <w:rFonts w:ascii="Times New Roman" w:hAnsi="Times New Roman" w:cs="Times New Roman"/>
        </w:rPr>
        <w:t>Canada’s Single-Payer Healthcare System</w:t>
      </w:r>
    </w:p>
    <w:p w14:paraId="1A8E756D" w14:textId="77777777" w:rsidR="003E7E11" w:rsidRPr="00943D43" w:rsidRDefault="003E7E11" w:rsidP="00F41884">
      <w:pPr>
        <w:pStyle w:val="ListParagraph"/>
        <w:numPr>
          <w:ilvl w:val="0"/>
          <w:numId w:val="19"/>
        </w:numPr>
        <w:spacing w:line="360" w:lineRule="auto"/>
        <w:jc w:val="both"/>
        <w:rPr>
          <w:rFonts w:ascii="Times New Roman" w:hAnsi="Times New Roman" w:cs="Times New Roman"/>
        </w:rPr>
      </w:pPr>
      <w:r w:rsidRPr="00943D43">
        <w:rPr>
          <w:rFonts w:ascii="Times New Roman" w:hAnsi="Times New Roman" w:cs="Times New Roman"/>
        </w:rPr>
        <w:t>Sweden’s Decentralized Tax-Funded Model</w:t>
      </w:r>
    </w:p>
    <w:p w14:paraId="663B838D"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Alternative NHS Funding Models and Their Implications</w:t>
      </w:r>
    </w:p>
    <w:p w14:paraId="1432B7D4" w14:textId="77777777" w:rsidR="003E7E11" w:rsidRPr="00943D43" w:rsidRDefault="003E7E11" w:rsidP="00F41884">
      <w:pPr>
        <w:pStyle w:val="ListParagraph"/>
        <w:numPr>
          <w:ilvl w:val="0"/>
          <w:numId w:val="18"/>
        </w:numPr>
        <w:spacing w:line="360" w:lineRule="auto"/>
        <w:jc w:val="both"/>
        <w:rPr>
          <w:rFonts w:ascii="Times New Roman" w:hAnsi="Times New Roman" w:cs="Times New Roman"/>
        </w:rPr>
      </w:pPr>
      <w:r w:rsidRPr="00943D43">
        <w:rPr>
          <w:rFonts w:ascii="Times New Roman" w:hAnsi="Times New Roman" w:cs="Times New Roman"/>
        </w:rPr>
        <w:t>Hypothecated Health Tax</w:t>
      </w:r>
    </w:p>
    <w:p w14:paraId="78C3004D" w14:textId="77777777" w:rsidR="003E7E11" w:rsidRPr="00943D43" w:rsidRDefault="003E7E11" w:rsidP="00F41884">
      <w:pPr>
        <w:pStyle w:val="ListParagraph"/>
        <w:numPr>
          <w:ilvl w:val="0"/>
          <w:numId w:val="18"/>
        </w:numPr>
        <w:spacing w:line="360" w:lineRule="auto"/>
        <w:jc w:val="both"/>
        <w:rPr>
          <w:rFonts w:ascii="Times New Roman" w:hAnsi="Times New Roman" w:cs="Times New Roman"/>
        </w:rPr>
      </w:pPr>
      <w:r w:rsidRPr="00943D43">
        <w:rPr>
          <w:rFonts w:ascii="Times New Roman" w:hAnsi="Times New Roman" w:cs="Times New Roman"/>
        </w:rPr>
        <w:t>Expansion of Co-Payments and User Charges</w:t>
      </w:r>
    </w:p>
    <w:p w14:paraId="6BEF8454" w14:textId="77777777" w:rsidR="003E7E11" w:rsidRPr="00943D43" w:rsidRDefault="003E7E11" w:rsidP="00F41884">
      <w:pPr>
        <w:pStyle w:val="ListParagraph"/>
        <w:numPr>
          <w:ilvl w:val="0"/>
          <w:numId w:val="18"/>
        </w:numPr>
        <w:spacing w:line="360" w:lineRule="auto"/>
        <w:jc w:val="both"/>
        <w:rPr>
          <w:rFonts w:ascii="Times New Roman" w:hAnsi="Times New Roman" w:cs="Times New Roman"/>
        </w:rPr>
      </w:pPr>
      <w:r w:rsidRPr="00943D43">
        <w:rPr>
          <w:rFonts w:ascii="Times New Roman" w:hAnsi="Times New Roman" w:cs="Times New Roman"/>
        </w:rPr>
        <w:t>Mandatory Health Insurance (Social Insurance Model)</w:t>
      </w:r>
    </w:p>
    <w:p w14:paraId="5EB47C2E" w14:textId="77777777" w:rsidR="003E7E11" w:rsidRPr="00943D43" w:rsidRDefault="003E7E11" w:rsidP="00F41884">
      <w:pPr>
        <w:pStyle w:val="ListParagraph"/>
        <w:numPr>
          <w:ilvl w:val="0"/>
          <w:numId w:val="18"/>
        </w:numPr>
        <w:spacing w:line="360" w:lineRule="auto"/>
        <w:jc w:val="both"/>
        <w:rPr>
          <w:rFonts w:ascii="Times New Roman" w:hAnsi="Times New Roman" w:cs="Times New Roman"/>
        </w:rPr>
      </w:pPr>
      <w:r w:rsidRPr="00943D43">
        <w:rPr>
          <w:rFonts w:ascii="Times New Roman" w:hAnsi="Times New Roman" w:cs="Times New Roman"/>
        </w:rPr>
        <w:t>Public-Private Partnerships (PPPs)</w:t>
      </w:r>
    </w:p>
    <w:p w14:paraId="4D0CDFAE"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Economic Theories Relevant to NHS Funding</w:t>
      </w:r>
    </w:p>
    <w:p w14:paraId="01EDF06E" w14:textId="77777777" w:rsidR="003E7E11" w:rsidRPr="00943D43" w:rsidRDefault="003E7E11" w:rsidP="00F41884">
      <w:pPr>
        <w:pStyle w:val="ListParagraph"/>
        <w:numPr>
          <w:ilvl w:val="0"/>
          <w:numId w:val="17"/>
        </w:numPr>
        <w:spacing w:line="360" w:lineRule="auto"/>
        <w:jc w:val="both"/>
        <w:rPr>
          <w:rFonts w:ascii="Times New Roman" w:hAnsi="Times New Roman" w:cs="Times New Roman"/>
        </w:rPr>
      </w:pPr>
      <w:r w:rsidRPr="00943D43">
        <w:rPr>
          <w:rFonts w:ascii="Times New Roman" w:hAnsi="Times New Roman" w:cs="Times New Roman"/>
        </w:rPr>
        <w:lastRenderedPageBreak/>
        <w:t>Public Goods Theory and Market Failure in Healthcare</w:t>
      </w:r>
    </w:p>
    <w:p w14:paraId="202D53C0" w14:textId="77777777" w:rsidR="003E7E11" w:rsidRPr="00943D43" w:rsidRDefault="003E7E11" w:rsidP="00F41884">
      <w:pPr>
        <w:pStyle w:val="ListParagraph"/>
        <w:numPr>
          <w:ilvl w:val="0"/>
          <w:numId w:val="17"/>
        </w:numPr>
        <w:spacing w:line="360" w:lineRule="auto"/>
        <w:jc w:val="both"/>
        <w:rPr>
          <w:rFonts w:ascii="Times New Roman" w:hAnsi="Times New Roman" w:cs="Times New Roman"/>
        </w:rPr>
      </w:pPr>
      <w:r w:rsidRPr="00943D43">
        <w:rPr>
          <w:rFonts w:ascii="Times New Roman" w:hAnsi="Times New Roman" w:cs="Times New Roman"/>
        </w:rPr>
        <w:t>Baumol’s Cost Disease and Rising NHS Expenditure</w:t>
      </w:r>
    </w:p>
    <w:p w14:paraId="05F2B18A" w14:textId="77777777" w:rsidR="003E7E11" w:rsidRPr="00943D43" w:rsidRDefault="003E7E11" w:rsidP="00F41884">
      <w:pPr>
        <w:pStyle w:val="ListParagraph"/>
        <w:numPr>
          <w:ilvl w:val="0"/>
          <w:numId w:val="17"/>
        </w:numPr>
        <w:spacing w:line="360" w:lineRule="auto"/>
        <w:jc w:val="both"/>
        <w:rPr>
          <w:rFonts w:ascii="Times New Roman" w:hAnsi="Times New Roman" w:cs="Times New Roman"/>
        </w:rPr>
      </w:pPr>
      <w:r w:rsidRPr="00943D43">
        <w:rPr>
          <w:rFonts w:ascii="Times New Roman" w:hAnsi="Times New Roman" w:cs="Times New Roman"/>
        </w:rPr>
        <w:t>The New Public Management (NPM) Model in NHS Reform</w:t>
      </w:r>
    </w:p>
    <w:p w14:paraId="4A91BBDF" w14:textId="77777777" w:rsidR="003E7E11" w:rsidRPr="00943D43" w:rsidRDefault="003E7E11" w:rsidP="00F41884">
      <w:pPr>
        <w:pStyle w:val="ListParagraph"/>
        <w:numPr>
          <w:ilvl w:val="0"/>
          <w:numId w:val="17"/>
        </w:numPr>
        <w:spacing w:line="360" w:lineRule="auto"/>
        <w:jc w:val="both"/>
        <w:rPr>
          <w:rFonts w:ascii="Times New Roman" w:hAnsi="Times New Roman" w:cs="Times New Roman"/>
        </w:rPr>
      </w:pPr>
      <w:r w:rsidRPr="00943D43">
        <w:rPr>
          <w:rFonts w:ascii="Times New Roman" w:hAnsi="Times New Roman" w:cs="Times New Roman"/>
        </w:rPr>
        <w:t>Fiscal Sustainability Theory and NHS Long-Term Viability</w:t>
      </w:r>
    </w:p>
    <w:p w14:paraId="53E13174" w14:textId="77777777" w:rsidR="003E7E11" w:rsidRPr="00943D43" w:rsidRDefault="003E7E11" w:rsidP="00F41884">
      <w:pPr>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Conclusion</w:t>
      </w:r>
    </w:p>
    <w:p w14:paraId="01330802" w14:textId="0BC2B5D9" w:rsidR="003E7E11" w:rsidRPr="00943D43" w:rsidRDefault="003E7E11" w:rsidP="00F41884">
      <w:pPr>
        <w:pStyle w:val="ListParagraph"/>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Recommendations</w:t>
      </w:r>
    </w:p>
    <w:p w14:paraId="1DC6F88A"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Hypothecated Health Tax Implementation</w:t>
      </w:r>
    </w:p>
    <w:p w14:paraId="7539885E"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Expansion of Preventive Healthcare</w:t>
      </w:r>
    </w:p>
    <w:p w14:paraId="3B31795E"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NHS Workforce Reform</w:t>
      </w:r>
    </w:p>
    <w:p w14:paraId="7409ED14"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Digital Transformation for Efficiency</w:t>
      </w:r>
    </w:p>
    <w:p w14:paraId="3BD9019E"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Revision of the Barnett Formula for Fairer NHS Funding</w:t>
      </w:r>
    </w:p>
    <w:p w14:paraId="0F1FCCDD"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Limited Co-Payments for Non-Essential Services</w:t>
      </w:r>
    </w:p>
    <w:p w14:paraId="5202F22E" w14:textId="77777777" w:rsidR="003E7E11"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Public-Private Partnerships with Regulatory Oversight</w:t>
      </w:r>
    </w:p>
    <w:p w14:paraId="585DFD45" w14:textId="14DF43A7" w:rsidR="009721BE" w:rsidRPr="00943D43" w:rsidRDefault="003E7E11" w:rsidP="00F41884">
      <w:pPr>
        <w:pStyle w:val="ListParagraph"/>
        <w:numPr>
          <w:ilvl w:val="0"/>
          <w:numId w:val="16"/>
        </w:numPr>
        <w:spacing w:line="360" w:lineRule="auto"/>
        <w:jc w:val="both"/>
        <w:rPr>
          <w:rFonts w:ascii="Times New Roman" w:hAnsi="Times New Roman" w:cs="Times New Roman"/>
        </w:rPr>
      </w:pPr>
      <w:r w:rsidRPr="00943D43">
        <w:rPr>
          <w:rFonts w:ascii="Times New Roman" w:hAnsi="Times New Roman" w:cs="Times New Roman"/>
        </w:rPr>
        <w:t>Long-Term Fiscal Sustainability Planning</w:t>
      </w:r>
    </w:p>
    <w:p w14:paraId="370B620E" w14:textId="0A447675" w:rsidR="009721BE" w:rsidRDefault="009721BE" w:rsidP="00F41884">
      <w:pPr>
        <w:pStyle w:val="ListParagraph"/>
        <w:numPr>
          <w:ilvl w:val="0"/>
          <w:numId w:val="1"/>
        </w:numPr>
        <w:spacing w:line="360" w:lineRule="auto"/>
        <w:jc w:val="both"/>
        <w:rPr>
          <w:rFonts w:ascii="Times New Roman" w:hAnsi="Times New Roman" w:cs="Times New Roman"/>
          <w:b/>
          <w:bCs/>
        </w:rPr>
      </w:pPr>
      <w:r w:rsidRPr="00943D43">
        <w:rPr>
          <w:rFonts w:ascii="Times New Roman" w:hAnsi="Times New Roman" w:cs="Times New Roman"/>
          <w:b/>
          <w:bCs/>
        </w:rPr>
        <w:t>References</w:t>
      </w:r>
    </w:p>
    <w:p w14:paraId="2AF8E4E6" w14:textId="77777777" w:rsidR="00AE6548" w:rsidRDefault="00AE6548" w:rsidP="00AE6548">
      <w:pPr>
        <w:spacing w:line="360" w:lineRule="auto"/>
        <w:jc w:val="both"/>
        <w:rPr>
          <w:rFonts w:ascii="Times New Roman" w:hAnsi="Times New Roman" w:cs="Times New Roman"/>
          <w:b/>
          <w:bCs/>
        </w:rPr>
      </w:pPr>
    </w:p>
    <w:p w14:paraId="7715F711" w14:textId="77777777" w:rsidR="00AE6548" w:rsidRDefault="00AE6548" w:rsidP="00AE6548">
      <w:pPr>
        <w:spacing w:line="360" w:lineRule="auto"/>
        <w:jc w:val="both"/>
        <w:rPr>
          <w:rFonts w:ascii="Times New Roman" w:hAnsi="Times New Roman" w:cs="Times New Roman"/>
          <w:b/>
          <w:bCs/>
        </w:rPr>
      </w:pPr>
    </w:p>
    <w:p w14:paraId="3BA24E56" w14:textId="77777777" w:rsidR="00AE6548" w:rsidRDefault="00AE6548" w:rsidP="00AE6548">
      <w:pPr>
        <w:spacing w:line="360" w:lineRule="auto"/>
        <w:jc w:val="both"/>
        <w:rPr>
          <w:rFonts w:ascii="Times New Roman" w:hAnsi="Times New Roman" w:cs="Times New Roman"/>
          <w:b/>
          <w:bCs/>
        </w:rPr>
      </w:pPr>
    </w:p>
    <w:p w14:paraId="1BAE1320" w14:textId="77777777" w:rsidR="00AE6548" w:rsidRDefault="00AE6548" w:rsidP="00AE6548">
      <w:pPr>
        <w:spacing w:line="360" w:lineRule="auto"/>
        <w:jc w:val="both"/>
        <w:rPr>
          <w:rFonts w:ascii="Times New Roman" w:hAnsi="Times New Roman" w:cs="Times New Roman"/>
          <w:b/>
          <w:bCs/>
        </w:rPr>
      </w:pPr>
    </w:p>
    <w:p w14:paraId="779A925D" w14:textId="77777777" w:rsidR="00AE6548" w:rsidRDefault="00AE6548" w:rsidP="00AE6548">
      <w:pPr>
        <w:spacing w:line="360" w:lineRule="auto"/>
        <w:jc w:val="both"/>
        <w:rPr>
          <w:rFonts w:ascii="Times New Roman" w:hAnsi="Times New Roman" w:cs="Times New Roman"/>
          <w:b/>
          <w:bCs/>
        </w:rPr>
      </w:pPr>
    </w:p>
    <w:p w14:paraId="643B05E5" w14:textId="77777777" w:rsidR="00AE6548" w:rsidRDefault="00AE6548" w:rsidP="00AE6548">
      <w:pPr>
        <w:spacing w:line="360" w:lineRule="auto"/>
        <w:jc w:val="both"/>
        <w:rPr>
          <w:rFonts w:ascii="Times New Roman" w:hAnsi="Times New Roman" w:cs="Times New Roman"/>
          <w:b/>
          <w:bCs/>
        </w:rPr>
      </w:pPr>
    </w:p>
    <w:p w14:paraId="7CBFC362" w14:textId="77777777" w:rsidR="00AE6548" w:rsidRDefault="00AE6548" w:rsidP="00AE6548">
      <w:pPr>
        <w:spacing w:line="360" w:lineRule="auto"/>
        <w:jc w:val="both"/>
        <w:rPr>
          <w:rFonts w:ascii="Times New Roman" w:hAnsi="Times New Roman" w:cs="Times New Roman"/>
          <w:b/>
          <w:bCs/>
        </w:rPr>
      </w:pPr>
    </w:p>
    <w:p w14:paraId="12E95C84" w14:textId="77777777" w:rsidR="00AE6548" w:rsidRDefault="00AE6548" w:rsidP="00AE6548">
      <w:pPr>
        <w:spacing w:line="360" w:lineRule="auto"/>
        <w:jc w:val="both"/>
        <w:rPr>
          <w:rFonts w:ascii="Times New Roman" w:hAnsi="Times New Roman" w:cs="Times New Roman"/>
          <w:b/>
          <w:bCs/>
        </w:rPr>
      </w:pPr>
    </w:p>
    <w:p w14:paraId="10E93AC3" w14:textId="77777777" w:rsidR="00AE6548" w:rsidRDefault="00AE6548" w:rsidP="00AE6548">
      <w:pPr>
        <w:spacing w:line="360" w:lineRule="auto"/>
        <w:jc w:val="both"/>
        <w:rPr>
          <w:rFonts w:ascii="Times New Roman" w:hAnsi="Times New Roman" w:cs="Times New Roman"/>
          <w:b/>
          <w:bCs/>
        </w:rPr>
      </w:pPr>
    </w:p>
    <w:p w14:paraId="704C0F96" w14:textId="77777777" w:rsidR="00AE6548" w:rsidRDefault="00AE6548" w:rsidP="00AE6548">
      <w:pPr>
        <w:spacing w:line="360" w:lineRule="auto"/>
        <w:jc w:val="both"/>
        <w:rPr>
          <w:rFonts w:ascii="Times New Roman" w:hAnsi="Times New Roman" w:cs="Times New Roman"/>
          <w:b/>
          <w:bCs/>
        </w:rPr>
      </w:pPr>
    </w:p>
    <w:p w14:paraId="3BA75D61" w14:textId="77777777" w:rsidR="00AE6548" w:rsidRPr="00AE6548" w:rsidRDefault="00AE6548" w:rsidP="00AE6548">
      <w:pPr>
        <w:spacing w:line="360" w:lineRule="auto"/>
        <w:jc w:val="both"/>
        <w:rPr>
          <w:rFonts w:ascii="Times New Roman" w:hAnsi="Times New Roman" w:cs="Times New Roman"/>
          <w:b/>
          <w:bCs/>
        </w:rPr>
      </w:pPr>
    </w:p>
    <w:p w14:paraId="2AECF827" w14:textId="77777777" w:rsidR="009721BE" w:rsidRPr="00943D43" w:rsidRDefault="009721BE" w:rsidP="00F41884">
      <w:pPr>
        <w:spacing w:line="360" w:lineRule="auto"/>
        <w:jc w:val="both"/>
        <w:rPr>
          <w:rFonts w:ascii="Times New Roman" w:hAnsi="Times New Roman" w:cs="Times New Roman"/>
          <w:b/>
          <w:bCs/>
        </w:rPr>
      </w:pPr>
    </w:p>
    <w:p w14:paraId="31D5575D" w14:textId="1EB62569"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b/>
          <w:bCs/>
        </w:rPr>
        <w:lastRenderedPageBreak/>
        <w:t>Introduction</w:t>
      </w:r>
    </w:p>
    <w:p w14:paraId="6085508B"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 National Health Service (NHS) in the United Kingdom stands as one of the world’s most renowned publicly funded healthcare systems. Established in 1948, it was founded on the principles of universal access, equity, and healthcare free at the point of use. The NHS has played a vital role in improving public health, yet financial sustainability remains a growing concern. The increasing demand for services, demographic shifts, and rising costs place immense strain on the current funding model. As a tax-funded system, the NHS is vulnerable to economic fluctuations and government budgetary constraints, making long-term sustainability an ongoing debate.</w:t>
      </w:r>
    </w:p>
    <w:p w14:paraId="5B83D3CD" w14:textId="389D260E"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This report examines the financial structure of the NHS, assessing the implications of economic factors on its funding. The discussion also explores how NHS funding varies across the devolved governments and how the UK model compares to other universal healthcare systems. Additionally, the report evaluates alternative funding mechanisms, using economic theories to determine their feasibility. By doing so, it seeks to provide an informed analysis of potential solutions to the NHS's financial challenges while maintaining its foundational principles of accessibility and equity.</w:t>
      </w:r>
    </w:p>
    <w:p w14:paraId="14C54D78" w14:textId="21A2FA07" w:rsidR="00E1391A"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b/>
          <w:bCs/>
        </w:rPr>
        <w:t xml:space="preserve"> The Current NHS Funding Model in the UK</w:t>
      </w:r>
    </w:p>
    <w:p w14:paraId="2797C1BB" w14:textId="751F8EF3" w:rsidR="00E1391A" w:rsidRPr="00943D43" w:rsidRDefault="00E1391A" w:rsidP="00F41884">
      <w:pPr>
        <w:spacing w:line="360" w:lineRule="auto"/>
        <w:jc w:val="both"/>
        <w:rPr>
          <w:rFonts w:ascii="Times New Roman" w:eastAsia="Times New Roman" w:hAnsi="Times New Roman" w:cs="Times New Roman"/>
          <w:kern w:val="0"/>
          <w14:ligatures w14:val="none"/>
        </w:rPr>
      </w:pPr>
      <w:r w:rsidRPr="00943D43">
        <w:rPr>
          <w:rFonts w:ascii="Times New Roman" w:eastAsia="Times New Roman" w:hAnsi="Times New Roman" w:cs="Times New Roman"/>
          <w:kern w:val="0"/>
          <w14:ligatures w14:val="none"/>
        </w:rPr>
        <w:t>The NHS is primarily funded through general taxation (80%) and National Insurance contributions (18%), with a small portion from direct patient charges (Cylus et al., 201</w:t>
      </w:r>
      <w:r w:rsidR="00DE151E">
        <w:rPr>
          <w:rFonts w:ascii="Times New Roman" w:eastAsia="Times New Roman" w:hAnsi="Times New Roman" w:cs="Times New Roman"/>
          <w:kern w:val="0"/>
          <w14:ligatures w14:val="none"/>
        </w:rPr>
        <w:t>8</w:t>
      </w:r>
      <w:r w:rsidRPr="00943D43">
        <w:rPr>
          <w:rFonts w:ascii="Times New Roman" w:eastAsia="Times New Roman" w:hAnsi="Times New Roman" w:cs="Times New Roman"/>
          <w:kern w:val="0"/>
          <w14:ligatures w14:val="none"/>
        </w:rPr>
        <w:t>). As a single-payer system, it removes financial barriers to care, aligning with the Beveridge model. However, reliance on taxation makes funding highly vulnerable to economic downturns, as seen during the 2008 financial crisis and COVID-19 pandemic, when revenues declined while demand surged (Ivanková et al., 2019).</w:t>
      </w:r>
    </w:p>
    <w:p w14:paraId="03EFFD14" w14:textId="160E9C44" w:rsidR="00E1391A" w:rsidRPr="00943D43" w:rsidRDefault="00E1391A" w:rsidP="00F41884">
      <w:pPr>
        <w:spacing w:line="360" w:lineRule="auto"/>
        <w:jc w:val="both"/>
        <w:rPr>
          <w:rFonts w:ascii="Times New Roman" w:eastAsia="Times New Roman" w:hAnsi="Times New Roman" w:cs="Times New Roman"/>
          <w:kern w:val="0"/>
          <w14:ligatures w14:val="none"/>
        </w:rPr>
      </w:pPr>
      <w:r w:rsidRPr="00943D43">
        <w:rPr>
          <w:rFonts w:ascii="Times New Roman" w:eastAsia="Times New Roman" w:hAnsi="Times New Roman" w:cs="Times New Roman"/>
          <w:kern w:val="0"/>
          <w14:ligatures w14:val="none"/>
        </w:rPr>
        <w:t xml:space="preserve">Although most services are free, some costs remain. Prescription charges in England are £9.65 per item, while Scotland, Wales, and Northern Ireland have abolished them. Dental and optical services also involve co-payments, though these contribute little to overall NHS funding (Lu, Burge </w:t>
      </w:r>
      <w:r w:rsidR="00410591" w:rsidRPr="00943D43">
        <w:rPr>
          <w:rFonts w:ascii="Times New Roman" w:eastAsia="Times New Roman" w:hAnsi="Times New Roman" w:cs="Times New Roman"/>
          <w:kern w:val="0"/>
          <w14:ligatures w14:val="none"/>
        </w:rPr>
        <w:t>and</w:t>
      </w:r>
      <w:r w:rsidRPr="00943D43">
        <w:rPr>
          <w:rFonts w:ascii="Times New Roman" w:eastAsia="Times New Roman" w:hAnsi="Times New Roman" w:cs="Times New Roman"/>
          <w:kern w:val="0"/>
          <w14:ligatures w14:val="none"/>
        </w:rPr>
        <w:t xml:space="preserve"> Sussex, 2021).</w:t>
      </w:r>
    </w:p>
    <w:p w14:paraId="28CC8916" w14:textId="4D49390E" w:rsidR="00E1391A" w:rsidRPr="00943D43" w:rsidRDefault="00E1391A" w:rsidP="00F41884">
      <w:pPr>
        <w:spacing w:line="360" w:lineRule="auto"/>
        <w:jc w:val="both"/>
        <w:rPr>
          <w:rFonts w:ascii="Times New Roman" w:eastAsia="Times New Roman" w:hAnsi="Times New Roman" w:cs="Times New Roman"/>
          <w:kern w:val="0"/>
          <w14:ligatures w14:val="none"/>
        </w:rPr>
      </w:pPr>
      <w:r w:rsidRPr="00943D43">
        <w:rPr>
          <w:rFonts w:ascii="Times New Roman" w:eastAsia="Times New Roman" w:hAnsi="Times New Roman" w:cs="Times New Roman"/>
          <w:kern w:val="0"/>
          <w14:ligatures w14:val="none"/>
        </w:rPr>
        <w:t>Rising demand presents a major challenge. By 2050, over 25% of the UK population will be aged 65 or older, significantly increasing demand for hospital care, long-term treatment, and chronic disease management (Office for National Statistics, 202</w:t>
      </w:r>
      <w:r w:rsidR="00833A11">
        <w:rPr>
          <w:rFonts w:ascii="Times New Roman" w:eastAsia="Times New Roman" w:hAnsi="Times New Roman" w:cs="Times New Roman"/>
          <w:kern w:val="0"/>
          <w14:ligatures w14:val="none"/>
        </w:rPr>
        <w:t>2</w:t>
      </w:r>
      <w:r w:rsidRPr="00943D43">
        <w:rPr>
          <w:rFonts w:ascii="Times New Roman" w:eastAsia="Times New Roman" w:hAnsi="Times New Roman" w:cs="Times New Roman"/>
          <w:kern w:val="0"/>
          <w14:ligatures w14:val="none"/>
        </w:rPr>
        <w:t xml:space="preserve">). Workforce shortages, worsened by Brexit, have led to costly reliance on agency staff, adding financial strain </w:t>
      </w:r>
      <w:r w:rsidRPr="00943D43">
        <w:rPr>
          <w:rFonts w:ascii="Times New Roman" w:eastAsia="Times New Roman" w:hAnsi="Times New Roman" w:cs="Times New Roman"/>
          <w:kern w:val="0"/>
          <w14:ligatures w14:val="none"/>
        </w:rPr>
        <w:lastRenderedPageBreak/>
        <w:t xml:space="preserve">(Broadbent, Gill </w:t>
      </w:r>
      <w:r w:rsidR="00095FE7" w:rsidRPr="00943D43">
        <w:rPr>
          <w:rFonts w:ascii="Times New Roman" w:eastAsia="Times New Roman" w:hAnsi="Times New Roman" w:cs="Times New Roman"/>
          <w:kern w:val="0"/>
          <w14:ligatures w14:val="none"/>
        </w:rPr>
        <w:t>and</w:t>
      </w:r>
      <w:r w:rsidRPr="00943D43">
        <w:rPr>
          <w:rFonts w:ascii="Times New Roman" w:eastAsia="Times New Roman" w:hAnsi="Times New Roman" w:cs="Times New Roman"/>
          <w:kern w:val="0"/>
          <w14:ligatures w14:val="none"/>
        </w:rPr>
        <w:t xml:space="preserve"> Laughlin, 2003). Meanwhile, the growing cost of medical advancements requires continued investment in technology and specialized training (Hellowell et al., 2018).</w:t>
      </w:r>
    </w:p>
    <w:p w14:paraId="49B3D9E6" w14:textId="5D62FD51" w:rsidR="00E1391A" w:rsidRPr="00943D43" w:rsidRDefault="00E1391A" w:rsidP="00F41884">
      <w:pPr>
        <w:spacing w:line="360" w:lineRule="auto"/>
        <w:jc w:val="both"/>
        <w:rPr>
          <w:rFonts w:ascii="Times New Roman" w:eastAsia="Times New Roman" w:hAnsi="Times New Roman" w:cs="Times New Roman"/>
          <w:kern w:val="0"/>
          <w14:ligatures w14:val="none"/>
        </w:rPr>
      </w:pPr>
      <w:r w:rsidRPr="00943D43">
        <w:rPr>
          <w:rFonts w:ascii="Times New Roman" w:eastAsia="Times New Roman" w:hAnsi="Times New Roman" w:cs="Times New Roman"/>
          <w:kern w:val="0"/>
          <w14:ligatures w14:val="none"/>
        </w:rPr>
        <w:t xml:space="preserve">Budget constraints have worsened due to austerity policies. Despite rising demand, NHS funding growth has averaged just 1.4% annually, well below the 3.7% required to maintain service quality (Lu, Burge </w:t>
      </w:r>
      <w:r w:rsidR="00095FE7" w:rsidRPr="00943D43">
        <w:rPr>
          <w:rFonts w:ascii="Times New Roman" w:eastAsia="Times New Roman" w:hAnsi="Times New Roman" w:cs="Times New Roman"/>
          <w:kern w:val="0"/>
          <w14:ligatures w14:val="none"/>
        </w:rPr>
        <w:t>and</w:t>
      </w:r>
      <w:r w:rsidRPr="00943D43">
        <w:rPr>
          <w:rFonts w:ascii="Times New Roman" w:eastAsia="Times New Roman" w:hAnsi="Times New Roman" w:cs="Times New Roman"/>
          <w:kern w:val="0"/>
          <w14:ligatures w14:val="none"/>
        </w:rPr>
        <w:t xml:space="preserve"> Sussex, 2021). NHS England now faces a £6.2 billion deficit, leading to longer waiting times, overwhelmed emergency departments, and reduced access to treatments (Hellowell, Appleby </w:t>
      </w:r>
      <w:r w:rsidR="00095FE7" w:rsidRPr="00943D43">
        <w:rPr>
          <w:rFonts w:ascii="Times New Roman" w:eastAsia="Times New Roman" w:hAnsi="Times New Roman" w:cs="Times New Roman"/>
          <w:kern w:val="0"/>
          <w14:ligatures w14:val="none"/>
        </w:rPr>
        <w:t>and</w:t>
      </w:r>
      <w:r w:rsidRPr="00943D43">
        <w:rPr>
          <w:rFonts w:ascii="Times New Roman" w:eastAsia="Times New Roman" w:hAnsi="Times New Roman" w:cs="Times New Roman"/>
          <w:kern w:val="0"/>
          <w14:ligatures w14:val="none"/>
        </w:rPr>
        <w:t xml:space="preserve"> Taylor, 2018). Without reform, financial sustainability remains uncertain.</w:t>
      </w:r>
    </w:p>
    <w:p w14:paraId="25D213B1" w14:textId="7AA3DB99" w:rsidR="00E1391A"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b/>
          <w:bCs/>
        </w:rPr>
        <w:t>The UK’s Economic Position and Its Impact on NHS Funding</w:t>
      </w:r>
    </w:p>
    <w:p w14:paraId="3049EF0E" w14:textId="055FC0F4" w:rsidR="00E1391A" w:rsidRPr="00943D43" w:rsidRDefault="00E1391A" w:rsidP="00F41884">
      <w:pPr>
        <w:spacing w:line="360" w:lineRule="auto"/>
        <w:jc w:val="both"/>
        <w:rPr>
          <w:rFonts w:ascii="Times New Roman" w:hAnsi="Times New Roman" w:cs="Times New Roman"/>
        </w:rPr>
      </w:pPr>
      <w:r w:rsidRPr="00943D43">
        <w:rPr>
          <w:rFonts w:ascii="Times New Roman" w:hAnsi="Times New Roman" w:cs="Times New Roman"/>
        </w:rPr>
        <w:t>NHS funding is closely tied to the UK’s economic health, with tax revenues fluctuating based on growth, inflation, and borrowing. Economic downturns reduce available funding, forcing cutbacks. The COVID-19 pandemic highlighted this vulnerability, as the government allocated £70 billion to NHS support while public debt surpassed 100% of GDP (Cylus et al., 201</w:t>
      </w:r>
      <w:r w:rsidR="00DE151E">
        <w:rPr>
          <w:rFonts w:ascii="Times New Roman" w:hAnsi="Times New Roman" w:cs="Times New Roman"/>
        </w:rPr>
        <w:t>8</w:t>
      </w:r>
      <w:r w:rsidRPr="00943D43">
        <w:rPr>
          <w:rFonts w:ascii="Times New Roman" w:hAnsi="Times New Roman" w:cs="Times New Roman"/>
        </w:rPr>
        <w:t>; Office for National Statistics, 2023).</w:t>
      </w:r>
    </w:p>
    <w:p w14:paraId="1F64CB9F" w14:textId="77777777" w:rsidR="00E1391A" w:rsidRPr="00943D43" w:rsidRDefault="00E1391A" w:rsidP="00F41884">
      <w:pPr>
        <w:spacing w:line="360" w:lineRule="auto"/>
        <w:jc w:val="both"/>
        <w:rPr>
          <w:rFonts w:ascii="Times New Roman" w:hAnsi="Times New Roman" w:cs="Times New Roman"/>
        </w:rPr>
      </w:pPr>
      <w:r w:rsidRPr="00943D43">
        <w:rPr>
          <w:rFonts w:ascii="Times New Roman" w:hAnsi="Times New Roman" w:cs="Times New Roman"/>
        </w:rPr>
        <w:t>Inflation further strains NHS budgets, driving up costs for medical supplies, pharmaceuticals, and wages. Wage disputes among healthcare workers have intensified, while rising energy costs have increased hospital operating expenses (Ivanková et al., 2019).</w:t>
      </w:r>
    </w:p>
    <w:p w14:paraId="78E45CF0" w14:textId="65B66EA1" w:rsidR="00E1391A" w:rsidRPr="00943D43" w:rsidRDefault="00E1391A" w:rsidP="00F41884">
      <w:pPr>
        <w:spacing w:line="360" w:lineRule="auto"/>
        <w:jc w:val="both"/>
        <w:rPr>
          <w:rFonts w:ascii="Times New Roman" w:hAnsi="Times New Roman" w:cs="Times New Roman"/>
        </w:rPr>
      </w:pPr>
      <w:r w:rsidRPr="00943D43">
        <w:rPr>
          <w:rFonts w:ascii="Times New Roman" w:hAnsi="Times New Roman" w:cs="Times New Roman"/>
        </w:rPr>
        <w:t xml:space="preserve">Demographic changes add financial pressure. An ageing population means fewer working-age taxpayers supporting a growing number of retirees requiring healthcare. The rise in chronic conditions and multi-morbidity further increases costs, making preventive and community-based care more crucial (Santandrea </w:t>
      </w:r>
      <w:r w:rsidR="00095FE7" w:rsidRPr="00943D43">
        <w:rPr>
          <w:rFonts w:ascii="Times New Roman" w:hAnsi="Times New Roman" w:cs="Times New Roman"/>
        </w:rPr>
        <w:t>and</w:t>
      </w:r>
      <w:r w:rsidRPr="00943D43">
        <w:rPr>
          <w:rFonts w:ascii="Times New Roman" w:hAnsi="Times New Roman" w:cs="Times New Roman"/>
        </w:rPr>
        <w:t xml:space="preserve"> Bailey, 201</w:t>
      </w:r>
      <w:r w:rsidR="00381DC1">
        <w:rPr>
          <w:rFonts w:ascii="Times New Roman" w:hAnsi="Times New Roman" w:cs="Times New Roman"/>
        </w:rPr>
        <w:t>5</w:t>
      </w:r>
      <w:r w:rsidRPr="00943D43">
        <w:rPr>
          <w:rFonts w:ascii="Times New Roman" w:hAnsi="Times New Roman" w:cs="Times New Roman"/>
        </w:rPr>
        <w:t xml:space="preserve">; Asthana </w:t>
      </w:r>
      <w:r w:rsidR="00095FE7" w:rsidRPr="00943D43">
        <w:rPr>
          <w:rFonts w:ascii="Times New Roman" w:hAnsi="Times New Roman" w:cs="Times New Roman"/>
        </w:rPr>
        <w:t>and</w:t>
      </w:r>
      <w:r w:rsidRPr="00943D43">
        <w:rPr>
          <w:rFonts w:ascii="Times New Roman" w:hAnsi="Times New Roman" w:cs="Times New Roman"/>
        </w:rPr>
        <w:t xml:space="preserve"> Gibson, 2011).</w:t>
      </w:r>
    </w:p>
    <w:p w14:paraId="3D1A0436" w14:textId="0FFC6D54" w:rsidR="00E1391A" w:rsidRPr="00943D43" w:rsidRDefault="00E1391A" w:rsidP="00F41884">
      <w:pPr>
        <w:spacing w:line="360" w:lineRule="auto"/>
        <w:jc w:val="both"/>
        <w:rPr>
          <w:rFonts w:ascii="Times New Roman" w:hAnsi="Times New Roman" w:cs="Times New Roman"/>
        </w:rPr>
      </w:pPr>
      <w:r w:rsidRPr="00943D43">
        <w:rPr>
          <w:rFonts w:ascii="Times New Roman" w:hAnsi="Times New Roman" w:cs="Times New Roman"/>
        </w:rPr>
        <w:t xml:space="preserve">Austerity measures since 2010 have restricted NHS funding, </w:t>
      </w:r>
      <w:r w:rsidR="00F74198" w:rsidRPr="00943D43">
        <w:rPr>
          <w:rFonts w:ascii="Times New Roman" w:hAnsi="Times New Roman" w:cs="Times New Roman"/>
        </w:rPr>
        <w:t>limited</w:t>
      </w:r>
      <w:r w:rsidRPr="00943D43">
        <w:rPr>
          <w:rFonts w:ascii="Times New Roman" w:hAnsi="Times New Roman" w:cs="Times New Roman"/>
        </w:rPr>
        <w:t xml:space="preserve"> infrastructure investment and reducing frontline services. Growth in NHS spending has averaged only 1.4% per year, far below the 3.7% required to maintain service levels (Lu, Burge </w:t>
      </w:r>
      <w:r w:rsidR="00F74198" w:rsidRPr="00943D43">
        <w:rPr>
          <w:rFonts w:ascii="Times New Roman" w:hAnsi="Times New Roman" w:cs="Times New Roman"/>
        </w:rPr>
        <w:t>and</w:t>
      </w:r>
      <w:r w:rsidRPr="00943D43">
        <w:rPr>
          <w:rFonts w:ascii="Times New Roman" w:hAnsi="Times New Roman" w:cs="Times New Roman"/>
        </w:rPr>
        <w:t xml:space="preserve"> Sussex, 2021). Cuts to social care have worsened hospital admissions, while reliance on public sector borrowing raises concerns about fiscal sustainability and potential tax increases (Broadbent, Gill </w:t>
      </w:r>
      <w:r w:rsidR="00F74198" w:rsidRPr="00943D43">
        <w:rPr>
          <w:rFonts w:ascii="Times New Roman" w:hAnsi="Times New Roman" w:cs="Times New Roman"/>
        </w:rPr>
        <w:t>and</w:t>
      </w:r>
      <w:r w:rsidRPr="00943D43">
        <w:rPr>
          <w:rFonts w:ascii="Times New Roman" w:hAnsi="Times New Roman" w:cs="Times New Roman"/>
        </w:rPr>
        <w:t xml:space="preserve"> Laughlin, 2003). Balancing healthcare investment with economic stability remains a major policy challenge.</w:t>
      </w:r>
    </w:p>
    <w:p w14:paraId="78A417C7" w14:textId="50F064A3"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b/>
          <w:bCs/>
        </w:rPr>
        <w:t xml:space="preserve"> NHS Funding Across Devolved Governments</w:t>
      </w:r>
    </w:p>
    <w:p w14:paraId="36149A5B" w14:textId="72119516" w:rsidR="008F6616" w:rsidRPr="00943D43" w:rsidRDefault="008F6616" w:rsidP="00F41884">
      <w:pPr>
        <w:spacing w:line="360" w:lineRule="auto"/>
        <w:jc w:val="both"/>
        <w:rPr>
          <w:rFonts w:ascii="Times New Roman" w:hAnsi="Times New Roman" w:cs="Times New Roman"/>
        </w:rPr>
      </w:pPr>
      <w:r w:rsidRPr="00943D43">
        <w:rPr>
          <w:rFonts w:ascii="Times New Roman" w:hAnsi="Times New Roman" w:cs="Times New Roman"/>
        </w:rPr>
        <w:lastRenderedPageBreak/>
        <w:t xml:space="preserve">The allocation of NHS funding differs across the UK’s four nations due to devolved healthcare responsibilities. </w:t>
      </w:r>
      <w:r w:rsidR="009721BE" w:rsidRPr="00943D43">
        <w:rPr>
          <w:rFonts w:ascii="Times New Roman" w:hAnsi="Times New Roman" w:cs="Times New Roman"/>
        </w:rPr>
        <w:t xml:space="preserve">While the UK government determines overall spending, each administration allocates funds based on its needs. The Barnett Formula adjusts spending relative to England’s budget but has been criticized for not accounting for regional healthcare demands, particularly in ageing populations (Hellowell, Appleby </w:t>
      </w:r>
      <w:r w:rsidR="00F74198" w:rsidRPr="00943D43">
        <w:rPr>
          <w:rFonts w:ascii="Times New Roman" w:hAnsi="Times New Roman" w:cs="Times New Roman"/>
        </w:rPr>
        <w:t>and</w:t>
      </w:r>
      <w:r w:rsidR="009721BE" w:rsidRPr="00943D43">
        <w:rPr>
          <w:rFonts w:ascii="Times New Roman" w:hAnsi="Times New Roman" w:cs="Times New Roman"/>
        </w:rPr>
        <w:t xml:space="preserve"> Taylor, 2018).</w:t>
      </w:r>
    </w:p>
    <w:p w14:paraId="5A9FDEFC" w14:textId="55599FB9" w:rsidR="003E7E11" w:rsidRPr="00AE6548" w:rsidRDefault="008F6616" w:rsidP="00AE6548">
      <w:pPr>
        <w:spacing w:line="360" w:lineRule="auto"/>
        <w:jc w:val="both"/>
        <w:rPr>
          <w:rFonts w:ascii="Times New Roman" w:hAnsi="Times New Roman" w:cs="Times New Roman"/>
        </w:rPr>
      </w:pPr>
      <w:r w:rsidRPr="00AE6548">
        <w:rPr>
          <w:rFonts w:ascii="Times New Roman" w:hAnsi="Times New Roman" w:cs="Times New Roman"/>
        </w:rPr>
        <w:t xml:space="preserve"> </w:t>
      </w:r>
      <w:r w:rsidR="003E7E11" w:rsidRPr="00AE6548">
        <w:rPr>
          <w:rFonts w:ascii="Times New Roman" w:hAnsi="Times New Roman" w:cs="Times New Roman"/>
        </w:rPr>
        <w:t>NHS England</w:t>
      </w:r>
    </w:p>
    <w:p w14:paraId="61FC5355" w14:textId="1586309E" w:rsidR="008F6616" w:rsidRPr="00943D43" w:rsidRDefault="008F6616" w:rsidP="00F41884">
      <w:pPr>
        <w:spacing w:line="360" w:lineRule="auto"/>
        <w:jc w:val="both"/>
        <w:rPr>
          <w:rFonts w:ascii="Times New Roman" w:hAnsi="Times New Roman" w:cs="Times New Roman"/>
        </w:rPr>
      </w:pPr>
      <w:r w:rsidRPr="00943D43">
        <w:rPr>
          <w:rFonts w:ascii="Times New Roman" w:hAnsi="Times New Roman" w:cs="Times New Roman"/>
        </w:rPr>
        <w:t>NHS</w:t>
      </w:r>
      <w:r w:rsidR="003E7E11" w:rsidRPr="00943D43">
        <w:rPr>
          <w:rFonts w:ascii="Times New Roman" w:hAnsi="Times New Roman" w:cs="Times New Roman"/>
        </w:rPr>
        <w:t xml:space="preserve"> </w:t>
      </w:r>
      <w:r w:rsidR="009721BE" w:rsidRPr="00943D43">
        <w:rPr>
          <w:rFonts w:ascii="Times New Roman" w:hAnsi="Times New Roman" w:cs="Times New Roman"/>
        </w:rPr>
        <w:t xml:space="preserve">England, the largest of the four health services, receives most of the funding, with a budget of £150 billion in 2023. It operates under a centralized system, with financial control under the Department of Health and Social Care and operations managed by NHS England. Integrated Care Systems (ICSs) were introduced to improve coordination between health and social care. However, NHS England faces growing financial pressures due to increasing demand, workforce shortages, and funding gaps. Over 7.6 million patients were awaiting treatment in 2023, worsened by the COVID-19 pandemic (Lu, Burge </w:t>
      </w:r>
      <w:r w:rsidR="00943D43" w:rsidRPr="00943D43">
        <w:rPr>
          <w:rFonts w:ascii="Times New Roman" w:hAnsi="Times New Roman" w:cs="Times New Roman"/>
        </w:rPr>
        <w:t>and</w:t>
      </w:r>
      <w:r w:rsidR="009721BE" w:rsidRPr="00943D43">
        <w:rPr>
          <w:rFonts w:ascii="Times New Roman" w:hAnsi="Times New Roman" w:cs="Times New Roman"/>
        </w:rPr>
        <w:t xml:space="preserve"> Sussex, 2021). There are also concerns that reliance on private partnerships for elective procedures could lead to a two-tiered system </w:t>
      </w:r>
      <w:r w:rsidR="00943D43" w:rsidRPr="00943D43">
        <w:rPr>
          <w:rFonts w:ascii="Times New Roman" w:hAnsi="Times New Roman" w:cs="Times New Roman"/>
        </w:rPr>
        <w:t>favouring</w:t>
      </w:r>
      <w:r w:rsidR="009721BE" w:rsidRPr="00943D43">
        <w:rPr>
          <w:rFonts w:ascii="Times New Roman" w:hAnsi="Times New Roman" w:cs="Times New Roman"/>
        </w:rPr>
        <w:t xml:space="preserve"> wealthier patients (Santandrea </w:t>
      </w:r>
      <w:r w:rsidR="00943D43" w:rsidRPr="00943D43">
        <w:rPr>
          <w:rFonts w:ascii="Times New Roman" w:hAnsi="Times New Roman" w:cs="Times New Roman"/>
        </w:rPr>
        <w:t>and</w:t>
      </w:r>
      <w:r w:rsidR="009721BE" w:rsidRPr="00943D43">
        <w:rPr>
          <w:rFonts w:ascii="Times New Roman" w:hAnsi="Times New Roman" w:cs="Times New Roman"/>
        </w:rPr>
        <w:t xml:space="preserve"> Bailey, 201</w:t>
      </w:r>
      <w:r w:rsidR="00381DC1">
        <w:rPr>
          <w:rFonts w:ascii="Times New Roman" w:hAnsi="Times New Roman" w:cs="Times New Roman"/>
        </w:rPr>
        <w:t>5</w:t>
      </w:r>
      <w:r w:rsidR="009721BE" w:rsidRPr="00943D43">
        <w:rPr>
          <w:rFonts w:ascii="Times New Roman" w:hAnsi="Times New Roman" w:cs="Times New Roman"/>
        </w:rPr>
        <w:t>).</w:t>
      </w:r>
    </w:p>
    <w:p w14:paraId="7152EF78" w14:textId="098F605F" w:rsidR="003E7E11" w:rsidRPr="00AE6548" w:rsidRDefault="008F6616" w:rsidP="00AE6548">
      <w:pPr>
        <w:spacing w:line="360" w:lineRule="auto"/>
        <w:jc w:val="both"/>
        <w:rPr>
          <w:rFonts w:ascii="Times New Roman" w:hAnsi="Times New Roman" w:cs="Times New Roman"/>
        </w:rPr>
      </w:pPr>
      <w:r w:rsidRPr="00AE6548">
        <w:rPr>
          <w:rFonts w:ascii="Times New Roman" w:hAnsi="Times New Roman" w:cs="Times New Roman"/>
        </w:rPr>
        <w:t xml:space="preserve"> </w:t>
      </w:r>
      <w:r w:rsidR="003E7E11" w:rsidRPr="00AE6548">
        <w:rPr>
          <w:rFonts w:ascii="Times New Roman" w:hAnsi="Times New Roman" w:cs="Times New Roman"/>
        </w:rPr>
        <w:t>NHS Scotland</w:t>
      </w:r>
    </w:p>
    <w:p w14:paraId="6937D271" w14:textId="72AF7F14" w:rsidR="008F6616"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NHS </w:t>
      </w:r>
      <w:r w:rsidR="009721BE" w:rsidRPr="00943D43">
        <w:rPr>
          <w:rFonts w:ascii="Times New Roman" w:hAnsi="Times New Roman" w:cs="Times New Roman"/>
        </w:rPr>
        <w:t xml:space="preserve">Scotland, with a budget of £19 billion, operates a more centralized and publicly funded model than England. It abolished prescription charges in 2011 and provides free personal care for the elderly to reduce hospital demand (Asthana </w:t>
      </w:r>
      <w:r w:rsidR="00943D43">
        <w:rPr>
          <w:rFonts w:ascii="Times New Roman" w:hAnsi="Times New Roman" w:cs="Times New Roman"/>
        </w:rPr>
        <w:t>and</w:t>
      </w:r>
      <w:r w:rsidR="009721BE" w:rsidRPr="00943D43">
        <w:rPr>
          <w:rFonts w:ascii="Times New Roman" w:hAnsi="Times New Roman" w:cs="Times New Roman"/>
        </w:rPr>
        <w:t xml:space="preserve"> Gibson, 2011). However, Scotland faces challenges in rural healthcare provision, with higher costs and workforce shortages limiting access to specialists despite higher per capita health spending (Cylus et al., 201</w:t>
      </w:r>
      <w:r w:rsidR="00DE151E">
        <w:rPr>
          <w:rFonts w:ascii="Times New Roman" w:hAnsi="Times New Roman" w:cs="Times New Roman"/>
        </w:rPr>
        <w:t>8</w:t>
      </w:r>
      <w:r w:rsidR="009721BE" w:rsidRPr="00943D43">
        <w:rPr>
          <w:rFonts w:ascii="Times New Roman" w:hAnsi="Times New Roman" w:cs="Times New Roman"/>
        </w:rPr>
        <w:t>).</w:t>
      </w:r>
    </w:p>
    <w:p w14:paraId="64FDA827" w14:textId="4C6F8B07"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rPr>
        <w:t xml:space="preserve"> NHS Wales</w:t>
      </w:r>
    </w:p>
    <w:p w14:paraId="30302A49" w14:textId="3893256B" w:rsidR="009721BE"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NHS </w:t>
      </w:r>
      <w:r w:rsidR="009721BE" w:rsidRPr="00943D43">
        <w:rPr>
          <w:rFonts w:ascii="Times New Roman" w:hAnsi="Times New Roman" w:cs="Times New Roman"/>
        </w:rPr>
        <w:t xml:space="preserve">Wales, with a £10 billion budget, prioritizes preventive care and community health programs. It has abolished prescription fees and invests in public health </w:t>
      </w:r>
      <w:r w:rsidR="00943D43" w:rsidRPr="00943D43">
        <w:rPr>
          <w:rFonts w:ascii="Times New Roman" w:hAnsi="Times New Roman" w:cs="Times New Roman"/>
        </w:rPr>
        <w:t>initiatives yet</w:t>
      </w:r>
      <w:r w:rsidR="009721BE" w:rsidRPr="00943D43">
        <w:rPr>
          <w:rFonts w:ascii="Times New Roman" w:hAnsi="Times New Roman" w:cs="Times New Roman"/>
        </w:rPr>
        <w:t xml:space="preserve"> faces some of the UK’s longest waiting lists and financial dependence on UK Treasury support (Hellowell et al., 2018).</w:t>
      </w:r>
    </w:p>
    <w:p w14:paraId="56179BAD" w14:textId="36E2FC79"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rPr>
        <w:t xml:space="preserve"> NHS Northern Ireland</w:t>
      </w:r>
    </w:p>
    <w:p w14:paraId="0FC41914" w14:textId="3912E4FA" w:rsidR="009721BE"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NHS </w:t>
      </w:r>
      <w:r w:rsidR="009721BE" w:rsidRPr="00943D43">
        <w:rPr>
          <w:rFonts w:ascii="Times New Roman" w:hAnsi="Times New Roman" w:cs="Times New Roman"/>
        </w:rPr>
        <w:t xml:space="preserve">Northern Ireland with £7 billion, struggles with chronic underfunding and political instability, leading to severe waiting list backlogs. Despite integrating health and social care </w:t>
      </w:r>
      <w:r w:rsidR="009721BE" w:rsidRPr="00943D43">
        <w:rPr>
          <w:rFonts w:ascii="Times New Roman" w:hAnsi="Times New Roman" w:cs="Times New Roman"/>
        </w:rPr>
        <w:lastRenderedPageBreak/>
        <w:t xml:space="preserve">earlier than other UK nations, staff shortages and funding inconsistencies continue to impact services (Broadbent, Gill </w:t>
      </w:r>
      <w:r w:rsidR="004F0569">
        <w:rPr>
          <w:rFonts w:ascii="Times New Roman" w:hAnsi="Times New Roman" w:cs="Times New Roman"/>
        </w:rPr>
        <w:t>and</w:t>
      </w:r>
      <w:r w:rsidR="009721BE" w:rsidRPr="00943D43">
        <w:rPr>
          <w:rFonts w:ascii="Times New Roman" w:hAnsi="Times New Roman" w:cs="Times New Roman"/>
        </w:rPr>
        <w:t xml:space="preserve"> Laughlin, 2003).</w:t>
      </w:r>
    </w:p>
    <w:p w14:paraId="07BF8390" w14:textId="177669E2"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rPr>
        <w:t xml:space="preserve"> </w:t>
      </w:r>
      <w:r w:rsidRPr="00AE6548">
        <w:rPr>
          <w:rFonts w:ascii="Times New Roman" w:hAnsi="Times New Roman" w:cs="Times New Roman"/>
          <w:b/>
          <w:bCs/>
        </w:rPr>
        <w:t>International Comparisons: NHS vs. Other Universal Healthcare Models</w:t>
      </w:r>
    </w:p>
    <w:p w14:paraId="5926DB1E"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 UK’s taxation-funded NHS is often compared to other high-income countries that provide universal health coverage (UHC). While the NHS follows the Beveridge model, other countries employ social health insurance (SHI) systems or mixed funding models that incorporate varying levels of private contributions. Examining international healthcare models provides valuable insights into alternative funding mechanisms that could be considered for the NHS.</w:t>
      </w:r>
    </w:p>
    <w:p w14:paraId="42B0E364" w14:textId="4DBFC71E"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rPr>
        <w:t xml:space="preserve"> The German Social Health Insurance (SHI) Model</w:t>
      </w:r>
    </w:p>
    <w:p w14:paraId="171056D6"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Germany operates a compulsory health insurance system, where funding comes from employer and employee payroll contributions rather than general taxation. Individuals can choose between multiple non-profit sickness funds, creating a competitive insurance market. The advantage of this model is that it distributes financial risk across both employers and employees, ensuring stable long-term funding (Ivanková et al., 2019).</w:t>
      </w:r>
    </w:p>
    <w:p w14:paraId="68E00B9C" w14:textId="261D6B4A"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However, the SHI model leads to higher healthcare costs for individuals, and administrative expenses associated with maintaining multiple insurers can be substantial. While the system ensures universal access, some disparities exist in service quality between private and public insurance holders (Santandrea </w:t>
      </w:r>
      <w:r w:rsidR="001A6531">
        <w:rPr>
          <w:rFonts w:ascii="Times New Roman" w:hAnsi="Times New Roman" w:cs="Times New Roman"/>
        </w:rPr>
        <w:t>and</w:t>
      </w:r>
      <w:r w:rsidRPr="00943D43">
        <w:rPr>
          <w:rFonts w:ascii="Times New Roman" w:hAnsi="Times New Roman" w:cs="Times New Roman"/>
        </w:rPr>
        <w:t xml:space="preserve"> Bailey, 201</w:t>
      </w:r>
      <w:r w:rsidR="00381DC1">
        <w:rPr>
          <w:rFonts w:ascii="Times New Roman" w:hAnsi="Times New Roman" w:cs="Times New Roman"/>
        </w:rPr>
        <w:t>5</w:t>
      </w:r>
      <w:r w:rsidRPr="00943D43">
        <w:rPr>
          <w:rFonts w:ascii="Times New Roman" w:hAnsi="Times New Roman" w:cs="Times New Roman"/>
        </w:rPr>
        <w:t>).</w:t>
      </w:r>
    </w:p>
    <w:p w14:paraId="762A3E87" w14:textId="60F23193"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rPr>
        <w:t xml:space="preserve"> Canada’s Single-Payer Healthcare System</w:t>
      </w:r>
    </w:p>
    <w:p w14:paraId="4DADBF99" w14:textId="54F2545E"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Canada employs a single-payer model, </w:t>
      </w:r>
      <w:proofErr w:type="gramStart"/>
      <w:r w:rsidRPr="00943D43">
        <w:rPr>
          <w:rFonts w:ascii="Times New Roman" w:hAnsi="Times New Roman" w:cs="Times New Roman"/>
        </w:rPr>
        <w:t>similar to</w:t>
      </w:r>
      <w:proofErr w:type="gramEnd"/>
      <w:r w:rsidRPr="00943D43">
        <w:rPr>
          <w:rFonts w:ascii="Times New Roman" w:hAnsi="Times New Roman" w:cs="Times New Roman"/>
        </w:rPr>
        <w:t xml:space="preserve"> the NHS, where healthcare is publicly funded through taxation. However, provincial governments oversee healthcare administration, leading to variations in service availability across regions. While Canada maintains universal access to medically necessary services, it faces challenges such as long wait times for elective procedures and underfunding of specialist care (Asthana </w:t>
      </w:r>
      <w:r w:rsidR="00083FA5">
        <w:rPr>
          <w:rFonts w:ascii="Times New Roman" w:hAnsi="Times New Roman" w:cs="Times New Roman"/>
        </w:rPr>
        <w:t>and</w:t>
      </w:r>
      <w:r w:rsidRPr="00943D43">
        <w:rPr>
          <w:rFonts w:ascii="Times New Roman" w:hAnsi="Times New Roman" w:cs="Times New Roman"/>
        </w:rPr>
        <w:t xml:space="preserve"> Gibson, 2011).</w:t>
      </w:r>
    </w:p>
    <w:p w14:paraId="1D9C227B" w14:textId="37E54D1B" w:rsidR="003E7E11" w:rsidRPr="00AE6548" w:rsidRDefault="003E7E11" w:rsidP="00AE6548">
      <w:pPr>
        <w:spacing w:line="360" w:lineRule="auto"/>
        <w:jc w:val="both"/>
        <w:rPr>
          <w:rFonts w:ascii="Times New Roman" w:hAnsi="Times New Roman" w:cs="Times New Roman"/>
        </w:rPr>
      </w:pPr>
      <w:r w:rsidRPr="00AE6548">
        <w:rPr>
          <w:rFonts w:ascii="Times New Roman" w:hAnsi="Times New Roman" w:cs="Times New Roman"/>
        </w:rPr>
        <w:t xml:space="preserve"> Sweden’s Decentralized Tax-Funded Model</w:t>
      </w:r>
    </w:p>
    <w:p w14:paraId="7A2FBF42" w14:textId="2D64869F"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Sweden’s healthcare system, like the NHS, is predominantly tax-funded, but with local government oversight rather than central control. This decentralized approach allows for greater flexibility in meeting regional healthcare needs. Sweden’s emphasis on preventive care and primary healthcare services has resulted in better population health outcomes and lower hospital admissions compared to the UK (Cylus et al., 201</w:t>
      </w:r>
      <w:r w:rsidR="00DE151E">
        <w:rPr>
          <w:rFonts w:ascii="Times New Roman" w:hAnsi="Times New Roman" w:cs="Times New Roman"/>
        </w:rPr>
        <w:t>8</w:t>
      </w:r>
      <w:r w:rsidRPr="00943D43">
        <w:rPr>
          <w:rFonts w:ascii="Times New Roman" w:hAnsi="Times New Roman" w:cs="Times New Roman"/>
        </w:rPr>
        <w:t>).</w:t>
      </w:r>
    </w:p>
    <w:p w14:paraId="14C93A38" w14:textId="065A783B"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rPr>
        <w:lastRenderedPageBreak/>
        <w:t xml:space="preserve"> </w:t>
      </w:r>
      <w:r w:rsidRPr="00AE6548">
        <w:rPr>
          <w:rFonts w:ascii="Times New Roman" w:hAnsi="Times New Roman" w:cs="Times New Roman"/>
          <w:b/>
          <w:bCs/>
        </w:rPr>
        <w:t>Alternative NHS Funding Models and Their Implications</w:t>
      </w:r>
    </w:p>
    <w:p w14:paraId="06CB37E9"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Given the ongoing financial challenges facing the NHS, various alternative funding models have been proposed. Each model presents potential benefits and drawbacks, and their feasibility depends on balancing financial sustainability, equity, and access to care.</w:t>
      </w:r>
    </w:p>
    <w:p w14:paraId="3D2C96A6"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One proposed solution is the introduction of a hypothecated health tax, where a designated percentage of income tax or National Insurance would be exclusively allocated to NHS funding. This approach could increase transparency and public accountability, ensuring that healthcare spending remains a priority. However, it also risks budget fluctuations, as revenue would depend on economic conditions (Hellowell et al., 2018).</w:t>
      </w:r>
    </w:p>
    <w:p w14:paraId="729C3033" w14:textId="23336BA9"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Another debated alternative is the expansion of patient co-payments, where individuals contribute directly to the cost of non-essential services such as GP appointments or specialist referrals. While this could generate additional revenue, it risks creating barriers to access, particularly for lower-income populations (Lu, Burge </w:t>
      </w:r>
      <w:r w:rsidR="00D97C73">
        <w:rPr>
          <w:rFonts w:ascii="Times New Roman" w:hAnsi="Times New Roman" w:cs="Times New Roman"/>
        </w:rPr>
        <w:t>and</w:t>
      </w:r>
      <w:r w:rsidRPr="00943D43">
        <w:rPr>
          <w:rFonts w:ascii="Times New Roman" w:hAnsi="Times New Roman" w:cs="Times New Roman"/>
        </w:rPr>
        <w:t xml:space="preserve"> Sussex, 2021).</w:t>
      </w:r>
    </w:p>
    <w:p w14:paraId="6CF202D2"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 adoption of a social insurance model, similar to Germany’s system, is another possibility. By shifting NHS funding from general taxation to mandatory insurance contributions, financial sustainability could be improved. However, this would represent a fundamental shift in the UK’s approach to healthcare, potentially undermining the NHS’s founding principles of universal, tax-funded healthcare (Ivanková et al., 2019).</w:t>
      </w:r>
    </w:p>
    <w:p w14:paraId="1B631A84" w14:textId="54531579"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Public-private partnerships (PPPs) have also been suggested as a means of improving NHS efficiency. In this model, private sector involvement in service delivery could enhance innovation and infrastructure development, but concerns remain about profit-driven motives compromising patient care quality (Broadbent, Gill </w:t>
      </w:r>
      <w:r w:rsidR="00D97C73">
        <w:rPr>
          <w:rFonts w:ascii="Times New Roman" w:hAnsi="Times New Roman" w:cs="Times New Roman"/>
        </w:rPr>
        <w:t>and</w:t>
      </w:r>
      <w:r w:rsidRPr="00943D43">
        <w:rPr>
          <w:rFonts w:ascii="Times New Roman" w:hAnsi="Times New Roman" w:cs="Times New Roman"/>
        </w:rPr>
        <w:t xml:space="preserve"> Laughlin, 2003).</w:t>
      </w:r>
    </w:p>
    <w:p w14:paraId="16091831" w14:textId="0872E227"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rPr>
        <w:t xml:space="preserve"> </w:t>
      </w:r>
      <w:r w:rsidRPr="00AE6548">
        <w:rPr>
          <w:rFonts w:ascii="Times New Roman" w:hAnsi="Times New Roman" w:cs="Times New Roman"/>
          <w:b/>
          <w:bCs/>
        </w:rPr>
        <w:t>Economic Theories Relevant to NHS Funding</w:t>
      </w:r>
    </w:p>
    <w:p w14:paraId="699D17C3" w14:textId="05DBCE6C" w:rsidR="007B5E0A" w:rsidRPr="00943D43" w:rsidRDefault="007B5E0A" w:rsidP="00F41884">
      <w:pPr>
        <w:spacing w:line="360" w:lineRule="auto"/>
        <w:jc w:val="both"/>
        <w:rPr>
          <w:rFonts w:ascii="Times New Roman" w:hAnsi="Times New Roman" w:cs="Times New Roman"/>
        </w:rPr>
      </w:pPr>
      <w:r w:rsidRPr="00943D43">
        <w:rPr>
          <w:rFonts w:ascii="Times New Roman" w:hAnsi="Times New Roman" w:cs="Times New Roman"/>
        </w:rPr>
        <w:t>Several economic theories provide insight into NHS funding challenges and potential solutions:</w:t>
      </w:r>
    </w:p>
    <w:p w14:paraId="4AA58222" w14:textId="77F21C23" w:rsidR="007B5E0A" w:rsidRPr="00943D43" w:rsidRDefault="007B5E0A" w:rsidP="00F41884">
      <w:pPr>
        <w:spacing w:line="360" w:lineRule="auto"/>
        <w:jc w:val="both"/>
        <w:rPr>
          <w:rFonts w:ascii="Times New Roman" w:hAnsi="Times New Roman" w:cs="Times New Roman"/>
        </w:rPr>
      </w:pPr>
      <w:r w:rsidRPr="00943D43">
        <w:rPr>
          <w:rFonts w:ascii="Times New Roman" w:hAnsi="Times New Roman" w:cs="Times New Roman"/>
          <w:b/>
          <w:bCs/>
        </w:rPr>
        <w:t>The Public Goods theory</w:t>
      </w:r>
      <w:r w:rsidRPr="00943D43">
        <w:rPr>
          <w:rFonts w:ascii="Times New Roman" w:hAnsi="Times New Roman" w:cs="Times New Roman"/>
        </w:rPr>
        <w:t xml:space="preserve"> argues that healthcare, like education and national defense, benefits society as a whole. Without government intervention, the market would underprovide essential healthcare services, leading to negative societal consequences (Simonet, 201</w:t>
      </w:r>
      <w:r w:rsidR="00381DC1">
        <w:rPr>
          <w:rFonts w:ascii="Times New Roman" w:hAnsi="Times New Roman" w:cs="Times New Roman"/>
        </w:rPr>
        <w:t>3</w:t>
      </w:r>
      <w:r w:rsidRPr="00943D43">
        <w:rPr>
          <w:rFonts w:ascii="Times New Roman" w:hAnsi="Times New Roman" w:cs="Times New Roman"/>
        </w:rPr>
        <w:t>). Market failure in healthcare justifies continued public funding to ensure equitable access (Harris et al., 2017).</w:t>
      </w:r>
    </w:p>
    <w:p w14:paraId="4A7E3A94" w14:textId="4AC4A101" w:rsidR="007B5E0A" w:rsidRPr="00943D43" w:rsidRDefault="007B5E0A" w:rsidP="00F41884">
      <w:pPr>
        <w:spacing w:line="360" w:lineRule="auto"/>
        <w:jc w:val="both"/>
        <w:rPr>
          <w:rFonts w:ascii="Times New Roman" w:hAnsi="Times New Roman" w:cs="Times New Roman"/>
        </w:rPr>
      </w:pPr>
      <w:r w:rsidRPr="00943D43">
        <w:rPr>
          <w:rFonts w:ascii="Times New Roman" w:hAnsi="Times New Roman" w:cs="Times New Roman"/>
          <w:b/>
          <w:bCs/>
        </w:rPr>
        <w:lastRenderedPageBreak/>
        <w:t>Baumol’s cost disease</w:t>
      </w:r>
      <w:r w:rsidRPr="00943D43">
        <w:rPr>
          <w:rFonts w:ascii="Times New Roman" w:hAnsi="Times New Roman" w:cs="Times New Roman"/>
        </w:rPr>
        <w:t xml:space="preserve"> explains why healthcare costs rise without corresponding productivity gains. Unlike manufacturing, healthcare is </w:t>
      </w:r>
      <w:r w:rsidR="008B786A" w:rsidRPr="00943D43">
        <w:rPr>
          <w:rFonts w:ascii="Times New Roman" w:hAnsi="Times New Roman" w:cs="Times New Roman"/>
        </w:rPr>
        <w:t>labour-intensive</w:t>
      </w:r>
      <w:r w:rsidRPr="00943D43">
        <w:rPr>
          <w:rFonts w:ascii="Times New Roman" w:hAnsi="Times New Roman" w:cs="Times New Roman"/>
        </w:rPr>
        <w:t xml:space="preserve"> and cannot easily be automated, meaning wage increases lead to higher costs without efficiency gains (Greenhalgh </w:t>
      </w:r>
      <w:r w:rsidR="008B786A">
        <w:rPr>
          <w:rFonts w:ascii="Times New Roman" w:hAnsi="Times New Roman" w:cs="Times New Roman"/>
        </w:rPr>
        <w:t>and</w:t>
      </w:r>
      <w:r w:rsidRPr="00943D43">
        <w:rPr>
          <w:rFonts w:ascii="Times New Roman" w:hAnsi="Times New Roman" w:cs="Times New Roman"/>
        </w:rPr>
        <w:t xml:space="preserve"> Barton-Sweeney, 2013). This dynamic adds financial strain to the NHS, requiring continuous funding increases.</w:t>
      </w:r>
    </w:p>
    <w:p w14:paraId="679A0CA4" w14:textId="768082D7" w:rsidR="007B5E0A" w:rsidRPr="00943D43" w:rsidRDefault="007B5E0A" w:rsidP="00F41884">
      <w:pPr>
        <w:spacing w:line="360" w:lineRule="auto"/>
        <w:jc w:val="both"/>
        <w:rPr>
          <w:rFonts w:ascii="Times New Roman" w:hAnsi="Times New Roman" w:cs="Times New Roman"/>
        </w:rPr>
      </w:pPr>
      <w:r w:rsidRPr="00943D43">
        <w:rPr>
          <w:rFonts w:ascii="Times New Roman" w:hAnsi="Times New Roman" w:cs="Times New Roman"/>
          <w:b/>
          <w:bCs/>
        </w:rPr>
        <w:t>The New Public Management (NPM) model</w:t>
      </w:r>
      <w:r w:rsidRPr="00943D43">
        <w:rPr>
          <w:rFonts w:ascii="Times New Roman" w:hAnsi="Times New Roman" w:cs="Times New Roman"/>
        </w:rPr>
        <w:t xml:space="preserve"> promotes efficiency through competition, private sector involvement, and performance-based funding. While these measures have helped control costs, they have also introduced bureaucratic inefficiencies and disparities in service provision (Simonet, 201</w:t>
      </w:r>
      <w:r w:rsidR="00381DC1">
        <w:rPr>
          <w:rFonts w:ascii="Times New Roman" w:hAnsi="Times New Roman" w:cs="Times New Roman"/>
        </w:rPr>
        <w:t>3</w:t>
      </w:r>
      <w:r w:rsidRPr="00943D43">
        <w:rPr>
          <w:rFonts w:ascii="Times New Roman" w:hAnsi="Times New Roman" w:cs="Times New Roman"/>
        </w:rPr>
        <w:t>).</w:t>
      </w:r>
    </w:p>
    <w:p w14:paraId="1BE3D75B" w14:textId="3599E1FE" w:rsidR="007B5E0A" w:rsidRPr="00943D43" w:rsidRDefault="007B5E0A" w:rsidP="00F41884">
      <w:pPr>
        <w:spacing w:line="360" w:lineRule="auto"/>
        <w:jc w:val="both"/>
        <w:rPr>
          <w:rFonts w:ascii="Times New Roman" w:hAnsi="Times New Roman" w:cs="Times New Roman"/>
        </w:rPr>
      </w:pPr>
      <w:r w:rsidRPr="00943D43">
        <w:rPr>
          <w:rFonts w:ascii="Times New Roman" w:hAnsi="Times New Roman" w:cs="Times New Roman"/>
          <w:b/>
          <w:bCs/>
        </w:rPr>
        <w:t>The Fiscal Sustainability theory</w:t>
      </w:r>
      <w:r w:rsidRPr="00943D43">
        <w:rPr>
          <w:rFonts w:ascii="Times New Roman" w:hAnsi="Times New Roman" w:cs="Times New Roman"/>
        </w:rPr>
        <w:t xml:space="preserve"> stresses that healthcare spending must grow in line with GDP to avoid excessive public debt. With an ageing population and increasing demand, balancing NHS investment with economic stability remains a challenge (Doyle et al., 2013). Policymakers must find ways to ensure long-term financial sustainability without compromising accessibility.</w:t>
      </w:r>
    </w:p>
    <w:p w14:paraId="4B576EE5" w14:textId="65EB7035"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b/>
          <w:bCs/>
        </w:rPr>
        <w:t>Conclusion</w:t>
      </w:r>
    </w:p>
    <w:p w14:paraId="74461976"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 NHS remains a cornerstone of UK social policy, embodying the principle that healthcare should be accessible to all, regardless of financial status. However, its tax-funded model faces growing sustainability challenges due to increasing demand, workforce shortages, and financial constraints. While devolution has allowed for regional healthcare policy variations, disparities persist in funding allocations across England, Scotland, Wales, and Northern Ireland.</w:t>
      </w:r>
    </w:p>
    <w:p w14:paraId="404BAEA4"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Comparisons with international healthcare systems highlight both strengths and limitations of the UK model. While tax-funded universal healthcare ensures equity, other countries employ insurance-based or hybrid models to achieve financial stability. Alternative NHS funding approaches, such as hypothecated health taxes, co-payments, and public-private partnerships, present potential solutions but also raise concerns about equity and accessibility.</w:t>
      </w:r>
    </w:p>
    <w:p w14:paraId="31D95C26" w14:textId="46FE0A8F" w:rsidR="003E7E11" w:rsidRDefault="003E7E11" w:rsidP="00F41884">
      <w:pPr>
        <w:spacing w:line="360" w:lineRule="auto"/>
        <w:jc w:val="both"/>
        <w:rPr>
          <w:rFonts w:ascii="Times New Roman" w:hAnsi="Times New Roman" w:cs="Times New Roman"/>
        </w:rPr>
      </w:pPr>
      <w:r w:rsidRPr="00943D43">
        <w:rPr>
          <w:rFonts w:ascii="Times New Roman" w:hAnsi="Times New Roman" w:cs="Times New Roman"/>
        </w:rPr>
        <w:t xml:space="preserve">Economic theories such as public goods theory, Baumol’s cost disease, and fiscal sustainability theory provide a framework for </w:t>
      </w:r>
      <w:r w:rsidR="007140E9" w:rsidRPr="00943D43">
        <w:rPr>
          <w:rFonts w:ascii="Times New Roman" w:hAnsi="Times New Roman" w:cs="Times New Roman"/>
        </w:rPr>
        <w:t>analysing</w:t>
      </w:r>
      <w:r w:rsidRPr="00943D43">
        <w:rPr>
          <w:rFonts w:ascii="Times New Roman" w:hAnsi="Times New Roman" w:cs="Times New Roman"/>
        </w:rPr>
        <w:t xml:space="preserve"> NHS funding sustainability. As demand continues to rise, policymakers must consider long-term funding strategies that balance financial efficiency with equitable healthcare access.</w:t>
      </w:r>
    </w:p>
    <w:p w14:paraId="29F15DD9" w14:textId="77777777" w:rsidR="00AE6548" w:rsidRPr="00943D43" w:rsidRDefault="00AE6548" w:rsidP="00F41884">
      <w:pPr>
        <w:spacing w:line="360" w:lineRule="auto"/>
        <w:jc w:val="both"/>
        <w:rPr>
          <w:rFonts w:ascii="Times New Roman" w:hAnsi="Times New Roman" w:cs="Times New Roman"/>
        </w:rPr>
      </w:pPr>
    </w:p>
    <w:p w14:paraId="7AB0EFD9" w14:textId="170CED72" w:rsidR="003E7E11" w:rsidRPr="00AE6548" w:rsidRDefault="003E7E11" w:rsidP="00AE6548">
      <w:pPr>
        <w:spacing w:line="360" w:lineRule="auto"/>
        <w:jc w:val="both"/>
        <w:rPr>
          <w:rFonts w:ascii="Times New Roman" w:hAnsi="Times New Roman" w:cs="Times New Roman"/>
          <w:b/>
          <w:bCs/>
        </w:rPr>
      </w:pPr>
      <w:r w:rsidRPr="00AE6548">
        <w:rPr>
          <w:rFonts w:ascii="Times New Roman" w:hAnsi="Times New Roman" w:cs="Times New Roman"/>
          <w:b/>
          <w:bCs/>
        </w:rPr>
        <w:lastRenderedPageBreak/>
        <w:t xml:space="preserve"> Recommendations</w:t>
      </w:r>
    </w:p>
    <w:p w14:paraId="70EE540F"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To address the financial sustainability of the NHS while maintaining universal access and quality care, the following policy recommendations are proposed:</w:t>
      </w:r>
    </w:p>
    <w:p w14:paraId="021BC9F3"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Introduce a Hypothecated Health Tax</w:t>
      </w:r>
    </w:p>
    <w:p w14:paraId="7F1F248C" w14:textId="77777777" w:rsidR="003E7E11" w:rsidRPr="00943D43" w:rsidRDefault="003E7E11" w:rsidP="00F41884">
      <w:pPr>
        <w:pStyle w:val="ListParagraph"/>
        <w:numPr>
          <w:ilvl w:val="0"/>
          <w:numId w:val="21"/>
        </w:numPr>
        <w:spacing w:line="360" w:lineRule="auto"/>
        <w:jc w:val="both"/>
        <w:rPr>
          <w:rFonts w:ascii="Times New Roman" w:hAnsi="Times New Roman" w:cs="Times New Roman"/>
        </w:rPr>
      </w:pPr>
      <w:r w:rsidRPr="00943D43">
        <w:rPr>
          <w:rFonts w:ascii="Times New Roman" w:hAnsi="Times New Roman" w:cs="Times New Roman"/>
        </w:rPr>
        <w:t>Allocating a dedicated portion of income tax or National Insurance contributions specifically for NHS funding would enhance transparency and public trust.</w:t>
      </w:r>
    </w:p>
    <w:p w14:paraId="68CA14AE" w14:textId="28A4274F" w:rsidR="003E7E11" w:rsidRPr="00943D43" w:rsidRDefault="003E7E11" w:rsidP="00F41884">
      <w:pPr>
        <w:pStyle w:val="ListParagraph"/>
        <w:numPr>
          <w:ilvl w:val="0"/>
          <w:numId w:val="21"/>
        </w:numPr>
        <w:spacing w:line="360" w:lineRule="auto"/>
        <w:jc w:val="both"/>
        <w:rPr>
          <w:rFonts w:ascii="Times New Roman" w:hAnsi="Times New Roman" w:cs="Times New Roman"/>
        </w:rPr>
      </w:pPr>
      <w:r w:rsidRPr="00943D43">
        <w:rPr>
          <w:rFonts w:ascii="Times New Roman" w:hAnsi="Times New Roman" w:cs="Times New Roman"/>
        </w:rPr>
        <w:t xml:space="preserve">However, this tax must be designed to adjust to economic fluctuations to prevent funding instability (Ball, Eiser </w:t>
      </w:r>
      <w:r w:rsidR="00530F18">
        <w:rPr>
          <w:rFonts w:ascii="Times New Roman" w:hAnsi="Times New Roman" w:cs="Times New Roman"/>
        </w:rPr>
        <w:t>and</w:t>
      </w:r>
      <w:r w:rsidRPr="00943D43">
        <w:rPr>
          <w:rFonts w:ascii="Times New Roman" w:hAnsi="Times New Roman" w:cs="Times New Roman"/>
        </w:rPr>
        <w:t xml:space="preserve"> King, 2015).</w:t>
      </w:r>
    </w:p>
    <w:p w14:paraId="2B8857DD"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Expand Preventive Healthcare and Early Intervention Programs</w:t>
      </w:r>
    </w:p>
    <w:p w14:paraId="289F8E68" w14:textId="40CD4148"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Increasing investment in preventive care, public health campaigns, and chronic disease management can reduce long-term NHS costs by minimizing hospital admissions (MacKinnon, 201</w:t>
      </w:r>
      <w:r w:rsidR="004F56B3">
        <w:rPr>
          <w:rFonts w:ascii="Times New Roman" w:hAnsi="Times New Roman" w:cs="Times New Roman"/>
        </w:rPr>
        <w:t>3</w:t>
      </w:r>
      <w:r w:rsidRPr="00943D43">
        <w:rPr>
          <w:rFonts w:ascii="Times New Roman" w:hAnsi="Times New Roman" w:cs="Times New Roman"/>
        </w:rPr>
        <w:t>).</w:t>
      </w:r>
    </w:p>
    <w:p w14:paraId="0C26EC73"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Reform the NHS Workforce Strategy</w:t>
      </w:r>
    </w:p>
    <w:p w14:paraId="4C49A1E3" w14:textId="77777777"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Addressing staff shortages through competitive wages, improved working conditions, and increased recruitment from international sources is critical for service sustainability (Doyle et al., 2013).</w:t>
      </w:r>
    </w:p>
    <w:p w14:paraId="3FD45E74"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Increase NHS Efficiency Through Digital Transformation</w:t>
      </w:r>
    </w:p>
    <w:p w14:paraId="51384B93" w14:textId="77777777"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Implementing AI-driven resource management, telemedicine, and automated diagnostics can improve service efficiency while reducing operational costs (Braithwaite et al., 2020).</w:t>
      </w:r>
    </w:p>
    <w:p w14:paraId="77B83285"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Reevaluate the Barnett Formula for NHS Funding Allocation</w:t>
      </w:r>
    </w:p>
    <w:p w14:paraId="70771CA3" w14:textId="00D9FFAA" w:rsidR="003E7E11"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 xml:space="preserve">Transitioning to a needs-based funding model that accounts for regional demographic and health disparities would ensure fairer healthcare financing across the UK’s devolved governments (Atkins, Dalton </w:t>
      </w:r>
      <w:r w:rsidR="00AD4663">
        <w:rPr>
          <w:rFonts w:ascii="Times New Roman" w:hAnsi="Times New Roman" w:cs="Times New Roman"/>
        </w:rPr>
        <w:t>and</w:t>
      </w:r>
      <w:r w:rsidRPr="00943D43">
        <w:rPr>
          <w:rFonts w:ascii="Times New Roman" w:hAnsi="Times New Roman" w:cs="Times New Roman"/>
        </w:rPr>
        <w:t xml:space="preserve"> Phillips, 2021).</w:t>
      </w:r>
    </w:p>
    <w:p w14:paraId="3B2F90D5" w14:textId="77777777" w:rsidR="00EF2FCD" w:rsidRDefault="00EF2FCD" w:rsidP="00EF2FCD">
      <w:pPr>
        <w:spacing w:line="360" w:lineRule="auto"/>
        <w:jc w:val="both"/>
        <w:rPr>
          <w:rFonts w:ascii="Times New Roman" w:hAnsi="Times New Roman" w:cs="Times New Roman"/>
        </w:rPr>
      </w:pPr>
    </w:p>
    <w:p w14:paraId="085F02FF" w14:textId="77777777" w:rsidR="00EF2FCD" w:rsidRPr="00EF2FCD" w:rsidRDefault="00EF2FCD" w:rsidP="00EF2FCD">
      <w:pPr>
        <w:spacing w:line="360" w:lineRule="auto"/>
        <w:jc w:val="both"/>
        <w:rPr>
          <w:rFonts w:ascii="Times New Roman" w:hAnsi="Times New Roman" w:cs="Times New Roman"/>
        </w:rPr>
      </w:pPr>
    </w:p>
    <w:p w14:paraId="24929107"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lastRenderedPageBreak/>
        <w:t>Consider Limited Co-Payments for Non-Essential Services</w:t>
      </w:r>
    </w:p>
    <w:p w14:paraId="25D27E1B" w14:textId="77777777"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Introducing small fees for non-essential treatments (e.g., missed GP appointments, cosmetic procedures) could generate additional revenue without compromising universal healthcare access (Greer, 2016).</w:t>
      </w:r>
    </w:p>
    <w:p w14:paraId="173C8D01"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Enhance Public-Private Partnerships (PPPs) With Safeguards</w:t>
      </w:r>
    </w:p>
    <w:p w14:paraId="08FA25E0" w14:textId="15A86136"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Leveraging private investment in infrastructure can relieve public sector burden, but strict regulatory oversight is needed to prevent profit-driven decision-making from undermining patient care (Simonet, 201</w:t>
      </w:r>
      <w:r w:rsidR="00381DC1">
        <w:rPr>
          <w:rFonts w:ascii="Times New Roman" w:hAnsi="Times New Roman" w:cs="Times New Roman"/>
        </w:rPr>
        <w:t>3</w:t>
      </w:r>
      <w:r w:rsidRPr="00943D43">
        <w:rPr>
          <w:rFonts w:ascii="Times New Roman" w:hAnsi="Times New Roman" w:cs="Times New Roman"/>
        </w:rPr>
        <w:t>).</w:t>
      </w:r>
    </w:p>
    <w:p w14:paraId="7F8BB2ED" w14:textId="77777777" w:rsidR="003E7E11" w:rsidRPr="00943D43" w:rsidRDefault="003E7E11" w:rsidP="00AE6548">
      <w:pPr>
        <w:spacing w:line="360" w:lineRule="auto"/>
        <w:jc w:val="both"/>
        <w:rPr>
          <w:rFonts w:ascii="Times New Roman" w:hAnsi="Times New Roman" w:cs="Times New Roman"/>
        </w:rPr>
      </w:pPr>
      <w:r w:rsidRPr="00943D43">
        <w:rPr>
          <w:rFonts w:ascii="Times New Roman" w:hAnsi="Times New Roman" w:cs="Times New Roman"/>
        </w:rPr>
        <w:t>Long-Term Fiscal Sustainability Planning</w:t>
      </w:r>
    </w:p>
    <w:p w14:paraId="2D5C22EA" w14:textId="77777777" w:rsidR="003E7E11" w:rsidRPr="00943D43" w:rsidRDefault="003E7E11" w:rsidP="00F41884">
      <w:pPr>
        <w:pStyle w:val="ListParagraph"/>
        <w:numPr>
          <w:ilvl w:val="0"/>
          <w:numId w:val="22"/>
        </w:numPr>
        <w:spacing w:line="360" w:lineRule="auto"/>
        <w:jc w:val="both"/>
        <w:rPr>
          <w:rFonts w:ascii="Times New Roman" w:hAnsi="Times New Roman" w:cs="Times New Roman"/>
        </w:rPr>
      </w:pPr>
      <w:r w:rsidRPr="00943D43">
        <w:rPr>
          <w:rFonts w:ascii="Times New Roman" w:hAnsi="Times New Roman" w:cs="Times New Roman"/>
        </w:rPr>
        <w:t>The government must adopt multi-decade NHS financial strategies, ensuring that healthcare spending grows in line with GDP without excessive borrowing (Doyle et al., 2013).</w:t>
      </w:r>
    </w:p>
    <w:p w14:paraId="42B42561" w14:textId="77777777" w:rsidR="003E7E11" w:rsidRPr="00943D43" w:rsidRDefault="003E7E11" w:rsidP="00F41884">
      <w:pPr>
        <w:spacing w:line="360" w:lineRule="auto"/>
        <w:jc w:val="both"/>
        <w:rPr>
          <w:rFonts w:ascii="Times New Roman" w:hAnsi="Times New Roman" w:cs="Times New Roman"/>
        </w:rPr>
      </w:pPr>
      <w:r w:rsidRPr="00943D43">
        <w:rPr>
          <w:rFonts w:ascii="Times New Roman" w:hAnsi="Times New Roman" w:cs="Times New Roman"/>
        </w:rPr>
        <w:t>These recommendations aim to preserve the NHS’s core principles while addressing financial sustainability challenges. Future policy must balance economic constraints with the need to maintain high-quality, equitable healthcare services.</w:t>
      </w:r>
    </w:p>
    <w:p w14:paraId="4073836D" w14:textId="271D2472" w:rsidR="00DA6DBE" w:rsidRDefault="00DA6DBE" w:rsidP="00F41884">
      <w:pPr>
        <w:spacing w:line="360" w:lineRule="auto"/>
        <w:jc w:val="both"/>
        <w:rPr>
          <w:rFonts w:ascii="Times New Roman" w:hAnsi="Times New Roman" w:cs="Times New Roman"/>
        </w:rPr>
      </w:pPr>
    </w:p>
    <w:p w14:paraId="401F810D" w14:textId="77777777" w:rsidR="00EF2FCD" w:rsidRDefault="00EF2FCD" w:rsidP="00F41884">
      <w:pPr>
        <w:spacing w:line="360" w:lineRule="auto"/>
        <w:jc w:val="both"/>
        <w:rPr>
          <w:rFonts w:ascii="Times New Roman" w:hAnsi="Times New Roman" w:cs="Times New Roman"/>
        </w:rPr>
      </w:pPr>
    </w:p>
    <w:p w14:paraId="7DC933B4" w14:textId="77777777" w:rsidR="00EF2FCD" w:rsidRDefault="00EF2FCD" w:rsidP="00F41884">
      <w:pPr>
        <w:spacing w:line="360" w:lineRule="auto"/>
        <w:jc w:val="both"/>
        <w:rPr>
          <w:rFonts w:ascii="Times New Roman" w:hAnsi="Times New Roman" w:cs="Times New Roman"/>
        </w:rPr>
      </w:pPr>
    </w:p>
    <w:p w14:paraId="403F6FFC" w14:textId="77777777" w:rsidR="00EF2FCD" w:rsidRDefault="00EF2FCD" w:rsidP="00F41884">
      <w:pPr>
        <w:spacing w:line="360" w:lineRule="auto"/>
        <w:jc w:val="both"/>
        <w:rPr>
          <w:rFonts w:ascii="Times New Roman" w:hAnsi="Times New Roman" w:cs="Times New Roman"/>
        </w:rPr>
      </w:pPr>
    </w:p>
    <w:p w14:paraId="193A245F" w14:textId="77777777" w:rsidR="00EF2FCD" w:rsidRDefault="00EF2FCD" w:rsidP="00F41884">
      <w:pPr>
        <w:spacing w:line="360" w:lineRule="auto"/>
        <w:jc w:val="both"/>
        <w:rPr>
          <w:rFonts w:ascii="Times New Roman" w:hAnsi="Times New Roman" w:cs="Times New Roman"/>
        </w:rPr>
      </w:pPr>
    </w:p>
    <w:p w14:paraId="0A95F3C0" w14:textId="77777777" w:rsidR="00EF2FCD" w:rsidRDefault="00EF2FCD" w:rsidP="00F41884">
      <w:pPr>
        <w:spacing w:line="360" w:lineRule="auto"/>
        <w:jc w:val="both"/>
        <w:rPr>
          <w:rFonts w:ascii="Times New Roman" w:hAnsi="Times New Roman" w:cs="Times New Roman"/>
        </w:rPr>
      </w:pPr>
    </w:p>
    <w:p w14:paraId="71FD25B7" w14:textId="77777777" w:rsidR="00EF2FCD" w:rsidRDefault="00EF2FCD" w:rsidP="00F41884">
      <w:pPr>
        <w:spacing w:line="360" w:lineRule="auto"/>
        <w:jc w:val="both"/>
        <w:rPr>
          <w:rFonts w:ascii="Times New Roman" w:hAnsi="Times New Roman" w:cs="Times New Roman"/>
        </w:rPr>
      </w:pPr>
    </w:p>
    <w:p w14:paraId="74D51837" w14:textId="77777777" w:rsidR="00EF2FCD" w:rsidRDefault="00EF2FCD" w:rsidP="00F41884">
      <w:pPr>
        <w:spacing w:line="360" w:lineRule="auto"/>
        <w:jc w:val="both"/>
        <w:rPr>
          <w:rFonts w:ascii="Times New Roman" w:hAnsi="Times New Roman" w:cs="Times New Roman"/>
        </w:rPr>
      </w:pPr>
    </w:p>
    <w:p w14:paraId="0FA553C9" w14:textId="77777777" w:rsidR="00EF2FCD" w:rsidRDefault="00EF2FCD" w:rsidP="00F41884">
      <w:pPr>
        <w:spacing w:line="360" w:lineRule="auto"/>
        <w:jc w:val="both"/>
        <w:rPr>
          <w:rFonts w:ascii="Times New Roman" w:hAnsi="Times New Roman" w:cs="Times New Roman"/>
        </w:rPr>
      </w:pPr>
    </w:p>
    <w:p w14:paraId="1B7BD174" w14:textId="77777777" w:rsidR="00EF2FCD" w:rsidRDefault="00EF2FCD" w:rsidP="00F41884">
      <w:pPr>
        <w:spacing w:line="360" w:lineRule="auto"/>
        <w:jc w:val="both"/>
        <w:rPr>
          <w:rFonts w:ascii="Times New Roman" w:hAnsi="Times New Roman" w:cs="Times New Roman"/>
        </w:rPr>
      </w:pPr>
    </w:p>
    <w:p w14:paraId="5C2C711B" w14:textId="77777777" w:rsidR="00EF2FCD" w:rsidRPr="00943D43" w:rsidRDefault="00EF2FCD" w:rsidP="00F41884">
      <w:pPr>
        <w:spacing w:line="360" w:lineRule="auto"/>
        <w:jc w:val="both"/>
        <w:rPr>
          <w:rFonts w:ascii="Times New Roman" w:hAnsi="Times New Roman" w:cs="Times New Roman"/>
        </w:rPr>
      </w:pPr>
    </w:p>
    <w:p w14:paraId="0C82AE41" w14:textId="2FC41F54" w:rsidR="00DA6DBE" w:rsidRPr="00943D43" w:rsidRDefault="00DA6DBE" w:rsidP="00F41884">
      <w:pPr>
        <w:spacing w:line="360" w:lineRule="auto"/>
        <w:jc w:val="both"/>
        <w:rPr>
          <w:rFonts w:ascii="Times New Roman" w:hAnsi="Times New Roman" w:cs="Times New Roman"/>
          <w:b/>
          <w:bCs/>
        </w:rPr>
      </w:pPr>
      <w:r w:rsidRPr="00943D43">
        <w:rPr>
          <w:rFonts w:ascii="Times New Roman" w:hAnsi="Times New Roman" w:cs="Times New Roman"/>
          <w:b/>
          <w:bCs/>
        </w:rPr>
        <w:lastRenderedPageBreak/>
        <w:t>References:</w:t>
      </w:r>
    </w:p>
    <w:p w14:paraId="43458EB2" w14:textId="30392C5A"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Asthana, S. and Gibson, A. (2011) ‘Setting health care capitations through diagnosis-based risk adjustment: A suitable model for the English NHS?’ </w:t>
      </w:r>
      <w:r w:rsidRPr="00A72A49">
        <w:rPr>
          <w:rFonts w:ascii="Times New Roman" w:hAnsi="Times New Roman" w:cs="Times New Roman"/>
          <w:i/>
          <w:iCs/>
          <w:kern w:val="0"/>
          <w:lang w:val="en-US"/>
        </w:rPr>
        <w:t>Health Policy</w:t>
      </w:r>
      <w:r w:rsidRPr="00A72A49">
        <w:rPr>
          <w:rFonts w:ascii="Times New Roman" w:hAnsi="Times New Roman" w:cs="Times New Roman"/>
          <w:kern w:val="0"/>
          <w:lang w:val="en-US"/>
        </w:rPr>
        <w:t xml:space="preserve"> 101(2), pp. 133–139. </w:t>
      </w:r>
      <w:r w:rsidR="00F41884">
        <w:rPr>
          <w:rFonts w:ascii="Times New Roman" w:hAnsi="Times New Roman" w:cs="Times New Roman"/>
          <w:kern w:val="0"/>
          <w:lang w:val="en-US"/>
        </w:rPr>
        <w:t>Available at</w:t>
      </w:r>
      <w:r w:rsidRPr="00A72A49">
        <w:rPr>
          <w:rFonts w:ascii="Times New Roman" w:hAnsi="Times New Roman" w:cs="Times New Roman"/>
          <w:kern w:val="0"/>
          <w:lang w:val="en-US"/>
        </w:rPr>
        <w:t xml:space="preserve">: </w:t>
      </w:r>
      <w:hyperlink r:id="rId9" w:history="1">
        <w:r w:rsidRPr="00A72A49">
          <w:rPr>
            <w:rFonts w:ascii="Times New Roman" w:hAnsi="Times New Roman" w:cs="Times New Roman"/>
            <w:kern w:val="0"/>
            <w:lang w:val="en-US"/>
          </w:rPr>
          <w:t>https://doi.org/10.1016/j.healthpol.2010.10.014</w:t>
        </w:r>
      </w:hyperlink>
      <w:r w:rsidRPr="00A72A49">
        <w:rPr>
          <w:rFonts w:ascii="Times New Roman" w:hAnsi="Times New Roman" w:cs="Times New Roman"/>
          <w:kern w:val="0"/>
          <w:lang w:val="en-US"/>
        </w:rPr>
        <w:t>.</w:t>
      </w:r>
    </w:p>
    <w:p w14:paraId="129CD1EE" w14:textId="77777777"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Atkins, G., Dalton, G., Phillips, A. and Stojanovic, A. (2021) </w:t>
      </w:r>
      <w:r w:rsidRPr="00A72A49">
        <w:rPr>
          <w:rFonts w:ascii="Times New Roman" w:hAnsi="Times New Roman" w:cs="Times New Roman"/>
          <w:i/>
          <w:iCs/>
          <w:kern w:val="0"/>
          <w:lang w:val="en-US"/>
        </w:rPr>
        <w:t>Image area Image to come to top of picture box Devolved public services</w:t>
      </w:r>
      <w:r w:rsidRPr="00A72A49">
        <w:rPr>
          <w:rFonts w:ascii="Times New Roman" w:hAnsi="Times New Roman" w:cs="Times New Roman"/>
          <w:kern w:val="0"/>
          <w:lang w:val="en-US"/>
        </w:rPr>
        <w:t xml:space="preserve">. Available at: </w:t>
      </w:r>
      <w:hyperlink r:id="rId10" w:history="1">
        <w:r w:rsidRPr="00A72A49">
          <w:rPr>
            <w:rFonts w:ascii="Times New Roman" w:hAnsi="Times New Roman" w:cs="Times New Roman"/>
            <w:kern w:val="0"/>
            <w:lang w:val="en-US"/>
          </w:rPr>
          <w:t>https://www.instituteforgovernment.org.uk/sites/default/files/2022-12/devolved-public-services.pdf</w:t>
        </w:r>
      </w:hyperlink>
      <w:r w:rsidRPr="00A72A49">
        <w:rPr>
          <w:rFonts w:ascii="Times New Roman" w:hAnsi="Times New Roman" w:cs="Times New Roman"/>
          <w:kern w:val="0"/>
          <w:lang w:val="en-US"/>
        </w:rPr>
        <w:t>.</w:t>
      </w:r>
    </w:p>
    <w:p w14:paraId="7A594D77" w14:textId="24646B3F"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Ball, R., Eiser, D. and King, D. (2013) ‘Assessing Relative Spending Needs of Devolved Government: The Case of Healthcare Spending in the UK’. </w:t>
      </w:r>
      <w:r w:rsidRPr="00A72A49">
        <w:rPr>
          <w:rFonts w:ascii="Times New Roman" w:hAnsi="Times New Roman" w:cs="Times New Roman"/>
          <w:i/>
          <w:iCs/>
          <w:kern w:val="0"/>
          <w:lang w:val="en-US"/>
        </w:rPr>
        <w:t>Regional Studies</w:t>
      </w:r>
      <w:r w:rsidRPr="00A72A49">
        <w:rPr>
          <w:rFonts w:ascii="Times New Roman" w:hAnsi="Times New Roman" w:cs="Times New Roman"/>
          <w:kern w:val="0"/>
          <w:lang w:val="en-US"/>
        </w:rPr>
        <w:t xml:space="preserve"> 49(2), pp. 323–336. </w:t>
      </w:r>
      <w:r w:rsidR="00233B78">
        <w:rPr>
          <w:rFonts w:ascii="Times New Roman" w:hAnsi="Times New Roman" w:cs="Times New Roman"/>
          <w:kern w:val="0"/>
          <w:lang w:val="en-US"/>
        </w:rPr>
        <w:t>Available at</w:t>
      </w:r>
      <w:r w:rsidR="00233B78" w:rsidRPr="00A72A49">
        <w:rPr>
          <w:rFonts w:ascii="Times New Roman" w:hAnsi="Times New Roman" w:cs="Times New Roman"/>
          <w:kern w:val="0"/>
          <w:lang w:val="en-US"/>
        </w:rPr>
        <w:t>:</w:t>
      </w:r>
      <w:r w:rsidRPr="00A72A49">
        <w:rPr>
          <w:rFonts w:ascii="Times New Roman" w:hAnsi="Times New Roman" w:cs="Times New Roman"/>
          <w:kern w:val="0"/>
          <w:lang w:val="en-US"/>
        </w:rPr>
        <w:t xml:space="preserve"> </w:t>
      </w:r>
      <w:hyperlink r:id="rId11" w:history="1">
        <w:r w:rsidRPr="00A72A49">
          <w:rPr>
            <w:rFonts w:ascii="Times New Roman" w:hAnsi="Times New Roman" w:cs="Times New Roman"/>
            <w:kern w:val="0"/>
            <w:lang w:val="en-US"/>
          </w:rPr>
          <w:t>https://doi.org/10.1080/00343404.2013.779660</w:t>
        </w:r>
      </w:hyperlink>
      <w:r w:rsidRPr="00A72A49">
        <w:rPr>
          <w:rFonts w:ascii="Times New Roman" w:hAnsi="Times New Roman" w:cs="Times New Roman"/>
          <w:kern w:val="0"/>
          <w:lang w:val="en-US"/>
        </w:rPr>
        <w:t>.</w:t>
      </w:r>
    </w:p>
    <w:p w14:paraId="209C8CA7" w14:textId="4640FEEA" w:rsidR="00A72A49" w:rsidRPr="00233B78" w:rsidRDefault="00A72A49" w:rsidP="00233B78">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Bevan, G., Karanikolos, M., Exley, J., Nolte, E., Connolly, S. and Mays, N. (2014) </w:t>
      </w:r>
      <w:r w:rsidRPr="00A72A49">
        <w:rPr>
          <w:rFonts w:ascii="Times New Roman" w:hAnsi="Times New Roman" w:cs="Times New Roman"/>
          <w:i/>
          <w:iCs/>
          <w:kern w:val="0"/>
          <w:lang w:val="en-US"/>
        </w:rPr>
        <w:t>The four health systems of the United Kingdom: how do they compare? Source report</w:t>
      </w:r>
      <w:r w:rsidRPr="00A72A49">
        <w:rPr>
          <w:rFonts w:ascii="Times New Roman" w:hAnsi="Times New Roman" w:cs="Times New Roman"/>
          <w:kern w:val="0"/>
          <w:lang w:val="en-US"/>
        </w:rPr>
        <w:t xml:space="preserve">. </w:t>
      </w:r>
      <w:r w:rsidRPr="00233B78">
        <w:rPr>
          <w:rFonts w:ascii="Times New Roman" w:hAnsi="Times New Roman" w:cs="Times New Roman"/>
          <w:kern w:val="0"/>
          <w:lang w:val="en-US"/>
        </w:rPr>
        <w:t xml:space="preserve">Available at: </w:t>
      </w:r>
      <w:hyperlink r:id="rId12" w:history="1">
        <w:r w:rsidRPr="00233B78">
          <w:rPr>
            <w:rFonts w:ascii="Times New Roman" w:hAnsi="Times New Roman" w:cs="Times New Roman"/>
            <w:kern w:val="0"/>
            <w:lang w:val="en-US"/>
          </w:rPr>
          <w:t>https://researchonline.lshtm.ac.uk/id/eprint/1649072/1/140411_four_countries_health_systems_full_report.pdf</w:t>
        </w:r>
      </w:hyperlink>
      <w:r w:rsidRPr="00233B78">
        <w:rPr>
          <w:rFonts w:ascii="Times New Roman" w:hAnsi="Times New Roman" w:cs="Times New Roman"/>
          <w:kern w:val="0"/>
          <w:lang w:val="en-US"/>
        </w:rPr>
        <w:t>.</w:t>
      </w:r>
    </w:p>
    <w:p w14:paraId="1A5C6470" w14:textId="77777777"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Braithwaite, J, Ludlow, K, Testa, L, Herkes, J, Augustsson, H, Lamprel, G, McPherson, E and Zurynski, Y (2020) ‘Built to last? The sustainability of healthcare system improvements, programmes and interventions: a systematic integrative review’. </w:t>
      </w:r>
      <w:r w:rsidRPr="00A72A49">
        <w:rPr>
          <w:rFonts w:ascii="Times New Roman" w:hAnsi="Times New Roman" w:cs="Times New Roman"/>
          <w:i/>
          <w:iCs/>
          <w:kern w:val="0"/>
          <w:lang w:val="en-US"/>
        </w:rPr>
        <w:t>BMJ Open</w:t>
      </w:r>
      <w:r w:rsidRPr="00A72A49">
        <w:rPr>
          <w:rFonts w:ascii="Times New Roman" w:hAnsi="Times New Roman" w:cs="Times New Roman"/>
          <w:kern w:val="0"/>
          <w:lang w:val="en-US"/>
        </w:rPr>
        <w:t xml:space="preserve"> 10(6), p. e036453. Available at: </w:t>
      </w:r>
      <w:hyperlink r:id="rId13" w:history="1">
        <w:r w:rsidRPr="00A72A49">
          <w:rPr>
            <w:rFonts w:ascii="Times New Roman" w:hAnsi="Times New Roman" w:cs="Times New Roman"/>
            <w:kern w:val="0"/>
            <w:lang w:val="en-US"/>
          </w:rPr>
          <w:t>https://bmjopen.bmj.com/content/10/6/e036453.citation-tools</w:t>
        </w:r>
      </w:hyperlink>
      <w:r w:rsidRPr="00A72A49">
        <w:rPr>
          <w:rFonts w:ascii="Times New Roman" w:hAnsi="Times New Roman" w:cs="Times New Roman"/>
          <w:kern w:val="0"/>
          <w:lang w:val="en-US"/>
        </w:rPr>
        <w:t>.</w:t>
      </w:r>
    </w:p>
    <w:p w14:paraId="3E201D0B" w14:textId="1D364E7D"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Broadbent, J., Gill, J. and Laughlin, R. (2003) ‘Evaluating the Private Finance Initiative in the National Health Service in the UK’. </w:t>
      </w:r>
      <w:r w:rsidRPr="00A72A49">
        <w:rPr>
          <w:rFonts w:ascii="Times New Roman" w:hAnsi="Times New Roman" w:cs="Times New Roman"/>
          <w:i/>
          <w:iCs/>
          <w:kern w:val="0"/>
          <w:lang w:val="en-US"/>
        </w:rPr>
        <w:t>Accounting, Auditing &amp; Accountability Journal</w:t>
      </w:r>
      <w:r w:rsidRPr="00A72A49">
        <w:rPr>
          <w:rFonts w:ascii="Times New Roman" w:hAnsi="Times New Roman" w:cs="Times New Roman"/>
          <w:kern w:val="0"/>
          <w:lang w:val="en-US"/>
        </w:rPr>
        <w:t xml:space="preserve"> 16(3), pp. 422–445.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A72A49">
        <w:rPr>
          <w:rFonts w:ascii="Times New Roman" w:hAnsi="Times New Roman" w:cs="Times New Roman"/>
          <w:kern w:val="0"/>
          <w:lang w:val="en-US"/>
        </w:rPr>
        <w:t xml:space="preserve"> </w:t>
      </w:r>
      <w:hyperlink r:id="rId14" w:history="1">
        <w:r w:rsidRPr="00A72A49">
          <w:rPr>
            <w:rFonts w:ascii="Times New Roman" w:hAnsi="Times New Roman" w:cs="Times New Roman"/>
            <w:kern w:val="0"/>
            <w:lang w:val="en-US"/>
          </w:rPr>
          <w:t>https://doi.org/10.1108/09513570310482309</w:t>
        </w:r>
      </w:hyperlink>
      <w:r w:rsidRPr="00A72A49">
        <w:rPr>
          <w:rFonts w:ascii="Times New Roman" w:hAnsi="Times New Roman" w:cs="Times New Roman"/>
          <w:kern w:val="0"/>
          <w:lang w:val="en-US"/>
        </w:rPr>
        <w:t>.</w:t>
      </w:r>
    </w:p>
    <w:p w14:paraId="30DB2BD1" w14:textId="77777777"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Cylus, J, Roland, D, Nolte, E,  Corbett, J, Jones, K, Forder, J and Sussex, J (2018) </w:t>
      </w:r>
      <w:r w:rsidRPr="00A72A49">
        <w:rPr>
          <w:rFonts w:ascii="Times New Roman" w:hAnsi="Times New Roman" w:cs="Times New Roman"/>
          <w:i/>
          <w:iCs/>
          <w:kern w:val="0"/>
          <w:lang w:val="en-US"/>
        </w:rPr>
        <w:t>Identifying options for funding the NHS and social care in the UK: international evidence</w:t>
      </w:r>
      <w:r w:rsidRPr="00A72A49">
        <w:rPr>
          <w:rFonts w:ascii="Times New Roman" w:hAnsi="Times New Roman" w:cs="Times New Roman"/>
          <w:kern w:val="0"/>
          <w:lang w:val="en-US"/>
        </w:rPr>
        <w:t xml:space="preserve">. Available at: </w:t>
      </w:r>
      <w:hyperlink r:id="rId15" w:history="1">
        <w:r w:rsidRPr="00A72A49">
          <w:rPr>
            <w:rFonts w:ascii="Times New Roman" w:hAnsi="Times New Roman" w:cs="Times New Roman"/>
            <w:kern w:val="0"/>
            <w:lang w:val="en-US"/>
          </w:rPr>
          <w:t>https://www.health.org.uk/reports-and-analysis/working-papers/identifying-options-for-funding-the-nhs-and-social-care-in-the</w:t>
        </w:r>
      </w:hyperlink>
      <w:r w:rsidRPr="00A72A49">
        <w:rPr>
          <w:rFonts w:ascii="Times New Roman" w:hAnsi="Times New Roman" w:cs="Times New Roman"/>
          <w:kern w:val="0"/>
          <w:lang w:val="en-US"/>
        </w:rPr>
        <w:t>.</w:t>
      </w:r>
    </w:p>
    <w:p w14:paraId="3E34B555" w14:textId="77777777"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Cylus, J., Richardson, E., Findley, L., Longley, M., O’Neill, C. and Steel, D. (2015) ‘United Kingdom: Health System Review’. </w:t>
      </w:r>
      <w:r w:rsidRPr="00A72A49">
        <w:rPr>
          <w:rFonts w:ascii="Times New Roman" w:hAnsi="Times New Roman" w:cs="Times New Roman"/>
          <w:i/>
          <w:iCs/>
          <w:kern w:val="0"/>
          <w:lang w:val="en-US"/>
        </w:rPr>
        <w:t>Health Systems in Transition</w:t>
      </w:r>
      <w:r w:rsidRPr="00A72A49">
        <w:rPr>
          <w:rFonts w:ascii="Times New Roman" w:hAnsi="Times New Roman" w:cs="Times New Roman"/>
          <w:kern w:val="0"/>
          <w:lang w:val="en-US"/>
        </w:rPr>
        <w:t xml:space="preserve"> 17(5), pp. 1–126. Available at: </w:t>
      </w:r>
      <w:hyperlink r:id="rId16" w:history="1">
        <w:r w:rsidRPr="00A72A49">
          <w:rPr>
            <w:rFonts w:ascii="Times New Roman" w:hAnsi="Times New Roman" w:cs="Times New Roman"/>
            <w:kern w:val="0"/>
            <w:lang w:val="en-US"/>
          </w:rPr>
          <w:t>https://pubmed.ncbi.nlm.nih.gov/27049966/</w:t>
        </w:r>
      </w:hyperlink>
      <w:r w:rsidRPr="00A72A49">
        <w:rPr>
          <w:rFonts w:ascii="Times New Roman" w:hAnsi="Times New Roman" w:cs="Times New Roman"/>
          <w:kern w:val="0"/>
          <w:lang w:val="en-US"/>
        </w:rPr>
        <w:t>.</w:t>
      </w:r>
    </w:p>
    <w:p w14:paraId="558CFF6B" w14:textId="5B1E1381"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Donnelly, P. (2010) ‘Differences in UK health care after devolution’. </w:t>
      </w:r>
      <w:r w:rsidRPr="00A72A49">
        <w:rPr>
          <w:rFonts w:ascii="Times New Roman" w:hAnsi="Times New Roman" w:cs="Times New Roman"/>
          <w:i/>
          <w:iCs/>
          <w:kern w:val="0"/>
          <w:lang w:val="en-US"/>
        </w:rPr>
        <w:t>BMJ</w:t>
      </w:r>
      <w:r w:rsidRPr="00A72A49">
        <w:rPr>
          <w:rFonts w:ascii="Times New Roman" w:hAnsi="Times New Roman" w:cs="Times New Roman"/>
          <w:kern w:val="0"/>
          <w:lang w:val="en-US"/>
        </w:rPr>
        <w:t xml:space="preserve"> 340(jan20 </w:t>
      </w:r>
      <w:r w:rsidRPr="00A72A49">
        <w:rPr>
          <w:rFonts w:ascii="Times New Roman" w:hAnsi="Times New Roman" w:cs="Times New Roman"/>
          <w:kern w:val="0"/>
          <w:lang w:val="en-US"/>
        </w:rPr>
        <w:lastRenderedPageBreak/>
        <w:t xml:space="preserve">2), pp. c262–c262.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A72A49">
        <w:rPr>
          <w:rFonts w:ascii="Times New Roman" w:hAnsi="Times New Roman" w:cs="Times New Roman"/>
          <w:kern w:val="0"/>
          <w:lang w:val="en-US"/>
        </w:rPr>
        <w:t xml:space="preserve"> </w:t>
      </w:r>
      <w:hyperlink r:id="rId17" w:history="1">
        <w:r w:rsidRPr="00A72A49">
          <w:rPr>
            <w:rFonts w:ascii="Times New Roman" w:hAnsi="Times New Roman" w:cs="Times New Roman"/>
            <w:kern w:val="0"/>
            <w:lang w:val="en-US"/>
          </w:rPr>
          <w:t>https://doi.org/10.1136/bmj.c262</w:t>
        </w:r>
      </w:hyperlink>
      <w:r w:rsidRPr="00A72A49">
        <w:rPr>
          <w:rFonts w:ascii="Times New Roman" w:hAnsi="Times New Roman" w:cs="Times New Roman"/>
          <w:kern w:val="0"/>
          <w:lang w:val="en-US"/>
        </w:rPr>
        <w:t>.</w:t>
      </w:r>
    </w:p>
    <w:p w14:paraId="06D435CB" w14:textId="29673F85" w:rsidR="00A72A49"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A72A49">
        <w:rPr>
          <w:rFonts w:ascii="Times New Roman" w:hAnsi="Times New Roman" w:cs="Times New Roman"/>
          <w:kern w:val="0"/>
          <w:lang w:val="en-US"/>
        </w:rPr>
        <w:t xml:space="preserve">Doyle, C, Howe, C, Woodcock, T, Myron, R, Phekoo, K, McNicholas, C, Saffer, J and Bell, D (2013) ‘Making change last: applying the NHS institute for innovation and improvement sustainability model to healthcare improvement’. </w:t>
      </w:r>
      <w:r w:rsidRPr="00A72A49">
        <w:rPr>
          <w:rFonts w:ascii="Times New Roman" w:hAnsi="Times New Roman" w:cs="Times New Roman"/>
          <w:i/>
          <w:iCs/>
          <w:kern w:val="0"/>
          <w:lang w:val="en-US"/>
        </w:rPr>
        <w:t>Implementation Science</w:t>
      </w:r>
      <w:r w:rsidRPr="00A72A49">
        <w:rPr>
          <w:rFonts w:ascii="Times New Roman" w:hAnsi="Times New Roman" w:cs="Times New Roman"/>
          <w:kern w:val="0"/>
          <w:lang w:val="en-US"/>
        </w:rPr>
        <w:t xml:space="preserve"> 8(1).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A72A49">
        <w:rPr>
          <w:rFonts w:ascii="Times New Roman" w:hAnsi="Times New Roman" w:cs="Times New Roman"/>
          <w:kern w:val="0"/>
          <w:lang w:val="en-US"/>
        </w:rPr>
        <w:t xml:space="preserve"> </w:t>
      </w:r>
      <w:hyperlink r:id="rId18" w:history="1">
        <w:r w:rsidRPr="00A72A49">
          <w:rPr>
            <w:rFonts w:ascii="Times New Roman" w:hAnsi="Times New Roman" w:cs="Times New Roman"/>
            <w:kern w:val="0"/>
            <w:lang w:val="en-US"/>
          </w:rPr>
          <w:t>https://doi.org/10.1186/1748-5908-8-127</w:t>
        </w:r>
      </w:hyperlink>
      <w:r w:rsidRPr="00A72A49">
        <w:rPr>
          <w:rFonts w:ascii="Times New Roman" w:hAnsi="Times New Roman" w:cs="Times New Roman"/>
          <w:kern w:val="0"/>
          <w:lang w:val="en-US"/>
        </w:rPr>
        <w:t>.</w:t>
      </w:r>
    </w:p>
    <w:p w14:paraId="365999B9" w14:textId="77777777"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Greenhalgh, T., Barton-Sweeney, C. and Macfarlane, F. (2013) ‘Exploring the diffusion and sustainability of service innovation in healthcare’. </w:t>
      </w:r>
      <w:r w:rsidRPr="00476130">
        <w:rPr>
          <w:rFonts w:ascii="Times New Roman" w:hAnsi="Times New Roman" w:cs="Times New Roman"/>
          <w:i/>
          <w:iCs/>
          <w:kern w:val="0"/>
          <w:lang w:val="en-US"/>
        </w:rPr>
        <w:t>elgaronline.com</w:t>
      </w:r>
      <w:r w:rsidRPr="00476130">
        <w:rPr>
          <w:rFonts w:ascii="Times New Roman" w:hAnsi="Times New Roman" w:cs="Times New Roman"/>
          <w:kern w:val="0"/>
          <w:lang w:val="en-US"/>
        </w:rPr>
        <w:t xml:space="preserve"> , pp. 540–560. Available at: </w:t>
      </w:r>
      <w:hyperlink r:id="rId19" w:history="1">
        <w:r w:rsidRPr="00476130">
          <w:rPr>
            <w:rFonts w:ascii="Times New Roman" w:hAnsi="Times New Roman" w:cs="Times New Roman"/>
            <w:kern w:val="0"/>
            <w:lang w:val="en-US"/>
          </w:rPr>
          <w:t>https://www.elgaronline.com/downloadpdf/edcoll/9781849809740/9781849809740.00049.pdf</w:t>
        </w:r>
      </w:hyperlink>
      <w:r w:rsidRPr="00476130">
        <w:rPr>
          <w:rFonts w:ascii="Times New Roman" w:hAnsi="Times New Roman" w:cs="Times New Roman"/>
          <w:kern w:val="0"/>
          <w:lang w:val="en-US"/>
        </w:rPr>
        <w:t xml:space="preserve"> (Accessed: 22 February 2025).</w:t>
      </w:r>
    </w:p>
    <w:p w14:paraId="75A43723" w14:textId="77777777"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Greer, S.L. (2016) ‘Devolution and health in the UK: policy and its lessons since 1998’. </w:t>
      </w:r>
      <w:r w:rsidRPr="00476130">
        <w:rPr>
          <w:rFonts w:ascii="Times New Roman" w:hAnsi="Times New Roman" w:cs="Times New Roman"/>
          <w:i/>
          <w:iCs/>
          <w:kern w:val="0"/>
          <w:lang w:val="en-US"/>
        </w:rPr>
        <w:t>British Medical Bulletin</w:t>
      </w:r>
      <w:r w:rsidRPr="00476130">
        <w:rPr>
          <w:rFonts w:ascii="Times New Roman" w:hAnsi="Times New Roman" w:cs="Times New Roman"/>
          <w:kern w:val="0"/>
          <w:lang w:val="en-US"/>
        </w:rPr>
        <w:t xml:space="preserve"> 118(1), pp. 16–24. Available at: </w:t>
      </w:r>
      <w:hyperlink r:id="rId20" w:history="1">
        <w:r w:rsidRPr="00476130">
          <w:rPr>
            <w:rFonts w:ascii="Times New Roman" w:hAnsi="Times New Roman" w:cs="Times New Roman"/>
            <w:kern w:val="0"/>
            <w:lang w:val="en-US"/>
          </w:rPr>
          <w:t>https://www.ncbi.nlm.nih.gov/pmc/articles/PMC5127421/</w:t>
        </w:r>
      </w:hyperlink>
      <w:r w:rsidRPr="00476130">
        <w:rPr>
          <w:rFonts w:ascii="Times New Roman" w:hAnsi="Times New Roman" w:cs="Times New Roman"/>
          <w:kern w:val="0"/>
          <w:lang w:val="en-US"/>
        </w:rPr>
        <w:t>.</w:t>
      </w:r>
    </w:p>
    <w:p w14:paraId="3B951F40" w14:textId="0DC3ABCA"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Harris, C, Allen, K, Waller, C, Green, S, King, R, Ramsey, W, Kelly, C and Thiagarajan, M (2017) ‘Sustainability in Health care by Allocating Resources Effectively (SHARE) 5: developing a model for evidence-driven resource allocation in a local healthcare setting’. </w:t>
      </w:r>
      <w:r w:rsidRPr="00476130">
        <w:rPr>
          <w:rFonts w:ascii="Times New Roman" w:hAnsi="Times New Roman" w:cs="Times New Roman"/>
          <w:i/>
          <w:iCs/>
          <w:kern w:val="0"/>
          <w:lang w:val="en-US"/>
        </w:rPr>
        <w:t>BMC Health Services Research</w:t>
      </w:r>
      <w:r w:rsidRPr="00476130">
        <w:rPr>
          <w:rFonts w:ascii="Times New Roman" w:hAnsi="Times New Roman" w:cs="Times New Roman"/>
          <w:kern w:val="0"/>
          <w:lang w:val="en-US"/>
        </w:rPr>
        <w:t xml:space="preserve"> 17(1).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476130">
        <w:rPr>
          <w:rFonts w:ascii="Times New Roman" w:hAnsi="Times New Roman" w:cs="Times New Roman"/>
          <w:kern w:val="0"/>
          <w:lang w:val="en-US"/>
        </w:rPr>
        <w:t xml:space="preserve"> </w:t>
      </w:r>
      <w:hyperlink r:id="rId21" w:history="1">
        <w:r w:rsidRPr="00476130">
          <w:rPr>
            <w:rFonts w:ascii="Times New Roman" w:hAnsi="Times New Roman" w:cs="Times New Roman"/>
            <w:kern w:val="0"/>
            <w:lang w:val="en-US"/>
          </w:rPr>
          <w:t>https://doi.org/10.1186/s12913-017-2208-1</w:t>
        </w:r>
      </w:hyperlink>
      <w:r w:rsidRPr="00476130">
        <w:rPr>
          <w:rFonts w:ascii="Times New Roman" w:hAnsi="Times New Roman" w:cs="Times New Roman"/>
          <w:kern w:val="0"/>
          <w:lang w:val="en-US"/>
        </w:rPr>
        <w:t>.</w:t>
      </w:r>
    </w:p>
    <w:p w14:paraId="2F4A1595" w14:textId="31ED7671"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Hellowell, M., Appleby, J. and Taylor, M. (2018) ‘What models of funding are best for a healthy and just society?’ </w:t>
      </w:r>
      <w:r w:rsidRPr="00476130">
        <w:rPr>
          <w:rFonts w:ascii="Times New Roman" w:hAnsi="Times New Roman" w:cs="Times New Roman"/>
          <w:i/>
          <w:iCs/>
          <w:kern w:val="0"/>
          <w:lang w:val="en-US"/>
        </w:rPr>
        <w:t>BMJ</w:t>
      </w:r>
      <w:r w:rsidRPr="00476130">
        <w:rPr>
          <w:rFonts w:ascii="Times New Roman" w:hAnsi="Times New Roman" w:cs="Times New Roman"/>
          <w:kern w:val="0"/>
          <w:lang w:val="en-US"/>
        </w:rPr>
        <w:t xml:space="preserve"> 361, p. k2566.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476130">
        <w:rPr>
          <w:rFonts w:ascii="Times New Roman" w:hAnsi="Times New Roman" w:cs="Times New Roman"/>
          <w:kern w:val="0"/>
          <w:lang w:val="en-US"/>
        </w:rPr>
        <w:t xml:space="preserve"> </w:t>
      </w:r>
      <w:hyperlink r:id="rId22" w:history="1">
        <w:r w:rsidRPr="00476130">
          <w:rPr>
            <w:rFonts w:ascii="Times New Roman" w:hAnsi="Times New Roman" w:cs="Times New Roman"/>
            <w:kern w:val="0"/>
            <w:lang w:val="en-US"/>
          </w:rPr>
          <w:t>https://doi.org/10.1136/bmj.k2566</w:t>
        </w:r>
      </w:hyperlink>
      <w:r w:rsidRPr="00476130">
        <w:rPr>
          <w:rFonts w:ascii="Times New Roman" w:hAnsi="Times New Roman" w:cs="Times New Roman"/>
          <w:kern w:val="0"/>
          <w:lang w:val="en-US"/>
        </w:rPr>
        <w:t>.</w:t>
      </w:r>
    </w:p>
    <w:p w14:paraId="44E0AA4A" w14:textId="6D2C56EA"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Hellowell, M. and Vecchi, V. (2018) ‘Assessing the Cost of Capital for PPP Contracts’. </w:t>
      </w:r>
      <w:r w:rsidRPr="00476130">
        <w:rPr>
          <w:rFonts w:ascii="Times New Roman" w:hAnsi="Times New Roman" w:cs="Times New Roman"/>
          <w:i/>
          <w:iCs/>
          <w:kern w:val="0"/>
          <w:lang w:val="en-US"/>
        </w:rPr>
        <w:t>Springer eBooks</w:t>
      </w:r>
      <w:r w:rsidRPr="00476130">
        <w:rPr>
          <w:rFonts w:ascii="Times New Roman" w:hAnsi="Times New Roman" w:cs="Times New Roman"/>
          <w:kern w:val="0"/>
          <w:lang w:val="en-US"/>
        </w:rPr>
        <w:t xml:space="preserve"> , pp. 85–109. </w:t>
      </w:r>
      <w:r w:rsidR="00C239DC">
        <w:rPr>
          <w:rFonts w:ascii="Times New Roman" w:hAnsi="Times New Roman" w:cs="Times New Roman"/>
          <w:kern w:val="0"/>
          <w:lang w:val="en-US"/>
        </w:rPr>
        <w:t>Available at</w:t>
      </w:r>
      <w:r w:rsidR="00C239DC" w:rsidRPr="00A72A49">
        <w:rPr>
          <w:rFonts w:ascii="Times New Roman" w:hAnsi="Times New Roman" w:cs="Times New Roman"/>
          <w:kern w:val="0"/>
          <w:lang w:val="en-US"/>
        </w:rPr>
        <w:t>:</w:t>
      </w:r>
      <w:r w:rsidRPr="00476130">
        <w:rPr>
          <w:rFonts w:ascii="Times New Roman" w:hAnsi="Times New Roman" w:cs="Times New Roman"/>
          <w:kern w:val="0"/>
          <w:lang w:val="en-US"/>
        </w:rPr>
        <w:t xml:space="preserve"> </w:t>
      </w:r>
      <w:hyperlink r:id="rId23" w:history="1">
        <w:r w:rsidRPr="00476130">
          <w:rPr>
            <w:rFonts w:ascii="Times New Roman" w:hAnsi="Times New Roman" w:cs="Times New Roman"/>
            <w:kern w:val="0"/>
            <w:lang w:val="en-US"/>
          </w:rPr>
          <w:t>https://doi.org/10.1007/978-3-319-69563-1_5</w:t>
        </w:r>
      </w:hyperlink>
      <w:r w:rsidRPr="00476130">
        <w:rPr>
          <w:rFonts w:ascii="Times New Roman" w:hAnsi="Times New Roman" w:cs="Times New Roman"/>
          <w:kern w:val="0"/>
          <w:lang w:val="en-US"/>
        </w:rPr>
        <w:t>.</w:t>
      </w:r>
    </w:p>
    <w:p w14:paraId="1D54EEA7" w14:textId="77777777"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Ivanková, V., Kotulič, R., Gonos, J. and Rigelský, M. (2019) ‘Health Care Financing Systems and Their Effectiveness: An Empirical Study of OECD Countries’. </w:t>
      </w:r>
      <w:r w:rsidRPr="00476130">
        <w:rPr>
          <w:rFonts w:ascii="Times New Roman" w:hAnsi="Times New Roman" w:cs="Times New Roman"/>
          <w:i/>
          <w:iCs/>
          <w:kern w:val="0"/>
          <w:lang w:val="en-US"/>
        </w:rPr>
        <w:t>International Journal of Environmental Research and Public Health</w:t>
      </w:r>
      <w:r w:rsidRPr="00476130">
        <w:rPr>
          <w:rFonts w:ascii="Times New Roman" w:hAnsi="Times New Roman" w:cs="Times New Roman"/>
          <w:kern w:val="0"/>
          <w:lang w:val="en-US"/>
        </w:rPr>
        <w:t xml:space="preserve"> 16(20), p. 3839. Available at: </w:t>
      </w:r>
      <w:hyperlink r:id="rId24" w:history="1">
        <w:r w:rsidRPr="00476130">
          <w:rPr>
            <w:rFonts w:ascii="Times New Roman" w:hAnsi="Times New Roman" w:cs="Times New Roman"/>
            <w:kern w:val="0"/>
            <w:lang w:val="en-US"/>
          </w:rPr>
          <w:t>https://www.ncbi.nlm.nih.gov/pmc/articles/PMC6843892/</w:t>
        </w:r>
      </w:hyperlink>
      <w:r w:rsidRPr="00476130">
        <w:rPr>
          <w:rFonts w:ascii="Times New Roman" w:hAnsi="Times New Roman" w:cs="Times New Roman"/>
          <w:kern w:val="0"/>
          <w:lang w:val="en-US"/>
        </w:rPr>
        <w:t>.</w:t>
      </w:r>
    </w:p>
    <w:p w14:paraId="2B5CA858" w14:textId="77777777"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Lu, H., Burge, P. and Sussex, J. (2021) ‘Measuring Public Preferences between Health and Social Care Funding Options’. </w:t>
      </w:r>
      <w:r w:rsidRPr="00476130">
        <w:rPr>
          <w:rFonts w:ascii="Times New Roman" w:hAnsi="Times New Roman" w:cs="Times New Roman"/>
          <w:i/>
          <w:iCs/>
          <w:kern w:val="0"/>
          <w:lang w:val="en-US"/>
        </w:rPr>
        <w:t>Journal of Choice Modelling</w:t>
      </w:r>
      <w:r w:rsidRPr="00476130">
        <w:rPr>
          <w:rFonts w:ascii="Times New Roman" w:hAnsi="Times New Roman" w:cs="Times New Roman"/>
          <w:kern w:val="0"/>
          <w:lang w:val="en-US"/>
        </w:rPr>
        <w:t xml:space="preserve"> 38, p. 100266. Available at: </w:t>
      </w:r>
      <w:hyperlink r:id="rId25" w:history="1">
        <w:r w:rsidRPr="00476130">
          <w:rPr>
            <w:rFonts w:ascii="Times New Roman" w:hAnsi="Times New Roman" w:cs="Times New Roman"/>
            <w:kern w:val="0"/>
            <w:lang w:val="en-US"/>
          </w:rPr>
          <w:t>https://reader.elsevier.com/reader/sd/pii/S1755534520300634?token=D0256412B7AAB1DD5AB23DB34254E4CE209E32600BCAE470C0570A40DF74B22F70205D5F</w:t>
        </w:r>
        <w:r w:rsidRPr="00476130">
          <w:rPr>
            <w:rFonts w:ascii="Times New Roman" w:hAnsi="Times New Roman" w:cs="Times New Roman"/>
            <w:kern w:val="0"/>
            <w:lang w:val="en-US"/>
          </w:rPr>
          <w:lastRenderedPageBreak/>
          <w:t>16885EC578D3081884A6524F&amp;originRegion=eu-west-1&amp;originCreation=20210823154334</w:t>
        </w:r>
      </w:hyperlink>
      <w:r w:rsidRPr="00476130">
        <w:rPr>
          <w:rFonts w:ascii="Times New Roman" w:hAnsi="Times New Roman" w:cs="Times New Roman"/>
          <w:kern w:val="0"/>
          <w:lang w:val="en-US"/>
        </w:rPr>
        <w:t>.</w:t>
      </w:r>
    </w:p>
    <w:p w14:paraId="0ADBF673" w14:textId="193E5CD4"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MacKinnon, D. (2013) ‘Devolution, State Restructuring and Policy Divergence in the UK’. </w:t>
      </w:r>
      <w:r w:rsidRPr="00476130">
        <w:rPr>
          <w:rFonts w:ascii="Times New Roman" w:hAnsi="Times New Roman" w:cs="Times New Roman"/>
          <w:i/>
          <w:iCs/>
          <w:kern w:val="0"/>
          <w:lang w:val="en-US"/>
        </w:rPr>
        <w:t>The Geographical Journal</w:t>
      </w:r>
      <w:r w:rsidRPr="00476130">
        <w:rPr>
          <w:rFonts w:ascii="Times New Roman" w:hAnsi="Times New Roman" w:cs="Times New Roman"/>
          <w:kern w:val="0"/>
          <w:lang w:val="en-US"/>
        </w:rPr>
        <w:t xml:space="preserve"> 181(1), pp. 47–56.</w:t>
      </w:r>
      <w:r w:rsidR="003D21CF">
        <w:rPr>
          <w:rFonts w:ascii="Times New Roman" w:hAnsi="Times New Roman" w:cs="Times New Roman"/>
          <w:kern w:val="0"/>
          <w:lang w:val="en-US"/>
        </w:rPr>
        <w:t xml:space="preserve"> </w:t>
      </w:r>
      <w:r w:rsidR="00A42EBB">
        <w:rPr>
          <w:rFonts w:ascii="Times New Roman" w:hAnsi="Times New Roman" w:cs="Times New Roman"/>
          <w:kern w:val="0"/>
          <w:lang w:val="en-US"/>
        </w:rPr>
        <w:t xml:space="preserve">Available at: </w:t>
      </w:r>
      <w:r w:rsidR="003D21CF" w:rsidRPr="003D21CF">
        <w:rPr>
          <w:rFonts w:ascii="Times New Roman" w:hAnsi="Times New Roman" w:cs="Times New Roman"/>
          <w:kern w:val="0"/>
          <w:lang w:val="en-US"/>
        </w:rPr>
        <w:t>https://doi.org/10.1111/geoj.12057</w:t>
      </w:r>
    </w:p>
    <w:p w14:paraId="019D8E7F" w14:textId="121D63ED"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MASLIN-PROTHERO, S.E., MASTERSON, A. and JONES, K. (2008) ‘Four parts or one whole: The National Health Service (NHS) post-devolution’. </w:t>
      </w:r>
      <w:r w:rsidRPr="00476130">
        <w:rPr>
          <w:rFonts w:ascii="Times New Roman" w:hAnsi="Times New Roman" w:cs="Times New Roman"/>
          <w:i/>
          <w:iCs/>
          <w:kern w:val="0"/>
          <w:lang w:val="en-US"/>
        </w:rPr>
        <w:t>Journal of Nursing Management</w:t>
      </w:r>
      <w:r w:rsidRPr="00476130">
        <w:rPr>
          <w:rFonts w:ascii="Times New Roman" w:hAnsi="Times New Roman" w:cs="Times New Roman"/>
          <w:kern w:val="0"/>
          <w:lang w:val="en-US"/>
        </w:rPr>
        <w:t xml:space="preserve"> 16(6), pp. 662–672. </w:t>
      </w:r>
      <w:r w:rsidR="00A42EBB">
        <w:rPr>
          <w:rFonts w:ascii="Times New Roman" w:hAnsi="Times New Roman" w:cs="Times New Roman"/>
          <w:kern w:val="0"/>
          <w:lang w:val="en-US"/>
        </w:rPr>
        <w:t xml:space="preserve">Available at: </w:t>
      </w:r>
      <w:hyperlink r:id="rId26" w:history="1">
        <w:r w:rsidRPr="00476130">
          <w:rPr>
            <w:rFonts w:ascii="Times New Roman" w:hAnsi="Times New Roman" w:cs="Times New Roman"/>
            <w:kern w:val="0"/>
            <w:lang w:val="en-US"/>
          </w:rPr>
          <w:t>https://doi.org/10.1111/j.1365-2834.2008.00909.x</w:t>
        </w:r>
      </w:hyperlink>
      <w:r w:rsidRPr="00476130">
        <w:rPr>
          <w:rFonts w:ascii="Times New Roman" w:hAnsi="Times New Roman" w:cs="Times New Roman"/>
          <w:kern w:val="0"/>
          <w:lang w:val="en-US"/>
        </w:rPr>
        <w:t>.</w:t>
      </w:r>
    </w:p>
    <w:p w14:paraId="386189AD" w14:textId="6A8A9FA0"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Mitleton‐Kelly, E. (2011) ‘A complexity theory approach to sustainability’. Smith, P. A. C. (ed.). </w:t>
      </w:r>
      <w:r w:rsidRPr="00476130">
        <w:rPr>
          <w:rFonts w:ascii="Times New Roman" w:hAnsi="Times New Roman" w:cs="Times New Roman"/>
          <w:i/>
          <w:iCs/>
          <w:kern w:val="0"/>
          <w:lang w:val="en-US"/>
        </w:rPr>
        <w:t>The Learning Organization</w:t>
      </w:r>
      <w:r w:rsidRPr="00476130">
        <w:rPr>
          <w:rFonts w:ascii="Times New Roman" w:hAnsi="Times New Roman" w:cs="Times New Roman"/>
          <w:kern w:val="0"/>
          <w:lang w:val="en-US"/>
        </w:rPr>
        <w:t xml:space="preserve"> 18(1), pp. 45–53. </w:t>
      </w:r>
      <w:r w:rsidR="00A42EBB">
        <w:rPr>
          <w:rFonts w:ascii="Times New Roman" w:hAnsi="Times New Roman" w:cs="Times New Roman"/>
          <w:kern w:val="0"/>
          <w:lang w:val="en-US"/>
        </w:rPr>
        <w:t xml:space="preserve">Available at: </w:t>
      </w:r>
      <w:r w:rsidRPr="00476130">
        <w:rPr>
          <w:rFonts w:ascii="Times New Roman" w:hAnsi="Times New Roman" w:cs="Times New Roman"/>
          <w:kern w:val="0"/>
          <w:lang w:val="en-US"/>
        </w:rPr>
        <w:t xml:space="preserve"> </w:t>
      </w:r>
      <w:hyperlink r:id="rId27" w:history="1">
        <w:r w:rsidRPr="00476130">
          <w:rPr>
            <w:rFonts w:ascii="Times New Roman" w:hAnsi="Times New Roman" w:cs="Times New Roman"/>
            <w:kern w:val="0"/>
            <w:lang w:val="en-US"/>
          </w:rPr>
          <w:t>https://doi.org/10.1108/09696471111095993</w:t>
        </w:r>
      </w:hyperlink>
      <w:r w:rsidRPr="00476130">
        <w:rPr>
          <w:rFonts w:ascii="Times New Roman" w:hAnsi="Times New Roman" w:cs="Times New Roman"/>
          <w:kern w:val="0"/>
          <w:lang w:val="en-US"/>
        </w:rPr>
        <w:t>.</w:t>
      </w:r>
    </w:p>
    <w:p w14:paraId="3AF4DA1F" w14:textId="77777777"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Office for National Statistics (2022) </w:t>
      </w:r>
      <w:r w:rsidRPr="00476130">
        <w:rPr>
          <w:rFonts w:ascii="Times New Roman" w:hAnsi="Times New Roman" w:cs="Times New Roman"/>
          <w:i/>
          <w:iCs/>
          <w:kern w:val="0"/>
          <w:lang w:val="en-US"/>
        </w:rPr>
        <w:t>Overview of the UK Population - Office for National Statistics</w:t>
      </w:r>
      <w:r w:rsidRPr="00476130">
        <w:rPr>
          <w:rFonts w:ascii="Times New Roman" w:hAnsi="Times New Roman" w:cs="Times New Roman"/>
          <w:kern w:val="0"/>
          <w:lang w:val="en-US"/>
        </w:rPr>
        <w:t xml:space="preserve">. Available at: </w:t>
      </w:r>
      <w:hyperlink r:id="rId28" w:history="1">
        <w:r w:rsidRPr="00476130">
          <w:rPr>
            <w:rFonts w:ascii="Times New Roman" w:hAnsi="Times New Roman" w:cs="Times New Roman"/>
            <w:kern w:val="0"/>
            <w:lang w:val="en-US"/>
          </w:rPr>
          <w:t>https://www.ons.gov.uk/peoplepopulationandcommunity/populationandmigration/populationestimates/articles/overviewoftheukpopulation/2020</w:t>
        </w:r>
      </w:hyperlink>
      <w:r w:rsidRPr="00476130">
        <w:rPr>
          <w:rFonts w:ascii="Times New Roman" w:hAnsi="Times New Roman" w:cs="Times New Roman"/>
          <w:kern w:val="0"/>
          <w:lang w:val="en-US"/>
        </w:rPr>
        <w:t>.</w:t>
      </w:r>
    </w:p>
    <w:p w14:paraId="7DB2BE99" w14:textId="125CE285"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Santandrea, M., Bailey, S. and Giorgino, M. (2015) ‘Value for money in UK healthcare public–private partnerships: A fragility perspective’. </w:t>
      </w:r>
      <w:r w:rsidRPr="00476130">
        <w:rPr>
          <w:rFonts w:ascii="Times New Roman" w:hAnsi="Times New Roman" w:cs="Times New Roman"/>
          <w:i/>
          <w:iCs/>
          <w:kern w:val="0"/>
          <w:lang w:val="en-US"/>
        </w:rPr>
        <w:t>Public Policy and Administration</w:t>
      </w:r>
      <w:r w:rsidRPr="00476130">
        <w:rPr>
          <w:rFonts w:ascii="Times New Roman" w:hAnsi="Times New Roman" w:cs="Times New Roman"/>
          <w:kern w:val="0"/>
          <w:lang w:val="en-US"/>
        </w:rPr>
        <w:t xml:space="preserve"> 31(3), pp. 260–279. </w:t>
      </w:r>
      <w:r w:rsidR="00A42EBB">
        <w:rPr>
          <w:rFonts w:ascii="Times New Roman" w:hAnsi="Times New Roman" w:cs="Times New Roman"/>
          <w:kern w:val="0"/>
          <w:lang w:val="en-US"/>
        </w:rPr>
        <w:t xml:space="preserve">Available at: </w:t>
      </w:r>
      <w:r w:rsidRPr="00476130">
        <w:rPr>
          <w:rFonts w:ascii="Times New Roman" w:hAnsi="Times New Roman" w:cs="Times New Roman"/>
          <w:kern w:val="0"/>
          <w:lang w:val="en-US"/>
        </w:rPr>
        <w:t xml:space="preserve"> </w:t>
      </w:r>
      <w:hyperlink r:id="rId29" w:history="1">
        <w:r w:rsidRPr="00476130">
          <w:rPr>
            <w:rFonts w:ascii="Times New Roman" w:hAnsi="Times New Roman" w:cs="Times New Roman"/>
            <w:kern w:val="0"/>
            <w:lang w:val="en-US"/>
          </w:rPr>
          <w:t>https://doi.org/10.1177/0952076715618003</w:t>
        </w:r>
      </w:hyperlink>
      <w:r w:rsidRPr="00476130">
        <w:rPr>
          <w:rFonts w:ascii="Times New Roman" w:hAnsi="Times New Roman" w:cs="Times New Roman"/>
          <w:kern w:val="0"/>
          <w:lang w:val="en-US"/>
        </w:rPr>
        <w:t>.</w:t>
      </w:r>
    </w:p>
    <w:p w14:paraId="5A4A3864" w14:textId="6BE69311" w:rsidR="00476130"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476130">
        <w:rPr>
          <w:rFonts w:ascii="Times New Roman" w:hAnsi="Times New Roman" w:cs="Times New Roman"/>
          <w:kern w:val="0"/>
          <w:lang w:val="en-US"/>
        </w:rPr>
        <w:t xml:space="preserve">Simonet, D. (2013) ‘The New Public Management Theory in the British Health Care System’. </w:t>
      </w:r>
      <w:r w:rsidRPr="00476130">
        <w:rPr>
          <w:rFonts w:ascii="Times New Roman" w:hAnsi="Times New Roman" w:cs="Times New Roman"/>
          <w:i/>
          <w:iCs/>
          <w:kern w:val="0"/>
          <w:lang w:val="en-US"/>
        </w:rPr>
        <w:t>Administration &amp; Society</w:t>
      </w:r>
      <w:r w:rsidRPr="00476130">
        <w:rPr>
          <w:rFonts w:ascii="Times New Roman" w:hAnsi="Times New Roman" w:cs="Times New Roman"/>
          <w:kern w:val="0"/>
          <w:lang w:val="en-US"/>
        </w:rPr>
        <w:t xml:space="preserve"> 47(7), pp. 802–826. </w:t>
      </w:r>
      <w:r w:rsidR="00A42EBB">
        <w:rPr>
          <w:rFonts w:ascii="Times New Roman" w:hAnsi="Times New Roman" w:cs="Times New Roman"/>
          <w:kern w:val="0"/>
          <w:lang w:val="en-US"/>
        </w:rPr>
        <w:t xml:space="preserve">Available at: </w:t>
      </w:r>
      <w:r w:rsidRPr="00476130">
        <w:rPr>
          <w:rFonts w:ascii="Times New Roman" w:hAnsi="Times New Roman" w:cs="Times New Roman"/>
          <w:kern w:val="0"/>
          <w:lang w:val="en-US"/>
        </w:rPr>
        <w:t xml:space="preserve"> </w:t>
      </w:r>
      <w:hyperlink r:id="rId30" w:history="1">
        <w:r w:rsidRPr="00476130">
          <w:rPr>
            <w:rFonts w:ascii="Times New Roman" w:hAnsi="Times New Roman" w:cs="Times New Roman"/>
            <w:kern w:val="0"/>
            <w:lang w:val="en-US"/>
          </w:rPr>
          <w:t>https://doi.org/10.1177/0095399713485001</w:t>
        </w:r>
      </w:hyperlink>
      <w:r w:rsidRPr="00476130">
        <w:rPr>
          <w:rFonts w:ascii="Times New Roman" w:hAnsi="Times New Roman" w:cs="Times New Roman"/>
          <w:kern w:val="0"/>
          <w:lang w:val="en-US"/>
        </w:rPr>
        <w:t>.</w:t>
      </w:r>
    </w:p>
    <w:p w14:paraId="0A0F6C02" w14:textId="77777777" w:rsidR="00F41884"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F41884">
        <w:rPr>
          <w:rFonts w:ascii="Times New Roman" w:hAnsi="Times New Roman" w:cs="Times New Roman"/>
          <w:kern w:val="0"/>
          <w:lang w:val="en-US"/>
        </w:rPr>
        <w:t xml:space="preserve">Tarazona   , J. and Fascia, M. (2024) ‘A Review of Ethical and Sustainable Practices in the UK’s National Health Service’. </w:t>
      </w:r>
      <w:r w:rsidRPr="00F41884">
        <w:rPr>
          <w:rFonts w:ascii="Times New Roman" w:hAnsi="Times New Roman" w:cs="Times New Roman"/>
          <w:i/>
          <w:iCs/>
          <w:kern w:val="0"/>
          <w:lang w:val="en-US"/>
        </w:rPr>
        <w:t>SSRN.com</w:t>
      </w:r>
      <w:r w:rsidRPr="00F41884">
        <w:rPr>
          <w:rFonts w:ascii="Times New Roman" w:hAnsi="Times New Roman" w:cs="Times New Roman"/>
          <w:kern w:val="0"/>
          <w:lang w:val="en-US"/>
        </w:rPr>
        <w:t xml:space="preserve"> . Available at: </w:t>
      </w:r>
      <w:hyperlink r:id="rId31" w:history="1">
        <w:r w:rsidRPr="00F41884">
          <w:rPr>
            <w:rFonts w:ascii="Times New Roman" w:hAnsi="Times New Roman" w:cs="Times New Roman"/>
            <w:kern w:val="0"/>
            <w:lang w:val="en-US"/>
          </w:rPr>
          <w:t>https://papers.ssrn.com/sol3/papers.cfm?abstract_id=4871421</w:t>
        </w:r>
      </w:hyperlink>
      <w:r w:rsidRPr="00F41884">
        <w:rPr>
          <w:rFonts w:ascii="Times New Roman" w:hAnsi="Times New Roman" w:cs="Times New Roman"/>
          <w:kern w:val="0"/>
          <w:lang w:val="en-US"/>
        </w:rPr>
        <w:t>.</w:t>
      </w:r>
    </w:p>
    <w:p w14:paraId="78B615B7" w14:textId="77777777" w:rsidR="00F41884"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F41884">
        <w:rPr>
          <w:rFonts w:ascii="Times New Roman" w:hAnsi="Times New Roman" w:cs="Times New Roman"/>
          <w:kern w:val="0"/>
          <w:lang w:val="en-US"/>
        </w:rPr>
        <w:t xml:space="preserve">White Rose Consortium, Marsh, C (2011) </w:t>
      </w:r>
      <w:r w:rsidRPr="00F41884">
        <w:rPr>
          <w:rFonts w:ascii="Times New Roman" w:hAnsi="Times New Roman" w:cs="Times New Roman"/>
          <w:i/>
          <w:iCs/>
          <w:kern w:val="0"/>
          <w:lang w:val="en-US"/>
        </w:rPr>
        <w:t>Action Research for Sustainability in the UK National Health Service (NHS): linking theory and practice in organizational strategy for sustainable development.</w:t>
      </w:r>
      <w:r w:rsidRPr="00F41884">
        <w:rPr>
          <w:rFonts w:ascii="Times New Roman" w:hAnsi="Times New Roman" w:cs="Times New Roman"/>
          <w:kern w:val="0"/>
          <w:lang w:val="en-US"/>
        </w:rPr>
        <w:t xml:space="preserve">. Available at: </w:t>
      </w:r>
      <w:hyperlink r:id="rId32" w:history="1">
        <w:r w:rsidRPr="00F41884">
          <w:rPr>
            <w:rFonts w:ascii="Times New Roman" w:hAnsi="Times New Roman" w:cs="Times New Roman"/>
            <w:kern w:val="0"/>
            <w:lang w:val="en-US"/>
          </w:rPr>
          <w:t>https://etheses.whiterose.ac.uk/2367/</w:t>
        </w:r>
      </w:hyperlink>
      <w:r w:rsidRPr="00F41884">
        <w:rPr>
          <w:rFonts w:ascii="Times New Roman" w:hAnsi="Times New Roman" w:cs="Times New Roman"/>
          <w:kern w:val="0"/>
          <w:lang w:val="en-US"/>
        </w:rPr>
        <w:t>.</w:t>
      </w:r>
    </w:p>
    <w:p w14:paraId="38146479" w14:textId="5DB7E661" w:rsidR="00A72A49" w:rsidRPr="00F41884" w:rsidRDefault="00A72A49" w:rsidP="00F41884">
      <w:pPr>
        <w:pStyle w:val="ListParagraph"/>
        <w:widowControl w:val="0"/>
        <w:numPr>
          <w:ilvl w:val="0"/>
          <w:numId w:val="23"/>
        </w:numPr>
        <w:autoSpaceDE w:val="0"/>
        <w:autoSpaceDN w:val="0"/>
        <w:adjustRightInd w:val="0"/>
        <w:spacing w:after="240" w:line="360" w:lineRule="auto"/>
        <w:jc w:val="both"/>
        <w:rPr>
          <w:rFonts w:ascii="Times New Roman" w:hAnsi="Times New Roman" w:cs="Times New Roman"/>
          <w:kern w:val="0"/>
          <w:lang w:val="en-US"/>
        </w:rPr>
      </w:pPr>
      <w:r w:rsidRPr="00F41884">
        <w:rPr>
          <w:rFonts w:ascii="Times New Roman" w:hAnsi="Times New Roman" w:cs="Times New Roman"/>
          <w:kern w:val="0"/>
          <w:lang w:val="en-US"/>
        </w:rPr>
        <w:t xml:space="preserve">Woods, K.J. (2004) ‘Political Devolution and the Health Services in Great Britain’. </w:t>
      </w:r>
      <w:r w:rsidRPr="00F41884">
        <w:rPr>
          <w:rFonts w:ascii="Times New Roman" w:hAnsi="Times New Roman" w:cs="Times New Roman"/>
          <w:i/>
          <w:iCs/>
          <w:kern w:val="0"/>
          <w:lang w:val="en-US"/>
        </w:rPr>
        <w:t>International Journal of Health Services</w:t>
      </w:r>
      <w:r w:rsidRPr="00F41884">
        <w:rPr>
          <w:rFonts w:ascii="Times New Roman" w:hAnsi="Times New Roman" w:cs="Times New Roman"/>
          <w:kern w:val="0"/>
          <w:lang w:val="en-US"/>
        </w:rPr>
        <w:t xml:space="preserve"> 34(2), pp. 323–339. </w:t>
      </w:r>
      <w:r w:rsidR="00A42EBB">
        <w:rPr>
          <w:rFonts w:ascii="Times New Roman" w:hAnsi="Times New Roman" w:cs="Times New Roman"/>
          <w:kern w:val="0"/>
          <w:lang w:val="en-US"/>
        </w:rPr>
        <w:t xml:space="preserve">Available at: </w:t>
      </w:r>
      <w:r w:rsidRPr="00F41884">
        <w:rPr>
          <w:rFonts w:ascii="Times New Roman" w:hAnsi="Times New Roman" w:cs="Times New Roman"/>
          <w:kern w:val="0"/>
          <w:lang w:val="en-US"/>
        </w:rPr>
        <w:t xml:space="preserve"> </w:t>
      </w:r>
      <w:hyperlink r:id="rId33" w:history="1">
        <w:r w:rsidRPr="00F41884">
          <w:rPr>
            <w:rFonts w:ascii="Times New Roman" w:hAnsi="Times New Roman" w:cs="Times New Roman"/>
            <w:kern w:val="0"/>
            <w:lang w:val="en-US"/>
          </w:rPr>
          <w:t>https://doi.org/10.2190/ttjp-flc3-2dgm-jne9</w:t>
        </w:r>
      </w:hyperlink>
      <w:r w:rsidRPr="00F41884">
        <w:rPr>
          <w:rFonts w:ascii="Times New Roman" w:hAnsi="Times New Roman" w:cs="Times New Roman"/>
          <w:kern w:val="0"/>
          <w:lang w:val="en-US"/>
        </w:rPr>
        <w:t>.</w:t>
      </w:r>
    </w:p>
    <w:p w14:paraId="7EA368EE" w14:textId="351E8AAA" w:rsidR="003E7E11" w:rsidRPr="00943D43" w:rsidRDefault="003E7E11" w:rsidP="00F41884">
      <w:pPr>
        <w:spacing w:line="360" w:lineRule="auto"/>
        <w:jc w:val="both"/>
        <w:rPr>
          <w:rFonts w:ascii="Times New Roman" w:hAnsi="Times New Roman" w:cs="Times New Roman"/>
        </w:rPr>
      </w:pPr>
    </w:p>
    <w:sectPr w:rsidR="003E7E11" w:rsidRPr="00943D43" w:rsidSect="00EF2FCD">
      <w:footerReference w:type="default" r:id="rId34"/>
      <w:pgSz w:w="11906" w:h="16838" w:code="9"/>
      <w:pgMar w:top="1440" w:right="1440" w:bottom="1440" w:left="1440" w:header="56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07643" w14:textId="77777777" w:rsidR="00086E90" w:rsidRDefault="00086E90" w:rsidP="00C81B27">
      <w:pPr>
        <w:spacing w:after="0" w:line="240" w:lineRule="auto"/>
      </w:pPr>
      <w:r>
        <w:separator/>
      </w:r>
    </w:p>
  </w:endnote>
  <w:endnote w:type="continuationSeparator" w:id="0">
    <w:p w14:paraId="6421A24D" w14:textId="77777777" w:rsidR="00086E90" w:rsidRDefault="00086E90" w:rsidP="00C81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735122"/>
      <w:docPartObj>
        <w:docPartGallery w:val="Page Numbers (Bottom of Page)"/>
        <w:docPartUnique/>
      </w:docPartObj>
    </w:sdtPr>
    <w:sdtEndPr/>
    <w:sdtContent>
      <w:p w14:paraId="32F562A6" w14:textId="23DBBED2" w:rsidR="00C81B27" w:rsidRDefault="007276DA" w:rsidP="00C037FE">
        <w:pPr>
          <w:pStyle w:val="Footer"/>
        </w:pPr>
        <w:r>
          <w:ptab w:relativeTo="margin" w:alignment="left" w:leader="none"/>
        </w:r>
        <w:r w:rsidR="00971E65" w:rsidRPr="00FA1EBE">
          <w:rPr>
            <w:rFonts w:ascii="Times New Roman" w:hAnsi="Times New Roman" w:cs="Times New Roman"/>
            <w:b/>
            <w:bCs/>
            <w:noProof/>
            <w:sz w:val="32"/>
            <w:szCs w:val="32"/>
          </w:rPr>
          <w:drawing>
            <wp:inline distT="0" distB="0" distL="0" distR="0" wp14:anchorId="75D70CEB" wp14:editId="4C2E123D">
              <wp:extent cx="1235638" cy="521677"/>
              <wp:effectExtent l="0" t="0" r="3175" b="0"/>
              <wp:docPr id="572562639"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740" cy="541563"/>
                      </a:xfrm>
                      <a:prstGeom prst="rect">
                        <a:avLst/>
                      </a:prstGeom>
                      <a:noFill/>
                      <a:ln>
                        <a:noFill/>
                      </a:ln>
                    </pic:spPr>
                  </pic:pic>
                </a:graphicData>
              </a:graphic>
            </wp:inline>
          </w:drawing>
        </w:r>
        <w:r w:rsidR="00C037FE">
          <w:t xml:space="preserve">                                                                                                                                              </w:t>
        </w:r>
        <w:r w:rsidR="00C81B27">
          <w:fldChar w:fldCharType="begin"/>
        </w:r>
        <w:r w:rsidR="00C81B27">
          <w:instrText>PAGE   \* MERGEFORMAT</w:instrText>
        </w:r>
        <w:r w:rsidR="00C81B27">
          <w:fldChar w:fldCharType="separate"/>
        </w:r>
        <w:r w:rsidR="00C81B27">
          <w:t>2</w:t>
        </w:r>
        <w:r w:rsidR="00C81B27">
          <w:fldChar w:fldCharType="end"/>
        </w:r>
      </w:p>
    </w:sdtContent>
  </w:sdt>
  <w:p w14:paraId="50850A82" w14:textId="77777777" w:rsidR="00C81B27" w:rsidRDefault="00C81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B3A43" w14:textId="77777777" w:rsidR="00086E90" w:rsidRDefault="00086E90" w:rsidP="00C81B27">
      <w:pPr>
        <w:spacing w:after="0" w:line="240" w:lineRule="auto"/>
      </w:pPr>
      <w:r>
        <w:separator/>
      </w:r>
    </w:p>
  </w:footnote>
  <w:footnote w:type="continuationSeparator" w:id="0">
    <w:p w14:paraId="43E1EE1A" w14:textId="77777777" w:rsidR="00086E90" w:rsidRDefault="00086E90" w:rsidP="00C81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3498"/>
    <w:multiLevelType w:val="hybridMultilevel"/>
    <w:tmpl w:val="E45ACB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15138B1"/>
    <w:multiLevelType w:val="hybridMultilevel"/>
    <w:tmpl w:val="6EF4F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32B1B"/>
    <w:multiLevelType w:val="hybridMultilevel"/>
    <w:tmpl w:val="D2E2C6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4DC131D"/>
    <w:multiLevelType w:val="hybridMultilevel"/>
    <w:tmpl w:val="F19C9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63B44"/>
    <w:multiLevelType w:val="hybridMultilevel"/>
    <w:tmpl w:val="CB9483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5141836"/>
    <w:multiLevelType w:val="hybridMultilevel"/>
    <w:tmpl w:val="152CB5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47355B9"/>
    <w:multiLevelType w:val="multilevel"/>
    <w:tmpl w:val="0DEA1628"/>
    <w:lvl w:ilvl="0">
      <w:start w:val="1"/>
      <w:numFmt w:val="decimal"/>
      <w:lvlText w:val="%1."/>
      <w:lvlJc w:val="left"/>
      <w:pPr>
        <w:tabs>
          <w:tab w:val="num" w:pos="785"/>
        </w:tabs>
        <w:ind w:left="785"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FB0FA2"/>
    <w:multiLevelType w:val="multilevel"/>
    <w:tmpl w:val="DCAC35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1F51D48"/>
    <w:multiLevelType w:val="hybridMultilevel"/>
    <w:tmpl w:val="283AA7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0C728B"/>
    <w:multiLevelType w:val="hybridMultilevel"/>
    <w:tmpl w:val="0778F2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C42478C"/>
    <w:multiLevelType w:val="multilevel"/>
    <w:tmpl w:val="250A70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5565CB"/>
    <w:multiLevelType w:val="multilevel"/>
    <w:tmpl w:val="0DEA1628"/>
    <w:lvl w:ilvl="0">
      <w:start w:val="1"/>
      <w:numFmt w:val="decimal"/>
      <w:lvlText w:val="%1."/>
      <w:lvlJc w:val="left"/>
      <w:pPr>
        <w:tabs>
          <w:tab w:val="num" w:pos="785"/>
        </w:tabs>
        <w:ind w:left="785"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27536B"/>
    <w:multiLevelType w:val="multilevel"/>
    <w:tmpl w:val="0DEA1628"/>
    <w:lvl w:ilvl="0">
      <w:start w:val="1"/>
      <w:numFmt w:val="decimal"/>
      <w:lvlText w:val="%1."/>
      <w:lvlJc w:val="left"/>
      <w:pPr>
        <w:tabs>
          <w:tab w:val="num" w:pos="785"/>
        </w:tabs>
        <w:ind w:left="785"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AA5E24"/>
    <w:multiLevelType w:val="hybridMultilevel"/>
    <w:tmpl w:val="A86A94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4340B77"/>
    <w:multiLevelType w:val="hybridMultilevel"/>
    <w:tmpl w:val="F94EEC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4B61C4B"/>
    <w:multiLevelType w:val="hybridMultilevel"/>
    <w:tmpl w:val="240070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5027D5B"/>
    <w:multiLevelType w:val="hybridMultilevel"/>
    <w:tmpl w:val="E028F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3A5A01"/>
    <w:multiLevelType w:val="hybridMultilevel"/>
    <w:tmpl w:val="472253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F312E81"/>
    <w:multiLevelType w:val="hybridMultilevel"/>
    <w:tmpl w:val="A24CCE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1B825D9"/>
    <w:multiLevelType w:val="hybridMultilevel"/>
    <w:tmpl w:val="43E06B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8695E5F"/>
    <w:multiLevelType w:val="hybridMultilevel"/>
    <w:tmpl w:val="3FEE1D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798C50EE"/>
    <w:multiLevelType w:val="hybridMultilevel"/>
    <w:tmpl w:val="6706D4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7C761FD7"/>
    <w:multiLevelType w:val="hybridMultilevel"/>
    <w:tmpl w:val="53F083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503400559">
    <w:abstractNumId w:val="10"/>
  </w:num>
  <w:num w:numId="2" w16cid:durableId="775368009">
    <w:abstractNumId w:val="12"/>
  </w:num>
  <w:num w:numId="3" w16cid:durableId="662244142">
    <w:abstractNumId w:val="3"/>
  </w:num>
  <w:num w:numId="4" w16cid:durableId="24596478">
    <w:abstractNumId w:val="4"/>
  </w:num>
  <w:num w:numId="5" w16cid:durableId="823356813">
    <w:abstractNumId w:val="0"/>
  </w:num>
  <w:num w:numId="6" w16cid:durableId="1634486141">
    <w:abstractNumId w:val="13"/>
  </w:num>
  <w:num w:numId="7" w16cid:durableId="567690496">
    <w:abstractNumId w:val="14"/>
  </w:num>
  <w:num w:numId="8" w16cid:durableId="1530026594">
    <w:abstractNumId w:val="5"/>
  </w:num>
  <w:num w:numId="9" w16cid:durableId="1556769461">
    <w:abstractNumId w:val="18"/>
  </w:num>
  <w:num w:numId="10" w16cid:durableId="430275848">
    <w:abstractNumId w:val="2"/>
  </w:num>
  <w:num w:numId="11" w16cid:durableId="1551845282">
    <w:abstractNumId w:val="9"/>
  </w:num>
  <w:num w:numId="12" w16cid:durableId="1237863358">
    <w:abstractNumId w:val="7"/>
  </w:num>
  <w:num w:numId="13" w16cid:durableId="1577326664">
    <w:abstractNumId w:val="6"/>
  </w:num>
  <w:num w:numId="14" w16cid:durableId="1787309200">
    <w:abstractNumId w:val="11"/>
  </w:num>
  <w:num w:numId="15" w16cid:durableId="1688869064">
    <w:abstractNumId w:val="16"/>
  </w:num>
  <w:num w:numId="16" w16cid:durableId="1525055024">
    <w:abstractNumId w:val="8"/>
  </w:num>
  <w:num w:numId="17" w16cid:durableId="810175441">
    <w:abstractNumId w:val="20"/>
  </w:num>
  <w:num w:numId="18" w16cid:durableId="802503162">
    <w:abstractNumId w:val="19"/>
  </w:num>
  <w:num w:numId="19" w16cid:durableId="1976179216">
    <w:abstractNumId w:val="22"/>
  </w:num>
  <w:num w:numId="20" w16cid:durableId="1681664925">
    <w:abstractNumId w:val="15"/>
  </w:num>
  <w:num w:numId="21" w16cid:durableId="1647465652">
    <w:abstractNumId w:val="17"/>
  </w:num>
  <w:num w:numId="22" w16cid:durableId="629552014">
    <w:abstractNumId w:val="21"/>
  </w:num>
  <w:num w:numId="23" w16cid:durableId="512499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11"/>
    <w:rsid w:val="00044F24"/>
    <w:rsid w:val="00083FA5"/>
    <w:rsid w:val="00086E90"/>
    <w:rsid w:val="00095FE7"/>
    <w:rsid w:val="000C5FC7"/>
    <w:rsid w:val="001146D1"/>
    <w:rsid w:val="00146111"/>
    <w:rsid w:val="001A1315"/>
    <w:rsid w:val="001A6531"/>
    <w:rsid w:val="001E2B5D"/>
    <w:rsid w:val="00233B78"/>
    <w:rsid w:val="002F35CD"/>
    <w:rsid w:val="0033623D"/>
    <w:rsid w:val="00381DC1"/>
    <w:rsid w:val="003D21CF"/>
    <w:rsid w:val="003E7E11"/>
    <w:rsid w:val="00410591"/>
    <w:rsid w:val="00476130"/>
    <w:rsid w:val="00496730"/>
    <w:rsid w:val="004F0569"/>
    <w:rsid w:val="004F56B3"/>
    <w:rsid w:val="004F5A84"/>
    <w:rsid w:val="00530F18"/>
    <w:rsid w:val="007140E9"/>
    <w:rsid w:val="007276DA"/>
    <w:rsid w:val="007B5E0A"/>
    <w:rsid w:val="00823091"/>
    <w:rsid w:val="00833A11"/>
    <w:rsid w:val="008611EC"/>
    <w:rsid w:val="008B786A"/>
    <w:rsid w:val="008F6616"/>
    <w:rsid w:val="00921E74"/>
    <w:rsid w:val="00943D43"/>
    <w:rsid w:val="00965AA2"/>
    <w:rsid w:val="00971E65"/>
    <w:rsid w:val="009721BE"/>
    <w:rsid w:val="00A42EBB"/>
    <w:rsid w:val="00A72A49"/>
    <w:rsid w:val="00AD4663"/>
    <w:rsid w:val="00AE6548"/>
    <w:rsid w:val="00B118FC"/>
    <w:rsid w:val="00C011B8"/>
    <w:rsid w:val="00C037FE"/>
    <w:rsid w:val="00C239DC"/>
    <w:rsid w:val="00C81B27"/>
    <w:rsid w:val="00D40F39"/>
    <w:rsid w:val="00D97C73"/>
    <w:rsid w:val="00DA6DBE"/>
    <w:rsid w:val="00DE151E"/>
    <w:rsid w:val="00DF0C90"/>
    <w:rsid w:val="00E1391A"/>
    <w:rsid w:val="00E63727"/>
    <w:rsid w:val="00EF2FCD"/>
    <w:rsid w:val="00EF57EA"/>
    <w:rsid w:val="00F41884"/>
    <w:rsid w:val="00F74198"/>
    <w:rsid w:val="00F80D0D"/>
    <w:rsid w:val="00FA1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AD937"/>
  <w15:chartTrackingRefBased/>
  <w15:docId w15:val="{10CDED84-C227-4C99-AB29-91B01370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E7E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E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7E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E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E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E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E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E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E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E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E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7E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E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E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E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E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E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E11"/>
    <w:rPr>
      <w:rFonts w:eastAsiaTheme="majorEastAsia" w:cstheme="majorBidi"/>
      <w:color w:val="272727" w:themeColor="text1" w:themeTint="D8"/>
    </w:rPr>
  </w:style>
  <w:style w:type="paragraph" w:styleId="Title">
    <w:name w:val="Title"/>
    <w:basedOn w:val="Normal"/>
    <w:next w:val="Normal"/>
    <w:link w:val="TitleChar"/>
    <w:uiPriority w:val="10"/>
    <w:qFormat/>
    <w:rsid w:val="003E7E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E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E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E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E11"/>
    <w:pPr>
      <w:spacing w:before="160"/>
      <w:jc w:val="center"/>
    </w:pPr>
    <w:rPr>
      <w:i/>
      <w:iCs/>
      <w:color w:val="404040" w:themeColor="text1" w:themeTint="BF"/>
    </w:rPr>
  </w:style>
  <w:style w:type="character" w:customStyle="1" w:styleId="QuoteChar">
    <w:name w:val="Quote Char"/>
    <w:basedOn w:val="DefaultParagraphFont"/>
    <w:link w:val="Quote"/>
    <w:uiPriority w:val="29"/>
    <w:rsid w:val="003E7E11"/>
    <w:rPr>
      <w:i/>
      <w:iCs/>
      <w:color w:val="404040" w:themeColor="text1" w:themeTint="BF"/>
    </w:rPr>
  </w:style>
  <w:style w:type="paragraph" w:styleId="ListParagraph">
    <w:name w:val="List Paragraph"/>
    <w:basedOn w:val="Normal"/>
    <w:uiPriority w:val="34"/>
    <w:qFormat/>
    <w:rsid w:val="003E7E11"/>
    <w:pPr>
      <w:ind w:left="720"/>
      <w:contextualSpacing/>
    </w:pPr>
  </w:style>
  <w:style w:type="character" w:styleId="IntenseEmphasis">
    <w:name w:val="Intense Emphasis"/>
    <w:basedOn w:val="DefaultParagraphFont"/>
    <w:uiPriority w:val="21"/>
    <w:qFormat/>
    <w:rsid w:val="003E7E11"/>
    <w:rPr>
      <w:i/>
      <w:iCs/>
      <w:color w:val="0F4761" w:themeColor="accent1" w:themeShade="BF"/>
    </w:rPr>
  </w:style>
  <w:style w:type="paragraph" w:styleId="IntenseQuote">
    <w:name w:val="Intense Quote"/>
    <w:basedOn w:val="Normal"/>
    <w:next w:val="Normal"/>
    <w:link w:val="IntenseQuoteChar"/>
    <w:uiPriority w:val="30"/>
    <w:qFormat/>
    <w:rsid w:val="003E7E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E11"/>
    <w:rPr>
      <w:i/>
      <w:iCs/>
      <w:color w:val="0F4761" w:themeColor="accent1" w:themeShade="BF"/>
    </w:rPr>
  </w:style>
  <w:style w:type="character" w:styleId="IntenseReference">
    <w:name w:val="Intense Reference"/>
    <w:basedOn w:val="DefaultParagraphFont"/>
    <w:uiPriority w:val="32"/>
    <w:qFormat/>
    <w:rsid w:val="003E7E11"/>
    <w:rPr>
      <w:b/>
      <w:bCs/>
      <w:smallCaps/>
      <w:color w:val="0F4761" w:themeColor="accent1" w:themeShade="BF"/>
      <w:spacing w:val="5"/>
    </w:rPr>
  </w:style>
  <w:style w:type="character" w:styleId="Hyperlink">
    <w:name w:val="Hyperlink"/>
    <w:basedOn w:val="DefaultParagraphFont"/>
    <w:uiPriority w:val="99"/>
    <w:unhideWhenUsed/>
    <w:rsid w:val="00DA6DBE"/>
    <w:rPr>
      <w:color w:val="467886" w:themeColor="hyperlink"/>
      <w:u w:val="single"/>
    </w:rPr>
  </w:style>
  <w:style w:type="character" w:styleId="UnresolvedMention">
    <w:name w:val="Unresolved Mention"/>
    <w:basedOn w:val="DefaultParagraphFont"/>
    <w:uiPriority w:val="99"/>
    <w:semiHidden/>
    <w:unhideWhenUsed/>
    <w:rsid w:val="00DA6DBE"/>
    <w:rPr>
      <w:color w:val="605E5C"/>
      <w:shd w:val="clear" w:color="auto" w:fill="E1DFDD"/>
    </w:rPr>
  </w:style>
  <w:style w:type="character" w:styleId="FollowedHyperlink">
    <w:name w:val="FollowedHyperlink"/>
    <w:basedOn w:val="DefaultParagraphFont"/>
    <w:uiPriority w:val="99"/>
    <w:semiHidden/>
    <w:unhideWhenUsed/>
    <w:rsid w:val="00DA6DBE"/>
    <w:rPr>
      <w:color w:val="96607D" w:themeColor="followedHyperlink"/>
      <w:u w:val="single"/>
    </w:rPr>
  </w:style>
  <w:style w:type="paragraph" w:styleId="NormalWeb">
    <w:name w:val="Normal (Web)"/>
    <w:basedOn w:val="Normal"/>
    <w:uiPriority w:val="99"/>
    <w:semiHidden/>
    <w:unhideWhenUsed/>
    <w:rsid w:val="008F661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81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B27"/>
  </w:style>
  <w:style w:type="paragraph" w:styleId="Footer">
    <w:name w:val="footer"/>
    <w:basedOn w:val="Normal"/>
    <w:link w:val="FooterChar"/>
    <w:uiPriority w:val="99"/>
    <w:unhideWhenUsed/>
    <w:rsid w:val="00C81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134">
      <w:bodyDiv w:val="1"/>
      <w:marLeft w:val="0"/>
      <w:marRight w:val="0"/>
      <w:marTop w:val="0"/>
      <w:marBottom w:val="0"/>
      <w:divBdr>
        <w:top w:val="none" w:sz="0" w:space="0" w:color="auto"/>
        <w:left w:val="none" w:sz="0" w:space="0" w:color="auto"/>
        <w:bottom w:val="none" w:sz="0" w:space="0" w:color="auto"/>
        <w:right w:val="none" w:sz="0" w:space="0" w:color="auto"/>
      </w:divBdr>
    </w:div>
    <w:div w:id="22633866">
      <w:bodyDiv w:val="1"/>
      <w:marLeft w:val="0"/>
      <w:marRight w:val="0"/>
      <w:marTop w:val="0"/>
      <w:marBottom w:val="0"/>
      <w:divBdr>
        <w:top w:val="none" w:sz="0" w:space="0" w:color="auto"/>
        <w:left w:val="none" w:sz="0" w:space="0" w:color="auto"/>
        <w:bottom w:val="none" w:sz="0" w:space="0" w:color="auto"/>
        <w:right w:val="none" w:sz="0" w:space="0" w:color="auto"/>
      </w:divBdr>
    </w:div>
    <w:div w:id="23021285">
      <w:bodyDiv w:val="1"/>
      <w:marLeft w:val="0"/>
      <w:marRight w:val="0"/>
      <w:marTop w:val="0"/>
      <w:marBottom w:val="0"/>
      <w:divBdr>
        <w:top w:val="none" w:sz="0" w:space="0" w:color="auto"/>
        <w:left w:val="none" w:sz="0" w:space="0" w:color="auto"/>
        <w:bottom w:val="none" w:sz="0" w:space="0" w:color="auto"/>
        <w:right w:val="none" w:sz="0" w:space="0" w:color="auto"/>
      </w:divBdr>
    </w:div>
    <w:div w:id="63143802">
      <w:bodyDiv w:val="1"/>
      <w:marLeft w:val="0"/>
      <w:marRight w:val="0"/>
      <w:marTop w:val="0"/>
      <w:marBottom w:val="0"/>
      <w:divBdr>
        <w:top w:val="none" w:sz="0" w:space="0" w:color="auto"/>
        <w:left w:val="none" w:sz="0" w:space="0" w:color="auto"/>
        <w:bottom w:val="none" w:sz="0" w:space="0" w:color="auto"/>
        <w:right w:val="none" w:sz="0" w:space="0" w:color="auto"/>
      </w:divBdr>
    </w:div>
    <w:div w:id="138890561">
      <w:bodyDiv w:val="1"/>
      <w:marLeft w:val="0"/>
      <w:marRight w:val="0"/>
      <w:marTop w:val="0"/>
      <w:marBottom w:val="0"/>
      <w:divBdr>
        <w:top w:val="none" w:sz="0" w:space="0" w:color="auto"/>
        <w:left w:val="none" w:sz="0" w:space="0" w:color="auto"/>
        <w:bottom w:val="none" w:sz="0" w:space="0" w:color="auto"/>
        <w:right w:val="none" w:sz="0" w:space="0" w:color="auto"/>
      </w:divBdr>
    </w:div>
    <w:div w:id="297104928">
      <w:bodyDiv w:val="1"/>
      <w:marLeft w:val="0"/>
      <w:marRight w:val="0"/>
      <w:marTop w:val="0"/>
      <w:marBottom w:val="0"/>
      <w:divBdr>
        <w:top w:val="none" w:sz="0" w:space="0" w:color="auto"/>
        <w:left w:val="none" w:sz="0" w:space="0" w:color="auto"/>
        <w:bottom w:val="none" w:sz="0" w:space="0" w:color="auto"/>
        <w:right w:val="none" w:sz="0" w:space="0" w:color="auto"/>
      </w:divBdr>
    </w:div>
    <w:div w:id="360252047">
      <w:bodyDiv w:val="1"/>
      <w:marLeft w:val="0"/>
      <w:marRight w:val="0"/>
      <w:marTop w:val="0"/>
      <w:marBottom w:val="0"/>
      <w:divBdr>
        <w:top w:val="none" w:sz="0" w:space="0" w:color="auto"/>
        <w:left w:val="none" w:sz="0" w:space="0" w:color="auto"/>
        <w:bottom w:val="none" w:sz="0" w:space="0" w:color="auto"/>
        <w:right w:val="none" w:sz="0" w:space="0" w:color="auto"/>
      </w:divBdr>
    </w:div>
    <w:div w:id="413599228">
      <w:bodyDiv w:val="1"/>
      <w:marLeft w:val="0"/>
      <w:marRight w:val="0"/>
      <w:marTop w:val="0"/>
      <w:marBottom w:val="0"/>
      <w:divBdr>
        <w:top w:val="none" w:sz="0" w:space="0" w:color="auto"/>
        <w:left w:val="none" w:sz="0" w:space="0" w:color="auto"/>
        <w:bottom w:val="none" w:sz="0" w:space="0" w:color="auto"/>
        <w:right w:val="none" w:sz="0" w:space="0" w:color="auto"/>
      </w:divBdr>
    </w:div>
    <w:div w:id="507133496">
      <w:bodyDiv w:val="1"/>
      <w:marLeft w:val="0"/>
      <w:marRight w:val="0"/>
      <w:marTop w:val="0"/>
      <w:marBottom w:val="0"/>
      <w:divBdr>
        <w:top w:val="none" w:sz="0" w:space="0" w:color="auto"/>
        <w:left w:val="none" w:sz="0" w:space="0" w:color="auto"/>
        <w:bottom w:val="none" w:sz="0" w:space="0" w:color="auto"/>
        <w:right w:val="none" w:sz="0" w:space="0" w:color="auto"/>
      </w:divBdr>
    </w:div>
    <w:div w:id="520433254">
      <w:bodyDiv w:val="1"/>
      <w:marLeft w:val="0"/>
      <w:marRight w:val="0"/>
      <w:marTop w:val="0"/>
      <w:marBottom w:val="0"/>
      <w:divBdr>
        <w:top w:val="none" w:sz="0" w:space="0" w:color="auto"/>
        <w:left w:val="none" w:sz="0" w:space="0" w:color="auto"/>
        <w:bottom w:val="none" w:sz="0" w:space="0" w:color="auto"/>
        <w:right w:val="none" w:sz="0" w:space="0" w:color="auto"/>
      </w:divBdr>
    </w:div>
    <w:div w:id="544173297">
      <w:bodyDiv w:val="1"/>
      <w:marLeft w:val="0"/>
      <w:marRight w:val="0"/>
      <w:marTop w:val="0"/>
      <w:marBottom w:val="0"/>
      <w:divBdr>
        <w:top w:val="none" w:sz="0" w:space="0" w:color="auto"/>
        <w:left w:val="none" w:sz="0" w:space="0" w:color="auto"/>
        <w:bottom w:val="none" w:sz="0" w:space="0" w:color="auto"/>
        <w:right w:val="none" w:sz="0" w:space="0" w:color="auto"/>
      </w:divBdr>
    </w:div>
    <w:div w:id="569731397">
      <w:bodyDiv w:val="1"/>
      <w:marLeft w:val="0"/>
      <w:marRight w:val="0"/>
      <w:marTop w:val="0"/>
      <w:marBottom w:val="0"/>
      <w:divBdr>
        <w:top w:val="none" w:sz="0" w:space="0" w:color="auto"/>
        <w:left w:val="none" w:sz="0" w:space="0" w:color="auto"/>
        <w:bottom w:val="none" w:sz="0" w:space="0" w:color="auto"/>
        <w:right w:val="none" w:sz="0" w:space="0" w:color="auto"/>
      </w:divBdr>
    </w:div>
    <w:div w:id="578832498">
      <w:bodyDiv w:val="1"/>
      <w:marLeft w:val="0"/>
      <w:marRight w:val="0"/>
      <w:marTop w:val="0"/>
      <w:marBottom w:val="0"/>
      <w:divBdr>
        <w:top w:val="none" w:sz="0" w:space="0" w:color="auto"/>
        <w:left w:val="none" w:sz="0" w:space="0" w:color="auto"/>
        <w:bottom w:val="none" w:sz="0" w:space="0" w:color="auto"/>
        <w:right w:val="none" w:sz="0" w:space="0" w:color="auto"/>
      </w:divBdr>
    </w:div>
    <w:div w:id="680158759">
      <w:bodyDiv w:val="1"/>
      <w:marLeft w:val="0"/>
      <w:marRight w:val="0"/>
      <w:marTop w:val="0"/>
      <w:marBottom w:val="0"/>
      <w:divBdr>
        <w:top w:val="none" w:sz="0" w:space="0" w:color="auto"/>
        <w:left w:val="none" w:sz="0" w:space="0" w:color="auto"/>
        <w:bottom w:val="none" w:sz="0" w:space="0" w:color="auto"/>
        <w:right w:val="none" w:sz="0" w:space="0" w:color="auto"/>
      </w:divBdr>
    </w:div>
    <w:div w:id="778109195">
      <w:bodyDiv w:val="1"/>
      <w:marLeft w:val="0"/>
      <w:marRight w:val="0"/>
      <w:marTop w:val="0"/>
      <w:marBottom w:val="0"/>
      <w:divBdr>
        <w:top w:val="none" w:sz="0" w:space="0" w:color="auto"/>
        <w:left w:val="none" w:sz="0" w:space="0" w:color="auto"/>
        <w:bottom w:val="none" w:sz="0" w:space="0" w:color="auto"/>
        <w:right w:val="none" w:sz="0" w:space="0" w:color="auto"/>
      </w:divBdr>
    </w:div>
    <w:div w:id="890849983">
      <w:bodyDiv w:val="1"/>
      <w:marLeft w:val="0"/>
      <w:marRight w:val="0"/>
      <w:marTop w:val="0"/>
      <w:marBottom w:val="0"/>
      <w:divBdr>
        <w:top w:val="none" w:sz="0" w:space="0" w:color="auto"/>
        <w:left w:val="none" w:sz="0" w:space="0" w:color="auto"/>
        <w:bottom w:val="none" w:sz="0" w:space="0" w:color="auto"/>
        <w:right w:val="none" w:sz="0" w:space="0" w:color="auto"/>
      </w:divBdr>
    </w:div>
    <w:div w:id="910236596">
      <w:bodyDiv w:val="1"/>
      <w:marLeft w:val="0"/>
      <w:marRight w:val="0"/>
      <w:marTop w:val="0"/>
      <w:marBottom w:val="0"/>
      <w:divBdr>
        <w:top w:val="none" w:sz="0" w:space="0" w:color="auto"/>
        <w:left w:val="none" w:sz="0" w:space="0" w:color="auto"/>
        <w:bottom w:val="none" w:sz="0" w:space="0" w:color="auto"/>
        <w:right w:val="none" w:sz="0" w:space="0" w:color="auto"/>
      </w:divBdr>
    </w:div>
    <w:div w:id="944312431">
      <w:bodyDiv w:val="1"/>
      <w:marLeft w:val="0"/>
      <w:marRight w:val="0"/>
      <w:marTop w:val="0"/>
      <w:marBottom w:val="0"/>
      <w:divBdr>
        <w:top w:val="none" w:sz="0" w:space="0" w:color="auto"/>
        <w:left w:val="none" w:sz="0" w:space="0" w:color="auto"/>
        <w:bottom w:val="none" w:sz="0" w:space="0" w:color="auto"/>
        <w:right w:val="none" w:sz="0" w:space="0" w:color="auto"/>
      </w:divBdr>
    </w:div>
    <w:div w:id="947547014">
      <w:bodyDiv w:val="1"/>
      <w:marLeft w:val="0"/>
      <w:marRight w:val="0"/>
      <w:marTop w:val="0"/>
      <w:marBottom w:val="0"/>
      <w:divBdr>
        <w:top w:val="none" w:sz="0" w:space="0" w:color="auto"/>
        <w:left w:val="none" w:sz="0" w:space="0" w:color="auto"/>
        <w:bottom w:val="none" w:sz="0" w:space="0" w:color="auto"/>
        <w:right w:val="none" w:sz="0" w:space="0" w:color="auto"/>
      </w:divBdr>
    </w:div>
    <w:div w:id="947740816">
      <w:bodyDiv w:val="1"/>
      <w:marLeft w:val="0"/>
      <w:marRight w:val="0"/>
      <w:marTop w:val="0"/>
      <w:marBottom w:val="0"/>
      <w:divBdr>
        <w:top w:val="none" w:sz="0" w:space="0" w:color="auto"/>
        <w:left w:val="none" w:sz="0" w:space="0" w:color="auto"/>
        <w:bottom w:val="none" w:sz="0" w:space="0" w:color="auto"/>
        <w:right w:val="none" w:sz="0" w:space="0" w:color="auto"/>
      </w:divBdr>
    </w:div>
    <w:div w:id="984436713">
      <w:bodyDiv w:val="1"/>
      <w:marLeft w:val="0"/>
      <w:marRight w:val="0"/>
      <w:marTop w:val="0"/>
      <w:marBottom w:val="0"/>
      <w:divBdr>
        <w:top w:val="none" w:sz="0" w:space="0" w:color="auto"/>
        <w:left w:val="none" w:sz="0" w:space="0" w:color="auto"/>
        <w:bottom w:val="none" w:sz="0" w:space="0" w:color="auto"/>
        <w:right w:val="none" w:sz="0" w:space="0" w:color="auto"/>
      </w:divBdr>
    </w:div>
    <w:div w:id="1109931842">
      <w:bodyDiv w:val="1"/>
      <w:marLeft w:val="0"/>
      <w:marRight w:val="0"/>
      <w:marTop w:val="0"/>
      <w:marBottom w:val="0"/>
      <w:divBdr>
        <w:top w:val="none" w:sz="0" w:space="0" w:color="auto"/>
        <w:left w:val="none" w:sz="0" w:space="0" w:color="auto"/>
        <w:bottom w:val="none" w:sz="0" w:space="0" w:color="auto"/>
        <w:right w:val="none" w:sz="0" w:space="0" w:color="auto"/>
      </w:divBdr>
    </w:div>
    <w:div w:id="1188133837">
      <w:bodyDiv w:val="1"/>
      <w:marLeft w:val="0"/>
      <w:marRight w:val="0"/>
      <w:marTop w:val="0"/>
      <w:marBottom w:val="0"/>
      <w:divBdr>
        <w:top w:val="none" w:sz="0" w:space="0" w:color="auto"/>
        <w:left w:val="none" w:sz="0" w:space="0" w:color="auto"/>
        <w:bottom w:val="none" w:sz="0" w:space="0" w:color="auto"/>
        <w:right w:val="none" w:sz="0" w:space="0" w:color="auto"/>
      </w:divBdr>
    </w:div>
    <w:div w:id="1263998400">
      <w:bodyDiv w:val="1"/>
      <w:marLeft w:val="0"/>
      <w:marRight w:val="0"/>
      <w:marTop w:val="0"/>
      <w:marBottom w:val="0"/>
      <w:divBdr>
        <w:top w:val="none" w:sz="0" w:space="0" w:color="auto"/>
        <w:left w:val="none" w:sz="0" w:space="0" w:color="auto"/>
        <w:bottom w:val="none" w:sz="0" w:space="0" w:color="auto"/>
        <w:right w:val="none" w:sz="0" w:space="0" w:color="auto"/>
      </w:divBdr>
    </w:div>
    <w:div w:id="1326322097">
      <w:bodyDiv w:val="1"/>
      <w:marLeft w:val="0"/>
      <w:marRight w:val="0"/>
      <w:marTop w:val="0"/>
      <w:marBottom w:val="0"/>
      <w:divBdr>
        <w:top w:val="none" w:sz="0" w:space="0" w:color="auto"/>
        <w:left w:val="none" w:sz="0" w:space="0" w:color="auto"/>
        <w:bottom w:val="none" w:sz="0" w:space="0" w:color="auto"/>
        <w:right w:val="none" w:sz="0" w:space="0" w:color="auto"/>
      </w:divBdr>
    </w:div>
    <w:div w:id="1327514422">
      <w:bodyDiv w:val="1"/>
      <w:marLeft w:val="0"/>
      <w:marRight w:val="0"/>
      <w:marTop w:val="0"/>
      <w:marBottom w:val="0"/>
      <w:divBdr>
        <w:top w:val="none" w:sz="0" w:space="0" w:color="auto"/>
        <w:left w:val="none" w:sz="0" w:space="0" w:color="auto"/>
        <w:bottom w:val="none" w:sz="0" w:space="0" w:color="auto"/>
        <w:right w:val="none" w:sz="0" w:space="0" w:color="auto"/>
      </w:divBdr>
    </w:div>
    <w:div w:id="1352341231">
      <w:bodyDiv w:val="1"/>
      <w:marLeft w:val="0"/>
      <w:marRight w:val="0"/>
      <w:marTop w:val="0"/>
      <w:marBottom w:val="0"/>
      <w:divBdr>
        <w:top w:val="none" w:sz="0" w:space="0" w:color="auto"/>
        <w:left w:val="none" w:sz="0" w:space="0" w:color="auto"/>
        <w:bottom w:val="none" w:sz="0" w:space="0" w:color="auto"/>
        <w:right w:val="none" w:sz="0" w:space="0" w:color="auto"/>
      </w:divBdr>
    </w:div>
    <w:div w:id="1358235554">
      <w:bodyDiv w:val="1"/>
      <w:marLeft w:val="0"/>
      <w:marRight w:val="0"/>
      <w:marTop w:val="0"/>
      <w:marBottom w:val="0"/>
      <w:divBdr>
        <w:top w:val="none" w:sz="0" w:space="0" w:color="auto"/>
        <w:left w:val="none" w:sz="0" w:space="0" w:color="auto"/>
        <w:bottom w:val="none" w:sz="0" w:space="0" w:color="auto"/>
        <w:right w:val="none" w:sz="0" w:space="0" w:color="auto"/>
      </w:divBdr>
    </w:div>
    <w:div w:id="1364094925">
      <w:bodyDiv w:val="1"/>
      <w:marLeft w:val="0"/>
      <w:marRight w:val="0"/>
      <w:marTop w:val="0"/>
      <w:marBottom w:val="0"/>
      <w:divBdr>
        <w:top w:val="none" w:sz="0" w:space="0" w:color="auto"/>
        <w:left w:val="none" w:sz="0" w:space="0" w:color="auto"/>
        <w:bottom w:val="none" w:sz="0" w:space="0" w:color="auto"/>
        <w:right w:val="none" w:sz="0" w:space="0" w:color="auto"/>
      </w:divBdr>
    </w:div>
    <w:div w:id="1546678039">
      <w:bodyDiv w:val="1"/>
      <w:marLeft w:val="0"/>
      <w:marRight w:val="0"/>
      <w:marTop w:val="0"/>
      <w:marBottom w:val="0"/>
      <w:divBdr>
        <w:top w:val="none" w:sz="0" w:space="0" w:color="auto"/>
        <w:left w:val="none" w:sz="0" w:space="0" w:color="auto"/>
        <w:bottom w:val="none" w:sz="0" w:space="0" w:color="auto"/>
        <w:right w:val="none" w:sz="0" w:space="0" w:color="auto"/>
      </w:divBdr>
    </w:div>
    <w:div w:id="1592739290">
      <w:bodyDiv w:val="1"/>
      <w:marLeft w:val="0"/>
      <w:marRight w:val="0"/>
      <w:marTop w:val="0"/>
      <w:marBottom w:val="0"/>
      <w:divBdr>
        <w:top w:val="none" w:sz="0" w:space="0" w:color="auto"/>
        <w:left w:val="none" w:sz="0" w:space="0" w:color="auto"/>
        <w:bottom w:val="none" w:sz="0" w:space="0" w:color="auto"/>
        <w:right w:val="none" w:sz="0" w:space="0" w:color="auto"/>
      </w:divBdr>
    </w:div>
    <w:div w:id="1965959547">
      <w:bodyDiv w:val="1"/>
      <w:marLeft w:val="0"/>
      <w:marRight w:val="0"/>
      <w:marTop w:val="0"/>
      <w:marBottom w:val="0"/>
      <w:divBdr>
        <w:top w:val="none" w:sz="0" w:space="0" w:color="auto"/>
        <w:left w:val="none" w:sz="0" w:space="0" w:color="auto"/>
        <w:bottom w:val="none" w:sz="0" w:space="0" w:color="auto"/>
        <w:right w:val="none" w:sz="0" w:space="0" w:color="auto"/>
      </w:divBdr>
    </w:div>
    <w:div w:id="1996059625">
      <w:bodyDiv w:val="1"/>
      <w:marLeft w:val="0"/>
      <w:marRight w:val="0"/>
      <w:marTop w:val="0"/>
      <w:marBottom w:val="0"/>
      <w:divBdr>
        <w:top w:val="none" w:sz="0" w:space="0" w:color="auto"/>
        <w:left w:val="none" w:sz="0" w:space="0" w:color="auto"/>
        <w:bottom w:val="none" w:sz="0" w:space="0" w:color="auto"/>
        <w:right w:val="none" w:sz="0" w:space="0" w:color="auto"/>
      </w:divBdr>
    </w:div>
    <w:div w:id="201491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jopen.bmj.com/content/10/6/e036453.citation-tools" TargetMode="External"/><Relationship Id="rId18" Type="http://schemas.openxmlformats.org/officeDocument/2006/relationships/hyperlink" Target="https://doi.org/10.1186/1748-5908-8-127" TargetMode="External"/><Relationship Id="rId26" Type="http://schemas.openxmlformats.org/officeDocument/2006/relationships/hyperlink" Target="https://doi.org/10.1111/j.1365-2834.2008.00909.x" TargetMode="External"/><Relationship Id="rId3" Type="http://schemas.openxmlformats.org/officeDocument/2006/relationships/styles" Target="styles.xml"/><Relationship Id="rId21" Type="http://schemas.openxmlformats.org/officeDocument/2006/relationships/hyperlink" Target="https://doi.org/10.1186/s12913-017-2208-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esearchonline.lshtm.ac.uk/id/eprint/1649072/1/140411_four_countries_health_systems_full_report.pdf" TargetMode="External"/><Relationship Id="rId17" Type="http://schemas.openxmlformats.org/officeDocument/2006/relationships/hyperlink" Target="https://doi.org/10.1136/bmj.c262" TargetMode="External"/><Relationship Id="rId25" Type="http://schemas.openxmlformats.org/officeDocument/2006/relationships/hyperlink" Target="https://reader.elsevier.com/reader/sd/pii/S1755534520300634?token=D0256412B7AAB1DD5AB23DB34254E4CE209E32600BCAE470C0570A40DF74B22F70205D5F16885EC578D3081884A6524F&amp;originRegion=eu-west-1&amp;originCreation=20210823154334" TargetMode="External"/><Relationship Id="rId33" Type="http://schemas.openxmlformats.org/officeDocument/2006/relationships/hyperlink" Target="https://doi.org/10.2190/ttjp-flc3-2dgm-jne9" TargetMode="External"/><Relationship Id="rId2" Type="http://schemas.openxmlformats.org/officeDocument/2006/relationships/numbering" Target="numbering.xml"/><Relationship Id="rId16" Type="http://schemas.openxmlformats.org/officeDocument/2006/relationships/hyperlink" Target="https://pubmed.ncbi.nlm.nih.gov/27049966/" TargetMode="External"/><Relationship Id="rId20" Type="http://schemas.openxmlformats.org/officeDocument/2006/relationships/hyperlink" Target="https://www.ncbi.nlm.nih.gov/pmc/articles/PMC5127421/" TargetMode="External"/><Relationship Id="rId29" Type="http://schemas.openxmlformats.org/officeDocument/2006/relationships/hyperlink" Target="https://doi.org/10.1177/0952076715618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0343404.2013.779660" TargetMode="External"/><Relationship Id="rId24" Type="http://schemas.openxmlformats.org/officeDocument/2006/relationships/hyperlink" Target="https://www.ncbi.nlm.nih.gov/pmc/articles/PMC6843892/" TargetMode="External"/><Relationship Id="rId32" Type="http://schemas.openxmlformats.org/officeDocument/2006/relationships/hyperlink" Target="https://etheses.whiterose.ac.uk/2367/" TargetMode="External"/><Relationship Id="rId5" Type="http://schemas.openxmlformats.org/officeDocument/2006/relationships/webSettings" Target="webSettings.xml"/><Relationship Id="rId15" Type="http://schemas.openxmlformats.org/officeDocument/2006/relationships/hyperlink" Target="https://www.health.org.uk/reports-and-analysis/working-papers/identifying-options-for-funding-the-nhs-and-social-care-in-the" TargetMode="External"/><Relationship Id="rId23" Type="http://schemas.openxmlformats.org/officeDocument/2006/relationships/hyperlink" Target="https://doi.org/10.1007/978-3-319-69563-1_5" TargetMode="External"/><Relationship Id="rId28" Type="http://schemas.openxmlformats.org/officeDocument/2006/relationships/hyperlink" Target="https://www.ons.gov.uk/peoplepopulationandcommunity/populationandmigration/populationestimates/articles/overviewoftheukpopulation/2020" TargetMode="External"/><Relationship Id="rId36" Type="http://schemas.openxmlformats.org/officeDocument/2006/relationships/theme" Target="theme/theme1.xml"/><Relationship Id="rId10" Type="http://schemas.openxmlformats.org/officeDocument/2006/relationships/hyperlink" Target="https://www.instituteforgovernment.org.uk/sites/default/files/2022-12/devolved-public-services.pdf" TargetMode="External"/><Relationship Id="rId19" Type="http://schemas.openxmlformats.org/officeDocument/2006/relationships/hyperlink" Target="https://www.elgaronline.com/downloadpdf/edcoll/9781849809740/9781849809740.00049.pdf" TargetMode="External"/><Relationship Id="rId31" Type="http://schemas.openxmlformats.org/officeDocument/2006/relationships/hyperlink" Target="https://papers.ssrn.com/sol3/papers.cfm?abstract_id=4871421" TargetMode="External"/><Relationship Id="rId4" Type="http://schemas.openxmlformats.org/officeDocument/2006/relationships/settings" Target="settings.xml"/><Relationship Id="rId9" Type="http://schemas.openxmlformats.org/officeDocument/2006/relationships/hyperlink" Target="https://doi.org/10.1016/j.healthpol.2010.10.014" TargetMode="External"/><Relationship Id="rId14" Type="http://schemas.openxmlformats.org/officeDocument/2006/relationships/hyperlink" Target="https://doi.org/10.1108/09513570310482309" TargetMode="External"/><Relationship Id="rId22" Type="http://schemas.openxmlformats.org/officeDocument/2006/relationships/hyperlink" Target="https://doi.org/10.1136/bmj.k2566" TargetMode="External"/><Relationship Id="rId27" Type="http://schemas.openxmlformats.org/officeDocument/2006/relationships/hyperlink" Target="https://doi.org/10.1108/09696471111095993" TargetMode="External"/><Relationship Id="rId30" Type="http://schemas.openxmlformats.org/officeDocument/2006/relationships/hyperlink" Target="https://doi.org/10.1177/0095399713485001"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28C7A-AAB1-406B-90B4-EFAAB8806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4203</Words>
  <Characters>23963</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Manolescu A M Razvan-Constantin</dc:creator>
  <cp:keywords/>
  <dc:description/>
  <cp:lastModifiedBy>Tami Biban</cp:lastModifiedBy>
  <cp:revision>2</cp:revision>
  <dcterms:created xsi:type="dcterms:W3CDTF">2025-02-27T12:07:00Z</dcterms:created>
  <dcterms:modified xsi:type="dcterms:W3CDTF">2025-02-27T12:07:00Z</dcterms:modified>
</cp:coreProperties>
</file>