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3675D" w14:textId="77777777" w:rsidR="00D92233" w:rsidRDefault="00D92233" w:rsidP="00F21387">
      <w:pPr>
        <w:spacing w:before="120" w:after="120" w:line="360" w:lineRule="auto"/>
        <w:jc w:val="both"/>
        <w:rPr>
          <w:rFonts w:ascii="Arial" w:hAnsi="Arial" w:cs="Arial"/>
          <w:b/>
          <w:bCs/>
          <w:sz w:val="24"/>
          <w:szCs w:val="24"/>
        </w:rPr>
      </w:pPr>
    </w:p>
    <w:p w14:paraId="132BC172" w14:textId="77777777" w:rsidR="00D92233" w:rsidRDefault="00D92233" w:rsidP="00F21387">
      <w:pPr>
        <w:spacing w:before="120" w:after="120" w:line="360" w:lineRule="auto"/>
        <w:jc w:val="both"/>
        <w:rPr>
          <w:rFonts w:ascii="Arial" w:hAnsi="Arial" w:cs="Arial"/>
          <w:b/>
          <w:bCs/>
          <w:sz w:val="24"/>
          <w:szCs w:val="24"/>
        </w:rPr>
      </w:pPr>
    </w:p>
    <w:p w14:paraId="3AE7093C" w14:textId="77777777" w:rsidR="00D92233" w:rsidRDefault="00D92233" w:rsidP="00F21387">
      <w:pPr>
        <w:spacing w:before="120" w:after="120" w:line="360" w:lineRule="auto"/>
        <w:jc w:val="both"/>
        <w:rPr>
          <w:rFonts w:ascii="Arial" w:hAnsi="Arial" w:cs="Arial"/>
          <w:b/>
          <w:bCs/>
          <w:sz w:val="24"/>
          <w:szCs w:val="24"/>
        </w:rPr>
      </w:pPr>
    </w:p>
    <w:p w14:paraId="08465BBD" w14:textId="10A8E85E" w:rsidR="0057578D" w:rsidRPr="00D92233" w:rsidRDefault="0057578D" w:rsidP="00D92233">
      <w:pPr>
        <w:spacing w:before="120" w:after="120" w:line="360" w:lineRule="auto"/>
        <w:jc w:val="center"/>
        <w:rPr>
          <w:rFonts w:ascii="Arial" w:hAnsi="Arial" w:cs="Arial"/>
          <w:b/>
          <w:bCs/>
          <w:sz w:val="24"/>
          <w:szCs w:val="24"/>
        </w:rPr>
      </w:pPr>
      <w:r w:rsidRPr="00D92233">
        <w:rPr>
          <w:rFonts w:ascii="Arial" w:hAnsi="Arial" w:cs="Arial"/>
          <w:b/>
          <w:bCs/>
          <w:sz w:val="24"/>
          <w:szCs w:val="24"/>
        </w:rPr>
        <w:t>Module code and title: BMHP5016 Principles of Health and Social Care Practice</w:t>
      </w:r>
    </w:p>
    <w:p w14:paraId="4C8FE8A2" w14:textId="355E0672" w:rsidR="0057578D" w:rsidRPr="00D92233" w:rsidRDefault="0057578D" w:rsidP="00D92233">
      <w:pPr>
        <w:spacing w:line="360" w:lineRule="auto"/>
        <w:jc w:val="center"/>
        <w:rPr>
          <w:rFonts w:ascii="Arial" w:hAnsi="Arial" w:cs="Arial"/>
          <w:b/>
          <w:bCs/>
          <w:sz w:val="24"/>
          <w:szCs w:val="24"/>
        </w:rPr>
      </w:pPr>
      <w:r w:rsidRPr="00D92233">
        <w:rPr>
          <w:rFonts w:ascii="Arial" w:hAnsi="Arial" w:cs="Arial"/>
          <w:b/>
          <w:bCs/>
          <w:sz w:val="24"/>
          <w:szCs w:val="24"/>
        </w:rPr>
        <w:t>Assignment title: Component 2: Written Assignment (Report)</w:t>
      </w:r>
    </w:p>
    <w:p w14:paraId="34D62FBF" w14:textId="77777777" w:rsidR="00D92233" w:rsidRDefault="00D92233" w:rsidP="00D92233">
      <w:pPr>
        <w:spacing w:line="360" w:lineRule="auto"/>
        <w:jc w:val="center"/>
        <w:rPr>
          <w:rFonts w:ascii="Arial" w:hAnsi="Arial" w:cs="Arial"/>
          <w:b/>
          <w:bCs/>
          <w:sz w:val="24"/>
          <w:szCs w:val="24"/>
        </w:rPr>
      </w:pPr>
    </w:p>
    <w:p w14:paraId="4CB2D8FF" w14:textId="77777777" w:rsidR="00D92233" w:rsidRDefault="00D92233" w:rsidP="00D92233">
      <w:pPr>
        <w:spacing w:line="360" w:lineRule="auto"/>
        <w:jc w:val="center"/>
        <w:rPr>
          <w:rFonts w:ascii="Arial" w:hAnsi="Arial" w:cs="Arial"/>
          <w:b/>
          <w:bCs/>
          <w:sz w:val="24"/>
          <w:szCs w:val="24"/>
        </w:rPr>
      </w:pPr>
    </w:p>
    <w:p w14:paraId="732A06C6" w14:textId="0ACB52DE" w:rsidR="0057578D" w:rsidRPr="00D92233" w:rsidRDefault="0057578D" w:rsidP="00D92233">
      <w:pPr>
        <w:spacing w:line="360" w:lineRule="auto"/>
        <w:jc w:val="center"/>
        <w:rPr>
          <w:rFonts w:ascii="Arial" w:hAnsi="Arial" w:cs="Arial"/>
          <w:b/>
          <w:bCs/>
          <w:sz w:val="24"/>
          <w:szCs w:val="24"/>
        </w:rPr>
      </w:pPr>
      <w:r w:rsidRPr="00D92233">
        <w:rPr>
          <w:rFonts w:ascii="Arial" w:hAnsi="Arial" w:cs="Arial"/>
          <w:b/>
          <w:bCs/>
          <w:sz w:val="24"/>
          <w:szCs w:val="24"/>
        </w:rPr>
        <w:t>Student name:</w:t>
      </w:r>
      <w:r w:rsidR="00A81969">
        <w:rPr>
          <w:rFonts w:ascii="Arial" w:hAnsi="Arial" w:cs="Arial"/>
          <w:b/>
          <w:bCs/>
          <w:sz w:val="24"/>
          <w:szCs w:val="24"/>
        </w:rPr>
        <w:t xml:space="preserve"> Anisa Ali</w:t>
      </w:r>
    </w:p>
    <w:p w14:paraId="0ED28C14" w14:textId="1E9D3CFD" w:rsidR="0057578D" w:rsidRPr="00D92233" w:rsidRDefault="0057578D" w:rsidP="00D92233">
      <w:pPr>
        <w:spacing w:line="360" w:lineRule="auto"/>
        <w:jc w:val="center"/>
        <w:rPr>
          <w:rFonts w:ascii="Arial" w:hAnsi="Arial" w:cs="Arial"/>
          <w:b/>
          <w:bCs/>
          <w:sz w:val="24"/>
          <w:szCs w:val="24"/>
        </w:rPr>
      </w:pPr>
      <w:r w:rsidRPr="00D92233">
        <w:rPr>
          <w:rFonts w:ascii="Arial" w:hAnsi="Arial" w:cs="Arial"/>
          <w:b/>
          <w:bCs/>
          <w:sz w:val="24"/>
          <w:szCs w:val="24"/>
        </w:rPr>
        <w:t>Student ID:</w:t>
      </w:r>
      <w:r w:rsidR="00A81969">
        <w:rPr>
          <w:rFonts w:ascii="Arial" w:hAnsi="Arial" w:cs="Arial"/>
          <w:b/>
          <w:bCs/>
          <w:sz w:val="24"/>
          <w:szCs w:val="24"/>
        </w:rPr>
        <w:t xml:space="preserve"> 2427959</w:t>
      </w:r>
    </w:p>
    <w:p w14:paraId="6611D987" w14:textId="77777777" w:rsidR="0057578D" w:rsidRPr="00F21387" w:rsidRDefault="0057578D" w:rsidP="00F21387">
      <w:pPr>
        <w:spacing w:line="360" w:lineRule="auto"/>
        <w:jc w:val="both"/>
        <w:rPr>
          <w:rFonts w:ascii="Arial" w:hAnsi="Arial" w:cs="Arial"/>
          <w:b/>
          <w:bCs/>
        </w:rPr>
      </w:pPr>
      <w:r w:rsidRPr="00F21387">
        <w:rPr>
          <w:rFonts w:ascii="Arial" w:hAnsi="Arial" w:cs="Arial"/>
          <w:b/>
          <w:bCs/>
        </w:rPr>
        <w:br w:type="page"/>
      </w:r>
    </w:p>
    <w:sdt>
      <w:sdtPr>
        <w:rPr>
          <w:rFonts w:ascii="Arial" w:eastAsiaTheme="minorHAnsi" w:hAnsi="Arial" w:cs="Arial"/>
          <w:color w:val="auto"/>
          <w:kern w:val="2"/>
          <w:sz w:val="22"/>
          <w:szCs w:val="22"/>
          <w:lang w:val="en-GB"/>
          <w14:ligatures w14:val="standardContextual"/>
        </w:rPr>
        <w:id w:val="184481570"/>
        <w:docPartObj>
          <w:docPartGallery w:val="Table of Contents"/>
          <w:docPartUnique/>
        </w:docPartObj>
      </w:sdtPr>
      <w:sdtEndPr>
        <w:rPr>
          <w:b/>
          <w:bCs/>
          <w:noProof/>
        </w:rPr>
      </w:sdtEndPr>
      <w:sdtContent>
        <w:p w14:paraId="21094161" w14:textId="6D6830AF" w:rsidR="00F21387" w:rsidRPr="00F21387" w:rsidRDefault="00F21387" w:rsidP="00F21387">
          <w:pPr>
            <w:pStyle w:val="TOCHeading"/>
            <w:spacing w:line="360" w:lineRule="auto"/>
            <w:jc w:val="both"/>
            <w:rPr>
              <w:rFonts w:ascii="Arial" w:hAnsi="Arial" w:cs="Arial"/>
              <w:sz w:val="22"/>
              <w:szCs w:val="22"/>
            </w:rPr>
          </w:pPr>
          <w:r w:rsidRPr="00F21387">
            <w:rPr>
              <w:rFonts w:ascii="Arial" w:hAnsi="Arial" w:cs="Arial"/>
              <w:sz w:val="22"/>
              <w:szCs w:val="22"/>
            </w:rPr>
            <w:t>Contents</w:t>
          </w:r>
        </w:p>
        <w:p w14:paraId="55E6A209" w14:textId="2C523CEC" w:rsidR="00F21387" w:rsidRPr="00F21387" w:rsidRDefault="00F21387" w:rsidP="00F21387">
          <w:pPr>
            <w:pStyle w:val="TOC1"/>
            <w:tabs>
              <w:tab w:val="left" w:pos="440"/>
              <w:tab w:val="right" w:leader="dot" w:pos="9350"/>
            </w:tabs>
            <w:spacing w:line="360" w:lineRule="auto"/>
            <w:jc w:val="both"/>
            <w:rPr>
              <w:rFonts w:ascii="Arial" w:hAnsi="Arial" w:cs="Arial"/>
              <w:noProof/>
            </w:rPr>
          </w:pPr>
          <w:r w:rsidRPr="00F21387">
            <w:rPr>
              <w:rFonts w:ascii="Arial" w:hAnsi="Arial" w:cs="Arial"/>
            </w:rPr>
            <w:fldChar w:fldCharType="begin"/>
          </w:r>
          <w:r w:rsidRPr="00F21387">
            <w:rPr>
              <w:rFonts w:ascii="Arial" w:hAnsi="Arial" w:cs="Arial"/>
            </w:rPr>
            <w:instrText xml:space="preserve"> TOC \o "1-3" \h \z \u </w:instrText>
          </w:r>
          <w:r w:rsidRPr="00F21387">
            <w:rPr>
              <w:rFonts w:ascii="Arial" w:hAnsi="Arial" w:cs="Arial"/>
            </w:rPr>
            <w:fldChar w:fldCharType="separate"/>
          </w:r>
          <w:hyperlink w:anchor="_Toc221137812" w:history="1">
            <w:r w:rsidRPr="00F21387">
              <w:rPr>
                <w:rStyle w:val="Hyperlink"/>
                <w:rFonts w:ascii="Arial" w:hAnsi="Arial" w:cs="Arial"/>
                <w:noProof/>
              </w:rPr>
              <w:t>1.</w:t>
            </w:r>
            <w:r w:rsidRPr="00F21387">
              <w:rPr>
                <w:rFonts w:ascii="Arial" w:hAnsi="Arial" w:cs="Arial"/>
                <w:noProof/>
              </w:rPr>
              <w:tab/>
            </w:r>
            <w:r w:rsidRPr="00F21387">
              <w:rPr>
                <w:rStyle w:val="Hyperlink"/>
                <w:rFonts w:ascii="Arial" w:hAnsi="Arial" w:cs="Arial"/>
                <w:noProof/>
              </w:rPr>
              <w:t>Introduction</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_Toc221137812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3</w:t>
            </w:r>
            <w:r w:rsidRPr="00F21387">
              <w:rPr>
                <w:rFonts w:ascii="Arial" w:hAnsi="Arial" w:cs="Arial"/>
                <w:noProof/>
                <w:webHidden/>
              </w:rPr>
              <w:fldChar w:fldCharType="end"/>
            </w:r>
          </w:hyperlink>
        </w:p>
        <w:p w14:paraId="0BE318A7" w14:textId="060C5CFC"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3" w:history="1">
            <w:r w:rsidRPr="00F21387">
              <w:rPr>
                <w:rStyle w:val="Hyperlink"/>
                <w:rFonts w:ascii="Arial" w:hAnsi="Arial" w:cs="Arial"/>
                <w:noProof/>
              </w:rPr>
              <w:t>2.</w:t>
            </w:r>
            <w:r w:rsidRPr="00F21387">
              <w:rPr>
                <w:rFonts w:ascii="Arial" w:hAnsi="Arial" w:cs="Arial"/>
                <w:noProof/>
              </w:rPr>
              <w:tab/>
            </w:r>
            <w:r w:rsidRPr="00F21387">
              <w:rPr>
                <w:rStyle w:val="Hyperlink"/>
                <w:rFonts w:ascii="Arial" w:hAnsi="Arial" w:cs="Arial"/>
                <w:noProof/>
              </w:rPr>
              <w:t>Person centred care (PCC)</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_Toc221137813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3</w:t>
            </w:r>
            <w:r w:rsidRPr="00F21387">
              <w:rPr>
                <w:rFonts w:ascii="Arial" w:hAnsi="Arial" w:cs="Arial"/>
                <w:noProof/>
                <w:webHidden/>
              </w:rPr>
              <w:fldChar w:fldCharType="end"/>
            </w:r>
          </w:hyperlink>
        </w:p>
        <w:p w14:paraId="223568EE" w14:textId="7945294C"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4" w:history="1">
            <w:r w:rsidRPr="00F21387">
              <w:rPr>
                <w:rStyle w:val="Hyperlink"/>
                <w:rFonts w:ascii="Arial" w:hAnsi="Arial" w:cs="Arial"/>
                <w:noProof/>
              </w:rPr>
              <w:t>3.</w:t>
            </w:r>
            <w:r w:rsidRPr="00F21387">
              <w:rPr>
                <w:rFonts w:ascii="Arial" w:hAnsi="Arial" w:cs="Arial"/>
                <w:noProof/>
              </w:rPr>
              <w:tab/>
            </w:r>
            <w:r w:rsidRPr="00F21387">
              <w:rPr>
                <w:rStyle w:val="Hyperlink"/>
                <w:rFonts w:ascii="Arial" w:hAnsi="Arial" w:cs="Arial"/>
                <w:noProof/>
              </w:rPr>
              <w:t>Roger’s person-centred approach</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_Toc221137814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3</w:t>
            </w:r>
            <w:r w:rsidRPr="00F21387">
              <w:rPr>
                <w:rFonts w:ascii="Arial" w:hAnsi="Arial" w:cs="Arial"/>
                <w:noProof/>
                <w:webHidden/>
              </w:rPr>
              <w:fldChar w:fldCharType="end"/>
            </w:r>
          </w:hyperlink>
        </w:p>
        <w:p w14:paraId="76073704" w14:textId="7904A4EB"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5" w:history="1">
            <w:r w:rsidRPr="00F21387">
              <w:rPr>
                <w:rStyle w:val="Hyperlink"/>
                <w:rFonts w:ascii="Arial" w:hAnsi="Arial" w:cs="Arial"/>
                <w:noProof/>
              </w:rPr>
              <w:t>4.</w:t>
            </w:r>
            <w:r w:rsidRPr="00F21387">
              <w:rPr>
                <w:rFonts w:ascii="Arial" w:hAnsi="Arial" w:cs="Arial"/>
                <w:noProof/>
              </w:rPr>
              <w:tab/>
            </w:r>
            <w:r w:rsidRPr="00F21387">
              <w:rPr>
                <w:rStyle w:val="Hyperlink"/>
                <w:rFonts w:ascii="Arial" w:hAnsi="Arial" w:cs="Arial"/>
                <w:noProof/>
              </w:rPr>
              <w:t>Ethical fundamentals of health and social care.</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_Toc221137815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4</w:t>
            </w:r>
            <w:r w:rsidRPr="00F21387">
              <w:rPr>
                <w:rFonts w:ascii="Arial" w:hAnsi="Arial" w:cs="Arial"/>
                <w:noProof/>
                <w:webHidden/>
              </w:rPr>
              <w:fldChar w:fldCharType="end"/>
            </w:r>
          </w:hyperlink>
        </w:p>
        <w:p w14:paraId="0DD69C60" w14:textId="06B167D5"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6" w:history="1">
            <w:r w:rsidRPr="00F21387">
              <w:rPr>
                <w:rStyle w:val="Hyperlink"/>
                <w:rFonts w:ascii="Arial" w:hAnsi="Arial" w:cs="Arial"/>
                <w:noProof/>
              </w:rPr>
              <w:t>5.</w:t>
            </w:r>
            <w:r w:rsidRPr="00F21387">
              <w:rPr>
                <w:rFonts w:ascii="Arial" w:hAnsi="Arial" w:cs="Arial"/>
                <w:noProof/>
              </w:rPr>
              <w:tab/>
            </w:r>
            <w:r w:rsidRPr="00F21387">
              <w:rPr>
                <w:rStyle w:val="Hyperlink"/>
                <w:rFonts w:ascii="Arial" w:hAnsi="Arial" w:cs="Arial"/>
                <w:noProof/>
              </w:rPr>
              <w:t>Partnership working in health and social care.</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_Toc221137816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4</w:t>
            </w:r>
            <w:r w:rsidRPr="00F21387">
              <w:rPr>
                <w:rFonts w:ascii="Arial" w:hAnsi="Arial" w:cs="Arial"/>
                <w:noProof/>
                <w:webHidden/>
              </w:rPr>
              <w:fldChar w:fldCharType="end"/>
            </w:r>
          </w:hyperlink>
        </w:p>
        <w:p w14:paraId="7D39D587" w14:textId="40E25F10"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7" w:history="1">
            <w:r w:rsidRPr="00F21387">
              <w:rPr>
                <w:rStyle w:val="Hyperlink"/>
                <w:rFonts w:ascii="Arial" w:hAnsi="Arial" w:cs="Arial"/>
                <w:noProof/>
              </w:rPr>
              <w:t>6.</w:t>
            </w:r>
            <w:r w:rsidRPr="00F21387">
              <w:rPr>
                <w:rFonts w:ascii="Arial" w:hAnsi="Arial" w:cs="Arial"/>
                <w:noProof/>
              </w:rPr>
              <w:tab/>
            </w:r>
            <w:r w:rsidRPr="00F21387">
              <w:rPr>
                <w:rStyle w:val="Hyperlink"/>
                <w:rFonts w:ascii="Arial" w:hAnsi="Arial" w:cs="Arial"/>
                <w:noProof/>
              </w:rPr>
              <w:t>Application of partnership working in a practical HSC setting</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_Toc221137817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5</w:t>
            </w:r>
            <w:r w:rsidRPr="00F21387">
              <w:rPr>
                <w:rFonts w:ascii="Arial" w:hAnsi="Arial" w:cs="Arial"/>
                <w:noProof/>
                <w:webHidden/>
              </w:rPr>
              <w:fldChar w:fldCharType="end"/>
            </w:r>
          </w:hyperlink>
        </w:p>
        <w:p w14:paraId="2EC1A743" w14:textId="4FBE6E46"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8" w:history="1">
            <w:r w:rsidRPr="00F21387">
              <w:rPr>
                <w:rStyle w:val="Hyperlink"/>
                <w:rFonts w:ascii="Arial" w:hAnsi="Arial" w:cs="Arial"/>
                <w:noProof/>
              </w:rPr>
              <w:t>7.</w:t>
            </w:r>
            <w:r w:rsidRPr="00F21387">
              <w:rPr>
                <w:rFonts w:ascii="Arial" w:hAnsi="Arial" w:cs="Arial"/>
                <w:noProof/>
              </w:rPr>
              <w:tab/>
            </w:r>
            <w:r w:rsidRPr="00F21387">
              <w:rPr>
                <w:rStyle w:val="Hyperlink"/>
                <w:rFonts w:ascii="Arial" w:hAnsi="Arial" w:cs="Arial"/>
                <w:noProof/>
              </w:rPr>
              <w:t>Relevant policy and legislation in relation to PCC and PW.</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_Toc221137818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6</w:t>
            </w:r>
            <w:r w:rsidRPr="00F21387">
              <w:rPr>
                <w:rFonts w:ascii="Arial" w:hAnsi="Arial" w:cs="Arial"/>
                <w:noProof/>
                <w:webHidden/>
              </w:rPr>
              <w:fldChar w:fldCharType="end"/>
            </w:r>
          </w:hyperlink>
        </w:p>
        <w:p w14:paraId="563A7BB2" w14:textId="2995AD23"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19" w:history="1">
            <w:r w:rsidRPr="00F21387">
              <w:rPr>
                <w:rStyle w:val="Hyperlink"/>
                <w:rFonts w:ascii="Arial" w:hAnsi="Arial" w:cs="Arial"/>
                <w:noProof/>
              </w:rPr>
              <w:t>8.</w:t>
            </w:r>
            <w:r w:rsidRPr="00F21387">
              <w:rPr>
                <w:rFonts w:ascii="Arial" w:hAnsi="Arial" w:cs="Arial"/>
                <w:noProof/>
              </w:rPr>
              <w:tab/>
            </w:r>
            <w:r w:rsidRPr="00F21387">
              <w:rPr>
                <w:rStyle w:val="Hyperlink"/>
                <w:rFonts w:ascii="Arial" w:hAnsi="Arial" w:cs="Arial"/>
                <w:noProof/>
              </w:rPr>
              <w:t>Recommendations for future development of PCC and partnership working in the UK</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_Toc221137819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6</w:t>
            </w:r>
            <w:r w:rsidRPr="00F21387">
              <w:rPr>
                <w:rFonts w:ascii="Arial" w:hAnsi="Arial" w:cs="Arial"/>
                <w:noProof/>
                <w:webHidden/>
              </w:rPr>
              <w:fldChar w:fldCharType="end"/>
            </w:r>
          </w:hyperlink>
        </w:p>
        <w:p w14:paraId="1CA84B03" w14:textId="08246CCC" w:rsidR="00F21387" w:rsidRPr="00F21387" w:rsidRDefault="00F21387" w:rsidP="00F21387">
          <w:pPr>
            <w:pStyle w:val="TOC1"/>
            <w:tabs>
              <w:tab w:val="left" w:pos="440"/>
              <w:tab w:val="right" w:leader="dot" w:pos="9350"/>
            </w:tabs>
            <w:spacing w:line="360" w:lineRule="auto"/>
            <w:jc w:val="both"/>
            <w:rPr>
              <w:rFonts w:ascii="Arial" w:hAnsi="Arial" w:cs="Arial"/>
              <w:noProof/>
            </w:rPr>
          </w:pPr>
          <w:hyperlink w:anchor="_Toc221137820" w:history="1">
            <w:r w:rsidRPr="00F21387">
              <w:rPr>
                <w:rStyle w:val="Hyperlink"/>
                <w:rFonts w:ascii="Arial" w:hAnsi="Arial" w:cs="Arial"/>
                <w:noProof/>
              </w:rPr>
              <w:t>9.</w:t>
            </w:r>
            <w:r w:rsidRPr="00F21387">
              <w:rPr>
                <w:rFonts w:ascii="Arial" w:hAnsi="Arial" w:cs="Arial"/>
                <w:noProof/>
              </w:rPr>
              <w:tab/>
            </w:r>
            <w:r w:rsidRPr="00F21387">
              <w:rPr>
                <w:rStyle w:val="Hyperlink"/>
                <w:rFonts w:ascii="Arial" w:hAnsi="Arial" w:cs="Arial"/>
                <w:noProof/>
              </w:rPr>
              <w:t>Conclusion</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_Toc221137820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7</w:t>
            </w:r>
            <w:r w:rsidRPr="00F21387">
              <w:rPr>
                <w:rFonts w:ascii="Arial" w:hAnsi="Arial" w:cs="Arial"/>
                <w:noProof/>
                <w:webHidden/>
              </w:rPr>
              <w:fldChar w:fldCharType="end"/>
            </w:r>
          </w:hyperlink>
        </w:p>
        <w:p w14:paraId="7F52626A" w14:textId="79092F8E" w:rsidR="00F21387" w:rsidRPr="00F21387" w:rsidRDefault="00F21387" w:rsidP="00F21387">
          <w:pPr>
            <w:pStyle w:val="TOC1"/>
            <w:tabs>
              <w:tab w:val="right" w:leader="dot" w:pos="9350"/>
            </w:tabs>
            <w:spacing w:line="360" w:lineRule="auto"/>
            <w:jc w:val="both"/>
            <w:rPr>
              <w:rFonts w:ascii="Arial" w:hAnsi="Arial" w:cs="Arial"/>
              <w:noProof/>
            </w:rPr>
          </w:pPr>
          <w:hyperlink w:anchor="_Toc221137821" w:history="1">
            <w:r w:rsidRPr="00F21387">
              <w:rPr>
                <w:rStyle w:val="Hyperlink"/>
                <w:rFonts w:ascii="Arial" w:hAnsi="Arial" w:cs="Arial"/>
                <w:noProof/>
              </w:rPr>
              <w:t>References</w:t>
            </w:r>
            <w:r w:rsidRPr="00F21387">
              <w:rPr>
                <w:rFonts w:ascii="Arial" w:hAnsi="Arial" w:cs="Arial"/>
                <w:noProof/>
                <w:webHidden/>
              </w:rPr>
              <w:tab/>
            </w:r>
            <w:r w:rsidRPr="00F21387">
              <w:rPr>
                <w:rFonts w:ascii="Arial" w:hAnsi="Arial" w:cs="Arial"/>
                <w:noProof/>
                <w:webHidden/>
              </w:rPr>
              <w:fldChar w:fldCharType="begin"/>
            </w:r>
            <w:r w:rsidRPr="00F21387">
              <w:rPr>
                <w:rFonts w:ascii="Arial" w:hAnsi="Arial" w:cs="Arial"/>
                <w:noProof/>
                <w:webHidden/>
              </w:rPr>
              <w:instrText xml:space="preserve"> PAGEREF _Toc221137821 \h </w:instrText>
            </w:r>
            <w:r w:rsidRPr="00F21387">
              <w:rPr>
                <w:rFonts w:ascii="Arial" w:hAnsi="Arial" w:cs="Arial"/>
                <w:noProof/>
                <w:webHidden/>
              </w:rPr>
            </w:r>
            <w:r w:rsidRPr="00F21387">
              <w:rPr>
                <w:rFonts w:ascii="Arial" w:hAnsi="Arial" w:cs="Arial"/>
                <w:noProof/>
                <w:webHidden/>
              </w:rPr>
              <w:fldChar w:fldCharType="separate"/>
            </w:r>
            <w:r w:rsidRPr="00F21387">
              <w:rPr>
                <w:rFonts w:ascii="Arial" w:hAnsi="Arial" w:cs="Arial"/>
                <w:noProof/>
                <w:webHidden/>
              </w:rPr>
              <w:t>8</w:t>
            </w:r>
            <w:r w:rsidRPr="00F21387">
              <w:rPr>
                <w:rFonts w:ascii="Arial" w:hAnsi="Arial" w:cs="Arial"/>
                <w:noProof/>
                <w:webHidden/>
              </w:rPr>
              <w:fldChar w:fldCharType="end"/>
            </w:r>
          </w:hyperlink>
        </w:p>
        <w:p w14:paraId="7B1DF775" w14:textId="7072565D" w:rsidR="00F21387" w:rsidRPr="00F21387" w:rsidRDefault="00F21387" w:rsidP="00F21387">
          <w:pPr>
            <w:spacing w:line="360" w:lineRule="auto"/>
            <w:jc w:val="both"/>
            <w:rPr>
              <w:rFonts w:ascii="Arial" w:hAnsi="Arial" w:cs="Arial"/>
            </w:rPr>
          </w:pPr>
          <w:r w:rsidRPr="00F21387">
            <w:rPr>
              <w:rFonts w:ascii="Arial" w:hAnsi="Arial" w:cs="Arial"/>
              <w:noProof/>
            </w:rPr>
            <w:fldChar w:fldCharType="end"/>
          </w:r>
        </w:p>
      </w:sdtContent>
    </w:sdt>
    <w:p w14:paraId="68C14788" w14:textId="77777777" w:rsidR="00F21387" w:rsidRPr="00F21387" w:rsidRDefault="00F21387" w:rsidP="00F21387">
      <w:pPr>
        <w:spacing w:line="360" w:lineRule="auto"/>
        <w:jc w:val="both"/>
        <w:rPr>
          <w:rFonts w:ascii="Arial" w:hAnsi="Arial" w:cs="Arial"/>
          <w:b/>
          <w:bCs/>
        </w:rPr>
      </w:pPr>
      <w:r w:rsidRPr="00F21387">
        <w:rPr>
          <w:rFonts w:ascii="Arial" w:hAnsi="Arial" w:cs="Arial"/>
          <w:b/>
          <w:bCs/>
        </w:rPr>
        <w:br w:type="page"/>
      </w:r>
    </w:p>
    <w:p w14:paraId="749C5CAA" w14:textId="70FE59A0" w:rsidR="00E55206" w:rsidRPr="00F21387" w:rsidRDefault="0001477E" w:rsidP="00F21387">
      <w:pPr>
        <w:pStyle w:val="ListParagraph"/>
        <w:numPr>
          <w:ilvl w:val="0"/>
          <w:numId w:val="6"/>
        </w:numPr>
        <w:spacing w:line="360" w:lineRule="auto"/>
        <w:jc w:val="both"/>
        <w:outlineLvl w:val="0"/>
        <w:rPr>
          <w:rFonts w:ascii="Arial" w:hAnsi="Arial" w:cs="Arial"/>
          <w:b/>
          <w:bCs/>
        </w:rPr>
      </w:pPr>
      <w:bookmarkStart w:id="0" w:name="_Toc221137812"/>
      <w:r w:rsidRPr="00F21387">
        <w:rPr>
          <w:rFonts w:ascii="Arial" w:hAnsi="Arial" w:cs="Arial"/>
          <w:b/>
          <w:bCs/>
        </w:rPr>
        <w:t>Introduction</w:t>
      </w:r>
      <w:bookmarkEnd w:id="0"/>
    </w:p>
    <w:p w14:paraId="37F8A098" w14:textId="0F618631" w:rsidR="0001477E" w:rsidRPr="00F21387" w:rsidRDefault="00632666" w:rsidP="00F21387">
      <w:pPr>
        <w:spacing w:line="360" w:lineRule="auto"/>
        <w:jc w:val="both"/>
        <w:rPr>
          <w:rFonts w:ascii="Arial" w:hAnsi="Arial" w:cs="Arial"/>
        </w:rPr>
      </w:pPr>
      <w:r w:rsidRPr="00F21387">
        <w:rPr>
          <w:rFonts w:ascii="Arial" w:hAnsi="Arial" w:cs="Arial"/>
        </w:rPr>
        <w:t xml:space="preserve">The report aims to evaluate person-centred care and partnership working as key principles of health and social care (HSC). The report will examine the impact of these components on HSC policy and practice. In this context, an overview of person-centred care (PCC) and its benefits and limitations will be incorporated in the report following by a relevant theory in relevance to this practice. The report will also examine ethical basics of HSC and evaluate the role of partnership working in the HSC industry. In addition, the report will examine relevant policies and legislations in relation to partnership working and PCC, followed by recommendations for the future development of these principles in the HSC environment of the UK. </w:t>
      </w:r>
    </w:p>
    <w:p w14:paraId="2B65B8FA" w14:textId="1AF973BC" w:rsidR="00CF0AD8" w:rsidRPr="00F21387" w:rsidRDefault="00CF0AD8" w:rsidP="00F21387">
      <w:pPr>
        <w:pStyle w:val="ListParagraph"/>
        <w:numPr>
          <w:ilvl w:val="0"/>
          <w:numId w:val="6"/>
        </w:numPr>
        <w:spacing w:line="360" w:lineRule="auto"/>
        <w:jc w:val="both"/>
        <w:outlineLvl w:val="0"/>
        <w:rPr>
          <w:rFonts w:ascii="Arial" w:hAnsi="Arial" w:cs="Arial"/>
          <w:b/>
          <w:bCs/>
        </w:rPr>
      </w:pPr>
      <w:bookmarkStart w:id="1" w:name="_Toc221137813"/>
      <w:r w:rsidRPr="00F21387">
        <w:rPr>
          <w:rFonts w:ascii="Arial" w:hAnsi="Arial" w:cs="Arial"/>
          <w:b/>
          <w:bCs/>
        </w:rPr>
        <w:t>Person centred care (PCC)</w:t>
      </w:r>
      <w:bookmarkEnd w:id="1"/>
    </w:p>
    <w:p w14:paraId="7CA187FB" w14:textId="08AC7BA1" w:rsidR="00CF0AD8" w:rsidRPr="00F21387" w:rsidRDefault="00CF0AD8" w:rsidP="00F21387">
      <w:pPr>
        <w:spacing w:line="360" w:lineRule="auto"/>
        <w:jc w:val="both"/>
        <w:rPr>
          <w:rFonts w:ascii="Arial" w:hAnsi="Arial" w:cs="Arial"/>
        </w:rPr>
      </w:pPr>
      <w:r w:rsidRPr="00F21387">
        <w:rPr>
          <w:rFonts w:ascii="Arial" w:hAnsi="Arial" w:cs="Arial"/>
        </w:rPr>
        <w:t>PCC is focused on understanding and addressing individual care needs of service users in HSC. This term is used to describe responsive care that is designed with consideration to unique preferences, requirements and circumstances of service users</w:t>
      </w:r>
      <w:r w:rsidR="000C72C4" w:rsidRPr="00F21387">
        <w:rPr>
          <w:rFonts w:ascii="Arial" w:hAnsi="Arial" w:cs="Arial"/>
        </w:rPr>
        <w:t xml:space="preserve"> (</w:t>
      </w:r>
      <w:r w:rsidR="000C72C4" w:rsidRPr="00F21387">
        <w:rPr>
          <w:rFonts w:ascii="Arial" w:hAnsi="Arial" w:cs="Arial"/>
          <w:color w:val="222222"/>
          <w:shd w:val="clear" w:color="auto" w:fill="FFFFFF"/>
        </w:rPr>
        <w:t>Skills for Health, 2025)</w:t>
      </w:r>
      <w:r w:rsidRPr="00F21387">
        <w:rPr>
          <w:rFonts w:ascii="Arial" w:hAnsi="Arial" w:cs="Arial"/>
        </w:rPr>
        <w:t xml:space="preserve">. The application of the principles of PPC empowers healthcare staff to design procedures and practices that meet unique services of diverse service users. </w:t>
      </w:r>
      <w:r w:rsidR="00EA30C1" w:rsidRPr="00F21387">
        <w:rPr>
          <w:rFonts w:ascii="Arial" w:hAnsi="Arial" w:cs="Arial"/>
        </w:rPr>
        <w:t>PCC ensures the involvement of service users in decision-making process, which is considered an essential part of the development of high-quality care services for everyone</w:t>
      </w:r>
      <w:r w:rsidR="002F20FC" w:rsidRPr="00F21387">
        <w:rPr>
          <w:rFonts w:ascii="Arial" w:hAnsi="Arial" w:cs="Arial"/>
        </w:rPr>
        <w:t xml:space="preserve"> (</w:t>
      </w:r>
      <w:r w:rsidR="002F20FC" w:rsidRPr="00F21387">
        <w:rPr>
          <w:rFonts w:ascii="Arial" w:hAnsi="Arial" w:cs="Arial"/>
          <w:color w:val="222222"/>
          <w:shd w:val="clear" w:color="auto" w:fill="FFFFFF"/>
        </w:rPr>
        <w:t>Coulter and Oldham, 2016).</w:t>
      </w:r>
      <w:r w:rsidR="00EA30C1" w:rsidRPr="00F21387">
        <w:rPr>
          <w:rFonts w:ascii="Arial" w:hAnsi="Arial" w:cs="Arial"/>
        </w:rPr>
        <w:t xml:space="preserve"> It places service users at the heart of care to improve the accessibility and impact of healthcare services on the health and wellbeing of service users. Consequently, it improves the engagement and involvement of patients in the care process and results in improved outcomes of treatment procedures. </w:t>
      </w:r>
    </w:p>
    <w:p w14:paraId="07B9625D" w14:textId="5E7EFC68" w:rsidR="00BF3DFF" w:rsidRPr="00F21387" w:rsidRDefault="00BF3DFF" w:rsidP="00F21387">
      <w:pPr>
        <w:pStyle w:val="ListParagraph"/>
        <w:numPr>
          <w:ilvl w:val="1"/>
          <w:numId w:val="6"/>
        </w:numPr>
        <w:spacing w:after="0" w:line="360" w:lineRule="auto"/>
        <w:jc w:val="both"/>
        <w:rPr>
          <w:rFonts w:ascii="Arial" w:hAnsi="Arial" w:cs="Arial"/>
          <w:b/>
          <w:bCs/>
        </w:rPr>
      </w:pPr>
      <w:r w:rsidRPr="00F21387">
        <w:rPr>
          <w:rFonts w:ascii="Arial" w:hAnsi="Arial" w:cs="Arial"/>
          <w:b/>
          <w:bCs/>
        </w:rPr>
        <w:t xml:space="preserve">Benefits </w:t>
      </w:r>
      <w:r w:rsidR="00931771" w:rsidRPr="00F21387">
        <w:rPr>
          <w:rFonts w:ascii="Arial" w:hAnsi="Arial" w:cs="Arial"/>
          <w:b/>
          <w:bCs/>
        </w:rPr>
        <w:t xml:space="preserve">and limitations </w:t>
      </w:r>
    </w:p>
    <w:p w14:paraId="4F831211" w14:textId="6A750773" w:rsidR="00BF3DFF" w:rsidRPr="00F21387" w:rsidRDefault="00BF3DFF" w:rsidP="00F21387">
      <w:pPr>
        <w:spacing w:after="0" w:line="360" w:lineRule="auto"/>
        <w:jc w:val="both"/>
        <w:rPr>
          <w:rFonts w:ascii="Arial" w:hAnsi="Arial" w:cs="Arial"/>
        </w:rPr>
      </w:pPr>
      <w:r w:rsidRPr="00F21387">
        <w:rPr>
          <w:rFonts w:ascii="Arial" w:hAnsi="Arial" w:cs="Arial"/>
        </w:rPr>
        <w:t>PCC shifts the focus of healthcare professionals from generic treatment plans to specific measures as per the requirements of every single service user who comes from diverse backgrounds and requirements</w:t>
      </w:r>
      <w:r w:rsidR="00B13657" w:rsidRPr="00F21387">
        <w:rPr>
          <w:rFonts w:ascii="Arial" w:hAnsi="Arial" w:cs="Arial"/>
        </w:rPr>
        <w:t xml:space="preserve"> (</w:t>
      </w:r>
      <w:r w:rsidR="00B13657" w:rsidRPr="00F21387">
        <w:rPr>
          <w:rFonts w:ascii="Arial" w:hAnsi="Arial" w:cs="Arial"/>
          <w:color w:val="222222"/>
          <w:shd w:val="clear" w:color="auto" w:fill="FFFFFF"/>
        </w:rPr>
        <w:t>Coulter and Oldham, 2016)</w:t>
      </w:r>
      <w:r w:rsidRPr="00F21387">
        <w:rPr>
          <w:rFonts w:ascii="Arial" w:hAnsi="Arial" w:cs="Arial"/>
        </w:rPr>
        <w:t xml:space="preserve">. It eliminates the gap between the expectations of service users and quality of treatment offered by healthcare organisation. A key benefit of PCC is that it prioritises the preferences and requirements of service users and improve their satisfaction with facilities offered by healthcare experts and organisations. </w:t>
      </w:r>
    </w:p>
    <w:p w14:paraId="494C9063" w14:textId="74F1699A" w:rsidR="009C06F4" w:rsidRPr="00F21387" w:rsidRDefault="0006256D" w:rsidP="00F21387">
      <w:pPr>
        <w:spacing w:after="0" w:line="360" w:lineRule="auto"/>
        <w:jc w:val="both"/>
        <w:rPr>
          <w:rFonts w:ascii="Arial" w:hAnsi="Arial" w:cs="Arial"/>
        </w:rPr>
      </w:pPr>
      <w:r w:rsidRPr="00F21387">
        <w:rPr>
          <w:rFonts w:ascii="Arial" w:hAnsi="Arial" w:cs="Arial"/>
        </w:rPr>
        <w:t>However, PCC requires comparatively high resources and diverse skills from healthcare practitioners to be able to understand and address the requirements of service users</w:t>
      </w:r>
      <w:r w:rsidR="00F370EF" w:rsidRPr="00F21387">
        <w:rPr>
          <w:rFonts w:ascii="Arial" w:hAnsi="Arial" w:cs="Arial"/>
        </w:rPr>
        <w:t xml:space="preserve"> (</w:t>
      </w:r>
      <w:r w:rsidR="00F370EF" w:rsidRPr="00F21387">
        <w:rPr>
          <w:rFonts w:ascii="Arial" w:hAnsi="Arial" w:cs="Arial"/>
          <w:color w:val="222222"/>
          <w:shd w:val="clear" w:color="auto" w:fill="FFFFFF"/>
        </w:rPr>
        <w:t xml:space="preserve">Kwame and </w:t>
      </w:r>
      <w:proofErr w:type="spellStart"/>
      <w:r w:rsidR="00F370EF" w:rsidRPr="00F21387">
        <w:rPr>
          <w:rFonts w:ascii="Arial" w:hAnsi="Arial" w:cs="Arial"/>
          <w:color w:val="222222"/>
          <w:shd w:val="clear" w:color="auto" w:fill="FFFFFF"/>
        </w:rPr>
        <w:t>Petrucka</w:t>
      </w:r>
      <w:proofErr w:type="spellEnd"/>
      <w:r w:rsidR="00F370EF" w:rsidRPr="00F21387">
        <w:rPr>
          <w:rFonts w:ascii="Arial" w:hAnsi="Arial" w:cs="Arial"/>
          <w:color w:val="222222"/>
          <w:shd w:val="clear" w:color="auto" w:fill="FFFFFF"/>
        </w:rPr>
        <w:t>, 2021)</w:t>
      </w:r>
      <w:r w:rsidRPr="00F21387">
        <w:rPr>
          <w:rFonts w:ascii="Arial" w:hAnsi="Arial" w:cs="Arial"/>
        </w:rPr>
        <w:t>. Ineffective communication, limited training and traditional structure of healthcare organisations can also create limitations in effective outcomes of PCC. Not only this, the risk of burnout also increases without proper training of PCC when healthcare workers are expected to understand and design treatment plans as per the requirements of different service users</w:t>
      </w:r>
      <w:r w:rsidR="007D0705" w:rsidRPr="00F21387">
        <w:rPr>
          <w:rFonts w:ascii="Arial" w:hAnsi="Arial" w:cs="Arial"/>
        </w:rPr>
        <w:t xml:space="preserve"> (</w:t>
      </w:r>
      <w:r w:rsidR="007D0705" w:rsidRPr="00F21387">
        <w:rPr>
          <w:rFonts w:ascii="Arial" w:hAnsi="Arial" w:cs="Arial"/>
          <w:color w:val="222222"/>
          <w:shd w:val="clear" w:color="auto" w:fill="FFFFFF"/>
        </w:rPr>
        <w:t>Gustavsson et al., 2025).</w:t>
      </w:r>
    </w:p>
    <w:p w14:paraId="6ADAAA41" w14:textId="2A9C016E" w:rsidR="0001477E" w:rsidRPr="00F21387" w:rsidRDefault="00CA3169" w:rsidP="00F21387">
      <w:pPr>
        <w:pStyle w:val="ListParagraph"/>
        <w:numPr>
          <w:ilvl w:val="0"/>
          <w:numId w:val="6"/>
        </w:numPr>
        <w:spacing w:after="0" w:line="360" w:lineRule="auto"/>
        <w:jc w:val="both"/>
        <w:outlineLvl w:val="0"/>
        <w:rPr>
          <w:rFonts w:ascii="Arial" w:hAnsi="Arial" w:cs="Arial"/>
          <w:b/>
          <w:bCs/>
        </w:rPr>
      </w:pPr>
      <w:bookmarkStart w:id="2" w:name="_Toc221137814"/>
      <w:r w:rsidRPr="00F21387">
        <w:rPr>
          <w:rFonts w:ascii="Arial" w:hAnsi="Arial" w:cs="Arial"/>
          <w:b/>
          <w:bCs/>
        </w:rPr>
        <w:t>Roger’s person-centred approach</w:t>
      </w:r>
      <w:bookmarkEnd w:id="2"/>
      <w:r w:rsidRPr="00F21387">
        <w:rPr>
          <w:rFonts w:ascii="Arial" w:hAnsi="Arial" w:cs="Arial"/>
          <w:b/>
          <w:bCs/>
        </w:rPr>
        <w:t xml:space="preserve"> </w:t>
      </w:r>
    </w:p>
    <w:p w14:paraId="3EEDF035" w14:textId="1AECF9ED" w:rsidR="001C479F" w:rsidRPr="00F21387" w:rsidRDefault="00672B8F" w:rsidP="00F21387">
      <w:pPr>
        <w:spacing w:after="0" w:line="360" w:lineRule="auto"/>
        <w:jc w:val="both"/>
        <w:rPr>
          <w:rFonts w:ascii="Arial" w:hAnsi="Arial" w:cs="Arial"/>
        </w:rPr>
      </w:pPr>
      <w:r w:rsidRPr="00F21387">
        <w:rPr>
          <w:rFonts w:ascii="Arial" w:hAnsi="Arial" w:cs="Arial"/>
        </w:rPr>
        <w:t>The client-centred or the person-centred therapy by Carl Rogers can be applied to further understand the application of PCC in healthcare. As per this theory, an individual needs congruence, unconditional positive regard and empathy in his environment to grow and sustain his wellbeing</w:t>
      </w:r>
      <w:r w:rsidR="007E0D9F" w:rsidRPr="00F21387">
        <w:rPr>
          <w:rFonts w:ascii="Arial" w:hAnsi="Arial" w:cs="Arial"/>
        </w:rPr>
        <w:t xml:space="preserve"> (</w:t>
      </w:r>
      <w:proofErr w:type="spellStart"/>
      <w:r w:rsidR="007E0D9F" w:rsidRPr="00F21387">
        <w:rPr>
          <w:rFonts w:ascii="Arial" w:hAnsi="Arial" w:cs="Arial"/>
          <w:color w:val="222222"/>
          <w:shd w:val="clear" w:color="auto" w:fill="FFFFFF"/>
        </w:rPr>
        <w:t>Švab</w:t>
      </w:r>
      <w:proofErr w:type="spellEnd"/>
      <w:r w:rsidR="007E0D9F" w:rsidRPr="00F21387">
        <w:rPr>
          <w:rFonts w:ascii="Arial" w:hAnsi="Arial" w:cs="Arial"/>
          <w:color w:val="222222"/>
          <w:shd w:val="clear" w:color="auto" w:fill="FFFFFF"/>
        </w:rPr>
        <w:t xml:space="preserve"> and </w:t>
      </w:r>
      <w:proofErr w:type="spellStart"/>
      <w:r w:rsidR="007E0D9F" w:rsidRPr="00F21387">
        <w:rPr>
          <w:rFonts w:ascii="Arial" w:hAnsi="Arial" w:cs="Arial"/>
          <w:color w:val="222222"/>
          <w:shd w:val="clear" w:color="auto" w:fill="FFFFFF"/>
        </w:rPr>
        <w:t>Cerovečki</w:t>
      </w:r>
      <w:proofErr w:type="spellEnd"/>
      <w:r w:rsidR="007E0D9F" w:rsidRPr="00F21387">
        <w:rPr>
          <w:rFonts w:ascii="Arial" w:hAnsi="Arial" w:cs="Arial"/>
          <w:color w:val="222222"/>
          <w:shd w:val="clear" w:color="auto" w:fill="FFFFFF"/>
        </w:rPr>
        <w:t>, 2024)</w:t>
      </w:r>
      <w:r w:rsidRPr="00F21387">
        <w:rPr>
          <w:rFonts w:ascii="Arial" w:hAnsi="Arial" w:cs="Arial"/>
        </w:rPr>
        <w:t xml:space="preserve">. </w:t>
      </w:r>
      <w:r w:rsidR="001E203A" w:rsidRPr="00F21387">
        <w:rPr>
          <w:rFonts w:ascii="Arial" w:hAnsi="Arial" w:cs="Arial"/>
        </w:rPr>
        <w:t xml:space="preserve">Here, congruence means genuineness and unconditional positive regard is associated with a non-judgemental attitude towards his needs and </w:t>
      </w:r>
      <w:r w:rsidR="007F51C6" w:rsidRPr="00F21387">
        <w:rPr>
          <w:rFonts w:ascii="Arial" w:hAnsi="Arial" w:cs="Arial"/>
        </w:rPr>
        <w:t>requirements</w:t>
      </w:r>
      <w:r w:rsidR="001E203A" w:rsidRPr="00F21387">
        <w:rPr>
          <w:rFonts w:ascii="Arial" w:hAnsi="Arial" w:cs="Arial"/>
        </w:rPr>
        <w:t xml:space="preserve">. </w:t>
      </w:r>
      <w:r w:rsidR="007F51C6" w:rsidRPr="00F21387">
        <w:rPr>
          <w:rFonts w:ascii="Arial" w:hAnsi="Arial" w:cs="Arial"/>
        </w:rPr>
        <w:t>Its application to HSC enables healthcare professionals to empathise with service users, depict a genuine concern towards their requirements and operate their diverse needs without a judgmental attitude</w:t>
      </w:r>
      <w:r w:rsidR="00A21263" w:rsidRPr="00F21387">
        <w:rPr>
          <w:rFonts w:ascii="Arial" w:hAnsi="Arial" w:cs="Arial"/>
        </w:rPr>
        <w:t xml:space="preserve"> (</w:t>
      </w:r>
      <w:proofErr w:type="spellStart"/>
      <w:r w:rsidR="00A21263" w:rsidRPr="00F21387">
        <w:rPr>
          <w:rFonts w:ascii="Arial" w:hAnsi="Arial" w:cs="Arial"/>
          <w:color w:val="222222"/>
          <w:shd w:val="clear" w:color="auto" w:fill="FFFFFF"/>
        </w:rPr>
        <w:t>Švab</w:t>
      </w:r>
      <w:proofErr w:type="spellEnd"/>
      <w:r w:rsidR="00A21263" w:rsidRPr="00F21387">
        <w:rPr>
          <w:rFonts w:ascii="Arial" w:hAnsi="Arial" w:cs="Arial"/>
          <w:color w:val="222222"/>
          <w:shd w:val="clear" w:color="auto" w:fill="FFFFFF"/>
        </w:rPr>
        <w:t xml:space="preserve"> and </w:t>
      </w:r>
      <w:proofErr w:type="spellStart"/>
      <w:r w:rsidR="00A21263" w:rsidRPr="00F21387">
        <w:rPr>
          <w:rFonts w:ascii="Arial" w:hAnsi="Arial" w:cs="Arial"/>
          <w:color w:val="222222"/>
          <w:shd w:val="clear" w:color="auto" w:fill="FFFFFF"/>
        </w:rPr>
        <w:t>Cerovečki</w:t>
      </w:r>
      <w:proofErr w:type="spellEnd"/>
      <w:r w:rsidR="00A21263" w:rsidRPr="00F21387">
        <w:rPr>
          <w:rFonts w:ascii="Arial" w:hAnsi="Arial" w:cs="Arial"/>
          <w:color w:val="222222"/>
          <w:shd w:val="clear" w:color="auto" w:fill="FFFFFF"/>
        </w:rPr>
        <w:t>, 2024)</w:t>
      </w:r>
      <w:r w:rsidR="007F51C6" w:rsidRPr="00F21387">
        <w:rPr>
          <w:rFonts w:ascii="Arial" w:hAnsi="Arial" w:cs="Arial"/>
        </w:rPr>
        <w:t xml:space="preserve">. </w:t>
      </w:r>
      <w:r w:rsidR="008D0EBE" w:rsidRPr="00F21387">
        <w:rPr>
          <w:rFonts w:ascii="Arial" w:hAnsi="Arial" w:cs="Arial"/>
        </w:rPr>
        <w:t xml:space="preserve">In this setting, congruence can be depicted by care experts by remaining authentic and transparent in their conduct. Unconditional positive regard can be shown by respecting values and requirements of all service users regardless of their background and personal preferences. Lastly, empathy </w:t>
      </w:r>
      <w:r w:rsidR="008F7093" w:rsidRPr="00F21387">
        <w:rPr>
          <w:rFonts w:ascii="Arial" w:hAnsi="Arial" w:cs="Arial"/>
        </w:rPr>
        <w:t>can be integrated into PCC by understanding subjective experiences of patients and considering their diverse needs in the preparation of treatment plans</w:t>
      </w:r>
      <w:r w:rsidR="00A50D40" w:rsidRPr="00F21387">
        <w:rPr>
          <w:rFonts w:ascii="Arial" w:hAnsi="Arial" w:cs="Arial"/>
        </w:rPr>
        <w:t xml:space="preserve"> (</w:t>
      </w:r>
      <w:proofErr w:type="spellStart"/>
      <w:r w:rsidR="00A50D40" w:rsidRPr="00F21387">
        <w:rPr>
          <w:rFonts w:ascii="Arial" w:hAnsi="Arial" w:cs="Arial"/>
          <w:color w:val="222222"/>
          <w:shd w:val="clear" w:color="auto" w:fill="FFFFFF"/>
        </w:rPr>
        <w:t>Cavé</w:t>
      </w:r>
      <w:proofErr w:type="spellEnd"/>
      <w:r w:rsidR="00A50D40" w:rsidRPr="00F21387">
        <w:rPr>
          <w:rFonts w:ascii="Arial" w:hAnsi="Arial" w:cs="Arial"/>
          <w:color w:val="222222"/>
          <w:shd w:val="clear" w:color="auto" w:fill="FFFFFF"/>
        </w:rPr>
        <w:t xml:space="preserve"> et al., 2024).</w:t>
      </w:r>
    </w:p>
    <w:p w14:paraId="61C27613" w14:textId="430C102F" w:rsidR="0001477E" w:rsidRPr="00F21387" w:rsidRDefault="00CA3169" w:rsidP="00F21387">
      <w:pPr>
        <w:pStyle w:val="ListParagraph"/>
        <w:numPr>
          <w:ilvl w:val="0"/>
          <w:numId w:val="6"/>
        </w:numPr>
        <w:spacing w:line="360" w:lineRule="auto"/>
        <w:jc w:val="both"/>
        <w:outlineLvl w:val="0"/>
        <w:rPr>
          <w:rFonts w:ascii="Arial" w:hAnsi="Arial" w:cs="Arial"/>
          <w:b/>
          <w:bCs/>
        </w:rPr>
      </w:pPr>
      <w:bookmarkStart w:id="3" w:name="_Toc221137815"/>
      <w:r w:rsidRPr="00F21387">
        <w:rPr>
          <w:rFonts w:ascii="Arial" w:hAnsi="Arial" w:cs="Arial"/>
          <w:b/>
          <w:bCs/>
        </w:rPr>
        <w:t>E</w:t>
      </w:r>
      <w:r w:rsidR="0001477E" w:rsidRPr="00F21387">
        <w:rPr>
          <w:rFonts w:ascii="Arial" w:hAnsi="Arial" w:cs="Arial"/>
          <w:b/>
          <w:bCs/>
        </w:rPr>
        <w:t>thical fundamentals of health and social care.</w:t>
      </w:r>
      <w:bookmarkEnd w:id="3"/>
    </w:p>
    <w:p w14:paraId="7805769F" w14:textId="7E3F173F" w:rsidR="00147985" w:rsidRPr="00F21387" w:rsidRDefault="00147985" w:rsidP="00F21387">
      <w:pPr>
        <w:spacing w:line="360" w:lineRule="auto"/>
        <w:jc w:val="both"/>
        <w:rPr>
          <w:rFonts w:ascii="Arial" w:hAnsi="Arial" w:cs="Arial"/>
        </w:rPr>
      </w:pPr>
      <w:r w:rsidRPr="00F21387">
        <w:rPr>
          <w:rFonts w:ascii="Arial" w:hAnsi="Arial" w:cs="Arial"/>
        </w:rPr>
        <w:t>Ethical fundamentals in HSC are associated with core principles that guide professional services of maintain a compassionate, person-centred and respectable environment for all service users. The primary pillars of ethics in HSC are autonomy, beneficence, non-maleficence and justice</w:t>
      </w:r>
      <w:r w:rsidR="00666079" w:rsidRPr="00F21387">
        <w:rPr>
          <w:rFonts w:ascii="Arial" w:hAnsi="Arial" w:cs="Arial"/>
        </w:rPr>
        <w:t xml:space="preserve"> (</w:t>
      </w:r>
      <w:r w:rsidR="00666079" w:rsidRPr="00F21387">
        <w:rPr>
          <w:rFonts w:ascii="Arial" w:hAnsi="Arial" w:cs="Arial"/>
          <w:color w:val="222222"/>
          <w:shd w:val="clear" w:color="auto" w:fill="FFFFFF"/>
        </w:rPr>
        <w:t>Hannigan-Page, 2023)</w:t>
      </w:r>
      <w:r w:rsidRPr="00F21387">
        <w:rPr>
          <w:rFonts w:ascii="Arial" w:hAnsi="Arial" w:cs="Arial"/>
        </w:rPr>
        <w:t xml:space="preserve">. These principles are designed to support the right of individual service users to making their own decisions regarding treatment and access informed consent in important decisions about their treatment. Likewise, these fundamentals also encourage healthcare experts to actively work for the wellbeing of patients while provide them a safe and secure environment. </w:t>
      </w:r>
      <w:r w:rsidR="00FC083D" w:rsidRPr="00F21387">
        <w:rPr>
          <w:rFonts w:ascii="Arial" w:hAnsi="Arial" w:cs="Arial"/>
        </w:rPr>
        <w:t>The fundamentals ensure that healthcare experts prioritise the best interest of service users by providing fair access to services and minimising chances of discrimination in accessibility of care services</w:t>
      </w:r>
      <w:r w:rsidR="00666079" w:rsidRPr="00F21387">
        <w:rPr>
          <w:rFonts w:ascii="Arial" w:hAnsi="Arial" w:cs="Arial"/>
        </w:rPr>
        <w:t xml:space="preserve"> (</w:t>
      </w:r>
      <w:proofErr w:type="spellStart"/>
      <w:r w:rsidR="00666079" w:rsidRPr="00F21387">
        <w:rPr>
          <w:rFonts w:ascii="Arial" w:hAnsi="Arial" w:cs="Arial"/>
          <w:color w:val="222222"/>
          <w:shd w:val="clear" w:color="auto" w:fill="FFFFFF"/>
        </w:rPr>
        <w:t>Varkey</w:t>
      </w:r>
      <w:proofErr w:type="spellEnd"/>
      <w:r w:rsidR="00666079" w:rsidRPr="00F21387">
        <w:rPr>
          <w:rFonts w:ascii="Arial" w:hAnsi="Arial" w:cs="Arial"/>
          <w:color w:val="222222"/>
          <w:shd w:val="clear" w:color="auto" w:fill="FFFFFF"/>
        </w:rPr>
        <w:t>, 2021)</w:t>
      </w:r>
      <w:r w:rsidR="00FC083D" w:rsidRPr="00F21387">
        <w:rPr>
          <w:rFonts w:ascii="Arial" w:hAnsi="Arial" w:cs="Arial"/>
        </w:rPr>
        <w:t xml:space="preserve">. </w:t>
      </w:r>
      <w:r w:rsidR="009D5968" w:rsidRPr="00F21387">
        <w:rPr>
          <w:rFonts w:ascii="Arial" w:hAnsi="Arial" w:cs="Arial"/>
        </w:rPr>
        <w:t>Other than this, the fundamentals are also designed to focus on sustaining privacy and confidentiality of service users, maintaining their dignity in the provision of care and offering an environment where their needs are prioritised and respected by all experts involved in their treatment process</w:t>
      </w:r>
      <w:r w:rsidR="00666079" w:rsidRPr="00F21387">
        <w:rPr>
          <w:rFonts w:ascii="Arial" w:hAnsi="Arial" w:cs="Arial"/>
        </w:rPr>
        <w:t xml:space="preserve"> (</w:t>
      </w:r>
      <w:proofErr w:type="spellStart"/>
      <w:r w:rsidR="00666079" w:rsidRPr="00F21387">
        <w:rPr>
          <w:rFonts w:ascii="Arial" w:hAnsi="Arial" w:cs="Arial"/>
          <w:color w:val="222222"/>
          <w:shd w:val="clear" w:color="auto" w:fill="FFFFFF"/>
        </w:rPr>
        <w:t>Varkey</w:t>
      </w:r>
      <w:proofErr w:type="spellEnd"/>
      <w:r w:rsidR="00666079" w:rsidRPr="00F21387">
        <w:rPr>
          <w:rFonts w:ascii="Arial" w:hAnsi="Arial" w:cs="Arial"/>
          <w:color w:val="222222"/>
          <w:shd w:val="clear" w:color="auto" w:fill="FFFFFF"/>
        </w:rPr>
        <w:t>, 2021)</w:t>
      </w:r>
      <w:r w:rsidR="00666079" w:rsidRPr="00F21387">
        <w:rPr>
          <w:rFonts w:ascii="Arial" w:hAnsi="Arial" w:cs="Arial"/>
        </w:rPr>
        <w:t>.</w:t>
      </w:r>
    </w:p>
    <w:p w14:paraId="7C38977B" w14:textId="6E1725BB" w:rsidR="0001477E" w:rsidRPr="00F21387" w:rsidRDefault="004E6E92" w:rsidP="00F21387">
      <w:pPr>
        <w:pStyle w:val="ListParagraph"/>
        <w:numPr>
          <w:ilvl w:val="0"/>
          <w:numId w:val="6"/>
        </w:numPr>
        <w:spacing w:line="360" w:lineRule="auto"/>
        <w:jc w:val="both"/>
        <w:outlineLvl w:val="0"/>
        <w:rPr>
          <w:rFonts w:ascii="Arial" w:hAnsi="Arial" w:cs="Arial"/>
          <w:b/>
          <w:bCs/>
        </w:rPr>
      </w:pPr>
      <w:bookmarkStart w:id="4" w:name="_Toc221137816"/>
      <w:r w:rsidRPr="00F21387">
        <w:rPr>
          <w:rFonts w:ascii="Arial" w:hAnsi="Arial" w:cs="Arial"/>
          <w:b/>
          <w:bCs/>
        </w:rPr>
        <w:t>Partnership</w:t>
      </w:r>
      <w:r w:rsidR="0001477E" w:rsidRPr="00F21387">
        <w:rPr>
          <w:rFonts w:ascii="Arial" w:hAnsi="Arial" w:cs="Arial"/>
          <w:b/>
          <w:bCs/>
        </w:rPr>
        <w:t xml:space="preserve"> working in health and social care.</w:t>
      </w:r>
      <w:bookmarkEnd w:id="4"/>
    </w:p>
    <w:p w14:paraId="090F7843" w14:textId="71F25856" w:rsidR="004E6E92" w:rsidRPr="00F21387" w:rsidRDefault="004E6E92" w:rsidP="00F21387">
      <w:pPr>
        <w:spacing w:line="360" w:lineRule="auto"/>
        <w:jc w:val="both"/>
        <w:rPr>
          <w:rFonts w:ascii="Arial" w:hAnsi="Arial" w:cs="Arial"/>
        </w:rPr>
      </w:pPr>
      <w:r w:rsidRPr="00F21387">
        <w:rPr>
          <w:rFonts w:ascii="Arial" w:hAnsi="Arial" w:cs="Arial"/>
        </w:rPr>
        <w:t>Partnership working in HSC is associated with the collaboration of different professionals, agencies and organisations in decisions regarding treatment and management of the needs of service users. Partnership working aims to meet diverse preferences of service users through collaborative efforts of multiple experts associated with different fields in HSC domain</w:t>
      </w:r>
      <w:r w:rsidR="00666079" w:rsidRPr="00F21387">
        <w:rPr>
          <w:rFonts w:ascii="Arial" w:hAnsi="Arial" w:cs="Arial"/>
        </w:rPr>
        <w:t xml:space="preserve"> (</w:t>
      </w:r>
      <w:r w:rsidR="00666079" w:rsidRPr="00F21387">
        <w:rPr>
          <w:rFonts w:ascii="Arial" w:hAnsi="Arial" w:cs="Arial"/>
          <w:color w:val="222222"/>
          <w:shd w:val="clear" w:color="auto" w:fill="FFFFFF"/>
        </w:rPr>
        <w:t>Holding et al., 2019).</w:t>
      </w:r>
      <w:r w:rsidRPr="00F21387">
        <w:rPr>
          <w:rFonts w:ascii="Arial" w:hAnsi="Arial" w:cs="Arial"/>
        </w:rPr>
        <w:t xml:space="preserve"> For instance, a local council and a care facility can work together to identify and manage specific care needs of a local population. </w:t>
      </w:r>
      <w:r w:rsidR="006456D2" w:rsidRPr="00F21387">
        <w:rPr>
          <w:rFonts w:ascii="Arial" w:hAnsi="Arial" w:cs="Arial"/>
        </w:rPr>
        <w:t xml:space="preserve">Partnership working often results in improved outcomes for patients because it allows experts with diverse expertise to combine efforts and skills for the provision of high-quality and patient-centred care to service users. </w:t>
      </w:r>
    </w:p>
    <w:p w14:paraId="5DC8AB60" w14:textId="210BF2C8" w:rsidR="00DA40F0" w:rsidRPr="00F21387" w:rsidRDefault="00DA40F0" w:rsidP="00F21387">
      <w:pPr>
        <w:pStyle w:val="ListParagraph"/>
        <w:numPr>
          <w:ilvl w:val="1"/>
          <w:numId w:val="6"/>
        </w:numPr>
        <w:spacing w:line="360" w:lineRule="auto"/>
        <w:jc w:val="both"/>
        <w:rPr>
          <w:rFonts w:ascii="Arial" w:hAnsi="Arial" w:cs="Arial"/>
          <w:b/>
          <w:bCs/>
        </w:rPr>
      </w:pPr>
      <w:r w:rsidRPr="00F21387">
        <w:rPr>
          <w:rFonts w:ascii="Arial" w:hAnsi="Arial" w:cs="Arial"/>
          <w:b/>
          <w:bCs/>
        </w:rPr>
        <w:t>Benefits of partnership working</w:t>
      </w:r>
    </w:p>
    <w:p w14:paraId="32E9B830" w14:textId="41385B9D" w:rsidR="007A3656" w:rsidRPr="00F21387" w:rsidRDefault="007A3656" w:rsidP="00F21387">
      <w:pPr>
        <w:spacing w:line="360" w:lineRule="auto"/>
        <w:jc w:val="both"/>
        <w:rPr>
          <w:rFonts w:ascii="Arial" w:hAnsi="Arial" w:cs="Arial"/>
        </w:rPr>
      </w:pPr>
      <w:r w:rsidRPr="00F21387">
        <w:rPr>
          <w:rFonts w:ascii="Arial" w:hAnsi="Arial" w:cs="Arial"/>
        </w:rPr>
        <w:t>It is beneficial for both care providers and service users because it combines efforts and guide services towards the achievement of mutual objectives. Partnership working provides more autonomy to patients by incorporating their opinions and preferences in the decision-making process and directly involving patients in discussions about available treatment options for their recovery</w:t>
      </w:r>
      <w:r w:rsidR="002519D9" w:rsidRPr="00F21387">
        <w:rPr>
          <w:rFonts w:ascii="Arial" w:hAnsi="Arial" w:cs="Arial"/>
        </w:rPr>
        <w:t xml:space="preserve"> (</w:t>
      </w:r>
      <w:r w:rsidR="002519D9" w:rsidRPr="00F21387">
        <w:rPr>
          <w:rFonts w:ascii="Arial" w:hAnsi="Arial" w:cs="Arial"/>
          <w:color w:val="222222"/>
          <w:shd w:val="clear" w:color="auto" w:fill="FFFFFF"/>
        </w:rPr>
        <w:t>Curreri, 2019)</w:t>
      </w:r>
      <w:r w:rsidRPr="00F21387">
        <w:rPr>
          <w:rFonts w:ascii="Arial" w:hAnsi="Arial" w:cs="Arial"/>
        </w:rPr>
        <w:t xml:space="preserve">. </w:t>
      </w:r>
      <w:r w:rsidR="006B242B" w:rsidRPr="00F21387">
        <w:rPr>
          <w:rFonts w:ascii="Arial" w:hAnsi="Arial" w:cs="Arial"/>
        </w:rPr>
        <w:t>As a result, it improves patient engagement and satisfaction with the treatment and also promote transparent communication between patients and care providers</w:t>
      </w:r>
      <w:r w:rsidR="007559DF" w:rsidRPr="00F21387">
        <w:rPr>
          <w:rFonts w:ascii="Arial" w:hAnsi="Arial" w:cs="Arial"/>
        </w:rPr>
        <w:t xml:space="preserve"> (</w:t>
      </w:r>
      <w:r w:rsidR="007559DF" w:rsidRPr="00F21387">
        <w:rPr>
          <w:rFonts w:ascii="Arial" w:hAnsi="Arial" w:cs="Arial"/>
          <w:color w:val="222222"/>
          <w:shd w:val="clear" w:color="auto" w:fill="FFFFFF"/>
        </w:rPr>
        <w:t>Thomson et al., 20</w:t>
      </w:r>
      <w:r w:rsidR="00904162" w:rsidRPr="00F21387">
        <w:rPr>
          <w:rFonts w:ascii="Arial" w:hAnsi="Arial" w:cs="Arial"/>
          <w:color w:val="222222"/>
          <w:shd w:val="clear" w:color="auto" w:fill="FFFFFF"/>
        </w:rPr>
        <w:t>24)</w:t>
      </w:r>
      <w:r w:rsidR="006B242B" w:rsidRPr="00F21387">
        <w:rPr>
          <w:rFonts w:ascii="Arial" w:hAnsi="Arial" w:cs="Arial"/>
        </w:rPr>
        <w:t xml:space="preserve">. </w:t>
      </w:r>
      <w:r w:rsidR="004A7496" w:rsidRPr="00F21387">
        <w:rPr>
          <w:rFonts w:ascii="Arial" w:hAnsi="Arial" w:cs="Arial"/>
        </w:rPr>
        <w:t xml:space="preserve">Not only this, it also provides access to innovative solutions and patient management strategies by involving experts with diverse skills and qualifications. </w:t>
      </w:r>
    </w:p>
    <w:p w14:paraId="36AF768E" w14:textId="29F3187C" w:rsidR="00DA40F0" w:rsidRPr="00F21387" w:rsidRDefault="00DA40F0" w:rsidP="00F21387">
      <w:pPr>
        <w:pStyle w:val="ListParagraph"/>
        <w:numPr>
          <w:ilvl w:val="1"/>
          <w:numId w:val="6"/>
        </w:numPr>
        <w:spacing w:line="360" w:lineRule="auto"/>
        <w:jc w:val="both"/>
        <w:rPr>
          <w:rFonts w:ascii="Arial" w:hAnsi="Arial" w:cs="Arial"/>
          <w:b/>
          <w:bCs/>
        </w:rPr>
      </w:pPr>
      <w:r w:rsidRPr="00F21387">
        <w:rPr>
          <w:rFonts w:ascii="Arial" w:hAnsi="Arial" w:cs="Arial"/>
          <w:b/>
          <w:bCs/>
        </w:rPr>
        <w:t>Limitations of partnership working</w:t>
      </w:r>
    </w:p>
    <w:p w14:paraId="65B1817C" w14:textId="2AA28C57" w:rsidR="00423B83" w:rsidRPr="00F21387" w:rsidRDefault="00E20007" w:rsidP="00F21387">
      <w:pPr>
        <w:spacing w:line="360" w:lineRule="auto"/>
        <w:jc w:val="both"/>
        <w:rPr>
          <w:rFonts w:ascii="Arial" w:hAnsi="Arial" w:cs="Arial"/>
        </w:rPr>
      </w:pPr>
      <w:r w:rsidRPr="00F21387">
        <w:rPr>
          <w:rFonts w:ascii="Arial" w:hAnsi="Arial" w:cs="Arial"/>
        </w:rPr>
        <w:t>However, there are some limitations that organisations can face in the integration of partnership working. For example, funding shortage can restrict the ability of care organisations to get assistance from multiple experts and pay them for their services</w:t>
      </w:r>
      <w:r w:rsidR="00172F9C" w:rsidRPr="00F21387">
        <w:rPr>
          <w:rFonts w:ascii="Arial" w:hAnsi="Arial" w:cs="Arial"/>
        </w:rPr>
        <w:t xml:space="preserve"> (</w:t>
      </w:r>
      <w:r w:rsidR="00172F9C" w:rsidRPr="00F21387">
        <w:rPr>
          <w:rFonts w:ascii="Arial" w:hAnsi="Arial" w:cs="Arial"/>
          <w:color w:val="222222"/>
          <w:shd w:val="clear" w:color="auto" w:fill="FFFFFF"/>
        </w:rPr>
        <w:t>Thomson et al., 2024)</w:t>
      </w:r>
      <w:r w:rsidR="00172F9C" w:rsidRPr="00F21387">
        <w:rPr>
          <w:rFonts w:ascii="Arial" w:hAnsi="Arial" w:cs="Arial"/>
        </w:rPr>
        <w:t>.</w:t>
      </w:r>
      <w:r w:rsidRPr="00F21387">
        <w:rPr>
          <w:rFonts w:ascii="Arial" w:hAnsi="Arial" w:cs="Arial"/>
        </w:rPr>
        <w:t xml:space="preserve"> Likewise, skill shortage can also create barriers in accessing the required support for the effective management of partnership working in care. A lack of clarity of roles and ineffective leadership can also create barriers in generating effective outcomes from partnership working</w:t>
      </w:r>
      <w:r w:rsidR="00B040CB" w:rsidRPr="00F21387">
        <w:rPr>
          <w:rFonts w:ascii="Arial" w:hAnsi="Arial" w:cs="Arial"/>
        </w:rPr>
        <w:t xml:space="preserve"> (</w:t>
      </w:r>
      <w:r w:rsidR="00B040CB" w:rsidRPr="00F21387">
        <w:rPr>
          <w:rFonts w:ascii="Arial" w:hAnsi="Arial" w:cs="Arial"/>
          <w:color w:val="222222"/>
          <w:shd w:val="clear" w:color="auto" w:fill="FFFFFF"/>
        </w:rPr>
        <w:t>Petch et al., 2013)</w:t>
      </w:r>
      <w:r w:rsidRPr="00F21387">
        <w:rPr>
          <w:rFonts w:ascii="Arial" w:hAnsi="Arial" w:cs="Arial"/>
        </w:rPr>
        <w:t>. However, these challenges can be administered through government support in terms of fund availability and a shift in the focus of care organisations from traditional to more adaptable practices to train existing staff and hire experts for diverse roles in the organisation.</w:t>
      </w:r>
    </w:p>
    <w:p w14:paraId="22184F0F" w14:textId="52CA0AEC" w:rsidR="0001477E" w:rsidRPr="00F21387" w:rsidRDefault="00A516A7" w:rsidP="00F21387">
      <w:pPr>
        <w:pStyle w:val="ListParagraph"/>
        <w:numPr>
          <w:ilvl w:val="0"/>
          <w:numId w:val="6"/>
        </w:numPr>
        <w:spacing w:line="360" w:lineRule="auto"/>
        <w:jc w:val="both"/>
        <w:outlineLvl w:val="0"/>
        <w:rPr>
          <w:rFonts w:ascii="Arial" w:hAnsi="Arial" w:cs="Arial"/>
          <w:b/>
          <w:bCs/>
        </w:rPr>
      </w:pPr>
      <w:bookmarkStart w:id="5" w:name="_Toc221137817"/>
      <w:r w:rsidRPr="00F21387">
        <w:rPr>
          <w:rFonts w:ascii="Arial" w:hAnsi="Arial" w:cs="Arial"/>
          <w:b/>
          <w:bCs/>
        </w:rPr>
        <w:t>A</w:t>
      </w:r>
      <w:r w:rsidR="0001477E" w:rsidRPr="00F21387">
        <w:rPr>
          <w:rFonts w:ascii="Arial" w:hAnsi="Arial" w:cs="Arial"/>
          <w:b/>
          <w:bCs/>
        </w:rPr>
        <w:t xml:space="preserve">pplication of partnership working in a practical </w:t>
      </w:r>
      <w:r w:rsidRPr="00F21387">
        <w:rPr>
          <w:rFonts w:ascii="Arial" w:hAnsi="Arial" w:cs="Arial"/>
          <w:b/>
          <w:bCs/>
        </w:rPr>
        <w:t>HSC</w:t>
      </w:r>
      <w:r w:rsidR="0001477E" w:rsidRPr="00F21387">
        <w:rPr>
          <w:rFonts w:ascii="Arial" w:hAnsi="Arial" w:cs="Arial"/>
          <w:b/>
          <w:bCs/>
        </w:rPr>
        <w:t xml:space="preserve"> setting</w:t>
      </w:r>
      <w:bookmarkEnd w:id="5"/>
      <w:r w:rsidR="0001477E" w:rsidRPr="00F21387">
        <w:rPr>
          <w:rFonts w:ascii="Arial" w:hAnsi="Arial" w:cs="Arial"/>
          <w:b/>
          <w:bCs/>
        </w:rPr>
        <w:t xml:space="preserve"> </w:t>
      </w:r>
    </w:p>
    <w:p w14:paraId="5F824968" w14:textId="7296E404" w:rsidR="00521048" w:rsidRPr="00F21387" w:rsidRDefault="00521048" w:rsidP="00F21387">
      <w:pPr>
        <w:spacing w:line="360" w:lineRule="auto"/>
        <w:jc w:val="both"/>
        <w:rPr>
          <w:rFonts w:ascii="Arial" w:hAnsi="Arial" w:cs="Arial"/>
        </w:rPr>
      </w:pPr>
      <w:r w:rsidRPr="00F21387">
        <w:rPr>
          <w:rFonts w:ascii="Arial" w:hAnsi="Arial" w:cs="Arial"/>
        </w:rPr>
        <w:t xml:space="preserve">Partnership working can facilitate effective outcomes in diverse HSC settings including child care, elderly care, assistances to those at risk, assistance to vulnerable population and those with mental health problems. Partnership working is specifically important in elderly care because it </w:t>
      </w:r>
      <w:r w:rsidR="00AC50B1" w:rsidRPr="00F21387">
        <w:rPr>
          <w:rFonts w:ascii="Arial" w:hAnsi="Arial" w:cs="Arial"/>
        </w:rPr>
        <w:t>enables coordinated efforts between care homes, social services, healthcare experts, service users and their families to provide person-centred support to service users in elderly care homes</w:t>
      </w:r>
      <w:r w:rsidR="00D4711D" w:rsidRPr="00F21387">
        <w:rPr>
          <w:rFonts w:ascii="Arial" w:hAnsi="Arial" w:cs="Arial"/>
        </w:rPr>
        <w:t xml:space="preserve"> (</w:t>
      </w:r>
      <w:r w:rsidR="00D4711D" w:rsidRPr="00F21387">
        <w:rPr>
          <w:rFonts w:ascii="Arial" w:hAnsi="Arial" w:cs="Arial"/>
          <w:color w:val="222222"/>
          <w:shd w:val="clear" w:color="auto" w:fill="FFFFFF"/>
        </w:rPr>
        <w:t>Jang, 2020)</w:t>
      </w:r>
      <w:r w:rsidR="00AC50B1" w:rsidRPr="00F21387">
        <w:rPr>
          <w:rFonts w:ascii="Arial" w:hAnsi="Arial" w:cs="Arial"/>
        </w:rPr>
        <w:t xml:space="preserve">. </w:t>
      </w:r>
      <w:r w:rsidR="00392250" w:rsidRPr="00F21387">
        <w:rPr>
          <w:rFonts w:ascii="Arial" w:hAnsi="Arial" w:cs="Arial"/>
        </w:rPr>
        <w:t>The key aspects of partnership working in elderly care involve key partners including older adults and their family members, social workers, doctors, nurses, care home management and even community resources to ensure the provision of best support to elderly service users</w:t>
      </w:r>
      <w:r w:rsidR="00D4711D" w:rsidRPr="00F21387">
        <w:rPr>
          <w:rFonts w:ascii="Arial" w:hAnsi="Arial" w:cs="Arial"/>
        </w:rPr>
        <w:t xml:space="preserve"> (</w:t>
      </w:r>
      <w:r w:rsidR="00D4711D" w:rsidRPr="00F21387">
        <w:rPr>
          <w:rFonts w:ascii="Arial" w:hAnsi="Arial" w:cs="Arial"/>
          <w:color w:val="222222"/>
          <w:shd w:val="clear" w:color="auto" w:fill="FFFFFF"/>
        </w:rPr>
        <w:t>Jung and Jang, 2025)</w:t>
      </w:r>
      <w:r w:rsidR="00392250" w:rsidRPr="00F21387">
        <w:rPr>
          <w:rFonts w:ascii="Arial" w:hAnsi="Arial" w:cs="Arial"/>
        </w:rPr>
        <w:t xml:space="preserve">. The core components of partnership working in elderly care including mutual trust, shared objectives, shared decision making and open communication to transform elderly into an inclusive and patient-centred service for service users. </w:t>
      </w:r>
    </w:p>
    <w:p w14:paraId="793F26E1" w14:textId="3ECACC94" w:rsidR="00126D26" w:rsidRPr="00F21387" w:rsidRDefault="00126D26" w:rsidP="00F21387">
      <w:pPr>
        <w:spacing w:line="360" w:lineRule="auto"/>
        <w:jc w:val="both"/>
        <w:rPr>
          <w:rFonts w:ascii="Arial" w:hAnsi="Arial" w:cs="Arial"/>
        </w:rPr>
      </w:pPr>
      <w:r w:rsidRPr="00F21387">
        <w:rPr>
          <w:rFonts w:ascii="Arial" w:hAnsi="Arial" w:cs="Arial"/>
        </w:rPr>
        <w:t>Partnership working can create significant benefits in elderly care including reduced risk of anxiety, mental health issues like cognitive decline and social isolation in older adults while improve their life quality and strengthening continuity of care services</w:t>
      </w:r>
      <w:r w:rsidR="009A4D78" w:rsidRPr="00F21387">
        <w:rPr>
          <w:rFonts w:ascii="Arial" w:hAnsi="Arial" w:cs="Arial"/>
        </w:rPr>
        <w:t xml:space="preserve"> (</w:t>
      </w:r>
      <w:r w:rsidR="009A4D78" w:rsidRPr="00F21387">
        <w:rPr>
          <w:rFonts w:ascii="Arial" w:hAnsi="Arial" w:cs="Arial"/>
          <w:color w:val="222222"/>
          <w:shd w:val="clear" w:color="auto" w:fill="FFFFFF"/>
        </w:rPr>
        <w:t>Jing et al., 2021)</w:t>
      </w:r>
      <w:r w:rsidRPr="00F21387">
        <w:rPr>
          <w:rFonts w:ascii="Arial" w:hAnsi="Arial" w:cs="Arial"/>
        </w:rPr>
        <w:t>. Some practical examples can be focused in the integration of social services in clinical setting to address different needs of older patients, mutual efforts in designing care plans and incorporation of community sources to improve the accessibility of required sources for elderly patients.</w:t>
      </w:r>
      <w:r w:rsidR="00D82FB0" w:rsidRPr="00F21387">
        <w:rPr>
          <w:rFonts w:ascii="Arial" w:hAnsi="Arial" w:cs="Arial"/>
        </w:rPr>
        <w:t xml:space="preserve"> </w:t>
      </w:r>
      <w:r w:rsidRPr="00F21387">
        <w:rPr>
          <w:rFonts w:ascii="Arial" w:hAnsi="Arial" w:cs="Arial"/>
        </w:rPr>
        <w:t xml:space="preserve"> </w:t>
      </w:r>
    </w:p>
    <w:p w14:paraId="199DB237" w14:textId="299EBA82" w:rsidR="0001477E" w:rsidRPr="00F21387" w:rsidRDefault="00E61627" w:rsidP="00F21387">
      <w:pPr>
        <w:pStyle w:val="ListParagraph"/>
        <w:numPr>
          <w:ilvl w:val="0"/>
          <w:numId w:val="6"/>
        </w:numPr>
        <w:spacing w:line="360" w:lineRule="auto"/>
        <w:jc w:val="both"/>
        <w:outlineLvl w:val="0"/>
        <w:rPr>
          <w:rFonts w:ascii="Arial" w:hAnsi="Arial" w:cs="Arial"/>
          <w:b/>
          <w:bCs/>
        </w:rPr>
      </w:pPr>
      <w:bookmarkStart w:id="6" w:name="_Toc221137818"/>
      <w:r w:rsidRPr="00F21387">
        <w:rPr>
          <w:rFonts w:ascii="Arial" w:hAnsi="Arial" w:cs="Arial"/>
          <w:b/>
          <w:bCs/>
        </w:rPr>
        <w:t>R</w:t>
      </w:r>
      <w:r w:rsidR="0001477E" w:rsidRPr="00F21387">
        <w:rPr>
          <w:rFonts w:ascii="Arial" w:hAnsi="Arial" w:cs="Arial"/>
          <w:b/>
          <w:bCs/>
        </w:rPr>
        <w:t>elevant policy and legislation in relation to PCC and PW.</w:t>
      </w:r>
      <w:bookmarkEnd w:id="6"/>
      <w:r w:rsidR="0001477E" w:rsidRPr="00F21387">
        <w:rPr>
          <w:rFonts w:ascii="Arial" w:hAnsi="Arial" w:cs="Arial"/>
          <w:b/>
          <w:bCs/>
        </w:rPr>
        <w:t xml:space="preserve"> </w:t>
      </w:r>
    </w:p>
    <w:p w14:paraId="49C37F83" w14:textId="3E1FA2A1" w:rsidR="00312581" w:rsidRPr="00F21387" w:rsidRDefault="00312581" w:rsidP="00F21387">
      <w:pPr>
        <w:spacing w:line="360" w:lineRule="auto"/>
        <w:jc w:val="both"/>
        <w:rPr>
          <w:rFonts w:ascii="Arial" w:hAnsi="Arial" w:cs="Arial"/>
        </w:rPr>
      </w:pPr>
      <w:r w:rsidRPr="00F21387">
        <w:rPr>
          <w:rFonts w:ascii="Arial" w:hAnsi="Arial" w:cs="Arial"/>
        </w:rPr>
        <w:t>The UK government has defined clear policies and legislation that align with PCC and partnership working in HSC. Some of these policies and legislations are listed below:</w:t>
      </w:r>
    </w:p>
    <w:p w14:paraId="73BE3010" w14:textId="7E9EEA55" w:rsidR="001139BC" w:rsidRPr="00F21387" w:rsidRDefault="001139BC" w:rsidP="00F21387">
      <w:pPr>
        <w:pStyle w:val="ListParagraph"/>
        <w:numPr>
          <w:ilvl w:val="1"/>
          <w:numId w:val="6"/>
        </w:numPr>
        <w:spacing w:line="360" w:lineRule="auto"/>
        <w:jc w:val="both"/>
        <w:rPr>
          <w:rFonts w:ascii="Arial" w:hAnsi="Arial" w:cs="Arial"/>
          <w:b/>
          <w:bCs/>
        </w:rPr>
      </w:pPr>
      <w:r w:rsidRPr="00F21387">
        <w:rPr>
          <w:rFonts w:ascii="Arial" w:hAnsi="Arial" w:cs="Arial"/>
          <w:b/>
          <w:bCs/>
        </w:rPr>
        <w:t>Equality Act 2010</w:t>
      </w:r>
    </w:p>
    <w:p w14:paraId="5EAED214" w14:textId="33CD4F92" w:rsidR="001139BC" w:rsidRPr="00F21387" w:rsidRDefault="001139BC" w:rsidP="00F21387">
      <w:pPr>
        <w:spacing w:line="360" w:lineRule="auto"/>
        <w:jc w:val="both"/>
        <w:rPr>
          <w:rFonts w:ascii="Arial" w:hAnsi="Arial" w:cs="Arial"/>
        </w:rPr>
      </w:pPr>
      <w:r w:rsidRPr="00F21387">
        <w:rPr>
          <w:rFonts w:ascii="Arial" w:hAnsi="Arial" w:cs="Arial"/>
        </w:rPr>
        <w:t>The Equality Act 2010 encourages PCC and partnership working by providing fair access to services to everyone and discouraging acts of discrimination in the accessibility and provision of services based on protected characteristics of service users</w:t>
      </w:r>
      <w:r w:rsidR="00B56D4D" w:rsidRPr="00F21387">
        <w:rPr>
          <w:rFonts w:ascii="Arial" w:hAnsi="Arial" w:cs="Arial"/>
        </w:rPr>
        <w:t xml:space="preserve"> (</w:t>
      </w:r>
      <w:r w:rsidR="00B56D4D" w:rsidRPr="00F21387">
        <w:rPr>
          <w:rFonts w:ascii="Arial" w:hAnsi="Arial" w:cs="Arial"/>
          <w:color w:val="222222"/>
          <w:shd w:val="clear" w:color="auto" w:fill="FFFFFF"/>
        </w:rPr>
        <w:t>GOV.UK, 2026).</w:t>
      </w:r>
      <w:r w:rsidRPr="00F21387">
        <w:rPr>
          <w:rFonts w:ascii="Arial" w:hAnsi="Arial" w:cs="Arial"/>
        </w:rPr>
        <w:t xml:space="preserve"> Its application in HSC enables professionals to personalise care services by acknowledging diversity in preferences and subjective requirements of service users. </w:t>
      </w:r>
    </w:p>
    <w:p w14:paraId="6B1E56A2" w14:textId="067160DB" w:rsidR="00E0446D" w:rsidRPr="00F21387" w:rsidRDefault="00E0446D" w:rsidP="00F21387">
      <w:pPr>
        <w:pStyle w:val="ListParagraph"/>
        <w:numPr>
          <w:ilvl w:val="1"/>
          <w:numId w:val="6"/>
        </w:numPr>
        <w:spacing w:line="360" w:lineRule="auto"/>
        <w:jc w:val="both"/>
        <w:rPr>
          <w:rFonts w:ascii="Arial" w:hAnsi="Arial" w:cs="Arial"/>
          <w:b/>
          <w:bCs/>
        </w:rPr>
      </w:pPr>
      <w:r w:rsidRPr="00F21387">
        <w:rPr>
          <w:rFonts w:ascii="Arial" w:hAnsi="Arial" w:cs="Arial"/>
          <w:b/>
          <w:bCs/>
        </w:rPr>
        <w:t>Health and Social Care Act 2012</w:t>
      </w:r>
    </w:p>
    <w:p w14:paraId="74B8A852" w14:textId="2ABDF879" w:rsidR="00E0446D" w:rsidRPr="00F21387" w:rsidRDefault="00E0446D" w:rsidP="00F21387">
      <w:pPr>
        <w:spacing w:line="360" w:lineRule="auto"/>
        <w:jc w:val="both"/>
        <w:rPr>
          <w:rFonts w:ascii="Arial" w:hAnsi="Arial" w:cs="Arial"/>
        </w:rPr>
      </w:pPr>
      <w:r w:rsidRPr="00F21387">
        <w:rPr>
          <w:rFonts w:ascii="Arial" w:hAnsi="Arial" w:cs="Arial"/>
        </w:rPr>
        <w:t xml:space="preserve">The HSC Act 2012 redefined NHS to improve efficient of care facilities by encouraging collaborative working among professionals to provide coordinated care with improved quality of services to service users. </w:t>
      </w:r>
    </w:p>
    <w:p w14:paraId="3655BE26" w14:textId="09996AF9" w:rsidR="00085B30" w:rsidRPr="00F21387" w:rsidRDefault="00085B30" w:rsidP="00F21387">
      <w:pPr>
        <w:pStyle w:val="ListParagraph"/>
        <w:numPr>
          <w:ilvl w:val="1"/>
          <w:numId w:val="6"/>
        </w:numPr>
        <w:spacing w:line="360" w:lineRule="auto"/>
        <w:jc w:val="both"/>
        <w:rPr>
          <w:rFonts w:ascii="Arial" w:hAnsi="Arial" w:cs="Arial"/>
          <w:b/>
          <w:bCs/>
        </w:rPr>
      </w:pPr>
      <w:r w:rsidRPr="00F21387">
        <w:rPr>
          <w:rFonts w:ascii="Arial" w:hAnsi="Arial" w:cs="Arial"/>
          <w:b/>
          <w:bCs/>
        </w:rPr>
        <w:t>Care Act 2014</w:t>
      </w:r>
    </w:p>
    <w:p w14:paraId="31A70A8E" w14:textId="4FFD5720" w:rsidR="00864CCC" w:rsidRPr="00F21387" w:rsidRDefault="00864CCC" w:rsidP="00F21387">
      <w:pPr>
        <w:spacing w:line="360" w:lineRule="auto"/>
        <w:jc w:val="both"/>
        <w:rPr>
          <w:rFonts w:ascii="Arial" w:hAnsi="Arial" w:cs="Arial"/>
        </w:rPr>
      </w:pPr>
      <w:r w:rsidRPr="00F21387">
        <w:rPr>
          <w:rFonts w:ascii="Arial" w:hAnsi="Arial" w:cs="Arial"/>
        </w:rPr>
        <w:t>This act is designed to place the wellbeing of people at the hearth of health and social care service. The Care Act 2014 promotes PCC by encouraging care experts to involve patients in decisions regarding their treatment and personalised treatment as per diverse needs and preferences of service users</w:t>
      </w:r>
      <w:r w:rsidR="003A681B" w:rsidRPr="00F21387">
        <w:rPr>
          <w:rFonts w:ascii="Arial" w:hAnsi="Arial" w:cs="Arial"/>
        </w:rPr>
        <w:t xml:space="preserve"> (</w:t>
      </w:r>
      <w:r w:rsidR="003A681B" w:rsidRPr="00F21387">
        <w:rPr>
          <w:rFonts w:ascii="Arial" w:hAnsi="Arial" w:cs="Arial"/>
          <w:color w:val="222222"/>
          <w:shd w:val="clear" w:color="auto" w:fill="FFFFFF"/>
        </w:rPr>
        <w:t>GOV.UK, 2026).</w:t>
      </w:r>
    </w:p>
    <w:p w14:paraId="133477CD" w14:textId="1D012D8A" w:rsidR="00EB6A97" w:rsidRPr="00F21387" w:rsidRDefault="00EB6A97" w:rsidP="00F21387">
      <w:pPr>
        <w:spacing w:line="360" w:lineRule="auto"/>
        <w:jc w:val="both"/>
        <w:rPr>
          <w:rFonts w:ascii="Arial" w:hAnsi="Arial" w:cs="Arial"/>
        </w:rPr>
      </w:pPr>
      <w:r w:rsidRPr="00F21387">
        <w:rPr>
          <w:rFonts w:ascii="Arial" w:hAnsi="Arial" w:cs="Arial"/>
        </w:rPr>
        <w:t xml:space="preserve">A few policies are also designed by the UK government to ensure the provision of standard PCC and partnership in care services to service users. </w:t>
      </w:r>
    </w:p>
    <w:p w14:paraId="513CB9B5" w14:textId="6A5DBA42" w:rsidR="00F9636A" w:rsidRPr="00F21387" w:rsidRDefault="00F9636A" w:rsidP="00F21387">
      <w:pPr>
        <w:pStyle w:val="ListParagraph"/>
        <w:numPr>
          <w:ilvl w:val="1"/>
          <w:numId w:val="6"/>
        </w:numPr>
        <w:spacing w:line="360" w:lineRule="auto"/>
        <w:jc w:val="both"/>
        <w:rPr>
          <w:rFonts w:ascii="Arial" w:hAnsi="Arial" w:cs="Arial"/>
          <w:b/>
          <w:bCs/>
        </w:rPr>
      </w:pPr>
      <w:r w:rsidRPr="00F21387">
        <w:rPr>
          <w:rFonts w:ascii="Arial" w:hAnsi="Arial" w:cs="Arial"/>
          <w:b/>
          <w:bCs/>
        </w:rPr>
        <w:t>NHS Long term plan</w:t>
      </w:r>
    </w:p>
    <w:p w14:paraId="52679E8F" w14:textId="7E686B09" w:rsidR="00F9636A" w:rsidRPr="00F21387" w:rsidRDefault="00F9636A" w:rsidP="00F21387">
      <w:pPr>
        <w:spacing w:line="360" w:lineRule="auto"/>
        <w:jc w:val="both"/>
        <w:rPr>
          <w:rFonts w:ascii="Arial" w:hAnsi="Arial" w:cs="Arial"/>
        </w:rPr>
      </w:pPr>
      <w:r w:rsidRPr="00F21387">
        <w:rPr>
          <w:rFonts w:ascii="Arial" w:hAnsi="Arial" w:cs="Arial"/>
        </w:rPr>
        <w:t xml:space="preserve">This plan is designed to focus on integrated care provision by personalising support for improved patient outcomes and </w:t>
      </w:r>
      <w:r w:rsidR="0066334D" w:rsidRPr="00F21387">
        <w:rPr>
          <w:rFonts w:ascii="Arial" w:hAnsi="Arial" w:cs="Arial"/>
        </w:rPr>
        <w:t>minimising</w:t>
      </w:r>
      <w:r w:rsidRPr="00F21387">
        <w:rPr>
          <w:rFonts w:ascii="Arial" w:hAnsi="Arial" w:cs="Arial"/>
        </w:rPr>
        <w:t xml:space="preserve"> pressure on healthcare facilities through transparent communication and an active involvement of patients in the care </w:t>
      </w:r>
      <w:r w:rsidR="002702E6" w:rsidRPr="00F21387">
        <w:rPr>
          <w:rFonts w:ascii="Arial" w:hAnsi="Arial" w:cs="Arial"/>
        </w:rPr>
        <w:t>process (</w:t>
      </w:r>
      <w:r w:rsidR="002702E6" w:rsidRPr="00F21387">
        <w:rPr>
          <w:rFonts w:ascii="Arial" w:hAnsi="Arial" w:cs="Arial"/>
          <w:color w:val="222222"/>
          <w:shd w:val="clear" w:color="auto" w:fill="FFFFFF"/>
        </w:rPr>
        <w:t>NHS England, 2019).</w:t>
      </w:r>
    </w:p>
    <w:p w14:paraId="626D8535" w14:textId="709D0319" w:rsidR="00552331" w:rsidRPr="00F21387" w:rsidRDefault="00552331" w:rsidP="00F21387">
      <w:pPr>
        <w:pStyle w:val="ListParagraph"/>
        <w:numPr>
          <w:ilvl w:val="1"/>
          <w:numId w:val="6"/>
        </w:numPr>
        <w:spacing w:line="360" w:lineRule="auto"/>
        <w:jc w:val="both"/>
        <w:rPr>
          <w:rFonts w:ascii="Arial" w:hAnsi="Arial" w:cs="Arial"/>
          <w:b/>
          <w:bCs/>
        </w:rPr>
      </w:pPr>
      <w:r w:rsidRPr="00F21387">
        <w:rPr>
          <w:rFonts w:ascii="Arial" w:hAnsi="Arial" w:cs="Arial"/>
          <w:b/>
          <w:bCs/>
        </w:rPr>
        <w:t>NICE guidelines</w:t>
      </w:r>
    </w:p>
    <w:p w14:paraId="1CE71381" w14:textId="6F8D38E0" w:rsidR="00552331" w:rsidRPr="00F21387" w:rsidRDefault="00552331" w:rsidP="00F21387">
      <w:pPr>
        <w:spacing w:line="360" w:lineRule="auto"/>
        <w:jc w:val="both"/>
        <w:rPr>
          <w:rFonts w:ascii="Arial" w:hAnsi="Arial" w:cs="Arial"/>
        </w:rPr>
      </w:pPr>
      <w:r w:rsidRPr="00F21387">
        <w:rPr>
          <w:rFonts w:ascii="Arial" w:hAnsi="Arial" w:cs="Arial"/>
        </w:rPr>
        <w:t xml:space="preserve">These guidelines are designed to offer evidence-based recommendations to care providers to improve the outcomes of HSC practices and ensure the provision of safe, person-centred and high-quality care to service users. </w:t>
      </w:r>
    </w:p>
    <w:p w14:paraId="17CBD62C" w14:textId="0300DEC1" w:rsidR="00825C1C" w:rsidRPr="00F21387" w:rsidRDefault="00825C1C" w:rsidP="00F21387">
      <w:pPr>
        <w:pStyle w:val="ListParagraph"/>
        <w:numPr>
          <w:ilvl w:val="1"/>
          <w:numId w:val="6"/>
        </w:numPr>
        <w:spacing w:line="360" w:lineRule="auto"/>
        <w:jc w:val="both"/>
        <w:rPr>
          <w:rFonts w:ascii="Arial" w:hAnsi="Arial" w:cs="Arial"/>
          <w:b/>
          <w:bCs/>
        </w:rPr>
      </w:pPr>
      <w:r w:rsidRPr="00F21387">
        <w:rPr>
          <w:rFonts w:ascii="Arial" w:hAnsi="Arial" w:cs="Arial"/>
          <w:b/>
          <w:bCs/>
        </w:rPr>
        <w:t>Fundamental standards by CQC</w:t>
      </w:r>
    </w:p>
    <w:p w14:paraId="5295F85C" w14:textId="334499FB" w:rsidR="00825C1C" w:rsidRPr="00F21387" w:rsidRDefault="00825C1C" w:rsidP="00F21387">
      <w:pPr>
        <w:spacing w:line="360" w:lineRule="auto"/>
        <w:jc w:val="both"/>
        <w:rPr>
          <w:rFonts w:ascii="Arial" w:hAnsi="Arial" w:cs="Arial"/>
        </w:rPr>
      </w:pPr>
      <w:r w:rsidRPr="00F21387">
        <w:rPr>
          <w:rFonts w:ascii="Arial" w:hAnsi="Arial" w:cs="Arial"/>
        </w:rPr>
        <w:t>The care quality commission (CQC) standards are designed to set benchmark for high quality and service care facilities that ensure the provision of safe and high-quality services while maintaining the dignity and respect of service users</w:t>
      </w:r>
      <w:r w:rsidR="006A488F" w:rsidRPr="00F21387">
        <w:rPr>
          <w:rFonts w:ascii="Arial" w:hAnsi="Arial" w:cs="Arial"/>
        </w:rPr>
        <w:t xml:space="preserve"> (</w:t>
      </w:r>
      <w:r w:rsidR="006A488F" w:rsidRPr="00F21387">
        <w:rPr>
          <w:rFonts w:ascii="Arial" w:hAnsi="Arial" w:cs="Arial"/>
          <w:color w:val="222222"/>
          <w:shd w:val="clear" w:color="auto" w:fill="FFFFFF"/>
        </w:rPr>
        <w:t>Care Quality Commission, 2025).</w:t>
      </w:r>
    </w:p>
    <w:p w14:paraId="27BE7C66" w14:textId="60E33F32" w:rsidR="00E61627" w:rsidRPr="00F21387" w:rsidRDefault="00E61627" w:rsidP="00F21387">
      <w:pPr>
        <w:pStyle w:val="ListParagraph"/>
        <w:numPr>
          <w:ilvl w:val="0"/>
          <w:numId w:val="6"/>
        </w:numPr>
        <w:spacing w:line="360" w:lineRule="auto"/>
        <w:jc w:val="both"/>
        <w:outlineLvl w:val="0"/>
        <w:rPr>
          <w:rFonts w:ascii="Arial" w:hAnsi="Arial" w:cs="Arial"/>
          <w:b/>
          <w:bCs/>
        </w:rPr>
      </w:pPr>
      <w:bookmarkStart w:id="7" w:name="_Toc221137819"/>
      <w:r w:rsidRPr="00F21387">
        <w:rPr>
          <w:rFonts w:ascii="Arial" w:hAnsi="Arial" w:cs="Arial"/>
          <w:b/>
          <w:bCs/>
        </w:rPr>
        <w:t>Recommendations for future development of PCC and partnership working in the UK</w:t>
      </w:r>
      <w:bookmarkEnd w:id="7"/>
    </w:p>
    <w:p w14:paraId="08FC5023" w14:textId="75CA6A0A" w:rsidR="00E61627" w:rsidRPr="00F21387" w:rsidRDefault="00E61627" w:rsidP="00F21387">
      <w:pPr>
        <w:spacing w:line="360" w:lineRule="auto"/>
        <w:jc w:val="both"/>
        <w:rPr>
          <w:rFonts w:ascii="Arial" w:hAnsi="Arial" w:cs="Arial"/>
        </w:rPr>
      </w:pPr>
      <w:r w:rsidRPr="00F21387">
        <w:rPr>
          <w:rFonts w:ascii="Arial" w:hAnsi="Arial" w:cs="Arial"/>
        </w:rPr>
        <w:t xml:space="preserve">The following recommendations can be incorporated by HSC organisations and professionals to improve the provision and accessibility of PCC and partnership working to all service users. </w:t>
      </w:r>
    </w:p>
    <w:p w14:paraId="71530474" w14:textId="5AD5611C" w:rsidR="000E5E32" w:rsidRPr="00F21387" w:rsidRDefault="000E5E32" w:rsidP="00F21387">
      <w:pPr>
        <w:spacing w:line="360" w:lineRule="auto"/>
        <w:jc w:val="both"/>
        <w:rPr>
          <w:rFonts w:ascii="Arial" w:hAnsi="Arial" w:cs="Arial"/>
        </w:rPr>
      </w:pPr>
      <w:r w:rsidRPr="00F21387">
        <w:rPr>
          <w:rFonts w:ascii="Arial" w:hAnsi="Arial" w:cs="Arial"/>
        </w:rPr>
        <w:t xml:space="preserve">First and foremost is investment in the improvement of workforce capacity. The UK government should introduce skill development programs for HSC graduates to improve their skills and </w:t>
      </w:r>
      <w:r w:rsidR="00660354" w:rsidRPr="00F21387">
        <w:rPr>
          <w:rFonts w:ascii="Arial" w:hAnsi="Arial" w:cs="Arial"/>
        </w:rPr>
        <w:t>understanding of diverse needs of service users</w:t>
      </w:r>
      <w:r w:rsidR="004304A8" w:rsidRPr="00F21387">
        <w:rPr>
          <w:rFonts w:ascii="Arial" w:hAnsi="Arial" w:cs="Arial"/>
        </w:rPr>
        <w:t xml:space="preserve"> (</w:t>
      </w:r>
      <w:r w:rsidR="004304A8" w:rsidRPr="00F21387">
        <w:rPr>
          <w:rFonts w:ascii="Arial" w:hAnsi="Arial" w:cs="Arial"/>
          <w:color w:val="222222"/>
          <w:shd w:val="clear" w:color="auto" w:fill="FFFFFF"/>
        </w:rPr>
        <w:t>Patel et al., 2018).</w:t>
      </w:r>
    </w:p>
    <w:p w14:paraId="4C70643E" w14:textId="3B0ECDEF" w:rsidR="00660354" w:rsidRPr="00F21387" w:rsidRDefault="00660354" w:rsidP="00F21387">
      <w:pPr>
        <w:spacing w:line="360" w:lineRule="auto"/>
        <w:jc w:val="both"/>
        <w:rPr>
          <w:rFonts w:ascii="Arial" w:hAnsi="Arial" w:cs="Arial"/>
        </w:rPr>
      </w:pPr>
      <w:r w:rsidRPr="00F21387">
        <w:rPr>
          <w:rFonts w:ascii="Arial" w:hAnsi="Arial" w:cs="Arial"/>
        </w:rPr>
        <w:t>Secondly, the UK government and local NGOs should also establish programs for improved funding of HSC organisations to improve their capacity and enable them to offer PCC to all service users through collaboration with experts in different fields</w:t>
      </w:r>
      <w:r w:rsidR="00265C60" w:rsidRPr="00F21387">
        <w:rPr>
          <w:rFonts w:ascii="Arial" w:hAnsi="Arial" w:cs="Arial"/>
        </w:rPr>
        <w:t xml:space="preserve"> (</w:t>
      </w:r>
      <w:r w:rsidR="00265C60" w:rsidRPr="00F21387">
        <w:rPr>
          <w:rFonts w:ascii="Arial" w:hAnsi="Arial" w:cs="Arial"/>
          <w:color w:val="222222"/>
          <w:shd w:val="clear" w:color="auto" w:fill="FFFFFF"/>
        </w:rPr>
        <w:t>Brundtland, 2022).</w:t>
      </w:r>
    </w:p>
    <w:p w14:paraId="5DE82380" w14:textId="519522B2" w:rsidR="00B01BCE" w:rsidRPr="00F21387" w:rsidRDefault="00B01BCE" w:rsidP="00F21387">
      <w:pPr>
        <w:spacing w:line="360" w:lineRule="auto"/>
        <w:jc w:val="both"/>
        <w:rPr>
          <w:rFonts w:ascii="Arial" w:hAnsi="Arial" w:cs="Arial"/>
        </w:rPr>
      </w:pPr>
      <w:r w:rsidRPr="00F21387">
        <w:rPr>
          <w:rFonts w:ascii="Arial" w:hAnsi="Arial" w:cs="Arial"/>
        </w:rPr>
        <w:t>Thirdly, digital records must be maintaining and utilised to evaluate patterns in preferences of service users and implement large scale programs designed specifically with consideration to diversity in the requirements and preferences of service users</w:t>
      </w:r>
      <w:r w:rsidR="00C940DF" w:rsidRPr="00F21387">
        <w:rPr>
          <w:rFonts w:ascii="Arial" w:hAnsi="Arial" w:cs="Arial"/>
        </w:rPr>
        <w:t xml:space="preserve"> (</w:t>
      </w:r>
      <w:r w:rsidR="00C940DF" w:rsidRPr="00F21387">
        <w:rPr>
          <w:rFonts w:ascii="Arial" w:hAnsi="Arial" w:cs="Arial"/>
          <w:color w:val="222222"/>
          <w:shd w:val="clear" w:color="auto" w:fill="FFFFFF"/>
        </w:rPr>
        <w:t>Brands et al., 2022).</w:t>
      </w:r>
    </w:p>
    <w:p w14:paraId="2D67516F" w14:textId="2268BF98" w:rsidR="00C37235" w:rsidRPr="00F21387" w:rsidRDefault="00C37235" w:rsidP="00F21387">
      <w:pPr>
        <w:spacing w:line="360" w:lineRule="auto"/>
        <w:jc w:val="both"/>
        <w:rPr>
          <w:rFonts w:ascii="Arial" w:hAnsi="Arial" w:cs="Arial"/>
        </w:rPr>
      </w:pPr>
      <w:r w:rsidRPr="00F21387">
        <w:rPr>
          <w:rFonts w:ascii="Arial" w:hAnsi="Arial" w:cs="Arial"/>
        </w:rPr>
        <w:t>Fourthly, HSC organisations should encourage care experts to increase the involvement of service users in treatment-related decisions</w:t>
      </w:r>
      <w:r w:rsidR="00B81C60" w:rsidRPr="00F21387">
        <w:rPr>
          <w:rFonts w:ascii="Arial" w:hAnsi="Arial" w:cs="Arial"/>
        </w:rPr>
        <w:t xml:space="preserve"> (</w:t>
      </w:r>
      <w:r w:rsidR="00B81C60" w:rsidRPr="00F21387">
        <w:rPr>
          <w:rFonts w:ascii="Arial" w:hAnsi="Arial" w:cs="Arial"/>
          <w:color w:val="222222"/>
          <w:shd w:val="clear" w:color="auto" w:fill="FFFFFF"/>
        </w:rPr>
        <w:t>Liang et al., 2022)</w:t>
      </w:r>
      <w:r w:rsidRPr="00F21387">
        <w:rPr>
          <w:rFonts w:ascii="Arial" w:hAnsi="Arial" w:cs="Arial"/>
        </w:rPr>
        <w:t xml:space="preserve">. This aspect will improve autonomy of patients, improve their confidence on services and also provide a better understanding of their requirements to care providers. </w:t>
      </w:r>
    </w:p>
    <w:p w14:paraId="074D3629" w14:textId="02C65B79" w:rsidR="00C37235" w:rsidRPr="00F21387" w:rsidRDefault="00C37235" w:rsidP="00F21387">
      <w:pPr>
        <w:spacing w:line="360" w:lineRule="auto"/>
        <w:jc w:val="both"/>
        <w:rPr>
          <w:rFonts w:ascii="Arial" w:hAnsi="Arial" w:cs="Arial"/>
        </w:rPr>
      </w:pPr>
      <w:r w:rsidRPr="00F21387">
        <w:rPr>
          <w:rFonts w:ascii="Arial" w:hAnsi="Arial" w:cs="Arial"/>
        </w:rPr>
        <w:t>Lastly, strategies must be designed to promote interprofessional communication in the form of communities and digital groups where experts working in different fields relevant to HSC can collaborate and discuss treatment plans for personalised support and integration of partnership working in the provision of services</w:t>
      </w:r>
      <w:r w:rsidR="00D90061" w:rsidRPr="00F21387">
        <w:rPr>
          <w:rFonts w:ascii="Arial" w:hAnsi="Arial" w:cs="Arial"/>
        </w:rPr>
        <w:t xml:space="preserve"> (</w:t>
      </w:r>
      <w:r w:rsidR="00D90061" w:rsidRPr="00F21387">
        <w:rPr>
          <w:rFonts w:ascii="Arial" w:hAnsi="Arial" w:cs="Arial"/>
          <w:color w:val="222222"/>
          <w:shd w:val="clear" w:color="auto" w:fill="FFFFFF"/>
        </w:rPr>
        <w:t xml:space="preserve">Bosch and Mansell, 2015). </w:t>
      </w:r>
    </w:p>
    <w:p w14:paraId="44766577" w14:textId="6220348A" w:rsidR="00E61754" w:rsidRPr="00F21387" w:rsidRDefault="00E61754" w:rsidP="00F21387">
      <w:pPr>
        <w:pStyle w:val="ListParagraph"/>
        <w:numPr>
          <w:ilvl w:val="0"/>
          <w:numId w:val="6"/>
        </w:numPr>
        <w:spacing w:line="360" w:lineRule="auto"/>
        <w:jc w:val="both"/>
        <w:outlineLvl w:val="0"/>
        <w:rPr>
          <w:rFonts w:ascii="Arial" w:hAnsi="Arial" w:cs="Arial"/>
          <w:b/>
          <w:bCs/>
        </w:rPr>
      </w:pPr>
      <w:bookmarkStart w:id="8" w:name="_Toc221137820"/>
      <w:r w:rsidRPr="00F21387">
        <w:rPr>
          <w:rFonts w:ascii="Arial" w:hAnsi="Arial" w:cs="Arial"/>
          <w:b/>
          <w:bCs/>
        </w:rPr>
        <w:t>Conclusion</w:t>
      </w:r>
      <w:bookmarkEnd w:id="8"/>
    </w:p>
    <w:p w14:paraId="49877606" w14:textId="3A37ADA5" w:rsidR="00E61754" w:rsidRPr="00F21387" w:rsidRDefault="00891E3B" w:rsidP="00F21387">
      <w:pPr>
        <w:spacing w:line="360" w:lineRule="auto"/>
        <w:jc w:val="both"/>
        <w:rPr>
          <w:rFonts w:ascii="Arial" w:hAnsi="Arial" w:cs="Arial"/>
        </w:rPr>
      </w:pPr>
      <w:r w:rsidRPr="00F21387">
        <w:rPr>
          <w:rFonts w:ascii="Arial" w:hAnsi="Arial" w:cs="Arial"/>
        </w:rPr>
        <w:t xml:space="preserve">The report aimed to evaluate the significance and role of PCC and partnership working in HSC environment. The report provided a brief description of PCC along with a critical evaluation of its benefits and limitations. Person-centred approach by Carl Rogers was incorporated as a framework relevant to PCC in HSC. The report discussed ethical fundamentals of HSC and provided an evaluation of partnership working in HSC specifically focusing on partnership working in elderly care. In addition to this, relevant legislations and policies for partnership working and PCC were discussed and lastly, evidence-based recommendations were provided for an improved integration of PCC and partnership working in health and social care in the </w:t>
      </w:r>
      <w:r w:rsidR="003828BE" w:rsidRPr="00F21387">
        <w:rPr>
          <w:rFonts w:ascii="Arial" w:hAnsi="Arial" w:cs="Arial"/>
        </w:rPr>
        <w:t>future</w:t>
      </w:r>
      <w:r w:rsidRPr="00F21387">
        <w:rPr>
          <w:rFonts w:ascii="Arial" w:hAnsi="Arial" w:cs="Arial"/>
        </w:rPr>
        <w:t xml:space="preserve">. </w:t>
      </w:r>
    </w:p>
    <w:p w14:paraId="62C6C8AC" w14:textId="650AC853" w:rsidR="00F21387" w:rsidRPr="00F21387" w:rsidRDefault="00F21387" w:rsidP="00F21387">
      <w:pPr>
        <w:spacing w:line="360" w:lineRule="auto"/>
        <w:jc w:val="both"/>
        <w:rPr>
          <w:rFonts w:ascii="Arial" w:hAnsi="Arial" w:cs="Arial"/>
          <w:b/>
          <w:bCs/>
        </w:rPr>
      </w:pPr>
      <w:r w:rsidRPr="00F21387">
        <w:rPr>
          <w:rFonts w:ascii="Arial" w:hAnsi="Arial" w:cs="Arial"/>
          <w:b/>
          <w:bCs/>
        </w:rPr>
        <w:br w:type="page"/>
      </w:r>
    </w:p>
    <w:p w14:paraId="69B3FBF4" w14:textId="5FB026D2" w:rsidR="0001477E" w:rsidRPr="00F21387" w:rsidRDefault="00F21387" w:rsidP="00F21387">
      <w:pPr>
        <w:pStyle w:val="Heading1"/>
        <w:spacing w:line="360" w:lineRule="auto"/>
        <w:jc w:val="both"/>
        <w:rPr>
          <w:rFonts w:ascii="Arial" w:hAnsi="Arial" w:cs="Arial"/>
          <w:b/>
          <w:bCs/>
          <w:sz w:val="22"/>
          <w:szCs w:val="22"/>
        </w:rPr>
      </w:pPr>
      <w:bookmarkStart w:id="9" w:name="_Toc221137821"/>
      <w:r w:rsidRPr="00F21387">
        <w:rPr>
          <w:rFonts w:ascii="Arial" w:hAnsi="Arial" w:cs="Arial"/>
          <w:b/>
          <w:bCs/>
          <w:sz w:val="22"/>
          <w:szCs w:val="22"/>
        </w:rPr>
        <w:t>References</w:t>
      </w:r>
      <w:bookmarkEnd w:id="9"/>
    </w:p>
    <w:p w14:paraId="4D33D148"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Bosch, B. and Mansell, H. (2015). Interprofessional Collaboration in Health Care. </w:t>
      </w:r>
      <w:r w:rsidRPr="00F21387">
        <w:rPr>
          <w:rFonts w:ascii="Arial" w:eastAsia="Times New Roman" w:hAnsi="Arial" w:cs="Arial"/>
          <w:i/>
          <w:iCs/>
          <w:color w:val="222222"/>
          <w:kern w:val="0"/>
          <w:shd w:val="clear" w:color="auto" w:fill="FFFFFF"/>
          <w:lang w:val="en-US"/>
          <w14:ligatures w14:val="none"/>
        </w:rPr>
        <w:t xml:space="preserve">Canadian Pharmacists Journal </w:t>
      </w:r>
      <w:r w:rsidRPr="00F21387">
        <w:rPr>
          <w:rFonts w:ascii="Arial" w:eastAsia="Times New Roman" w:hAnsi="Arial" w:cs="Arial"/>
          <w:color w:val="222222"/>
          <w:kern w:val="0"/>
          <w:shd w:val="clear" w:color="auto" w:fill="FFFFFF"/>
          <w:lang w:val="en-US"/>
          <w14:ligatures w14:val="none"/>
        </w:rPr>
        <w:t xml:space="preserve">, 148(4), pp.176–179. </w:t>
      </w:r>
      <w:proofErr w:type="spellStart"/>
      <w:r w:rsidRPr="00F21387">
        <w:rPr>
          <w:rFonts w:ascii="Arial" w:eastAsia="Times New Roman" w:hAnsi="Arial" w:cs="Arial"/>
          <w:color w:val="222222"/>
          <w:kern w:val="0"/>
          <w:shd w:val="clear" w:color="auto" w:fill="FFFFFF"/>
          <w:lang w:val="en-US"/>
          <w14:ligatures w14:val="none"/>
        </w:rPr>
        <w:t>doi:</w:t>
      </w:r>
      <w:hyperlink r:id="rId8"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://doi.org/10.1177/1715163515588106</w:t>
        </w:r>
      </w:hyperlink>
      <w:r w:rsidRPr="00F21387">
        <w:rPr>
          <w:rFonts w:ascii="Arial" w:eastAsia="Times New Roman" w:hAnsi="Arial" w:cs="Arial"/>
          <w:color w:val="222222"/>
          <w:kern w:val="0"/>
          <w:shd w:val="clear" w:color="auto" w:fill="FFFFFF"/>
          <w:lang w:val="en-US"/>
          <w14:ligatures w14:val="none"/>
        </w:rPr>
        <w:t>. </w:t>
      </w:r>
    </w:p>
    <w:p w14:paraId="57F09677"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Brands, M.R., </w:t>
      </w:r>
      <w:proofErr w:type="spellStart"/>
      <w:r w:rsidRPr="00F21387">
        <w:rPr>
          <w:rFonts w:ascii="Arial" w:eastAsia="Times New Roman" w:hAnsi="Arial" w:cs="Arial"/>
          <w:color w:val="222222"/>
          <w:kern w:val="0"/>
          <w:shd w:val="clear" w:color="auto" w:fill="FFFFFF"/>
          <w:lang w:val="en-US"/>
          <w14:ligatures w14:val="none"/>
        </w:rPr>
        <w:t>Gouw</w:t>
      </w:r>
      <w:proofErr w:type="spellEnd"/>
      <w:r w:rsidRPr="00F21387">
        <w:rPr>
          <w:rFonts w:ascii="Arial" w:eastAsia="Times New Roman" w:hAnsi="Arial" w:cs="Arial"/>
          <w:color w:val="222222"/>
          <w:kern w:val="0"/>
          <w:shd w:val="clear" w:color="auto" w:fill="FFFFFF"/>
          <w:lang w:val="en-US"/>
          <w14:ligatures w14:val="none"/>
        </w:rPr>
        <w:t xml:space="preserve">, S.C., </w:t>
      </w:r>
      <w:proofErr w:type="spellStart"/>
      <w:r w:rsidRPr="00F21387">
        <w:rPr>
          <w:rFonts w:ascii="Arial" w:eastAsia="Times New Roman" w:hAnsi="Arial" w:cs="Arial"/>
          <w:color w:val="222222"/>
          <w:kern w:val="0"/>
          <w:shd w:val="clear" w:color="auto" w:fill="FFFFFF"/>
          <w:lang w:val="en-US"/>
          <w14:ligatures w14:val="none"/>
        </w:rPr>
        <w:t>Beestrum</w:t>
      </w:r>
      <w:proofErr w:type="spellEnd"/>
      <w:r w:rsidRPr="00F21387">
        <w:rPr>
          <w:rFonts w:ascii="Arial" w:eastAsia="Times New Roman" w:hAnsi="Arial" w:cs="Arial"/>
          <w:color w:val="222222"/>
          <w:kern w:val="0"/>
          <w:shd w:val="clear" w:color="auto" w:fill="FFFFFF"/>
          <w:lang w:val="en-US"/>
          <w14:ligatures w14:val="none"/>
        </w:rPr>
        <w:t xml:space="preserve">, M., Cronin, R.M., </w:t>
      </w:r>
      <w:proofErr w:type="spellStart"/>
      <w:r w:rsidRPr="00F21387">
        <w:rPr>
          <w:rFonts w:ascii="Arial" w:eastAsia="Times New Roman" w:hAnsi="Arial" w:cs="Arial"/>
          <w:color w:val="222222"/>
          <w:kern w:val="0"/>
          <w:shd w:val="clear" w:color="auto" w:fill="FFFFFF"/>
          <w:lang w:val="en-US"/>
          <w14:ligatures w14:val="none"/>
        </w:rPr>
        <w:t>Fijnvandraat</w:t>
      </w:r>
      <w:proofErr w:type="spellEnd"/>
      <w:r w:rsidRPr="00F21387">
        <w:rPr>
          <w:rFonts w:ascii="Arial" w:eastAsia="Times New Roman" w:hAnsi="Arial" w:cs="Arial"/>
          <w:color w:val="222222"/>
          <w:kern w:val="0"/>
          <w:shd w:val="clear" w:color="auto" w:fill="FFFFFF"/>
          <w:lang w:val="en-US"/>
          <w14:ligatures w14:val="none"/>
        </w:rPr>
        <w:t xml:space="preserve">, K. and </w:t>
      </w:r>
      <w:proofErr w:type="spellStart"/>
      <w:r w:rsidRPr="00F21387">
        <w:rPr>
          <w:rFonts w:ascii="Arial" w:eastAsia="Times New Roman" w:hAnsi="Arial" w:cs="Arial"/>
          <w:color w:val="222222"/>
          <w:kern w:val="0"/>
          <w:shd w:val="clear" w:color="auto" w:fill="FFFFFF"/>
          <w:lang w:val="en-US"/>
          <w14:ligatures w14:val="none"/>
        </w:rPr>
        <w:t>Badawy</w:t>
      </w:r>
      <w:proofErr w:type="spellEnd"/>
      <w:r w:rsidRPr="00F21387">
        <w:rPr>
          <w:rFonts w:ascii="Arial" w:eastAsia="Times New Roman" w:hAnsi="Arial" w:cs="Arial"/>
          <w:color w:val="222222"/>
          <w:kern w:val="0"/>
          <w:shd w:val="clear" w:color="auto" w:fill="FFFFFF"/>
          <w:lang w:val="en-US"/>
          <w14:ligatures w14:val="none"/>
        </w:rPr>
        <w:t xml:space="preserve">, S.M. (2022). Patient-Centered Digital Health Records and Their Effects on Health Outcomes: Systematic Review. </w:t>
      </w:r>
      <w:r w:rsidRPr="00F21387">
        <w:rPr>
          <w:rFonts w:ascii="Arial" w:eastAsia="Times New Roman" w:hAnsi="Arial" w:cs="Arial"/>
          <w:i/>
          <w:iCs/>
          <w:color w:val="222222"/>
          <w:kern w:val="0"/>
          <w:shd w:val="clear" w:color="auto" w:fill="FFFFFF"/>
          <w:lang w:val="en-US"/>
          <w14:ligatures w14:val="none"/>
        </w:rPr>
        <w:t>Journal of Medical Internet Research</w:t>
      </w:r>
      <w:r w:rsidRPr="00F21387">
        <w:rPr>
          <w:rFonts w:ascii="Arial" w:eastAsia="Times New Roman" w:hAnsi="Arial" w:cs="Arial"/>
          <w:color w:val="222222"/>
          <w:kern w:val="0"/>
          <w:shd w:val="clear" w:color="auto" w:fill="FFFFFF"/>
          <w:lang w:val="en-US"/>
          <w14:ligatures w14:val="none"/>
        </w:rPr>
        <w:t xml:space="preserve">, 24(12). </w:t>
      </w:r>
      <w:proofErr w:type="spellStart"/>
      <w:r w:rsidRPr="00F21387">
        <w:rPr>
          <w:rFonts w:ascii="Arial" w:eastAsia="Times New Roman" w:hAnsi="Arial" w:cs="Arial"/>
          <w:color w:val="222222"/>
          <w:kern w:val="0"/>
          <w:shd w:val="clear" w:color="auto" w:fill="FFFFFF"/>
          <w:lang w:val="en-US"/>
          <w14:ligatures w14:val="none"/>
        </w:rPr>
        <w:t>doi:</w:t>
      </w:r>
      <w:hyperlink r:id="rId9"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://doi.org/10.2196/43086</w:t>
        </w:r>
      </w:hyperlink>
      <w:r w:rsidRPr="00F21387">
        <w:rPr>
          <w:rFonts w:ascii="Arial" w:eastAsia="Times New Roman" w:hAnsi="Arial" w:cs="Arial"/>
          <w:color w:val="222222"/>
          <w:kern w:val="0"/>
          <w:shd w:val="clear" w:color="auto" w:fill="FFFFFF"/>
          <w:lang w:val="en-US"/>
          <w14:ligatures w14:val="none"/>
        </w:rPr>
        <w:t>. </w:t>
      </w:r>
    </w:p>
    <w:p w14:paraId="43C92EDE"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Brundtland, G.H. (2022). Public financing for primary health care is the key to universal health coverage and strengthening health security. </w:t>
      </w:r>
      <w:r w:rsidRPr="00F21387">
        <w:rPr>
          <w:rFonts w:ascii="Arial" w:eastAsia="Times New Roman" w:hAnsi="Arial" w:cs="Arial"/>
          <w:i/>
          <w:iCs/>
          <w:color w:val="222222"/>
          <w:kern w:val="0"/>
          <w:shd w:val="clear" w:color="auto" w:fill="FFFFFF"/>
          <w:lang w:val="en-US"/>
          <w14:ligatures w14:val="none"/>
        </w:rPr>
        <w:t>The Lancet Global Health</w:t>
      </w:r>
      <w:r w:rsidRPr="00F21387">
        <w:rPr>
          <w:rFonts w:ascii="Arial" w:eastAsia="Times New Roman" w:hAnsi="Arial" w:cs="Arial"/>
          <w:color w:val="222222"/>
          <w:kern w:val="0"/>
          <w:shd w:val="clear" w:color="auto" w:fill="FFFFFF"/>
          <w:lang w:val="en-US"/>
          <w14:ligatures w14:val="none"/>
        </w:rPr>
        <w:t xml:space="preserve">, 10(5), </w:t>
      </w:r>
      <w:proofErr w:type="spellStart"/>
      <w:r w:rsidRPr="00F21387">
        <w:rPr>
          <w:rFonts w:ascii="Arial" w:eastAsia="Times New Roman" w:hAnsi="Arial" w:cs="Arial"/>
          <w:color w:val="222222"/>
          <w:kern w:val="0"/>
          <w:shd w:val="clear" w:color="auto" w:fill="FFFFFF"/>
          <w:lang w:val="en-US"/>
          <w14:ligatures w14:val="none"/>
        </w:rPr>
        <w:t>pp.e602</w:t>
      </w:r>
      <w:proofErr w:type="spellEnd"/>
      <w:r w:rsidRPr="00F21387">
        <w:rPr>
          <w:rFonts w:ascii="Arial" w:eastAsia="Times New Roman" w:hAnsi="Arial" w:cs="Arial"/>
          <w:color w:val="222222"/>
          <w:kern w:val="0"/>
          <w:shd w:val="clear" w:color="auto" w:fill="FFFFFF"/>
          <w:lang w:val="en-US"/>
          <w14:ligatures w14:val="none"/>
        </w:rPr>
        <w:t xml:space="preserve">–e603. </w:t>
      </w:r>
      <w:proofErr w:type="spellStart"/>
      <w:r w:rsidRPr="00F21387">
        <w:rPr>
          <w:rFonts w:ascii="Arial" w:eastAsia="Times New Roman" w:hAnsi="Arial" w:cs="Arial"/>
          <w:color w:val="222222"/>
          <w:kern w:val="0"/>
          <w:shd w:val="clear" w:color="auto" w:fill="FFFFFF"/>
          <w:lang w:val="en-US"/>
          <w14:ligatures w14:val="none"/>
        </w:rPr>
        <w:t>doi:</w:t>
      </w:r>
      <w:hyperlink r:id="rId10"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://doi.org/10.1016/s2214-109x(22)00166-8</w:t>
        </w:r>
      </w:hyperlink>
      <w:r w:rsidRPr="00F21387">
        <w:rPr>
          <w:rFonts w:ascii="Arial" w:eastAsia="Times New Roman" w:hAnsi="Arial" w:cs="Arial"/>
          <w:color w:val="222222"/>
          <w:kern w:val="0"/>
          <w:shd w:val="clear" w:color="auto" w:fill="FFFFFF"/>
          <w:lang w:val="en-US"/>
          <w14:ligatures w14:val="none"/>
        </w:rPr>
        <w:t>. </w:t>
      </w:r>
    </w:p>
    <w:p w14:paraId="1817DA1C"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Care Quality Commission (2025). </w:t>
      </w:r>
      <w:r w:rsidRPr="00F21387">
        <w:rPr>
          <w:rFonts w:ascii="Arial" w:eastAsia="Times New Roman" w:hAnsi="Arial" w:cs="Arial"/>
          <w:i/>
          <w:iCs/>
          <w:color w:val="222222"/>
          <w:kern w:val="0"/>
          <w:shd w:val="clear" w:color="auto" w:fill="FFFFFF"/>
          <w:lang w:val="en-US"/>
          <w14:ligatures w14:val="none"/>
        </w:rPr>
        <w:t>The Fundamental Standards - Care Quality Commission</w:t>
      </w:r>
      <w:r w:rsidRPr="00F21387">
        <w:rPr>
          <w:rFonts w:ascii="Arial" w:eastAsia="Times New Roman" w:hAnsi="Arial" w:cs="Arial"/>
          <w:color w:val="222222"/>
          <w:kern w:val="0"/>
          <w:shd w:val="clear" w:color="auto" w:fill="FFFFFF"/>
          <w:lang w:val="en-US"/>
          <w14:ligatures w14:val="none"/>
        </w:rPr>
        <w:t xml:space="preserve">. [online] www.cqc.org.uk. Available at: </w:t>
      </w:r>
      <w:hyperlink r:id="rId11" w:history="1">
        <w:r w:rsidRPr="00F21387">
          <w:rPr>
            <w:rFonts w:ascii="Arial" w:eastAsia="Times New Roman" w:hAnsi="Arial" w:cs="Arial"/>
            <w:color w:val="1155CC"/>
            <w:kern w:val="0"/>
            <w:u w:val="single"/>
            <w:shd w:val="clear" w:color="auto" w:fill="FFFFFF"/>
            <w:lang w:val="en-US"/>
            <w14:ligatures w14:val="none"/>
          </w:rPr>
          <w:t>https://www.cqc.org.uk/about-us/fundamental-standards</w:t>
        </w:r>
      </w:hyperlink>
      <w:r w:rsidRPr="00F21387">
        <w:rPr>
          <w:rFonts w:ascii="Arial" w:eastAsia="Times New Roman" w:hAnsi="Arial" w:cs="Arial"/>
          <w:color w:val="222222"/>
          <w:kern w:val="0"/>
          <w:shd w:val="clear" w:color="auto" w:fill="FFFFFF"/>
          <w:lang w:val="en-US"/>
          <w14:ligatures w14:val="none"/>
        </w:rPr>
        <w:t xml:space="preserve"> [Accessed on 4 February 2026]</w:t>
      </w:r>
    </w:p>
    <w:p w14:paraId="66172761"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proofErr w:type="spellStart"/>
      <w:r w:rsidRPr="00F21387">
        <w:rPr>
          <w:rFonts w:ascii="Arial" w:eastAsia="Times New Roman" w:hAnsi="Arial" w:cs="Arial"/>
          <w:color w:val="222222"/>
          <w:kern w:val="0"/>
          <w:shd w:val="clear" w:color="auto" w:fill="FFFFFF"/>
          <w:lang w:val="en-US"/>
          <w14:ligatures w14:val="none"/>
        </w:rPr>
        <w:t>Cavé</w:t>
      </w:r>
      <w:proofErr w:type="spellEnd"/>
      <w:r w:rsidRPr="00F21387">
        <w:rPr>
          <w:rFonts w:ascii="Arial" w:eastAsia="Times New Roman" w:hAnsi="Arial" w:cs="Arial"/>
          <w:color w:val="222222"/>
          <w:kern w:val="0"/>
          <w:shd w:val="clear" w:color="auto" w:fill="FFFFFF"/>
          <w:lang w:val="en-US"/>
          <w14:ligatures w14:val="none"/>
        </w:rPr>
        <w:t xml:space="preserve">, J., </w:t>
      </w:r>
      <w:proofErr w:type="spellStart"/>
      <w:r w:rsidRPr="00F21387">
        <w:rPr>
          <w:rFonts w:ascii="Arial" w:eastAsia="Times New Roman" w:hAnsi="Arial" w:cs="Arial"/>
          <w:color w:val="222222"/>
          <w:kern w:val="0"/>
          <w:shd w:val="clear" w:color="auto" w:fill="FFFFFF"/>
          <w:lang w:val="en-US"/>
          <w14:ligatures w14:val="none"/>
        </w:rPr>
        <w:t>Katjene</w:t>
      </w:r>
      <w:proofErr w:type="spellEnd"/>
      <w:r w:rsidRPr="00F21387">
        <w:rPr>
          <w:rFonts w:ascii="Arial" w:eastAsia="Times New Roman" w:hAnsi="Arial" w:cs="Arial"/>
          <w:color w:val="222222"/>
          <w:kern w:val="0"/>
          <w:shd w:val="clear" w:color="auto" w:fill="FFFFFF"/>
          <w:lang w:val="en-US"/>
          <w14:ligatures w14:val="none"/>
        </w:rPr>
        <w:t xml:space="preserve">, M. and Roos, V. (2024). A scoping review of Rogers’ </w:t>
      </w:r>
      <w:proofErr w:type="spellStart"/>
      <w:r w:rsidRPr="00F21387">
        <w:rPr>
          <w:rFonts w:ascii="Arial" w:eastAsia="Times New Roman" w:hAnsi="Arial" w:cs="Arial"/>
          <w:color w:val="222222"/>
          <w:kern w:val="0"/>
          <w:shd w:val="clear" w:color="auto" w:fill="FFFFFF"/>
          <w:lang w:val="en-US"/>
          <w14:ligatures w14:val="none"/>
        </w:rPr>
        <w:t>person-centred</w:t>
      </w:r>
      <w:proofErr w:type="spellEnd"/>
      <w:r w:rsidRPr="00F21387">
        <w:rPr>
          <w:rFonts w:ascii="Arial" w:eastAsia="Times New Roman" w:hAnsi="Arial" w:cs="Arial"/>
          <w:color w:val="222222"/>
          <w:kern w:val="0"/>
          <w:shd w:val="clear" w:color="auto" w:fill="FFFFFF"/>
          <w:lang w:val="en-US"/>
          <w14:ligatures w14:val="none"/>
        </w:rPr>
        <w:t xml:space="preserve"> approach to identify constructs relevant to optimal intergenerational relationships. </w:t>
      </w:r>
      <w:r w:rsidRPr="00F21387">
        <w:rPr>
          <w:rFonts w:ascii="Arial" w:eastAsia="Times New Roman" w:hAnsi="Arial" w:cs="Arial"/>
          <w:i/>
          <w:iCs/>
          <w:color w:val="222222"/>
          <w:kern w:val="0"/>
          <w:shd w:val="clear" w:color="auto" w:fill="FFFFFF"/>
          <w:lang w:val="en-US"/>
          <w14:ligatures w14:val="none"/>
        </w:rPr>
        <w:t>South African Journal of Psychology</w:t>
      </w:r>
      <w:r w:rsidRPr="00F21387">
        <w:rPr>
          <w:rFonts w:ascii="Arial" w:eastAsia="Times New Roman" w:hAnsi="Arial" w:cs="Arial"/>
          <w:color w:val="222222"/>
          <w:kern w:val="0"/>
          <w:shd w:val="clear" w:color="auto" w:fill="FFFFFF"/>
          <w:lang w:val="en-US"/>
          <w14:ligatures w14:val="none"/>
        </w:rPr>
        <w:t xml:space="preserve">, 54(3). </w:t>
      </w:r>
      <w:proofErr w:type="spellStart"/>
      <w:r w:rsidRPr="00F21387">
        <w:rPr>
          <w:rFonts w:ascii="Arial" w:eastAsia="Times New Roman" w:hAnsi="Arial" w:cs="Arial"/>
          <w:color w:val="222222"/>
          <w:kern w:val="0"/>
          <w:shd w:val="clear" w:color="auto" w:fill="FFFFFF"/>
          <w:lang w:val="en-US"/>
          <w14:ligatures w14:val="none"/>
        </w:rPr>
        <w:t>doi:</w:t>
      </w:r>
      <w:hyperlink r:id="rId12"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://doi.org/10.1177/00812463241265588</w:t>
        </w:r>
      </w:hyperlink>
      <w:r w:rsidRPr="00F21387">
        <w:rPr>
          <w:rFonts w:ascii="Arial" w:eastAsia="Times New Roman" w:hAnsi="Arial" w:cs="Arial"/>
          <w:color w:val="222222"/>
          <w:kern w:val="0"/>
          <w:shd w:val="clear" w:color="auto" w:fill="FFFFFF"/>
          <w:lang w:val="en-US"/>
          <w14:ligatures w14:val="none"/>
        </w:rPr>
        <w:t>. </w:t>
      </w:r>
    </w:p>
    <w:p w14:paraId="214EB1D2"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Coulter, A. and Oldham, J. (2016). </w:t>
      </w:r>
      <w:proofErr w:type="spellStart"/>
      <w:r w:rsidRPr="00F21387">
        <w:rPr>
          <w:rFonts w:ascii="Arial" w:eastAsia="Times New Roman" w:hAnsi="Arial" w:cs="Arial"/>
          <w:color w:val="222222"/>
          <w:kern w:val="0"/>
          <w:shd w:val="clear" w:color="auto" w:fill="FFFFFF"/>
          <w:lang w:val="en-US"/>
          <w14:ligatures w14:val="none"/>
        </w:rPr>
        <w:t>Person-centred</w:t>
      </w:r>
      <w:proofErr w:type="spellEnd"/>
      <w:r w:rsidRPr="00F21387">
        <w:rPr>
          <w:rFonts w:ascii="Arial" w:eastAsia="Times New Roman" w:hAnsi="Arial" w:cs="Arial"/>
          <w:color w:val="222222"/>
          <w:kern w:val="0"/>
          <w:shd w:val="clear" w:color="auto" w:fill="FFFFFF"/>
          <w:lang w:val="en-US"/>
          <w14:ligatures w14:val="none"/>
        </w:rPr>
        <w:t xml:space="preserve"> care: What Is It and How Do We Get there? </w:t>
      </w:r>
      <w:r w:rsidRPr="00F21387">
        <w:rPr>
          <w:rFonts w:ascii="Arial" w:eastAsia="Times New Roman" w:hAnsi="Arial" w:cs="Arial"/>
          <w:i/>
          <w:iCs/>
          <w:color w:val="222222"/>
          <w:kern w:val="0"/>
          <w:shd w:val="clear" w:color="auto" w:fill="FFFFFF"/>
          <w:lang w:val="en-US"/>
          <w14:ligatures w14:val="none"/>
        </w:rPr>
        <w:t>Future Hospital Journal</w:t>
      </w:r>
      <w:r w:rsidRPr="00F21387">
        <w:rPr>
          <w:rFonts w:ascii="Arial" w:eastAsia="Times New Roman" w:hAnsi="Arial" w:cs="Arial"/>
          <w:color w:val="222222"/>
          <w:kern w:val="0"/>
          <w:shd w:val="clear" w:color="auto" w:fill="FFFFFF"/>
          <w:lang w:val="en-US"/>
          <w14:ligatures w14:val="none"/>
        </w:rPr>
        <w:t xml:space="preserve">, [online] 3(2), pp.114–116. </w:t>
      </w:r>
      <w:proofErr w:type="spellStart"/>
      <w:r w:rsidRPr="00F21387">
        <w:rPr>
          <w:rFonts w:ascii="Arial" w:eastAsia="Times New Roman" w:hAnsi="Arial" w:cs="Arial"/>
          <w:color w:val="222222"/>
          <w:kern w:val="0"/>
          <w:shd w:val="clear" w:color="auto" w:fill="FFFFFF"/>
          <w:lang w:val="en-US"/>
          <w14:ligatures w14:val="none"/>
        </w:rPr>
        <w:t>doi:</w:t>
      </w:r>
      <w:hyperlink r:id="rId13"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://doi.org/10.7861/futurehosp.3-2-114</w:t>
        </w:r>
      </w:hyperlink>
      <w:r w:rsidRPr="00F21387">
        <w:rPr>
          <w:rFonts w:ascii="Arial" w:eastAsia="Times New Roman" w:hAnsi="Arial" w:cs="Arial"/>
          <w:color w:val="222222"/>
          <w:kern w:val="0"/>
          <w:shd w:val="clear" w:color="auto" w:fill="FFFFFF"/>
          <w:lang w:val="en-US"/>
          <w14:ligatures w14:val="none"/>
        </w:rPr>
        <w:t>. </w:t>
      </w:r>
    </w:p>
    <w:p w14:paraId="6308893F"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Curreri, N.A. (2019). Partnership Working in Health and Social Care. </w:t>
      </w:r>
      <w:r w:rsidRPr="00F21387">
        <w:rPr>
          <w:rFonts w:ascii="Arial" w:eastAsia="Times New Roman" w:hAnsi="Arial" w:cs="Arial"/>
          <w:i/>
          <w:iCs/>
          <w:color w:val="222222"/>
          <w:kern w:val="0"/>
          <w:shd w:val="clear" w:color="auto" w:fill="FFFFFF"/>
          <w:lang w:val="en-US"/>
          <w14:ligatures w14:val="none"/>
        </w:rPr>
        <w:t>International Journal of Integrated Care</w:t>
      </w:r>
      <w:r w:rsidRPr="00F21387">
        <w:rPr>
          <w:rFonts w:ascii="Arial" w:eastAsia="Times New Roman" w:hAnsi="Arial" w:cs="Arial"/>
          <w:color w:val="222222"/>
          <w:kern w:val="0"/>
          <w:shd w:val="clear" w:color="auto" w:fill="FFFFFF"/>
          <w:lang w:val="en-US"/>
          <w14:ligatures w14:val="none"/>
        </w:rPr>
        <w:t xml:space="preserve">, [online] 19(2). </w:t>
      </w:r>
      <w:proofErr w:type="spellStart"/>
      <w:r w:rsidRPr="00F21387">
        <w:rPr>
          <w:rFonts w:ascii="Arial" w:eastAsia="Times New Roman" w:hAnsi="Arial" w:cs="Arial"/>
          <w:color w:val="222222"/>
          <w:kern w:val="0"/>
          <w:shd w:val="clear" w:color="auto" w:fill="FFFFFF"/>
          <w:lang w:val="en-US"/>
          <w14:ligatures w14:val="none"/>
        </w:rPr>
        <w:t>doi:</w:t>
      </w:r>
      <w:hyperlink r:id="rId14"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://doi.org/10.5334/ijic.4722</w:t>
        </w:r>
      </w:hyperlink>
      <w:r w:rsidRPr="00F21387">
        <w:rPr>
          <w:rFonts w:ascii="Arial" w:eastAsia="Times New Roman" w:hAnsi="Arial" w:cs="Arial"/>
          <w:color w:val="222222"/>
          <w:kern w:val="0"/>
          <w:shd w:val="clear" w:color="auto" w:fill="FFFFFF"/>
          <w:lang w:val="en-US"/>
          <w14:ligatures w14:val="none"/>
        </w:rPr>
        <w:t>. </w:t>
      </w:r>
    </w:p>
    <w:p w14:paraId="59862C6C"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GOV.UK (2026). </w:t>
      </w:r>
      <w:r w:rsidRPr="00F21387">
        <w:rPr>
          <w:rFonts w:ascii="Arial" w:eastAsia="Times New Roman" w:hAnsi="Arial" w:cs="Arial"/>
          <w:i/>
          <w:iCs/>
          <w:color w:val="222222"/>
          <w:kern w:val="0"/>
          <w:shd w:val="clear" w:color="auto" w:fill="FFFFFF"/>
          <w:lang w:val="en-US"/>
          <w14:ligatures w14:val="none"/>
        </w:rPr>
        <w:t>Equality Act 2010</w:t>
      </w:r>
      <w:r w:rsidRPr="00F21387">
        <w:rPr>
          <w:rFonts w:ascii="Arial" w:eastAsia="Times New Roman" w:hAnsi="Arial" w:cs="Arial"/>
          <w:color w:val="222222"/>
          <w:kern w:val="0"/>
          <w:shd w:val="clear" w:color="auto" w:fill="FFFFFF"/>
          <w:lang w:val="en-US"/>
          <w14:ligatures w14:val="none"/>
        </w:rPr>
        <w:t xml:space="preserve">. [online] Legislation.gov.uk. Available at: </w:t>
      </w:r>
      <w:hyperlink r:id="rId15" w:history="1">
        <w:r w:rsidRPr="00F21387">
          <w:rPr>
            <w:rFonts w:ascii="Arial" w:eastAsia="Times New Roman" w:hAnsi="Arial" w:cs="Arial"/>
            <w:color w:val="1155CC"/>
            <w:kern w:val="0"/>
            <w:u w:val="single"/>
            <w:shd w:val="clear" w:color="auto" w:fill="FFFFFF"/>
            <w:lang w:val="en-US"/>
            <w14:ligatures w14:val="none"/>
          </w:rPr>
          <w:t>https://www.legislation.gov.uk/ukpga/2010/15/contents</w:t>
        </w:r>
      </w:hyperlink>
      <w:r w:rsidRPr="00F21387">
        <w:rPr>
          <w:rFonts w:ascii="Arial" w:eastAsia="Times New Roman" w:hAnsi="Arial" w:cs="Arial"/>
          <w:color w:val="222222"/>
          <w:kern w:val="0"/>
          <w:shd w:val="clear" w:color="auto" w:fill="FFFFFF"/>
          <w:lang w:val="en-US"/>
          <w14:ligatures w14:val="none"/>
        </w:rPr>
        <w:t>. [Accessed on 4 February 2025]</w:t>
      </w:r>
    </w:p>
    <w:p w14:paraId="0B6312B7"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GOV.UK (2026). </w:t>
      </w:r>
      <w:r w:rsidRPr="00F21387">
        <w:rPr>
          <w:rFonts w:ascii="Arial" w:eastAsia="Times New Roman" w:hAnsi="Arial" w:cs="Arial"/>
          <w:i/>
          <w:iCs/>
          <w:color w:val="222222"/>
          <w:kern w:val="0"/>
          <w:shd w:val="clear" w:color="auto" w:fill="FFFFFF"/>
          <w:lang w:val="en-US"/>
          <w14:ligatures w14:val="none"/>
        </w:rPr>
        <w:t>Care Act 2014</w:t>
      </w:r>
      <w:r w:rsidRPr="00F21387">
        <w:rPr>
          <w:rFonts w:ascii="Arial" w:eastAsia="Times New Roman" w:hAnsi="Arial" w:cs="Arial"/>
          <w:color w:val="222222"/>
          <w:kern w:val="0"/>
          <w:shd w:val="clear" w:color="auto" w:fill="FFFFFF"/>
          <w:lang w:val="en-US"/>
          <w14:ligatures w14:val="none"/>
        </w:rPr>
        <w:t xml:space="preserve">. [online] Legislation.gov.uk. Available at: </w:t>
      </w:r>
      <w:hyperlink r:id="rId16" w:history="1">
        <w:r w:rsidRPr="00F21387">
          <w:rPr>
            <w:rFonts w:ascii="Arial" w:eastAsia="Times New Roman" w:hAnsi="Arial" w:cs="Arial"/>
            <w:color w:val="1155CC"/>
            <w:kern w:val="0"/>
            <w:u w:val="single"/>
            <w:shd w:val="clear" w:color="auto" w:fill="FFFFFF"/>
            <w:lang w:val="en-US"/>
            <w14:ligatures w14:val="none"/>
          </w:rPr>
          <w:t>https://www.legislation.gov.uk/id/ukpga/2014/23</w:t>
        </w:r>
      </w:hyperlink>
      <w:r w:rsidRPr="00F21387">
        <w:rPr>
          <w:rFonts w:ascii="Arial" w:eastAsia="Times New Roman" w:hAnsi="Arial" w:cs="Arial"/>
          <w:color w:val="222222"/>
          <w:kern w:val="0"/>
          <w:shd w:val="clear" w:color="auto" w:fill="FFFFFF"/>
          <w:lang w:val="en-US"/>
          <w14:ligatures w14:val="none"/>
        </w:rPr>
        <w:t>. [Accessed on 4 February 2025]</w:t>
      </w:r>
    </w:p>
    <w:p w14:paraId="72D1A409"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Gustavsson, K., </w:t>
      </w:r>
      <w:proofErr w:type="spellStart"/>
      <w:r w:rsidRPr="00F21387">
        <w:rPr>
          <w:rFonts w:ascii="Arial" w:eastAsia="Times New Roman" w:hAnsi="Arial" w:cs="Arial"/>
          <w:color w:val="222222"/>
          <w:kern w:val="0"/>
          <w:shd w:val="clear" w:color="auto" w:fill="FFFFFF"/>
          <w:lang w:val="en-US"/>
          <w14:ligatures w14:val="none"/>
        </w:rPr>
        <w:t>Fors</w:t>
      </w:r>
      <w:proofErr w:type="spellEnd"/>
      <w:r w:rsidRPr="00F21387">
        <w:rPr>
          <w:rFonts w:ascii="Arial" w:eastAsia="Times New Roman" w:hAnsi="Arial" w:cs="Arial"/>
          <w:color w:val="222222"/>
          <w:kern w:val="0"/>
          <w:shd w:val="clear" w:color="auto" w:fill="FFFFFF"/>
          <w:lang w:val="en-US"/>
          <w14:ligatures w14:val="none"/>
        </w:rPr>
        <w:t xml:space="preserve">, A., </w:t>
      </w:r>
      <w:proofErr w:type="spellStart"/>
      <w:r w:rsidRPr="00F21387">
        <w:rPr>
          <w:rFonts w:ascii="Arial" w:eastAsia="Times New Roman" w:hAnsi="Arial" w:cs="Arial"/>
          <w:color w:val="222222"/>
          <w:kern w:val="0"/>
          <w:shd w:val="clear" w:color="auto" w:fill="FFFFFF"/>
          <w:lang w:val="en-US"/>
          <w14:ligatures w14:val="none"/>
        </w:rPr>
        <w:t>Diepen</w:t>
      </w:r>
      <w:proofErr w:type="spellEnd"/>
      <w:r w:rsidRPr="00F21387">
        <w:rPr>
          <w:rFonts w:ascii="Arial" w:eastAsia="Times New Roman" w:hAnsi="Arial" w:cs="Arial"/>
          <w:color w:val="222222"/>
          <w:kern w:val="0"/>
          <w:shd w:val="clear" w:color="auto" w:fill="FFFFFF"/>
          <w:lang w:val="en-US"/>
          <w14:ligatures w14:val="none"/>
        </w:rPr>
        <w:t xml:space="preserve">, C. van, </w:t>
      </w:r>
      <w:proofErr w:type="spellStart"/>
      <w:r w:rsidRPr="00F21387">
        <w:rPr>
          <w:rFonts w:ascii="Arial" w:eastAsia="Times New Roman" w:hAnsi="Arial" w:cs="Arial"/>
          <w:color w:val="222222"/>
          <w:kern w:val="0"/>
          <w:shd w:val="clear" w:color="auto" w:fill="FFFFFF"/>
          <w:lang w:val="en-US"/>
          <w14:ligatures w14:val="none"/>
        </w:rPr>
        <w:t>Axelsson</w:t>
      </w:r>
      <w:proofErr w:type="spellEnd"/>
      <w:r w:rsidRPr="00F21387">
        <w:rPr>
          <w:rFonts w:ascii="Arial" w:eastAsia="Times New Roman" w:hAnsi="Arial" w:cs="Arial"/>
          <w:color w:val="222222"/>
          <w:kern w:val="0"/>
          <w:shd w:val="clear" w:color="auto" w:fill="FFFFFF"/>
          <w:lang w:val="en-US"/>
          <w14:ligatures w14:val="none"/>
        </w:rPr>
        <w:t xml:space="preserve">, M., Bertilsson, M., </w:t>
      </w:r>
      <w:proofErr w:type="spellStart"/>
      <w:r w:rsidRPr="00F21387">
        <w:rPr>
          <w:rFonts w:ascii="Arial" w:eastAsia="Times New Roman" w:hAnsi="Arial" w:cs="Arial"/>
          <w:color w:val="222222"/>
          <w:kern w:val="0"/>
          <w:shd w:val="clear" w:color="auto" w:fill="FFFFFF"/>
          <w:lang w:val="en-US"/>
          <w14:ligatures w14:val="none"/>
        </w:rPr>
        <w:t>Bångsbo</w:t>
      </w:r>
      <w:proofErr w:type="spellEnd"/>
      <w:r w:rsidRPr="00F21387">
        <w:rPr>
          <w:rFonts w:ascii="Arial" w:eastAsia="Times New Roman" w:hAnsi="Arial" w:cs="Arial"/>
          <w:color w:val="222222"/>
          <w:kern w:val="0"/>
          <w:shd w:val="clear" w:color="auto" w:fill="FFFFFF"/>
          <w:lang w:val="en-US"/>
          <w14:ligatures w14:val="none"/>
        </w:rPr>
        <w:t xml:space="preserve">, A., Gunnel, H. and </w:t>
      </w:r>
      <w:proofErr w:type="spellStart"/>
      <w:r w:rsidRPr="00F21387">
        <w:rPr>
          <w:rFonts w:ascii="Arial" w:eastAsia="Times New Roman" w:hAnsi="Arial" w:cs="Arial"/>
          <w:color w:val="222222"/>
          <w:kern w:val="0"/>
          <w:shd w:val="clear" w:color="auto" w:fill="FFFFFF"/>
          <w:lang w:val="en-US"/>
          <w14:ligatures w14:val="none"/>
        </w:rPr>
        <w:t>Qarin</w:t>
      </w:r>
      <w:proofErr w:type="spellEnd"/>
      <w:r w:rsidRPr="00F21387">
        <w:rPr>
          <w:rFonts w:ascii="Arial" w:eastAsia="Times New Roman" w:hAnsi="Arial" w:cs="Arial"/>
          <w:color w:val="222222"/>
          <w:kern w:val="0"/>
          <w:shd w:val="clear" w:color="auto" w:fill="FFFFFF"/>
          <w:lang w:val="en-US"/>
          <w14:ligatures w14:val="none"/>
        </w:rPr>
        <w:t xml:space="preserve">, L. (2025). Higher levels of </w:t>
      </w:r>
      <w:proofErr w:type="spellStart"/>
      <w:r w:rsidRPr="00F21387">
        <w:rPr>
          <w:rFonts w:ascii="Arial" w:eastAsia="Times New Roman" w:hAnsi="Arial" w:cs="Arial"/>
          <w:color w:val="222222"/>
          <w:kern w:val="0"/>
          <w:shd w:val="clear" w:color="auto" w:fill="FFFFFF"/>
          <w:lang w:val="en-US"/>
          <w14:ligatures w14:val="none"/>
        </w:rPr>
        <w:t>person-centred</w:t>
      </w:r>
      <w:proofErr w:type="spellEnd"/>
      <w:r w:rsidRPr="00F21387">
        <w:rPr>
          <w:rFonts w:ascii="Arial" w:eastAsia="Times New Roman" w:hAnsi="Arial" w:cs="Arial"/>
          <w:color w:val="222222"/>
          <w:kern w:val="0"/>
          <w:shd w:val="clear" w:color="auto" w:fill="FFFFFF"/>
          <w:lang w:val="en-US"/>
          <w14:ligatures w14:val="none"/>
        </w:rPr>
        <w:t xml:space="preserve"> care are associated with lower levels of stress of conscience in hospital and municipal care: cross-sectional findings from the PCC@Work project. </w:t>
      </w:r>
      <w:r w:rsidRPr="00F21387">
        <w:rPr>
          <w:rFonts w:ascii="Arial" w:eastAsia="Times New Roman" w:hAnsi="Arial" w:cs="Arial"/>
          <w:i/>
          <w:iCs/>
          <w:color w:val="222222"/>
          <w:kern w:val="0"/>
          <w:shd w:val="clear" w:color="auto" w:fill="FFFFFF"/>
          <w:lang w:val="en-US"/>
          <w14:ligatures w14:val="none"/>
        </w:rPr>
        <w:t>BMC Health Services Research</w:t>
      </w:r>
      <w:r w:rsidRPr="00F21387">
        <w:rPr>
          <w:rFonts w:ascii="Arial" w:eastAsia="Times New Roman" w:hAnsi="Arial" w:cs="Arial"/>
          <w:color w:val="222222"/>
          <w:kern w:val="0"/>
          <w:shd w:val="clear" w:color="auto" w:fill="FFFFFF"/>
          <w:lang w:val="en-US"/>
          <w14:ligatures w14:val="none"/>
        </w:rPr>
        <w:t xml:space="preserve">, 25(1). </w:t>
      </w:r>
      <w:proofErr w:type="spellStart"/>
      <w:r w:rsidRPr="00F21387">
        <w:rPr>
          <w:rFonts w:ascii="Arial" w:eastAsia="Times New Roman" w:hAnsi="Arial" w:cs="Arial"/>
          <w:color w:val="222222"/>
          <w:kern w:val="0"/>
          <w:shd w:val="clear" w:color="auto" w:fill="FFFFFF"/>
          <w:lang w:val="en-US"/>
          <w14:ligatures w14:val="none"/>
        </w:rPr>
        <w:t>doi:</w:t>
      </w:r>
      <w:hyperlink r:id="rId17"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://doi.org/10.1186/s12913-025-13077-x</w:t>
        </w:r>
      </w:hyperlink>
      <w:r w:rsidRPr="00F21387">
        <w:rPr>
          <w:rFonts w:ascii="Arial" w:eastAsia="Times New Roman" w:hAnsi="Arial" w:cs="Arial"/>
          <w:color w:val="222222"/>
          <w:kern w:val="0"/>
          <w:shd w:val="clear" w:color="auto" w:fill="FFFFFF"/>
          <w:lang w:val="en-US"/>
          <w14:ligatures w14:val="none"/>
        </w:rPr>
        <w:t>. </w:t>
      </w:r>
    </w:p>
    <w:p w14:paraId="6F8ED7E4"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Hannigan-Page, E. (2023). </w:t>
      </w:r>
      <w:r w:rsidRPr="00F21387">
        <w:rPr>
          <w:rFonts w:ascii="Arial" w:eastAsia="Times New Roman" w:hAnsi="Arial" w:cs="Arial"/>
          <w:i/>
          <w:iCs/>
          <w:color w:val="222222"/>
          <w:kern w:val="0"/>
          <w:shd w:val="clear" w:color="auto" w:fill="FFFFFF"/>
          <w:lang w:val="en-US"/>
          <w14:ligatures w14:val="none"/>
        </w:rPr>
        <w:t>Ethical Principles in Nursing and Why They Matter</w:t>
      </w:r>
      <w:r w:rsidRPr="00F21387">
        <w:rPr>
          <w:rFonts w:ascii="Arial" w:eastAsia="Times New Roman" w:hAnsi="Arial" w:cs="Arial"/>
          <w:color w:val="222222"/>
          <w:kern w:val="0"/>
          <w:shd w:val="clear" w:color="auto" w:fill="FFFFFF"/>
          <w:lang w:val="en-US"/>
          <w14:ligatures w14:val="none"/>
        </w:rPr>
        <w:t xml:space="preserve">. [online] Western Governors University. Available at: </w:t>
      </w:r>
      <w:hyperlink r:id="rId18" w:history="1">
        <w:r w:rsidRPr="00F21387">
          <w:rPr>
            <w:rFonts w:ascii="Arial" w:eastAsia="Times New Roman" w:hAnsi="Arial" w:cs="Arial"/>
            <w:color w:val="1155CC"/>
            <w:kern w:val="0"/>
            <w:u w:val="single"/>
            <w:shd w:val="clear" w:color="auto" w:fill="FFFFFF"/>
            <w:lang w:val="en-US"/>
            <w14:ligatures w14:val="none"/>
          </w:rPr>
          <w:t>https://www.wgu.edu/blog/ethical-principles-nursing-why-they-matter2303.html</w:t>
        </w:r>
      </w:hyperlink>
      <w:r w:rsidRPr="00F21387">
        <w:rPr>
          <w:rFonts w:ascii="Arial" w:eastAsia="Times New Roman" w:hAnsi="Arial" w:cs="Arial"/>
          <w:color w:val="222222"/>
          <w:kern w:val="0"/>
          <w:shd w:val="clear" w:color="auto" w:fill="FFFFFF"/>
          <w:lang w:val="en-US"/>
          <w14:ligatures w14:val="none"/>
        </w:rPr>
        <w:t>. [Accessed on 4 February 2025]</w:t>
      </w:r>
    </w:p>
    <w:p w14:paraId="55FD31F3"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Holding, E., Blank, L., Crowder, M. and Goyder, E. (2019). Bridging the gap between the home and the hospital: a qualitative study of partnership working across housing, health and social care. </w:t>
      </w:r>
      <w:r w:rsidRPr="00F21387">
        <w:rPr>
          <w:rFonts w:ascii="Arial" w:eastAsia="Times New Roman" w:hAnsi="Arial" w:cs="Arial"/>
          <w:i/>
          <w:iCs/>
          <w:color w:val="222222"/>
          <w:kern w:val="0"/>
          <w:shd w:val="clear" w:color="auto" w:fill="FFFFFF"/>
          <w:lang w:val="en-US"/>
          <w14:ligatures w14:val="none"/>
        </w:rPr>
        <w:t xml:space="preserve">Journal of </w:t>
      </w:r>
      <w:proofErr w:type="spellStart"/>
      <w:r w:rsidRPr="00F21387">
        <w:rPr>
          <w:rFonts w:ascii="Arial" w:eastAsia="Times New Roman" w:hAnsi="Arial" w:cs="Arial"/>
          <w:i/>
          <w:iCs/>
          <w:color w:val="222222"/>
          <w:kern w:val="0"/>
          <w:shd w:val="clear" w:color="auto" w:fill="FFFFFF"/>
          <w:lang w:val="en-US"/>
          <w14:ligatures w14:val="none"/>
        </w:rPr>
        <w:t>Interprofessional</w:t>
      </w:r>
      <w:proofErr w:type="spellEnd"/>
      <w:r w:rsidRPr="00F21387">
        <w:rPr>
          <w:rFonts w:ascii="Arial" w:eastAsia="Times New Roman" w:hAnsi="Arial" w:cs="Arial"/>
          <w:i/>
          <w:iCs/>
          <w:color w:val="222222"/>
          <w:kern w:val="0"/>
          <w:shd w:val="clear" w:color="auto" w:fill="FFFFFF"/>
          <w:lang w:val="en-US"/>
          <w14:ligatures w14:val="none"/>
        </w:rPr>
        <w:t xml:space="preserve"> Care</w:t>
      </w:r>
      <w:r w:rsidRPr="00F21387">
        <w:rPr>
          <w:rFonts w:ascii="Arial" w:eastAsia="Times New Roman" w:hAnsi="Arial" w:cs="Arial"/>
          <w:color w:val="222222"/>
          <w:kern w:val="0"/>
          <w:shd w:val="clear" w:color="auto" w:fill="FFFFFF"/>
          <w:lang w:val="en-US"/>
          <w14:ligatures w14:val="none"/>
        </w:rPr>
        <w:t xml:space="preserve">, 34(4), pp.1–7. </w:t>
      </w:r>
      <w:proofErr w:type="spellStart"/>
      <w:r w:rsidRPr="00F21387">
        <w:rPr>
          <w:rFonts w:ascii="Arial" w:eastAsia="Times New Roman" w:hAnsi="Arial" w:cs="Arial"/>
          <w:color w:val="222222"/>
          <w:kern w:val="0"/>
          <w:shd w:val="clear" w:color="auto" w:fill="FFFFFF"/>
          <w:lang w:val="en-US"/>
          <w14:ligatures w14:val="none"/>
        </w:rPr>
        <w:t>doi:</w:t>
      </w:r>
      <w:hyperlink r:id="rId19"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://doi.org/10.1080/13561820.2019.1694496</w:t>
        </w:r>
      </w:hyperlink>
      <w:r w:rsidRPr="00F21387">
        <w:rPr>
          <w:rFonts w:ascii="Arial" w:eastAsia="Times New Roman" w:hAnsi="Arial" w:cs="Arial"/>
          <w:color w:val="222222"/>
          <w:kern w:val="0"/>
          <w:shd w:val="clear" w:color="auto" w:fill="FFFFFF"/>
          <w:lang w:val="en-US"/>
          <w14:ligatures w14:val="none"/>
        </w:rPr>
        <w:t>. </w:t>
      </w:r>
    </w:p>
    <w:p w14:paraId="6D72154F"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Jang, H.-Y. (2020). Partnership between staff and family in long-term care facility: a hybrid concept analysis. </w:t>
      </w:r>
      <w:r w:rsidRPr="00F21387">
        <w:rPr>
          <w:rFonts w:ascii="Arial" w:eastAsia="Times New Roman" w:hAnsi="Arial" w:cs="Arial"/>
          <w:i/>
          <w:iCs/>
          <w:color w:val="222222"/>
          <w:kern w:val="0"/>
          <w:shd w:val="clear" w:color="auto" w:fill="FFFFFF"/>
          <w:lang w:val="en-US"/>
          <w14:ligatures w14:val="none"/>
        </w:rPr>
        <w:t>International Journal of Qualitative Studies on Health and Well-being</w:t>
      </w:r>
      <w:r w:rsidRPr="00F21387">
        <w:rPr>
          <w:rFonts w:ascii="Arial" w:eastAsia="Times New Roman" w:hAnsi="Arial" w:cs="Arial"/>
          <w:color w:val="222222"/>
          <w:kern w:val="0"/>
          <w:shd w:val="clear" w:color="auto" w:fill="FFFFFF"/>
          <w:lang w:val="en-US"/>
          <w14:ligatures w14:val="none"/>
        </w:rPr>
        <w:t xml:space="preserve">, 15(1), p.1801179. </w:t>
      </w:r>
      <w:proofErr w:type="spellStart"/>
      <w:r w:rsidRPr="00F21387">
        <w:rPr>
          <w:rFonts w:ascii="Arial" w:eastAsia="Times New Roman" w:hAnsi="Arial" w:cs="Arial"/>
          <w:color w:val="222222"/>
          <w:kern w:val="0"/>
          <w:shd w:val="clear" w:color="auto" w:fill="FFFFFF"/>
          <w:lang w:val="en-US"/>
          <w14:ligatures w14:val="none"/>
        </w:rPr>
        <w:t>doi:</w:t>
      </w:r>
      <w:hyperlink r:id="rId20"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://doi.org/10.1080/17482631.2020.1801179</w:t>
        </w:r>
      </w:hyperlink>
      <w:r w:rsidRPr="00F21387">
        <w:rPr>
          <w:rFonts w:ascii="Arial" w:eastAsia="Times New Roman" w:hAnsi="Arial" w:cs="Arial"/>
          <w:color w:val="222222"/>
          <w:kern w:val="0"/>
          <w:shd w:val="clear" w:color="auto" w:fill="FFFFFF"/>
          <w:lang w:val="en-US"/>
          <w14:ligatures w14:val="none"/>
        </w:rPr>
        <w:t>. </w:t>
      </w:r>
    </w:p>
    <w:p w14:paraId="4CA87654"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Jing, Y., René </w:t>
      </w:r>
      <w:proofErr w:type="spellStart"/>
      <w:r w:rsidRPr="00F21387">
        <w:rPr>
          <w:rFonts w:ascii="Arial" w:eastAsia="Times New Roman" w:hAnsi="Arial" w:cs="Arial"/>
          <w:color w:val="222222"/>
          <w:kern w:val="0"/>
          <w:shd w:val="clear" w:color="auto" w:fill="FFFFFF"/>
          <w:lang w:val="en-US"/>
          <w14:ligatures w14:val="none"/>
        </w:rPr>
        <w:t>Torenvlied</w:t>
      </w:r>
      <w:proofErr w:type="spellEnd"/>
      <w:r w:rsidRPr="00F21387">
        <w:rPr>
          <w:rFonts w:ascii="Arial" w:eastAsia="Times New Roman" w:hAnsi="Arial" w:cs="Arial"/>
          <w:color w:val="222222"/>
          <w:kern w:val="0"/>
          <w:shd w:val="clear" w:color="auto" w:fill="FFFFFF"/>
          <w:lang w:val="en-US"/>
          <w14:ligatures w14:val="none"/>
        </w:rPr>
        <w:t xml:space="preserve">, Minna van </w:t>
      </w:r>
      <w:proofErr w:type="spellStart"/>
      <w:r w:rsidRPr="00F21387">
        <w:rPr>
          <w:rFonts w:ascii="Arial" w:eastAsia="Times New Roman" w:hAnsi="Arial" w:cs="Arial"/>
          <w:color w:val="222222"/>
          <w:kern w:val="0"/>
          <w:shd w:val="clear" w:color="auto" w:fill="FFFFFF"/>
          <w:lang w:val="en-US"/>
          <w14:ligatures w14:val="none"/>
        </w:rPr>
        <w:t>Gerven</w:t>
      </w:r>
      <w:proofErr w:type="spellEnd"/>
      <w:r w:rsidRPr="00F21387">
        <w:rPr>
          <w:rFonts w:ascii="Arial" w:eastAsia="Times New Roman" w:hAnsi="Arial" w:cs="Arial"/>
          <w:color w:val="222222"/>
          <w:kern w:val="0"/>
          <w:shd w:val="clear" w:color="auto" w:fill="FFFFFF"/>
          <w:lang w:val="en-US"/>
          <w14:ligatures w14:val="none"/>
        </w:rPr>
        <w:t xml:space="preserve"> and Cao, J. (2021). Nonprofit contracting and partnership in elderly care: a comparison between china and the Netherlands. </w:t>
      </w:r>
      <w:r w:rsidRPr="00F21387">
        <w:rPr>
          <w:rFonts w:ascii="Arial" w:eastAsia="Times New Roman" w:hAnsi="Arial" w:cs="Arial"/>
          <w:i/>
          <w:iCs/>
          <w:color w:val="222222"/>
          <w:kern w:val="0"/>
          <w:shd w:val="clear" w:color="auto" w:fill="FFFFFF"/>
          <w:lang w:val="en-US"/>
          <w14:ligatures w14:val="none"/>
        </w:rPr>
        <w:t>Global Public Policy and Governance</w:t>
      </w:r>
      <w:r w:rsidRPr="00F21387">
        <w:rPr>
          <w:rFonts w:ascii="Arial" w:eastAsia="Times New Roman" w:hAnsi="Arial" w:cs="Arial"/>
          <w:color w:val="222222"/>
          <w:kern w:val="0"/>
          <w:shd w:val="clear" w:color="auto" w:fill="FFFFFF"/>
          <w:lang w:val="en-US"/>
          <w14:ligatures w14:val="none"/>
        </w:rPr>
        <w:t xml:space="preserve">, 1(2), pp.136–158. </w:t>
      </w:r>
      <w:proofErr w:type="spellStart"/>
      <w:r w:rsidRPr="00F21387">
        <w:rPr>
          <w:rFonts w:ascii="Arial" w:eastAsia="Times New Roman" w:hAnsi="Arial" w:cs="Arial"/>
          <w:color w:val="222222"/>
          <w:kern w:val="0"/>
          <w:shd w:val="clear" w:color="auto" w:fill="FFFFFF"/>
          <w:lang w:val="en-US"/>
          <w14:ligatures w14:val="none"/>
        </w:rPr>
        <w:t>doi:</w:t>
      </w:r>
      <w:hyperlink r:id="rId21"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://doi.org/10.1007/s43508-021-00009-8</w:t>
        </w:r>
      </w:hyperlink>
      <w:r w:rsidRPr="00F21387">
        <w:rPr>
          <w:rFonts w:ascii="Arial" w:eastAsia="Times New Roman" w:hAnsi="Arial" w:cs="Arial"/>
          <w:color w:val="222222"/>
          <w:kern w:val="0"/>
          <w:shd w:val="clear" w:color="auto" w:fill="FFFFFF"/>
          <w:lang w:val="en-US"/>
          <w14:ligatures w14:val="none"/>
        </w:rPr>
        <w:t>. </w:t>
      </w:r>
    </w:p>
    <w:p w14:paraId="75D04D74"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Jung, E.-Y. and Jang, H.-Y. (2025). Factors influencing partnerships between care workers and families in nursing homes in South Korea. </w:t>
      </w:r>
      <w:r w:rsidRPr="00F21387">
        <w:rPr>
          <w:rFonts w:ascii="Arial" w:eastAsia="Times New Roman" w:hAnsi="Arial" w:cs="Arial"/>
          <w:i/>
          <w:iCs/>
          <w:color w:val="222222"/>
          <w:kern w:val="0"/>
          <w:shd w:val="clear" w:color="auto" w:fill="FFFFFF"/>
          <w:lang w:val="en-US"/>
          <w14:ligatures w14:val="none"/>
        </w:rPr>
        <w:t>Scientific Reports</w:t>
      </w:r>
      <w:r w:rsidRPr="00F21387">
        <w:rPr>
          <w:rFonts w:ascii="Arial" w:eastAsia="Times New Roman" w:hAnsi="Arial" w:cs="Arial"/>
          <w:color w:val="222222"/>
          <w:kern w:val="0"/>
          <w:shd w:val="clear" w:color="auto" w:fill="FFFFFF"/>
          <w:lang w:val="en-US"/>
          <w14:ligatures w14:val="none"/>
        </w:rPr>
        <w:t xml:space="preserve">, [online] 15(1). </w:t>
      </w:r>
      <w:proofErr w:type="spellStart"/>
      <w:r w:rsidRPr="00F21387">
        <w:rPr>
          <w:rFonts w:ascii="Arial" w:eastAsia="Times New Roman" w:hAnsi="Arial" w:cs="Arial"/>
          <w:color w:val="222222"/>
          <w:kern w:val="0"/>
          <w:shd w:val="clear" w:color="auto" w:fill="FFFFFF"/>
          <w:lang w:val="en-US"/>
          <w14:ligatures w14:val="none"/>
        </w:rPr>
        <w:t>doi:</w:t>
      </w:r>
      <w:hyperlink r:id="rId22"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://doi.org/10.1038/s41598-025-89078-x</w:t>
        </w:r>
      </w:hyperlink>
      <w:r w:rsidRPr="00F21387">
        <w:rPr>
          <w:rFonts w:ascii="Arial" w:eastAsia="Times New Roman" w:hAnsi="Arial" w:cs="Arial"/>
          <w:color w:val="222222"/>
          <w:kern w:val="0"/>
          <w:shd w:val="clear" w:color="auto" w:fill="FFFFFF"/>
          <w:lang w:val="en-US"/>
          <w14:ligatures w14:val="none"/>
        </w:rPr>
        <w:t>. </w:t>
      </w:r>
    </w:p>
    <w:p w14:paraId="53384C48"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Kwame, A. and </w:t>
      </w:r>
      <w:proofErr w:type="spellStart"/>
      <w:r w:rsidRPr="00F21387">
        <w:rPr>
          <w:rFonts w:ascii="Arial" w:eastAsia="Times New Roman" w:hAnsi="Arial" w:cs="Arial"/>
          <w:color w:val="222222"/>
          <w:kern w:val="0"/>
          <w:shd w:val="clear" w:color="auto" w:fill="FFFFFF"/>
          <w:lang w:val="en-US"/>
          <w14:ligatures w14:val="none"/>
        </w:rPr>
        <w:t>Petrucka</w:t>
      </w:r>
      <w:proofErr w:type="spellEnd"/>
      <w:r w:rsidRPr="00F21387">
        <w:rPr>
          <w:rFonts w:ascii="Arial" w:eastAsia="Times New Roman" w:hAnsi="Arial" w:cs="Arial"/>
          <w:color w:val="222222"/>
          <w:kern w:val="0"/>
          <w:shd w:val="clear" w:color="auto" w:fill="FFFFFF"/>
          <w:lang w:val="en-US"/>
          <w14:ligatures w14:val="none"/>
        </w:rPr>
        <w:t xml:space="preserve">, P. (2021). A literature-based study of patient-centered care and communication in nurse-patient interactions: Barriers, facilitators, and the way forward. </w:t>
      </w:r>
      <w:r w:rsidRPr="00F21387">
        <w:rPr>
          <w:rFonts w:ascii="Arial" w:eastAsia="Times New Roman" w:hAnsi="Arial" w:cs="Arial"/>
          <w:i/>
          <w:iCs/>
          <w:color w:val="222222"/>
          <w:kern w:val="0"/>
          <w:shd w:val="clear" w:color="auto" w:fill="FFFFFF"/>
          <w:lang w:val="en-US"/>
          <w14:ligatures w14:val="none"/>
        </w:rPr>
        <w:t>BMC Nursing</w:t>
      </w:r>
      <w:r w:rsidRPr="00F21387">
        <w:rPr>
          <w:rFonts w:ascii="Arial" w:eastAsia="Times New Roman" w:hAnsi="Arial" w:cs="Arial"/>
          <w:color w:val="222222"/>
          <w:kern w:val="0"/>
          <w:shd w:val="clear" w:color="auto" w:fill="FFFFFF"/>
          <w:lang w:val="en-US"/>
          <w14:ligatures w14:val="none"/>
        </w:rPr>
        <w:t xml:space="preserve">, [online] 20(158), pp.1–10. </w:t>
      </w:r>
      <w:proofErr w:type="spellStart"/>
      <w:r w:rsidRPr="00F21387">
        <w:rPr>
          <w:rFonts w:ascii="Arial" w:eastAsia="Times New Roman" w:hAnsi="Arial" w:cs="Arial"/>
          <w:color w:val="222222"/>
          <w:kern w:val="0"/>
          <w:shd w:val="clear" w:color="auto" w:fill="FFFFFF"/>
          <w:lang w:val="en-US"/>
          <w14:ligatures w14:val="none"/>
        </w:rPr>
        <w:t>doi:</w:t>
      </w:r>
      <w:hyperlink r:id="rId23"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://doi.org/10.1186/s12912-021-00684-2</w:t>
        </w:r>
      </w:hyperlink>
      <w:r w:rsidRPr="00F21387">
        <w:rPr>
          <w:rFonts w:ascii="Arial" w:eastAsia="Times New Roman" w:hAnsi="Arial" w:cs="Arial"/>
          <w:color w:val="222222"/>
          <w:kern w:val="0"/>
          <w:shd w:val="clear" w:color="auto" w:fill="FFFFFF"/>
          <w:lang w:val="en-US"/>
          <w14:ligatures w14:val="none"/>
        </w:rPr>
        <w:t>. </w:t>
      </w:r>
    </w:p>
    <w:p w14:paraId="31D34AC9"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Liang, Z., Xu, M., Liu, G., Zhou, Y. and Howard, P. (2022). </w:t>
      </w:r>
      <w:proofErr w:type="spellStart"/>
      <w:r w:rsidRPr="00F21387">
        <w:rPr>
          <w:rFonts w:ascii="Arial" w:eastAsia="Times New Roman" w:hAnsi="Arial" w:cs="Arial"/>
          <w:color w:val="222222"/>
          <w:kern w:val="0"/>
          <w:shd w:val="clear" w:color="auto" w:fill="FFFFFF"/>
          <w:lang w:val="en-US"/>
          <w14:ligatures w14:val="none"/>
        </w:rPr>
        <w:t>Patient-centred</w:t>
      </w:r>
      <w:proofErr w:type="spellEnd"/>
      <w:r w:rsidRPr="00F21387">
        <w:rPr>
          <w:rFonts w:ascii="Arial" w:eastAsia="Times New Roman" w:hAnsi="Arial" w:cs="Arial"/>
          <w:color w:val="222222"/>
          <w:kern w:val="0"/>
          <w:shd w:val="clear" w:color="auto" w:fill="FFFFFF"/>
          <w:lang w:val="en-US"/>
          <w14:ligatures w14:val="none"/>
        </w:rPr>
        <w:t xml:space="preserve"> care and patient autonomy: Doctors’ views in </w:t>
      </w:r>
      <w:proofErr w:type="spellStart"/>
      <w:r w:rsidRPr="00F21387">
        <w:rPr>
          <w:rFonts w:ascii="Arial" w:eastAsia="Times New Roman" w:hAnsi="Arial" w:cs="Arial"/>
          <w:color w:val="222222"/>
          <w:kern w:val="0"/>
          <w:shd w:val="clear" w:color="auto" w:fill="FFFFFF"/>
          <w:lang w:val="en-US"/>
          <w14:ligatures w14:val="none"/>
        </w:rPr>
        <w:t>chinese</w:t>
      </w:r>
      <w:proofErr w:type="spellEnd"/>
      <w:r w:rsidRPr="00F21387">
        <w:rPr>
          <w:rFonts w:ascii="Arial" w:eastAsia="Times New Roman" w:hAnsi="Arial" w:cs="Arial"/>
          <w:color w:val="222222"/>
          <w:kern w:val="0"/>
          <w:shd w:val="clear" w:color="auto" w:fill="FFFFFF"/>
          <w:lang w:val="en-US"/>
          <w14:ligatures w14:val="none"/>
        </w:rPr>
        <w:t xml:space="preserve"> hospitals. </w:t>
      </w:r>
      <w:r w:rsidRPr="00F21387">
        <w:rPr>
          <w:rFonts w:ascii="Arial" w:eastAsia="Times New Roman" w:hAnsi="Arial" w:cs="Arial"/>
          <w:i/>
          <w:iCs/>
          <w:color w:val="222222"/>
          <w:kern w:val="0"/>
          <w:shd w:val="clear" w:color="auto" w:fill="FFFFFF"/>
          <w:lang w:val="en-US"/>
          <w14:ligatures w14:val="none"/>
        </w:rPr>
        <w:t>BMC medical ethics</w:t>
      </w:r>
      <w:r w:rsidRPr="00F21387">
        <w:rPr>
          <w:rFonts w:ascii="Arial" w:eastAsia="Times New Roman" w:hAnsi="Arial" w:cs="Arial"/>
          <w:color w:val="222222"/>
          <w:kern w:val="0"/>
          <w:shd w:val="clear" w:color="auto" w:fill="FFFFFF"/>
          <w:lang w:val="en-US"/>
          <w14:ligatures w14:val="none"/>
        </w:rPr>
        <w:t xml:space="preserve">, [online] 23(38). </w:t>
      </w:r>
      <w:proofErr w:type="spellStart"/>
      <w:r w:rsidRPr="00F21387">
        <w:rPr>
          <w:rFonts w:ascii="Arial" w:eastAsia="Times New Roman" w:hAnsi="Arial" w:cs="Arial"/>
          <w:color w:val="222222"/>
          <w:kern w:val="0"/>
          <w:shd w:val="clear" w:color="auto" w:fill="FFFFFF"/>
          <w:lang w:val="en-US"/>
          <w14:ligatures w14:val="none"/>
        </w:rPr>
        <w:t>doi:</w:t>
      </w:r>
      <w:hyperlink r:id="rId24"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://doi.org/10.1186/s12910-022-00777-w</w:t>
        </w:r>
      </w:hyperlink>
      <w:r w:rsidRPr="00F21387">
        <w:rPr>
          <w:rFonts w:ascii="Arial" w:eastAsia="Times New Roman" w:hAnsi="Arial" w:cs="Arial"/>
          <w:color w:val="222222"/>
          <w:kern w:val="0"/>
          <w:shd w:val="clear" w:color="auto" w:fill="FFFFFF"/>
          <w:lang w:val="en-US"/>
          <w14:ligatures w14:val="none"/>
        </w:rPr>
        <w:t>. </w:t>
      </w:r>
    </w:p>
    <w:p w14:paraId="11E8D8B0"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NHS England (2019). </w:t>
      </w:r>
      <w:r w:rsidRPr="00F21387">
        <w:rPr>
          <w:rFonts w:ascii="Arial" w:eastAsia="Times New Roman" w:hAnsi="Arial" w:cs="Arial"/>
          <w:i/>
          <w:iCs/>
          <w:color w:val="222222"/>
          <w:kern w:val="0"/>
          <w:shd w:val="clear" w:color="auto" w:fill="FFFFFF"/>
          <w:lang w:val="en-US"/>
          <w14:ligatures w14:val="none"/>
        </w:rPr>
        <w:t>NHS Long Term Plan</w:t>
      </w:r>
      <w:r w:rsidRPr="00F21387">
        <w:rPr>
          <w:rFonts w:ascii="Arial" w:eastAsia="Times New Roman" w:hAnsi="Arial" w:cs="Arial"/>
          <w:color w:val="222222"/>
          <w:kern w:val="0"/>
          <w:shd w:val="clear" w:color="auto" w:fill="FFFFFF"/>
          <w:lang w:val="en-US"/>
          <w14:ligatures w14:val="none"/>
        </w:rPr>
        <w:t xml:space="preserve">. [online] NHS England. Available at: </w:t>
      </w:r>
      <w:hyperlink r:id="rId25" w:history="1">
        <w:r w:rsidRPr="00F21387">
          <w:rPr>
            <w:rFonts w:ascii="Arial" w:eastAsia="Times New Roman" w:hAnsi="Arial" w:cs="Arial"/>
            <w:color w:val="1155CC"/>
            <w:kern w:val="0"/>
            <w:u w:val="single"/>
            <w:shd w:val="clear" w:color="auto" w:fill="FFFFFF"/>
            <w:lang w:val="en-US"/>
            <w14:ligatures w14:val="none"/>
          </w:rPr>
          <w:t>https://www.longtermplan.nhs.uk/</w:t>
        </w:r>
      </w:hyperlink>
      <w:r w:rsidRPr="00F21387">
        <w:rPr>
          <w:rFonts w:ascii="Arial" w:eastAsia="Times New Roman" w:hAnsi="Arial" w:cs="Arial"/>
          <w:color w:val="222222"/>
          <w:kern w:val="0"/>
          <w:shd w:val="clear" w:color="auto" w:fill="FFFFFF"/>
          <w:lang w:val="en-US"/>
          <w14:ligatures w14:val="none"/>
        </w:rPr>
        <w:t>. [Accessed on 4 February 2026]</w:t>
      </w:r>
    </w:p>
    <w:p w14:paraId="2CCD9F58"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Patel, V., Buchanan, H., Hui, M., Patel, P., Gupta, P., Kinder, A. and Thomas, H. (2018). How do specialist trainee doctors acquire skills to practice </w:t>
      </w:r>
      <w:proofErr w:type="spellStart"/>
      <w:r w:rsidRPr="00F21387">
        <w:rPr>
          <w:rFonts w:ascii="Arial" w:eastAsia="Times New Roman" w:hAnsi="Arial" w:cs="Arial"/>
          <w:color w:val="222222"/>
          <w:kern w:val="0"/>
          <w:shd w:val="clear" w:color="auto" w:fill="FFFFFF"/>
          <w:lang w:val="en-US"/>
          <w14:ligatures w14:val="none"/>
        </w:rPr>
        <w:t>patient-centred</w:t>
      </w:r>
      <w:proofErr w:type="spellEnd"/>
      <w:r w:rsidRPr="00F21387">
        <w:rPr>
          <w:rFonts w:ascii="Arial" w:eastAsia="Times New Roman" w:hAnsi="Arial" w:cs="Arial"/>
          <w:color w:val="222222"/>
          <w:kern w:val="0"/>
          <w:shd w:val="clear" w:color="auto" w:fill="FFFFFF"/>
          <w:lang w:val="en-US"/>
          <w14:ligatures w14:val="none"/>
        </w:rPr>
        <w:t xml:space="preserve"> care? A qualitative exploration. </w:t>
      </w:r>
      <w:r w:rsidRPr="00F21387">
        <w:rPr>
          <w:rFonts w:ascii="Arial" w:eastAsia="Times New Roman" w:hAnsi="Arial" w:cs="Arial"/>
          <w:i/>
          <w:iCs/>
          <w:color w:val="222222"/>
          <w:kern w:val="0"/>
          <w:shd w:val="clear" w:color="auto" w:fill="FFFFFF"/>
          <w:lang w:val="en-US"/>
          <w14:ligatures w14:val="none"/>
        </w:rPr>
        <w:t>BMJ Open</w:t>
      </w:r>
      <w:r w:rsidRPr="00F21387">
        <w:rPr>
          <w:rFonts w:ascii="Arial" w:eastAsia="Times New Roman" w:hAnsi="Arial" w:cs="Arial"/>
          <w:color w:val="222222"/>
          <w:kern w:val="0"/>
          <w:shd w:val="clear" w:color="auto" w:fill="FFFFFF"/>
          <w:lang w:val="en-US"/>
          <w14:ligatures w14:val="none"/>
        </w:rPr>
        <w:t xml:space="preserve">, 8(10), p.e022054. </w:t>
      </w:r>
      <w:proofErr w:type="spellStart"/>
      <w:r w:rsidRPr="00F21387">
        <w:rPr>
          <w:rFonts w:ascii="Arial" w:eastAsia="Times New Roman" w:hAnsi="Arial" w:cs="Arial"/>
          <w:color w:val="222222"/>
          <w:kern w:val="0"/>
          <w:shd w:val="clear" w:color="auto" w:fill="FFFFFF"/>
          <w:lang w:val="en-US"/>
          <w14:ligatures w14:val="none"/>
        </w:rPr>
        <w:t>doi:</w:t>
      </w:r>
      <w:hyperlink r:id="rId26"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://doi.org/10.1136/bmjopen-2018-022054</w:t>
        </w:r>
      </w:hyperlink>
      <w:r w:rsidRPr="00F21387">
        <w:rPr>
          <w:rFonts w:ascii="Arial" w:eastAsia="Times New Roman" w:hAnsi="Arial" w:cs="Arial"/>
          <w:color w:val="222222"/>
          <w:kern w:val="0"/>
          <w:shd w:val="clear" w:color="auto" w:fill="FFFFFF"/>
          <w:lang w:val="en-US"/>
          <w14:ligatures w14:val="none"/>
        </w:rPr>
        <w:t>. </w:t>
      </w:r>
    </w:p>
    <w:p w14:paraId="6766D0C7"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Petch, A., Cook, A. and Miller, E. (2013). Partnership Working and outcomes: Do Health and Social Care Partnerships Deliver for Users and carers? </w:t>
      </w:r>
      <w:r w:rsidRPr="00F21387">
        <w:rPr>
          <w:rFonts w:ascii="Arial" w:eastAsia="Times New Roman" w:hAnsi="Arial" w:cs="Arial"/>
          <w:i/>
          <w:iCs/>
          <w:color w:val="222222"/>
          <w:kern w:val="0"/>
          <w:shd w:val="clear" w:color="auto" w:fill="FFFFFF"/>
          <w:lang w:val="en-US"/>
          <w14:ligatures w14:val="none"/>
        </w:rPr>
        <w:t>Health &amp; Social Care in the Community</w:t>
      </w:r>
      <w:r w:rsidRPr="00F21387">
        <w:rPr>
          <w:rFonts w:ascii="Arial" w:eastAsia="Times New Roman" w:hAnsi="Arial" w:cs="Arial"/>
          <w:color w:val="222222"/>
          <w:kern w:val="0"/>
          <w:shd w:val="clear" w:color="auto" w:fill="FFFFFF"/>
          <w:lang w:val="en-US"/>
          <w14:ligatures w14:val="none"/>
        </w:rPr>
        <w:t xml:space="preserve">, [online] 21(6). </w:t>
      </w:r>
      <w:proofErr w:type="spellStart"/>
      <w:r w:rsidRPr="00F21387">
        <w:rPr>
          <w:rFonts w:ascii="Arial" w:eastAsia="Times New Roman" w:hAnsi="Arial" w:cs="Arial"/>
          <w:color w:val="222222"/>
          <w:kern w:val="0"/>
          <w:shd w:val="clear" w:color="auto" w:fill="FFFFFF"/>
          <w:lang w:val="en-US"/>
          <w14:ligatures w14:val="none"/>
        </w:rPr>
        <w:t>doi:</w:t>
      </w:r>
      <w:hyperlink r:id="rId27"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://doi.org/10.1111/hsc.12050</w:t>
        </w:r>
      </w:hyperlink>
      <w:r w:rsidRPr="00F21387">
        <w:rPr>
          <w:rFonts w:ascii="Arial" w:eastAsia="Times New Roman" w:hAnsi="Arial" w:cs="Arial"/>
          <w:color w:val="222222"/>
          <w:kern w:val="0"/>
          <w:shd w:val="clear" w:color="auto" w:fill="FFFFFF"/>
          <w:lang w:val="en-US"/>
          <w14:ligatures w14:val="none"/>
        </w:rPr>
        <w:t>. </w:t>
      </w:r>
    </w:p>
    <w:p w14:paraId="6E644C04"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Skills for Health (2025). </w:t>
      </w:r>
      <w:r w:rsidRPr="00F21387">
        <w:rPr>
          <w:rFonts w:ascii="Arial" w:eastAsia="Times New Roman" w:hAnsi="Arial" w:cs="Arial"/>
          <w:i/>
          <w:iCs/>
          <w:color w:val="222222"/>
          <w:kern w:val="0"/>
          <w:shd w:val="clear" w:color="auto" w:fill="FFFFFF"/>
          <w:lang w:val="en-US"/>
          <w14:ligatures w14:val="none"/>
        </w:rPr>
        <w:t xml:space="preserve">Person </w:t>
      </w:r>
      <w:proofErr w:type="spellStart"/>
      <w:r w:rsidRPr="00F21387">
        <w:rPr>
          <w:rFonts w:ascii="Arial" w:eastAsia="Times New Roman" w:hAnsi="Arial" w:cs="Arial"/>
          <w:i/>
          <w:iCs/>
          <w:color w:val="222222"/>
          <w:kern w:val="0"/>
          <w:shd w:val="clear" w:color="auto" w:fill="FFFFFF"/>
          <w:lang w:val="en-US"/>
          <w14:ligatures w14:val="none"/>
        </w:rPr>
        <w:t>Centred</w:t>
      </w:r>
      <w:proofErr w:type="spellEnd"/>
      <w:r w:rsidRPr="00F21387">
        <w:rPr>
          <w:rFonts w:ascii="Arial" w:eastAsia="Times New Roman" w:hAnsi="Arial" w:cs="Arial"/>
          <w:i/>
          <w:iCs/>
          <w:color w:val="222222"/>
          <w:kern w:val="0"/>
          <w:shd w:val="clear" w:color="auto" w:fill="FFFFFF"/>
          <w:lang w:val="en-US"/>
          <w14:ligatures w14:val="none"/>
        </w:rPr>
        <w:t xml:space="preserve"> Care Meaning &amp; Implications</w:t>
      </w:r>
      <w:r w:rsidRPr="00F21387">
        <w:rPr>
          <w:rFonts w:ascii="Arial" w:eastAsia="Times New Roman" w:hAnsi="Arial" w:cs="Arial"/>
          <w:color w:val="222222"/>
          <w:kern w:val="0"/>
          <w:shd w:val="clear" w:color="auto" w:fill="FFFFFF"/>
          <w:lang w:val="en-US"/>
          <w14:ligatures w14:val="none"/>
        </w:rPr>
        <w:t xml:space="preserve">. [online] Skills for Health. Available at: </w:t>
      </w:r>
      <w:hyperlink r:id="rId28" w:history="1">
        <w:r w:rsidRPr="00F21387">
          <w:rPr>
            <w:rFonts w:ascii="Arial" w:eastAsia="Times New Roman" w:hAnsi="Arial" w:cs="Arial"/>
            <w:color w:val="1155CC"/>
            <w:kern w:val="0"/>
            <w:u w:val="single"/>
            <w:shd w:val="clear" w:color="auto" w:fill="FFFFFF"/>
            <w:lang w:val="en-US"/>
            <w14:ligatures w14:val="none"/>
          </w:rPr>
          <w:t>https://www.skillsforhealth.org.uk/article/person-centred-care-meaning-implications/</w:t>
        </w:r>
      </w:hyperlink>
      <w:r w:rsidRPr="00F21387">
        <w:rPr>
          <w:rFonts w:ascii="Arial" w:eastAsia="Times New Roman" w:hAnsi="Arial" w:cs="Arial"/>
          <w:color w:val="222222"/>
          <w:kern w:val="0"/>
          <w:shd w:val="clear" w:color="auto" w:fill="FFFFFF"/>
          <w:lang w:val="en-US"/>
          <w14:ligatures w14:val="none"/>
        </w:rPr>
        <w:t>. [Accessed on 4 February 2026]</w:t>
      </w:r>
    </w:p>
    <w:p w14:paraId="18C51A9C"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proofErr w:type="spellStart"/>
      <w:r w:rsidRPr="00F21387">
        <w:rPr>
          <w:rFonts w:ascii="Arial" w:eastAsia="Times New Roman" w:hAnsi="Arial" w:cs="Arial"/>
          <w:color w:val="222222"/>
          <w:kern w:val="0"/>
          <w:shd w:val="clear" w:color="auto" w:fill="FFFFFF"/>
          <w:lang w:val="en-US"/>
          <w14:ligatures w14:val="none"/>
        </w:rPr>
        <w:t>Švab</w:t>
      </w:r>
      <w:proofErr w:type="spellEnd"/>
      <w:r w:rsidRPr="00F21387">
        <w:rPr>
          <w:rFonts w:ascii="Arial" w:eastAsia="Times New Roman" w:hAnsi="Arial" w:cs="Arial"/>
          <w:color w:val="222222"/>
          <w:kern w:val="0"/>
          <w:shd w:val="clear" w:color="auto" w:fill="FFFFFF"/>
          <w:lang w:val="en-US"/>
          <w14:ligatures w14:val="none"/>
        </w:rPr>
        <w:t xml:space="preserve">, I. and </w:t>
      </w:r>
      <w:proofErr w:type="spellStart"/>
      <w:r w:rsidRPr="00F21387">
        <w:rPr>
          <w:rFonts w:ascii="Arial" w:eastAsia="Times New Roman" w:hAnsi="Arial" w:cs="Arial"/>
          <w:color w:val="222222"/>
          <w:kern w:val="0"/>
          <w:shd w:val="clear" w:color="auto" w:fill="FFFFFF"/>
          <w:lang w:val="en-US"/>
          <w14:ligatures w14:val="none"/>
        </w:rPr>
        <w:t>Cerovečki</w:t>
      </w:r>
      <w:proofErr w:type="spellEnd"/>
      <w:r w:rsidRPr="00F21387">
        <w:rPr>
          <w:rFonts w:ascii="Arial" w:eastAsia="Times New Roman" w:hAnsi="Arial" w:cs="Arial"/>
          <w:color w:val="222222"/>
          <w:kern w:val="0"/>
          <w:shd w:val="clear" w:color="auto" w:fill="FFFFFF"/>
          <w:lang w:val="en-US"/>
          <w14:ligatures w14:val="none"/>
        </w:rPr>
        <w:t xml:space="preserve">, V. (2024). </w:t>
      </w:r>
      <w:proofErr w:type="spellStart"/>
      <w:r w:rsidRPr="00F21387">
        <w:rPr>
          <w:rFonts w:ascii="Arial" w:eastAsia="Times New Roman" w:hAnsi="Arial" w:cs="Arial"/>
          <w:color w:val="222222"/>
          <w:kern w:val="0"/>
          <w:shd w:val="clear" w:color="auto" w:fill="FFFFFF"/>
          <w:lang w:val="en-US"/>
          <w14:ligatures w14:val="none"/>
        </w:rPr>
        <w:t>Person-centred</w:t>
      </w:r>
      <w:proofErr w:type="spellEnd"/>
      <w:r w:rsidRPr="00F21387">
        <w:rPr>
          <w:rFonts w:ascii="Arial" w:eastAsia="Times New Roman" w:hAnsi="Arial" w:cs="Arial"/>
          <w:color w:val="222222"/>
          <w:kern w:val="0"/>
          <w:shd w:val="clear" w:color="auto" w:fill="FFFFFF"/>
          <w:lang w:val="en-US"/>
          <w14:ligatures w14:val="none"/>
        </w:rPr>
        <w:t xml:space="preserve"> care, a core concept of family medicine. </w:t>
      </w:r>
      <w:r w:rsidRPr="00F21387">
        <w:rPr>
          <w:rFonts w:ascii="Arial" w:eastAsia="Times New Roman" w:hAnsi="Arial" w:cs="Arial"/>
          <w:i/>
          <w:iCs/>
          <w:color w:val="222222"/>
          <w:kern w:val="0"/>
          <w:shd w:val="clear" w:color="auto" w:fill="FFFFFF"/>
          <w:lang w:val="en-US"/>
          <w14:ligatures w14:val="none"/>
        </w:rPr>
        <w:t>European Journal of General Practice</w:t>
      </w:r>
      <w:r w:rsidRPr="00F21387">
        <w:rPr>
          <w:rFonts w:ascii="Arial" w:eastAsia="Times New Roman" w:hAnsi="Arial" w:cs="Arial"/>
          <w:color w:val="222222"/>
          <w:kern w:val="0"/>
          <w:shd w:val="clear" w:color="auto" w:fill="FFFFFF"/>
          <w:lang w:val="en-US"/>
          <w14:ligatures w14:val="none"/>
        </w:rPr>
        <w:t xml:space="preserve">, [online] 30(1), pp.1–5. </w:t>
      </w:r>
      <w:proofErr w:type="spellStart"/>
      <w:r w:rsidRPr="00F21387">
        <w:rPr>
          <w:rFonts w:ascii="Arial" w:eastAsia="Times New Roman" w:hAnsi="Arial" w:cs="Arial"/>
          <w:color w:val="222222"/>
          <w:kern w:val="0"/>
          <w:shd w:val="clear" w:color="auto" w:fill="FFFFFF"/>
          <w:lang w:val="en-US"/>
          <w14:ligatures w14:val="none"/>
        </w:rPr>
        <w:t>doi:</w:t>
      </w:r>
      <w:hyperlink r:id="rId29"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://doi.org/10.1080/13814788.2024.2393860</w:t>
        </w:r>
      </w:hyperlink>
      <w:r w:rsidRPr="00F21387">
        <w:rPr>
          <w:rFonts w:ascii="Arial" w:eastAsia="Times New Roman" w:hAnsi="Arial" w:cs="Arial"/>
          <w:color w:val="222222"/>
          <w:kern w:val="0"/>
          <w:shd w:val="clear" w:color="auto" w:fill="FFFFFF"/>
          <w:lang w:val="en-US"/>
          <w14:ligatures w14:val="none"/>
        </w:rPr>
        <w:t>. </w:t>
      </w:r>
    </w:p>
    <w:p w14:paraId="5C9A8E8A"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 xml:space="preserve">Thomson, M., Waterson, H. and Chatterjee, H.J. (2024). Successes and challenges of partnership working to tackle health inequalities using collaborative approaches to community-based research: mixed methods analysis of focus group evidence. </w:t>
      </w:r>
      <w:r w:rsidRPr="00F21387">
        <w:rPr>
          <w:rFonts w:ascii="Arial" w:eastAsia="Times New Roman" w:hAnsi="Arial" w:cs="Arial"/>
          <w:i/>
          <w:iCs/>
          <w:color w:val="222222"/>
          <w:kern w:val="0"/>
          <w:shd w:val="clear" w:color="auto" w:fill="FFFFFF"/>
          <w:lang w:val="en-US"/>
          <w14:ligatures w14:val="none"/>
        </w:rPr>
        <w:t>International journal for equity in health</w:t>
      </w:r>
      <w:r w:rsidRPr="00F21387">
        <w:rPr>
          <w:rFonts w:ascii="Arial" w:eastAsia="Times New Roman" w:hAnsi="Arial" w:cs="Arial"/>
          <w:color w:val="222222"/>
          <w:kern w:val="0"/>
          <w:shd w:val="clear" w:color="auto" w:fill="FFFFFF"/>
          <w:lang w:val="en-US"/>
          <w14:ligatures w14:val="none"/>
        </w:rPr>
        <w:t xml:space="preserve">, [online] 23(1). </w:t>
      </w:r>
      <w:proofErr w:type="spellStart"/>
      <w:r w:rsidRPr="00F21387">
        <w:rPr>
          <w:rFonts w:ascii="Arial" w:eastAsia="Times New Roman" w:hAnsi="Arial" w:cs="Arial"/>
          <w:color w:val="222222"/>
          <w:kern w:val="0"/>
          <w:shd w:val="clear" w:color="auto" w:fill="FFFFFF"/>
          <w:lang w:val="en-US"/>
          <w14:ligatures w14:val="none"/>
        </w:rPr>
        <w:t>doi:</w:t>
      </w:r>
      <w:hyperlink r:id="rId30"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://doi.org/10.1186/s12939-024-02216-1</w:t>
        </w:r>
      </w:hyperlink>
      <w:r w:rsidRPr="00F21387">
        <w:rPr>
          <w:rFonts w:ascii="Arial" w:eastAsia="Times New Roman" w:hAnsi="Arial" w:cs="Arial"/>
          <w:color w:val="222222"/>
          <w:kern w:val="0"/>
          <w:shd w:val="clear" w:color="auto" w:fill="FFFFFF"/>
          <w:lang w:val="en-US"/>
          <w14:ligatures w14:val="none"/>
        </w:rPr>
        <w:t>. </w:t>
      </w:r>
    </w:p>
    <w:p w14:paraId="305B22FE" w14:textId="77777777" w:rsidR="00F21387" w:rsidRPr="00F21387" w:rsidRDefault="00F21387" w:rsidP="00F21387">
      <w:pPr>
        <w:spacing w:after="0" w:line="360" w:lineRule="auto"/>
        <w:ind w:left="720" w:hanging="720"/>
        <w:jc w:val="both"/>
        <w:rPr>
          <w:rFonts w:ascii="Arial" w:eastAsia="Times New Roman" w:hAnsi="Arial" w:cs="Arial"/>
          <w:kern w:val="0"/>
          <w:lang w:val="en-US"/>
          <w14:ligatures w14:val="none"/>
        </w:rPr>
      </w:pPr>
      <w:proofErr w:type="spellStart"/>
      <w:r w:rsidRPr="00F21387">
        <w:rPr>
          <w:rFonts w:ascii="Arial" w:eastAsia="Times New Roman" w:hAnsi="Arial" w:cs="Arial"/>
          <w:color w:val="222222"/>
          <w:kern w:val="0"/>
          <w:shd w:val="clear" w:color="auto" w:fill="FFFFFF"/>
          <w:lang w:val="en-US"/>
          <w14:ligatures w14:val="none"/>
        </w:rPr>
        <w:t>Varkey</w:t>
      </w:r>
      <w:proofErr w:type="spellEnd"/>
      <w:r w:rsidRPr="00F21387">
        <w:rPr>
          <w:rFonts w:ascii="Arial" w:eastAsia="Times New Roman" w:hAnsi="Arial" w:cs="Arial"/>
          <w:color w:val="222222"/>
          <w:kern w:val="0"/>
          <w:shd w:val="clear" w:color="auto" w:fill="FFFFFF"/>
          <w:lang w:val="en-US"/>
          <w14:ligatures w14:val="none"/>
        </w:rPr>
        <w:t xml:space="preserve">, B. (2021). Principles of Clinical Ethics and Their Application to Practice. </w:t>
      </w:r>
      <w:r w:rsidRPr="00F21387">
        <w:rPr>
          <w:rFonts w:ascii="Arial" w:eastAsia="Times New Roman" w:hAnsi="Arial" w:cs="Arial"/>
          <w:i/>
          <w:iCs/>
          <w:color w:val="222222"/>
          <w:kern w:val="0"/>
          <w:shd w:val="clear" w:color="auto" w:fill="FFFFFF"/>
          <w:lang w:val="en-US"/>
          <w14:ligatures w14:val="none"/>
        </w:rPr>
        <w:t>Medical Principles and Practice</w:t>
      </w:r>
      <w:r w:rsidRPr="00F21387">
        <w:rPr>
          <w:rFonts w:ascii="Arial" w:eastAsia="Times New Roman" w:hAnsi="Arial" w:cs="Arial"/>
          <w:color w:val="222222"/>
          <w:kern w:val="0"/>
          <w:shd w:val="clear" w:color="auto" w:fill="FFFFFF"/>
          <w:lang w:val="en-US"/>
          <w14:ligatures w14:val="none"/>
        </w:rPr>
        <w:t xml:space="preserve">, [online] 30(1), pp.17–28. </w:t>
      </w:r>
      <w:proofErr w:type="spellStart"/>
      <w:r w:rsidRPr="00F21387">
        <w:rPr>
          <w:rFonts w:ascii="Arial" w:eastAsia="Times New Roman" w:hAnsi="Arial" w:cs="Arial"/>
          <w:color w:val="222222"/>
          <w:kern w:val="0"/>
          <w:shd w:val="clear" w:color="auto" w:fill="FFFFFF"/>
          <w:lang w:val="en-US"/>
          <w14:ligatures w14:val="none"/>
        </w:rPr>
        <w:t>doi:</w:t>
      </w:r>
      <w:hyperlink r:id="rId31" w:history="1">
        <w:r w:rsidRPr="00F21387">
          <w:rPr>
            <w:rFonts w:ascii="Arial" w:eastAsia="Times New Roman" w:hAnsi="Arial" w:cs="Arial"/>
            <w:color w:val="1155CC"/>
            <w:kern w:val="0"/>
            <w:u w:val="single"/>
            <w:shd w:val="clear" w:color="auto" w:fill="FFFFFF"/>
            <w:lang w:val="en-US"/>
            <w14:ligatures w14:val="none"/>
          </w:rPr>
          <w:t>https</w:t>
        </w:r>
        <w:proofErr w:type="spellEnd"/>
        <w:r w:rsidRPr="00F21387">
          <w:rPr>
            <w:rFonts w:ascii="Arial" w:eastAsia="Times New Roman" w:hAnsi="Arial" w:cs="Arial"/>
            <w:color w:val="1155CC"/>
            <w:kern w:val="0"/>
            <w:u w:val="single"/>
            <w:shd w:val="clear" w:color="auto" w:fill="FFFFFF"/>
            <w:lang w:val="en-US"/>
            <w14:ligatures w14:val="none"/>
          </w:rPr>
          <w:t>://doi.org/10.1159/000509119</w:t>
        </w:r>
      </w:hyperlink>
      <w:r w:rsidRPr="00F21387">
        <w:rPr>
          <w:rFonts w:ascii="Arial" w:eastAsia="Times New Roman" w:hAnsi="Arial" w:cs="Arial"/>
          <w:color w:val="222222"/>
          <w:kern w:val="0"/>
          <w:shd w:val="clear" w:color="auto" w:fill="FFFFFF"/>
          <w:lang w:val="en-US"/>
          <w14:ligatures w14:val="none"/>
        </w:rPr>
        <w:t>. </w:t>
      </w:r>
    </w:p>
    <w:p w14:paraId="335A4277" w14:textId="77777777" w:rsidR="00F21387" w:rsidRPr="00F21387" w:rsidRDefault="00F21387" w:rsidP="00F21387">
      <w:pPr>
        <w:spacing w:before="240" w:after="240" w:line="360" w:lineRule="auto"/>
        <w:ind w:left="720" w:hanging="720"/>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w:t>
      </w:r>
    </w:p>
    <w:p w14:paraId="28B4A10E" w14:textId="77777777" w:rsidR="00F21387" w:rsidRPr="00F21387" w:rsidRDefault="00F21387" w:rsidP="00F21387">
      <w:pPr>
        <w:spacing w:after="0" w:line="360" w:lineRule="auto"/>
        <w:jc w:val="both"/>
        <w:rPr>
          <w:rFonts w:ascii="Arial" w:eastAsia="Times New Roman" w:hAnsi="Arial" w:cs="Arial"/>
          <w:kern w:val="0"/>
          <w:lang w:val="en-US"/>
          <w14:ligatures w14:val="none"/>
        </w:rPr>
      </w:pPr>
    </w:p>
    <w:p w14:paraId="3493570D" w14:textId="77777777" w:rsidR="00F21387" w:rsidRPr="00F21387" w:rsidRDefault="00F21387" w:rsidP="00F21387">
      <w:pPr>
        <w:spacing w:before="240" w:after="240" w:line="360" w:lineRule="auto"/>
        <w:jc w:val="both"/>
        <w:rPr>
          <w:rFonts w:ascii="Arial" w:eastAsia="Times New Roman" w:hAnsi="Arial" w:cs="Arial"/>
          <w:kern w:val="0"/>
          <w:lang w:val="en-US"/>
          <w14:ligatures w14:val="none"/>
        </w:rPr>
      </w:pPr>
      <w:r w:rsidRPr="00F21387">
        <w:rPr>
          <w:rFonts w:ascii="Arial" w:eastAsia="Times New Roman" w:hAnsi="Arial" w:cs="Arial"/>
          <w:color w:val="222222"/>
          <w:kern w:val="0"/>
          <w:shd w:val="clear" w:color="auto" w:fill="FFFFFF"/>
          <w:lang w:val="en-US"/>
          <w14:ligatures w14:val="none"/>
        </w:rPr>
        <w:t>‌</w:t>
      </w:r>
    </w:p>
    <w:p w14:paraId="03CE29CC" w14:textId="77777777" w:rsidR="00F21387" w:rsidRPr="00F21387" w:rsidRDefault="00F21387" w:rsidP="00F21387">
      <w:pPr>
        <w:spacing w:line="360" w:lineRule="auto"/>
        <w:jc w:val="both"/>
        <w:rPr>
          <w:rFonts w:ascii="Arial" w:hAnsi="Arial" w:cs="Arial"/>
          <w:b/>
          <w:bCs/>
        </w:rPr>
      </w:pPr>
    </w:p>
    <w:sectPr w:rsidR="00F21387" w:rsidRPr="00F21387" w:rsidSect="007B7D93">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F59EA" w14:textId="77777777" w:rsidR="00AB3464" w:rsidRDefault="00AB3464" w:rsidP="00A14862">
      <w:pPr>
        <w:spacing w:after="0" w:line="240" w:lineRule="auto"/>
      </w:pPr>
      <w:r>
        <w:separator/>
      </w:r>
    </w:p>
  </w:endnote>
  <w:endnote w:type="continuationSeparator" w:id="0">
    <w:p w14:paraId="1A667ACD" w14:textId="77777777" w:rsidR="00AB3464" w:rsidRDefault="00AB3464" w:rsidP="00A14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192541"/>
      <w:docPartObj>
        <w:docPartGallery w:val="Page Numbers (Bottom of Page)"/>
        <w:docPartUnique/>
      </w:docPartObj>
    </w:sdtPr>
    <w:sdtEndPr>
      <w:rPr>
        <w:noProof/>
      </w:rPr>
    </w:sdtEndPr>
    <w:sdtContent>
      <w:p w14:paraId="146EBAB9" w14:textId="0C874A10" w:rsidR="00A14862" w:rsidRDefault="00A148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5A8F90" w14:textId="77777777" w:rsidR="00A14862" w:rsidRDefault="00A1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72EC8" w14:textId="77777777" w:rsidR="00AB3464" w:rsidRDefault="00AB3464" w:rsidP="00A14862">
      <w:pPr>
        <w:spacing w:after="0" w:line="240" w:lineRule="auto"/>
      </w:pPr>
      <w:r>
        <w:separator/>
      </w:r>
    </w:p>
  </w:footnote>
  <w:footnote w:type="continuationSeparator" w:id="0">
    <w:p w14:paraId="33A741B2" w14:textId="77777777" w:rsidR="00AB3464" w:rsidRDefault="00AB3464" w:rsidP="00A14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82E68"/>
    <w:multiLevelType w:val="multilevel"/>
    <w:tmpl w:val="914A44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C073CA4"/>
    <w:multiLevelType w:val="multilevel"/>
    <w:tmpl w:val="2820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D93A9D"/>
    <w:multiLevelType w:val="multilevel"/>
    <w:tmpl w:val="C12433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1135F5"/>
    <w:multiLevelType w:val="multilevel"/>
    <w:tmpl w:val="7B94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7E211E"/>
    <w:multiLevelType w:val="multilevel"/>
    <w:tmpl w:val="8E4E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2110542367">
    <w:abstractNumId w:val="5"/>
  </w:num>
  <w:num w:numId="2" w16cid:durableId="1110398176">
    <w:abstractNumId w:val="3"/>
  </w:num>
  <w:num w:numId="3" w16cid:durableId="1449664090">
    <w:abstractNumId w:val="1"/>
  </w:num>
  <w:num w:numId="4" w16cid:durableId="1174299306">
    <w:abstractNumId w:val="4"/>
  </w:num>
  <w:num w:numId="5" w16cid:durableId="1211962238">
    <w:abstractNumId w:val="2"/>
  </w:num>
  <w:num w:numId="6" w16cid:durableId="1421214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77E"/>
    <w:rsid w:val="0001477E"/>
    <w:rsid w:val="0006256D"/>
    <w:rsid w:val="00085B30"/>
    <w:rsid w:val="000C72C4"/>
    <w:rsid w:val="000E5E32"/>
    <w:rsid w:val="001139BC"/>
    <w:rsid w:val="00126D26"/>
    <w:rsid w:val="00147985"/>
    <w:rsid w:val="00172F9C"/>
    <w:rsid w:val="001C479F"/>
    <w:rsid w:val="001E203A"/>
    <w:rsid w:val="00216FD7"/>
    <w:rsid w:val="00245904"/>
    <w:rsid w:val="002519D9"/>
    <w:rsid w:val="00265C60"/>
    <w:rsid w:val="002702E6"/>
    <w:rsid w:val="002F20FC"/>
    <w:rsid w:val="00312581"/>
    <w:rsid w:val="003337DE"/>
    <w:rsid w:val="00360D1F"/>
    <w:rsid w:val="003651B2"/>
    <w:rsid w:val="003828BE"/>
    <w:rsid w:val="00392250"/>
    <w:rsid w:val="003A681B"/>
    <w:rsid w:val="003F6458"/>
    <w:rsid w:val="00423B83"/>
    <w:rsid w:val="004304A8"/>
    <w:rsid w:val="0049276B"/>
    <w:rsid w:val="004A7496"/>
    <w:rsid w:val="004E6E92"/>
    <w:rsid w:val="004E7BDD"/>
    <w:rsid w:val="0051187A"/>
    <w:rsid w:val="00521048"/>
    <w:rsid w:val="00552331"/>
    <w:rsid w:val="0057578D"/>
    <w:rsid w:val="00593749"/>
    <w:rsid w:val="00632666"/>
    <w:rsid w:val="006370FA"/>
    <w:rsid w:val="006456D2"/>
    <w:rsid w:val="00660354"/>
    <w:rsid w:val="0066334D"/>
    <w:rsid w:val="00666079"/>
    <w:rsid w:val="00672B8F"/>
    <w:rsid w:val="006A488F"/>
    <w:rsid w:val="006B242B"/>
    <w:rsid w:val="006F4497"/>
    <w:rsid w:val="007559DF"/>
    <w:rsid w:val="00784CAB"/>
    <w:rsid w:val="007A3656"/>
    <w:rsid w:val="007B6A63"/>
    <w:rsid w:val="007B7D93"/>
    <w:rsid w:val="007D0705"/>
    <w:rsid w:val="007E0D9F"/>
    <w:rsid w:val="007F51C6"/>
    <w:rsid w:val="00825C1C"/>
    <w:rsid w:val="008347F3"/>
    <w:rsid w:val="00864CCC"/>
    <w:rsid w:val="00891E3B"/>
    <w:rsid w:val="008C5F99"/>
    <w:rsid w:val="008D0EBE"/>
    <w:rsid w:val="008E43E9"/>
    <w:rsid w:val="008F7093"/>
    <w:rsid w:val="00904162"/>
    <w:rsid w:val="00931771"/>
    <w:rsid w:val="009A4D78"/>
    <w:rsid w:val="009C06F4"/>
    <w:rsid w:val="009D5968"/>
    <w:rsid w:val="00A14862"/>
    <w:rsid w:val="00A16A48"/>
    <w:rsid w:val="00A21263"/>
    <w:rsid w:val="00A50A93"/>
    <w:rsid w:val="00A50D40"/>
    <w:rsid w:val="00A511A6"/>
    <w:rsid w:val="00A516A7"/>
    <w:rsid w:val="00A81969"/>
    <w:rsid w:val="00A95571"/>
    <w:rsid w:val="00AB3464"/>
    <w:rsid w:val="00AC50B1"/>
    <w:rsid w:val="00AD74BE"/>
    <w:rsid w:val="00AF335A"/>
    <w:rsid w:val="00B01BCE"/>
    <w:rsid w:val="00B040CB"/>
    <w:rsid w:val="00B13657"/>
    <w:rsid w:val="00B42E6E"/>
    <w:rsid w:val="00B56D4D"/>
    <w:rsid w:val="00B625DE"/>
    <w:rsid w:val="00B81C60"/>
    <w:rsid w:val="00B92AED"/>
    <w:rsid w:val="00BB1E01"/>
    <w:rsid w:val="00BB5C9B"/>
    <w:rsid w:val="00BD685D"/>
    <w:rsid w:val="00BF3DFF"/>
    <w:rsid w:val="00C37235"/>
    <w:rsid w:val="00C940DF"/>
    <w:rsid w:val="00CA3169"/>
    <w:rsid w:val="00CA74A6"/>
    <w:rsid w:val="00CF0AD8"/>
    <w:rsid w:val="00D1503F"/>
    <w:rsid w:val="00D4711D"/>
    <w:rsid w:val="00D52C5A"/>
    <w:rsid w:val="00D82FB0"/>
    <w:rsid w:val="00D90061"/>
    <w:rsid w:val="00D92233"/>
    <w:rsid w:val="00DA40F0"/>
    <w:rsid w:val="00E0446D"/>
    <w:rsid w:val="00E1305C"/>
    <w:rsid w:val="00E20007"/>
    <w:rsid w:val="00E55206"/>
    <w:rsid w:val="00E61627"/>
    <w:rsid w:val="00E61754"/>
    <w:rsid w:val="00EA30C1"/>
    <w:rsid w:val="00EB57A9"/>
    <w:rsid w:val="00EB6A97"/>
    <w:rsid w:val="00F21387"/>
    <w:rsid w:val="00F370EF"/>
    <w:rsid w:val="00F9636A"/>
    <w:rsid w:val="00FB57CE"/>
    <w:rsid w:val="00FC08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47FAB"/>
  <w15:chartTrackingRefBased/>
  <w15:docId w15:val="{12DA1184-6FD6-411A-8E5F-811D5C12E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21387"/>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link w:val="Heading2Char"/>
    <w:uiPriority w:val="9"/>
    <w:qFormat/>
    <w:rsid w:val="00BB5C9B"/>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14:ligatures w14:val="none"/>
    </w:rPr>
  </w:style>
  <w:style w:type="paragraph" w:styleId="Heading3">
    <w:name w:val="heading 3"/>
    <w:basedOn w:val="Normal"/>
    <w:next w:val="Normal"/>
    <w:link w:val="Heading3Char"/>
    <w:uiPriority w:val="9"/>
    <w:semiHidden/>
    <w:unhideWhenUsed/>
    <w:qFormat/>
    <w:rsid w:val="00085B30"/>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87A"/>
    <w:rPr>
      <w:color w:val="0000FF"/>
      <w:u w:val="single"/>
    </w:rPr>
  </w:style>
  <w:style w:type="character" w:styleId="UnresolvedMention">
    <w:name w:val="Unresolved Mention"/>
    <w:basedOn w:val="DefaultParagraphFont"/>
    <w:uiPriority w:val="99"/>
    <w:semiHidden/>
    <w:unhideWhenUsed/>
    <w:rsid w:val="0051187A"/>
    <w:rPr>
      <w:color w:val="605E5C"/>
      <w:shd w:val="clear" w:color="auto" w:fill="E1DFDD"/>
    </w:rPr>
  </w:style>
  <w:style w:type="paragraph" w:styleId="NormalWeb">
    <w:name w:val="Normal (Web)"/>
    <w:basedOn w:val="Normal"/>
    <w:uiPriority w:val="99"/>
    <w:unhideWhenUsed/>
    <w:rsid w:val="0049276B"/>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vkekvd">
    <w:name w:val="vkekvd"/>
    <w:basedOn w:val="DefaultParagraphFont"/>
    <w:rsid w:val="009C06F4"/>
  </w:style>
  <w:style w:type="character" w:styleId="Strong">
    <w:name w:val="Strong"/>
    <w:basedOn w:val="DefaultParagraphFont"/>
    <w:uiPriority w:val="22"/>
    <w:qFormat/>
    <w:rsid w:val="00CA74A6"/>
    <w:rPr>
      <w:b/>
      <w:bCs/>
    </w:rPr>
  </w:style>
  <w:style w:type="character" w:customStyle="1" w:styleId="t286pc">
    <w:name w:val="t286pc"/>
    <w:basedOn w:val="DefaultParagraphFont"/>
    <w:rsid w:val="00CA74A6"/>
  </w:style>
  <w:style w:type="character" w:customStyle="1" w:styleId="Heading2Char">
    <w:name w:val="Heading 2 Char"/>
    <w:basedOn w:val="DefaultParagraphFont"/>
    <w:link w:val="Heading2"/>
    <w:uiPriority w:val="9"/>
    <w:rsid w:val="00BB5C9B"/>
    <w:rPr>
      <w:rFonts w:ascii="Times New Roman" w:eastAsia="Times New Roman" w:hAnsi="Times New Roman" w:cs="Times New Roman"/>
      <w:b/>
      <w:bCs/>
      <w:kern w:val="0"/>
      <w:sz w:val="36"/>
      <w:szCs w:val="36"/>
      <w14:ligatures w14:val="none"/>
    </w:rPr>
  </w:style>
  <w:style w:type="paragraph" w:styleId="ListParagraph">
    <w:name w:val="List Paragraph"/>
    <w:basedOn w:val="Normal"/>
    <w:uiPriority w:val="34"/>
    <w:qFormat/>
    <w:rsid w:val="00CA3169"/>
    <w:pPr>
      <w:ind w:left="720"/>
      <w:contextualSpacing/>
    </w:pPr>
  </w:style>
  <w:style w:type="character" w:customStyle="1" w:styleId="Heading3Char">
    <w:name w:val="Heading 3 Char"/>
    <w:basedOn w:val="DefaultParagraphFont"/>
    <w:link w:val="Heading3"/>
    <w:uiPriority w:val="9"/>
    <w:semiHidden/>
    <w:rsid w:val="00085B30"/>
    <w:rPr>
      <w:rFonts w:asciiTheme="majorHAnsi" w:eastAsiaTheme="majorEastAsia" w:hAnsiTheme="majorHAnsi" w:cstheme="majorBidi"/>
      <w:color w:val="0A2F40" w:themeColor="accent1" w:themeShade="7F"/>
      <w:sz w:val="24"/>
      <w:szCs w:val="24"/>
      <w:lang w:val="en-GB"/>
    </w:rPr>
  </w:style>
  <w:style w:type="character" w:customStyle="1" w:styleId="Heading1Char">
    <w:name w:val="Heading 1 Char"/>
    <w:basedOn w:val="DefaultParagraphFont"/>
    <w:link w:val="Heading1"/>
    <w:uiPriority w:val="9"/>
    <w:rsid w:val="00F21387"/>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F21387"/>
    <w:pPr>
      <w:outlineLvl w:val="9"/>
    </w:pPr>
    <w:rPr>
      <w:kern w:val="0"/>
      <w:lang w:val="en-US"/>
      <w14:ligatures w14:val="none"/>
    </w:rPr>
  </w:style>
  <w:style w:type="paragraph" w:styleId="TOC1">
    <w:name w:val="toc 1"/>
    <w:basedOn w:val="Normal"/>
    <w:next w:val="Normal"/>
    <w:autoRedefine/>
    <w:uiPriority w:val="39"/>
    <w:unhideWhenUsed/>
    <w:rsid w:val="00F21387"/>
    <w:pPr>
      <w:spacing w:after="100"/>
    </w:pPr>
  </w:style>
  <w:style w:type="paragraph" w:styleId="Header">
    <w:name w:val="header"/>
    <w:basedOn w:val="Normal"/>
    <w:link w:val="HeaderChar"/>
    <w:uiPriority w:val="99"/>
    <w:unhideWhenUsed/>
    <w:rsid w:val="00A148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862"/>
    <w:rPr>
      <w:lang w:val="en-GB"/>
    </w:rPr>
  </w:style>
  <w:style w:type="paragraph" w:styleId="Footer">
    <w:name w:val="footer"/>
    <w:basedOn w:val="Normal"/>
    <w:link w:val="FooterChar"/>
    <w:uiPriority w:val="99"/>
    <w:unhideWhenUsed/>
    <w:rsid w:val="00A148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86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67397">
      <w:bodyDiv w:val="1"/>
      <w:marLeft w:val="0"/>
      <w:marRight w:val="0"/>
      <w:marTop w:val="0"/>
      <w:marBottom w:val="0"/>
      <w:divBdr>
        <w:top w:val="none" w:sz="0" w:space="0" w:color="auto"/>
        <w:left w:val="none" w:sz="0" w:space="0" w:color="auto"/>
        <w:bottom w:val="none" w:sz="0" w:space="0" w:color="auto"/>
        <w:right w:val="none" w:sz="0" w:space="0" w:color="auto"/>
      </w:divBdr>
    </w:div>
    <w:div w:id="154225139">
      <w:bodyDiv w:val="1"/>
      <w:marLeft w:val="0"/>
      <w:marRight w:val="0"/>
      <w:marTop w:val="0"/>
      <w:marBottom w:val="0"/>
      <w:divBdr>
        <w:top w:val="none" w:sz="0" w:space="0" w:color="auto"/>
        <w:left w:val="none" w:sz="0" w:space="0" w:color="auto"/>
        <w:bottom w:val="none" w:sz="0" w:space="0" w:color="auto"/>
        <w:right w:val="none" w:sz="0" w:space="0" w:color="auto"/>
      </w:divBdr>
    </w:div>
    <w:div w:id="155072839">
      <w:bodyDiv w:val="1"/>
      <w:marLeft w:val="0"/>
      <w:marRight w:val="0"/>
      <w:marTop w:val="0"/>
      <w:marBottom w:val="0"/>
      <w:divBdr>
        <w:top w:val="none" w:sz="0" w:space="0" w:color="auto"/>
        <w:left w:val="none" w:sz="0" w:space="0" w:color="auto"/>
        <w:bottom w:val="none" w:sz="0" w:space="0" w:color="auto"/>
        <w:right w:val="none" w:sz="0" w:space="0" w:color="auto"/>
      </w:divBdr>
      <w:divsChild>
        <w:div w:id="22900350">
          <w:marLeft w:val="0"/>
          <w:marRight w:val="0"/>
          <w:marTop w:val="0"/>
          <w:marBottom w:val="0"/>
          <w:divBdr>
            <w:top w:val="none" w:sz="0" w:space="0" w:color="auto"/>
            <w:left w:val="none" w:sz="0" w:space="0" w:color="auto"/>
            <w:bottom w:val="none" w:sz="0" w:space="0" w:color="auto"/>
            <w:right w:val="none" w:sz="0" w:space="0" w:color="auto"/>
          </w:divBdr>
        </w:div>
      </w:divsChild>
    </w:div>
    <w:div w:id="421800373">
      <w:bodyDiv w:val="1"/>
      <w:marLeft w:val="0"/>
      <w:marRight w:val="0"/>
      <w:marTop w:val="0"/>
      <w:marBottom w:val="0"/>
      <w:divBdr>
        <w:top w:val="none" w:sz="0" w:space="0" w:color="auto"/>
        <w:left w:val="none" w:sz="0" w:space="0" w:color="auto"/>
        <w:bottom w:val="none" w:sz="0" w:space="0" w:color="auto"/>
        <w:right w:val="none" w:sz="0" w:space="0" w:color="auto"/>
      </w:divBdr>
    </w:div>
    <w:div w:id="425229905">
      <w:bodyDiv w:val="1"/>
      <w:marLeft w:val="0"/>
      <w:marRight w:val="0"/>
      <w:marTop w:val="0"/>
      <w:marBottom w:val="0"/>
      <w:divBdr>
        <w:top w:val="none" w:sz="0" w:space="0" w:color="auto"/>
        <w:left w:val="none" w:sz="0" w:space="0" w:color="auto"/>
        <w:bottom w:val="none" w:sz="0" w:space="0" w:color="auto"/>
        <w:right w:val="none" w:sz="0" w:space="0" w:color="auto"/>
      </w:divBdr>
      <w:divsChild>
        <w:div w:id="279073562">
          <w:marLeft w:val="0"/>
          <w:marRight w:val="0"/>
          <w:marTop w:val="0"/>
          <w:marBottom w:val="0"/>
          <w:divBdr>
            <w:top w:val="none" w:sz="0" w:space="0" w:color="auto"/>
            <w:left w:val="none" w:sz="0" w:space="0" w:color="auto"/>
            <w:bottom w:val="none" w:sz="0" w:space="0" w:color="auto"/>
            <w:right w:val="none" w:sz="0" w:space="0" w:color="auto"/>
          </w:divBdr>
          <w:divsChild>
            <w:div w:id="1212569747">
              <w:marLeft w:val="0"/>
              <w:marRight w:val="0"/>
              <w:marTop w:val="0"/>
              <w:marBottom w:val="0"/>
              <w:divBdr>
                <w:top w:val="none" w:sz="0" w:space="0" w:color="auto"/>
                <w:left w:val="none" w:sz="0" w:space="0" w:color="auto"/>
                <w:bottom w:val="none" w:sz="0" w:space="0" w:color="auto"/>
                <w:right w:val="none" w:sz="0" w:space="0" w:color="auto"/>
              </w:divBdr>
              <w:divsChild>
                <w:div w:id="117815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427958">
      <w:bodyDiv w:val="1"/>
      <w:marLeft w:val="0"/>
      <w:marRight w:val="0"/>
      <w:marTop w:val="0"/>
      <w:marBottom w:val="0"/>
      <w:divBdr>
        <w:top w:val="none" w:sz="0" w:space="0" w:color="auto"/>
        <w:left w:val="none" w:sz="0" w:space="0" w:color="auto"/>
        <w:bottom w:val="none" w:sz="0" w:space="0" w:color="auto"/>
        <w:right w:val="none" w:sz="0" w:space="0" w:color="auto"/>
      </w:divBdr>
    </w:div>
    <w:div w:id="624434209">
      <w:bodyDiv w:val="1"/>
      <w:marLeft w:val="0"/>
      <w:marRight w:val="0"/>
      <w:marTop w:val="0"/>
      <w:marBottom w:val="0"/>
      <w:divBdr>
        <w:top w:val="none" w:sz="0" w:space="0" w:color="auto"/>
        <w:left w:val="none" w:sz="0" w:space="0" w:color="auto"/>
        <w:bottom w:val="none" w:sz="0" w:space="0" w:color="auto"/>
        <w:right w:val="none" w:sz="0" w:space="0" w:color="auto"/>
      </w:divBdr>
    </w:div>
    <w:div w:id="1091049126">
      <w:bodyDiv w:val="1"/>
      <w:marLeft w:val="0"/>
      <w:marRight w:val="0"/>
      <w:marTop w:val="0"/>
      <w:marBottom w:val="0"/>
      <w:divBdr>
        <w:top w:val="none" w:sz="0" w:space="0" w:color="auto"/>
        <w:left w:val="none" w:sz="0" w:space="0" w:color="auto"/>
        <w:bottom w:val="none" w:sz="0" w:space="0" w:color="auto"/>
        <w:right w:val="none" w:sz="0" w:space="0" w:color="auto"/>
      </w:divBdr>
    </w:div>
    <w:div w:id="1413040426">
      <w:bodyDiv w:val="1"/>
      <w:marLeft w:val="0"/>
      <w:marRight w:val="0"/>
      <w:marTop w:val="0"/>
      <w:marBottom w:val="0"/>
      <w:divBdr>
        <w:top w:val="none" w:sz="0" w:space="0" w:color="auto"/>
        <w:left w:val="none" w:sz="0" w:space="0" w:color="auto"/>
        <w:bottom w:val="none" w:sz="0" w:space="0" w:color="auto"/>
        <w:right w:val="none" w:sz="0" w:space="0" w:color="auto"/>
      </w:divBdr>
    </w:div>
    <w:div w:id="1479299086">
      <w:bodyDiv w:val="1"/>
      <w:marLeft w:val="0"/>
      <w:marRight w:val="0"/>
      <w:marTop w:val="0"/>
      <w:marBottom w:val="0"/>
      <w:divBdr>
        <w:top w:val="none" w:sz="0" w:space="0" w:color="auto"/>
        <w:left w:val="none" w:sz="0" w:space="0" w:color="auto"/>
        <w:bottom w:val="none" w:sz="0" w:space="0" w:color="auto"/>
        <w:right w:val="none" w:sz="0" w:space="0" w:color="auto"/>
      </w:divBdr>
    </w:div>
    <w:div w:id="1609701518">
      <w:bodyDiv w:val="1"/>
      <w:marLeft w:val="0"/>
      <w:marRight w:val="0"/>
      <w:marTop w:val="0"/>
      <w:marBottom w:val="0"/>
      <w:divBdr>
        <w:top w:val="none" w:sz="0" w:space="0" w:color="auto"/>
        <w:left w:val="none" w:sz="0" w:space="0" w:color="auto"/>
        <w:bottom w:val="none" w:sz="0" w:space="0" w:color="auto"/>
        <w:right w:val="none" w:sz="0" w:space="0" w:color="auto"/>
      </w:divBdr>
      <w:divsChild>
        <w:div w:id="1687169137">
          <w:marLeft w:val="0"/>
          <w:marRight w:val="0"/>
          <w:marTop w:val="0"/>
          <w:marBottom w:val="0"/>
          <w:divBdr>
            <w:top w:val="none" w:sz="0" w:space="0" w:color="auto"/>
            <w:left w:val="none" w:sz="0" w:space="0" w:color="auto"/>
            <w:bottom w:val="none" w:sz="0" w:space="0" w:color="auto"/>
            <w:right w:val="none" w:sz="0" w:space="0" w:color="auto"/>
          </w:divBdr>
        </w:div>
        <w:div w:id="152258356">
          <w:marLeft w:val="0"/>
          <w:marRight w:val="0"/>
          <w:marTop w:val="0"/>
          <w:marBottom w:val="0"/>
          <w:divBdr>
            <w:top w:val="none" w:sz="0" w:space="0" w:color="auto"/>
            <w:left w:val="none" w:sz="0" w:space="0" w:color="auto"/>
            <w:bottom w:val="none" w:sz="0" w:space="0" w:color="auto"/>
            <w:right w:val="none" w:sz="0" w:space="0" w:color="auto"/>
          </w:divBdr>
        </w:div>
      </w:divsChild>
    </w:div>
    <w:div w:id="2066293310">
      <w:bodyDiv w:val="1"/>
      <w:marLeft w:val="0"/>
      <w:marRight w:val="0"/>
      <w:marTop w:val="0"/>
      <w:marBottom w:val="0"/>
      <w:divBdr>
        <w:top w:val="none" w:sz="0" w:space="0" w:color="auto"/>
        <w:left w:val="none" w:sz="0" w:space="0" w:color="auto"/>
        <w:bottom w:val="none" w:sz="0" w:space="0" w:color="auto"/>
        <w:right w:val="none" w:sz="0" w:space="0" w:color="auto"/>
      </w:divBdr>
      <w:divsChild>
        <w:div w:id="215240512">
          <w:marLeft w:val="0"/>
          <w:marRight w:val="0"/>
          <w:marTop w:val="0"/>
          <w:marBottom w:val="0"/>
          <w:divBdr>
            <w:top w:val="none" w:sz="0" w:space="0" w:color="auto"/>
            <w:left w:val="none" w:sz="0" w:space="0" w:color="auto"/>
            <w:bottom w:val="none" w:sz="0" w:space="0" w:color="auto"/>
            <w:right w:val="none" w:sz="0" w:space="0" w:color="auto"/>
          </w:divBdr>
        </w:div>
        <w:div w:id="1533349320">
          <w:marLeft w:val="0"/>
          <w:marRight w:val="0"/>
          <w:marTop w:val="0"/>
          <w:marBottom w:val="0"/>
          <w:divBdr>
            <w:top w:val="none" w:sz="0" w:space="0" w:color="auto"/>
            <w:left w:val="none" w:sz="0" w:space="0" w:color="auto"/>
            <w:bottom w:val="none" w:sz="0" w:space="0" w:color="auto"/>
            <w:right w:val="none" w:sz="0" w:space="0" w:color="auto"/>
          </w:divBdr>
        </w:div>
      </w:divsChild>
    </w:div>
    <w:div w:id="2110082800">
      <w:bodyDiv w:val="1"/>
      <w:marLeft w:val="0"/>
      <w:marRight w:val="0"/>
      <w:marTop w:val="0"/>
      <w:marBottom w:val="0"/>
      <w:divBdr>
        <w:top w:val="none" w:sz="0" w:space="0" w:color="auto"/>
        <w:left w:val="none" w:sz="0" w:space="0" w:color="auto"/>
        <w:bottom w:val="none" w:sz="0" w:space="0" w:color="auto"/>
        <w:right w:val="none" w:sz="0" w:space="0" w:color="auto"/>
      </w:divBdr>
      <w:divsChild>
        <w:div w:id="751853890">
          <w:marLeft w:val="0"/>
          <w:marRight w:val="0"/>
          <w:marTop w:val="0"/>
          <w:marBottom w:val="0"/>
          <w:divBdr>
            <w:top w:val="none" w:sz="0" w:space="0" w:color="auto"/>
            <w:left w:val="none" w:sz="0" w:space="0" w:color="auto"/>
            <w:bottom w:val="none" w:sz="0" w:space="0" w:color="auto"/>
            <w:right w:val="none" w:sz="0" w:space="0" w:color="auto"/>
          </w:divBdr>
        </w:div>
        <w:div w:id="986544158">
          <w:marLeft w:val="0"/>
          <w:marRight w:val="0"/>
          <w:marTop w:val="0"/>
          <w:marBottom w:val="0"/>
          <w:divBdr>
            <w:top w:val="none" w:sz="0" w:space="0" w:color="auto"/>
            <w:left w:val="none" w:sz="0" w:space="0" w:color="auto"/>
            <w:bottom w:val="none" w:sz="0" w:space="0" w:color="auto"/>
            <w:right w:val="none" w:sz="0" w:space="0" w:color="auto"/>
          </w:divBdr>
        </w:div>
        <w:div w:id="877402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861/futurehosp.3-2-114" TargetMode="External"/><Relationship Id="rId18" Type="http://schemas.openxmlformats.org/officeDocument/2006/relationships/hyperlink" Target="https://www.wgu.edu/blog/ethical-principles-nursing-why-they-matter2303.html" TargetMode="External"/><Relationship Id="rId26" Type="http://schemas.openxmlformats.org/officeDocument/2006/relationships/hyperlink" Target="https://doi.org/10.1136/bmjopen-2018-022054" TargetMode="External"/><Relationship Id="rId3" Type="http://schemas.openxmlformats.org/officeDocument/2006/relationships/styles" Target="styles.xml"/><Relationship Id="rId21" Type="http://schemas.openxmlformats.org/officeDocument/2006/relationships/hyperlink" Target="https://doi.org/10.1007/s43508-021-00009-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00812463241265588" TargetMode="External"/><Relationship Id="rId17" Type="http://schemas.openxmlformats.org/officeDocument/2006/relationships/hyperlink" Target="https://doi.org/10.1186/s12913-025-13077-x" TargetMode="External"/><Relationship Id="rId25" Type="http://schemas.openxmlformats.org/officeDocument/2006/relationships/hyperlink" Target="https://www.longtermplan.nhs.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id/ukpga/2014/23" TargetMode="External"/><Relationship Id="rId20" Type="http://schemas.openxmlformats.org/officeDocument/2006/relationships/hyperlink" Target="https://doi.org/10.1080/17482631.2020.1801179" TargetMode="External"/><Relationship Id="rId29" Type="http://schemas.openxmlformats.org/officeDocument/2006/relationships/hyperlink" Target="https://doi.org/10.1080/13814788.2024.23938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about-us/fundamental-standards" TargetMode="External"/><Relationship Id="rId24" Type="http://schemas.openxmlformats.org/officeDocument/2006/relationships/hyperlink" Target="https://doi.org/10.1186/s12910-022-00777-w"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doi.org/10.1186/s12912-021-00684-2" TargetMode="External"/><Relationship Id="rId28" Type="http://schemas.openxmlformats.org/officeDocument/2006/relationships/hyperlink" Target="https://www.skillsforhealth.org.uk/article/person-centred-care-meaning-implications/" TargetMode="External"/><Relationship Id="rId10" Type="http://schemas.openxmlformats.org/officeDocument/2006/relationships/hyperlink" Target="https://doi.org/10.1016/s2214-109x(22)00166-8" TargetMode="External"/><Relationship Id="rId19" Type="http://schemas.openxmlformats.org/officeDocument/2006/relationships/hyperlink" Target="https://doi.org/10.1080/13561820.2019.1694496" TargetMode="External"/><Relationship Id="rId31" Type="http://schemas.openxmlformats.org/officeDocument/2006/relationships/hyperlink" Target="https://doi.org/10.1159/000509119" TargetMode="External"/><Relationship Id="rId4" Type="http://schemas.openxmlformats.org/officeDocument/2006/relationships/settings" Target="settings.xml"/><Relationship Id="rId9" Type="http://schemas.openxmlformats.org/officeDocument/2006/relationships/hyperlink" Target="https://doi.org/10.2196/43086" TargetMode="External"/><Relationship Id="rId14" Type="http://schemas.openxmlformats.org/officeDocument/2006/relationships/hyperlink" Target="https://doi.org/10.5334/ijic.4722" TargetMode="External"/><Relationship Id="rId22" Type="http://schemas.openxmlformats.org/officeDocument/2006/relationships/hyperlink" Target="https://doi.org/10.1038/s41598-025-89078-x" TargetMode="External"/><Relationship Id="rId27" Type="http://schemas.openxmlformats.org/officeDocument/2006/relationships/hyperlink" Target="https://doi.org/10.1111/hsc.12050" TargetMode="External"/><Relationship Id="rId30" Type="http://schemas.openxmlformats.org/officeDocument/2006/relationships/hyperlink" Target="https://doi.org/10.1186/s12939-024-02216-1" TargetMode="External"/><Relationship Id="rId8" Type="http://schemas.openxmlformats.org/officeDocument/2006/relationships/hyperlink" Target="https://doi.org/10.1177/1715163515588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45974-A05F-46DC-8422-78A033A2DE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1094</TotalTime>
  <Pages>1</Pages>
  <Words>3365</Words>
  <Characters>19184</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Intag</dc:creator>
  <cp:keywords/>
  <dc:description/>
  <cp:lastModifiedBy>anisa ali</cp:lastModifiedBy>
  <cp:revision>101</cp:revision>
  <dcterms:created xsi:type="dcterms:W3CDTF">2026-02-03T18:50:00Z</dcterms:created>
  <dcterms:modified xsi:type="dcterms:W3CDTF">2026-03-25T20:52:00Z</dcterms:modified>
</cp:coreProperties>
</file>