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435F1E6E" w:rsidR="0085230E" w:rsidRPr="00E676F7" w:rsidRDefault="0085230E" w:rsidP="00340E9A">
      <w:pPr>
        <w:overflowPunct/>
        <w:autoSpaceDE/>
        <w:autoSpaceDN/>
        <w:adjustRightInd/>
        <w:ind w:right="237"/>
        <w:textAlignment w:val="auto"/>
        <w:rPr>
          <w:b/>
          <w:color w:val="auto"/>
          <w:sz w:val="44"/>
        </w:rPr>
      </w:pPr>
      <w:r w:rsidRPr="00E676F7">
        <w:rPr>
          <w:b/>
          <w:color w:val="auto"/>
          <w:sz w:val="44"/>
        </w:rPr>
        <w:t>LEVE</w:t>
      </w:r>
      <w:r w:rsidR="00D11B9E">
        <w:rPr>
          <w:b/>
          <w:color w:val="auto"/>
          <w:sz w:val="44"/>
        </w:rPr>
        <w:t>pas</w:t>
      </w:r>
      <w:r w:rsidRPr="00E676F7">
        <w:rPr>
          <w:b/>
          <w:color w:val="auto"/>
          <w:sz w:val="44"/>
        </w:rPr>
        <w:t xml:space="preser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278CB74" w:rsidR="7908378C" w:rsidRDefault="7908378C" w:rsidP="33572C6E">
            <w:pPr>
              <w:ind w:right="237"/>
              <w:rPr>
                <w:b/>
                <w:bCs/>
                <w:color w:val="auto"/>
                <w:sz w:val="32"/>
                <w:szCs w:val="32"/>
              </w:rPr>
            </w:pPr>
            <w:r w:rsidRPr="33572C6E">
              <w:rPr>
                <w:b/>
                <w:bCs/>
                <w:color w:val="auto"/>
                <w:sz w:val="32"/>
                <w:szCs w:val="32"/>
              </w:rPr>
              <w:t xml:space="preserve">Learner name: </w:t>
            </w:r>
            <w:r w:rsidR="004D41D9">
              <w:rPr>
                <w:b/>
                <w:bCs/>
                <w:color w:val="auto"/>
                <w:sz w:val="32"/>
                <w:szCs w:val="32"/>
              </w:rPr>
              <w:t>Sophie Lamb</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20621D83" w14:textId="77777777" w:rsidR="004D41D9" w:rsidRDefault="004D41D9" w:rsidP="004D41D9">
            <w:pPr>
              <w:overflowPunct/>
              <w:autoSpaceDE/>
              <w:autoSpaceDN/>
              <w:adjustRightInd/>
              <w:ind w:right="107"/>
              <w:textAlignment w:val="auto"/>
              <w:rPr>
                <w:b/>
                <w:color w:val="auto"/>
                <w:sz w:val="32"/>
              </w:rPr>
            </w:pPr>
            <w:r>
              <w:rPr>
                <w:b/>
                <w:color w:val="auto"/>
                <w:sz w:val="32"/>
              </w:rPr>
              <w:t>2236372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C053F">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0C053F">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0C053F">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C053F">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0C053F">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0C053F">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0C053F">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0C053F">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C053F">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C053F">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C053F">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C053F">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C053F">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C053F">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C053F">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0C053F">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651F22EB" w14:textId="7FA4F45B" w:rsidR="00421F80" w:rsidRPr="00E72E1C"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4BBC525A" w14:textId="2C62A870" w:rsidR="5B843AF0" w:rsidRPr="00E72E1C" w:rsidRDefault="5B843AF0" w:rsidP="5B843AF0">
      <w:pPr>
        <w:ind w:right="237"/>
        <w:jc w:val="both"/>
        <w:rPr>
          <w:rFonts w:eastAsia="Arial"/>
          <w:color w:val="000000" w:themeColor="text1"/>
          <w:sz w:val="24"/>
          <w:szCs w:val="24"/>
        </w:rPr>
      </w:pPr>
    </w:p>
    <w:p w14:paraId="39649CA6" w14:textId="77777777" w:rsidR="002B5261" w:rsidRPr="009E6EA9" w:rsidRDefault="000A4583" w:rsidP="00211695">
      <w:pPr>
        <w:overflowPunct/>
        <w:autoSpaceDE/>
        <w:autoSpaceDN/>
        <w:adjustRightInd/>
        <w:textAlignment w:val="auto"/>
        <w:rPr>
          <w:sz w:val="22"/>
          <w:szCs w:val="22"/>
        </w:rPr>
      </w:pPr>
      <w:r w:rsidRPr="009E6EA9">
        <w:rPr>
          <w:sz w:val="22"/>
          <w:szCs w:val="22"/>
        </w:rPr>
        <w:t xml:space="preserve">Firstly, I will describe the serious and complex investigation in which I </w:t>
      </w:r>
      <w:r w:rsidR="00E72E1C" w:rsidRPr="009E6EA9">
        <w:rPr>
          <w:sz w:val="22"/>
          <w:szCs w:val="22"/>
        </w:rPr>
        <w:t xml:space="preserve">have </w:t>
      </w:r>
      <w:r w:rsidRPr="009E6EA9">
        <w:rPr>
          <w:sz w:val="22"/>
          <w:szCs w:val="22"/>
        </w:rPr>
        <w:t xml:space="preserve">played a significant role. </w:t>
      </w:r>
    </w:p>
    <w:p w14:paraId="4DD7FC3E" w14:textId="77777777" w:rsidR="002B5261" w:rsidRPr="009E6EA9" w:rsidRDefault="002B5261" w:rsidP="00211695">
      <w:pPr>
        <w:overflowPunct/>
        <w:autoSpaceDE/>
        <w:autoSpaceDN/>
        <w:adjustRightInd/>
        <w:textAlignment w:val="auto"/>
        <w:rPr>
          <w:sz w:val="22"/>
          <w:szCs w:val="22"/>
        </w:rPr>
      </w:pPr>
    </w:p>
    <w:p w14:paraId="7E9FBDF0" w14:textId="71F4A259" w:rsidR="00421F80" w:rsidRPr="009E6EA9" w:rsidRDefault="000A4583" w:rsidP="00211695">
      <w:pPr>
        <w:overflowPunct/>
        <w:autoSpaceDE/>
        <w:autoSpaceDN/>
        <w:adjustRightInd/>
        <w:textAlignment w:val="auto"/>
        <w:rPr>
          <w:sz w:val="22"/>
          <w:szCs w:val="22"/>
        </w:rPr>
      </w:pPr>
      <w:r w:rsidRPr="009E6EA9">
        <w:rPr>
          <w:sz w:val="22"/>
          <w:szCs w:val="22"/>
        </w:rPr>
        <w:t>For the purpose of data protection and to deal with the fact that there are</w:t>
      </w:r>
      <w:r w:rsidR="00421F80" w:rsidRPr="009E6EA9">
        <w:rPr>
          <w:sz w:val="22"/>
          <w:szCs w:val="22"/>
        </w:rPr>
        <w:t xml:space="preserve"> multiple</w:t>
      </w:r>
      <w:r w:rsidRPr="009E6EA9">
        <w:rPr>
          <w:sz w:val="22"/>
          <w:szCs w:val="22"/>
        </w:rPr>
        <w:t xml:space="preserve"> victims, I will refer to the victims as victim one, victim two, victim three and victim four. This </w:t>
      </w:r>
      <w:r w:rsidR="00421F80" w:rsidRPr="009E6EA9">
        <w:rPr>
          <w:sz w:val="22"/>
          <w:szCs w:val="22"/>
        </w:rPr>
        <w:t xml:space="preserve">occurrence relates </w:t>
      </w:r>
      <w:r w:rsidRPr="009E6EA9">
        <w:rPr>
          <w:sz w:val="22"/>
          <w:szCs w:val="22"/>
        </w:rPr>
        <w:t xml:space="preserve">to allegations of sexual assault by touching, assault and malicious communications against all four </w:t>
      </w:r>
      <w:r w:rsidR="00421F80" w:rsidRPr="009E6EA9">
        <w:rPr>
          <w:sz w:val="22"/>
          <w:szCs w:val="22"/>
        </w:rPr>
        <w:t>victims</w:t>
      </w:r>
      <w:r w:rsidR="002B5261" w:rsidRPr="009E6EA9">
        <w:rPr>
          <w:sz w:val="22"/>
          <w:szCs w:val="22"/>
        </w:rPr>
        <w:t>.</w:t>
      </w:r>
      <w:r w:rsidRPr="009E6EA9">
        <w:rPr>
          <w:sz w:val="22"/>
          <w:szCs w:val="22"/>
        </w:rPr>
        <w:t xml:space="preserve"> The four victims </w:t>
      </w:r>
      <w:r w:rsidR="00421F80" w:rsidRPr="009E6EA9">
        <w:rPr>
          <w:sz w:val="22"/>
          <w:szCs w:val="22"/>
        </w:rPr>
        <w:t>attend at the</w:t>
      </w:r>
      <w:r w:rsidRPr="009E6EA9">
        <w:rPr>
          <w:sz w:val="22"/>
          <w:szCs w:val="22"/>
        </w:rPr>
        <w:t xml:space="preserve"> same school as the suspect. The incidents</w:t>
      </w:r>
      <w:r w:rsidR="00421F80" w:rsidRPr="009E6EA9">
        <w:rPr>
          <w:sz w:val="22"/>
          <w:szCs w:val="22"/>
        </w:rPr>
        <w:t xml:space="preserve"> that alleged to happen</w:t>
      </w:r>
      <w:r w:rsidRPr="009E6EA9">
        <w:rPr>
          <w:sz w:val="22"/>
          <w:szCs w:val="22"/>
        </w:rPr>
        <w:t xml:space="preserve"> have </w:t>
      </w:r>
      <w:r w:rsidR="00421F80" w:rsidRPr="009E6EA9">
        <w:rPr>
          <w:sz w:val="22"/>
          <w:szCs w:val="22"/>
        </w:rPr>
        <w:t xml:space="preserve">occurred </w:t>
      </w:r>
      <w:r w:rsidRPr="009E6EA9">
        <w:rPr>
          <w:sz w:val="22"/>
          <w:szCs w:val="22"/>
        </w:rPr>
        <w:t xml:space="preserve">both </w:t>
      </w:r>
      <w:r w:rsidR="00421F80" w:rsidRPr="009E6EA9">
        <w:rPr>
          <w:sz w:val="22"/>
          <w:szCs w:val="22"/>
        </w:rPr>
        <w:t>during school time on school grounds</w:t>
      </w:r>
      <w:r w:rsidRPr="009E6EA9">
        <w:rPr>
          <w:sz w:val="22"/>
          <w:szCs w:val="22"/>
        </w:rPr>
        <w:t xml:space="preserve"> and outside of school</w:t>
      </w:r>
      <w:r w:rsidR="00421F80" w:rsidRPr="009E6EA9">
        <w:rPr>
          <w:sz w:val="22"/>
          <w:szCs w:val="22"/>
        </w:rPr>
        <w:t xml:space="preserve"> either in the homes of the victims or when they have been out and about</w:t>
      </w:r>
      <w:r w:rsidR="00E72E1C" w:rsidRPr="009E6EA9">
        <w:rPr>
          <w:sz w:val="22"/>
          <w:szCs w:val="22"/>
        </w:rPr>
        <w:t xml:space="preserve"> in local parks</w:t>
      </w:r>
      <w:r w:rsidRPr="009E6EA9">
        <w:rPr>
          <w:sz w:val="22"/>
          <w:szCs w:val="22"/>
        </w:rPr>
        <w:t xml:space="preserve">. </w:t>
      </w:r>
      <w:r w:rsidR="00E72E1C" w:rsidRPr="009E6EA9">
        <w:rPr>
          <w:sz w:val="22"/>
          <w:szCs w:val="22"/>
        </w:rPr>
        <w:t xml:space="preserve">Victim one required an intermediary due to her additional needs to help facilitate with communication. Victim 2 required an interpreter as her first language was Bengali. </w:t>
      </w:r>
    </w:p>
    <w:p w14:paraId="23DFA8A8" w14:textId="77777777" w:rsidR="00C10D96" w:rsidRPr="009E6EA9" w:rsidRDefault="00C10D96" w:rsidP="00211695">
      <w:pPr>
        <w:overflowPunct/>
        <w:autoSpaceDE/>
        <w:autoSpaceDN/>
        <w:adjustRightInd/>
        <w:textAlignment w:val="auto"/>
        <w:rPr>
          <w:sz w:val="22"/>
          <w:szCs w:val="22"/>
        </w:rPr>
      </w:pPr>
    </w:p>
    <w:p w14:paraId="188C8DA2" w14:textId="04A73FEF" w:rsidR="00374BCC" w:rsidRPr="009E6EA9" w:rsidRDefault="00C10D96" w:rsidP="00211695">
      <w:pPr>
        <w:overflowPunct/>
        <w:autoSpaceDE/>
        <w:autoSpaceDN/>
        <w:adjustRightInd/>
        <w:textAlignment w:val="auto"/>
        <w:rPr>
          <w:sz w:val="22"/>
          <w:szCs w:val="22"/>
        </w:rPr>
      </w:pPr>
      <w:r w:rsidRPr="009E6EA9">
        <w:rPr>
          <w:sz w:val="22"/>
          <w:szCs w:val="22"/>
        </w:rPr>
        <w:t>As the victims were under the age of eighteen,</w:t>
      </w:r>
      <w:r w:rsidR="00264AEB" w:rsidRPr="009E6EA9">
        <w:rPr>
          <w:sz w:val="22"/>
          <w:szCs w:val="22"/>
        </w:rPr>
        <w:t xml:space="preserve"> they had an automatic right to provide video-recorded evidence-in-chief </w:t>
      </w:r>
      <w:r w:rsidR="00374BCC" w:rsidRPr="009E6EA9">
        <w:rPr>
          <w:sz w:val="22"/>
          <w:szCs w:val="22"/>
        </w:rPr>
        <w:t xml:space="preserve">as a special measures </w:t>
      </w:r>
      <w:r w:rsidR="00264AEB" w:rsidRPr="009E6EA9">
        <w:rPr>
          <w:sz w:val="22"/>
          <w:szCs w:val="22"/>
        </w:rPr>
        <w:t xml:space="preserve">(Section 16 </w:t>
      </w:r>
      <w:r w:rsidR="001A5E13" w:rsidRPr="009E6EA9">
        <w:rPr>
          <w:sz w:val="22"/>
          <w:szCs w:val="22"/>
        </w:rPr>
        <w:t xml:space="preserve">and section 27 </w:t>
      </w:r>
      <w:r w:rsidR="00264AEB" w:rsidRPr="009E6EA9">
        <w:rPr>
          <w:sz w:val="22"/>
          <w:szCs w:val="22"/>
        </w:rPr>
        <w:t xml:space="preserve">Youth Justice and Criminal Evidence Act 1999). </w:t>
      </w:r>
      <w:r w:rsidR="00374BCC" w:rsidRPr="009E6EA9">
        <w:rPr>
          <w:sz w:val="22"/>
          <w:szCs w:val="22"/>
        </w:rPr>
        <w:t xml:space="preserve">This allows for a video recording of the witness giving their evidence to be played to the court as their main evidence (Public Prosecution Service, date unknown). </w:t>
      </w:r>
    </w:p>
    <w:p w14:paraId="3AF599E7" w14:textId="77777777" w:rsidR="00264AEB" w:rsidRPr="009E6EA9" w:rsidRDefault="00264AEB" w:rsidP="00211695">
      <w:pPr>
        <w:overflowPunct/>
        <w:autoSpaceDE/>
        <w:autoSpaceDN/>
        <w:adjustRightInd/>
        <w:textAlignment w:val="auto"/>
        <w:rPr>
          <w:sz w:val="22"/>
          <w:szCs w:val="22"/>
        </w:rPr>
      </w:pPr>
    </w:p>
    <w:p w14:paraId="459F7F3C" w14:textId="58CC3474" w:rsidR="00C10D96" w:rsidRPr="009E6EA9" w:rsidRDefault="000C554A" w:rsidP="00211695">
      <w:pPr>
        <w:overflowPunct/>
        <w:autoSpaceDE/>
        <w:autoSpaceDN/>
        <w:adjustRightInd/>
        <w:textAlignment w:val="auto"/>
        <w:rPr>
          <w:sz w:val="22"/>
          <w:szCs w:val="22"/>
        </w:rPr>
      </w:pPr>
      <w:r w:rsidRPr="009E6EA9">
        <w:rPr>
          <w:sz w:val="22"/>
          <w:szCs w:val="22"/>
        </w:rPr>
        <w:t xml:space="preserve">All child </w:t>
      </w:r>
      <w:r w:rsidR="004D4F74" w:rsidRPr="009E6EA9">
        <w:rPr>
          <w:sz w:val="22"/>
          <w:szCs w:val="22"/>
        </w:rPr>
        <w:t>witnesses</w:t>
      </w:r>
      <w:r w:rsidRPr="009E6EA9">
        <w:rPr>
          <w:sz w:val="22"/>
          <w:szCs w:val="22"/>
        </w:rPr>
        <w:t xml:space="preserve"> </w:t>
      </w:r>
      <w:r w:rsidR="00C10D96" w:rsidRPr="009E6EA9">
        <w:rPr>
          <w:sz w:val="22"/>
          <w:szCs w:val="22"/>
        </w:rPr>
        <w:t>have a right to opt of the video-recorded evidence-in-chief</w:t>
      </w:r>
      <w:r w:rsidR="00264AEB" w:rsidRPr="009E6EA9">
        <w:rPr>
          <w:sz w:val="22"/>
          <w:szCs w:val="22"/>
        </w:rPr>
        <w:t xml:space="preserve"> and provide a written statement instead (Achieving Best Evidence, 2011).</w:t>
      </w:r>
      <w:r w:rsidRPr="009E6EA9">
        <w:rPr>
          <w:sz w:val="22"/>
          <w:szCs w:val="22"/>
        </w:rPr>
        <w:t xml:space="preserve"> This can be done by the child themselves if they have the cazpcity to understand the decision or by someone who has parental responsibility for the child (Achieving Best Evidence, 2011)</w:t>
      </w:r>
      <w:r w:rsidR="00264AEB" w:rsidRPr="009E6EA9">
        <w:rPr>
          <w:sz w:val="22"/>
          <w:szCs w:val="22"/>
        </w:rPr>
        <w:t xml:space="preserve"> All the victims decided that they wanted to provide video recorded evidence. </w:t>
      </w:r>
    </w:p>
    <w:p w14:paraId="5A26C836" w14:textId="4F6937AC" w:rsidR="00421F80" w:rsidRPr="009E6EA9" w:rsidRDefault="00C10D96" w:rsidP="00211695">
      <w:pPr>
        <w:overflowPunct/>
        <w:autoSpaceDE/>
        <w:autoSpaceDN/>
        <w:adjustRightInd/>
        <w:textAlignment w:val="auto"/>
        <w:rPr>
          <w:sz w:val="22"/>
          <w:szCs w:val="22"/>
        </w:rPr>
      </w:pPr>
      <w:r w:rsidRPr="009E6EA9">
        <w:rPr>
          <w:sz w:val="22"/>
          <w:szCs w:val="22"/>
        </w:rPr>
        <w:br/>
      </w:r>
    </w:p>
    <w:p w14:paraId="423964DF" w14:textId="6E723351" w:rsidR="00C10D96" w:rsidRPr="009E6EA9" w:rsidRDefault="00D11B9E" w:rsidP="00C10D96">
      <w:pPr>
        <w:overflowPunct/>
        <w:autoSpaceDE/>
        <w:autoSpaceDN/>
        <w:adjustRightInd/>
        <w:textAlignment w:val="auto"/>
        <w:rPr>
          <w:rStyle w:val="Hyperlink"/>
          <w:color w:val="auto"/>
          <w:sz w:val="22"/>
          <w:szCs w:val="22"/>
          <w:u w:val="none"/>
        </w:rPr>
      </w:pPr>
      <w:r w:rsidRPr="009E6EA9">
        <w:rPr>
          <w:sz w:val="22"/>
          <w:szCs w:val="22"/>
        </w:rPr>
        <w:lastRenderedPageBreak/>
        <w:t>The first victim</w:t>
      </w:r>
      <w:r w:rsidR="00E72E1C" w:rsidRPr="009E6EA9">
        <w:rPr>
          <w:sz w:val="22"/>
          <w:szCs w:val="22"/>
        </w:rPr>
        <w:t xml:space="preserve"> required a Registered</w:t>
      </w:r>
      <w:r w:rsidR="00421F80" w:rsidRPr="009E6EA9">
        <w:rPr>
          <w:sz w:val="22"/>
          <w:szCs w:val="22"/>
        </w:rPr>
        <w:t xml:space="preserve"> Intermediary</w:t>
      </w:r>
      <w:r w:rsidRPr="009E6EA9">
        <w:rPr>
          <w:sz w:val="22"/>
          <w:szCs w:val="22"/>
        </w:rPr>
        <w:t>. A Registered Intermediary is used</w:t>
      </w:r>
      <w:r w:rsidR="00421F80" w:rsidRPr="009E6EA9">
        <w:rPr>
          <w:sz w:val="22"/>
          <w:szCs w:val="22"/>
        </w:rPr>
        <w:t xml:space="preserve"> </w:t>
      </w:r>
      <w:r w:rsidR="00C10D96" w:rsidRPr="009E6EA9">
        <w:rPr>
          <w:sz w:val="22"/>
          <w:szCs w:val="22"/>
        </w:rPr>
        <w:t>was used to assist when the victim had difficulty understanding a question I put to her and to assist the victim with getting her point across (victim support, date unknown).</w:t>
      </w:r>
      <w:r w:rsidR="00C10D96" w:rsidRPr="009E6EA9">
        <w:rPr>
          <w:rStyle w:val="Hyperlink"/>
          <w:color w:val="auto"/>
          <w:sz w:val="22"/>
          <w:szCs w:val="22"/>
          <w:u w:val="none"/>
        </w:rPr>
        <w:t xml:space="preserve"> The role of a Registered Intermediary is to help facilitate communication between the witness and the officer so that the witness can give their best evidence, the intermediary will assess the witness and create a report for the officer to be able to adjust their communication based on the witnesses need. (Gov, 2019). During the video-recorded evidence in chief it was clear that the victim found it difficult to sequence events, and so the intermediary introduced the idea of writing what happened on post-it notes and putting it in order, which was very useful and helpful for the victim.</w:t>
      </w:r>
    </w:p>
    <w:p w14:paraId="48777FD6" w14:textId="77777777" w:rsidR="00D11B9E" w:rsidRPr="009E6EA9" w:rsidRDefault="00D11B9E" w:rsidP="00C10D96">
      <w:pPr>
        <w:overflowPunct/>
        <w:autoSpaceDE/>
        <w:autoSpaceDN/>
        <w:adjustRightInd/>
        <w:textAlignment w:val="auto"/>
        <w:rPr>
          <w:rStyle w:val="Hyperlink"/>
          <w:color w:val="auto"/>
          <w:sz w:val="22"/>
          <w:szCs w:val="22"/>
          <w:u w:val="none"/>
        </w:rPr>
      </w:pPr>
    </w:p>
    <w:p w14:paraId="59A0E44A" w14:textId="4814660C" w:rsidR="005D5BA9" w:rsidRPr="009E6EA9" w:rsidRDefault="00D11B9E" w:rsidP="00C10D96">
      <w:pPr>
        <w:overflowPunct/>
        <w:autoSpaceDE/>
        <w:autoSpaceDN/>
        <w:adjustRightInd/>
        <w:textAlignment w:val="auto"/>
        <w:rPr>
          <w:rStyle w:val="Hyperlink"/>
          <w:color w:val="auto"/>
          <w:sz w:val="22"/>
          <w:szCs w:val="22"/>
          <w:u w:val="none"/>
        </w:rPr>
      </w:pPr>
      <w:r w:rsidRPr="009E6EA9">
        <w:rPr>
          <w:rStyle w:val="Hyperlink"/>
          <w:color w:val="auto"/>
          <w:sz w:val="22"/>
          <w:szCs w:val="22"/>
          <w:u w:val="none"/>
        </w:rPr>
        <w:t>The</w:t>
      </w:r>
      <w:r w:rsidR="00700EC7" w:rsidRPr="009E6EA9">
        <w:rPr>
          <w:rStyle w:val="Hyperlink"/>
          <w:color w:val="auto"/>
          <w:sz w:val="22"/>
          <w:szCs w:val="22"/>
          <w:u w:val="none"/>
        </w:rPr>
        <w:t xml:space="preserve"> second victim required an interpreter to assist with providing her evidence. </w:t>
      </w:r>
      <w:r w:rsidR="005D5BA9" w:rsidRPr="009E6EA9">
        <w:rPr>
          <w:rStyle w:val="Hyperlink"/>
          <w:color w:val="auto"/>
          <w:sz w:val="22"/>
          <w:szCs w:val="22"/>
          <w:u w:val="none"/>
        </w:rPr>
        <w:t xml:space="preserve">Her native language was </w:t>
      </w:r>
      <w:r w:rsidR="00C03620" w:rsidRPr="009E6EA9">
        <w:rPr>
          <w:rStyle w:val="Hyperlink"/>
          <w:color w:val="auto"/>
          <w:sz w:val="22"/>
          <w:szCs w:val="22"/>
          <w:u w:val="none"/>
        </w:rPr>
        <w:t>Bengali</w:t>
      </w:r>
      <w:r w:rsidR="005D5BA9" w:rsidRPr="009E6EA9">
        <w:rPr>
          <w:rStyle w:val="Hyperlink"/>
          <w:color w:val="auto"/>
          <w:sz w:val="22"/>
          <w:szCs w:val="22"/>
          <w:u w:val="none"/>
        </w:rPr>
        <w:t xml:space="preserve"> and therefore I needed a </w:t>
      </w:r>
      <w:r w:rsidR="00C03620" w:rsidRPr="009E6EA9">
        <w:rPr>
          <w:rStyle w:val="Hyperlink"/>
          <w:color w:val="auto"/>
          <w:sz w:val="22"/>
          <w:szCs w:val="22"/>
          <w:u w:val="none"/>
        </w:rPr>
        <w:t>Bengali</w:t>
      </w:r>
      <w:r w:rsidR="005D5BA9" w:rsidRPr="009E6EA9">
        <w:rPr>
          <w:rStyle w:val="Hyperlink"/>
          <w:color w:val="auto"/>
          <w:sz w:val="22"/>
          <w:szCs w:val="22"/>
          <w:u w:val="none"/>
        </w:rPr>
        <w:t xml:space="preserve"> interpreter to assist with the victim providing her video-recorded evidence-in-chief. </w:t>
      </w:r>
      <w:r w:rsidR="00700EC7" w:rsidRPr="009E6EA9">
        <w:rPr>
          <w:rStyle w:val="Hyperlink"/>
          <w:color w:val="auto"/>
          <w:sz w:val="22"/>
          <w:szCs w:val="22"/>
          <w:u w:val="none"/>
        </w:rPr>
        <w:t>Under the Equality Act 2010, part of my role as an officer is to ensure that there is no discrimination (COP, 2020)</w:t>
      </w:r>
      <w:r w:rsidR="000C554A" w:rsidRPr="009E6EA9">
        <w:rPr>
          <w:rStyle w:val="Hyperlink"/>
          <w:color w:val="auto"/>
          <w:sz w:val="22"/>
          <w:szCs w:val="22"/>
          <w:u w:val="none"/>
        </w:rPr>
        <w:t>. u</w:t>
      </w:r>
      <w:r w:rsidR="000C554A" w:rsidRPr="009E6EA9">
        <w:rPr>
          <w:color w:val="auto"/>
          <w:sz w:val="22"/>
          <w:szCs w:val="22"/>
        </w:rPr>
        <w:t>nder the Ministry of Justice Code of Practise for Victims the first right of a victim is that they understand and that they can be understood (Gov, 2005). This would i</w:t>
      </w:r>
      <w:r w:rsidR="005D5BA9" w:rsidRPr="009E6EA9">
        <w:rPr>
          <w:color w:val="auto"/>
          <w:sz w:val="22"/>
          <w:szCs w:val="22"/>
        </w:rPr>
        <w:t>nclude going through the process in a language that they understand.</w:t>
      </w:r>
    </w:p>
    <w:p w14:paraId="52F38EC4" w14:textId="77777777" w:rsidR="00C10D96" w:rsidRPr="009E6EA9" w:rsidRDefault="00C10D96" w:rsidP="00C10D96">
      <w:pPr>
        <w:overflowPunct/>
        <w:autoSpaceDE/>
        <w:autoSpaceDN/>
        <w:adjustRightInd/>
        <w:textAlignment w:val="auto"/>
        <w:rPr>
          <w:color w:val="auto"/>
          <w:sz w:val="22"/>
          <w:szCs w:val="22"/>
        </w:rPr>
      </w:pPr>
    </w:p>
    <w:p w14:paraId="76D19405" w14:textId="02913293" w:rsidR="005D5BA9" w:rsidRPr="009E6EA9" w:rsidRDefault="005D5BA9" w:rsidP="00211695">
      <w:pPr>
        <w:overflowPunct/>
        <w:autoSpaceDE/>
        <w:autoSpaceDN/>
        <w:adjustRightInd/>
        <w:textAlignment w:val="auto"/>
        <w:rPr>
          <w:sz w:val="22"/>
          <w:szCs w:val="22"/>
        </w:rPr>
      </w:pPr>
      <w:r w:rsidRPr="009E6EA9">
        <w:rPr>
          <w:sz w:val="22"/>
          <w:szCs w:val="22"/>
        </w:rPr>
        <w:t>During the investigation I had to consider managing the vulnerabilities of both the victims and the suspect in the case as both were at risk of harm and both were vulnerable. In relation to the victims, they were at risk because the suspect was in school with them, and therefore there was a risk that he could reoffend. The suspect was at risk of harm of others, people in school were aware of the circumstances and were calling him names such as racist. There had also been a previous incident two days before the girls made the allegations whereby the suspect was assaulted by two of the victims boyfriends as they had told their boyfriends that the suspect was inappropriately touching them.</w:t>
      </w:r>
    </w:p>
    <w:p w14:paraId="3E1541D5" w14:textId="77777777" w:rsidR="005D5BA9" w:rsidRPr="009E6EA9" w:rsidRDefault="005D5BA9" w:rsidP="00211695">
      <w:pPr>
        <w:overflowPunct/>
        <w:autoSpaceDE/>
        <w:autoSpaceDN/>
        <w:adjustRightInd/>
        <w:textAlignment w:val="auto"/>
        <w:rPr>
          <w:sz w:val="22"/>
          <w:szCs w:val="22"/>
        </w:rPr>
      </w:pPr>
    </w:p>
    <w:p w14:paraId="2C10954E" w14:textId="75EDB693" w:rsidR="003932F2" w:rsidRPr="009E6EA9" w:rsidRDefault="00C03620" w:rsidP="003932F2">
      <w:pPr>
        <w:overflowPunct/>
        <w:autoSpaceDE/>
        <w:autoSpaceDN/>
        <w:adjustRightInd/>
        <w:textAlignment w:val="auto"/>
        <w:rPr>
          <w:sz w:val="22"/>
          <w:szCs w:val="22"/>
        </w:rPr>
      </w:pPr>
      <w:r w:rsidRPr="009E6EA9">
        <w:rPr>
          <w:sz w:val="22"/>
          <w:szCs w:val="22"/>
        </w:rPr>
        <w:t>In relation to supporting and managing the suspects in school, the school instigated a safety plan, the purpose of a safety plan is for prevention, response and recover</w:t>
      </w:r>
      <w:r w:rsidR="00D72645" w:rsidRPr="009E6EA9">
        <w:rPr>
          <w:sz w:val="22"/>
          <w:szCs w:val="22"/>
        </w:rPr>
        <w:t xml:space="preserve"> (National Center for School Safety, July 2023)</w:t>
      </w:r>
      <w:r w:rsidR="003932F2" w:rsidRPr="009E6EA9">
        <w:rPr>
          <w:sz w:val="22"/>
          <w:szCs w:val="22"/>
        </w:rPr>
        <w:t>. According the United Kingdom government there should be four elements to the safety plan the school should plan and establish the most effective health and safety plan, they then must put the plan in place and ensure that any risk is dealt with in a sensible and proportionate manner, they should then ensure that the safety plan is followed and any issues to be reported and finally management of the health and safety performance (Gov.UK, 2022).</w:t>
      </w:r>
    </w:p>
    <w:p w14:paraId="386901A0" w14:textId="133C9D8B" w:rsidR="003932F2" w:rsidRPr="009E6EA9" w:rsidRDefault="003932F2" w:rsidP="00211695">
      <w:pPr>
        <w:overflowPunct/>
        <w:autoSpaceDE/>
        <w:autoSpaceDN/>
        <w:adjustRightInd/>
        <w:textAlignment w:val="auto"/>
        <w:rPr>
          <w:sz w:val="22"/>
          <w:szCs w:val="22"/>
        </w:rPr>
      </w:pPr>
    </w:p>
    <w:p w14:paraId="6368404A" w14:textId="79473A1F" w:rsidR="00875593" w:rsidRPr="009E6EA9" w:rsidRDefault="003932F2" w:rsidP="00211695">
      <w:pPr>
        <w:overflowPunct/>
        <w:autoSpaceDE/>
        <w:autoSpaceDN/>
        <w:adjustRightInd/>
        <w:textAlignment w:val="auto"/>
        <w:rPr>
          <w:sz w:val="22"/>
          <w:szCs w:val="22"/>
        </w:rPr>
      </w:pPr>
      <w:r w:rsidRPr="009E6EA9">
        <w:rPr>
          <w:sz w:val="22"/>
          <w:szCs w:val="22"/>
        </w:rPr>
        <w:t xml:space="preserve">In order to evaluate the appropriateness of the school’s approach in supporting the vulnerable victims and suspect and minimising risk I will be using the Gibbs Reflective Model (Gibbs, 1988). As part of the safety plan the suspect was not allowed to approach and talk to the girls, if they had the same lesson together they would be sat different end of the class, they would enter and exit school through different door, amongst other rules that were put in place. </w:t>
      </w:r>
      <w:r w:rsidR="00875593" w:rsidRPr="009E6EA9">
        <w:rPr>
          <w:sz w:val="22"/>
          <w:szCs w:val="22"/>
        </w:rPr>
        <w:t xml:space="preserve">In relation to how I felt about the safety plan, I was concerned whether the safety plan was enough to ensure the victims felt safe that the suspect would not reoffend. If I were to evaluate the safety plan, it was difficult initially because the names of the victims was not provided to the suspect until he was interviewed, which was around two months after the allegations had been made to the police. Even when the names of the victims had been disclosed to the suspect, the suspect was still approaching </w:t>
      </w:r>
      <w:r w:rsidR="007F1D91" w:rsidRPr="009E6EA9">
        <w:rPr>
          <w:sz w:val="22"/>
          <w:szCs w:val="22"/>
        </w:rPr>
        <w:t xml:space="preserve">the victims and the school were not sanctioning him so it was difficult to enforce and the victims were unhappy. </w:t>
      </w:r>
      <w:r w:rsidR="00875593" w:rsidRPr="009E6EA9">
        <w:rPr>
          <w:sz w:val="22"/>
          <w:szCs w:val="22"/>
        </w:rPr>
        <w:t xml:space="preserve"> </w:t>
      </w:r>
      <w:r w:rsidR="007F1D91" w:rsidRPr="009E6EA9">
        <w:rPr>
          <w:sz w:val="22"/>
          <w:szCs w:val="22"/>
        </w:rPr>
        <w:t xml:space="preserve">From this incident I have learnt the importance of putting a safety plan in place to keep both the victims and suspects safe, and ensuring that the rules put in place are both appropriate and proportionate to both parties, based on the fact that every child has a right to education (UNICEF, Articles 28 and 29 of the Convention on the Rights of the Child, 2022). If I had a similar incident again, I would ensure that the school were acting appropriately, the correct </w:t>
      </w:r>
      <w:r w:rsidR="007F1D91" w:rsidRPr="009E6EA9">
        <w:rPr>
          <w:sz w:val="22"/>
          <w:szCs w:val="22"/>
        </w:rPr>
        <w:lastRenderedPageBreak/>
        <w:t xml:space="preserve">plan is put in place and that the school are enforcing it in the correct manner. I would also ensure that the names of the victims were disclosed at the earliest opportunity. </w:t>
      </w:r>
    </w:p>
    <w:p w14:paraId="75FAC1EB" w14:textId="796B3A18" w:rsidR="000F2BE2" w:rsidRPr="009E6EA9" w:rsidRDefault="000F2BE2" w:rsidP="00211695">
      <w:pPr>
        <w:overflowPunct/>
        <w:autoSpaceDE/>
        <w:autoSpaceDN/>
        <w:adjustRightInd/>
        <w:textAlignment w:val="auto"/>
        <w:rPr>
          <w:sz w:val="22"/>
          <w:szCs w:val="22"/>
        </w:rPr>
      </w:pPr>
    </w:p>
    <w:p w14:paraId="6190649C" w14:textId="03716CBC" w:rsidR="00C14665" w:rsidRPr="009E6EA9" w:rsidRDefault="00195BB6" w:rsidP="00C14665">
      <w:pPr>
        <w:overflowPunct/>
        <w:autoSpaceDE/>
        <w:autoSpaceDN/>
        <w:adjustRightInd/>
        <w:textAlignment w:val="auto"/>
        <w:rPr>
          <w:sz w:val="22"/>
          <w:szCs w:val="22"/>
        </w:rPr>
      </w:pPr>
      <w:r w:rsidRPr="009E6EA9">
        <w:rPr>
          <w:sz w:val="22"/>
          <w:szCs w:val="22"/>
        </w:rPr>
        <w:t xml:space="preserve">In order to evaluate the appropriateness of the police’s approach I will use the </w:t>
      </w:r>
      <w:r w:rsidR="002D2806" w:rsidRPr="009E6EA9">
        <w:rPr>
          <w:sz w:val="22"/>
          <w:szCs w:val="22"/>
        </w:rPr>
        <w:t>Driscoll’s Model of Reflection (Driscoll, 2007)</w:t>
      </w:r>
      <w:r w:rsidR="000F2BE2" w:rsidRPr="009E6EA9">
        <w:rPr>
          <w:sz w:val="22"/>
          <w:szCs w:val="22"/>
        </w:rPr>
        <w:t xml:space="preserve">. </w:t>
      </w:r>
      <w:r w:rsidR="00874B2D" w:rsidRPr="009E6EA9">
        <w:rPr>
          <w:sz w:val="22"/>
          <w:szCs w:val="22"/>
        </w:rPr>
        <w:t xml:space="preserve">The first stage of the model is what happened. </w:t>
      </w:r>
      <w:r w:rsidR="000B14E5" w:rsidRPr="009E6EA9">
        <w:rPr>
          <w:sz w:val="22"/>
          <w:szCs w:val="22"/>
        </w:rPr>
        <w:t>I was faced with the decision of whether to arrest the suspect and put bail conditions on him</w:t>
      </w:r>
      <w:r w:rsidR="00C14665" w:rsidRPr="009E6EA9">
        <w:rPr>
          <w:sz w:val="22"/>
          <w:szCs w:val="22"/>
        </w:rPr>
        <w:t xml:space="preserve"> to not contact the victims</w:t>
      </w:r>
      <w:r w:rsidR="000B14E5" w:rsidRPr="009E6EA9">
        <w:rPr>
          <w:sz w:val="22"/>
          <w:szCs w:val="22"/>
        </w:rPr>
        <w:t xml:space="preserve"> or for him to attend</w:t>
      </w:r>
      <w:r w:rsidR="00C14665" w:rsidRPr="009E6EA9">
        <w:rPr>
          <w:sz w:val="22"/>
          <w:szCs w:val="22"/>
        </w:rPr>
        <w:t xml:space="preserve"> an</w:t>
      </w:r>
      <w:r w:rsidR="000B14E5" w:rsidRPr="009E6EA9">
        <w:rPr>
          <w:sz w:val="22"/>
          <w:szCs w:val="22"/>
        </w:rPr>
        <w:t xml:space="preserve"> interview </w:t>
      </w:r>
      <w:r w:rsidR="00C14665" w:rsidRPr="009E6EA9">
        <w:rPr>
          <w:sz w:val="22"/>
          <w:szCs w:val="22"/>
        </w:rPr>
        <w:t>as a</w:t>
      </w:r>
      <w:r w:rsidR="000B14E5" w:rsidRPr="009E6EA9">
        <w:rPr>
          <w:sz w:val="22"/>
          <w:szCs w:val="22"/>
        </w:rPr>
        <w:t xml:space="preserve"> voluntary attendee. In making this decision I had to consider the safeguarding of the victims, the fact that the suspect was a child himself,</w:t>
      </w:r>
      <w:r w:rsidR="00C14665" w:rsidRPr="009E6EA9">
        <w:rPr>
          <w:sz w:val="22"/>
          <w:szCs w:val="22"/>
        </w:rPr>
        <w:t xml:space="preserve"> and</w:t>
      </w:r>
      <w:r w:rsidR="000B14E5" w:rsidRPr="009E6EA9">
        <w:rPr>
          <w:sz w:val="22"/>
          <w:szCs w:val="22"/>
        </w:rPr>
        <w:t xml:space="preserve"> the suspects right to education</w:t>
      </w:r>
      <w:r w:rsidR="00C14665" w:rsidRPr="009E6EA9">
        <w:rPr>
          <w:sz w:val="22"/>
          <w:szCs w:val="22"/>
        </w:rPr>
        <w:t xml:space="preserve"> (UNICEF, Articles 28 and 29 of the Convention on the Rights of the Child, 2022). In order to make a decision I used the National Decision Model (COP,</w:t>
      </w:r>
      <w:r w:rsidR="009E6EA9">
        <w:rPr>
          <w:sz w:val="22"/>
          <w:szCs w:val="22"/>
        </w:rPr>
        <w:t xml:space="preserve"> </w:t>
      </w:r>
      <w:r w:rsidR="00C14665" w:rsidRPr="009E6EA9">
        <w:rPr>
          <w:sz w:val="22"/>
          <w:szCs w:val="22"/>
        </w:rPr>
        <w:t>2014). I gathered all the information and intelligence, this included the victims first accounts, speaking to other pupils in the school about what they have witnessed, speaking to teachers in the school and the parents of both the suspect and victim. I assed the risk based on the level of offences, what access the victims and suspect have with each and whether the safety plan would safeguard both the victims and suspect.</w:t>
      </w:r>
      <w:r w:rsidR="00874B2D" w:rsidRPr="009E6EA9">
        <w:rPr>
          <w:sz w:val="22"/>
          <w:szCs w:val="22"/>
        </w:rPr>
        <w:t xml:space="preserve"> The options I had identified that were available to me were to arrest the suspect of voluntarily interview him.</w:t>
      </w:r>
      <w:r w:rsidR="00C14665" w:rsidRPr="009E6EA9">
        <w:rPr>
          <w:sz w:val="22"/>
          <w:szCs w:val="22"/>
        </w:rPr>
        <w:t xml:space="preserve"> </w:t>
      </w:r>
      <w:r w:rsidR="00874B2D" w:rsidRPr="009E6EA9">
        <w:rPr>
          <w:sz w:val="22"/>
          <w:szCs w:val="22"/>
        </w:rPr>
        <w:t>I considered my powers and policies. I considered my power of arrest (Section 24 of The Police and Criminal Evidence Act</w:t>
      </w:r>
      <w:r w:rsidR="009E6EA9">
        <w:rPr>
          <w:sz w:val="22"/>
          <w:szCs w:val="22"/>
        </w:rPr>
        <w:t xml:space="preserve"> 1984</w:t>
      </w:r>
      <w:r w:rsidR="00874B2D" w:rsidRPr="009E6EA9">
        <w:rPr>
          <w:sz w:val="22"/>
          <w:szCs w:val="22"/>
        </w:rPr>
        <w:t>) where I could arrest the suspect if I had reasonable grounds to suspect that the suspect had committed the alleged offence. I then considered the possibility of imposing bail conditions on the suspect not to contact the victims directly or indirectly, following arrest, whilst I completed the outstanding enquiries (sections 34(2), 34(5) and 37(2) of the Police and Criminal Evidence Act 1984). This would ensure that the victims were safeguarded. I also had the power to voluntarily interview the suspect which is governed by Code C of The Police and Criminal Evidence Act 1984).</w:t>
      </w:r>
    </w:p>
    <w:p w14:paraId="1533D406" w14:textId="13E0B831" w:rsidR="00874B2D" w:rsidRPr="009E6EA9" w:rsidRDefault="00874B2D" w:rsidP="00C14665">
      <w:pPr>
        <w:overflowPunct/>
        <w:autoSpaceDE/>
        <w:autoSpaceDN/>
        <w:adjustRightInd/>
        <w:textAlignment w:val="auto"/>
        <w:rPr>
          <w:sz w:val="22"/>
          <w:szCs w:val="22"/>
        </w:rPr>
      </w:pPr>
      <w:r w:rsidRPr="009E6EA9">
        <w:rPr>
          <w:sz w:val="22"/>
          <w:szCs w:val="22"/>
        </w:rPr>
        <w:t>Based on all the information available to me; the evidence I had already collected, the safety plan in school, the majority of incidents happening outside of school and the suspect and victims not living near each other and the suspects age, I made the decision to invite the suspect to the police station to be volutairly interviewed.</w:t>
      </w:r>
    </w:p>
    <w:p w14:paraId="3531433A" w14:textId="18A411AB" w:rsidR="00497331" w:rsidRPr="009E6EA9" w:rsidRDefault="00497331" w:rsidP="00497331">
      <w:pPr>
        <w:overflowPunct/>
        <w:autoSpaceDE/>
        <w:autoSpaceDN/>
        <w:adjustRightInd/>
        <w:textAlignment w:val="auto"/>
        <w:rPr>
          <w:sz w:val="22"/>
          <w:szCs w:val="22"/>
        </w:rPr>
      </w:pPr>
    </w:p>
    <w:p w14:paraId="6E616ACF" w14:textId="31652AFC" w:rsidR="007E10C2" w:rsidRPr="009E6EA9" w:rsidRDefault="00A33E7D" w:rsidP="007E10C2">
      <w:pPr>
        <w:overflowPunct/>
        <w:autoSpaceDE/>
        <w:autoSpaceDN/>
        <w:adjustRightInd/>
        <w:textAlignment w:val="auto"/>
        <w:rPr>
          <w:sz w:val="22"/>
          <w:szCs w:val="22"/>
        </w:rPr>
      </w:pPr>
      <w:r w:rsidRPr="009E6EA9">
        <w:rPr>
          <w:sz w:val="22"/>
          <w:szCs w:val="22"/>
        </w:rPr>
        <w:t xml:space="preserve">The next stage of Driscoll’s model is so what, an analysis of the event. </w:t>
      </w:r>
      <w:r w:rsidR="00A6579A" w:rsidRPr="009E6EA9">
        <w:rPr>
          <w:sz w:val="22"/>
          <w:szCs w:val="22"/>
        </w:rPr>
        <w:t>It was a difficult decision as I had multiple victims</w:t>
      </w:r>
      <w:r w:rsidR="007E10C2" w:rsidRPr="009E6EA9">
        <w:rPr>
          <w:sz w:val="22"/>
          <w:szCs w:val="22"/>
        </w:rPr>
        <w:t xml:space="preserve"> and </w:t>
      </w:r>
      <w:r w:rsidR="00A6579A" w:rsidRPr="009E6EA9">
        <w:rPr>
          <w:sz w:val="22"/>
          <w:szCs w:val="22"/>
        </w:rPr>
        <w:t xml:space="preserve">multiple offences </w:t>
      </w:r>
      <w:r w:rsidR="007E10C2" w:rsidRPr="009E6EA9">
        <w:rPr>
          <w:sz w:val="22"/>
          <w:szCs w:val="22"/>
        </w:rPr>
        <w:t>which happened over a period of time</w:t>
      </w:r>
      <w:r w:rsidRPr="009E6EA9">
        <w:rPr>
          <w:sz w:val="22"/>
          <w:szCs w:val="22"/>
        </w:rPr>
        <w:t>, that were quite low level,</w:t>
      </w:r>
      <w:r w:rsidR="007E10C2" w:rsidRPr="009E6EA9">
        <w:rPr>
          <w:sz w:val="22"/>
          <w:szCs w:val="22"/>
        </w:rPr>
        <w:t xml:space="preserve"> but I also had to consider the age of the suspect, his additional needs and the fact that criminalising children doesn’t always prevent reoffending and could make matters worse </w:t>
      </w:r>
      <w:r w:rsidR="007E10C2" w:rsidRPr="009E6EA9">
        <w:rPr>
          <w:color w:val="444444"/>
          <w:sz w:val="22"/>
          <w:szCs w:val="22"/>
          <w:shd w:val="clear" w:color="auto" w:fill="FFFFFF"/>
        </w:rPr>
        <w:t xml:space="preserve">(Sarah Bunn, Penelope Brown, 2018). </w:t>
      </w:r>
      <w:r w:rsidRPr="009E6EA9">
        <w:rPr>
          <w:color w:val="444444"/>
          <w:sz w:val="22"/>
          <w:szCs w:val="22"/>
          <w:shd w:val="clear" w:color="auto" w:fill="FFFFFF"/>
        </w:rPr>
        <w:t>It has been said there where a child is dealt with in a harsh manner during the criminal justice system, this doesn’t always stop them from reoffending.</w:t>
      </w:r>
      <w:r w:rsidR="007E10C2" w:rsidRPr="009E6EA9">
        <w:rPr>
          <w:color w:val="444444"/>
          <w:sz w:val="22"/>
          <w:szCs w:val="22"/>
          <w:shd w:val="clear" w:color="auto" w:fill="FFFFFF"/>
        </w:rPr>
        <w:t xml:space="preserve"> (</w:t>
      </w:r>
      <w:r w:rsidR="007E10C2" w:rsidRPr="009E6EA9">
        <w:rPr>
          <w:sz w:val="22"/>
          <w:szCs w:val="22"/>
        </w:rPr>
        <w:t xml:space="preserve">Huizinga, D., Schumann, K., Ehret, B. and Elliot, A. 2003). </w:t>
      </w:r>
    </w:p>
    <w:p w14:paraId="5CA908D2" w14:textId="77777777" w:rsidR="00895191" w:rsidRPr="009E6EA9" w:rsidRDefault="00895191" w:rsidP="007E10C2">
      <w:pPr>
        <w:overflowPunct/>
        <w:autoSpaceDE/>
        <w:autoSpaceDN/>
        <w:adjustRightInd/>
        <w:textAlignment w:val="auto"/>
        <w:rPr>
          <w:sz w:val="22"/>
          <w:szCs w:val="22"/>
        </w:rPr>
      </w:pPr>
    </w:p>
    <w:p w14:paraId="7FBF2C92" w14:textId="0165409A" w:rsidR="00382848" w:rsidRPr="009E6EA9" w:rsidRDefault="00895191" w:rsidP="00382848">
      <w:pPr>
        <w:overflowPunct/>
        <w:autoSpaceDE/>
        <w:autoSpaceDN/>
        <w:adjustRightInd/>
        <w:textAlignment w:val="auto"/>
        <w:rPr>
          <w:color w:val="444444"/>
          <w:sz w:val="22"/>
          <w:szCs w:val="22"/>
          <w:shd w:val="clear" w:color="auto" w:fill="FFFFFF"/>
        </w:rPr>
      </w:pPr>
      <w:r w:rsidRPr="009E6EA9">
        <w:rPr>
          <w:sz w:val="22"/>
          <w:szCs w:val="22"/>
        </w:rPr>
        <w:t>The next step of Driscol’s Model is Now What, which is how will I use this information for future incidents. I have learnt that it is important to consider the impact a decision has on both the suspect and victim.</w:t>
      </w:r>
    </w:p>
    <w:p w14:paraId="556B7248" w14:textId="77777777" w:rsidR="00382848" w:rsidRPr="009E6EA9" w:rsidRDefault="00382848" w:rsidP="00382848">
      <w:pPr>
        <w:overflowPunct/>
        <w:autoSpaceDE/>
        <w:autoSpaceDN/>
        <w:adjustRightInd/>
        <w:textAlignment w:val="auto"/>
        <w:rPr>
          <w:sz w:val="22"/>
          <w:szCs w:val="22"/>
        </w:rPr>
      </w:pPr>
    </w:p>
    <w:p w14:paraId="03ED1FE2" w14:textId="68072151" w:rsidR="00745482" w:rsidRPr="009E6EA9" w:rsidRDefault="00382848" w:rsidP="00382848">
      <w:pPr>
        <w:overflowPunct/>
        <w:autoSpaceDE/>
        <w:autoSpaceDN/>
        <w:adjustRightInd/>
        <w:textAlignment w:val="auto"/>
        <w:rPr>
          <w:sz w:val="22"/>
          <w:szCs w:val="22"/>
        </w:rPr>
      </w:pPr>
      <w:r w:rsidRPr="009E6EA9">
        <w:rPr>
          <w:sz w:val="22"/>
          <w:szCs w:val="22"/>
        </w:rPr>
        <w:t xml:space="preserve">The Victims Code of Practice defines </w:t>
      </w:r>
      <w:r w:rsidR="0039752A" w:rsidRPr="009E6EA9">
        <w:rPr>
          <w:sz w:val="22"/>
          <w:szCs w:val="22"/>
        </w:rPr>
        <w:t>a repeat victims as someone who is persistently targets as a direct victim of crime over a period of time (Code of Practise for Victims of Crime in England and Wales (Victim Code), 2024). In my case each victim was repeatedly targeted by the suspect over a period of six months</w:t>
      </w:r>
      <w:r w:rsidR="00497331" w:rsidRPr="009E6EA9">
        <w:rPr>
          <w:sz w:val="22"/>
          <w:szCs w:val="22"/>
        </w:rPr>
        <w:t>.</w:t>
      </w:r>
      <w:r w:rsidR="00E6093F" w:rsidRPr="009E6EA9">
        <w:rPr>
          <w:sz w:val="22"/>
          <w:szCs w:val="22"/>
        </w:rPr>
        <w:t xml:space="preserve"> One of the issues in safeguarding the victims was that prior to the suspect being voluntarily interviewed, the names of the victims were not known. Once the suspect found out the name, there were still issues with the suspect approaching the victims in school.</w:t>
      </w:r>
    </w:p>
    <w:p w14:paraId="24DDFCC8" w14:textId="77777777" w:rsidR="0039752A" w:rsidRPr="009E6EA9" w:rsidRDefault="0039752A" w:rsidP="00382848">
      <w:pPr>
        <w:overflowPunct/>
        <w:autoSpaceDE/>
        <w:autoSpaceDN/>
        <w:adjustRightInd/>
        <w:textAlignment w:val="auto"/>
        <w:rPr>
          <w:sz w:val="22"/>
          <w:szCs w:val="22"/>
        </w:rPr>
      </w:pPr>
    </w:p>
    <w:p w14:paraId="45EF389A" w14:textId="4DA71C49" w:rsidR="0039752A" w:rsidRPr="009E6EA9" w:rsidRDefault="0039752A" w:rsidP="00382848">
      <w:pPr>
        <w:overflowPunct/>
        <w:autoSpaceDE/>
        <w:autoSpaceDN/>
        <w:adjustRightInd/>
        <w:textAlignment w:val="auto"/>
        <w:rPr>
          <w:sz w:val="22"/>
          <w:szCs w:val="22"/>
        </w:rPr>
      </w:pPr>
      <w:r w:rsidRPr="009E6EA9">
        <w:rPr>
          <w:sz w:val="22"/>
          <w:szCs w:val="22"/>
        </w:rPr>
        <w:t>A repeat offender is someone who commits the same offence multiple times over multiple occasions (Oxford Reference, 2024). In my case I had a suspect who committed the same offence on multiple girls, o</w:t>
      </w:r>
      <w:r w:rsidR="00E6093F" w:rsidRPr="009E6EA9">
        <w:rPr>
          <w:sz w:val="22"/>
          <w:szCs w:val="22"/>
        </w:rPr>
        <w:t>n</w:t>
      </w:r>
      <w:r w:rsidRPr="009E6EA9">
        <w:rPr>
          <w:sz w:val="22"/>
          <w:szCs w:val="22"/>
        </w:rPr>
        <w:t xml:space="preserve"> multiple occasions. </w:t>
      </w:r>
    </w:p>
    <w:p w14:paraId="73ADF8C0" w14:textId="77777777" w:rsidR="009B23A2" w:rsidRPr="009E6EA9" w:rsidRDefault="009B23A2" w:rsidP="00382848">
      <w:pPr>
        <w:overflowPunct/>
        <w:autoSpaceDE/>
        <w:autoSpaceDN/>
        <w:adjustRightInd/>
        <w:textAlignment w:val="auto"/>
        <w:rPr>
          <w:sz w:val="22"/>
          <w:szCs w:val="22"/>
        </w:rPr>
      </w:pPr>
    </w:p>
    <w:p w14:paraId="067D5024" w14:textId="77777777" w:rsidR="002B5261" w:rsidRPr="009E6EA9" w:rsidRDefault="002B5261" w:rsidP="00382848">
      <w:pPr>
        <w:overflowPunct/>
        <w:autoSpaceDE/>
        <w:autoSpaceDN/>
        <w:adjustRightInd/>
        <w:textAlignment w:val="auto"/>
        <w:rPr>
          <w:sz w:val="22"/>
          <w:szCs w:val="22"/>
        </w:rPr>
      </w:pPr>
    </w:p>
    <w:p w14:paraId="5D8563A7" w14:textId="1AF08531" w:rsidR="0039752A" w:rsidRPr="009E6EA9" w:rsidRDefault="009B23A2" w:rsidP="009B23A2">
      <w:pPr>
        <w:overflowPunct/>
        <w:autoSpaceDE/>
        <w:autoSpaceDN/>
        <w:adjustRightInd/>
        <w:textAlignment w:val="auto"/>
        <w:rPr>
          <w:sz w:val="22"/>
          <w:szCs w:val="22"/>
        </w:rPr>
      </w:pPr>
      <w:r w:rsidRPr="009E6EA9">
        <w:rPr>
          <w:sz w:val="22"/>
          <w:szCs w:val="22"/>
        </w:rPr>
        <w:lastRenderedPageBreak/>
        <w:t>Evidence based policing is based on the ideas of Laurence Sherman</w:t>
      </w:r>
      <w:r w:rsidR="009E6EA9" w:rsidRPr="009E6EA9">
        <w:rPr>
          <w:sz w:val="22"/>
          <w:szCs w:val="22"/>
        </w:rPr>
        <w:t>, whereby police practices should be based on scientific evidence about what works best, it uses the best evidence to ensure the best practise (Lawrence Sherman, 1998). It’s about using the available evidence and information and use this when deciding policing policies, practices and decisions (COP 2020).</w:t>
      </w:r>
    </w:p>
    <w:p w14:paraId="522C8CD9" w14:textId="77777777" w:rsidR="00270638" w:rsidRPr="009E6EA9" w:rsidRDefault="00270638" w:rsidP="009B23A2">
      <w:pPr>
        <w:overflowPunct/>
        <w:autoSpaceDE/>
        <w:autoSpaceDN/>
        <w:adjustRightInd/>
        <w:textAlignment w:val="auto"/>
        <w:rPr>
          <w:sz w:val="22"/>
          <w:szCs w:val="22"/>
        </w:rPr>
      </w:pPr>
    </w:p>
    <w:p w14:paraId="54C997B1" w14:textId="7495FDEF" w:rsidR="009E6EA9" w:rsidRPr="009E6EA9" w:rsidRDefault="009E6EA9" w:rsidP="009B23A2">
      <w:pPr>
        <w:overflowPunct/>
        <w:autoSpaceDE/>
        <w:autoSpaceDN/>
        <w:adjustRightInd/>
        <w:textAlignment w:val="auto"/>
        <w:rPr>
          <w:spacing w:val="3"/>
          <w:sz w:val="22"/>
          <w:szCs w:val="22"/>
        </w:rPr>
      </w:pPr>
      <w:r w:rsidRPr="009E6EA9">
        <w:rPr>
          <w:sz w:val="22"/>
          <w:szCs w:val="22"/>
        </w:rPr>
        <w:t xml:space="preserve">In relation to this case, by bringing the suspect in for a voluntary attendance at the police station this was to be used as a deterrent for further reoffending. It is said that there is evidence to show that the certainty of being apprehended and not necessarily the severity of the consequences that act as an effective deterrent </w:t>
      </w:r>
      <w:r w:rsidRPr="009E6EA9">
        <w:rPr>
          <w:spacing w:val="3"/>
          <w:sz w:val="22"/>
          <w:szCs w:val="22"/>
        </w:rPr>
        <w:t xml:space="preserve">Nagin (2013). Taking this into account I did not necessarily need to arrest the suspect to act as a deterrent. Other studies show that may where the more severe the punishment this could prevent future reoffending (Friesen, 2012; Mungan, 2016). In my case this is important to take in to consideration when deciding whether to refer the case to the Youth Referral Team to deal with, whereby the punishment may be less severe or whether to refer to the Crown Prosecution Service to make a charging decision </w:t>
      </w:r>
    </w:p>
    <w:p w14:paraId="0EF792A2" w14:textId="77777777" w:rsidR="00E6093F" w:rsidRPr="009E6EA9" w:rsidRDefault="00E6093F" w:rsidP="00382848">
      <w:pPr>
        <w:overflowPunct/>
        <w:autoSpaceDE/>
        <w:autoSpaceDN/>
        <w:adjustRightInd/>
        <w:textAlignment w:val="auto"/>
        <w:rPr>
          <w:sz w:val="22"/>
          <w:szCs w:val="22"/>
        </w:rPr>
      </w:pPr>
    </w:p>
    <w:p w14:paraId="6C81BD26" w14:textId="788F808D" w:rsidR="00E6093F" w:rsidRPr="009E6EA9" w:rsidRDefault="009E6EA9" w:rsidP="00382848">
      <w:pPr>
        <w:overflowPunct/>
        <w:autoSpaceDE/>
        <w:autoSpaceDN/>
        <w:adjustRightInd/>
        <w:textAlignment w:val="auto"/>
        <w:rPr>
          <w:sz w:val="22"/>
          <w:szCs w:val="22"/>
        </w:rPr>
      </w:pPr>
      <w:r w:rsidRPr="009E6EA9">
        <w:rPr>
          <w:sz w:val="22"/>
          <w:szCs w:val="22"/>
        </w:rPr>
        <w:t xml:space="preserve">It was important that I reduce the amount of opportunities for the suspect to be able to reoffend, and this is when the importance of having an appropriate safety plan in school comes into effect. Where there is a specific situation, the offender and potential victim come together and where there is not an appropriate person monitoring them this could lead to reoffending (Clarke and Felson, 2017; Clarke, 2018). In my case, the safety plan ensured that teachers were aware of the situation, both suspect and victims were allocated their own areas during break time and they were to leave from different entrances and exit. I ensured that this was tailored to the specific case, as having a well-implemented and tailored prevention plan in place this is more likely to reduce repeat victimisation (COP, May 2021). </w:t>
      </w:r>
    </w:p>
    <w:p w14:paraId="1FA91A63" w14:textId="77777777" w:rsidR="009E6EA9" w:rsidRPr="009E6EA9" w:rsidRDefault="009E6EA9" w:rsidP="00382848">
      <w:pPr>
        <w:overflowPunct/>
        <w:autoSpaceDE/>
        <w:autoSpaceDN/>
        <w:adjustRightInd/>
        <w:textAlignment w:val="auto"/>
        <w:rPr>
          <w:sz w:val="22"/>
          <w:szCs w:val="22"/>
        </w:rPr>
      </w:pPr>
    </w:p>
    <w:p w14:paraId="2679F80F" w14:textId="7F45ACCE" w:rsidR="009E6EA9" w:rsidRPr="009E6EA9" w:rsidRDefault="009E6EA9" w:rsidP="00382848">
      <w:pPr>
        <w:overflowPunct/>
        <w:autoSpaceDE/>
        <w:autoSpaceDN/>
        <w:adjustRightInd/>
        <w:textAlignment w:val="auto"/>
        <w:rPr>
          <w:sz w:val="22"/>
          <w:szCs w:val="22"/>
        </w:rPr>
      </w:pPr>
      <w:r w:rsidRPr="009E6EA9">
        <w:rPr>
          <w:sz w:val="22"/>
          <w:szCs w:val="22"/>
        </w:rPr>
        <w:t>In conclusion I feel that the different approaches taken by police and professionals was appropriate and that I ensured that there were thigs in place to prevent repeat victimisation and repeat offending.</w:t>
      </w:r>
    </w:p>
    <w:p w14:paraId="6AD926F5" w14:textId="77777777" w:rsidR="001E533C" w:rsidRDefault="001E533C" w:rsidP="00382848">
      <w:pPr>
        <w:overflowPunct/>
        <w:autoSpaceDE/>
        <w:autoSpaceDN/>
        <w:adjustRightInd/>
        <w:textAlignment w:val="auto"/>
        <w:rPr>
          <w:b/>
          <w:bCs/>
          <w:sz w:val="24"/>
          <w:szCs w:val="24"/>
        </w:rPr>
      </w:pPr>
    </w:p>
    <w:p w14:paraId="419084FB" w14:textId="5275A9F4" w:rsidR="009E6EA9" w:rsidRDefault="009E6EA9" w:rsidP="00382848">
      <w:pPr>
        <w:overflowPunct/>
        <w:autoSpaceDE/>
        <w:autoSpaceDN/>
        <w:adjustRightInd/>
        <w:textAlignment w:val="auto"/>
        <w:rPr>
          <w:b/>
          <w:bCs/>
          <w:sz w:val="24"/>
          <w:szCs w:val="24"/>
        </w:rPr>
      </w:pPr>
      <w:r>
        <w:rPr>
          <w:b/>
          <w:bCs/>
          <w:sz w:val="24"/>
          <w:szCs w:val="24"/>
        </w:rPr>
        <w:t>(Word Count: 2086)</w:t>
      </w:r>
    </w:p>
    <w:p w14:paraId="1BF5BF68" w14:textId="77777777" w:rsidR="00233124" w:rsidRDefault="00233124" w:rsidP="00382848">
      <w:pPr>
        <w:overflowPunct/>
        <w:autoSpaceDE/>
        <w:autoSpaceDN/>
        <w:adjustRightInd/>
        <w:textAlignment w:val="auto"/>
      </w:pPr>
    </w:p>
    <w:p w14:paraId="0C5118D2" w14:textId="77777777" w:rsidR="00233124" w:rsidRDefault="00233124" w:rsidP="00382848">
      <w:pPr>
        <w:overflowPunct/>
        <w:autoSpaceDE/>
        <w:autoSpaceDN/>
        <w:adjustRightInd/>
        <w:textAlignment w:val="auto"/>
      </w:pPr>
    </w:p>
    <w:p w14:paraId="7D124FD1" w14:textId="77777777" w:rsidR="00233124" w:rsidRDefault="00233124" w:rsidP="00382848">
      <w:pPr>
        <w:overflowPunct/>
        <w:autoSpaceDE/>
        <w:autoSpaceDN/>
        <w:adjustRightInd/>
        <w:textAlignment w:val="auto"/>
      </w:pPr>
    </w:p>
    <w:p w14:paraId="2FF47D1D" w14:textId="77777777" w:rsidR="00233124" w:rsidRDefault="00233124" w:rsidP="00382848">
      <w:pPr>
        <w:overflowPunct/>
        <w:autoSpaceDE/>
        <w:autoSpaceDN/>
        <w:adjustRightInd/>
        <w:textAlignment w:val="auto"/>
      </w:pPr>
    </w:p>
    <w:p w14:paraId="109AC7F3" w14:textId="77777777" w:rsidR="00233124" w:rsidRDefault="00233124" w:rsidP="00382848">
      <w:pPr>
        <w:overflowPunct/>
        <w:autoSpaceDE/>
        <w:autoSpaceDN/>
        <w:adjustRightInd/>
        <w:textAlignment w:val="auto"/>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17A6B8FD" w14:textId="77777777" w:rsidR="00AD6E64" w:rsidRDefault="00AD6E64" w:rsidP="69F7424F">
      <w:pPr>
        <w:ind w:right="237"/>
        <w:jc w:val="center"/>
        <w:rPr>
          <w:b/>
          <w:bCs/>
          <w:sz w:val="24"/>
          <w:szCs w:val="24"/>
        </w:rPr>
      </w:pPr>
    </w:p>
    <w:p w14:paraId="77E31362" w14:textId="29BEE203" w:rsidR="0FF883D4" w:rsidRDefault="0FF883D4" w:rsidP="0FF883D4">
      <w:pPr>
        <w:ind w:right="237"/>
        <w:jc w:val="both"/>
        <w:rPr>
          <w:b/>
          <w:bCs/>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07180D14" w14:textId="24CBDB34" w:rsidR="009E6EA9" w:rsidRPr="009E6EA9" w:rsidRDefault="009E6EA9" w:rsidP="0FF883D4">
      <w:pPr>
        <w:ind w:right="237"/>
        <w:jc w:val="both"/>
        <w:rPr>
          <w:b/>
          <w:bCs/>
          <w:color w:val="000000" w:themeColor="text1"/>
          <w:sz w:val="24"/>
          <w:szCs w:val="24"/>
        </w:rPr>
      </w:pPr>
      <w:r>
        <w:rPr>
          <w:b/>
          <w:bCs/>
          <w:color w:val="000000" w:themeColor="text1"/>
          <w:sz w:val="24"/>
          <w:szCs w:val="24"/>
        </w:rPr>
        <w:t>ANSWER:</w:t>
      </w:r>
    </w:p>
    <w:p w14:paraId="4D452CDB" w14:textId="77777777" w:rsidR="009E6EA9" w:rsidRDefault="009E6EA9" w:rsidP="0FF883D4">
      <w:pPr>
        <w:ind w:right="237"/>
        <w:jc w:val="both"/>
        <w:rPr>
          <w:color w:val="000000" w:themeColor="text1"/>
          <w:sz w:val="24"/>
          <w:szCs w:val="24"/>
        </w:rPr>
      </w:pPr>
    </w:p>
    <w:p w14:paraId="71A5163D" w14:textId="40BA7C73" w:rsidR="00AD6E64" w:rsidRDefault="002326B2" w:rsidP="0FF883D4">
      <w:pPr>
        <w:ind w:right="237"/>
        <w:jc w:val="both"/>
        <w:rPr>
          <w:color w:val="000000" w:themeColor="text1"/>
          <w:sz w:val="24"/>
          <w:szCs w:val="24"/>
        </w:rPr>
      </w:pPr>
      <w:r>
        <w:rPr>
          <w:color w:val="000000" w:themeColor="text1"/>
          <w:sz w:val="24"/>
          <w:szCs w:val="24"/>
        </w:rPr>
        <w:t xml:space="preserve">I am currently based in the Child Protection team, investigating offences against both children and vulnerable adults. </w:t>
      </w:r>
    </w:p>
    <w:p w14:paraId="72902491" w14:textId="77777777" w:rsidR="002326B2" w:rsidRDefault="002326B2" w:rsidP="0FF883D4">
      <w:pPr>
        <w:ind w:right="237"/>
        <w:jc w:val="both"/>
        <w:rPr>
          <w:color w:val="000000" w:themeColor="text1"/>
          <w:sz w:val="24"/>
          <w:szCs w:val="24"/>
        </w:rPr>
      </w:pPr>
    </w:p>
    <w:p w14:paraId="3E11A06D" w14:textId="241BF0B0" w:rsidR="00F81F66" w:rsidRDefault="00F81F66" w:rsidP="00F81F66">
      <w:pPr>
        <w:ind w:right="237"/>
        <w:jc w:val="both"/>
        <w:rPr>
          <w:color w:val="000000" w:themeColor="text1"/>
          <w:sz w:val="24"/>
          <w:szCs w:val="24"/>
        </w:rPr>
      </w:pPr>
      <w:r>
        <w:rPr>
          <w:color w:val="000000" w:themeColor="text1"/>
          <w:sz w:val="24"/>
          <w:szCs w:val="24"/>
        </w:rPr>
        <w:t>I will first explain the case to which this essay relates. To ensure anonymity, I will be referring to referring to the person who has made the allegation as victim and the person who has been accused as suspect. I will not name the school to which the incident relates.</w:t>
      </w:r>
    </w:p>
    <w:p w14:paraId="5C30593E" w14:textId="4544513C" w:rsidR="00F81F66" w:rsidRDefault="00F81F66" w:rsidP="0FF883D4">
      <w:pPr>
        <w:ind w:right="237"/>
        <w:jc w:val="both"/>
        <w:rPr>
          <w:color w:val="000000" w:themeColor="text1"/>
          <w:sz w:val="24"/>
          <w:szCs w:val="24"/>
        </w:rPr>
      </w:pPr>
    </w:p>
    <w:p w14:paraId="3DDAB3C8" w14:textId="23681BFE" w:rsidR="00AD6E64" w:rsidRDefault="00F81F66" w:rsidP="0FF883D4">
      <w:pPr>
        <w:ind w:right="237"/>
        <w:jc w:val="both"/>
        <w:rPr>
          <w:color w:val="000000" w:themeColor="text1"/>
          <w:sz w:val="24"/>
          <w:szCs w:val="24"/>
        </w:rPr>
      </w:pPr>
      <w:r>
        <w:rPr>
          <w:color w:val="000000" w:themeColor="text1"/>
          <w:sz w:val="24"/>
          <w:szCs w:val="24"/>
        </w:rPr>
        <w:t xml:space="preserve">The </w:t>
      </w:r>
      <w:r w:rsidR="00AD6E64">
        <w:rPr>
          <w:color w:val="000000" w:themeColor="text1"/>
          <w:sz w:val="24"/>
          <w:szCs w:val="24"/>
        </w:rPr>
        <w:t xml:space="preserve">victim </w:t>
      </w:r>
      <w:r>
        <w:rPr>
          <w:color w:val="000000" w:themeColor="text1"/>
          <w:sz w:val="24"/>
          <w:szCs w:val="24"/>
        </w:rPr>
        <w:t xml:space="preserve">contacted her old high school to question whether a specific teacher was still at the school, and she had told the school administrator that she had been sexually abused by this teacher. The school subsequently contact the police. I have then gone to speak with the victim who alleged that her </w:t>
      </w:r>
      <w:r w:rsidR="00AD6E64">
        <w:rPr>
          <w:color w:val="000000" w:themeColor="text1"/>
          <w:sz w:val="24"/>
          <w:szCs w:val="24"/>
        </w:rPr>
        <w:t xml:space="preserve"> teacher</w:t>
      </w:r>
      <w:r w:rsidR="00C16CA4">
        <w:rPr>
          <w:color w:val="000000" w:themeColor="text1"/>
          <w:sz w:val="24"/>
          <w:szCs w:val="24"/>
        </w:rPr>
        <w:t xml:space="preserve"> ha</w:t>
      </w:r>
      <w:r>
        <w:rPr>
          <w:color w:val="000000" w:themeColor="text1"/>
          <w:sz w:val="24"/>
          <w:szCs w:val="24"/>
        </w:rPr>
        <w:t>d</w:t>
      </w:r>
      <w:r w:rsidR="00AD6E64">
        <w:rPr>
          <w:color w:val="000000" w:themeColor="text1"/>
          <w:sz w:val="24"/>
          <w:szCs w:val="24"/>
        </w:rPr>
        <w:t xml:space="preserve"> raped her </w:t>
      </w:r>
      <w:r w:rsidR="00C16CA4">
        <w:rPr>
          <w:color w:val="000000" w:themeColor="text1"/>
          <w:sz w:val="24"/>
          <w:szCs w:val="24"/>
        </w:rPr>
        <w:t xml:space="preserve">a few years before </w:t>
      </w:r>
      <w:r w:rsidR="00AD6E64">
        <w:rPr>
          <w:color w:val="000000" w:themeColor="text1"/>
          <w:sz w:val="24"/>
          <w:szCs w:val="24"/>
        </w:rPr>
        <w:t>whilst she was a</w:t>
      </w:r>
      <w:r w:rsidR="00C16CA4">
        <w:rPr>
          <w:color w:val="000000" w:themeColor="text1"/>
          <w:sz w:val="24"/>
          <w:szCs w:val="24"/>
        </w:rPr>
        <w:t xml:space="preserve"> pupil at the</w:t>
      </w:r>
      <w:r w:rsidR="00AD6E64">
        <w:rPr>
          <w:color w:val="000000" w:themeColor="text1"/>
          <w:sz w:val="24"/>
          <w:szCs w:val="24"/>
        </w:rPr>
        <w:t xml:space="preserve"> school</w:t>
      </w:r>
      <w:r w:rsidR="00C16CA4">
        <w:rPr>
          <w:color w:val="000000" w:themeColor="text1"/>
          <w:sz w:val="24"/>
          <w:szCs w:val="24"/>
        </w:rPr>
        <w:t>.</w:t>
      </w:r>
      <w:r w:rsidR="00393159">
        <w:rPr>
          <w:color w:val="000000" w:themeColor="text1"/>
          <w:sz w:val="24"/>
          <w:szCs w:val="24"/>
        </w:rPr>
        <w:t xml:space="preserve"> She stated that this had happened over a one year period when she was twelve and thirteen year old.</w:t>
      </w:r>
      <w:r w:rsidR="00C16CA4">
        <w:rPr>
          <w:color w:val="000000" w:themeColor="text1"/>
          <w:sz w:val="24"/>
          <w:szCs w:val="24"/>
        </w:rPr>
        <w:t xml:space="preserve"> She also alleged that he was paying her money every month to keep</w:t>
      </w:r>
      <w:r w:rsidR="00393159">
        <w:rPr>
          <w:color w:val="000000" w:themeColor="text1"/>
          <w:sz w:val="24"/>
          <w:szCs w:val="24"/>
        </w:rPr>
        <w:t xml:space="preserve"> her</w:t>
      </w:r>
      <w:r w:rsidR="00C16CA4">
        <w:rPr>
          <w:color w:val="000000" w:themeColor="text1"/>
          <w:sz w:val="24"/>
          <w:szCs w:val="24"/>
        </w:rPr>
        <w:t xml:space="preserve"> quiet. </w:t>
      </w:r>
    </w:p>
    <w:p w14:paraId="3A8E7F05" w14:textId="77777777" w:rsidR="004A1AF2" w:rsidRDefault="004A1AF2" w:rsidP="0FF883D4">
      <w:pPr>
        <w:ind w:right="237"/>
        <w:jc w:val="both"/>
        <w:rPr>
          <w:color w:val="000000" w:themeColor="text1"/>
          <w:sz w:val="24"/>
          <w:szCs w:val="24"/>
        </w:rPr>
      </w:pPr>
    </w:p>
    <w:p w14:paraId="00501313" w14:textId="2D1BD390" w:rsidR="004A1AF2" w:rsidRPr="001F06AA" w:rsidRDefault="004A1AF2" w:rsidP="004A1AF2">
      <w:pPr>
        <w:ind w:right="107"/>
        <w:jc w:val="both"/>
        <w:rPr>
          <w:sz w:val="24"/>
          <w:szCs w:val="24"/>
        </w:rPr>
      </w:pPr>
      <w:r w:rsidRPr="001F06AA">
        <w:rPr>
          <w:sz w:val="24"/>
          <w:szCs w:val="24"/>
        </w:rPr>
        <w:t xml:space="preserve">I will be using the Boud Reflective Model, (Davud Boud, Rosemary Keogh and David Walker, 1985) throughout where I will </w:t>
      </w:r>
      <w:r>
        <w:rPr>
          <w:sz w:val="24"/>
          <w:szCs w:val="24"/>
        </w:rPr>
        <w:t xml:space="preserve">describe what I have done, </w:t>
      </w:r>
      <w:r w:rsidRPr="001F06AA">
        <w:rPr>
          <w:sz w:val="24"/>
          <w:szCs w:val="24"/>
        </w:rPr>
        <w:t>evaluate</w:t>
      </w:r>
      <w:r>
        <w:rPr>
          <w:sz w:val="24"/>
          <w:szCs w:val="24"/>
        </w:rPr>
        <w:t xml:space="preserve">, reflect and explain what I have learnt. </w:t>
      </w:r>
    </w:p>
    <w:p w14:paraId="7FC33377" w14:textId="77777777" w:rsidR="00794A1D" w:rsidRDefault="00794A1D" w:rsidP="0FF883D4">
      <w:pPr>
        <w:ind w:right="237"/>
        <w:jc w:val="both"/>
        <w:rPr>
          <w:color w:val="000000" w:themeColor="text1"/>
          <w:sz w:val="24"/>
          <w:szCs w:val="24"/>
        </w:rPr>
      </w:pPr>
    </w:p>
    <w:p w14:paraId="04F6B7A9" w14:textId="5AE3F016" w:rsidR="00794A1D" w:rsidRDefault="00794A1D" w:rsidP="0FF883D4">
      <w:pPr>
        <w:ind w:right="237"/>
        <w:jc w:val="both"/>
        <w:rPr>
          <w:color w:val="000000" w:themeColor="text1"/>
          <w:sz w:val="24"/>
          <w:szCs w:val="24"/>
        </w:rPr>
      </w:pPr>
      <w:r>
        <w:rPr>
          <w:color w:val="000000" w:themeColor="text1"/>
          <w:sz w:val="24"/>
          <w:szCs w:val="24"/>
        </w:rPr>
        <w:t xml:space="preserve">As part of my role as an investigator it is important that I pursue all relevant, reasonable and proportionate lines of enquiries, which includes evidence which </w:t>
      </w:r>
      <w:r>
        <w:rPr>
          <w:color w:val="000000" w:themeColor="text1"/>
          <w:sz w:val="24"/>
          <w:szCs w:val="24"/>
        </w:rPr>
        <w:lastRenderedPageBreak/>
        <w:t>could undermine the prosecutions case or assist the defence (Attorney General Office, 2024</w:t>
      </w:r>
      <w:r w:rsidR="00364072">
        <w:rPr>
          <w:color w:val="000000" w:themeColor="text1"/>
          <w:sz w:val="24"/>
          <w:szCs w:val="24"/>
        </w:rPr>
        <w:t>)</w:t>
      </w:r>
    </w:p>
    <w:p w14:paraId="4D8D4507" w14:textId="77777777" w:rsidR="00794A1D" w:rsidRDefault="00794A1D" w:rsidP="0FF883D4">
      <w:pPr>
        <w:ind w:right="237"/>
        <w:jc w:val="both"/>
        <w:rPr>
          <w:color w:val="000000" w:themeColor="text1"/>
          <w:sz w:val="24"/>
          <w:szCs w:val="24"/>
        </w:rPr>
      </w:pPr>
    </w:p>
    <w:p w14:paraId="451C730D" w14:textId="18F1F759" w:rsidR="00C16CA4" w:rsidRDefault="00C16CA4" w:rsidP="0FF883D4">
      <w:pPr>
        <w:ind w:right="237"/>
        <w:jc w:val="both"/>
        <w:rPr>
          <w:color w:val="000000" w:themeColor="text1"/>
          <w:sz w:val="24"/>
          <w:szCs w:val="24"/>
        </w:rPr>
      </w:pPr>
      <w:r>
        <w:rPr>
          <w:color w:val="000000" w:themeColor="text1"/>
          <w:sz w:val="24"/>
          <w:szCs w:val="24"/>
        </w:rPr>
        <w:t>Fast track actions are “actions, if pursued immediately, may help to establish important facts, identify suspect, preserve evidence or lead to the early arrest and resolution of the investigation.” (COP, 2024). This may also require that additional resources are allocate to ensure that the actions are completed with the golden hour period (COP,</w:t>
      </w:r>
      <w:r w:rsidR="009E6EA9">
        <w:rPr>
          <w:color w:val="000000" w:themeColor="text1"/>
          <w:sz w:val="24"/>
          <w:szCs w:val="24"/>
        </w:rPr>
        <w:t xml:space="preserve"> </w:t>
      </w:r>
      <w:r>
        <w:rPr>
          <w:color w:val="000000" w:themeColor="text1"/>
          <w:sz w:val="24"/>
          <w:szCs w:val="24"/>
        </w:rPr>
        <w:t xml:space="preserve">2024). </w:t>
      </w:r>
    </w:p>
    <w:p w14:paraId="55086BE9" w14:textId="77777777" w:rsidR="002243AB" w:rsidRDefault="002243AB" w:rsidP="0FF883D4">
      <w:pPr>
        <w:ind w:right="237"/>
        <w:jc w:val="both"/>
        <w:rPr>
          <w:color w:val="000000" w:themeColor="text1"/>
          <w:sz w:val="24"/>
          <w:szCs w:val="24"/>
        </w:rPr>
      </w:pPr>
    </w:p>
    <w:p w14:paraId="615AC728" w14:textId="584CAABA" w:rsidR="002243AB" w:rsidRDefault="002243AB" w:rsidP="0FF883D4">
      <w:pPr>
        <w:ind w:right="237"/>
        <w:jc w:val="both"/>
        <w:rPr>
          <w:color w:val="000000" w:themeColor="text1"/>
          <w:sz w:val="24"/>
          <w:szCs w:val="24"/>
        </w:rPr>
      </w:pPr>
      <w:r>
        <w:rPr>
          <w:color w:val="000000" w:themeColor="text1"/>
          <w:sz w:val="24"/>
          <w:szCs w:val="24"/>
        </w:rPr>
        <w:t>As part of my role</w:t>
      </w:r>
      <w:r w:rsidR="00283D2B">
        <w:rPr>
          <w:color w:val="000000" w:themeColor="text1"/>
          <w:sz w:val="24"/>
          <w:szCs w:val="24"/>
        </w:rPr>
        <w:t xml:space="preserve">, </w:t>
      </w:r>
      <w:r>
        <w:rPr>
          <w:color w:val="000000" w:themeColor="text1"/>
          <w:sz w:val="24"/>
          <w:szCs w:val="24"/>
        </w:rPr>
        <w:t>I need to ensure that both the victim and any other children are safeguarded from the suspect and</w:t>
      </w:r>
      <w:r w:rsidR="00283D2B">
        <w:rPr>
          <w:color w:val="000000" w:themeColor="text1"/>
          <w:sz w:val="24"/>
          <w:szCs w:val="24"/>
        </w:rPr>
        <w:t xml:space="preserve"> therefore</w:t>
      </w:r>
      <w:r w:rsidR="00393159">
        <w:rPr>
          <w:color w:val="000000" w:themeColor="text1"/>
          <w:sz w:val="24"/>
          <w:szCs w:val="24"/>
        </w:rPr>
        <w:t xml:space="preserve"> </w:t>
      </w:r>
      <w:r>
        <w:rPr>
          <w:color w:val="000000" w:themeColor="text1"/>
          <w:sz w:val="24"/>
          <w:szCs w:val="24"/>
        </w:rPr>
        <w:t>limit the opportunity for him to reoffend. “</w:t>
      </w:r>
      <w:r w:rsidRPr="002243AB">
        <w:rPr>
          <w:color w:val="000000" w:themeColor="text1"/>
          <w:sz w:val="24"/>
          <w:szCs w:val="24"/>
        </w:rPr>
        <w:t>Safeguarding means protecting people from harm including physical, emotional, sexual and financial harm and neglect</w:t>
      </w:r>
      <w:r>
        <w:rPr>
          <w:color w:val="000000" w:themeColor="text1"/>
          <w:sz w:val="24"/>
          <w:szCs w:val="24"/>
        </w:rPr>
        <w:t>” (CPD Online College, date unknown)</w:t>
      </w:r>
      <w:r w:rsidR="00283D2B">
        <w:rPr>
          <w:color w:val="000000" w:themeColor="text1"/>
          <w:sz w:val="24"/>
          <w:szCs w:val="24"/>
        </w:rPr>
        <w:t>.</w:t>
      </w:r>
      <w:r w:rsidR="00393159">
        <w:rPr>
          <w:color w:val="000000" w:themeColor="text1"/>
          <w:sz w:val="24"/>
          <w:szCs w:val="24"/>
        </w:rPr>
        <w:t xml:space="preserve"> It was important that the suspect could not have unsupervised access at the minimum with children. The suspect has children on his own, so it was important that officers spoke to the children to confirm nothing happened to them, which it did not. It was important to ensure that he didn’t have access to any other children. This could be done by arresting and either remanding or bailing the suspect with strict conditions not to be alone with children. </w:t>
      </w:r>
    </w:p>
    <w:p w14:paraId="48FCF236" w14:textId="77777777" w:rsidR="00393159" w:rsidRDefault="00393159" w:rsidP="0FF883D4">
      <w:pPr>
        <w:ind w:right="237"/>
        <w:jc w:val="both"/>
        <w:rPr>
          <w:color w:val="000000" w:themeColor="text1"/>
          <w:sz w:val="24"/>
          <w:szCs w:val="24"/>
        </w:rPr>
      </w:pPr>
    </w:p>
    <w:p w14:paraId="2599F032" w14:textId="7702477C" w:rsidR="00393159" w:rsidRDefault="00393159" w:rsidP="0FF883D4">
      <w:pPr>
        <w:ind w:right="237"/>
        <w:jc w:val="both"/>
        <w:rPr>
          <w:color w:val="000000" w:themeColor="text1"/>
          <w:sz w:val="24"/>
          <w:szCs w:val="24"/>
        </w:rPr>
      </w:pPr>
      <w:r>
        <w:rPr>
          <w:color w:val="000000" w:themeColor="text1"/>
          <w:sz w:val="24"/>
          <w:szCs w:val="24"/>
        </w:rPr>
        <w:t>As he was a teacher it was important that he should be suspended from working in schools whilst the investigation was ongoing. To do this a Part 5 referral was submitted. This should be used in cases where a person who works with children has behaved in a way that has harmed or may harm a child, they’ve committed a criminal offence against a child or behaved in a way that has been unsuitable with the child (Section 5 of the Children Act 1989)(Wales Safeguarding Procedure, 2021). It has been alleged that the suspect in this case harmed a child, has committed a criminal act and has been unsuitable with multiple children,</w:t>
      </w:r>
    </w:p>
    <w:p w14:paraId="5CBD1D41" w14:textId="77777777" w:rsidR="00C16CA4" w:rsidRDefault="00C16CA4" w:rsidP="0FF883D4">
      <w:pPr>
        <w:ind w:right="237"/>
        <w:jc w:val="both"/>
        <w:rPr>
          <w:color w:val="000000" w:themeColor="text1"/>
          <w:sz w:val="24"/>
          <w:szCs w:val="24"/>
        </w:rPr>
      </w:pPr>
    </w:p>
    <w:p w14:paraId="2BA5A6C1" w14:textId="2E78866D" w:rsidR="00295658" w:rsidRDefault="00C16CA4" w:rsidP="0FF883D4">
      <w:pPr>
        <w:ind w:right="237"/>
        <w:jc w:val="both"/>
        <w:rPr>
          <w:color w:val="000000" w:themeColor="text1"/>
          <w:sz w:val="24"/>
          <w:szCs w:val="24"/>
        </w:rPr>
      </w:pPr>
      <w:r>
        <w:rPr>
          <w:color w:val="000000" w:themeColor="text1"/>
          <w:sz w:val="24"/>
          <w:szCs w:val="24"/>
        </w:rPr>
        <w:t xml:space="preserve">The first action is identifying victims and how to achieve best evidence from them. </w:t>
      </w:r>
      <w:r w:rsidR="00295658">
        <w:rPr>
          <w:color w:val="000000" w:themeColor="text1"/>
          <w:sz w:val="24"/>
          <w:szCs w:val="24"/>
        </w:rPr>
        <w:t>Firstly I had to identify the category of witness to ensure that I was able to achieve the best evidence from the victim. The victim was 17 when she came forward and therefore under the Youth Justice and Criminal Evidence Act 1999 she was entitled to special measures</w:t>
      </w:r>
      <w:r w:rsidR="00314997">
        <w:rPr>
          <w:color w:val="000000" w:themeColor="text1"/>
          <w:sz w:val="24"/>
          <w:szCs w:val="24"/>
        </w:rPr>
        <w:t>, which includes video recorded evidence-in-chief (s16 YJCEA 1999).</w:t>
      </w:r>
      <w:r w:rsidR="00F81F66">
        <w:rPr>
          <w:color w:val="000000" w:themeColor="text1"/>
          <w:sz w:val="24"/>
          <w:szCs w:val="24"/>
        </w:rPr>
        <w:t xml:space="preserve"> I explained to the </w:t>
      </w:r>
      <w:r w:rsidR="00393159">
        <w:rPr>
          <w:color w:val="000000" w:themeColor="text1"/>
          <w:sz w:val="24"/>
          <w:szCs w:val="24"/>
        </w:rPr>
        <w:t>victim that she was able to opt out and provide a written statement instead. According to a study conducted by The University College of London, where video recorded evidence-in-chief was used in rape cases this led to 20% fewer rape convictions (BBC, 2024). It was important that I explained the pros and cons of both methods – including the positive that only once the victim would have to go through her account in the level of detail required (Leadership News, 2024). The victim decided she wanted to provide a written statement as she was not ready to talk about it yet with the pressure of the camera.</w:t>
      </w:r>
      <w:r w:rsidR="003078BE">
        <w:rPr>
          <w:color w:val="000000" w:themeColor="text1"/>
          <w:sz w:val="24"/>
          <w:szCs w:val="24"/>
        </w:rPr>
        <w:t xml:space="preserve"> I also considered whether there was any forensic opportunities however as the assaults had happened years ago, there was no need to send the victim for a medical examination.</w:t>
      </w:r>
    </w:p>
    <w:p w14:paraId="6A5D8BF9" w14:textId="77777777" w:rsidR="00794A1D" w:rsidRDefault="00794A1D" w:rsidP="0FF883D4">
      <w:pPr>
        <w:ind w:right="237"/>
        <w:jc w:val="both"/>
        <w:rPr>
          <w:color w:val="000000" w:themeColor="text1"/>
          <w:sz w:val="24"/>
          <w:szCs w:val="24"/>
        </w:rPr>
      </w:pPr>
    </w:p>
    <w:p w14:paraId="0FBAF2D3" w14:textId="56CEFE2C" w:rsidR="00D87E88" w:rsidRDefault="00794A1D" w:rsidP="0FF883D4">
      <w:pPr>
        <w:ind w:right="237"/>
        <w:jc w:val="both"/>
        <w:rPr>
          <w:color w:val="000000" w:themeColor="text1"/>
          <w:sz w:val="24"/>
          <w:szCs w:val="24"/>
        </w:rPr>
      </w:pPr>
      <w:r>
        <w:rPr>
          <w:color w:val="000000" w:themeColor="text1"/>
          <w:sz w:val="24"/>
          <w:szCs w:val="24"/>
        </w:rPr>
        <w:t>The second action would be to identify any witnesses, and again how to achieve best evidence from them.</w:t>
      </w:r>
      <w:r w:rsidR="003078BE">
        <w:rPr>
          <w:color w:val="000000" w:themeColor="text1"/>
          <w:sz w:val="24"/>
          <w:szCs w:val="24"/>
        </w:rPr>
        <w:t xml:space="preserve"> I identified a disclosure witness, where the victim had disclosed to this witness on a previous occasion what had happened. </w:t>
      </w:r>
      <w:r w:rsidR="00446B81">
        <w:rPr>
          <w:color w:val="000000" w:themeColor="text1"/>
          <w:sz w:val="24"/>
          <w:szCs w:val="24"/>
        </w:rPr>
        <w:t xml:space="preserve">Usually under hearsay rule, if someone tells another about something that has happened this would be inadmissible at court (CPS, 2021) </w:t>
      </w:r>
      <w:r w:rsidR="003078BE">
        <w:rPr>
          <w:color w:val="000000" w:themeColor="text1"/>
          <w:sz w:val="24"/>
          <w:szCs w:val="24"/>
        </w:rPr>
        <w:t xml:space="preserve">As the victim was a child and had </w:t>
      </w:r>
      <w:r w:rsidR="003078BE">
        <w:rPr>
          <w:color w:val="000000" w:themeColor="text1"/>
          <w:sz w:val="24"/>
          <w:szCs w:val="24"/>
        </w:rPr>
        <w:lastRenderedPageBreak/>
        <w:t>disclose</w:t>
      </w:r>
      <w:r w:rsidR="00446B81">
        <w:rPr>
          <w:color w:val="000000" w:themeColor="text1"/>
          <w:sz w:val="24"/>
          <w:szCs w:val="24"/>
        </w:rPr>
        <w:t>d to another what had happed, as a result they were classed as a disclosure witness so they provided a written statemen</w:t>
      </w:r>
      <w:r w:rsidR="009E6EA9">
        <w:rPr>
          <w:color w:val="000000" w:themeColor="text1"/>
          <w:sz w:val="24"/>
          <w:szCs w:val="24"/>
        </w:rPr>
        <w:t>t</w:t>
      </w:r>
      <w:r w:rsidR="00446B81">
        <w:rPr>
          <w:color w:val="000000" w:themeColor="text1"/>
          <w:sz w:val="24"/>
          <w:szCs w:val="24"/>
        </w:rPr>
        <w:t xml:space="preserve"> on what the victim told them (</w:t>
      </w:r>
      <w:r w:rsidR="003078BE">
        <w:rPr>
          <w:color w:val="000000" w:themeColor="text1"/>
          <w:sz w:val="24"/>
          <w:szCs w:val="24"/>
        </w:rPr>
        <w:t>COP,  2022)</w:t>
      </w:r>
    </w:p>
    <w:p w14:paraId="612AB040" w14:textId="77777777" w:rsidR="00794A1D" w:rsidRDefault="00794A1D" w:rsidP="0FF883D4">
      <w:pPr>
        <w:ind w:right="237"/>
        <w:jc w:val="both"/>
        <w:rPr>
          <w:color w:val="000000" w:themeColor="text1"/>
          <w:sz w:val="24"/>
          <w:szCs w:val="24"/>
        </w:rPr>
      </w:pPr>
    </w:p>
    <w:p w14:paraId="37D60F51" w14:textId="2B40BD82" w:rsidR="006605AA" w:rsidRDefault="00794A1D" w:rsidP="0FF883D4">
      <w:pPr>
        <w:ind w:right="237"/>
        <w:jc w:val="both"/>
        <w:rPr>
          <w:color w:val="000000" w:themeColor="text1"/>
          <w:sz w:val="24"/>
          <w:szCs w:val="24"/>
        </w:rPr>
      </w:pPr>
      <w:r>
        <w:rPr>
          <w:color w:val="000000" w:themeColor="text1"/>
          <w:sz w:val="24"/>
          <w:szCs w:val="24"/>
        </w:rPr>
        <w:t xml:space="preserve">The third action would be to identify any scenes, and whether they need to be held to stop the public from entering. </w:t>
      </w:r>
      <w:r w:rsidR="006605AA">
        <w:rPr>
          <w:color w:val="000000" w:themeColor="text1"/>
          <w:sz w:val="24"/>
          <w:szCs w:val="24"/>
        </w:rPr>
        <w:t>The only scene identified was the suspects car, as Jessica had alleged that he would assault her in his car. Although the assaults had happened a few years prior, evidence may still be obtained which could place the victim in the car. As a result the suspects vehicle was seized. I ensured that this law proportionate, lawful and a necessity</w:t>
      </w:r>
      <w:r w:rsidR="00F81F66">
        <w:rPr>
          <w:color w:val="000000" w:themeColor="text1"/>
          <w:sz w:val="24"/>
          <w:szCs w:val="24"/>
        </w:rPr>
        <w:t xml:space="preserve"> (COP,  2020).</w:t>
      </w:r>
    </w:p>
    <w:p w14:paraId="727773DF" w14:textId="77777777" w:rsidR="00794A1D" w:rsidRDefault="00794A1D" w:rsidP="0FF883D4">
      <w:pPr>
        <w:ind w:right="237"/>
        <w:jc w:val="both"/>
        <w:rPr>
          <w:color w:val="000000" w:themeColor="text1"/>
          <w:sz w:val="24"/>
          <w:szCs w:val="24"/>
        </w:rPr>
      </w:pPr>
    </w:p>
    <w:p w14:paraId="44E3E110" w14:textId="44A79E19" w:rsidR="00446B81" w:rsidRPr="00446B81" w:rsidRDefault="00794A1D" w:rsidP="0FF883D4">
      <w:pPr>
        <w:ind w:right="237"/>
        <w:jc w:val="both"/>
        <w:rPr>
          <w:color w:val="000000" w:themeColor="text1"/>
          <w:sz w:val="24"/>
          <w:szCs w:val="24"/>
        </w:rPr>
      </w:pPr>
      <w:r w:rsidRPr="00446B81">
        <w:rPr>
          <w:color w:val="000000" w:themeColor="text1"/>
          <w:sz w:val="24"/>
          <w:szCs w:val="24"/>
        </w:rPr>
        <w:t>The fourth action is to identify the suspect, and how the best way to deal with the suspect.</w:t>
      </w:r>
      <w:r w:rsidR="00446B81" w:rsidRPr="00446B81">
        <w:rPr>
          <w:color w:val="000000" w:themeColor="text1"/>
          <w:sz w:val="24"/>
          <w:szCs w:val="24"/>
        </w:rPr>
        <w:t xml:space="preserve"> I had to consider forensic, intelligence and digital opportunities (COP, 2024) when making my decision whether to arrest. Given the seriousness of the offence and considering safeguarding of the victims I decided to arrest.</w:t>
      </w:r>
      <w:r w:rsidR="00446B81">
        <w:rPr>
          <w:color w:val="000000" w:themeColor="text1"/>
          <w:sz w:val="24"/>
          <w:szCs w:val="24"/>
        </w:rPr>
        <w:t xml:space="preserve"> </w:t>
      </w:r>
    </w:p>
    <w:p w14:paraId="2C947E88" w14:textId="77777777" w:rsidR="00295658" w:rsidRDefault="00295658" w:rsidP="0FF883D4">
      <w:pPr>
        <w:ind w:right="237"/>
        <w:jc w:val="both"/>
        <w:rPr>
          <w:color w:val="000000" w:themeColor="text1"/>
          <w:sz w:val="24"/>
          <w:szCs w:val="24"/>
        </w:rPr>
      </w:pPr>
    </w:p>
    <w:p w14:paraId="23C2AA62" w14:textId="54DFC446" w:rsidR="00446B81" w:rsidRDefault="00295658" w:rsidP="00A47826">
      <w:pPr>
        <w:ind w:right="237"/>
        <w:jc w:val="both"/>
        <w:rPr>
          <w:color w:val="000000" w:themeColor="text1"/>
          <w:sz w:val="24"/>
          <w:szCs w:val="24"/>
        </w:rPr>
      </w:pPr>
      <w:r>
        <w:rPr>
          <w:color w:val="000000" w:themeColor="text1"/>
          <w:sz w:val="24"/>
          <w:szCs w:val="24"/>
        </w:rPr>
        <w:t>The fifth action relates to passive data</w:t>
      </w:r>
      <w:r w:rsidR="00A47826">
        <w:rPr>
          <w:color w:val="000000" w:themeColor="text1"/>
          <w:sz w:val="24"/>
          <w:szCs w:val="24"/>
        </w:rPr>
        <w:t xml:space="preserve">. It was important that I conduct searches on the suspect’s previous convictions that may be relevant the current case. </w:t>
      </w:r>
      <w:r w:rsidR="00446B81">
        <w:rPr>
          <w:color w:val="000000" w:themeColor="text1"/>
          <w:sz w:val="24"/>
          <w:szCs w:val="24"/>
        </w:rPr>
        <w:t>It was important when arresting the suspect that we seized any mobile devices that he had, as all victims stated that there had been contact via mobile phones. Jessical also stated that the suspect had been sending her money via bank transfers and it was important for us to capture this as evidence. It has been argued that police are taking excessive amounts of persons data from people’s phone during investigations, including when downloading phones of both suspect and victims (BBC, 2020). It was important that I set appropriate parameters on my searches (when the messages first started to the date of seizure to limit intrusion on the suspect and any collateral intrusion that may arise (redacting that data if needed).</w:t>
      </w:r>
    </w:p>
    <w:p w14:paraId="28A36432" w14:textId="77777777" w:rsidR="00446B81" w:rsidRDefault="00446B81" w:rsidP="00A47826">
      <w:pPr>
        <w:ind w:right="237"/>
        <w:jc w:val="both"/>
        <w:rPr>
          <w:color w:val="000000" w:themeColor="text1"/>
          <w:sz w:val="24"/>
          <w:szCs w:val="24"/>
        </w:rPr>
      </w:pPr>
    </w:p>
    <w:p w14:paraId="13E0A9C3" w14:textId="4AFEEB2A" w:rsidR="00A47826" w:rsidRDefault="00A47826" w:rsidP="00A47826">
      <w:pPr>
        <w:ind w:right="237"/>
        <w:jc w:val="both"/>
        <w:rPr>
          <w:color w:val="000000" w:themeColor="text1"/>
          <w:sz w:val="24"/>
          <w:szCs w:val="24"/>
        </w:rPr>
      </w:pPr>
      <w:r>
        <w:rPr>
          <w:color w:val="000000" w:themeColor="text1"/>
          <w:sz w:val="24"/>
          <w:szCs w:val="24"/>
        </w:rPr>
        <w:t>These checks are important to see whether he has any previous for what he has done and whether he should be bailed on remanded. Under the Bail Act to establish  grounds to be remanded the court will consider things such as the strength of evidence against the suspect, how serious the offence is, previous convictions of the defendant and anything else which may be relevant</w:t>
      </w:r>
      <w:r w:rsidR="006605AA">
        <w:rPr>
          <w:color w:val="000000" w:themeColor="text1"/>
          <w:sz w:val="24"/>
          <w:szCs w:val="24"/>
        </w:rPr>
        <w:t xml:space="preserve"> </w:t>
      </w:r>
      <w:r>
        <w:rPr>
          <w:color w:val="000000" w:themeColor="text1"/>
          <w:sz w:val="24"/>
          <w:szCs w:val="24"/>
        </w:rPr>
        <w:t>(Bail Act 1976)(Penelope Gibbs, 2018).</w:t>
      </w:r>
    </w:p>
    <w:p w14:paraId="2CDD54B0" w14:textId="77777777" w:rsidR="00A47826" w:rsidRDefault="00A47826" w:rsidP="00A47826">
      <w:pPr>
        <w:ind w:right="237"/>
        <w:jc w:val="both"/>
        <w:rPr>
          <w:color w:val="000000" w:themeColor="text1"/>
          <w:sz w:val="24"/>
          <w:szCs w:val="24"/>
        </w:rPr>
      </w:pPr>
    </w:p>
    <w:p w14:paraId="4206BC47" w14:textId="794932CD" w:rsidR="00A47826" w:rsidRDefault="00A47826" w:rsidP="00A47826">
      <w:pPr>
        <w:ind w:right="237"/>
        <w:jc w:val="both"/>
        <w:rPr>
          <w:color w:val="000000" w:themeColor="text1"/>
          <w:sz w:val="24"/>
          <w:szCs w:val="24"/>
        </w:rPr>
      </w:pPr>
      <w:r>
        <w:rPr>
          <w:color w:val="000000" w:themeColor="text1"/>
          <w:sz w:val="24"/>
          <w:szCs w:val="24"/>
        </w:rPr>
        <w:t xml:space="preserve">Thise most likely to be remanded are people with criminal record, if they are of no fixed abode or have issues with substance </w:t>
      </w:r>
      <w:r w:rsidR="006605AA">
        <w:rPr>
          <w:color w:val="000000" w:themeColor="text1"/>
          <w:sz w:val="24"/>
          <w:szCs w:val="24"/>
        </w:rPr>
        <w:t>misuse</w:t>
      </w:r>
      <w:r>
        <w:rPr>
          <w:color w:val="000000" w:themeColor="text1"/>
          <w:sz w:val="24"/>
          <w:szCs w:val="24"/>
        </w:rPr>
        <w:t xml:space="preserve"> (Penelope Gibbs, 2018). There are many issues in relation to remanding pre-conviction. The suspect in my investigation was black and statistics show that defendant who are black are 23% more likely to be remanded for an indictable offence (Gov, 2016). </w:t>
      </w:r>
    </w:p>
    <w:p w14:paraId="083E25D6" w14:textId="77777777" w:rsidR="004A1AF2" w:rsidRDefault="004A1AF2" w:rsidP="00A47826">
      <w:pPr>
        <w:ind w:right="237"/>
        <w:jc w:val="both"/>
        <w:rPr>
          <w:color w:val="000000" w:themeColor="text1"/>
          <w:sz w:val="24"/>
          <w:szCs w:val="24"/>
        </w:rPr>
      </w:pPr>
    </w:p>
    <w:p w14:paraId="132EC57A" w14:textId="58BAE114" w:rsidR="004A1AF2" w:rsidRDefault="004A1AF2" w:rsidP="00A47826">
      <w:pPr>
        <w:ind w:right="237"/>
        <w:jc w:val="both"/>
        <w:rPr>
          <w:color w:val="000000" w:themeColor="text1"/>
          <w:sz w:val="24"/>
          <w:szCs w:val="24"/>
        </w:rPr>
      </w:pPr>
      <w:r>
        <w:rPr>
          <w:color w:val="000000" w:themeColor="text1"/>
          <w:sz w:val="24"/>
          <w:szCs w:val="24"/>
        </w:rPr>
        <w:t xml:space="preserve">To evaluate, I believe that the fast-track actions were appropriate for the seriousness of the offence, and that both the victim and suspect were dealt with in an appropriate manner. I have learnt how to deal with a case effectively when there are time constrains and important safeguarding issues. </w:t>
      </w:r>
    </w:p>
    <w:p w14:paraId="371A92AC" w14:textId="77777777" w:rsidR="004A1AF2" w:rsidRDefault="004A1AF2" w:rsidP="00A47826">
      <w:pPr>
        <w:ind w:right="237"/>
        <w:jc w:val="both"/>
        <w:rPr>
          <w:color w:val="000000" w:themeColor="text1"/>
          <w:sz w:val="24"/>
          <w:szCs w:val="24"/>
        </w:rPr>
      </w:pPr>
    </w:p>
    <w:p w14:paraId="04095E02" w14:textId="77777777" w:rsidR="004A1AF2" w:rsidRDefault="004A1AF2" w:rsidP="00A47826">
      <w:pPr>
        <w:ind w:right="237"/>
        <w:jc w:val="both"/>
        <w:rPr>
          <w:color w:val="000000" w:themeColor="text1"/>
          <w:sz w:val="24"/>
          <w:szCs w:val="24"/>
        </w:rPr>
      </w:pPr>
    </w:p>
    <w:p w14:paraId="3E559D24" w14:textId="77B2E05F" w:rsidR="004A1AF2" w:rsidRDefault="004A1AF2" w:rsidP="00A47826">
      <w:pPr>
        <w:ind w:right="237"/>
        <w:jc w:val="both"/>
        <w:rPr>
          <w:color w:val="232323"/>
          <w:sz w:val="24"/>
          <w:szCs w:val="24"/>
          <w:shd w:val="clear" w:color="auto" w:fill="FFFFFF"/>
        </w:rPr>
      </w:pPr>
      <w:r>
        <w:rPr>
          <w:color w:val="000000" w:themeColor="text1"/>
          <w:sz w:val="24"/>
          <w:szCs w:val="24"/>
        </w:rPr>
        <w:t xml:space="preserve">In order to evaluate the support provide to both the victim and suspect, I will be </w:t>
      </w:r>
      <w:r w:rsidR="00D34D03">
        <w:rPr>
          <w:color w:val="000000" w:themeColor="text1"/>
          <w:sz w:val="24"/>
          <w:szCs w:val="24"/>
        </w:rPr>
        <w:t xml:space="preserve">using </w:t>
      </w:r>
      <w:r w:rsidR="00D34D03" w:rsidRPr="001F06AA">
        <w:rPr>
          <w:sz w:val="24"/>
          <w:szCs w:val="24"/>
        </w:rPr>
        <w:t>The Kolb Cycle (</w:t>
      </w:r>
      <w:r w:rsidR="00D34D03" w:rsidRPr="001F06AA">
        <w:rPr>
          <w:color w:val="232323"/>
          <w:sz w:val="24"/>
          <w:szCs w:val="24"/>
          <w:shd w:val="clear" w:color="auto" w:fill="FFFFFF"/>
        </w:rPr>
        <w:t>Kolb, D. A. (1984).</w:t>
      </w:r>
      <w:r w:rsidR="00D34D03">
        <w:rPr>
          <w:color w:val="232323"/>
          <w:sz w:val="24"/>
          <w:szCs w:val="24"/>
          <w:shd w:val="clear" w:color="auto" w:fill="FFFFFF"/>
        </w:rPr>
        <w:t xml:space="preserve"> I will describe the support I provided, what lessons I have learn</w:t>
      </w:r>
      <w:r w:rsidR="003901DD">
        <w:rPr>
          <w:color w:val="232323"/>
          <w:sz w:val="24"/>
          <w:szCs w:val="24"/>
          <w:shd w:val="clear" w:color="auto" w:fill="FFFFFF"/>
        </w:rPr>
        <w:t>t</w:t>
      </w:r>
      <w:r w:rsidR="00D34D03">
        <w:rPr>
          <w:color w:val="232323"/>
          <w:sz w:val="24"/>
          <w:szCs w:val="24"/>
          <w:shd w:val="clear" w:color="auto" w:fill="FFFFFF"/>
        </w:rPr>
        <w:t xml:space="preserve"> and how I can use this for my future investigations</w:t>
      </w:r>
      <w:r w:rsidR="003901DD">
        <w:rPr>
          <w:color w:val="232323"/>
          <w:sz w:val="24"/>
          <w:szCs w:val="24"/>
          <w:shd w:val="clear" w:color="auto" w:fill="FFFFFF"/>
        </w:rPr>
        <w:t xml:space="preserve">. </w:t>
      </w:r>
    </w:p>
    <w:p w14:paraId="6AE63D4D" w14:textId="77777777" w:rsidR="00627FA1" w:rsidRDefault="00627FA1" w:rsidP="00A47826">
      <w:pPr>
        <w:ind w:right="237"/>
        <w:jc w:val="both"/>
        <w:rPr>
          <w:color w:val="232323"/>
          <w:sz w:val="24"/>
          <w:szCs w:val="24"/>
          <w:shd w:val="clear" w:color="auto" w:fill="FFFFFF"/>
        </w:rPr>
      </w:pPr>
    </w:p>
    <w:p w14:paraId="759032DE" w14:textId="514EEB06" w:rsidR="000028BD" w:rsidRDefault="00627FA1" w:rsidP="00627FA1">
      <w:pPr>
        <w:ind w:right="237"/>
        <w:jc w:val="both"/>
        <w:rPr>
          <w:color w:val="000000" w:themeColor="text1"/>
          <w:sz w:val="24"/>
          <w:szCs w:val="24"/>
        </w:rPr>
      </w:pPr>
      <w:r>
        <w:rPr>
          <w:color w:val="000000" w:themeColor="text1"/>
          <w:sz w:val="24"/>
          <w:szCs w:val="24"/>
        </w:rPr>
        <w:t>Part of my belief and values is following the three Rs, that being respect for myself, respect for others and to take responsibility for all of my actions (Dave Edmonds). It was important that I show respect to both the victim and suspect, and putting aside any sort of feeling about how I felt about these allegations that were made. I had to remember the principle of “Innocent until proven guilty” (Article 6 HRA</w:t>
      </w:r>
      <w:r w:rsidR="009E6EA9">
        <w:rPr>
          <w:color w:val="000000" w:themeColor="text1"/>
          <w:sz w:val="24"/>
          <w:szCs w:val="24"/>
        </w:rPr>
        <w:t xml:space="preserve"> 1998</w:t>
      </w:r>
      <w:r>
        <w:rPr>
          <w:color w:val="000000" w:themeColor="text1"/>
          <w:sz w:val="24"/>
          <w:szCs w:val="24"/>
        </w:rPr>
        <w:t>)  and ensure that I remain impartial as my role as investigator and following all reasonable and proportionate lines of enquiries (COP, 2024). I feel that I was able to do this as I followed all reasonable lines of enquiries that arose following speaking with victims, witnesses and from the police interview with the suspect. By setting out what needed to be done with the fast-track actions I was able to achieve this, which is something I will use in future investigations.</w:t>
      </w:r>
    </w:p>
    <w:p w14:paraId="275A062A" w14:textId="77777777" w:rsidR="003901DD" w:rsidRDefault="003901DD" w:rsidP="00A47826">
      <w:pPr>
        <w:ind w:right="237"/>
        <w:jc w:val="both"/>
        <w:rPr>
          <w:color w:val="232323"/>
          <w:sz w:val="24"/>
          <w:szCs w:val="24"/>
          <w:shd w:val="clear" w:color="auto" w:fill="FFFFFF"/>
        </w:rPr>
      </w:pPr>
    </w:p>
    <w:p w14:paraId="47F51E83" w14:textId="5F55F07E" w:rsidR="003B48F0" w:rsidRDefault="003B48F0" w:rsidP="00A47826">
      <w:pPr>
        <w:ind w:right="237"/>
        <w:jc w:val="both"/>
        <w:rPr>
          <w:color w:val="232323"/>
          <w:sz w:val="24"/>
          <w:szCs w:val="24"/>
          <w:shd w:val="clear" w:color="auto" w:fill="FFFFFF"/>
        </w:rPr>
      </w:pPr>
      <w:r>
        <w:rPr>
          <w:color w:val="232323"/>
          <w:sz w:val="24"/>
          <w:szCs w:val="24"/>
          <w:shd w:val="clear" w:color="auto" w:fill="FFFFFF"/>
        </w:rPr>
        <w:t xml:space="preserve">One of my personal values is being empathetic toward others and responding to individuals needs. I was able to do this with the </w:t>
      </w:r>
      <w:r w:rsidR="003901DD">
        <w:rPr>
          <w:color w:val="232323"/>
          <w:sz w:val="24"/>
          <w:szCs w:val="24"/>
          <w:shd w:val="clear" w:color="auto" w:fill="FFFFFF"/>
        </w:rPr>
        <w:t xml:space="preserve">victim </w:t>
      </w:r>
      <w:r>
        <w:rPr>
          <w:color w:val="232323"/>
          <w:sz w:val="24"/>
          <w:szCs w:val="24"/>
          <w:shd w:val="clear" w:color="auto" w:fill="FFFFFF"/>
        </w:rPr>
        <w:t xml:space="preserve">when </w:t>
      </w:r>
      <w:r w:rsidR="003901DD">
        <w:rPr>
          <w:color w:val="232323"/>
          <w:sz w:val="24"/>
          <w:szCs w:val="24"/>
          <w:shd w:val="clear" w:color="auto" w:fill="FFFFFF"/>
        </w:rPr>
        <w:t>I made a referral to a Sexual Assault Referral Centre so that the victim could be allocated a Independent Sexual Violence Advisor could be allocated. Their role is to offer independent practical and emotional support, who work with other organisations to seek the best support for. the victim whilst going through the process (Gov, 2023)</w:t>
      </w:r>
      <w:r w:rsidR="00C9158A">
        <w:rPr>
          <w:color w:val="232323"/>
          <w:sz w:val="24"/>
          <w:szCs w:val="24"/>
          <w:shd w:val="clear" w:color="auto" w:fill="FFFFFF"/>
        </w:rPr>
        <w:t>. This is something I would do again for a victim as the benefits of having an ISVA, such as tailoring support for the individual needs and providing impartial and accurate information (IDAS, Date unknown).</w:t>
      </w:r>
      <w:r w:rsidR="000028BD">
        <w:rPr>
          <w:color w:val="232323"/>
          <w:sz w:val="24"/>
          <w:szCs w:val="24"/>
          <w:shd w:val="clear" w:color="auto" w:fill="FFFFFF"/>
        </w:rPr>
        <w:t xml:space="preserve"> </w:t>
      </w:r>
      <w:r>
        <w:rPr>
          <w:color w:val="232323"/>
          <w:sz w:val="24"/>
          <w:szCs w:val="24"/>
          <w:shd w:val="clear" w:color="auto" w:fill="FFFFFF"/>
        </w:rPr>
        <w:t xml:space="preserve">In relation to the suspect, I had to be conscious of any bias I may have, because of the severity of the allegations made by the victim, and ensured I reflected on this so it would not affect my decision-making. I feel that trying to understand others is one of my personal values. I recognised that </w:t>
      </w:r>
      <w:r w:rsidR="000028BD">
        <w:rPr>
          <w:color w:val="232323"/>
          <w:sz w:val="24"/>
          <w:szCs w:val="24"/>
          <w:shd w:val="clear" w:color="auto" w:fill="FFFFFF"/>
        </w:rPr>
        <w:t>the suspect has his own mental and emotional challengers and that I needed to listen so that he felt heard (COP, 2024).</w:t>
      </w:r>
    </w:p>
    <w:p w14:paraId="1E62462E" w14:textId="77777777" w:rsidR="003B48F0" w:rsidRDefault="003B48F0" w:rsidP="00A47826">
      <w:pPr>
        <w:ind w:right="237"/>
        <w:jc w:val="both"/>
        <w:rPr>
          <w:color w:val="232323"/>
          <w:sz w:val="24"/>
          <w:szCs w:val="24"/>
          <w:shd w:val="clear" w:color="auto" w:fill="FFFFFF"/>
        </w:rPr>
      </w:pPr>
    </w:p>
    <w:p w14:paraId="403A9EEA" w14:textId="571847B9" w:rsidR="00627FA1" w:rsidRDefault="00627FA1" w:rsidP="00A47826">
      <w:pPr>
        <w:ind w:right="237"/>
        <w:jc w:val="both"/>
        <w:rPr>
          <w:color w:val="232323"/>
          <w:sz w:val="24"/>
          <w:szCs w:val="24"/>
          <w:shd w:val="clear" w:color="auto" w:fill="FFFFFF"/>
        </w:rPr>
      </w:pPr>
      <w:r>
        <w:rPr>
          <w:color w:val="232323"/>
          <w:sz w:val="24"/>
          <w:szCs w:val="24"/>
          <w:shd w:val="clear" w:color="auto" w:fill="FFFFFF"/>
        </w:rPr>
        <w:t>In relation to the suspect, due to the nature of the allegations it was important to ensure that the correct support and safeguarding measures were put in place. Before release from custody, the suspect was provided with a notice to suspect which contains helpline numbers.</w:t>
      </w:r>
      <w:r w:rsidR="005C0E4F">
        <w:rPr>
          <w:color w:val="232323"/>
          <w:sz w:val="24"/>
          <w:szCs w:val="24"/>
          <w:shd w:val="clear" w:color="auto" w:fill="FFFFFF"/>
        </w:rPr>
        <w:t xml:space="preserve"> This was important as being accused of this, especially wrongfully can have a negative effect on the persons psychological and physical health, relationship with others, impact on finances and employment as well as adjustment issues (Samantha K Brooks and Neil Greenberg, 2020). I also ensured that before the suspect left custody, a trained medical individual was to conduct a fitness to release on the suspect, to ensure that mentally he was fit to leave custody.</w:t>
      </w:r>
    </w:p>
    <w:p w14:paraId="362C4464" w14:textId="77777777" w:rsidR="00C9158A" w:rsidRDefault="00C9158A" w:rsidP="00A47826">
      <w:pPr>
        <w:ind w:right="237"/>
        <w:jc w:val="both"/>
        <w:rPr>
          <w:color w:val="232323"/>
          <w:sz w:val="24"/>
          <w:szCs w:val="24"/>
          <w:shd w:val="clear" w:color="auto" w:fill="FFFFFF"/>
        </w:rPr>
      </w:pPr>
    </w:p>
    <w:p w14:paraId="4996BBD0" w14:textId="60AA2F79" w:rsidR="009E6EA9" w:rsidRPr="009E6EA9" w:rsidRDefault="009E6EA9" w:rsidP="00A47826">
      <w:pPr>
        <w:ind w:right="237"/>
        <w:jc w:val="both"/>
        <w:rPr>
          <w:b/>
          <w:bCs/>
          <w:color w:val="232323"/>
          <w:sz w:val="24"/>
          <w:szCs w:val="24"/>
          <w:shd w:val="clear" w:color="auto" w:fill="FFFFFF"/>
        </w:rPr>
      </w:pPr>
      <w:r w:rsidRPr="009E6EA9">
        <w:rPr>
          <w:b/>
          <w:bCs/>
          <w:color w:val="232323"/>
          <w:sz w:val="24"/>
          <w:szCs w:val="24"/>
          <w:shd w:val="clear" w:color="auto" w:fill="FFFFFF"/>
        </w:rPr>
        <w:t>(Word count: 1824)</w:t>
      </w:r>
    </w:p>
    <w:p w14:paraId="67CF9E1D" w14:textId="77777777" w:rsidR="00BD5787" w:rsidRDefault="00BD5787" w:rsidP="00BD5787">
      <w:pPr>
        <w:tabs>
          <w:tab w:val="left" w:pos="1614"/>
        </w:tabs>
        <w:ind w:right="237"/>
        <w:jc w:val="both"/>
        <w:rPr>
          <w:color w:val="000000" w:themeColor="text1"/>
          <w:sz w:val="24"/>
          <w:szCs w:val="24"/>
        </w:rPr>
      </w:pPr>
    </w:p>
    <w:p w14:paraId="2D43A073" w14:textId="77777777" w:rsidR="00BD5787" w:rsidRDefault="00BD5787" w:rsidP="00BD5787">
      <w:pPr>
        <w:tabs>
          <w:tab w:val="left" w:pos="1614"/>
        </w:tabs>
        <w:ind w:right="237"/>
        <w:jc w:val="both"/>
        <w:rPr>
          <w:color w:val="000000" w:themeColor="text1"/>
          <w:sz w:val="24"/>
          <w:szCs w:val="24"/>
        </w:rPr>
      </w:pPr>
    </w:p>
    <w:p w14:paraId="3FB70A9E" w14:textId="77777777" w:rsidR="00BD5787" w:rsidRDefault="00BD5787" w:rsidP="00BD5787">
      <w:pPr>
        <w:tabs>
          <w:tab w:val="left" w:pos="1614"/>
        </w:tabs>
        <w:ind w:right="237"/>
        <w:jc w:val="both"/>
        <w:rPr>
          <w:color w:val="000000" w:themeColor="text1"/>
          <w:sz w:val="24"/>
          <w:szCs w:val="24"/>
        </w:rPr>
      </w:pPr>
    </w:p>
    <w:p w14:paraId="459003C7" w14:textId="77777777" w:rsidR="00DA4574" w:rsidRDefault="00DA4574" w:rsidP="00DA4574">
      <w:pPr>
        <w:ind w:right="237"/>
        <w:jc w:val="both"/>
        <w:rPr>
          <w:rStyle w:val="Hyperlink"/>
          <w:color w:val="000000" w:themeColor="text1"/>
          <w:u w:val="none"/>
        </w:rPr>
      </w:pPr>
    </w:p>
    <w:p w14:paraId="50704AB4" w14:textId="77777777" w:rsidR="005B41B8" w:rsidRDefault="005B41B8" w:rsidP="002243AB">
      <w:pPr>
        <w:ind w:right="237"/>
        <w:jc w:val="both"/>
        <w:rPr>
          <w:color w:val="000000" w:themeColor="text1"/>
          <w:sz w:val="24"/>
          <w:szCs w:val="24"/>
        </w:rPr>
      </w:pPr>
    </w:p>
    <w:p w14:paraId="21CF50D5" w14:textId="77777777" w:rsidR="00087454" w:rsidRDefault="00087454" w:rsidP="0FF883D4">
      <w:pPr>
        <w:ind w:right="237"/>
        <w:jc w:val="both"/>
        <w:rPr>
          <w:color w:val="000000" w:themeColor="text1"/>
          <w:sz w:val="24"/>
          <w:szCs w:val="24"/>
        </w:rPr>
      </w:pPr>
    </w:p>
    <w:p w14:paraId="036640F5" w14:textId="77777777" w:rsidR="00AA03F2" w:rsidRDefault="00AA03F2" w:rsidP="0FF883D4">
      <w:pPr>
        <w:ind w:right="237"/>
        <w:jc w:val="both"/>
        <w:rPr>
          <w:color w:val="000000" w:themeColor="text1"/>
          <w:sz w:val="24"/>
          <w:szCs w:val="24"/>
        </w:rPr>
      </w:pPr>
    </w:p>
    <w:p w14:paraId="5CE0BE0E" w14:textId="77777777" w:rsidR="00446B81" w:rsidRDefault="00446B81" w:rsidP="0FF883D4">
      <w:pPr>
        <w:ind w:right="237"/>
        <w:jc w:val="both"/>
      </w:pPr>
    </w:p>
    <w:p w14:paraId="6CEDECF6" w14:textId="77777777" w:rsidR="00F81F66" w:rsidRDefault="00F81F66" w:rsidP="0FF883D4">
      <w:pPr>
        <w:ind w:right="237"/>
        <w:jc w:val="both"/>
      </w:pPr>
    </w:p>
    <w:p w14:paraId="4BEC16E0" w14:textId="77777777" w:rsidR="004A1AF2" w:rsidRDefault="004A1AF2" w:rsidP="0FF883D4">
      <w:pPr>
        <w:ind w:right="237"/>
        <w:jc w:val="both"/>
      </w:pPr>
    </w:p>
    <w:p w14:paraId="65C7C318" w14:textId="77777777" w:rsidR="004A1AF2" w:rsidRDefault="004A1AF2"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5F79612C" w14:textId="4E91C753" w:rsidR="009370AE" w:rsidRDefault="009370AE"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5A18BF5" w:rsidR="0FF883D4" w:rsidRDefault="5CE196A1" w:rsidP="5CE196A1">
      <w:r w:rsidRPr="5CE196A1">
        <w:rPr>
          <w:rFonts w:eastAsia="Arial"/>
          <w:b/>
          <w:bCs/>
          <w:color w:val="000000" w:themeColor="text1"/>
          <w:sz w:val="24"/>
          <w:szCs w:val="24"/>
        </w:rPr>
        <w:t xml:space="preserve">Signed: </w:t>
      </w:r>
      <w:r w:rsidR="009E6EA9">
        <w:rPr>
          <w:rFonts w:eastAsia="Arial"/>
          <w:b/>
          <w:bCs/>
          <w:color w:val="000000" w:themeColor="text1"/>
          <w:sz w:val="24"/>
          <w:szCs w:val="24"/>
        </w:rPr>
        <w:t>Sophie Lamb</w:t>
      </w:r>
    </w:p>
    <w:p w14:paraId="563192E7" w14:textId="7A83C86F" w:rsidR="0FF883D4" w:rsidRDefault="5CE196A1" w:rsidP="5CE196A1">
      <w:r w:rsidRPr="5CE196A1">
        <w:rPr>
          <w:rFonts w:eastAsia="Arial"/>
          <w:b/>
          <w:bCs/>
          <w:color w:val="000000" w:themeColor="text1"/>
          <w:sz w:val="24"/>
          <w:szCs w:val="24"/>
        </w:rPr>
        <w:t xml:space="preserve"> </w:t>
      </w:r>
    </w:p>
    <w:p w14:paraId="482B2B3A" w14:textId="30437CB0" w:rsidR="0FF883D4" w:rsidRPr="009E6EA9" w:rsidRDefault="5CE196A1" w:rsidP="009E6EA9">
      <w:pPr>
        <w:sectPr w:rsidR="0FF883D4" w:rsidRPr="009E6EA9"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E6EA9">
        <w:t xml:space="preserve"> 01/08/2024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23E1056B" w14:textId="0E1B7CD0" w:rsidR="009E6EA9"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2A2DC58" w14:textId="77777777" w:rsidR="006D7443" w:rsidRDefault="006D7443" w:rsidP="006D7443">
      <w:pPr>
        <w:tabs>
          <w:tab w:val="left" w:pos="1614"/>
        </w:tabs>
        <w:ind w:right="237"/>
        <w:jc w:val="both"/>
        <w:rPr>
          <w:color w:val="000000" w:themeColor="text1"/>
          <w:sz w:val="22"/>
          <w:szCs w:val="22"/>
        </w:rPr>
      </w:pPr>
    </w:p>
    <w:p w14:paraId="781781BD" w14:textId="654DBEF0" w:rsidR="006D7443" w:rsidRPr="009E6EA9" w:rsidRDefault="006D7443" w:rsidP="006D7443">
      <w:pPr>
        <w:tabs>
          <w:tab w:val="left" w:pos="1614"/>
        </w:tabs>
        <w:ind w:right="237"/>
        <w:jc w:val="both"/>
        <w:rPr>
          <w:rStyle w:val="Hyperlink"/>
          <w:color w:val="000000" w:themeColor="text1"/>
          <w:sz w:val="22"/>
          <w:szCs w:val="22"/>
          <w:u w:val="none"/>
        </w:rPr>
      </w:pPr>
      <w:r w:rsidRPr="009E6EA9">
        <w:rPr>
          <w:color w:val="000000" w:themeColor="text1"/>
          <w:sz w:val="22"/>
          <w:szCs w:val="22"/>
        </w:rPr>
        <w:t xml:space="preserve">Active Social Care Limited (year unknown), Personal Values, Attitudes and Beliefs. Available at </w:t>
      </w:r>
      <w:r w:rsidRPr="009E6EA9">
        <w:rPr>
          <w:sz w:val="22"/>
          <w:szCs w:val="22"/>
        </w:rPr>
        <w:t xml:space="preserve"> </w:t>
      </w:r>
      <w:hyperlink r:id="rId21" w:anchor="Conflicts%20Between%20Personal%20and%20Professional/%20Organisational%20Values" w:history="1">
        <w:r w:rsidRPr="009E6EA9">
          <w:rPr>
            <w:rStyle w:val="Hyperlink"/>
            <w:sz w:val="22"/>
            <w:szCs w:val="22"/>
          </w:rPr>
          <w:t>activesocialcare.com/handbook/understanding-your-role/personal-values-attitudes-and-beliefs/#Conflicts Between Personal and Professional/ Organisational Values</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38D9272C" w14:textId="77777777" w:rsidR="006D7443" w:rsidRPr="009E6EA9" w:rsidRDefault="006D7443" w:rsidP="006D7443">
      <w:pPr>
        <w:tabs>
          <w:tab w:val="left" w:pos="1614"/>
        </w:tabs>
        <w:ind w:right="237"/>
        <w:jc w:val="both"/>
        <w:rPr>
          <w:rStyle w:val="Hyperlink"/>
          <w:color w:val="000000" w:themeColor="text1"/>
          <w:sz w:val="22"/>
          <w:szCs w:val="22"/>
          <w:u w:val="none"/>
        </w:rPr>
      </w:pPr>
    </w:p>
    <w:p w14:paraId="5EA8E56F" w14:textId="6CEC1008" w:rsidR="006D7443" w:rsidRPr="009E6EA9" w:rsidRDefault="006D7443" w:rsidP="006D7443">
      <w:pPr>
        <w:ind w:right="237"/>
        <w:jc w:val="both"/>
        <w:rPr>
          <w:sz w:val="22"/>
          <w:szCs w:val="22"/>
        </w:rPr>
      </w:pPr>
      <w:r w:rsidRPr="009E6EA9">
        <w:rPr>
          <w:sz w:val="22"/>
          <w:szCs w:val="22"/>
        </w:rPr>
        <w:t xml:space="preserve">Attorney General Office (2024), Attonery General’s Guidelines on Disclosure. Available at </w:t>
      </w:r>
      <w:hyperlink r:id="rId22" w:history="1">
        <w:r w:rsidRPr="009E6EA9">
          <w:rPr>
            <w:rStyle w:val="Hyperlink"/>
            <w:sz w:val="22"/>
            <w:szCs w:val="22"/>
          </w:rPr>
          <w:t>Attorney_General_s_Guidelines_on_Disclosure_-_2024.pdf (publishing.service.gov.uk)</w:t>
        </w:r>
      </w:hyperlink>
      <w:r w:rsidRPr="009E6EA9">
        <w:rPr>
          <w:sz w:val="22"/>
          <w:szCs w:val="22"/>
        </w:rPr>
        <w:t>. (Accessed 28</w:t>
      </w:r>
      <w:r w:rsidRPr="009E6EA9">
        <w:rPr>
          <w:sz w:val="22"/>
          <w:szCs w:val="22"/>
          <w:vertAlign w:val="superscript"/>
        </w:rPr>
        <w:t>th</w:t>
      </w:r>
      <w:r w:rsidRPr="009E6EA9">
        <w:rPr>
          <w:sz w:val="22"/>
          <w:szCs w:val="22"/>
        </w:rPr>
        <w:t xml:space="preserve"> July 2024)</w:t>
      </w:r>
    </w:p>
    <w:p w14:paraId="1076C644" w14:textId="77777777" w:rsidR="006D7443" w:rsidRPr="009E6EA9" w:rsidRDefault="006D7443" w:rsidP="006D7443">
      <w:pPr>
        <w:ind w:right="107"/>
        <w:jc w:val="both"/>
        <w:rPr>
          <w:color w:val="232323"/>
          <w:sz w:val="22"/>
          <w:szCs w:val="22"/>
          <w:shd w:val="clear" w:color="auto" w:fill="FFFFFF"/>
        </w:rPr>
      </w:pPr>
    </w:p>
    <w:p w14:paraId="37A0EA9B" w14:textId="77777777" w:rsidR="006D7443" w:rsidRPr="009E6EA9" w:rsidRDefault="006D7443" w:rsidP="006D7443">
      <w:pPr>
        <w:ind w:right="107"/>
        <w:jc w:val="both"/>
        <w:rPr>
          <w:color w:val="232323"/>
          <w:sz w:val="22"/>
          <w:szCs w:val="22"/>
          <w:shd w:val="clear" w:color="auto" w:fill="FFFFFF"/>
        </w:rPr>
      </w:pPr>
      <w:r w:rsidRPr="009E6EA9">
        <w:rPr>
          <w:color w:val="232323"/>
          <w:sz w:val="22"/>
          <w:szCs w:val="22"/>
          <w:shd w:val="clear" w:color="auto" w:fill="FFFFFF"/>
        </w:rPr>
        <w:t xml:space="preserve">BBC (2020), Police taking ‘excessive’ data from Mobile Phones. Available at </w:t>
      </w:r>
      <w:hyperlink r:id="rId23" w:history="1">
        <w:r w:rsidRPr="009E6EA9">
          <w:rPr>
            <w:rStyle w:val="Hyperlink"/>
            <w:sz w:val="22"/>
            <w:szCs w:val="22"/>
          </w:rPr>
          <w:t>Police taking 'excessive' data from mobile phones - BBC News</w:t>
        </w:r>
      </w:hyperlink>
      <w:r w:rsidRPr="009E6EA9">
        <w:rPr>
          <w:rStyle w:val="Hyperlink"/>
          <w:sz w:val="22"/>
          <w:szCs w:val="22"/>
        </w:rPr>
        <w:t xml:space="preserve"> </w:t>
      </w:r>
      <w:r w:rsidRPr="009E6EA9">
        <w:rPr>
          <w:rStyle w:val="Hyperlink"/>
          <w:color w:val="000000" w:themeColor="text1"/>
          <w:sz w:val="22"/>
          <w:szCs w:val="22"/>
          <w:u w:val="none"/>
        </w:rPr>
        <w:t>(Accessed 28</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33551639" w14:textId="77777777" w:rsidR="006D7443" w:rsidRPr="009E6EA9" w:rsidRDefault="006D7443" w:rsidP="006D7443">
      <w:pPr>
        <w:ind w:right="237"/>
        <w:jc w:val="both"/>
        <w:rPr>
          <w:sz w:val="22"/>
          <w:szCs w:val="22"/>
        </w:rPr>
      </w:pPr>
    </w:p>
    <w:p w14:paraId="62426158" w14:textId="77777777" w:rsidR="006D7443" w:rsidRPr="009E6EA9" w:rsidRDefault="006D7443" w:rsidP="006D7443">
      <w:pPr>
        <w:ind w:right="237"/>
        <w:jc w:val="both"/>
        <w:rPr>
          <w:color w:val="000000" w:themeColor="text1"/>
          <w:sz w:val="22"/>
          <w:szCs w:val="22"/>
        </w:rPr>
      </w:pPr>
      <w:r w:rsidRPr="009E6EA9">
        <w:rPr>
          <w:sz w:val="22"/>
          <w:szCs w:val="22"/>
        </w:rPr>
        <w:t xml:space="preserve">BBC (2024), Rape complaints warned pre-recording evidence could backfire </w:t>
      </w:r>
      <w:hyperlink r:id="rId24" w:history="1">
        <w:r w:rsidRPr="009E6EA9">
          <w:rPr>
            <w:rStyle w:val="Hyperlink"/>
            <w:sz w:val="22"/>
            <w:szCs w:val="22"/>
          </w:rPr>
          <w:t>Rape complainants warned pre-recording evidence could backfire - BBC News</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279D689A" w14:textId="77777777" w:rsidR="006D7443" w:rsidRPr="009E6EA9" w:rsidRDefault="006D7443" w:rsidP="006D7443">
      <w:pPr>
        <w:ind w:right="107"/>
        <w:jc w:val="both"/>
        <w:rPr>
          <w:color w:val="232323"/>
          <w:sz w:val="22"/>
          <w:szCs w:val="22"/>
          <w:shd w:val="clear" w:color="auto" w:fill="FFFFFF"/>
        </w:rPr>
      </w:pPr>
    </w:p>
    <w:p w14:paraId="5CC2AA8B" w14:textId="77777777" w:rsidR="006D7443" w:rsidRPr="009E6EA9" w:rsidRDefault="006D7443" w:rsidP="006D7443">
      <w:pPr>
        <w:ind w:right="107"/>
        <w:jc w:val="both"/>
        <w:rPr>
          <w:color w:val="232323"/>
          <w:sz w:val="22"/>
          <w:szCs w:val="22"/>
          <w:shd w:val="clear" w:color="auto" w:fill="FFFFFF"/>
        </w:rPr>
      </w:pPr>
      <w:r w:rsidRPr="009E6EA9">
        <w:rPr>
          <w:color w:val="232323"/>
          <w:sz w:val="22"/>
          <w:szCs w:val="22"/>
          <w:shd w:val="clear" w:color="auto" w:fill="FFFFFF"/>
        </w:rPr>
        <w:t>Boud, D., Keogh, R., &amp; Walker, D. (1985). Promoting Reflection in Learning: A Model. Reflection: Turning Reflection into Learning. London: Routledge.</w:t>
      </w:r>
    </w:p>
    <w:p w14:paraId="3A015952" w14:textId="77777777" w:rsidR="009E6EA9" w:rsidRPr="009E6EA9" w:rsidRDefault="009E6EA9" w:rsidP="006D7443">
      <w:pPr>
        <w:ind w:right="107"/>
        <w:jc w:val="both"/>
        <w:rPr>
          <w:color w:val="232323"/>
          <w:sz w:val="22"/>
          <w:szCs w:val="22"/>
          <w:shd w:val="clear" w:color="auto" w:fill="FFFFFF"/>
        </w:rPr>
      </w:pPr>
    </w:p>
    <w:p w14:paraId="1B9BDCC3" w14:textId="77777777" w:rsidR="009E6EA9" w:rsidRPr="009E6EA9" w:rsidRDefault="009E6EA9" w:rsidP="009E6EA9">
      <w:pPr>
        <w:overflowPunct/>
        <w:autoSpaceDE/>
        <w:autoSpaceDN/>
        <w:adjustRightInd/>
        <w:textAlignment w:val="auto"/>
        <w:rPr>
          <w:sz w:val="22"/>
          <w:szCs w:val="22"/>
        </w:rPr>
      </w:pPr>
      <w:r w:rsidRPr="009E6EA9">
        <w:rPr>
          <w:sz w:val="22"/>
          <w:szCs w:val="22"/>
        </w:rPr>
        <w:t xml:space="preserve">Clarke RV. (2018) ‘The Theory and practice of Situational Crime Prevention’. In Oxford Research Encyclopaedia: Criminology and Criminal Justice </w:t>
      </w:r>
    </w:p>
    <w:p w14:paraId="78A1CA86" w14:textId="77777777" w:rsidR="009E6EA9" w:rsidRPr="009E6EA9" w:rsidRDefault="009E6EA9" w:rsidP="009E6EA9">
      <w:pPr>
        <w:overflowPunct/>
        <w:autoSpaceDE/>
        <w:autoSpaceDN/>
        <w:adjustRightInd/>
        <w:textAlignment w:val="auto"/>
        <w:rPr>
          <w:sz w:val="22"/>
          <w:szCs w:val="22"/>
        </w:rPr>
      </w:pPr>
    </w:p>
    <w:p w14:paraId="4570DB8A" w14:textId="77777777" w:rsidR="009E6EA9" w:rsidRPr="009E6EA9" w:rsidRDefault="009E6EA9" w:rsidP="009E6EA9">
      <w:pPr>
        <w:overflowPunct/>
        <w:autoSpaceDE/>
        <w:autoSpaceDN/>
        <w:adjustRightInd/>
        <w:textAlignment w:val="auto"/>
        <w:rPr>
          <w:sz w:val="22"/>
          <w:szCs w:val="22"/>
        </w:rPr>
      </w:pPr>
      <w:r w:rsidRPr="009E6EA9">
        <w:rPr>
          <w:sz w:val="22"/>
          <w:szCs w:val="22"/>
        </w:rPr>
        <w:t xml:space="preserve">Clarke RV and Felson M. (2017. ‘The origins of the Routine Activity Approach and Situational Crime Prevention.’ In: Myer A ed. ‘The Origins of American Criminology in Advances in Criminological  Theory </w:t>
      </w:r>
    </w:p>
    <w:p w14:paraId="45D06572" w14:textId="77777777" w:rsidR="006D7443" w:rsidRPr="009E6EA9" w:rsidRDefault="006D7443" w:rsidP="006D7443">
      <w:pPr>
        <w:ind w:right="237"/>
        <w:jc w:val="both"/>
        <w:rPr>
          <w:color w:val="000000" w:themeColor="text1"/>
          <w:sz w:val="22"/>
          <w:szCs w:val="22"/>
        </w:rPr>
      </w:pPr>
    </w:p>
    <w:p w14:paraId="66D0A81E" w14:textId="77777777" w:rsidR="006D7443" w:rsidRPr="009E6EA9" w:rsidRDefault="006D7443" w:rsidP="006D7443">
      <w:pPr>
        <w:ind w:right="237"/>
        <w:jc w:val="both"/>
        <w:rPr>
          <w:sz w:val="22"/>
          <w:szCs w:val="22"/>
        </w:rPr>
      </w:pPr>
      <w:r w:rsidRPr="009E6EA9">
        <w:rPr>
          <w:color w:val="000000" w:themeColor="text1"/>
          <w:sz w:val="22"/>
          <w:szCs w:val="22"/>
        </w:rPr>
        <w:t xml:space="preserve">College of Policing (2020), Briefing Note: Using Language Services. Available at </w:t>
      </w:r>
      <w:hyperlink r:id="rId25" w:history="1">
        <w:r w:rsidRPr="009E6EA9">
          <w:rPr>
            <w:rStyle w:val="Hyperlink"/>
            <w:sz w:val="22"/>
            <w:szCs w:val="22"/>
          </w:rPr>
          <w:t>https://library.college.police.uk/docs/college-of-policing/Language-Services-v1.0.pdf</w:t>
        </w:r>
      </w:hyperlink>
      <w:r w:rsidRPr="009E6EA9">
        <w:rPr>
          <w:sz w:val="22"/>
          <w:szCs w:val="22"/>
        </w:rPr>
        <w:t xml:space="preserve"> (Accessed 15th July 2024) </w:t>
      </w:r>
    </w:p>
    <w:p w14:paraId="30B344D0" w14:textId="77777777" w:rsidR="009E6EA9" w:rsidRPr="009E6EA9" w:rsidRDefault="009E6EA9" w:rsidP="006D7443">
      <w:pPr>
        <w:ind w:right="237"/>
        <w:jc w:val="both"/>
        <w:rPr>
          <w:sz w:val="22"/>
          <w:szCs w:val="22"/>
        </w:rPr>
      </w:pPr>
    </w:p>
    <w:p w14:paraId="528D8FF4" w14:textId="15F01CE5" w:rsidR="009E6EA9" w:rsidRPr="009E6EA9" w:rsidRDefault="009E6EA9" w:rsidP="006D7443">
      <w:pPr>
        <w:ind w:right="237"/>
        <w:jc w:val="both"/>
        <w:rPr>
          <w:sz w:val="22"/>
          <w:szCs w:val="22"/>
        </w:rPr>
      </w:pPr>
      <w:r w:rsidRPr="009E6EA9">
        <w:rPr>
          <w:sz w:val="22"/>
          <w:szCs w:val="22"/>
        </w:rPr>
        <w:t xml:space="preserve">College of Policing (2020), Targeted approaches to crime and disorder reduction. Available at </w:t>
      </w:r>
      <w:hyperlink r:id="rId26" w:history="1">
        <w:r w:rsidRPr="009E6EA9">
          <w:rPr>
            <w:rStyle w:val="Hyperlink"/>
            <w:sz w:val="22"/>
            <w:szCs w:val="22"/>
          </w:rPr>
          <w:t>Targeted approaches to crime and disorder reduction | College of Policing</w:t>
        </w:r>
      </w:hyperlink>
      <w:r w:rsidRPr="009E6EA9">
        <w:rPr>
          <w:sz w:val="22"/>
          <w:szCs w:val="22"/>
        </w:rPr>
        <w:t xml:space="preserve"> (Accessed 1</w:t>
      </w:r>
      <w:r w:rsidRPr="009E6EA9">
        <w:rPr>
          <w:sz w:val="22"/>
          <w:szCs w:val="22"/>
          <w:vertAlign w:val="superscript"/>
        </w:rPr>
        <w:t>st</w:t>
      </w:r>
      <w:r w:rsidRPr="009E6EA9">
        <w:rPr>
          <w:sz w:val="22"/>
          <w:szCs w:val="22"/>
        </w:rPr>
        <w:t xml:space="preserve"> August 2024)</w:t>
      </w:r>
    </w:p>
    <w:p w14:paraId="6DCE81B4" w14:textId="77777777" w:rsidR="006D7443" w:rsidRPr="009E6EA9" w:rsidRDefault="006D7443" w:rsidP="006D7443">
      <w:pPr>
        <w:ind w:right="237"/>
        <w:jc w:val="both"/>
        <w:rPr>
          <w:sz w:val="22"/>
          <w:szCs w:val="22"/>
        </w:rPr>
      </w:pPr>
    </w:p>
    <w:p w14:paraId="2652CB6E" w14:textId="77777777" w:rsidR="006D7443" w:rsidRPr="009E6EA9" w:rsidRDefault="006D7443" w:rsidP="006D7443">
      <w:pPr>
        <w:ind w:right="237"/>
        <w:jc w:val="both"/>
        <w:rPr>
          <w:sz w:val="22"/>
          <w:szCs w:val="22"/>
        </w:rPr>
      </w:pPr>
      <w:r w:rsidRPr="009E6EA9">
        <w:rPr>
          <w:sz w:val="22"/>
          <w:szCs w:val="22"/>
        </w:rPr>
        <w:t xml:space="preserve">College of Policing (2020), Evidence Based Policing. Available at </w:t>
      </w:r>
      <w:hyperlink r:id="rId27" w:history="1">
        <w:r w:rsidRPr="009E6EA9">
          <w:rPr>
            <w:rStyle w:val="Hyperlink"/>
            <w:sz w:val="22"/>
            <w:szCs w:val="22"/>
          </w:rPr>
          <w:t>Evidence-based policing | College of Policing</w:t>
        </w:r>
      </w:hyperlink>
      <w:r w:rsidRPr="009E6EA9">
        <w:rPr>
          <w:sz w:val="22"/>
          <w:szCs w:val="22"/>
        </w:rPr>
        <w:t xml:space="preserve"> (Accessed 15</w:t>
      </w:r>
      <w:r w:rsidRPr="009E6EA9">
        <w:rPr>
          <w:sz w:val="22"/>
          <w:szCs w:val="22"/>
          <w:vertAlign w:val="superscript"/>
        </w:rPr>
        <w:t>th</w:t>
      </w:r>
      <w:r w:rsidRPr="009E6EA9">
        <w:rPr>
          <w:sz w:val="22"/>
          <w:szCs w:val="22"/>
        </w:rPr>
        <w:t xml:space="preserve"> July 2024)</w:t>
      </w:r>
    </w:p>
    <w:p w14:paraId="51530A4F" w14:textId="77777777" w:rsidR="006D7443" w:rsidRPr="009E6EA9" w:rsidRDefault="006D7443" w:rsidP="006D7443">
      <w:pPr>
        <w:ind w:right="237"/>
        <w:jc w:val="both"/>
        <w:rPr>
          <w:sz w:val="22"/>
          <w:szCs w:val="22"/>
        </w:rPr>
      </w:pPr>
    </w:p>
    <w:p w14:paraId="79BF603F" w14:textId="77777777" w:rsidR="006D7443" w:rsidRPr="009E6EA9" w:rsidRDefault="006D7443" w:rsidP="006D7443">
      <w:pPr>
        <w:ind w:right="237"/>
        <w:jc w:val="both"/>
        <w:rPr>
          <w:sz w:val="22"/>
          <w:szCs w:val="22"/>
        </w:rPr>
      </w:pPr>
      <w:r w:rsidRPr="009E6EA9">
        <w:rPr>
          <w:sz w:val="22"/>
          <w:szCs w:val="22"/>
        </w:rPr>
        <w:t xml:space="preserve">College of Policing (2024), Ethical Policing Principles. Available at </w:t>
      </w:r>
      <w:hyperlink r:id="rId28" w:history="1">
        <w:r w:rsidRPr="009E6EA9">
          <w:rPr>
            <w:rStyle w:val="Hyperlink"/>
            <w:sz w:val="22"/>
            <w:szCs w:val="22"/>
          </w:rPr>
          <w:t>Ethical policing principles | College of Policing</w:t>
        </w:r>
      </w:hyperlink>
      <w:r w:rsidRPr="009E6EA9">
        <w:rPr>
          <w:sz w:val="22"/>
          <w:szCs w:val="22"/>
        </w:rPr>
        <w:t xml:space="preserve">  (Accessed 15</w:t>
      </w:r>
      <w:r w:rsidRPr="009E6EA9">
        <w:rPr>
          <w:sz w:val="22"/>
          <w:szCs w:val="22"/>
          <w:vertAlign w:val="superscript"/>
        </w:rPr>
        <w:t>th</w:t>
      </w:r>
      <w:r w:rsidRPr="009E6EA9">
        <w:rPr>
          <w:sz w:val="22"/>
          <w:szCs w:val="22"/>
        </w:rPr>
        <w:t xml:space="preserve"> July 2024)</w:t>
      </w:r>
    </w:p>
    <w:p w14:paraId="3DDC5223" w14:textId="77777777" w:rsidR="006D7443" w:rsidRPr="009E6EA9" w:rsidRDefault="006D7443" w:rsidP="006D7443">
      <w:pPr>
        <w:rPr>
          <w:sz w:val="22"/>
          <w:szCs w:val="22"/>
        </w:rPr>
      </w:pPr>
    </w:p>
    <w:p w14:paraId="4847EF4B" w14:textId="77777777" w:rsidR="006D7443" w:rsidRPr="009E6EA9" w:rsidRDefault="006D7443" w:rsidP="006D7443">
      <w:pPr>
        <w:rPr>
          <w:rStyle w:val="Hyperlink"/>
          <w:color w:val="000000" w:themeColor="text1"/>
          <w:sz w:val="22"/>
          <w:szCs w:val="22"/>
          <w:u w:val="none"/>
        </w:rPr>
      </w:pPr>
      <w:r w:rsidRPr="009E6EA9">
        <w:rPr>
          <w:sz w:val="22"/>
          <w:szCs w:val="22"/>
        </w:rPr>
        <w:t xml:space="preserve">College of Policing (2022), Further Investigations. Available at </w:t>
      </w:r>
      <w:hyperlink r:id="rId29" w:history="1">
        <w:r w:rsidRPr="009E6EA9">
          <w:rPr>
            <w:rStyle w:val="Hyperlink"/>
            <w:sz w:val="22"/>
            <w:szCs w:val="22"/>
          </w:rPr>
          <w:t>Further investigation | College of Policing</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0AB3DD47" w14:textId="77777777" w:rsidR="006D7443" w:rsidRPr="009E6EA9" w:rsidRDefault="006D7443" w:rsidP="006D7443">
      <w:pPr>
        <w:rPr>
          <w:rStyle w:val="Hyperlink"/>
          <w:color w:val="000000" w:themeColor="text1"/>
          <w:sz w:val="22"/>
          <w:szCs w:val="22"/>
          <w:u w:val="none"/>
        </w:rPr>
      </w:pPr>
    </w:p>
    <w:p w14:paraId="313C95C8" w14:textId="77777777" w:rsidR="006D7443" w:rsidRPr="009E6EA9" w:rsidRDefault="006D7443" w:rsidP="006D7443">
      <w:pPr>
        <w:rPr>
          <w:color w:val="000000" w:themeColor="text1"/>
          <w:sz w:val="22"/>
          <w:szCs w:val="22"/>
        </w:rPr>
      </w:pPr>
      <w:r w:rsidRPr="009E6EA9">
        <w:rPr>
          <w:rStyle w:val="Hyperlink"/>
          <w:color w:val="000000" w:themeColor="text1"/>
          <w:sz w:val="22"/>
          <w:szCs w:val="22"/>
          <w:u w:val="none"/>
        </w:rPr>
        <w:t xml:space="preserve">College of Policing (2024), Investigation Process. Available at </w:t>
      </w:r>
      <w:hyperlink r:id="rId30" w:anchor="fast-track-actions-a5764d22-8e36-4585-be1c-c6e4b1f256ae" w:history="1">
        <w:r w:rsidRPr="009E6EA9">
          <w:rPr>
            <w:rStyle w:val="Hyperlink"/>
            <w:sz w:val="22"/>
            <w:szCs w:val="22"/>
          </w:rPr>
          <w:t>Investigation process | College of Policing</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7C4ADAD7" w14:textId="77777777" w:rsidR="006D7443" w:rsidRPr="009E6EA9" w:rsidRDefault="006D7443" w:rsidP="006D7443">
      <w:pPr>
        <w:ind w:right="237"/>
        <w:jc w:val="both"/>
        <w:rPr>
          <w:sz w:val="22"/>
          <w:szCs w:val="22"/>
        </w:rPr>
      </w:pPr>
    </w:p>
    <w:p w14:paraId="5EBA6B5B" w14:textId="77777777" w:rsidR="006D7443" w:rsidRPr="009E6EA9" w:rsidRDefault="006D7443" w:rsidP="006D7443">
      <w:pPr>
        <w:ind w:right="107"/>
        <w:jc w:val="both"/>
        <w:rPr>
          <w:sz w:val="22"/>
          <w:szCs w:val="22"/>
        </w:rPr>
      </w:pPr>
      <w:r w:rsidRPr="009E6EA9">
        <w:rPr>
          <w:sz w:val="22"/>
          <w:szCs w:val="22"/>
        </w:rPr>
        <w:t xml:space="preserve">College of Policing (2014) National Decision Model. Available at </w:t>
      </w:r>
      <w:hyperlink r:id="rId31" w:history="1">
        <w:r w:rsidRPr="009E6EA9">
          <w:rPr>
            <w:color w:val="0000FF"/>
            <w:sz w:val="22"/>
            <w:szCs w:val="22"/>
            <w:u w:val="single"/>
          </w:rPr>
          <w:t>National decision model | College of Policing</w:t>
        </w:r>
      </w:hyperlink>
      <w:r w:rsidRPr="009E6EA9">
        <w:rPr>
          <w:sz w:val="22"/>
          <w:szCs w:val="22"/>
        </w:rPr>
        <w:t xml:space="preserve"> (Accessed 28</w:t>
      </w:r>
      <w:r w:rsidRPr="009E6EA9">
        <w:rPr>
          <w:sz w:val="22"/>
          <w:szCs w:val="22"/>
          <w:vertAlign w:val="superscript"/>
        </w:rPr>
        <w:t>h</w:t>
      </w:r>
      <w:r w:rsidRPr="009E6EA9">
        <w:rPr>
          <w:sz w:val="22"/>
          <w:szCs w:val="22"/>
        </w:rPr>
        <w:t xml:space="preserve"> of July 2024)</w:t>
      </w:r>
    </w:p>
    <w:p w14:paraId="30B568A3" w14:textId="77777777" w:rsidR="006D7443" w:rsidRPr="009E6EA9" w:rsidRDefault="006D7443" w:rsidP="006D7443">
      <w:pPr>
        <w:ind w:right="107"/>
        <w:jc w:val="both"/>
        <w:rPr>
          <w:sz w:val="22"/>
          <w:szCs w:val="22"/>
        </w:rPr>
      </w:pPr>
    </w:p>
    <w:p w14:paraId="3A7C023E" w14:textId="6311B3F0" w:rsidR="006D7443" w:rsidRPr="009E6EA9" w:rsidRDefault="006D7443" w:rsidP="006D7443">
      <w:pPr>
        <w:ind w:right="107"/>
        <w:jc w:val="both"/>
        <w:rPr>
          <w:sz w:val="22"/>
          <w:szCs w:val="22"/>
        </w:rPr>
      </w:pPr>
      <w:r w:rsidRPr="009E6EA9">
        <w:rPr>
          <w:sz w:val="22"/>
          <w:szCs w:val="22"/>
        </w:rPr>
        <w:t xml:space="preserve">College of Policing (2020), Search Powers, and Obtaining and executing warrants. Available at </w:t>
      </w:r>
      <w:hyperlink r:id="rId32" w:history="1">
        <w:r w:rsidR="00B35AB8" w:rsidRPr="009E6EA9">
          <w:rPr>
            <w:rStyle w:val="Hyperlink"/>
            <w:sz w:val="22"/>
            <w:szCs w:val="22"/>
          </w:rPr>
          <w:t>Search powers, and obtaining and executing search warrants | College of Policing</w:t>
        </w:r>
      </w:hyperlink>
      <w:r w:rsidR="00B35AB8" w:rsidRPr="009E6EA9">
        <w:rPr>
          <w:sz w:val="22"/>
          <w:szCs w:val="22"/>
        </w:rPr>
        <w:t xml:space="preserve"> </w:t>
      </w:r>
      <w:r w:rsidRPr="009E6EA9">
        <w:rPr>
          <w:sz w:val="22"/>
          <w:szCs w:val="22"/>
        </w:rPr>
        <w:t>(Accessed 16</w:t>
      </w:r>
      <w:r w:rsidRPr="009E6EA9">
        <w:rPr>
          <w:sz w:val="22"/>
          <w:szCs w:val="22"/>
          <w:vertAlign w:val="superscript"/>
        </w:rPr>
        <w:t>th</w:t>
      </w:r>
      <w:r w:rsidRPr="009E6EA9">
        <w:rPr>
          <w:sz w:val="22"/>
          <w:szCs w:val="22"/>
        </w:rPr>
        <w:t xml:space="preserve"> July 2024)</w:t>
      </w:r>
    </w:p>
    <w:p w14:paraId="426ED3DF" w14:textId="77777777" w:rsidR="006D7443" w:rsidRPr="009E6EA9" w:rsidRDefault="006D7443" w:rsidP="006D7443">
      <w:pPr>
        <w:ind w:right="237"/>
        <w:jc w:val="both"/>
        <w:rPr>
          <w:color w:val="000000" w:themeColor="text1"/>
          <w:sz w:val="22"/>
          <w:szCs w:val="22"/>
        </w:rPr>
      </w:pPr>
    </w:p>
    <w:p w14:paraId="30C2F990" w14:textId="77777777" w:rsidR="006D7443" w:rsidRPr="009E6EA9" w:rsidRDefault="006D7443" w:rsidP="006D7443">
      <w:pPr>
        <w:ind w:right="237"/>
        <w:jc w:val="both"/>
        <w:rPr>
          <w:color w:val="000000" w:themeColor="text1"/>
          <w:sz w:val="22"/>
          <w:szCs w:val="22"/>
        </w:rPr>
      </w:pPr>
      <w:r w:rsidRPr="009E6EA9">
        <w:rPr>
          <w:color w:val="000000" w:themeColor="text1"/>
          <w:sz w:val="22"/>
          <w:szCs w:val="22"/>
        </w:rPr>
        <w:t xml:space="preserve">CPD Online College (date unknown), Safeguarding Guide for Police Officers. Available at </w:t>
      </w:r>
      <w:hyperlink r:id="rId33" w:history="1">
        <w:r w:rsidRPr="009E6EA9">
          <w:rPr>
            <w:rStyle w:val="Hyperlink"/>
            <w:sz w:val="22"/>
            <w:szCs w:val="22"/>
          </w:rPr>
          <w:t>Safeguarding Guide for Police Officers | Types of abuse &amp; roles (cpdonline.co.uk)</w:t>
        </w:r>
      </w:hyperlink>
      <w:r w:rsidRPr="009E6EA9">
        <w:rPr>
          <w:rStyle w:val="Hyperlink"/>
          <w:sz w:val="22"/>
          <w:szCs w:val="22"/>
        </w:rPr>
        <w:t xml:space="preserve"> </w:t>
      </w:r>
      <w:r w:rsidRPr="009E6EA9">
        <w:rPr>
          <w:rStyle w:val="Hyperlink"/>
          <w:color w:val="000000" w:themeColor="text1"/>
          <w:sz w:val="22"/>
          <w:szCs w:val="22"/>
          <w:u w:val="none"/>
        </w:rPr>
        <w:t>(Accessed 29</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42ECE433" w14:textId="77777777" w:rsidR="006D7443" w:rsidRPr="009E6EA9" w:rsidRDefault="006D7443" w:rsidP="006D7443">
      <w:pPr>
        <w:ind w:right="107"/>
        <w:jc w:val="both"/>
        <w:rPr>
          <w:sz w:val="22"/>
          <w:szCs w:val="22"/>
        </w:rPr>
      </w:pPr>
    </w:p>
    <w:p w14:paraId="14FB5F08" w14:textId="77777777" w:rsidR="006D7443" w:rsidRPr="009E6EA9" w:rsidRDefault="006D7443" w:rsidP="006D7443">
      <w:pPr>
        <w:ind w:right="237"/>
        <w:jc w:val="both"/>
        <w:rPr>
          <w:sz w:val="22"/>
          <w:szCs w:val="22"/>
        </w:rPr>
      </w:pPr>
      <w:r w:rsidRPr="009E6EA9">
        <w:rPr>
          <w:sz w:val="22"/>
          <w:szCs w:val="22"/>
        </w:rPr>
        <w:t xml:space="preserve">Crown Prosecution Service (2021), Hearsay. Available at </w:t>
      </w:r>
      <w:hyperlink r:id="rId34" w:history="1">
        <w:r w:rsidRPr="009E6EA9">
          <w:rPr>
            <w:rStyle w:val="Hyperlink"/>
            <w:sz w:val="22"/>
            <w:szCs w:val="22"/>
          </w:rPr>
          <w:t>Hearsay | The Crown Prosecution Service (cps.gov.uk)</w:t>
        </w:r>
      </w:hyperlink>
      <w:r w:rsidRPr="009E6EA9">
        <w:rPr>
          <w:rStyle w:val="Hyperlink"/>
          <w:sz w:val="22"/>
          <w:szCs w:val="22"/>
        </w:rPr>
        <w:t xml:space="preserve"> (Accessed 16</w:t>
      </w:r>
      <w:r w:rsidRPr="009E6EA9">
        <w:rPr>
          <w:rStyle w:val="Hyperlink"/>
          <w:sz w:val="22"/>
          <w:szCs w:val="22"/>
          <w:vertAlign w:val="superscript"/>
        </w:rPr>
        <w:t>th</w:t>
      </w:r>
      <w:r w:rsidRPr="009E6EA9">
        <w:rPr>
          <w:rStyle w:val="Hyperlink"/>
          <w:sz w:val="22"/>
          <w:szCs w:val="22"/>
        </w:rPr>
        <w:t xml:space="preserve"> July 2023)</w:t>
      </w:r>
    </w:p>
    <w:p w14:paraId="0A797BF8" w14:textId="77777777" w:rsidR="006D7443" w:rsidRPr="009E6EA9" w:rsidRDefault="006D7443" w:rsidP="006D7443">
      <w:pPr>
        <w:ind w:right="237"/>
        <w:jc w:val="both"/>
        <w:rPr>
          <w:sz w:val="22"/>
          <w:szCs w:val="22"/>
        </w:rPr>
      </w:pPr>
    </w:p>
    <w:p w14:paraId="71958633" w14:textId="77777777" w:rsidR="006D7443" w:rsidRPr="009E6EA9" w:rsidRDefault="006D7443" w:rsidP="006D7443">
      <w:pPr>
        <w:overflowPunct/>
        <w:autoSpaceDE/>
        <w:autoSpaceDN/>
        <w:adjustRightInd/>
        <w:textAlignment w:val="auto"/>
        <w:rPr>
          <w:sz w:val="22"/>
          <w:szCs w:val="22"/>
        </w:rPr>
      </w:pPr>
      <w:r w:rsidRPr="009E6EA9">
        <w:rPr>
          <w:sz w:val="22"/>
          <w:szCs w:val="22"/>
        </w:rPr>
        <w:t>Driscoll, J. (2007), Practising clinical supervision: a reflective approach for healthcare professionals. 2nd edn. Edinburgh: Bailliere Tindall Elsevier</w:t>
      </w:r>
    </w:p>
    <w:p w14:paraId="104A39B5" w14:textId="77777777" w:rsidR="006D7443" w:rsidRPr="009E6EA9" w:rsidRDefault="006D7443" w:rsidP="006D7443">
      <w:pPr>
        <w:overflowPunct/>
        <w:autoSpaceDE/>
        <w:autoSpaceDN/>
        <w:adjustRightInd/>
        <w:textAlignment w:val="auto"/>
        <w:rPr>
          <w:sz w:val="22"/>
          <w:szCs w:val="22"/>
        </w:rPr>
      </w:pPr>
    </w:p>
    <w:p w14:paraId="0A948CE1" w14:textId="77777777" w:rsidR="006D7443" w:rsidRPr="009E6EA9" w:rsidRDefault="006D7443" w:rsidP="006D7443">
      <w:pPr>
        <w:ind w:right="237"/>
        <w:jc w:val="both"/>
        <w:rPr>
          <w:color w:val="000000" w:themeColor="text1"/>
          <w:sz w:val="22"/>
          <w:szCs w:val="22"/>
        </w:rPr>
      </w:pPr>
      <w:r w:rsidRPr="009E6EA9">
        <w:rPr>
          <w:color w:val="000000" w:themeColor="text1"/>
          <w:sz w:val="22"/>
          <w:szCs w:val="22"/>
        </w:rPr>
        <w:t xml:space="preserve">Dave Edmonds (2019), How a little list of big values can guide your way. Available at </w:t>
      </w:r>
      <w:hyperlink r:id="rId35" w:history="1">
        <w:r w:rsidRPr="009E6EA9">
          <w:rPr>
            <w:rStyle w:val="Hyperlink"/>
            <w:sz w:val="22"/>
            <w:szCs w:val="22"/>
          </w:rPr>
          <w:t>What Are The Values That Guide Police Officers? | PoliceOne (police1.com)</w:t>
        </w:r>
      </w:hyperlink>
      <w:r w:rsidRPr="009E6EA9">
        <w:rPr>
          <w:color w:val="000000" w:themeColor="text1"/>
          <w:sz w:val="22"/>
          <w:szCs w:val="22"/>
        </w:rPr>
        <w:t>. (Accessed July 28</w:t>
      </w:r>
      <w:r w:rsidRPr="009E6EA9">
        <w:rPr>
          <w:color w:val="000000" w:themeColor="text1"/>
          <w:sz w:val="22"/>
          <w:szCs w:val="22"/>
          <w:vertAlign w:val="superscript"/>
        </w:rPr>
        <w:t>th</w:t>
      </w:r>
      <w:r w:rsidRPr="009E6EA9">
        <w:rPr>
          <w:color w:val="000000" w:themeColor="text1"/>
          <w:sz w:val="22"/>
          <w:szCs w:val="22"/>
        </w:rPr>
        <w:t xml:space="preserve"> 2024)</w:t>
      </w:r>
    </w:p>
    <w:p w14:paraId="6E9E6965" w14:textId="77777777" w:rsidR="006D7443" w:rsidRPr="009E6EA9" w:rsidRDefault="006D7443" w:rsidP="006D7443">
      <w:pPr>
        <w:overflowPunct/>
        <w:autoSpaceDE/>
        <w:autoSpaceDN/>
        <w:adjustRightInd/>
        <w:textAlignment w:val="auto"/>
        <w:rPr>
          <w:sz w:val="22"/>
          <w:szCs w:val="22"/>
        </w:rPr>
      </w:pPr>
    </w:p>
    <w:p w14:paraId="4E3E4C9D" w14:textId="77777777" w:rsidR="006D7443" w:rsidRPr="009E6EA9" w:rsidRDefault="006D7443" w:rsidP="006D7443">
      <w:pPr>
        <w:overflowPunct/>
        <w:autoSpaceDE/>
        <w:autoSpaceDN/>
        <w:adjustRightInd/>
        <w:textAlignment w:val="auto"/>
        <w:rPr>
          <w:sz w:val="22"/>
          <w:szCs w:val="22"/>
        </w:rPr>
      </w:pPr>
      <w:r w:rsidRPr="009E6EA9">
        <w:rPr>
          <w:sz w:val="22"/>
          <w:szCs w:val="22"/>
        </w:rPr>
        <w:t xml:space="preserve">Equality Act 2010. Available at </w:t>
      </w:r>
      <w:hyperlink r:id="rId36" w:history="1">
        <w:r w:rsidRPr="009E6EA9">
          <w:rPr>
            <w:rStyle w:val="Hyperlink"/>
            <w:sz w:val="22"/>
            <w:szCs w:val="22"/>
          </w:rPr>
          <w:t>Equality Act 2010 (legislation.gov.uk)</w:t>
        </w:r>
      </w:hyperlink>
      <w:r w:rsidRPr="009E6EA9">
        <w:rPr>
          <w:sz w:val="22"/>
          <w:szCs w:val="22"/>
        </w:rPr>
        <w:t xml:space="preserve"> (Accessed 16</w:t>
      </w:r>
      <w:r w:rsidRPr="009E6EA9">
        <w:rPr>
          <w:sz w:val="22"/>
          <w:szCs w:val="22"/>
          <w:vertAlign w:val="superscript"/>
        </w:rPr>
        <w:t>th</w:t>
      </w:r>
      <w:r w:rsidRPr="009E6EA9">
        <w:rPr>
          <w:sz w:val="22"/>
          <w:szCs w:val="22"/>
        </w:rPr>
        <w:t xml:space="preserve"> July 2024)</w:t>
      </w:r>
    </w:p>
    <w:p w14:paraId="470E05DE" w14:textId="77777777" w:rsidR="006D7443" w:rsidRPr="009E6EA9" w:rsidRDefault="006D7443" w:rsidP="006D7443">
      <w:pPr>
        <w:overflowPunct/>
        <w:autoSpaceDE/>
        <w:autoSpaceDN/>
        <w:adjustRightInd/>
        <w:textAlignment w:val="auto"/>
        <w:rPr>
          <w:sz w:val="22"/>
          <w:szCs w:val="22"/>
        </w:rPr>
      </w:pPr>
    </w:p>
    <w:p w14:paraId="028EE4DF" w14:textId="027615A4" w:rsidR="009E6EA9" w:rsidRPr="009E6EA9" w:rsidRDefault="005933F6" w:rsidP="009E6EA9">
      <w:pPr>
        <w:ind w:right="237"/>
        <w:jc w:val="both"/>
        <w:rPr>
          <w:color w:val="0000FF"/>
          <w:sz w:val="22"/>
          <w:szCs w:val="22"/>
          <w:u w:val="single"/>
        </w:rPr>
      </w:pPr>
      <w:r w:rsidRPr="009E6EA9">
        <w:rPr>
          <w:sz w:val="22"/>
          <w:szCs w:val="22"/>
        </w:rPr>
        <w:t xml:space="preserve">European Convention on Human Rights, 1998, Article 6 Right to a Fair Trial. Available at </w:t>
      </w:r>
      <w:hyperlink r:id="rId37" w:history="1">
        <w:r w:rsidRPr="009E6EA9">
          <w:rPr>
            <w:rStyle w:val="Hyperlink"/>
            <w:sz w:val="22"/>
            <w:szCs w:val="22"/>
          </w:rPr>
          <w:t>Human Rights Act 1998 (legislation.gov.uk)</w:t>
        </w:r>
      </w:hyperlink>
    </w:p>
    <w:p w14:paraId="3EEEFE67" w14:textId="77777777" w:rsidR="009E6EA9" w:rsidRPr="009E6EA9" w:rsidRDefault="009E6EA9" w:rsidP="009E6EA9">
      <w:pPr>
        <w:overflowPunct/>
        <w:autoSpaceDE/>
        <w:autoSpaceDN/>
        <w:adjustRightInd/>
        <w:textAlignment w:val="auto"/>
        <w:rPr>
          <w:sz w:val="22"/>
          <w:szCs w:val="22"/>
        </w:rPr>
      </w:pPr>
      <w:r w:rsidRPr="009E6EA9">
        <w:rPr>
          <w:sz w:val="22"/>
          <w:szCs w:val="22"/>
        </w:rPr>
        <w:t xml:space="preserve">Friesen L. (2012). ‘Certainty of Punishment versus Severity of Punishment: An experimental Investigation’. Southern Economic Journal, 79(2) pp399-421 </w:t>
      </w:r>
    </w:p>
    <w:p w14:paraId="1908D2E2" w14:textId="71A28285" w:rsidR="009E6EA9" w:rsidRPr="009E6EA9" w:rsidRDefault="009E6EA9" w:rsidP="006D7443">
      <w:pPr>
        <w:overflowPunct/>
        <w:autoSpaceDE/>
        <w:autoSpaceDN/>
        <w:adjustRightInd/>
        <w:textAlignment w:val="auto"/>
        <w:rPr>
          <w:sz w:val="22"/>
          <w:szCs w:val="22"/>
        </w:rPr>
      </w:pPr>
      <w:r w:rsidRPr="009E6EA9">
        <w:rPr>
          <w:sz w:val="22"/>
          <w:szCs w:val="22"/>
        </w:rPr>
        <w:t xml:space="preserve"> </w:t>
      </w:r>
    </w:p>
    <w:p w14:paraId="0003DF88" w14:textId="77777777" w:rsidR="006D7443" w:rsidRPr="009E6EA9" w:rsidRDefault="006D7443" w:rsidP="006D7443">
      <w:pPr>
        <w:ind w:right="107"/>
        <w:jc w:val="both"/>
        <w:rPr>
          <w:sz w:val="22"/>
          <w:szCs w:val="22"/>
        </w:rPr>
      </w:pPr>
      <w:r w:rsidRPr="009E6EA9">
        <w:rPr>
          <w:sz w:val="22"/>
          <w:szCs w:val="22"/>
        </w:rPr>
        <w:t>Gibbs, G. (1998) Learning by Doing: A Guide to Teaching and Learning Methods. Oxford Brooks University, Oxford.</w:t>
      </w:r>
    </w:p>
    <w:p w14:paraId="2FA31BA1" w14:textId="77777777" w:rsidR="006D7443" w:rsidRPr="009E6EA9" w:rsidRDefault="006D7443" w:rsidP="006D7443">
      <w:pPr>
        <w:ind w:right="107"/>
        <w:jc w:val="both"/>
        <w:rPr>
          <w:sz w:val="22"/>
          <w:szCs w:val="22"/>
        </w:rPr>
      </w:pPr>
    </w:p>
    <w:p w14:paraId="6AE2E3AD" w14:textId="0D0EB160" w:rsidR="006D7443" w:rsidRPr="009E6EA9" w:rsidRDefault="006D7443" w:rsidP="006D7443">
      <w:pPr>
        <w:overflowPunct/>
        <w:autoSpaceDE/>
        <w:autoSpaceDN/>
        <w:adjustRightInd/>
        <w:textAlignment w:val="auto"/>
        <w:rPr>
          <w:sz w:val="22"/>
          <w:szCs w:val="22"/>
        </w:rPr>
      </w:pPr>
      <w:r w:rsidRPr="009E6EA9">
        <w:rPr>
          <w:sz w:val="22"/>
          <w:szCs w:val="22"/>
        </w:rPr>
        <w:t xml:space="preserve">GOV Department for Education (2022), Health and Safety: Responsibilities and Duties for Schools. Available at </w:t>
      </w:r>
      <w:hyperlink w:history="1">
        <w:r w:rsidRPr="009E6EA9">
          <w:rPr>
            <w:rStyle w:val="Hyperlink"/>
            <w:sz w:val="22"/>
            <w:szCs w:val="22"/>
          </w:rPr>
          <w:t>Health and safety: responsibilities and duties for schools - GOV.UK (www.gov.uk)</w:t>
        </w:r>
      </w:hyperlink>
      <w:r w:rsidRPr="009E6EA9">
        <w:rPr>
          <w:sz w:val="22"/>
          <w:szCs w:val="22"/>
        </w:rPr>
        <w:t xml:space="preserve"> (Accessed on 15</w:t>
      </w:r>
      <w:r w:rsidRPr="009E6EA9">
        <w:rPr>
          <w:sz w:val="22"/>
          <w:szCs w:val="22"/>
          <w:vertAlign w:val="superscript"/>
        </w:rPr>
        <w:t>th</w:t>
      </w:r>
      <w:r w:rsidRPr="009E6EA9">
        <w:rPr>
          <w:sz w:val="22"/>
          <w:szCs w:val="22"/>
        </w:rPr>
        <w:t xml:space="preserve"> July 2023</w:t>
      </w:r>
    </w:p>
    <w:p w14:paraId="1D45454B" w14:textId="77777777" w:rsidR="006D7443" w:rsidRPr="009E6EA9" w:rsidRDefault="006D7443" w:rsidP="006D7443">
      <w:pPr>
        <w:ind w:right="237"/>
        <w:jc w:val="both"/>
        <w:rPr>
          <w:color w:val="000000" w:themeColor="text1"/>
          <w:sz w:val="22"/>
          <w:szCs w:val="22"/>
        </w:rPr>
      </w:pPr>
    </w:p>
    <w:p w14:paraId="05801D99" w14:textId="77777777" w:rsidR="006D7443" w:rsidRPr="009E6EA9" w:rsidRDefault="006D7443" w:rsidP="006D7443">
      <w:pPr>
        <w:ind w:right="237"/>
        <w:jc w:val="both"/>
        <w:rPr>
          <w:color w:val="000000" w:themeColor="text1"/>
          <w:sz w:val="22"/>
          <w:szCs w:val="22"/>
        </w:rPr>
      </w:pPr>
      <w:r w:rsidRPr="009E6EA9">
        <w:rPr>
          <w:color w:val="000000" w:themeColor="text1"/>
          <w:sz w:val="22"/>
          <w:szCs w:val="22"/>
        </w:rPr>
        <w:t xml:space="preserve">GOV Ministry of Justice (2011), Achieving Best Evidence, paras 2.29 to 2.39. Available at </w:t>
      </w:r>
      <w:hyperlink r:id="rId38" w:history="1">
        <w:r w:rsidRPr="009E6EA9">
          <w:rPr>
            <w:rStyle w:val="Hyperlink"/>
            <w:sz w:val="22"/>
            <w:szCs w:val="22"/>
          </w:rPr>
          <w:t>Achieving best evidence in criminal proceedings - GOV.UK (www.gov.uk)</w:t>
        </w:r>
      </w:hyperlink>
      <w:r w:rsidRPr="009E6EA9">
        <w:rPr>
          <w:color w:val="000000" w:themeColor="text1"/>
          <w:sz w:val="22"/>
          <w:szCs w:val="22"/>
        </w:rPr>
        <w:t xml:space="preserve"> (Accessed 15</w:t>
      </w:r>
      <w:r w:rsidRPr="009E6EA9">
        <w:rPr>
          <w:color w:val="000000" w:themeColor="text1"/>
          <w:sz w:val="22"/>
          <w:szCs w:val="22"/>
          <w:vertAlign w:val="superscript"/>
        </w:rPr>
        <w:t>th</w:t>
      </w:r>
      <w:r w:rsidRPr="009E6EA9">
        <w:rPr>
          <w:color w:val="000000" w:themeColor="text1"/>
          <w:sz w:val="22"/>
          <w:szCs w:val="22"/>
        </w:rPr>
        <w:t xml:space="preserve"> July 2024)</w:t>
      </w:r>
    </w:p>
    <w:p w14:paraId="1EFC37C6" w14:textId="77777777" w:rsidR="006D7443" w:rsidRPr="009E6EA9" w:rsidRDefault="006D7443" w:rsidP="006D7443">
      <w:pPr>
        <w:ind w:right="237"/>
        <w:jc w:val="both"/>
        <w:rPr>
          <w:color w:val="000000" w:themeColor="text1"/>
          <w:sz w:val="22"/>
          <w:szCs w:val="22"/>
        </w:rPr>
      </w:pPr>
    </w:p>
    <w:p w14:paraId="4CF45B74" w14:textId="77777777" w:rsidR="006D7443" w:rsidRPr="009E6EA9" w:rsidRDefault="006D7443" w:rsidP="006D7443">
      <w:pPr>
        <w:ind w:right="237"/>
        <w:jc w:val="both"/>
        <w:rPr>
          <w:color w:val="000000" w:themeColor="text1"/>
          <w:sz w:val="22"/>
          <w:szCs w:val="22"/>
        </w:rPr>
      </w:pPr>
      <w:r w:rsidRPr="009E6EA9">
        <w:rPr>
          <w:sz w:val="22"/>
          <w:szCs w:val="22"/>
        </w:rPr>
        <w:t xml:space="preserve">GOV Ministry of Justice (2016), Black, Asian and Minority disproportionality in the Criminal Justice System in England and Wales. Available </w:t>
      </w:r>
      <w:hyperlink r:id="rId39" w:history="1">
        <w:r w:rsidRPr="009E6EA9">
          <w:rPr>
            <w:rStyle w:val="Hyperlink"/>
            <w:sz w:val="22"/>
            <w:szCs w:val="22"/>
          </w:rPr>
          <w:t>Black, Asian and Minority Ethnic disproportionality in the Criminal Justice System in England and Wales - GOV.UK (www.gov.uk)</w:t>
        </w:r>
      </w:hyperlink>
      <w:r w:rsidRPr="009E6EA9">
        <w:rPr>
          <w:sz w:val="22"/>
          <w:szCs w:val="22"/>
        </w:rPr>
        <w:t xml:space="preserve"> at  (Accessed 16</w:t>
      </w:r>
      <w:r w:rsidRPr="009E6EA9">
        <w:rPr>
          <w:sz w:val="22"/>
          <w:szCs w:val="22"/>
          <w:vertAlign w:val="superscript"/>
        </w:rPr>
        <w:t>th</w:t>
      </w:r>
      <w:r w:rsidRPr="009E6EA9">
        <w:rPr>
          <w:sz w:val="22"/>
          <w:szCs w:val="22"/>
        </w:rPr>
        <w:t xml:space="preserve"> July 2023)</w:t>
      </w:r>
    </w:p>
    <w:p w14:paraId="556557A4" w14:textId="77777777" w:rsidR="006D7443" w:rsidRPr="009E6EA9" w:rsidRDefault="006D7443" w:rsidP="006D7443">
      <w:pPr>
        <w:ind w:right="237"/>
        <w:jc w:val="both"/>
        <w:rPr>
          <w:color w:val="000000" w:themeColor="text1"/>
          <w:sz w:val="22"/>
          <w:szCs w:val="22"/>
        </w:rPr>
      </w:pPr>
    </w:p>
    <w:p w14:paraId="2BE01B00" w14:textId="77777777" w:rsidR="006D7443" w:rsidRPr="009E6EA9" w:rsidRDefault="006D7443" w:rsidP="006D7443">
      <w:pPr>
        <w:overflowPunct/>
        <w:autoSpaceDE/>
        <w:autoSpaceDN/>
        <w:adjustRightInd/>
        <w:textAlignment w:val="auto"/>
        <w:rPr>
          <w:sz w:val="22"/>
          <w:szCs w:val="22"/>
        </w:rPr>
      </w:pPr>
      <w:r w:rsidRPr="009E6EA9">
        <w:rPr>
          <w:color w:val="000000" w:themeColor="text1"/>
          <w:sz w:val="22"/>
          <w:szCs w:val="22"/>
        </w:rPr>
        <w:t xml:space="preserve">GOV Ministry of Justice (2024), Code of Practice for Victims of Crime in England and Wales. Available at </w:t>
      </w:r>
      <w:r w:rsidRPr="009E6EA9">
        <w:rPr>
          <w:sz w:val="22"/>
          <w:szCs w:val="22"/>
        </w:rPr>
        <w:t xml:space="preserve"> </w:t>
      </w:r>
      <w:hyperlink w:history="1">
        <w:r w:rsidRPr="009E6EA9">
          <w:rPr>
            <w:rStyle w:val="Hyperlink"/>
            <w:sz w:val="22"/>
            <w:szCs w:val="22"/>
          </w:rPr>
          <w:t>Code of Practice for Victims of Crime in England and Wales (Victims' Code) - GOV.UK (www.gov.uk)</w:t>
        </w:r>
      </w:hyperlink>
      <w:r w:rsidRPr="009E6EA9">
        <w:rPr>
          <w:sz w:val="22"/>
          <w:szCs w:val="22"/>
        </w:rPr>
        <w:t>, (Accessed on 15</w:t>
      </w:r>
      <w:r w:rsidRPr="009E6EA9">
        <w:rPr>
          <w:sz w:val="22"/>
          <w:szCs w:val="22"/>
          <w:vertAlign w:val="superscript"/>
        </w:rPr>
        <w:t>th</w:t>
      </w:r>
      <w:r w:rsidRPr="009E6EA9">
        <w:rPr>
          <w:sz w:val="22"/>
          <w:szCs w:val="22"/>
        </w:rPr>
        <w:t xml:space="preserve"> July 2024)</w:t>
      </w:r>
    </w:p>
    <w:p w14:paraId="4F78A278" w14:textId="77777777" w:rsidR="006D7443" w:rsidRPr="009E6EA9" w:rsidRDefault="006D7443" w:rsidP="006D7443">
      <w:pPr>
        <w:overflowPunct/>
        <w:autoSpaceDE/>
        <w:autoSpaceDN/>
        <w:adjustRightInd/>
        <w:textAlignment w:val="auto"/>
        <w:rPr>
          <w:rStyle w:val="Hyperlink"/>
          <w:color w:val="000000"/>
          <w:sz w:val="22"/>
          <w:szCs w:val="22"/>
          <w:u w:val="none"/>
        </w:rPr>
      </w:pPr>
    </w:p>
    <w:p w14:paraId="61FDBCC5" w14:textId="77777777" w:rsidR="006D7443" w:rsidRPr="009E6EA9" w:rsidRDefault="006D7443" w:rsidP="006D7443">
      <w:pPr>
        <w:rPr>
          <w:color w:val="000000" w:themeColor="text1"/>
          <w:sz w:val="22"/>
          <w:szCs w:val="22"/>
        </w:rPr>
      </w:pPr>
      <w:r w:rsidRPr="009E6EA9">
        <w:rPr>
          <w:color w:val="000000" w:themeColor="text1"/>
          <w:sz w:val="22"/>
          <w:szCs w:val="22"/>
        </w:rPr>
        <w:t xml:space="preserve">GOV Ministry of Justice (2023), Support following a rape or a sexual assault. Available at </w:t>
      </w:r>
      <w:hyperlink r:id="rId40" w:history="1">
        <w:r w:rsidRPr="009E6EA9">
          <w:rPr>
            <w:rStyle w:val="Hyperlink"/>
            <w:sz w:val="22"/>
            <w:szCs w:val="22"/>
          </w:rPr>
          <w:t>Support following a rape or sexual assault (HTML version) - GOV.UK (www.gov.uk)</w:t>
        </w:r>
      </w:hyperlink>
      <w:r w:rsidRPr="009E6EA9">
        <w:rPr>
          <w:color w:val="000000" w:themeColor="text1"/>
          <w:sz w:val="22"/>
          <w:szCs w:val="22"/>
        </w:rPr>
        <w:t xml:space="preserve"> (Accessed 15</w:t>
      </w:r>
      <w:r w:rsidRPr="009E6EA9">
        <w:rPr>
          <w:color w:val="000000" w:themeColor="text1"/>
          <w:sz w:val="22"/>
          <w:szCs w:val="22"/>
          <w:vertAlign w:val="superscript"/>
        </w:rPr>
        <w:t>th</w:t>
      </w:r>
      <w:r w:rsidRPr="009E6EA9">
        <w:rPr>
          <w:color w:val="000000" w:themeColor="text1"/>
          <w:sz w:val="22"/>
          <w:szCs w:val="22"/>
        </w:rPr>
        <w:t xml:space="preserve"> July 2024)</w:t>
      </w:r>
    </w:p>
    <w:p w14:paraId="5E3FAFF9" w14:textId="77777777" w:rsidR="006D7443" w:rsidRPr="009E6EA9" w:rsidRDefault="006D7443" w:rsidP="006D7443">
      <w:pPr>
        <w:rPr>
          <w:color w:val="000000" w:themeColor="text1"/>
          <w:sz w:val="22"/>
          <w:szCs w:val="22"/>
        </w:rPr>
      </w:pPr>
    </w:p>
    <w:p w14:paraId="4C4EDE90" w14:textId="77777777" w:rsidR="006D7443" w:rsidRPr="009E6EA9" w:rsidRDefault="006D7443" w:rsidP="006D7443">
      <w:pPr>
        <w:overflowPunct/>
        <w:autoSpaceDE/>
        <w:autoSpaceDN/>
        <w:adjustRightInd/>
        <w:textAlignment w:val="auto"/>
        <w:rPr>
          <w:sz w:val="22"/>
          <w:szCs w:val="22"/>
        </w:rPr>
      </w:pPr>
      <w:r w:rsidRPr="009E6EA9">
        <w:rPr>
          <w:sz w:val="22"/>
          <w:szCs w:val="22"/>
        </w:rPr>
        <w:lastRenderedPageBreak/>
        <w:t xml:space="preserve">GOV Ministry of Justice (2024), The Code of Practice for Victims of Crime in England and Wales and supporting public information materials. Available at </w:t>
      </w:r>
      <w:hyperlink w:history="1">
        <w:r w:rsidRPr="009E6EA9">
          <w:rPr>
            <w:rStyle w:val="Hyperlink"/>
            <w:sz w:val="22"/>
            <w:szCs w:val="22"/>
          </w:rPr>
          <w:t>The Code of Practice for Victims of Crime in England and Wales and supporting public information materials - GOV.UK (www.gov.uk)</w:t>
        </w:r>
      </w:hyperlink>
    </w:p>
    <w:p w14:paraId="5B3BF100" w14:textId="444B0514" w:rsidR="006D7443" w:rsidRPr="009E6EA9" w:rsidRDefault="006D7443" w:rsidP="006D7443">
      <w:pPr>
        <w:overflowPunct/>
        <w:autoSpaceDE/>
        <w:autoSpaceDN/>
        <w:adjustRightInd/>
        <w:textAlignment w:val="auto"/>
        <w:rPr>
          <w:sz w:val="22"/>
          <w:szCs w:val="22"/>
        </w:rPr>
      </w:pPr>
      <w:r w:rsidRPr="009E6EA9">
        <w:rPr>
          <w:sz w:val="22"/>
          <w:szCs w:val="22"/>
        </w:rPr>
        <w:t>(Accessed 16</w:t>
      </w:r>
      <w:r w:rsidRPr="009E6EA9">
        <w:rPr>
          <w:sz w:val="22"/>
          <w:szCs w:val="22"/>
          <w:vertAlign w:val="superscript"/>
        </w:rPr>
        <w:t>th</w:t>
      </w:r>
      <w:r w:rsidRPr="009E6EA9">
        <w:rPr>
          <w:sz w:val="22"/>
          <w:szCs w:val="22"/>
        </w:rPr>
        <w:t xml:space="preserve"> July 2024)</w:t>
      </w:r>
    </w:p>
    <w:p w14:paraId="2599681D" w14:textId="77777777" w:rsidR="006D7443" w:rsidRPr="009E6EA9" w:rsidRDefault="006D7443" w:rsidP="006D7443">
      <w:pPr>
        <w:overflowPunct/>
        <w:autoSpaceDE/>
        <w:autoSpaceDN/>
        <w:adjustRightInd/>
        <w:textAlignment w:val="auto"/>
        <w:rPr>
          <w:rStyle w:val="Hyperlink"/>
          <w:color w:val="000000" w:themeColor="text1"/>
          <w:sz w:val="22"/>
          <w:szCs w:val="22"/>
          <w:u w:val="none"/>
        </w:rPr>
      </w:pPr>
    </w:p>
    <w:p w14:paraId="79CA893E" w14:textId="77777777" w:rsidR="006D7443" w:rsidRPr="009E6EA9" w:rsidRDefault="006D7443" w:rsidP="006D7443">
      <w:pPr>
        <w:ind w:right="107"/>
        <w:jc w:val="both"/>
        <w:rPr>
          <w:sz w:val="22"/>
          <w:szCs w:val="22"/>
        </w:rPr>
      </w:pPr>
    </w:p>
    <w:p w14:paraId="6A00127F" w14:textId="77777777" w:rsidR="006D7443" w:rsidRPr="009E6EA9" w:rsidRDefault="006D7443" w:rsidP="006D7443">
      <w:pPr>
        <w:ind w:right="237"/>
        <w:jc w:val="both"/>
        <w:rPr>
          <w:color w:val="000000" w:themeColor="text1"/>
          <w:sz w:val="22"/>
          <w:szCs w:val="22"/>
        </w:rPr>
      </w:pPr>
      <w:r w:rsidRPr="009E6EA9">
        <w:rPr>
          <w:color w:val="000000" w:themeColor="text1"/>
          <w:sz w:val="22"/>
          <w:szCs w:val="22"/>
        </w:rPr>
        <w:t xml:space="preserve">GOV Ministry of Justice (2019), Witness Intermediary Scheme. Available at </w:t>
      </w:r>
    </w:p>
    <w:p w14:paraId="1FD27F76" w14:textId="77777777" w:rsidR="006D7443" w:rsidRPr="009E6EA9" w:rsidRDefault="00000000" w:rsidP="006D7443">
      <w:pPr>
        <w:overflowPunct/>
        <w:autoSpaceDE/>
        <w:autoSpaceDN/>
        <w:adjustRightInd/>
        <w:textAlignment w:val="auto"/>
        <w:rPr>
          <w:rStyle w:val="Hyperlink"/>
          <w:color w:val="000000" w:themeColor="text1"/>
          <w:sz w:val="22"/>
          <w:szCs w:val="22"/>
          <w:u w:val="none"/>
        </w:rPr>
      </w:pPr>
      <w:hyperlink w:history="1">
        <w:r w:rsidR="006D7443" w:rsidRPr="009E6EA9">
          <w:rPr>
            <w:rStyle w:val="Hyperlink"/>
            <w:sz w:val="22"/>
            <w:szCs w:val="22"/>
          </w:rPr>
          <w:t>Ministry of Justice Witness Intermediary Scheme - GOV.UK (www.gov.uk)</w:t>
        </w:r>
      </w:hyperlink>
      <w:r w:rsidR="006D7443" w:rsidRPr="009E6EA9">
        <w:rPr>
          <w:rStyle w:val="Hyperlink"/>
          <w:sz w:val="22"/>
          <w:szCs w:val="22"/>
        </w:rPr>
        <w:t xml:space="preserve"> </w:t>
      </w:r>
      <w:r w:rsidR="006D7443" w:rsidRPr="009E6EA9">
        <w:rPr>
          <w:rStyle w:val="Hyperlink"/>
          <w:color w:val="000000" w:themeColor="text1"/>
          <w:sz w:val="22"/>
          <w:szCs w:val="22"/>
          <w:u w:val="none"/>
        </w:rPr>
        <w:t>(Accessed 15</w:t>
      </w:r>
      <w:r w:rsidR="006D7443" w:rsidRPr="009E6EA9">
        <w:rPr>
          <w:rStyle w:val="Hyperlink"/>
          <w:color w:val="000000" w:themeColor="text1"/>
          <w:sz w:val="22"/>
          <w:szCs w:val="22"/>
          <w:u w:val="none"/>
          <w:vertAlign w:val="superscript"/>
        </w:rPr>
        <w:t>th</w:t>
      </w:r>
      <w:r w:rsidR="006D7443" w:rsidRPr="009E6EA9">
        <w:rPr>
          <w:rStyle w:val="Hyperlink"/>
          <w:color w:val="000000" w:themeColor="text1"/>
          <w:sz w:val="22"/>
          <w:szCs w:val="22"/>
          <w:u w:val="none"/>
        </w:rPr>
        <w:t xml:space="preserve"> July 2024)</w:t>
      </w:r>
    </w:p>
    <w:p w14:paraId="697085DD" w14:textId="77777777" w:rsidR="006D7443" w:rsidRPr="009E6EA9" w:rsidRDefault="006D7443" w:rsidP="006D7443">
      <w:pPr>
        <w:overflowPunct/>
        <w:autoSpaceDE/>
        <w:autoSpaceDN/>
        <w:adjustRightInd/>
        <w:textAlignment w:val="auto"/>
        <w:rPr>
          <w:rStyle w:val="Hyperlink"/>
          <w:color w:val="000000" w:themeColor="text1"/>
          <w:sz w:val="22"/>
          <w:szCs w:val="22"/>
          <w:u w:val="none"/>
        </w:rPr>
      </w:pPr>
    </w:p>
    <w:p w14:paraId="1CCC71BD" w14:textId="77777777" w:rsidR="006D7443" w:rsidRPr="009E6EA9" w:rsidRDefault="006D7443" w:rsidP="006D7443">
      <w:pPr>
        <w:ind w:right="237"/>
        <w:jc w:val="both"/>
        <w:rPr>
          <w:color w:val="000000" w:themeColor="text1"/>
          <w:sz w:val="22"/>
          <w:szCs w:val="22"/>
        </w:rPr>
      </w:pPr>
    </w:p>
    <w:p w14:paraId="6A341C33" w14:textId="77777777" w:rsidR="006D7443" w:rsidRPr="009E6EA9" w:rsidRDefault="006D7443" w:rsidP="006D7443">
      <w:pPr>
        <w:overflowPunct/>
        <w:autoSpaceDE/>
        <w:autoSpaceDN/>
        <w:adjustRightInd/>
        <w:textAlignment w:val="auto"/>
        <w:rPr>
          <w:sz w:val="22"/>
          <w:szCs w:val="22"/>
        </w:rPr>
      </w:pPr>
      <w:r w:rsidRPr="009E6EA9">
        <w:rPr>
          <w:sz w:val="22"/>
          <w:szCs w:val="22"/>
        </w:rPr>
        <w:t>Huizinga, D., Schumann, K., Ehret, B. and Elliot, A. (2003). The Effects of Juvenile Justice Processing on Subsequent Delinquent and Criminal Behaviour: A Cross-National Study. Washington, DC, Final Report to the National Institute of Justice.</w:t>
      </w:r>
    </w:p>
    <w:p w14:paraId="6C2AC7BC" w14:textId="77777777" w:rsidR="006D7443" w:rsidRPr="009E6EA9" w:rsidRDefault="006D7443" w:rsidP="006D7443">
      <w:pPr>
        <w:overflowPunct/>
        <w:autoSpaceDE/>
        <w:autoSpaceDN/>
        <w:adjustRightInd/>
        <w:textAlignment w:val="auto"/>
        <w:rPr>
          <w:sz w:val="22"/>
          <w:szCs w:val="22"/>
        </w:rPr>
      </w:pPr>
    </w:p>
    <w:p w14:paraId="4E4DE646" w14:textId="77777777" w:rsidR="005933F6" w:rsidRPr="009E6EA9" w:rsidRDefault="005933F6" w:rsidP="006D7443">
      <w:pPr>
        <w:ind w:right="237"/>
        <w:jc w:val="both"/>
        <w:rPr>
          <w:color w:val="000000" w:themeColor="text1"/>
          <w:sz w:val="22"/>
          <w:szCs w:val="22"/>
        </w:rPr>
      </w:pPr>
    </w:p>
    <w:p w14:paraId="28768EAA" w14:textId="77777777" w:rsidR="006D7443" w:rsidRPr="009E6EA9" w:rsidRDefault="006D7443" w:rsidP="006D7443">
      <w:pPr>
        <w:ind w:right="237"/>
        <w:jc w:val="both"/>
        <w:rPr>
          <w:rStyle w:val="Hyperlink"/>
          <w:color w:val="000000" w:themeColor="text1"/>
          <w:sz w:val="22"/>
          <w:szCs w:val="22"/>
          <w:u w:val="none"/>
        </w:rPr>
      </w:pPr>
      <w:r w:rsidRPr="009E6EA9">
        <w:rPr>
          <w:color w:val="000000" w:themeColor="text1"/>
          <w:sz w:val="22"/>
          <w:szCs w:val="22"/>
        </w:rPr>
        <w:t xml:space="preserve">IDAS (Date unknown), What is an ISVA (Independent Sexual Violence Adviser). Available at </w:t>
      </w:r>
      <w:hyperlink r:id="rId41" w:history="1">
        <w:r w:rsidRPr="009E6EA9">
          <w:rPr>
            <w:rStyle w:val="Hyperlink"/>
            <w:sz w:val="22"/>
            <w:szCs w:val="22"/>
          </w:rPr>
          <w:t>What is an ISVA (Independent Sexual Violence Adviser) - Sexual Violence Help and Advice (idas.org.uk)</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June 2024)</w:t>
      </w:r>
    </w:p>
    <w:p w14:paraId="221556E3" w14:textId="77777777" w:rsidR="009E6EA9" w:rsidRPr="009E6EA9" w:rsidRDefault="009E6EA9" w:rsidP="006D7443">
      <w:pPr>
        <w:ind w:right="237"/>
        <w:jc w:val="both"/>
        <w:rPr>
          <w:rStyle w:val="Hyperlink"/>
          <w:color w:val="000000" w:themeColor="text1"/>
          <w:sz w:val="22"/>
          <w:szCs w:val="22"/>
          <w:u w:val="none"/>
        </w:rPr>
      </w:pPr>
    </w:p>
    <w:p w14:paraId="18722623" w14:textId="6FD0F314" w:rsidR="009E6EA9" w:rsidRPr="009E6EA9" w:rsidRDefault="009E6EA9" w:rsidP="006D7443">
      <w:pPr>
        <w:ind w:right="237"/>
        <w:jc w:val="both"/>
        <w:rPr>
          <w:rStyle w:val="Hyperlink"/>
          <w:color w:val="000000" w:themeColor="text1"/>
          <w:sz w:val="22"/>
          <w:szCs w:val="22"/>
          <w:u w:val="none"/>
        </w:rPr>
      </w:pPr>
      <w:r w:rsidRPr="009E6EA9">
        <w:rPr>
          <w:rStyle w:val="Hyperlink"/>
          <w:color w:val="000000" w:themeColor="text1"/>
          <w:sz w:val="22"/>
          <w:szCs w:val="22"/>
          <w:u w:val="none"/>
        </w:rPr>
        <w:t xml:space="preserve">Laurence, W. Sherman (1998). Evidence Based Policing. Ideas in American Policing. Police Foundation. Available at </w:t>
      </w:r>
      <w:hyperlink r:id="rId42" w:history="1">
        <w:r w:rsidRPr="009E6EA9">
          <w:rPr>
            <w:rStyle w:val="Hyperlink"/>
            <w:sz w:val="22"/>
            <w:szCs w:val="22"/>
          </w:rPr>
          <w:t>https://www.policinginstitute.org/wp-content/uploads/2015/06/Sherman-1998-Evidence-Based-Policing.pdf</w:t>
        </w:r>
      </w:hyperlink>
      <w:r w:rsidRPr="009E6EA9">
        <w:rPr>
          <w:rStyle w:val="Hyperlink"/>
          <w:color w:val="000000" w:themeColor="text1"/>
          <w:sz w:val="22"/>
          <w:szCs w:val="22"/>
          <w:u w:val="none"/>
        </w:rPr>
        <w:t xml:space="preserve"> (Accessed 01/08/2024)</w:t>
      </w:r>
    </w:p>
    <w:p w14:paraId="630BC9C2" w14:textId="77777777" w:rsidR="006D7443" w:rsidRPr="009E6EA9" w:rsidRDefault="006D7443" w:rsidP="006D7443">
      <w:pPr>
        <w:ind w:right="237"/>
        <w:jc w:val="both"/>
        <w:rPr>
          <w:sz w:val="22"/>
          <w:szCs w:val="22"/>
        </w:rPr>
      </w:pPr>
    </w:p>
    <w:p w14:paraId="5955C8C8" w14:textId="07B772F1" w:rsidR="006D7443" w:rsidRPr="009E6EA9" w:rsidRDefault="006D7443" w:rsidP="006D7443">
      <w:pPr>
        <w:ind w:right="237"/>
        <w:jc w:val="both"/>
        <w:rPr>
          <w:color w:val="000000" w:themeColor="text1"/>
          <w:sz w:val="22"/>
          <w:szCs w:val="22"/>
        </w:rPr>
      </w:pPr>
      <w:r w:rsidRPr="009E6EA9">
        <w:rPr>
          <w:color w:val="000000" w:themeColor="text1"/>
          <w:sz w:val="22"/>
          <w:szCs w:val="22"/>
        </w:rPr>
        <w:t xml:space="preserve">Leadership News (2024), Delta AG Advocates use of Video Evidence in Court. Available at </w:t>
      </w:r>
      <w:hyperlink r:id="rId43" w:anchor="google_vignette" w:history="1">
        <w:r w:rsidRPr="009E6EA9">
          <w:rPr>
            <w:rStyle w:val="Hyperlink"/>
            <w:sz w:val="22"/>
            <w:szCs w:val="22"/>
          </w:rPr>
          <w:t>Delta AG Advocates Use Of Video Evidence In Courts (leadership.ng)</w:t>
        </w:r>
      </w:hyperlink>
      <w:r w:rsidRPr="009E6EA9">
        <w:rPr>
          <w:rStyle w:val="Hyperlink"/>
          <w:sz w:val="22"/>
          <w:szCs w:val="22"/>
        </w:rPr>
        <w:t xml:space="preserve"> </w:t>
      </w:r>
      <w:r w:rsidRPr="009E6EA9">
        <w:rPr>
          <w:rStyle w:val="Hyperlink"/>
          <w:color w:val="000000" w:themeColor="text1"/>
          <w:sz w:val="22"/>
          <w:szCs w:val="22"/>
          <w:u w:val="none"/>
        </w:rPr>
        <w:t>(Accessed 28</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2028)</w:t>
      </w:r>
    </w:p>
    <w:p w14:paraId="4B047B65" w14:textId="77777777" w:rsidR="006D7443" w:rsidRPr="009E6EA9" w:rsidRDefault="006D7443" w:rsidP="006D7443">
      <w:pPr>
        <w:overflowPunct/>
        <w:autoSpaceDE/>
        <w:autoSpaceDN/>
        <w:adjustRightInd/>
        <w:textAlignment w:val="auto"/>
        <w:rPr>
          <w:sz w:val="22"/>
          <w:szCs w:val="22"/>
        </w:rPr>
      </w:pPr>
    </w:p>
    <w:p w14:paraId="78A351C7" w14:textId="77777777" w:rsidR="009E6EA9" w:rsidRPr="009E6EA9" w:rsidRDefault="009E6EA9" w:rsidP="009E6EA9">
      <w:pPr>
        <w:overflowPunct/>
        <w:autoSpaceDE/>
        <w:autoSpaceDN/>
        <w:adjustRightInd/>
        <w:textAlignment w:val="auto"/>
        <w:rPr>
          <w:sz w:val="22"/>
          <w:szCs w:val="22"/>
        </w:rPr>
      </w:pPr>
      <w:r w:rsidRPr="009E6EA9">
        <w:rPr>
          <w:sz w:val="22"/>
          <w:szCs w:val="22"/>
        </w:rPr>
        <w:t>Mungan M. (2016). ‘The Certainty versus the Severity of Punishment, Repeat Offenders and Stigmatization’. Economic Letters, 150(1), pp 126-129</w:t>
      </w:r>
    </w:p>
    <w:p w14:paraId="02EA7BFD" w14:textId="77777777" w:rsidR="009E6EA9" w:rsidRPr="009E6EA9" w:rsidRDefault="009E6EA9" w:rsidP="006D7443">
      <w:pPr>
        <w:overflowPunct/>
        <w:autoSpaceDE/>
        <w:autoSpaceDN/>
        <w:adjustRightInd/>
        <w:textAlignment w:val="auto"/>
        <w:rPr>
          <w:sz w:val="22"/>
          <w:szCs w:val="22"/>
        </w:rPr>
      </w:pPr>
    </w:p>
    <w:p w14:paraId="05FEAA43" w14:textId="77777777" w:rsidR="006D7443" w:rsidRPr="009E6EA9" w:rsidRDefault="006D7443" w:rsidP="006D7443">
      <w:pPr>
        <w:overflowPunct/>
        <w:autoSpaceDE/>
        <w:autoSpaceDN/>
        <w:adjustRightInd/>
        <w:textAlignment w:val="auto"/>
        <w:rPr>
          <w:sz w:val="22"/>
          <w:szCs w:val="22"/>
        </w:rPr>
      </w:pPr>
      <w:r w:rsidRPr="009E6EA9">
        <w:rPr>
          <w:sz w:val="22"/>
          <w:szCs w:val="22"/>
        </w:rPr>
        <w:t xml:space="preserve">National Center for School Safety (2023), School Safety at a glance. Available at </w:t>
      </w:r>
      <w:hyperlink r:id="rId44" w:history="1">
        <w:r w:rsidRPr="009E6EA9">
          <w:rPr>
            <w:rStyle w:val="Hyperlink"/>
            <w:sz w:val="22"/>
            <w:szCs w:val="22"/>
          </w:rPr>
          <w:t>School-Safety-At-A-Glance.pdf (nc2s.org)</w:t>
        </w:r>
      </w:hyperlink>
      <w:r w:rsidRPr="009E6EA9">
        <w:rPr>
          <w:sz w:val="22"/>
          <w:szCs w:val="22"/>
        </w:rPr>
        <w:t xml:space="preserve"> (Accessed 15</w:t>
      </w:r>
      <w:r w:rsidRPr="009E6EA9">
        <w:rPr>
          <w:sz w:val="22"/>
          <w:szCs w:val="22"/>
          <w:vertAlign w:val="superscript"/>
        </w:rPr>
        <w:t>th</w:t>
      </w:r>
      <w:r w:rsidRPr="009E6EA9">
        <w:rPr>
          <w:sz w:val="22"/>
          <w:szCs w:val="22"/>
        </w:rPr>
        <w:t xml:space="preserve"> July 2024)</w:t>
      </w:r>
    </w:p>
    <w:p w14:paraId="6135796A" w14:textId="77777777" w:rsidR="009E6EA9" w:rsidRPr="009E6EA9" w:rsidRDefault="009E6EA9" w:rsidP="006D7443">
      <w:pPr>
        <w:overflowPunct/>
        <w:autoSpaceDE/>
        <w:autoSpaceDN/>
        <w:adjustRightInd/>
        <w:textAlignment w:val="auto"/>
        <w:rPr>
          <w:sz w:val="22"/>
          <w:szCs w:val="22"/>
        </w:rPr>
      </w:pPr>
    </w:p>
    <w:p w14:paraId="4C9E16AF" w14:textId="0FB427B5" w:rsidR="009E6EA9" w:rsidRPr="009E6EA9" w:rsidRDefault="009E6EA9" w:rsidP="006D7443">
      <w:pPr>
        <w:overflowPunct/>
        <w:autoSpaceDE/>
        <w:autoSpaceDN/>
        <w:adjustRightInd/>
        <w:textAlignment w:val="auto"/>
        <w:rPr>
          <w:b/>
          <w:bCs/>
          <w:sz w:val="22"/>
          <w:szCs w:val="22"/>
        </w:rPr>
      </w:pPr>
      <w:r w:rsidRPr="009E6EA9">
        <w:rPr>
          <w:sz w:val="22"/>
          <w:szCs w:val="22"/>
        </w:rPr>
        <w:t>Nagin D. (2013). ‘ Deterrence in the Twenty-First Century’. Crime and Justice 42(1), pp 199-263</w:t>
      </w:r>
    </w:p>
    <w:p w14:paraId="15D67448" w14:textId="77777777" w:rsidR="006D7443" w:rsidRPr="009E6EA9" w:rsidRDefault="006D7443" w:rsidP="006D7443">
      <w:pPr>
        <w:overflowPunct/>
        <w:autoSpaceDE/>
        <w:autoSpaceDN/>
        <w:adjustRightInd/>
        <w:textAlignment w:val="auto"/>
        <w:rPr>
          <w:color w:val="000000" w:themeColor="text1"/>
          <w:sz w:val="22"/>
          <w:szCs w:val="22"/>
        </w:rPr>
      </w:pPr>
    </w:p>
    <w:p w14:paraId="5F379A83" w14:textId="77777777" w:rsidR="006D7443" w:rsidRPr="009E6EA9" w:rsidRDefault="006D7443" w:rsidP="006D7443">
      <w:pPr>
        <w:overflowPunct/>
        <w:autoSpaceDE/>
        <w:autoSpaceDN/>
        <w:adjustRightInd/>
        <w:textAlignment w:val="auto"/>
        <w:rPr>
          <w:sz w:val="22"/>
          <w:szCs w:val="22"/>
        </w:rPr>
      </w:pPr>
      <w:r w:rsidRPr="009E6EA9">
        <w:rPr>
          <w:sz w:val="22"/>
          <w:szCs w:val="22"/>
        </w:rPr>
        <w:t xml:space="preserve">Oxford Reference (2024), Repeat offender. Available at </w:t>
      </w:r>
    </w:p>
    <w:p w14:paraId="732F81CE" w14:textId="77777777" w:rsidR="006D7443" w:rsidRPr="009E6EA9" w:rsidRDefault="00000000" w:rsidP="006D7443">
      <w:pPr>
        <w:overflowPunct/>
        <w:autoSpaceDE/>
        <w:autoSpaceDN/>
        <w:adjustRightInd/>
        <w:textAlignment w:val="auto"/>
        <w:rPr>
          <w:sz w:val="22"/>
          <w:szCs w:val="22"/>
        </w:rPr>
      </w:pPr>
      <w:hyperlink r:id="rId45" w:anchor=":~:text=An%20offender%20who%20commits%20the%20same,offence%20on%20more%20than%20one%20occasion." w:history="1">
        <w:r w:rsidR="006D7443" w:rsidRPr="009E6EA9">
          <w:rPr>
            <w:rStyle w:val="Hyperlink"/>
            <w:sz w:val="22"/>
            <w:szCs w:val="22"/>
          </w:rPr>
          <w:t>Repeat offender - Oxford Reference</w:t>
        </w:r>
      </w:hyperlink>
      <w:r w:rsidR="006D7443" w:rsidRPr="009E6EA9">
        <w:rPr>
          <w:sz w:val="22"/>
          <w:szCs w:val="22"/>
        </w:rPr>
        <w:t xml:space="preserve"> (Accessed 28</w:t>
      </w:r>
      <w:r w:rsidR="006D7443" w:rsidRPr="009E6EA9">
        <w:rPr>
          <w:sz w:val="22"/>
          <w:szCs w:val="22"/>
          <w:vertAlign w:val="superscript"/>
        </w:rPr>
        <w:t>th</w:t>
      </w:r>
      <w:r w:rsidR="006D7443" w:rsidRPr="009E6EA9">
        <w:rPr>
          <w:sz w:val="22"/>
          <w:szCs w:val="22"/>
        </w:rPr>
        <w:t xml:space="preserve"> July 2024)</w:t>
      </w:r>
    </w:p>
    <w:p w14:paraId="0093C376" w14:textId="77777777" w:rsidR="006D7443" w:rsidRPr="009E6EA9" w:rsidRDefault="006D7443" w:rsidP="006D7443">
      <w:pPr>
        <w:overflowPunct/>
        <w:autoSpaceDE/>
        <w:autoSpaceDN/>
        <w:adjustRightInd/>
        <w:textAlignment w:val="auto"/>
        <w:rPr>
          <w:sz w:val="22"/>
          <w:szCs w:val="22"/>
        </w:rPr>
      </w:pPr>
    </w:p>
    <w:p w14:paraId="5B459B1D" w14:textId="23C12A78" w:rsidR="006D7443" w:rsidRPr="009E6EA9" w:rsidRDefault="006D7443" w:rsidP="006D7443">
      <w:pPr>
        <w:overflowPunct/>
        <w:autoSpaceDE/>
        <w:autoSpaceDN/>
        <w:adjustRightInd/>
        <w:textAlignment w:val="auto"/>
        <w:rPr>
          <w:sz w:val="22"/>
          <w:szCs w:val="22"/>
        </w:rPr>
      </w:pPr>
      <w:r w:rsidRPr="009E6EA9">
        <w:rPr>
          <w:sz w:val="22"/>
          <w:szCs w:val="22"/>
        </w:rPr>
        <w:t xml:space="preserve">Penelope Gibbs (2018), Presumed innocent but behind bars – is remand overused in England and Wales. Available at </w:t>
      </w:r>
      <w:hyperlink r:id="rId46" w:history="1">
        <w:r w:rsidRPr="009E6EA9">
          <w:rPr>
            <w:rStyle w:val="Hyperlink"/>
            <w:sz w:val="22"/>
            <w:szCs w:val="22"/>
          </w:rPr>
          <w:t>TJ_March2018report.pdf (transformjustice.org.uk)</w:t>
        </w:r>
      </w:hyperlink>
      <w:r w:rsidRPr="009E6EA9">
        <w:rPr>
          <w:sz w:val="22"/>
          <w:szCs w:val="22"/>
        </w:rPr>
        <w:t xml:space="preserve"> (Accessed 28</w:t>
      </w:r>
      <w:r w:rsidRPr="009E6EA9">
        <w:rPr>
          <w:sz w:val="22"/>
          <w:szCs w:val="22"/>
          <w:vertAlign w:val="superscript"/>
        </w:rPr>
        <w:t>th</w:t>
      </w:r>
      <w:r w:rsidRPr="009E6EA9">
        <w:rPr>
          <w:sz w:val="22"/>
          <w:szCs w:val="22"/>
        </w:rPr>
        <w:t xml:space="preserve"> July 2024)</w:t>
      </w:r>
    </w:p>
    <w:p w14:paraId="0B8FA689" w14:textId="77777777" w:rsidR="006D7443" w:rsidRPr="009E6EA9" w:rsidRDefault="006D7443" w:rsidP="006D7443">
      <w:pPr>
        <w:overflowPunct/>
        <w:autoSpaceDE/>
        <w:autoSpaceDN/>
        <w:adjustRightInd/>
        <w:textAlignment w:val="auto"/>
        <w:rPr>
          <w:sz w:val="22"/>
          <w:szCs w:val="22"/>
        </w:rPr>
      </w:pPr>
    </w:p>
    <w:p w14:paraId="185C8F2A" w14:textId="77777777" w:rsidR="006D7443" w:rsidRPr="009E6EA9" w:rsidRDefault="006D7443" w:rsidP="006D7443">
      <w:pPr>
        <w:overflowPunct/>
        <w:autoSpaceDE/>
        <w:autoSpaceDN/>
        <w:adjustRightInd/>
        <w:textAlignment w:val="auto"/>
        <w:rPr>
          <w:sz w:val="22"/>
          <w:szCs w:val="22"/>
        </w:rPr>
      </w:pPr>
      <w:r w:rsidRPr="009E6EA9">
        <w:rPr>
          <w:sz w:val="22"/>
          <w:szCs w:val="22"/>
        </w:rPr>
        <w:t xml:space="preserve">Police and Criminal Evidence Act (1984), s34(2), 34(5) and 37(2). Available at </w:t>
      </w:r>
      <w:hyperlink r:id="rId47" w:history="1">
        <w:r w:rsidRPr="009E6EA9">
          <w:rPr>
            <w:rStyle w:val="Hyperlink"/>
            <w:sz w:val="22"/>
            <w:szCs w:val="22"/>
          </w:rPr>
          <w:t>Bail | The Crown Prosecution Service (cps.gov.uk)</w:t>
        </w:r>
      </w:hyperlink>
      <w:r w:rsidRPr="009E6EA9">
        <w:rPr>
          <w:rStyle w:val="Hyperlink"/>
          <w:sz w:val="22"/>
          <w:szCs w:val="22"/>
        </w:rPr>
        <w:t xml:space="preserve"> </w:t>
      </w:r>
      <w:r w:rsidRPr="009E6EA9">
        <w:rPr>
          <w:sz w:val="22"/>
          <w:szCs w:val="22"/>
        </w:rPr>
        <w:t>(Accessed on the 28</w:t>
      </w:r>
      <w:r w:rsidRPr="009E6EA9">
        <w:rPr>
          <w:sz w:val="22"/>
          <w:szCs w:val="22"/>
          <w:vertAlign w:val="superscript"/>
        </w:rPr>
        <w:t>th</w:t>
      </w:r>
      <w:r w:rsidRPr="009E6EA9">
        <w:rPr>
          <w:sz w:val="22"/>
          <w:szCs w:val="22"/>
        </w:rPr>
        <w:t xml:space="preserve"> July 2024)</w:t>
      </w:r>
    </w:p>
    <w:p w14:paraId="31ECF9C1" w14:textId="77777777" w:rsidR="006D7443" w:rsidRPr="009E6EA9" w:rsidRDefault="006D7443" w:rsidP="006D7443">
      <w:pPr>
        <w:overflowPunct/>
        <w:autoSpaceDE/>
        <w:autoSpaceDN/>
        <w:adjustRightInd/>
        <w:textAlignment w:val="auto"/>
        <w:rPr>
          <w:rStyle w:val="Hyperlink"/>
          <w:color w:val="000000" w:themeColor="text1"/>
          <w:sz w:val="22"/>
          <w:szCs w:val="22"/>
          <w:u w:val="none"/>
        </w:rPr>
      </w:pPr>
    </w:p>
    <w:p w14:paraId="6B361D21" w14:textId="77777777" w:rsidR="006D7443" w:rsidRPr="009E6EA9" w:rsidRDefault="006D7443" w:rsidP="006D7443">
      <w:pPr>
        <w:overflowPunct/>
        <w:autoSpaceDE/>
        <w:autoSpaceDN/>
        <w:adjustRightInd/>
        <w:textAlignment w:val="auto"/>
        <w:rPr>
          <w:sz w:val="22"/>
          <w:szCs w:val="22"/>
        </w:rPr>
      </w:pPr>
      <w:r w:rsidRPr="009E6EA9">
        <w:rPr>
          <w:sz w:val="22"/>
          <w:szCs w:val="22"/>
        </w:rPr>
        <w:t xml:space="preserve">Police and Criminal Evidence Act (1984), Code C. Available at </w:t>
      </w:r>
      <w:hyperlink r:id="rId48" w:history="1">
        <w:r w:rsidRPr="009E6EA9">
          <w:rPr>
            <w:rStyle w:val="Hyperlink"/>
            <w:sz w:val="22"/>
            <w:szCs w:val="22"/>
          </w:rPr>
          <w:t>PACE Code C 2019 (accessible) - GOV.UK (www.gov.uk)</w:t>
        </w:r>
      </w:hyperlink>
      <w:r w:rsidRPr="009E6EA9">
        <w:rPr>
          <w:sz w:val="22"/>
          <w:szCs w:val="22"/>
        </w:rPr>
        <w:t xml:space="preserve"> (Accessed on the 28</w:t>
      </w:r>
      <w:r w:rsidRPr="009E6EA9">
        <w:rPr>
          <w:sz w:val="22"/>
          <w:szCs w:val="22"/>
          <w:vertAlign w:val="superscript"/>
        </w:rPr>
        <w:t>th</w:t>
      </w:r>
      <w:r w:rsidRPr="009E6EA9">
        <w:rPr>
          <w:sz w:val="22"/>
          <w:szCs w:val="22"/>
        </w:rPr>
        <w:t xml:space="preserve"> July 2024)</w:t>
      </w:r>
    </w:p>
    <w:p w14:paraId="160867C9" w14:textId="77777777" w:rsidR="006D7443" w:rsidRPr="009E6EA9" w:rsidRDefault="006D7443" w:rsidP="006D7443">
      <w:pPr>
        <w:overflowPunct/>
        <w:autoSpaceDE/>
        <w:autoSpaceDN/>
        <w:adjustRightInd/>
        <w:textAlignment w:val="auto"/>
        <w:rPr>
          <w:sz w:val="22"/>
          <w:szCs w:val="22"/>
        </w:rPr>
      </w:pPr>
    </w:p>
    <w:p w14:paraId="5B8259F7" w14:textId="77777777" w:rsidR="006D7443" w:rsidRPr="009E6EA9" w:rsidRDefault="006D7443" w:rsidP="006D7443">
      <w:pPr>
        <w:rPr>
          <w:sz w:val="22"/>
          <w:szCs w:val="22"/>
        </w:rPr>
      </w:pPr>
      <w:r w:rsidRPr="009E6EA9">
        <w:rPr>
          <w:sz w:val="22"/>
          <w:szCs w:val="22"/>
        </w:rPr>
        <w:t xml:space="preserve">Police and Criminal Evidence Act 1984, Annex g. Available at </w:t>
      </w:r>
      <w:hyperlink r:id="rId49" w:history="1">
        <w:r w:rsidRPr="009E6EA9">
          <w:rPr>
            <w:rStyle w:val="Hyperlink"/>
            <w:sz w:val="22"/>
            <w:szCs w:val="22"/>
          </w:rPr>
          <w:t>PACE Code G 2012 - GOV.UK (www.gov.uk)</w:t>
        </w:r>
      </w:hyperlink>
      <w:r w:rsidRPr="009E6EA9">
        <w:rPr>
          <w:sz w:val="22"/>
          <w:szCs w:val="22"/>
        </w:rPr>
        <w:t xml:space="preserve"> (Accessed 25</w:t>
      </w:r>
      <w:r w:rsidRPr="009E6EA9">
        <w:rPr>
          <w:sz w:val="22"/>
          <w:szCs w:val="22"/>
          <w:vertAlign w:val="superscript"/>
        </w:rPr>
        <w:t>th</w:t>
      </w:r>
      <w:r w:rsidRPr="009E6EA9">
        <w:rPr>
          <w:sz w:val="22"/>
          <w:szCs w:val="22"/>
        </w:rPr>
        <w:t xml:space="preserve"> June 2024)</w:t>
      </w:r>
    </w:p>
    <w:p w14:paraId="63C3C70A" w14:textId="77777777" w:rsidR="006D7443" w:rsidRPr="009E6EA9" w:rsidRDefault="006D7443" w:rsidP="006D7443">
      <w:pPr>
        <w:overflowPunct/>
        <w:autoSpaceDE/>
        <w:autoSpaceDN/>
        <w:adjustRightInd/>
        <w:textAlignment w:val="auto"/>
        <w:rPr>
          <w:rStyle w:val="Hyperlink"/>
          <w:color w:val="000000" w:themeColor="text1"/>
          <w:sz w:val="22"/>
          <w:szCs w:val="22"/>
          <w:u w:val="none"/>
        </w:rPr>
      </w:pPr>
    </w:p>
    <w:p w14:paraId="6A864C99" w14:textId="20F49DED" w:rsidR="006D7443" w:rsidRPr="009E6EA9" w:rsidRDefault="006D7443" w:rsidP="006D7443">
      <w:pPr>
        <w:overflowPunct/>
        <w:autoSpaceDE/>
        <w:autoSpaceDN/>
        <w:adjustRightInd/>
        <w:textAlignment w:val="auto"/>
        <w:rPr>
          <w:rStyle w:val="Hyperlink"/>
          <w:color w:val="000000"/>
          <w:sz w:val="22"/>
          <w:szCs w:val="22"/>
          <w:u w:val="none"/>
        </w:rPr>
      </w:pPr>
      <w:r w:rsidRPr="009E6EA9">
        <w:rPr>
          <w:sz w:val="22"/>
          <w:szCs w:val="22"/>
        </w:rPr>
        <w:lastRenderedPageBreak/>
        <w:t xml:space="preserve">Police and Criminal Evidence Act (1984), s24. Available at </w:t>
      </w:r>
      <w:hyperlink r:id="rId50" w:history="1">
        <w:r w:rsidRPr="009E6EA9">
          <w:rPr>
            <w:rStyle w:val="Hyperlink"/>
            <w:sz w:val="22"/>
            <w:szCs w:val="22"/>
          </w:rPr>
          <w:t>Police and Criminal Evidence Act 1984 (legislation.gov.uk)</w:t>
        </w:r>
      </w:hyperlink>
      <w:r w:rsidRPr="009E6EA9">
        <w:rPr>
          <w:sz w:val="22"/>
          <w:szCs w:val="22"/>
        </w:rPr>
        <w:t xml:space="preserve"> (Accessed 28</w:t>
      </w:r>
      <w:r w:rsidRPr="009E6EA9">
        <w:rPr>
          <w:sz w:val="22"/>
          <w:szCs w:val="22"/>
          <w:vertAlign w:val="superscript"/>
        </w:rPr>
        <w:t>th</w:t>
      </w:r>
      <w:r w:rsidRPr="009E6EA9">
        <w:rPr>
          <w:sz w:val="22"/>
          <w:szCs w:val="22"/>
        </w:rPr>
        <w:t xml:space="preserve"> July 2024)</w:t>
      </w:r>
    </w:p>
    <w:p w14:paraId="3D357807" w14:textId="77777777" w:rsidR="006D7443" w:rsidRPr="009E6EA9" w:rsidRDefault="006D7443" w:rsidP="006D7443">
      <w:pPr>
        <w:overflowPunct/>
        <w:autoSpaceDE/>
        <w:autoSpaceDN/>
        <w:adjustRightInd/>
        <w:textAlignment w:val="auto"/>
        <w:rPr>
          <w:rStyle w:val="Hyperlink"/>
          <w:color w:val="000000" w:themeColor="text1"/>
          <w:sz w:val="22"/>
          <w:szCs w:val="22"/>
          <w:u w:val="none"/>
        </w:rPr>
      </w:pPr>
    </w:p>
    <w:p w14:paraId="474A7457" w14:textId="77777777" w:rsidR="006D7443" w:rsidRPr="009E6EA9" w:rsidRDefault="006D7443" w:rsidP="006D7443">
      <w:pPr>
        <w:ind w:right="237"/>
        <w:jc w:val="both"/>
        <w:rPr>
          <w:rStyle w:val="Hyperlink"/>
          <w:color w:val="000000" w:themeColor="text1"/>
          <w:sz w:val="22"/>
          <w:szCs w:val="22"/>
          <w:u w:val="none"/>
        </w:rPr>
      </w:pPr>
      <w:r w:rsidRPr="009E6EA9">
        <w:rPr>
          <w:color w:val="000000" w:themeColor="text1"/>
          <w:sz w:val="22"/>
          <w:szCs w:val="22"/>
        </w:rPr>
        <w:t xml:space="preserve">Public Prosecution Service (Date Unknown), Special Measures. Available at  </w:t>
      </w:r>
      <w:hyperlink r:id="rId51" w:anchor=":~:text=Video%20recorded%20evidence%20is%20a%20measure%20available%20for,played%20in%20court%20as%20the%20evidence%20in%20chief." w:history="1">
        <w:r w:rsidRPr="009E6EA9">
          <w:rPr>
            <w:rStyle w:val="Hyperlink"/>
            <w:sz w:val="22"/>
            <w:szCs w:val="22"/>
          </w:rPr>
          <w:t>Special Measures | Public Prosecution Service for Northern Ireland (ppsni.gov.uk)</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0E5E189B" w14:textId="77777777" w:rsidR="006D7443" w:rsidRPr="009E6EA9" w:rsidRDefault="006D7443" w:rsidP="006D7443">
      <w:pPr>
        <w:overflowPunct/>
        <w:autoSpaceDE/>
        <w:autoSpaceDN/>
        <w:adjustRightInd/>
        <w:textAlignment w:val="auto"/>
        <w:rPr>
          <w:sz w:val="22"/>
          <w:szCs w:val="22"/>
        </w:rPr>
      </w:pPr>
    </w:p>
    <w:p w14:paraId="4AE2B478" w14:textId="77777777" w:rsidR="006D7443" w:rsidRPr="009E6EA9" w:rsidRDefault="006D7443" w:rsidP="006D7443">
      <w:pPr>
        <w:ind w:right="237"/>
        <w:jc w:val="both"/>
        <w:rPr>
          <w:rStyle w:val="Hyperlink"/>
          <w:color w:val="000000" w:themeColor="text1"/>
          <w:sz w:val="22"/>
          <w:szCs w:val="22"/>
          <w:u w:val="none"/>
        </w:rPr>
      </w:pPr>
      <w:r w:rsidRPr="009E6EA9">
        <w:rPr>
          <w:rStyle w:val="Hyperlink"/>
          <w:color w:val="000000" w:themeColor="text1"/>
          <w:sz w:val="22"/>
          <w:szCs w:val="22"/>
          <w:u w:val="none"/>
        </w:rPr>
        <w:t xml:space="preserve">Sarah Bunn &amp; Penelope Brown (2018), Age of Criminal Responsibility. Available at </w:t>
      </w:r>
      <w:hyperlink r:id="rId52" w:anchor=":~:text=There%20is%20evidence%20that%20criminalising%20children%20does%20not,and%20have%20mental%20health%2C%20communication%20and%20learning%20difficulties." w:history="1">
        <w:r w:rsidRPr="009E6EA9">
          <w:rPr>
            <w:rStyle w:val="Hyperlink"/>
            <w:sz w:val="22"/>
            <w:szCs w:val="22"/>
          </w:rPr>
          <w:t>Age of Criminal Responsibility - POST (parliament.uk)</w:t>
        </w:r>
      </w:hyperlink>
      <w:r w:rsidRPr="009E6EA9">
        <w:rPr>
          <w:sz w:val="22"/>
          <w:szCs w:val="22"/>
        </w:rPr>
        <w:t xml:space="preserve"> </w:t>
      </w:r>
      <w:r w:rsidRPr="009E6EA9">
        <w:rPr>
          <w:rStyle w:val="Hyperlink"/>
          <w:color w:val="000000" w:themeColor="text1"/>
          <w:sz w:val="22"/>
          <w:szCs w:val="22"/>
          <w:u w:val="none"/>
        </w:rPr>
        <w:t>(Accessed 28</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76324857" w14:textId="77777777" w:rsidR="006D7443" w:rsidRPr="009E6EA9" w:rsidRDefault="006D7443" w:rsidP="006D7443">
      <w:pPr>
        <w:rPr>
          <w:sz w:val="22"/>
          <w:szCs w:val="22"/>
        </w:rPr>
      </w:pPr>
    </w:p>
    <w:p w14:paraId="020E2F44" w14:textId="77777777" w:rsidR="006D7443" w:rsidRPr="009E6EA9" w:rsidRDefault="006D7443" w:rsidP="006D7443">
      <w:pPr>
        <w:rPr>
          <w:color w:val="232323"/>
          <w:sz w:val="22"/>
          <w:szCs w:val="22"/>
          <w:shd w:val="clear" w:color="auto" w:fill="FFFFFF"/>
        </w:rPr>
      </w:pPr>
      <w:r w:rsidRPr="009E6EA9">
        <w:rPr>
          <w:sz w:val="22"/>
          <w:szCs w:val="22"/>
        </w:rPr>
        <w:t>The Kolb Cycle (</w:t>
      </w:r>
      <w:r w:rsidRPr="009E6EA9">
        <w:rPr>
          <w:color w:val="232323"/>
          <w:sz w:val="22"/>
          <w:szCs w:val="22"/>
          <w:shd w:val="clear" w:color="auto" w:fill="FFFFFF"/>
        </w:rPr>
        <w:t>Kolb, D. A. (1984). Experiential Learning: Experience as the Source of Learning and Development. Englewood Cliffs, NJ: Prentice Hall</w:t>
      </w:r>
    </w:p>
    <w:p w14:paraId="09A91390" w14:textId="77777777" w:rsidR="009E6EA9" w:rsidRPr="009E6EA9" w:rsidRDefault="009E6EA9" w:rsidP="006D7443">
      <w:pPr>
        <w:rPr>
          <w:color w:val="232323"/>
          <w:sz w:val="22"/>
          <w:szCs w:val="22"/>
          <w:shd w:val="clear" w:color="auto" w:fill="FFFFFF"/>
        </w:rPr>
      </w:pPr>
    </w:p>
    <w:p w14:paraId="291BA434" w14:textId="77777777" w:rsidR="009E6EA9" w:rsidRPr="009E6EA9" w:rsidRDefault="009E6EA9" w:rsidP="009E6EA9">
      <w:pPr>
        <w:overflowPunct/>
        <w:autoSpaceDE/>
        <w:autoSpaceDN/>
        <w:adjustRightInd/>
        <w:textAlignment w:val="auto"/>
        <w:rPr>
          <w:rStyle w:val="Hyperlink"/>
          <w:color w:val="000000" w:themeColor="text1"/>
          <w:sz w:val="22"/>
          <w:szCs w:val="22"/>
          <w:u w:val="none"/>
        </w:rPr>
      </w:pPr>
      <w:r w:rsidRPr="009E6EA9">
        <w:rPr>
          <w:sz w:val="22"/>
          <w:szCs w:val="22"/>
        </w:rPr>
        <w:t xml:space="preserve">Victim Support (Date unknown), What Special Measures are Right for Me. Available at </w:t>
      </w:r>
      <w:hyperlink r:id="rId53" w:history="1">
        <w:r w:rsidRPr="009E6EA9">
          <w:rPr>
            <w:rStyle w:val="Hyperlink"/>
            <w:sz w:val="22"/>
            <w:szCs w:val="22"/>
          </w:rPr>
          <w:t>What special measures are right for me? - Victim Support</w:t>
        </w:r>
      </w:hyperlink>
      <w:r w:rsidRPr="009E6EA9">
        <w:rPr>
          <w:rStyle w:val="Hyperlink"/>
          <w:sz w:val="22"/>
          <w:szCs w:val="22"/>
        </w:rPr>
        <w:t xml:space="preserve"> </w:t>
      </w:r>
      <w:r w:rsidRPr="009E6EA9">
        <w:rPr>
          <w:rStyle w:val="Hyperlink"/>
          <w:color w:val="000000" w:themeColor="text1"/>
          <w:sz w:val="22"/>
          <w:szCs w:val="22"/>
          <w:u w:val="none"/>
        </w:rPr>
        <w:t>(Accessed 16</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04E6E63F" w14:textId="77777777" w:rsidR="009E6EA9" w:rsidRPr="009E6EA9" w:rsidRDefault="009E6EA9" w:rsidP="006D7443">
      <w:pPr>
        <w:rPr>
          <w:rStyle w:val="Hyperlink"/>
          <w:color w:val="000000"/>
          <w:sz w:val="22"/>
          <w:szCs w:val="22"/>
          <w:u w:val="none"/>
        </w:rPr>
      </w:pPr>
    </w:p>
    <w:p w14:paraId="7EF535E6" w14:textId="46EAF11F" w:rsidR="009E6EA9" w:rsidRPr="009E6EA9" w:rsidRDefault="009E6EA9" w:rsidP="009E6EA9">
      <w:pPr>
        <w:ind w:right="107"/>
        <w:jc w:val="both"/>
        <w:rPr>
          <w:rStyle w:val="Hyperlink"/>
          <w:color w:val="000000" w:themeColor="text1"/>
          <w:sz w:val="22"/>
          <w:szCs w:val="22"/>
          <w:u w:val="none"/>
          <w:shd w:val="clear" w:color="auto" w:fill="FFFFFF"/>
        </w:rPr>
      </w:pPr>
      <w:r w:rsidRPr="009E6EA9">
        <w:rPr>
          <w:color w:val="232323"/>
          <w:sz w:val="22"/>
          <w:szCs w:val="22"/>
          <w:shd w:val="clear" w:color="auto" w:fill="FFFFFF"/>
        </w:rPr>
        <w:t xml:space="preserve">Wales Safeguarding Procedure (2021) and Children Act 1989, Section 5. Available at </w:t>
      </w:r>
      <w:hyperlink r:id="rId54" w:history="1">
        <w:r w:rsidRPr="009E6EA9">
          <w:rPr>
            <w:color w:val="0000FF"/>
            <w:sz w:val="22"/>
            <w:szCs w:val="22"/>
            <w:u w:val="single"/>
          </w:rPr>
          <w:t>Safeguarding Wales</w:t>
        </w:r>
      </w:hyperlink>
      <w:r w:rsidRPr="009E6EA9">
        <w:rPr>
          <w:color w:val="0000FF"/>
          <w:sz w:val="22"/>
          <w:szCs w:val="22"/>
          <w:u w:val="single"/>
        </w:rPr>
        <w:t xml:space="preserve"> </w:t>
      </w:r>
      <w:r w:rsidRPr="009E6EA9">
        <w:rPr>
          <w:color w:val="000000" w:themeColor="text1"/>
          <w:sz w:val="22"/>
          <w:szCs w:val="22"/>
        </w:rPr>
        <w:t>(Accessed 16</w:t>
      </w:r>
      <w:r w:rsidRPr="009E6EA9">
        <w:rPr>
          <w:color w:val="000000" w:themeColor="text1"/>
          <w:sz w:val="22"/>
          <w:szCs w:val="22"/>
          <w:vertAlign w:val="superscript"/>
        </w:rPr>
        <w:t>th</w:t>
      </w:r>
      <w:r w:rsidRPr="009E6EA9">
        <w:rPr>
          <w:color w:val="000000" w:themeColor="text1"/>
          <w:sz w:val="22"/>
          <w:szCs w:val="22"/>
        </w:rPr>
        <w:t xml:space="preserve"> July 2024)</w:t>
      </w:r>
    </w:p>
    <w:p w14:paraId="7CD94AFD" w14:textId="77777777" w:rsidR="006D7443" w:rsidRPr="009E6EA9" w:rsidRDefault="006D7443" w:rsidP="006D7443">
      <w:pPr>
        <w:ind w:right="237"/>
        <w:jc w:val="both"/>
        <w:rPr>
          <w:color w:val="000000" w:themeColor="text1"/>
          <w:sz w:val="22"/>
          <w:szCs w:val="22"/>
        </w:rPr>
      </w:pPr>
    </w:p>
    <w:p w14:paraId="371EC6B8" w14:textId="77777777" w:rsidR="006D7443" w:rsidRPr="009E6EA9" w:rsidRDefault="006D7443" w:rsidP="006D7443">
      <w:pPr>
        <w:ind w:right="237"/>
        <w:jc w:val="both"/>
        <w:rPr>
          <w:color w:val="000000" w:themeColor="text1"/>
          <w:sz w:val="22"/>
          <w:szCs w:val="22"/>
        </w:rPr>
      </w:pPr>
      <w:r w:rsidRPr="009E6EA9">
        <w:rPr>
          <w:color w:val="000000" w:themeColor="text1"/>
          <w:sz w:val="22"/>
          <w:szCs w:val="22"/>
        </w:rPr>
        <w:t xml:space="preserve">Youth Justice and Criminal Evidence Act 1999, s16 and s17. Available at </w:t>
      </w:r>
      <w:hyperlink r:id="rId55" w:anchor=":~:text=Sections%2016%20and%2017%3A%20Eligible%20witnesses%2082.Witnesses%20other,in%20criminal%20proceedings%20if%3A%20they%20are%20under%2017%3B" w:history="1">
        <w:r w:rsidRPr="009E6EA9">
          <w:rPr>
            <w:rStyle w:val="Hyperlink"/>
            <w:sz w:val="22"/>
            <w:szCs w:val="22"/>
          </w:rPr>
          <w:t>Youth Justice and Criminal Evidence Act 1999 - Explanatory Notes (legislation.gov.uk)</w:t>
        </w:r>
      </w:hyperlink>
      <w:r w:rsidRPr="009E6EA9">
        <w:rPr>
          <w:color w:val="000000" w:themeColor="text1"/>
          <w:sz w:val="22"/>
          <w:szCs w:val="22"/>
        </w:rPr>
        <w:t xml:space="preserve"> (Accessed 28</w:t>
      </w:r>
      <w:r w:rsidRPr="009E6EA9">
        <w:rPr>
          <w:color w:val="000000" w:themeColor="text1"/>
          <w:sz w:val="22"/>
          <w:szCs w:val="22"/>
          <w:vertAlign w:val="superscript"/>
        </w:rPr>
        <w:t>th</w:t>
      </w:r>
      <w:r w:rsidRPr="009E6EA9">
        <w:rPr>
          <w:color w:val="000000" w:themeColor="text1"/>
          <w:sz w:val="22"/>
          <w:szCs w:val="22"/>
        </w:rPr>
        <w:t xml:space="preserve"> July 2024)</w:t>
      </w:r>
    </w:p>
    <w:p w14:paraId="32BA4F98" w14:textId="77777777" w:rsidR="006D7443" w:rsidRPr="009E6EA9" w:rsidRDefault="006D7443" w:rsidP="006D7443">
      <w:pPr>
        <w:ind w:right="237"/>
        <w:jc w:val="both"/>
        <w:rPr>
          <w:color w:val="000000" w:themeColor="text1"/>
          <w:sz w:val="22"/>
          <w:szCs w:val="22"/>
        </w:rPr>
      </w:pPr>
    </w:p>
    <w:p w14:paraId="74C85B01" w14:textId="635B63DD" w:rsidR="006D7443" w:rsidRPr="009E6EA9" w:rsidRDefault="006D7443" w:rsidP="006D7443">
      <w:pPr>
        <w:ind w:right="237"/>
        <w:jc w:val="both"/>
        <w:rPr>
          <w:rStyle w:val="Hyperlink"/>
          <w:color w:val="000000" w:themeColor="text1"/>
          <w:sz w:val="22"/>
          <w:szCs w:val="22"/>
          <w:u w:val="none"/>
        </w:rPr>
      </w:pPr>
      <w:r w:rsidRPr="009E6EA9">
        <w:rPr>
          <w:color w:val="000000" w:themeColor="text1"/>
          <w:sz w:val="22"/>
          <w:szCs w:val="22"/>
        </w:rPr>
        <w:t xml:space="preserve">Youth Justice and Criminal Evidence Act 1999, s16. Available at </w:t>
      </w:r>
      <w:hyperlink r:id="rId56" w:history="1">
        <w:r w:rsidRPr="009E6EA9">
          <w:rPr>
            <w:rStyle w:val="Hyperlink"/>
            <w:sz w:val="22"/>
            <w:szCs w:val="22"/>
          </w:rPr>
          <w:t>Youth Justice and Criminal Evidence Act 1999 (legislation.gov.uk)</w:t>
        </w:r>
      </w:hyperlink>
      <w:r w:rsidRPr="009E6EA9">
        <w:rPr>
          <w:color w:val="000000" w:themeColor="text1"/>
          <w:sz w:val="22"/>
          <w:szCs w:val="22"/>
        </w:rPr>
        <w:t xml:space="preserve"> (Accessed 28</w:t>
      </w:r>
      <w:r w:rsidRPr="009E6EA9">
        <w:rPr>
          <w:color w:val="000000" w:themeColor="text1"/>
          <w:sz w:val="22"/>
          <w:szCs w:val="22"/>
          <w:vertAlign w:val="superscript"/>
        </w:rPr>
        <w:t>th</w:t>
      </w:r>
      <w:r w:rsidRPr="009E6EA9">
        <w:rPr>
          <w:color w:val="000000" w:themeColor="text1"/>
          <w:sz w:val="22"/>
          <w:szCs w:val="22"/>
        </w:rPr>
        <w:t xml:space="preserve"> July 2024)</w:t>
      </w:r>
    </w:p>
    <w:p w14:paraId="45583DF5" w14:textId="77777777" w:rsidR="006D7443" w:rsidRPr="009E6EA9" w:rsidRDefault="006D7443" w:rsidP="006D7443">
      <w:pPr>
        <w:ind w:right="237"/>
        <w:jc w:val="both"/>
        <w:rPr>
          <w:rStyle w:val="Hyperlink"/>
          <w:color w:val="000000" w:themeColor="text1"/>
          <w:sz w:val="22"/>
          <w:szCs w:val="22"/>
          <w:u w:val="none"/>
        </w:rPr>
      </w:pPr>
      <w:r w:rsidRPr="009E6EA9">
        <w:rPr>
          <w:rStyle w:val="Strong"/>
          <w:b w:val="0"/>
          <w:bCs w:val="0"/>
          <w:color w:val="1E1E1E"/>
          <w:sz w:val="22"/>
          <w:szCs w:val="22"/>
          <w:shd w:val="clear" w:color="auto" w:fill="FFFFFF"/>
        </w:rPr>
        <w:t xml:space="preserve">Unisef (2022), The Right to Education, UN Convention on the Rights of the Child, </w:t>
      </w:r>
      <w:r w:rsidRPr="009E6EA9">
        <w:rPr>
          <w:sz w:val="22"/>
          <w:szCs w:val="22"/>
        </w:rPr>
        <w:t xml:space="preserve">Articles 28 and 29 of the Convention on the Rights of the Child </w:t>
      </w:r>
      <w:r w:rsidRPr="009E6EA9">
        <w:rPr>
          <w:rStyle w:val="Hyperlink"/>
          <w:color w:val="000000" w:themeColor="text1"/>
          <w:sz w:val="22"/>
          <w:szCs w:val="22"/>
          <w:u w:val="none"/>
        </w:rPr>
        <w:t xml:space="preserve">Available at </w:t>
      </w:r>
      <w:hyperlink r:id="rId57" w:history="1">
        <w:r w:rsidRPr="009E6EA9">
          <w:rPr>
            <w:rStyle w:val="Hyperlink"/>
            <w:sz w:val="22"/>
            <w:szCs w:val="22"/>
          </w:rPr>
          <w:t>The Right to Education - UNICEF UK</w:t>
        </w:r>
      </w:hyperlink>
      <w:r w:rsidRPr="009E6EA9">
        <w:rPr>
          <w:rStyle w:val="Hyperlink"/>
          <w:sz w:val="22"/>
          <w:szCs w:val="22"/>
        </w:rPr>
        <w:t xml:space="preserve"> – </w:t>
      </w:r>
      <w:r w:rsidRPr="009E6EA9">
        <w:rPr>
          <w:rStyle w:val="Hyperlink"/>
          <w:color w:val="000000" w:themeColor="text1"/>
          <w:sz w:val="22"/>
          <w:szCs w:val="22"/>
          <w:u w:val="none"/>
        </w:rPr>
        <w:t>(Accessed 28</w:t>
      </w:r>
      <w:r w:rsidRPr="009E6EA9">
        <w:rPr>
          <w:rStyle w:val="Hyperlink"/>
          <w:color w:val="000000" w:themeColor="text1"/>
          <w:sz w:val="22"/>
          <w:szCs w:val="22"/>
          <w:u w:val="none"/>
          <w:vertAlign w:val="superscript"/>
        </w:rPr>
        <w:t>th</w:t>
      </w:r>
      <w:r w:rsidRPr="009E6EA9">
        <w:rPr>
          <w:rStyle w:val="Hyperlink"/>
          <w:color w:val="000000" w:themeColor="text1"/>
          <w:sz w:val="22"/>
          <w:szCs w:val="22"/>
          <w:u w:val="none"/>
        </w:rPr>
        <w:t xml:space="preserve"> July 2024)</w:t>
      </w:r>
    </w:p>
    <w:p w14:paraId="445B8CAA" w14:textId="7B153B4A" w:rsidR="00AD6E64" w:rsidRDefault="00AD6E64" w:rsidP="00EA28F1">
      <w:pPr>
        <w:keepNext/>
        <w:spacing w:before="240" w:after="60"/>
        <w:ind w:right="237"/>
        <w:jc w:val="both"/>
        <w:rPr>
          <w:sz w:val="24"/>
          <w:szCs w:val="24"/>
        </w:rPr>
      </w:pPr>
    </w:p>
    <w:p w14:paraId="613C941F" w14:textId="77777777" w:rsidR="00AD6E64" w:rsidRDefault="00AD6E64" w:rsidP="00EA28F1">
      <w:pPr>
        <w:keepNext/>
        <w:spacing w:before="240" w:after="60"/>
        <w:ind w:right="237"/>
        <w:jc w:val="both"/>
        <w:rPr>
          <w:sz w:val="24"/>
          <w:szCs w:val="24"/>
        </w:rPr>
      </w:pPr>
    </w:p>
    <w:p w14:paraId="000026BA" w14:textId="77777777" w:rsidR="00AD6E64" w:rsidRDefault="00AD6E64" w:rsidP="00EA28F1">
      <w:pPr>
        <w:keepNext/>
        <w:spacing w:before="240" w:after="60"/>
        <w:ind w:right="237"/>
        <w:jc w:val="both"/>
      </w:pPr>
    </w:p>
    <w:sectPr w:rsidR="00AD6E6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4C20B" w14:textId="77777777" w:rsidR="0087301D" w:rsidRDefault="0087301D">
      <w:r>
        <w:separator/>
      </w:r>
    </w:p>
  </w:endnote>
  <w:endnote w:type="continuationSeparator" w:id="0">
    <w:p w14:paraId="02202E00" w14:textId="77777777" w:rsidR="0087301D" w:rsidRDefault="0087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313C" w14:textId="77777777" w:rsidR="0087301D" w:rsidRDefault="0087301D">
      <w:r>
        <w:separator/>
      </w:r>
    </w:p>
  </w:footnote>
  <w:footnote w:type="continuationSeparator" w:id="0">
    <w:p w14:paraId="252EAB67" w14:textId="77777777" w:rsidR="0087301D" w:rsidRDefault="00873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86F42B6"/>
    <w:multiLevelType w:val="multilevel"/>
    <w:tmpl w:val="2362D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4D5CD4"/>
    <w:multiLevelType w:val="hybridMultilevel"/>
    <w:tmpl w:val="121E7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06AF8"/>
    <w:multiLevelType w:val="hybridMultilevel"/>
    <w:tmpl w:val="D0DC2086"/>
    <w:lvl w:ilvl="0" w:tplc="9B28D6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178DF"/>
    <w:multiLevelType w:val="multilevel"/>
    <w:tmpl w:val="98CC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303C1F"/>
    <w:multiLevelType w:val="multilevel"/>
    <w:tmpl w:val="54883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712730"/>
    <w:multiLevelType w:val="hybridMultilevel"/>
    <w:tmpl w:val="404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9C6AE8"/>
    <w:multiLevelType w:val="multilevel"/>
    <w:tmpl w:val="1D4C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A23145"/>
    <w:multiLevelType w:val="hybridMultilevel"/>
    <w:tmpl w:val="D600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1279A2"/>
    <w:multiLevelType w:val="hybridMultilevel"/>
    <w:tmpl w:val="3AFC4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4"/>
  </w:num>
  <w:num w:numId="3" w16cid:durableId="1573000687">
    <w:abstractNumId w:val="12"/>
  </w:num>
  <w:num w:numId="4" w16cid:durableId="66197777">
    <w:abstractNumId w:val="10"/>
  </w:num>
  <w:num w:numId="5" w16cid:durableId="54592622">
    <w:abstractNumId w:val="13"/>
  </w:num>
  <w:num w:numId="6" w16cid:durableId="436021845">
    <w:abstractNumId w:val="7"/>
  </w:num>
  <w:num w:numId="7" w16cid:durableId="1378894006">
    <w:abstractNumId w:val="3"/>
  </w:num>
  <w:num w:numId="8" w16cid:durableId="1323435791">
    <w:abstractNumId w:val="8"/>
  </w:num>
  <w:num w:numId="9" w16cid:durableId="465322590">
    <w:abstractNumId w:val="9"/>
  </w:num>
  <w:num w:numId="10" w16cid:durableId="1511792170">
    <w:abstractNumId w:val="11"/>
  </w:num>
  <w:num w:numId="11" w16cid:durableId="1790583390">
    <w:abstractNumId w:val="2"/>
  </w:num>
  <w:num w:numId="12" w16cid:durableId="810488702">
    <w:abstractNumId w:val="5"/>
  </w:num>
  <w:num w:numId="13" w16cid:durableId="176041228">
    <w:abstractNumId w:val="6"/>
  </w:num>
  <w:num w:numId="14" w16cid:durableId="179687188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8BD"/>
    <w:rsid w:val="00003990"/>
    <w:rsid w:val="000045B8"/>
    <w:rsid w:val="00007983"/>
    <w:rsid w:val="00020EEC"/>
    <w:rsid w:val="00025650"/>
    <w:rsid w:val="00026FAB"/>
    <w:rsid w:val="00027B1F"/>
    <w:rsid w:val="0003088B"/>
    <w:rsid w:val="000325D9"/>
    <w:rsid w:val="000372B2"/>
    <w:rsid w:val="0004079F"/>
    <w:rsid w:val="0004548B"/>
    <w:rsid w:val="00045B87"/>
    <w:rsid w:val="00045C07"/>
    <w:rsid w:val="00055D43"/>
    <w:rsid w:val="00056FAC"/>
    <w:rsid w:val="00057751"/>
    <w:rsid w:val="00062E39"/>
    <w:rsid w:val="0006580E"/>
    <w:rsid w:val="00080E58"/>
    <w:rsid w:val="00083D99"/>
    <w:rsid w:val="00084EA6"/>
    <w:rsid w:val="00085699"/>
    <w:rsid w:val="00087454"/>
    <w:rsid w:val="00087891"/>
    <w:rsid w:val="00091F52"/>
    <w:rsid w:val="00092970"/>
    <w:rsid w:val="00092BC7"/>
    <w:rsid w:val="00093720"/>
    <w:rsid w:val="000938E6"/>
    <w:rsid w:val="00093B3C"/>
    <w:rsid w:val="0009488C"/>
    <w:rsid w:val="00095C1B"/>
    <w:rsid w:val="00096DEA"/>
    <w:rsid w:val="0009784E"/>
    <w:rsid w:val="000A00A1"/>
    <w:rsid w:val="000A4240"/>
    <w:rsid w:val="000A4583"/>
    <w:rsid w:val="000A469A"/>
    <w:rsid w:val="000B14E5"/>
    <w:rsid w:val="000B1E96"/>
    <w:rsid w:val="000C053F"/>
    <w:rsid w:val="000C378F"/>
    <w:rsid w:val="000C554A"/>
    <w:rsid w:val="000C6892"/>
    <w:rsid w:val="000C6FFE"/>
    <w:rsid w:val="000C7856"/>
    <w:rsid w:val="000D0BB6"/>
    <w:rsid w:val="000E26B0"/>
    <w:rsid w:val="000F1599"/>
    <w:rsid w:val="000F1769"/>
    <w:rsid w:val="000F2BE2"/>
    <w:rsid w:val="000F6196"/>
    <w:rsid w:val="000F7ECD"/>
    <w:rsid w:val="00102E64"/>
    <w:rsid w:val="0010312C"/>
    <w:rsid w:val="00106C3B"/>
    <w:rsid w:val="00106DC7"/>
    <w:rsid w:val="00112391"/>
    <w:rsid w:val="00114F52"/>
    <w:rsid w:val="0012135C"/>
    <w:rsid w:val="00130E83"/>
    <w:rsid w:val="001347F8"/>
    <w:rsid w:val="00137BB5"/>
    <w:rsid w:val="00137E05"/>
    <w:rsid w:val="001447F6"/>
    <w:rsid w:val="00147DE3"/>
    <w:rsid w:val="00150794"/>
    <w:rsid w:val="001608C4"/>
    <w:rsid w:val="0016352E"/>
    <w:rsid w:val="00171418"/>
    <w:rsid w:val="00190913"/>
    <w:rsid w:val="00195BB6"/>
    <w:rsid w:val="001961CF"/>
    <w:rsid w:val="001A59BB"/>
    <w:rsid w:val="001A5E13"/>
    <w:rsid w:val="001A6A51"/>
    <w:rsid w:val="001A79C4"/>
    <w:rsid w:val="001B2D23"/>
    <w:rsid w:val="001B331A"/>
    <w:rsid w:val="001C0E74"/>
    <w:rsid w:val="001C6CEC"/>
    <w:rsid w:val="001D229F"/>
    <w:rsid w:val="001D6162"/>
    <w:rsid w:val="001E533C"/>
    <w:rsid w:val="001E6FAD"/>
    <w:rsid w:val="001E7592"/>
    <w:rsid w:val="001F3878"/>
    <w:rsid w:val="001F4552"/>
    <w:rsid w:val="001F52F9"/>
    <w:rsid w:val="002019EB"/>
    <w:rsid w:val="002030F2"/>
    <w:rsid w:val="00205051"/>
    <w:rsid w:val="00211695"/>
    <w:rsid w:val="00211F65"/>
    <w:rsid w:val="00213A97"/>
    <w:rsid w:val="0022001B"/>
    <w:rsid w:val="00220D06"/>
    <w:rsid w:val="002219BA"/>
    <w:rsid w:val="002243AB"/>
    <w:rsid w:val="002246A0"/>
    <w:rsid w:val="00224AF9"/>
    <w:rsid w:val="00224FC1"/>
    <w:rsid w:val="00230439"/>
    <w:rsid w:val="002326B2"/>
    <w:rsid w:val="00233124"/>
    <w:rsid w:val="00235176"/>
    <w:rsid w:val="00236061"/>
    <w:rsid w:val="0024100E"/>
    <w:rsid w:val="00241C1B"/>
    <w:rsid w:val="002423B2"/>
    <w:rsid w:val="0024288B"/>
    <w:rsid w:val="00255D8E"/>
    <w:rsid w:val="00264AEB"/>
    <w:rsid w:val="002657E9"/>
    <w:rsid w:val="0026665E"/>
    <w:rsid w:val="00270179"/>
    <w:rsid w:val="00270638"/>
    <w:rsid w:val="00270EEB"/>
    <w:rsid w:val="0027147E"/>
    <w:rsid w:val="00274DE8"/>
    <w:rsid w:val="002761F4"/>
    <w:rsid w:val="002775E1"/>
    <w:rsid w:val="00277979"/>
    <w:rsid w:val="002808EB"/>
    <w:rsid w:val="0028095D"/>
    <w:rsid w:val="00280FA0"/>
    <w:rsid w:val="00283D2B"/>
    <w:rsid w:val="00291ADD"/>
    <w:rsid w:val="00294868"/>
    <w:rsid w:val="00295658"/>
    <w:rsid w:val="00295CA1"/>
    <w:rsid w:val="002A291A"/>
    <w:rsid w:val="002A46B5"/>
    <w:rsid w:val="002A5604"/>
    <w:rsid w:val="002B1701"/>
    <w:rsid w:val="002B23C3"/>
    <w:rsid w:val="002B443A"/>
    <w:rsid w:val="002B5261"/>
    <w:rsid w:val="002B5B35"/>
    <w:rsid w:val="002C256A"/>
    <w:rsid w:val="002C496D"/>
    <w:rsid w:val="002D05EB"/>
    <w:rsid w:val="002D25E7"/>
    <w:rsid w:val="002D2806"/>
    <w:rsid w:val="002D2F29"/>
    <w:rsid w:val="002D2FD3"/>
    <w:rsid w:val="002E7017"/>
    <w:rsid w:val="002F4106"/>
    <w:rsid w:val="002F4F6E"/>
    <w:rsid w:val="003015C3"/>
    <w:rsid w:val="0030698D"/>
    <w:rsid w:val="003078BE"/>
    <w:rsid w:val="0031350A"/>
    <w:rsid w:val="00314997"/>
    <w:rsid w:val="00316815"/>
    <w:rsid w:val="003168CA"/>
    <w:rsid w:val="00321255"/>
    <w:rsid w:val="0032230D"/>
    <w:rsid w:val="00322A0B"/>
    <w:rsid w:val="00332F54"/>
    <w:rsid w:val="00335FC5"/>
    <w:rsid w:val="00340E9A"/>
    <w:rsid w:val="00347519"/>
    <w:rsid w:val="003516C0"/>
    <w:rsid w:val="00352E59"/>
    <w:rsid w:val="00354DBE"/>
    <w:rsid w:val="00355210"/>
    <w:rsid w:val="003555D5"/>
    <w:rsid w:val="003638FB"/>
    <w:rsid w:val="00364072"/>
    <w:rsid w:val="00365DF9"/>
    <w:rsid w:val="0036668D"/>
    <w:rsid w:val="00372DB4"/>
    <w:rsid w:val="0037490C"/>
    <w:rsid w:val="00374BCC"/>
    <w:rsid w:val="00375AF5"/>
    <w:rsid w:val="003761BD"/>
    <w:rsid w:val="003769F6"/>
    <w:rsid w:val="00382848"/>
    <w:rsid w:val="00385414"/>
    <w:rsid w:val="00390074"/>
    <w:rsid w:val="003901DD"/>
    <w:rsid w:val="00393159"/>
    <w:rsid w:val="003932F2"/>
    <w:rsid w:val="00394EC2"/>
    <w:rsid w:val="0039752A"/>
    <w:rsid w:val="0039762B"/>
    <w:rsid w:val="003A0C37"/>
    <w:rsid w:val="003A1B6B"/>
    <w:rsid w:val="003A2F82"/>
    <w:rsid w:val="003A46C0"/>
    <w:rsid w:val="003A600E"/>
    <w:rsid w:val="003A6513"/>
    <w:rsid w:val="003B16C7"/>
    <w:rsid w:val="003B48F0"/>
    <w:rsid w:val="003C19F1"/>
    <w:rsid w:val="003C31EA"/>
    <w:rsid w:val="003C4186"/>
    <w:rsid w:val="003C458C"/>
    <w:rsid w:val="003C6185"/>
    <w:rsid w:val="003D0D2D"/>
    <w:rsid w:val="003D4710"/>
    <w:rsid w:val="003E16D7"/>
    <w:rsid w:val="003E197E"/>
    <w:rsid w:val="00400D81"/>
    <w:rsid w:val="004046F0"/>
    <w:rsid w:val="00405424"/>
    <w:rsid w:val="0040668F"/>
    <w:rsid w:val="00412677"/>
    <w:rsid w:val="00417925"/>
    <w:rsid w:val="00421F80"/>
    <w:rsid w:val="004348AE"/>
    <w:rsid w:val="00435E9A"/>
    <w:rsid w:val="004376C0"/>
    <w:rsid w:val="0044115F"/>
    <w:rsid w:val="0044223A"/>
    <w:rsid w:val="00446792"/>
    <w:rsid w:val="00446B81"/>
    <w:rsid w:val="00446F80"/>
    <w:rsid w:val="00450C83"/>
    <w:rsid w:val="00451851"/>
    <w:rsid w:val="00453343"/>
    <w:rsid w:val="004606E2"/>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97331"/>
    <w:rsid w:val="004A07F1"/>
    <w:rsid w:val="004A14C4"/>
    <w:rsid w:val="004A1AF2"/>
    <w:rsid w:val="004A2A49"/>
    <w:rsid w:val="004B600B"/>
    <w:rsid w:val="004B6822"/>
    <w:rsid w:val="004B69F6"/>
    <w:rsid w:val="004C2D3A"/>
    <w:rsid w:val="004D03C4"/>
    <w:rsid w:val="004D0BF1"/>
    <w:rsid w:val="004D24D2"/>
    <w:rsid w:val="004D35A4"/>
    <w:rsid w:val="004D41D9"/>
    <w:rsid w:val="004D445F"/>
    <w:rsid w:val="004D4F74"/>
    <w:rsid w:val="004D7EE4"/>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1A0B"/>
    <w:rsid w:val="00544C51"/>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3F6"/>
    <w:rsid w:val="00593D00"/>
    <w:rsid w:val="005A1B4C"/>
    <w:rsid w:val="005A1BA3"/>
    <w:rsid w:val="005A545C"/>
    <w:rsid w:val="005B41B8"/>
    <w:rsid w:val="005C0E4F"/>
    <w:rsid w:val="005C1567"/>
    <w:rsid w:val="005C665B"/>
    <w:rsid w:val="005C6CE5"/>
    <w:rsid w:val="005C76DE"/>
    <w:rsid w:val="005D3F07"/>
    <w:rsid w:val="005D583E"/>
    <w:rsid w:val="005D5BA9"/>
    <w:rsid w:val="005E13EA"/>
    <w:rsid w:val="005E3227"/>
    <w:rsid w:val="005E53BD"/>
    <w:rsid w:val="005F675F"/>
    <w:rsid w:val="00606E27"/>
    <w:rsid w:val="006108C9"/>
    <w:rsid w:val="00612F40"/>
    <w:rsid w:val="00614395"/>
    <w:rsid w:val="00615C7E"/>
    <w:rsid w:val="0062158D"/>
    <w:rsid w:val="0062480E"/>
    <w:rsid w:val="00627FA1"/>
    <w:rsid w:val="00630F39"/>
    <w:rsid w:val="006326D1"/>
    <w:rsid w:val="00632E0A"/>
    <w:rsid w:val="00633165"/>
    <w:rsid w:val="00636B6C"/>
    <w:rsid w:val="006447DE"/>
    <w:rsid w:val="0065276E"/>
    <w:rsid w:val="00654329"/>
    <w:rsid w:val="00654CEC"/>
    <w:rsid w:val="00654D46"/>
    <w:rsid w:val="00655507"/>
    <w:rsid w:val="006605AA"/>
    <w:rsid w:val="006712A7"/>
    <w:rsid w:val="006733CC"/>
    <w:rsid w:val="00674FC2"/>
    <w:rsid w:val="00677E42"/>
    <w:rsid w:val="00682334"/>
    <w:rsid w:val="00684B16"/>
    <w:rsid w:val="00694C00"/>
    <w:rsid w:val="00696F65"/>
    <w:rsid w:val="006A4159"/>
    <w:rsid w:val="006A7A6D"/>
    <w:rsid w:val="006B1D1E"/>
    <w:rsid w:val="006B5E67"/>
    <w:rsid w:val="006B6628"/>
    <w:rsid w:val="006C2EB5"/>
    <w:rsid w:val="006C3F19"/>
    <w:rsid w:val="006D18A3"/>
    <w:rsid w:val="006D5970"/>
    <w:rsid w:val="006D5D51"/>
    <w:rsid w:val="006D7443"/>
    <w:rsid w:val="006E481E"/>
    <w:rsid w:val="006E795F"/>
    <w:rsid w:val="00700249"/>
    <w:rsid w:val="00700EC7"/>
    <w:rsid w:val="0070604C"/>
    <w:rsid w:val="007069CD"/>
    <w:rsid w:val="00710D69"/>
    <w:rsid w:val="007110E6"/>
    <w:rsid w:val="00711A70"/>
    <w:rsid w:val="00712E6F"/>
    <w:rsid w:val="00712E90"/>
    <w:rsid w:val="00713B7E"/>
    <w:rsid w:val="0071499F"/>
    <w:rsid w:val="007203DA"/>
    <w:rsid w:val="007204AE"/>
    <w:rsid w:val="00722FF3"/>
    <w:rsid w:val="0072678F"/>
    <w:rsid w:val="00727C4C"/>
    <w:rsid w:val="00734809"/>
    <w:rsid w:val="0073644B"/>
    <w:rsid w:val="007406E1"/>
    <w:rsid w:val="00743E40"/>
    <w:rsid w:val="00745482"/>
    <w:rsid w:val="00751263"/>
    <w:rsid w:val="00754EA1"/>
    <w:rsid w:val="00756425"/>
    <w:rsid w:val="0075704F"/>
    <w:rsid w:val="00763B2D"/>
    <w:rsid w:val="00772924"/>
    <w:rsid w:val="00784EC4"/>
    <w:rsid w:val="007872F2"/>
    <w:rsid w:val="007874BC"/>
    <w:rsid w:val="007908E0"/>
    <w:rsid w:val="00790B51"/>
    <w:rsid w:val="00793EB3"/>
    <w:rsid w:val="00794205"/>
    <w:rsid w:val="00794A1D"/>
    <w:rsid w:val="00797012"/>
    <w:rsid w:val="007A1F6A"/>
    <w:rsid w:val="007A6FD2"/>
    <w:rsid w:val="007B0DE3"/>
    <w:rsid w:val="007B491F"/>
    <w:rsid w:val="007B583D"/>
    <w:rsid w:val="007B5CB2"/>
    <w:rsid w:val="007B7191"/>
    <w:rsid w:val="007C1634"/>
    <w:rsid w:val="007C1D94"/>
    <w:rsid w:val="007C2879"/>
    <w:rsid w:val="007C6A87"/>
    <w:rsid w:val="007C705D"/>
    <w:rsid w:val="007D0A07"/>
    <w:rsid w:val="007D0C96"/>
    <w:rsid w:val="007D133D"/>
    <w:rsid w:val="007D3EB4"/>
    <w:rsid w:val="007D3F16"/>
    <w:rsid w:val="007D78CC"/>
    <w:rsid w:val="007E10C2"/>
    <w:rsid w:val="007F1D91"/>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301D"/>
    <w:rsid w:val="00874B2D"/>
    <w:rsid w:val="00875593"/>
    <w:rsid w:val="00880539"/>
    <w:rsid w:val="008859E8"/>
    <w:rsid w:val="0088737B"/>
    <w:rsid w:val="00892716"/>
    <w:rsid w:val="00893067"/>
    <w:rsid w:val="008933DE"/>
    <w:rsid w:val="00895191"/>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9079BD"/>
    <w:rsid w:val="00912BD9"/>
    <w:rsid w:val="00915D02"/>
    <w:rsid w:val="00916CFB"/>
    <w:rsid w:val="00920E5B"/>
    <w:rsid w:val="009249F8"/>
    <w:rsid w:val="00926436"/>
    <w:rsid w:val="0093018C"/>
    <w:rsid w:val="00932CCA"/>
    <w:rsid w:val="009370AE"/>
    <w:rsid w:val="009544C0"/>
    <w:rsid w:val="00954FA4"/>
    <w:rsid w:val="00956AE9"/>
    <w:rsid w:val="00964CC6"/>
    <w:rsid w:val="00980C81"/>
    <w:rsid w:val="00991FDA"/>
    <w:rsid w:val="009927A1"/>
    <w:rsid w:val="0099774D"/>
    <w:rsid w:val="009A310E"/>
    <w:rsid w:val="009A5F3B"/>
    <w:rsid w:val="009B0B61"/>
    <w:rsid w:val="009B23A2"/>
    <w:rsid w:val="009B28C0"/>
    <w:rsid w:val="009B395A"/>
    <w:rsid w:val="009B7136"/>
    <w:rsid w:val="009B7806"/>
    <w:rsid w:val="009C3AC2"/>
    <w:rsid w:val="009D4365"/>
    <w:rsid w:val="009D4E3B"/>
    <w:rsid w:val="009D7BC9"/>
    <w:rsid w:val="009E0C5A"/>
    <w:rsid w:val="009E1982"/>
    <w:rsid w:val="009E4D2C"/>
    <w:rsid w:val="009E6EA9"/>
    <w:rsid w:val="009F0978"/>
    <w:rsid w:val="009F3AEC"/>
    <w:rsid w:val="00A00081"/>
    <w:rsid w:val="00A015F7"/>
    <w:rsid w:val="00A01E7A"/>
    <w:rsid w:val="00A10D56"/>
    <w:rsid w:val="00A12AAE"/>
    <w:rsid w:val="00A16DD1"/>
    <w:rsid w:val="00A221AB"/>
    <w:rsid w:val="00A22441"/>
    <w:rsid w:val="00A23F3B"/>
    <w:rsid w:val="00A24406"/>
    <w:rsid w:val="00A25F64"/>
    <w:rsid w:val="00A27CC2"/>
    <w:rsid w:val="00A3273B"/>
    <w:rsid w:val="00A33E7D"/>
    <w:rsid w:val="00A40ED6"/>
    <w:rsid w:val="00A470EE"/>
    <w:rsid w:val="00A47621"/>
    <w:rsid w:val="00A47826"/>
    <w:rsid w:val="00A479CD"/>
    <w:rsid w:val="00A50CFC"/>
    <w:rsid w:val="00A54D67"/>
    <w:rsid w:val="00A55A3F"/>
    <w:rsid w:val="00A56BC4"/>
    <w:rsid w:val="00A652F6"/>
    <w:rsid w:val="00A6579A"/>
    <w:rsid w:val="00A732EA"/>
    <w:rsid w:val="00A7489E"/>
    <w:rsid w:val="00A8015F"/>
    <w:rsid w:val="00A80BD2"/>
    <w:rsid w:val="00A85039"/>
    <w:rsid w:val="00A851F7"/>
    <w:rsid w:val="00A906AA"/>
    <w:rsid w:val="00A94C5E"/>
    <w:rsid w:val="00AA03F2"/>
    <w:rsid w:val="00AA241A"/>
    <w:rsid w:val="00AA252C"/>
    <w:rsid w:val="00AA666E"/>
    <w:rsid w:val="00AB160E"/>
    <w:rsid w:val="00AB5518"/>
    <w:rsid w:val="00AC01D4"/>
    <w:rsid w:val="00AC4A04"/>
    <w:rsid w:val="00AC5D74"/>
    <w:rsid w:val="00AD336F"/>
    <w:rsid w:val="00AD3550"/>
    <w:rsid w:val="00AD6E6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AB8"/>
    <w:rsid w:val="00B3747F"/>
    <w:rsid w:val="00B43194"/>
    <w:rsid w:val="00B47734"/>
    <w:rsid w:val="00B50FBA"/>
    <w:rsid w:val="00B558EB"/>
    <w:rsid w:val="00B577D3"/>
    <w:rsid w:val="00B60466"/>
    <w:rsid w:val="00B6548F"/>
    <w:rsid w:val="00B72EF3"/>
    <w:rsid w:val="00B7502A"/>
    <w:rsid w:val="00B77305"/>
    <w:rsid w:val="00B82CC2"/>
    <w:rsid w:val="00B84A89"/>
    <w:rsid w:val="00B92BEF"/>
    <w:rsid w:val="00B9689A"/>
    <w:rsid w:val="00BA074B"/>
    <w:rsid w:val="00BA1FFA"/>
    <w:rsid w:val="00BA2666"/>
    <w:rsid w:val="00BA7FF1"/>
    <w:rsid w:val="00BB06CB"/>
    <w:rsid w:val="00BB1287"/>
    <w:rsid w:val="00BB261F"/>
    <w:rsid w:val="00BB2887"/>
    <w:rsid w:val="00BB5EAA"/>
    <w:rsid w:val="00BB5F11"/>
    <w:rsid w:val="00BC0401"/>
    <w:rsid w:val="00BC0447"/>
    <w:rsid w:val="00BC04FA"/>
    <w:rsid w:val="00BC1C22"/>
    <w:rsid w:val="00BC460B"/>
    <w:rsid w:val="00BC5725"/>
    <w:rsid w:val="00BD30B1"/>
    <w:rsid w:val="00BD5447"/>
    <w:rsid w:val="00BD5787"/>
    <w:rsid w:val="00BE0F7B"/>
    <w:rsid w:val="00BE10C2"/>
    <w:rsid w:val="00C0093F"/>
    <w:rsid w:val="00C01D14"/>
    <w:rsid w:val="00C025B4"/>
    <w:rsid w:val="00C0275F"/>
    <w:rsid w:val="00C03620"/>
    <w:rsid w:val="00C10D96"/>
    <w:rsid w:val="00C11F61"/>
    <w:rsid w:val="00C14665"/>
    <w:rsid w:val="00C161FD"/>
    <w:rsid w:val="00C16CA4"/>
    <w:rsid w:val="00C23F17"/>
    <w:rsid w:val="00C25E55"/>
    <w:rsid w:val="00C26A95"/>
    <w:rsid w:val="00C26D0D"/>
    <w:rsid w:val="00C27C95"/>
    <w:rsid w:val="00C300D2"/>
    <w:rsid w:val="00C3270F"/>
    <w:rsid w:val="00C3278B"/>
    <w:rsid w:val="00C33375"/>
    <w:rsid w:val="00C34C23"/>
    <w:rsid w:val="00C37165"/>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58A"/>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4A8"/>
    <w:rsid w:val="00CF3DB3"/>
    <w:rsid w:val="00D052BC"/>
    <w:rsid w:val="00D07026"/>
    <w:rsid w:val="00D07BAB"/>
    <w:rsid w:val="00D11B9E"/>
    <w:rsid w:val="00D11C62"/>
    <w:rsid w:val="00D22C8F"/>
    <w:rsid w:val="00D241B4"/>
    <w:rsid w:val="00D3110D"/>
    <w:rsid w:val="00D33491"/>
    <w:rsid w:val="00D34D03"/>
    <w:rsid w:val="00D44F8E"/>
    <w:rsid w:val="00D44FD0"/>
    <w:rsid w:val="00D5733C"/>
    <w:rsid w:val="00D607EF"/>
    <w:rsid w:val="00D60F88"/>
    <w:rsid w:val="00D625E7"/>
    <w:rsid w:val="00D646BD"/>
    <w:rsid w:val="00D70239"/>
    <w:rsid w:val="00D71201"/>
    <w:rsid w:val="00D720C7"/>
    <w:rsid w:val="00D72645"/>
    <w:rsid w:val="00D77A04"/>
    <w:rsid w:val="00D81D06"/>
    <w:rsid w:val="00D8652C"/>
    <w:rsid w:val="00D876E6"/>
    <w:rsid w:val="00D87E88"/>
    <w:rsid w:val="00DA1025"/>
    <w:rsid w:val="00DA22EC"/>
    <w:rsid w:val="00DA2F16"/>
    <w:rsid w:val="00DA4574"/>
    <w:rsid w:val="00DA5860"/>
    <w:rsid w:val="00DA7505"/>
    <w:rsid w:val="00DB21B3"/>
    <w:rsid w:val="00DB2767"/>
    <w:rsid w:val="00DB691A"/>
    <w:rsid w:val="00DC08B3"/>
    <w:rsid w:val="00DC4729"/>
    <w:rsid w:val="00DE556F"/>
    <w:rsid w:val="00E03B6D"/>
    <w:rsid w:val="00E0649E"/>
    <w:rsid w:val="00E15C8C"/>
    <w:rsid w:val="00E17160"/>
    <w:rsid w:val="00E211BF"/>
    <w:rsid w:val="00E315FA"/>
    <w:rsid w:val="00E33E83"/>
    <w:rsid w:val="00E35BEC"/>
    <w:rsid w:val="00E50821"/>
    <w:rsid w:val="00E50EF8"/>
    <w:rsid w:val="00E51F91"/>
    <w:rsid w:val="00E602B6"/>
    <w:rsid w:val="00E6093F"/>
    <w:rsid w:val="00E676F7"/>
    <w:rsid w:val="00E7086E"/>
    <w:rsid w:val="00E72E1C"/>
    <w:rsid w:val="00E7374A"/>
    <w:rsid w:val="00E73C41"/>
    <w:rsid w:val="00E74A7A"/>
    <w:rsid w:val="00E7598F"/>
    <w:rsid w:val="00E76F60"/>
    <w:rsid w:val="00E83D90"/>
    <w:rsid w:val="00E83F28"/>
    <w:rsid w:val="00E83F91"/>
    <w:rsid w:val="00E9107A"/>
    <w:rsid w:val="00E91F62"/>
    <w:rsid w:val="00E929D5"/>
    <w:rsid w:val="00E929FD"/>
    <w:rsid w:val="00E93240"/>
    <w:rsid w:val="00E94652"/>
    <w:rsid w:val="00E9479B"/>
    <w:rsid w:val="00EA28F1"/>
    <w:rsid w:val="00EA4D48"/>
    <w:rsid w:val="00EB2173"/>
    <w:rsid w:val="00EB5C01"/>
    <w:rsid w:val="00EB62E6"/>
    <w:rsid w:val="00ED1B30"/>
    <w:rsid w:val="00ED250E"/>
    <w:rsid w:val="00ED6535"/>
    <w:rsid w:val="00EE1AC1"/>
    <w:rsid w:val="00EE39D6"/>
    <w:rsid w:val="00EE413C"/>
    <w:rsid w:val="00EE52AD"/>
    <w:rsid w:val="00EE56BC"/>
    <w:rsid w:val="00F01F92"/>
    <w:rsid w:val="00F10A08"/>
    <w:rsid w:val="00F139CF"/>
    <w:rsid w:val="00F22AC5"/>
    <w:rsid w:val="00F2308F"/>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1F66"/>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4B4"/>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098190C-DFAF-48DD-A9C2-036882DF7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612F4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12F40"/>
    <w:rPr>
      <w:b/>
      <w:bCs/>
    </w:rPr>
  </w:style>
  <w:style w:type="character" w:styleId="FollowedHyperlink">
    <w:name w:val="FollowedHyperlink"/>
    <w:basedOn w:val="DefaultParagraphFont"/>
    <w:uiPriority w:val="99"/>
    <w:semiHidden/>
    <w:unhideWhenUsed/>
    <w:rsid w:val="00270179"/>
    <w:rPr>
      <w:color w:val="954F72" w:themeColor="followedHyperlink"/>
      <w:u w:val="single"/>
    </w:rPr>
  </w:style>
  <w:style w:type="character" w:styleId="UnresolvedMention">
    <w:name w:val="Unresolved Mention"/>
    <w:basedOn w:val="DefaultParagraphFont"/>
    <w:uiPriority w:val="99"/>
    <w:semiHidden/>
    <w:unhideWhenUsed/>
    <w:rsid w:val="000C5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9073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6667773">
      <w:bodyDiv w:val="1"/>
      <w:marLeft w:val="0"/>
      <w:marRight w:val="0"/>
      <w:marTop w:val="0"/>
      <w:marBottom w:val="0"/>
      <w:divBdr>
        <w:top w:val="none" w:sz="0" w:space="0" w:color="auto"/>
        <w:left w:val="none" w:sz="0" w:space="0" w:color="auto"/>
        <w:bottom w:val="none" w:sz="0" w:space="0" w:color="auto"/>
        <w:right w:val="none" w:sz="0" w:space="0" w:color="auto"/>
      </w:divBdr>
    </w:div>
    <w:div w:id="291597947">
      <w:bodyDiv w:val="1"/>
      <w:marLeft w:val="0"/>
      <w:marRight w:val="0"/>
      <w:marTop w:val="0"/>
      <w:marBottom w:val="0"/>
      <w:divBdr>
        <w:top w:val="none" w:sz="0" w:space="0" w:color="auto"/>
        <w:left w:val="none" w:sz="0" w:space="0" w:color="auto"/>
        <w:bottom w:val="none" w:sz="0" w:space="0" w:color="auto"/>
        <w:right w:val="none" w:sz="0" w:space="0" w:color="auto"/>
      </w:divBdr>
    </w:div>
    <w:div w:id="551816780">
      <w:bodyDiv w:val="1"/>
      <w:marLeft w:val="0"/>
      <w:marRight w:val="0"/>
      <w:marTop w:val="0"/>
      <w:marBottom w:val="0"/>
      <w:divBdr>
        <w:top w:val="none" w:sz="0" w:space="0" w:color="auto"/>
        <w:left w:val="none" w:sz="0" w:space="0" w:color="auto"/>
        <w:bottom w:val="none" w:sz="0" w:space="0" w:color="auto"/>
        <w:right w:val="none" w:sz="0" w:space="0" w:color="auto"/>
      </w:divBdr>
    </w:div>
    <w:div w:id="887885567">
      <w:bodyDiv w:val="1"/>
      <w:marLeft w:val="0"/>
      <w:marRight w:val="0"/>
      <w:marTop w:val="0"/>
      <w:marBottom w:val="0"/>
      <w:divBdr>
        <w:top w:val="none" w:sz="0" w:space="0" w:color="auto"/>
        <w:left w:val="none" w:sz="0" w:space="0" w:color="auto"/>
        <w:bottom w:val="none" w:sz="0" w:space="0" w:color="auto"/>
        <w:right w:val="none" w:sz="0" w:space="0" w:color="auto"/>
      </w:divBdr>
    </w:div>
    <w:div w:id="96084013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1288168">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5377596">
      <w:bodyDiv w:val="1"/>
      <w:marLeft w:val="0"/>
      <w:marRight w:val="0"/>
      <w:marTop w:val="0"/>
      <w:marBottom w:val="0"/>
      <w:divBdr>
        <w:top w:val="none" w:sz="0" w:space="0" w:color="auto"/>
        <w:left w:val="none" w:sz="0" w:space="0" w:color="auto"/>
        <w:bottom w:val="none" w:sz="0" w:space="0" w:color="auto"/>
        <w:right w:val="none" w:sz="0" w:space="0" w:color="auto"/>
      </w:divBdr>
    </w:div>
    <w:div w:id="1416823970">
      <w:bodyDiv w:val="1"/>
      <w:marLeft w:val="0"/>
      <w:marRight w:val="0"/>
      <w:marTop w:val="0"/>
      <w:marBottom w:val="0"/>
      <w:divBdr>
        <w:top w:val="none" w:sz="0" w:space="0" w:color="auto"/>
        <w:left w:val="none" w:sz="0" w:space="0" w:color="auto"/>
        <w:bottom w:val="none" w:sz="0" w:space="0" w:color="auto"/>
        <w:right w:val="none" w:sz="0" w:space="0" w:color="auto"/>
      </w:divBdr>
    </w:div>
    <w:div w:id="1428188333">
      <w:bodyDiv w:val="1"/>
      <w:marLeft w:val="0"/>
      <w:marRight w:val="0"/>
      <w:marTop w:val="0"/>
      <w:marBottom w:val="0"/>
      <w:divBdr>
        <w:top w:val="none" w:sz="0" w:space="0" w:color="auto"/>
        <w:left w:val="none" w:sz="0" w:space="0" w:color="auto"/>
        <w:bottom w:val="none" w:sz="0" w:space="0" w:color="auto"/>
        <w:right w:val="none" w:sz="0" w:space="0" w:color="auto"/>
      </w:divBdr>
      <w:divsChild>
        <w:div w:id="615791622">
          <w:marLeft w:val="0"/>
          <w:marRight w:val="120"/>
          <w:marTop w:val="0"/>
          <w:marBottom w:val="0"/>
          <w:divBdr>
            <w:top w:val="none" w:sz="0" w:space="0" w:color="auto"/>
            <w:left w:val="none" w:sz="0" w:space="0" w:color="auto"/>
            <w:bottom w:val="none" w:sz="0" w:space="0" w:color="auto"/>
            <w:right w:val="none" w:sz="0" w:space="0" w:color="auto"/>
          </w:divBdr>
        </w:div>
        <w:div w:id="780224342">
          <w:marLeft w:val="0"/>
          <w:marRight w:val="0"/>
          <w:marTop w:val="0"/>
          <w:marBottom w:val="0"/>
          <w:divBdr>
            <w:top w:val="none" w:sz="0" w:space="0" w:color="auto"/>
            <w:left w:val="none" w:sz="0" w:space="0" w:color="auto"/>
            <w:bottom w:val="none" w:sz="0" w:space="0" w:color="auto"/>
            <w:right w:val="none" w:sz="0" w:space="0" w:color="auto"/>
          </w:divBdr>
        </w:div>
        <w:div w:id="1206597578">
          <w:marLeft w:val="0"/>
          <w:marRight w:val="120"/>
          <w:marTop w:val="0"/>
          <w:marBottom w:val="0"/>
          <w:divBdr>
            <w:top w:val="none" w:sz="0" w:space="0" w:color="auto"/>
            <w:left w:val="none" w:sz="0" w:space="0" w:color="auto"/>
            <w:bottom w:val="none" w:sz="0" w:space="0" w:color="auto"/>
            <w:right w:val="none" w:sz="0" w:space="0" w:color="auto"/>
          </w:divBdr>
        </w:div>
        <w:div w:id="1312128684">
          <w:marLeft w:val="0"/>
          <w:marRight w:val="0"/>
          <w:marTop w:val="0"/>
          <w:marBottom w:val="0"/>
          <w:divBdr>
            <w:top w:val="none" w:sz="0" w:space="0" w:color="auto"/>
            <w:left w:val="none" w:sz="0" w:space="0" w:color="auto"/>
            <w:bottom w:val="none" w:sz="0" w:space="0" w:color="auto"/>
            <w:right w:val="none" w:sz="0" w:space="0" w:color="auto"/>
          </w:divBdr>
        </w:div>
        <w:div w:id="1763378224">
          <w:marLeft w:val="0"/>
          <w:marRight w:val="120"/>
          <w:marTop w:val="0"/>
          <w:marBottom w:val="0"/>
          <w:divBdr>
            <w:top w:val="none" w:sz="0" w:space="0" w:color="auto"/>
            <w:left w:val="none" w:sz="0" w:space="0" w:color="auto"/>
            <w:bottom w:val="none" w:sz="0" w:space="0" w:color="auto"/>
            <w:right w:val="none" w:sz="0" w:space="0" w:color="auto"/>
          </w:divBdr>
        </w:div>
      </w:divsChild>
    </w:div>
    <w:div w:id="16466207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2029226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1060132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research/what-works-policing-reduce-crime/targeted-approaches" TargetMode="External"/><Relationship Id="rId39" Type="http://schemas.openxmlformats.org/officeDocument/2006/relationships/hyperlink" Target="https://www.gov.uk/government/publications/black-asian-and-minority-ethnic-disproportionality-in-the-criminal-justice-system-in-england-and-wales" TargetMode="External"/><Relationship Id="rId21" Type="http://schemas.openxmlformats.org/officeDocument/2006/relationships/hyperlink" Target="https://activesocialcare.com/handbook/understanding-your-role/personal-values-attitudes-and-beliefs/" TargetMode="External"/><Relationship Id="rId34" Type="http://schemas.openxmlformats.org/officeDocument/2006/relationships/hyperlink" Target="https://www.cps.gov.uk/legal-guidance/hearsay" TargetMode="External"/><Relationship Id="rId42" Type="http://schemas.openxmlformats.org/officeDocument/2006/relationships/hyperlink" Target="https://www.policinginstitute.org/wp-content/uploads/2015/06/Sherman-1998-Evidence-Based-Policing.pdf" TargetMode="External"/><Relationship Id="rId47" Type="http://schemas.openxmlformats.org/officeDocument/2006/relationships/hyperlink" Target="https://www.cps.gov.uk/legal-guidance/bail" TargetMode="External"/><Relationship Id="rId50" Type="http://schemas.openxmlformats.org/officeDocument/2006/relationships/hyperlink" Target="https://www.legislation.gov.uk/ukpga/1984/60/section/24" TargetMode="External"/><Relationship Id="rId55" Type="http://schemas.openxmlformats.org/officeDocument/2006/relationships/hyperlink" Target="https://www.legislation.gov.uk/ukpga/1999/23/notes/division/4/2/1"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college.police.uk/app/major-investigation-and-public-protection/investigating-child-abuse-and-safeguarding-children/further-investigation" TargetMode="External"/><Relationship Id="rId11" Type="http://schemas.openxmlformats.org/officeDocument/2006/relationships/image" Target="media/image1.png"/><Relationship Id="rId24" Type="http://schemas.openxmlformats.org/officeDocument/2006/relationships/hyperlink" Target="https://www.bbc.co.uk/news/uk-67940103" TargetMode="External"/><Relationship Id="rId32" Type="http://schemas.openxmlformats.org/officeDocument/2006/relationships/hyperlink" Target="https://www.college.police.uk/app/investigation/investigative-strategies/search-powers-and-obtaining-and-executing-search-warrants" TargetMode="External"/><Relationship Id="rId37" Type="http://schemas.openxmlformats.org/officeDocument/2006/relationships/hyperlink" Target="https://www.legislation.gov.uk/ukpga/1998/42/schedule/1/part/I/chapter/5" TargetMode="External"/><Relationship Id="rId40" Type="http://schemas.openxmlformats.org/officeDocument/2006/relationships/hyperlink" Target="https://www.gov.uk/government/publications/guides-for-victims-of-rape-and-sexual-assault/support-following-a-rape-or-sexual-assault" TargetMode="External"/><Relationship Id="rId45" Type="http://schemas.openxmlformats.org/officeDocument/2006/relationships/hyperlink" Target="https://www.oxfordreference.com/display/10.1093/oi/authority.20110803100414403" TargetMode="External"/><Relationship Id="rId53" Type="http://schemas.openxmlformats.org/officeDocument/2006/relationships/hyperlink" Target="https://www.victimsupport.org.uk/you-co/going-to-court/support-at-court/what-special-measures-are-right-for-me/"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assets.publishing.service.gov.uk/media/65e1ab9d2f2b3b00117cd803/Attorney_General_s_Guidelines_on_Disclosure_-_2024.pdf" TargetMode="External"/><Relationship Id="rId27" Type="http://schemas.openxmlformats.org/officeDocument/2006/relationships/hyperlink" Target="https://www.college.police.uk/research/evidence-based-policing-EBP" TargetMode="External"/><Relationship Id="rId30" Type="http://schemas.openxmlformats.org/officeDocument/2006/relationships/hyperlink" Target="https://www.college.police.uk/app/investigation/investigation-process" TargetMode="External"/><Relationship Id="rId35" Type="http://schemas.openxmlformats.org/officeDocument/2006/relationships/hyperlink" Target="https://www.police1.com/police-jobs-and-careers/articles/how-a-little-list-of-big-values-can-guide-your-way-9lqjRkn7OWfbRiFq/" TargetMode="External"/><Relationship Id="rId43" Type="http://schemas.openxmlformats.org/officeDocument/2006/relationships/hyperlink" Target="https://leadership.ng/delta-ag-advocates-use-of-video-evidence-in-courts/" TargetMode="External"/><Relationship Id="rId48" Type="http://schemas.openxmlformats.org/officeDocument/2006/relationships/hyperlink" Target="https://www.gov.uk/government/publications/pace-code-c-2019/pace-code-c-2019-accessible" TargetMode="External"/><Relationship Id="rId56" Type="http://schemas.openxmlformats.org/officeDocument/2006/relationships/hyperlink" Target="https://www.legislation.gov.uk/ukpga/1999/23/section/27" TargetMode="External"/><Relationship Id="rId8" Type="http://schemas.openxmlformats.org/officeDocument/2006/relationships/webSettings" Target="webSettings.xml"/><Relationship Id="rId51" Type="http://schemas.openxmlformats.org/officeDocument/2006/relationships/hyperlink" Target="https://www.ppsni.gov.uk/special-measure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library.college.police.uk/docs/college-of-policing/Language-Services-v1.0.pdf" TargetMode="External"/><Relationship Id="rId33" Type="http://schemas.openxmlformats.org/officeDocument/2006/relationships/hyperlink" Target="https://cpdonline.co.uk/safeguarding-guides/safeguarding-guide-for-police-officers/" TargetMode="External"/><Relationship Id="rId38" Type="http://schemas.openxmlformats.org/officeDocument/2006/relationships/hyperlink" Target="https://www.gov.uk/government/publications/achieving-best-evidence-in-criminal-proceedings" TargetMode="External"/><Relationship Id="rId46" Type="http://schemas.openxmlformats.org/officeDocument/2006/relationships/hyperlink" Target="https://www.transformjustice.org.uk/wp-content/uploads/2023/02/TJ_March2018report.pdf" TargetMode="External"/><Relationship Id="rId59" Type="http://schemas.openxmlformats.org/officeDocument/2006/relationships/theme" Target="theme/theme1.xml"/><Relationship Id="rId20" Type="http://schemas.openxmlformats.org/officeDocument/2006/relationships/footer" Target="footer3.xml"/><Relationship Id="rId41" Type="http://schemas.openxmlformats.org/officeDocument/2006/relationships/hyperlink" Target="https://sexualviolence.idas.org.uk/reporting-sexual-violence-and-abuse/what-is-an-isva-independent-sexual-violence-adviser/" TargetMode="External"/><Relationship Id="rId54" Type="http://schemas.openxmlformats.org/officeDocument/2006/relationships/hyperlink" Target="https://safeguarding.wales/en/chi-i/chi-i-c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s://www.bbc.co.uk/news/technology-53092175" TargetMode="External"/><Relationship Id="rId28" Type="http://schemas.openxmlformats.org/officeDocument/2006/relationships/hyperlink" Target="https://www.college.police.uk/ethics/code-of-ethics/principles" TargetMode="External"/><Relationship Id="rId36" Type="http://schemas.openxmlformats.org/officeDocument/2006/relationships/hyperlink" Target="https://www.legislation.gov.uk/ukpga/2010/15/contents" TargetMode="External"/><Relationship Id="rId49" Type="http://schemas.openxmlformats.org/officeDocument/2006/relationships/hyperlink" Target="https://www.gov.uk/government/publications/pace-code-g-2012" TargetMode="External"/><Relationship Id="rId57" Type="http://schemas.openxmlformats.org/officeDocument/2006/relationships/hyperlink" Target="https://www.unicef.org.uk/rights-respecting-schools/the-rrsa/the-right-to-education/" TargetMode="External"/><Relationship Id="rId10" Type="http://schemas.openxmlformats.org/officeDocument/2006/relationships/endnotes" Target="endnotes.xml"/><Relationship Id="rId31" Type="http://schemas.openxmlformats.org/officeDocument/2006/relationships/hyperlink" Target="https://www.college.police.uk/app/national-decision-model/national-decision-model" TargetMode="External"/><Relationship Id="rId44" Type="http://schemas.openxmlformats.org/officeDocument/2006/relationships/hyperlink" Target="https://www.nc2s.org/wp-content/uploads/2023/09/School-Safety-At-A-Glance.pdf" TargetMode="External"/><Relationship Id="rId52" Type="http://schemas.openxmlformats.org/officeDocument/2006/relationships/hyperlink" Target="https://post.parliament.uk/research-briefings/post-pn-0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6666</Words>
  <Characters>37999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Lamb,Sophie swp8631</cp:lastModifiedBy>
  <cp:revision>2</cp:revision>
  <cp:lastPrinted>2014-08-26T08:55:00Z</cp:lastPrinted>
  <dcterms:created xsi:type="dcterms:W3CDTF">2024-08-05T08:20:00Z</dcterms:created>
  <dcterms:modified xsi:type="dcterms:W3CDTF">2024-08-05T08:20:00Z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