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43769" w14:textId="31A4D5A4" w:rsidR="005E5477" w:rsidRDefault="00840968" w:rsidP="00827884">
      <w:pPr>
        <w:rPr>
          <w:rFonts w:ascii="Arial" w:hAnsi="Arial" w:cs="Arial"/>
          <w:b/>
          <w:bCs/>
          <w:sz w:val="28"/>
          <w:szCs w:val="28"/>
        </w:rPr>
      </w:pPr>
      <w:r>
        <w:rPr>
          <w:noProof/>
        </w:rPr>
        <w:drawing>
          <wp:inline distT="0" distB="0" distL="0" distR="0" wp14:anchorId="1BA4B252" wp14:editId="1859C10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00EA6608">
        <w:rPr>
          <w:rFonts w:ascii="Arial" w:hAnsi="Arial" w:cs="Arial"/>
          <w:b/>
          <w:bCs/>
          <w:sz w:val="28"/>
          <w:szCs w:val="28"/>
        </w:rPr>
        <w:t xml:space="preserve">         </w:t>
      </w:r>
    </w:p>
    <w:p w14:paraId="7543CF60" w14:textId="77777777" w:rsidR="005E5477" w:rsidRDefault="005E5477" w:rsidP="00827884">
      <w:pPr>
        <w:rPr>
          <w:rFonts w:ascii="Arial" w:hAnsi="Arial" w:cs="Arial"/>
          <w:b/>
          <w:bCs/>
          <w:sz w:val="28"/>
          <w:szCs w:val="28"/>
        </w:rPr>
      </w:pPr>
    </w:p>
    <w:p w14:paraId="24FD7020"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Programme:</w:t>
      </w:r>
      <w:r w:rsidRPr="00D65516">
        <w:rPr>
          <w:rFonts w:ascii="Arial" w:eastAsia="Aptos" w:hAnsi="Arial" w:cs="Times New Roman"/>
          <w:color w:val="153D63"/>
          <w:sz w:val="36"/>
          <w:szCs w:val="36"/>
          <w:lang w:eastAsia="en-GB"/>
          <w14:ligatures w14:val="none"/>
        </w:rPr>
        <w:t xml:space="preserve"> </w:t>
      </w:r>
      <w:r w:rsidRPr="00D65516">
        <w:rPr>
          <w:rFonts w:ascii="Arial" w:eastAsia="Aptos" w:hAnsi="Arial" w:cs="Times New Roman"/>
          <w:b/>
          <w:bCs/>
          <w:color w:val="153D63"/>
          <w:sz w:val="36"/>
          <w:szCs w:val="36"/>
          <w:lang w:eastAsia="en-GB"/>
          <w14:ligatures w14:val="none"/>
        </w:rPr>
        <w:t>BA (</w:t>
      </w:r>
      <w:proofErr w:type="spellStart"/>
      <w:r w:rsidRPr="00D65516">
        <w:rPr>
          <w:rFonts w:ascii="Arial" w:eastAsia="Aptos" w:hAnsi="Arial" w:cs="Times New Roman"/>
          <w:b/>
          <w:bCs/>
          <w:color w:val="153D63"/>
          <w:sz w:val="36"/>
          <w:szCs w:val="36"/>
          <w:lang w:eastAsia="en-GB"/>
          <w14:ligatures w14:val="none"/>
        </w:rPr>
        <w:t>Hons</w:t>
      </w:r>
      <w:proofErr w:type="spellEnd"/>
      <w:r w:rsidRPr="00D65516">
        <w:rPr>
          <w:rFonts w:ascii="Arial" w:eastAsia="Aptos" w:hAnsi="Arial" w:cs="Times New Roman"/>
          <w:b/>
          <w:bCs/>
          <w:color w:val="153D63"/>
          <w:sz w:val="36"/>
          <w:szCs w:val="36"/>
          <w:lang w:eastAsia="en-GB"/>
          <w14:ligatures w14:val="none"/>
        </w:rPr>
        <w:t>) Business Management</w:t>
      </w:r>
    </w:p>
    <w:p w14:paraId="29C3377F"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Module: Principles of Human Resource Management</w:t>
      </w:r>
    </w:p>
    <w:p w14:paraId="4134BBA2"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Module code: LCBB5012</w:t>
      </w:r>
    </w:p>
    <w:p w14:paraId="1F0F0E0B" w14:textId="3E83AB63"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 xml:space="preserve"> Assignment Title: </w:t>
      </w:r>
      <w:r w:rsidR="001D1F7C">
        <w:rPr>
          <w:rFonts w:ascii="Arial" w:eastAsia="Aptos" w:hAnsi="Arial" w:cs="Times New Roman"/>
          <w:b/>
          <w:bCs/>
          <w:color w:val="153D63"/>
          <w:sz w:val="36"/>
          <w:szCs w:val="36"/>
          <w:lang w:eastAsia="en-GB"/>
          <w14:ligatures w14:val="none"/>
        </w:rPr>
        <w:t>Individual Report</w:t>
      </w:r>
    </w:p>
    <w:p w14:paraId="1F9A8DD2"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 xml:space="preserve"> Lecturer: </w:t>
      </w:r>
      <w:proofErr w:type="spellStart"/>
      <w:r w:rsidRPr="00D65516">
        <w:rPr>
          <w:rFonts w:ascii="Arial" w:eastAsia="Aptos" w:hAnsi="Arial" w:cs="Times New Roman"/>
          <w:b/>
          <w:bCs/>
          <w:color w:val="153D63"/>
          <w:sz w:val="36"/>
          <w:szCs w:val="36"/>
          <w:lang w:eastAsia="en-GB"/>
          <w14:ligatures w14:val="none"/>
        </w:rPr>
        <w:t>Koushik</w:t>
      </w:r>
      <w:proofErr w:type="spellEnd"/>
      <w:r w:rsidRPr="00D65516">
        <w:rPr>
          <w:rFonts w:ascii="Arial" w:eastAsia="Aptos" w:hAnsi="Arial" w:cs="Times New Roman"/>
          <w:b/>
          <w:bCs/>
          <w:color w:val="153D63"/>
          <w:sz w:val="36"/>
          <w:szCs w:val="36"/>
          <w:lang w:eastAsia="en-GB"/>
          <w14:ligatures w14:val="none"/>
        </w:rPr>
        <w:t xml:space="preserve"> Das </w:t>
      </w:r>
      <w:proofErr w:type="spellStart"/>
      <w:r w:rsidRPr="00D65516">
        <w:rPr>
          <w:rFonts w:ascii="Arial" w:eastAsia="Aptos" w:hAnsi="Arial" w:cs="Times New Roman"/>
          <w:b/>
          <w:bCs/>
          <w:color w:val="153D63"/>
          <w:sz w:val="36"/>
          <w:szCs w:val="36"/>
          <w:lang w:eastAsia="en-GB"/>
          <w14:ligatures w14:val="none"/>
        </w:rPr>
        <w:t>Sarma</w:t>
      </w:r>
      <w:proofErr w:type="spellEnd"/>
    </w:p>
    <w:p w14:paraId="073F7241"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 xml:space="preserve"> Student Name: Dumitru </w:t>
      </w:r>
      <w:proofErr w:type="spellStart"/>
      <w:r w:rsidRPr="00D65516">
        <w:rPr>
          <w:rFonts w:ascii="Arial" w:eastAsia="Aptos" w:hAnsi="Arial" w:cs="Times New Roman"/>
          <w:b/>
          <w:bCs/>
          <w:color w:val="153D63"/>
          <w:sz w:val="36"/>
          <w:szCs w:val="36"/>
          <w:lang w:eastAsia="en-GB"/>
          <w14:ligatures w14:val="none"/>
        </w:rPr>
        <w:t>Nechifor</w:t>
      </w:r>
      <w:proofErr w:type="spellEnd"/>
      <w:r w:rsidRPr="00D65516">
        <w:rPr>
          <w:rFonts w:ascii="Arial" w:eastAsia="Aptos" w:hAnsi="Arial" w:cs="Times New Roman"/>
          <w:b/>
          <w:bCs/>
          <w:color w:val="153D63"/>
          <w:sz w:val="36"/>
          <w:szCs w:val="36"/>
          <w:lang w:eastAsia="en-GB"/>
          <w14:ligatures w14:val="none"/>
        </w:rPr>
        <w:t xml:space="preserve"> </w:t>
      </w:r>
    </w:p>
    <w:p w14:paraId="17D0CE7F" w14:textId="280EED99" w:rsidR="005E5477" w:rsidRPr="00D65516" w:rsidRDefault="00D65516" w:rsidP="00D65516">
      <w:pPr>
        <w:rPr>
          <w:rFonts w:ascii="Arial" w:hAnsi="Arial" w:cs="Arial"/>
          <w:b/>
          <w:bCs/>
          <w:sz w:val="36"/>
          <w:szCs w:val="36"/>
        </w:rPr>
      </w:pPr>
      <w:r w:rsidRPr="00D65516">
        <w:rPr>
          <w:rFonts w:ascii="Arial" w:eastAsia="Aptos" w:hAnsi="Arial" w:cs="Times New Roman"/>
          <w:b/>
          <w:bCs/>
          <w:color w:val="153D63"/>
          <w:sz w:val="36"/>
          <w:szCs w:val="36"/>
          <w:lang w:eastAsia="en-GB"/>
          <w14:ligatures w14:val="none"/>
        </w:rPr>
        <w:t xml:space="preserve"> Student ID: 2245145</w:t>
      </w:r>
    </w:p>
    <w:p w14:paraId="3CB674B1" w14:textId="77777777" w:rsidR="005E5477" w:rsidRDefault="005E5477" w:rsidP="00827884">
      <w:pPr>
        <w:rPr>
          <w:rFonts w:ascii="Arial" w:hAnsi="Arial" w:cs="Arial"/>
          <w:b/>
          <w:bCs/>
          <w:sz w:val="28"/>
          <w:szCs w:val="28"/>
        </w:rPr>
      </w:pPr>
    </w:p>
    <w:p w14:paraId="3D1A7884" w14:textId="77777777" w:rsidR="005E5477" w:rsidRDefault="005E5477" w:rsidP="00827884">
      <w:pPr>
        <w:rPr>
          <w:rFonts w:ascii="Arial" w:hAnsi="Arial" w:cs="Arial"/>
          <w:b/>
          <w:bCs/>
          <w:sz w:val="28"/>
          <w:szCs w:val="28"/>
        </w:rPr>
      </w:pPr>
    </w:p>
    <w:p w14:paraId="59631CE4" w14:textId="77777777" w:rsidR="005E5477" w:rsidRDefault="005E5477" w:rsidP="00827884">
      <w:pPr>
        <w:rPr>
          <w:rFonts w:ascii="Arial" w:hAnsi="Arial" w:cs="Arial"/>
          <w:b/>
          <w:bCs/>
          <w:sz w:val="28"/>
          <w:szCs w:val="28"/>
        </w:rPr>
      </w:pPr>
    </w:p>
    <w:p w14:paraId="38469424" w14:textId="77777777" w:rsidR="005E5477" w:rsidRDefault="005E5477" w:rsidP="00827884">
      <w:pPr>
        <w:rPr>
          <w:rFonts w:ascii="Arial" w:hAnsi="Arial" w:cs="Arial"/>
          <w:b/>
          <w:bCs/>
          <w:sz w:val="28"/>
          <w:szCs w:val="28"/>
        </w:rPr>
      </w:pPr>
    </w:p>
    <w:p w14:paraId="5D175E84" w14:textId="77777777" w:rsidR="005E5477" w:rsidRDefault="005E5477" w:rsidP="00827884">
      <w:pPr>
        <w:rPr>
          <w:rFonts w:ascii="Arial" w:hAnsi="Arial" w:cs="Arial"/>
          <w:b/>
          <w:bCs/>
          <w:sz w:val="28"/>
          <w:szCs w:val="28"/>
        </w:rPr>
      </w:pPr>
    </w:p>
    <w:p w14:paraId="48FAD949" w14:textId="77777777" w:rsidR="005E5477" w:rsidRDefault="005E5477" w:rsidP="00827884">
      <w:pPr>
        <w:rPr>
          <w:rFonts w:ascii="Arial" w:hAnsi="Arial" w:cs="Arial"/>
          <w:b/>
          <w:bCs/>
          <w:sz w:val="28"/>
          <w:szCs w:val="28"/>
        </w:rPr>
      </w:pPr>
    </w:p>
    <w:p w14:paraId="634E6249" w14:textId="77777777" w:rsidR="005E5477" w:rsidRDefault="005E5477" w:rsidP="00827884">
      <w:pPr>
        <w:rPr>
          <w:rFonts w:ascii="Arial" w:hAnsi="Arial" w:cs="Arial"/>
          <w:b/>
          <w:bCs/>
          <w:sz w:val="28"/>
          <w:szCs w:val="28"/>
        </w:rPr>
      </w:pPr>
    </w:p>
    <w:p w14:paraId="74C193FD" w14:textId="77777777" w:rsidR="005E5477" w:rsidRDefault="005E5477" w:rsidP="00827884">
      <w:pPr>
        <w:rPr>
          <w:rFonts w:ascii="Arial" w:hAnsi="Arial" w:cs="Arial"/>
          <w:b/>
          <w:bCs/>
          <w:sz w:val="28"/>
          <w:szCs w:val="28"/>
        </w:rPr>
      </w:pPr>
    </w:p>
    <w:p w14:paraId="4D373E36" w14:textId="77777777" w:rsidR="005E5477" w:rsidRDefault="005E5477" w:rsidP="00827884">
      <w:pPr>
        <w:rPr>
          <w:rFonts w:ascii="Arial" w:hAnsi="Arial" w:cs="Arial"/>
          <w:b/>
          <w:bCs/>
          <w:sz w:val="28"/>
          <w:szCs w:val="28"/>
        </w:rPr>
      </w:pPr>
    </w:p>
    <w:p w14:paraId="38E7B234" w14:textId="77777777" w:rsidR="005E5477" w:rsidRDefault="005E5477" w:rsidP="00827884">
      <w:pPr>
        <w:rPr>
          <w:rFonts w:ascii="Arial" w:hAnsi="Arial" w:cs="Arial"/>
          <w:b/>
          <w:bCs/>
          <w:sz w:val="28"/>
          <w:szCs w:val="28"/>
        </w:rPr>
      </w:pPr>
    </w:p>
    <w:p w14:paraId="098F2D8D" w14:textId="77777777" w:rsidR="005E5477" w:rsidRDefault="005E5477" w:rsidP="00827884">
      <w:pPr>
        <w:rPr>
          <w:rFonts w:ascii="Arial" w:hAnsi="Arial" w:cs="Arial"/>
          <w:b/>
          <w:bCs/>
          <w:sz w:val="28"/>
          <w:szCs w:val="28"/>
        </w:rPr>
      </w:pPr>
    </w:p>
    <w:p w14:paraId="478C7B2B" w14:textId="77777777" w:rsidR="005E5477" w:rsidRDefault="005E5477" w:rsidP="00827884">
      <w:pPr>
        <w:rPr>
          <w:rFonts w:ascii="Arial" w:hAnsi="Arial" w:cs="Arial"/>
          <w:b/>
          <w:bCs/>
          <w:sz w:val="28"/>
          <w:szCs w:val="28"/>
        </w:rPr>
      </w:pPr>
    </w:p>
    <w:p w14:paraId="2FE7AFE0" w14:textId="77777777" w:rsidR="007350BA" w:rsidRDefault="007350BA" w:rsidP="00827884">
      <w:pPr>
        <w:rPr>
          <w:rFonts w:ascii="Arial" w:hAnsi="Arial" w:cs="Arial"/>
          <w:b/>
          <w:bCs/>
          <w:sz w:val="28"/>
          <w:szCs w:val="28"/>
        </w:rPr>
      </w:pPr>
    </w:p>
    <w:p w14:paraId="37E8F428" w14:textId="4F7A621C" w:rsidR="00A37089" w:rsidRPr="002E10AC" w:rsidRDefault="007350BA" w:rsidP="00827884">
      <w:pPr>
        <w:rPr>
          <w:rFonts w:ascii="Arial" w:hAnsi="Arial" w:cs="Arial"/>
          <w:b/>
          <w:bCs/>
          <w:sz w:val="28"/>
          <w:szCs w:val="28"/>
          <w:u w:val="single"/>
        </w:rPr>
      </w:pPr>
      <w:r>
        <w:rPr>
          <w:rFonts w:ascii="Arial" w:hAnsi="Arial" w:cs="Arial"/>
          <w:b/>
          <w:bCs/>
          <w:sz w:val="28"/>
          <w:szCs w:val="28"/>
        </w:rPr>
        <w:t xml:space="preserve">        </w:t>
      </w:r>
      <w:r w:rsidR="003C3CBC">
        <w:rPr>
          <w:rFonts w:ascii="Arial" w:hAnsi="Arial" w:cs="Arial"/>
          <w:b/>
          <w:bCs/>
          <w:sz w:val="28"/>
          <w:szCs w:val="28"/>
        </w:rPr>
        <w:t xml:space="preserve"> </w:t>
      </w:r>
      <w:r w:rsidR="00EA6608" w:rsidRPr="002E10AC">
        <w:rPr>
          <w:rFonts w:ascii="Arial" w:hAnsi="Arial" w:cs="Arial"/>
          <w:b/>
          <w:bCs/>
          <w:sz w:val="28"/>
          <w:szCs w:val="28"/>
          <w:u w:val="single"/>
        </w:rPr>
        <w:t>An Analysis of Global Human Resource Management Practices and Environmental Influences: The Case of Unilever</w:t>
      </w:r>
    </w:p>
    <w:p w14:paraId="2A1AC52E" w14:textId="77777777" w:rsidR="00A37089" w:rsidRDefault="00A37089" w:rsidP="00827884">
      <w:pPr>
        <w:rPr>
          <w:rFonts w:ascii="Arial" w:hAnsi="Arial" w:cs="Arial"/>
        </w:rPr>
      </w:pPr>
    </w:p>
    <w:p w14:paraId="546BDBF2" w14:textId="77777777" w:rsidR="004F167F" w:rsidRDefault="004F167F" w:rsidP="007350BA">
      <w:pPr>
        <w:spacing w:line="360" w:lineRule="auto"/>
        <w:rPr>
          <w:rFonts w:ascii="Arial" w:hAnsi="Arial" w:cs="Arial"/>
          <w:sz w:val="22"/>
          <w:szCs w:val="22"/>
        </w:rPr>
      </w:pPr>
    </w:p>
    <w:p w14:paraId="6D78D8B5" w14:textId="7947D964" w:rsidR="00827884" w:rsidRPr="002E10AC" w:rsidRDefault="00827884" w:rsidP="007350BA">
      <w:pPr>
        <w:spacing w:line="360" w:lineRule="auto"/>
        <w:rPr>
          <w:rFonts w:ascii="Arial" w:hAnsi="Arial" w:cs="Arial"/>
          <w:b/>
          <w:bCs/>
          <w:color w:val="153D63" w:themeColor="text2" w:themeTint="E6"/>
        </w:rPr>
      </w:pPr>
      <w:r w:rsidRPr="002E10AC">
        <w:rPr>
          <w:rFonts w:ascii="Arial" w:hAnsi="Arial" w:cs="Arial"/>
          <w:b/>
          <w:bCs/>
          <w:color w:val="153D63" w:themeColor="text2" w:themeTint="E6"/>
        </w:rPr>
        <w:t xml:space="preserve">Introduction </w:t>
      </w:r>
    </w:p>
    <w:p w14:paraId="3F2E958B" w14:textId="58F68705"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Human resource (HR) management is central to organisational effectiveness because it aligns people strategies with business </w:t>
      </w:r>
      <w:r w:rsidR="00963880" w:rsidRPr="007350BA">
        <w:rPr>
          <w:rFonts w:ascii="Arial" w:hAnsi="Arial" w:cs="Arial"/>
          <w:sz w:val="22"/>
          <w:szCs w:val="22"/>
        </w:rPr>
        <w:t>goals</w:t>
      </w:r>
      <w:r w:rsidRPr="007350BA">
        <w:rPr>
          <w:rFonts w:ascii="Arial" w:hAnsi="Arial" w:cs="Arial"/>
          <w:sz w:val="22"/>
          <w:szCs w:val="22"/>
        </w:rPr>
        <w:t xml:space="preserve">, ensures legal and ethical compliance, and fosters employee capabilities and engagement (Armstrong, 2020; </w:t>
      </w:r>
      <w:proofErr w:type="spellStart"/>
      <w:r w:rsidRPr="007350BA">
        <w:rPr>
          <w:rFonts w:ascii="Arial" w:hAnsi="Arial" w:cs="Arial"/>
          <w:sz w:val="22"/>
          <w:szCs w:val="22"/>
        </w:rPr>
        <w:t>Bratton</w:t>
      </w:r>
      <w:proofErr w:type="spellEnd"/>
      <w:r w:rsidRPr="007350BA">
        <w:rPr>
          <w:rFonts w:ascii="Arial" w:hAnsi="Arial" w:cs="Arial"/>
          <w:sz w:val="22"/>
          <w:szCs w:val="22"/>
        </w:rPr>
        <w:t xml:space="preserve"> &amp; Gold, 2017). Core HR functions include recruitment, training and development, performance management, and employee relations. Recruitment secures the right talent mix and capabilities to meet strategic goals, reducing skill gaps and turnover costs (</w:t>
      </w:r>
      <w:proofErr w:type="spellStart"/>
      <w:r w:rsidRPr="007350BA">
        <w:rPr>
          <w:rFonts w:ascii="Arial" w:hAnsi="Arial" w:cs="Arial"/>
          <w:sz w:val="22"/>
          <w:szCs w:val="22"/>
        </w:rPr>
        <w:t>Dessler</w:t>
      </w:r>
      <w:proofErr w:type="spellEnd"/>
      <w:r w:rsidRPr="007350BA">
        <w:rPr>
          <w:rFonts w:ascii="Arial" w:hAnsi="Arial" w:cs="Arial"/>
          <w:sz w:val="22"/>
          <w:szCs w:val="22"/>
        </w:rPr>
        <w:t xml:space="preserve">, 2020). Training and development build workforce competencies, support career progression, and adapt employees to technological and market changes (Noe, 2017). Performance management </w:t>
      </w:r>
      <w:r w:rsidR="00963880" w:rsidRPr="007350BA">
        <w:rPr>
          <w:rFonts w:ascii="Arial" w:hAnsi="Arial" w:cs="Arial"/>
          <w:sz w:val="22"/>
          <w:szCs w:val="22"/>
        </w:rPr>
        <w:t>proves</w:t>
      </w:r>
      <w:r w:rsidRPr="007350BA">
        <w:rPr>
          <w:rFonts w:ascii="Arial" w:hAnsi="Arial" w:cs="Arial"/>
          <w:sz w:val="22"/>
          <w:szCs w:val="22"/>
        </w:rPr>
        <w:t xml:space="preserve"> expectations, monitors outcomes, and links rewards to achievement, driving productivity and continuous improvement (</w:t>
      </w:r>
      <w:proofErr w:type="spellStart"/>
      <w:r w:rsidRPr="007350BA">
        <w:rPr>
          <w:rFonts w:ascii="Arial" w:hAnsi="Arial" w:cs="Arial"/>
          <w:sz w:val="22"/>
          <w:szCs w:val="22"/>
        </w:rPr>
        <w:t>Pulakos</w:t>
      </w:r>
      <w:proofErr w:type="spellEnd"/>
      <w:r w:rsidRPr="007350BA">
        <w:rPr>
          <w:rFonts w:ascii="Arial" w:hAnsi="Arial" w:cs="Arial"/>
          <w:sz w:val="22"/>
          <w:szCs w:val="22"/>
        </w:rPr>
        <w:t xml:space="preserve">, 2009). Employee relations </w:t>
      </w:r>
      <w:r w:rsidR="00963880" w:rsidRPr="007350BA">
        <w:rPr>
          <w:rFonts w:ascii="Arial" w:hAnsi="Arial" w:cs="Arial"/>
          <w:sz w:val="22"/>
          <w:szCs w:val="22"/>
        </w:rPr>
        <w:t>support</w:t>
      </w:r>
      <w:r w:rsidRPr="007350BA">
        <w:rPr>
          <w:rFonts w:ascii="Arial" w:hAnsi="Arial" w:cs="Arial"/>
          <w:sz w:val="22"/>
          <w:szCs w:val="22"/>
        </w:rPr>
        <w:t xml:space="preserve"> workplace harmony, ensure compliance with labour law, handle disputes, and cultivate an inclusive culture</w:t>
      </w:r>
      <w:r w:rsidR="00963880" w:rsidRPr="007350BA">
        <w:rPr>
          <w:rFonts w:ascii="Arial" w:hAnsi="Arial" w:cs="Arial"/>
          <w:sz w:val="22"/>
          <w:szCs w:val="22"/>
        </w:rPr>
        <w:t xml:space="preserve"> </w:t>
      </w:r>
      <w:r w:rsidRPr="007350BA">
        <w:rPr>
          <w:rFonts w:ascii="Arial" w:hAnsi="Arial" w:cs="Arial"/>
          <w:sz w:val="22"/>
          <w:szCs w:val="22"/>
        </w:rPr>
        <w:t>critical for retention and reputation (Kaufman, 2015; CIPD, 2021).</w:t>
      </w:r>
    </w:p>
    <w:p w14:paraId="3A159A76"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This report examines how internal and external environments shape HR practice by applying a business environment model. The chosen model, PESTLE (Political, Economic, Social, Technological, Legal, Environmental), provides a structured lens for analysing macro forces that influence HR strategy and operational choices (Johnson, Scholes &amp; Whittington, 2017). </w:t>
      </w:r>
    </w:p>
    <w:p w14:paraId="21228364" w14:textId="749BBEC4"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Following this introduction, Section 2 outlines the PESTLE model, its usefulness and limitations, and links to HR functions. Section 3 applies the analysis to a global organisation </w:t>
      </w:r>
      <w:r w:rsidRPr="007350BA">
        <w:rPr>
          <w:rFonts w:ascii="Arial" w:hAnsi="Arial" w:cs="Arial"/>
          <w:b/>
          <w:bCs/>
          <w:sz w:val="22"/>
          <w:szCs w:val="22"/>
        </w:rPr>
        <w:t>Unilever</w:t>
      </w:r>
      <w:r w:rsidRPr="007350BA">
        <w:rPr>
          <w:rFonts w:ascii="Arial" w:hAnsi="Arial" w:cs="Arial"/>
          <w:sz w:val="22"/>
          <w:szCs w:val="22"/>
        </w:rPr>
        <w:t xml:space="preserve"> overviewing its operations and HR approaches in multiple countries. Section 4 offers an </w:t>
      </w:r>
      <w:r w:rsidR="00963880" w:rsidRPr="007350BA">
        <w:rPr>
          <w:rFonts w:ascii="Arial" w:hAnsi="Arial" w:cs="Arial"/>
          <w:sz w:val="22"/>
          <w:szCs w:val="22"/>
        </w:rPr>
        <w:t>in-depth</w:t>
      </w:r>
      <w:r w:rsidRPr="007350BA">
        <w:rPr>
          <w:rFonts w:ascii="Arial" w:hAnsi="Arial" w:cs="Arial"/>
          <w:sz w:val="22"/>
          <w:szCs w:val="22"/>
        </w:rPr>
        <w:t xml:space="preserve"> application of PESTLE to </w:t>
      </w:r>
      <w:r w:rsidRPr="007350BA">
        <w:rPr>
          <w:rFonts w:ascii="Arial" w:hAnsi="Arial" w:cs="Arial"/>
          <w:b/>
          <w:bCs/>
          <w:sz w:val="22"/>
          <w:szCs w:val="22"/>
        </w:rPr>
        <w:t>Unilever’</w:t>
      </w:r>
      <w:r w:rsidRPr="007350BA">
        <w:rPr>
          <w:rFonts w:ascii="Arial" w:hAnsi="Arial" w:cs="Arial"/>
          <w:sz w:val="22"/>
          <w:szCs w:val="22"/>
        </w:rPr>
        <w:t xml:space="preserve">s HR practices, exploring impacts on recruitment, training, performance management, and employee relations, and evaluating country differences. The report concludes with a summary of findings and future implications for HR managers </w:t>
      </w:r>
      <w:r w:rsidR="00963880" w:rsidRPr="007350BA">
        <w:rPr>
          <w:rFonts w:ascii="Arial" w:hAnsi="Arial" w:cs="Arial"/>
          <w:sz w:val="22"/>
          <w:szCs w:val="22"/>
        </w:rPr>
        <w:t>running</w:t>
      </w:r>
      <w:r w:rsidRPr="007350BA">
        <w:rPr>
          <w:rFonts w:ascii="Arial" w:hAnsi="Arial" w:cs="Arial"/>
          <w:sz w:val="22"/>
          <w:szCs w:val="22"/>
        </w:rPr>
        <w:t xml:space="preserve"> in dynamic, global contexts. </w:t>
      </w:r>
    </w:p>
    <w:p w14:paraId="4D574F3F" w14:textId="67657133" w:rsidR="00827884" w:rsidRPr="002E10AC" w:rsidRDefault="00A37089" w:rsidP="007350BA">
      <w:pPr>
        <w:spacing w:line="360" w:lineRule="auto"/>
        <w:rPr>
          <w:rFonts w:ascii="Arial" w:hAnsi="Arial" w:cs="Arial"/>
          <w:b/>
          <w:bCs/>
          <w:color w:val="153D63" w:themeColor="text2" w:themeTint="E6"/>
        </w:rPr>
      </w:pPr>
      <w:r w:rsidRPr="002E10AC">
        <w:rPr>
          <w:rFonts w:ascii="Arial" w:hAnsi="Arial" w:cs="Arial"/>
          <w:b/>
          <w:bCs/>
          <w:color w:val="153D63" w:themeColor="text2" w:themeTint="E6"/>
        </w:rPr>
        <w:t xml:space="preserve"> </w:t>
      </w:r>
      <w:r w:rsidR="00236908" w:rsidRPr="002E10AC">
        <w:rPr>
          <w:rFonts w:ascii="Arial" w:hAnsi="Arial" w:cs="Arial"/>
          <w:b/>
          <w:bCs/>
          <w:color w:val="153D63" w:themeColor="text2" w:themeTint="E6"/>
        </w:rPr>
        <w:t>In</w:t>
      </w:r>
      <w:r w:rsidR="00827884" w:rsidRPr="002E10AC">
        <w:rPr>
          <w:rFonts w:ascii="Arial" w:hAnsi="Arial" w:cs="Arial"/>
          <w:b/>
          <w:bCs/>
          <w:color w:val="153D63" w:themeColor="text2" w:themeTint="E6"/>
        </w:rPr>
        <w:t xml:space="preserve">ternal and External Environment </w:t>
      </w:r>
    </w:p>
    <w:p w14:paraId="62E9858C"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sz w:val="22"/>
          <w:szCs w:val="22"/>
        </w:rPr>
        <w:t xml:space="preserve">Business Environment Model: </w:t>
      </w:r>
      <w:r w:rsidRPr="007350BA">
        <w:rPr>
          <w:rFonts w:ascii="Arial" w:hAnsi="Arial" w:cs="Arial"/>
          <w:b/>
          <w:bCs/>
          <w:sz w:val="22"/>
          <w:szCs w:val="22"/>
        </w:rPr>
        <w:t>PESTLE</w:t>
      </w:r>
    </w:p>
    <w:p w14:paraId="4C0EA0AD" w14:textId="0A2D081D"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The PESTLE framework categorises external macro-environmental forces into Political, Economic, Social, Technological, Legal, and Environmental factors (</w:t>
      </w:r>
      <w:proofErr w:type="spellStart"/>
      <w:r w:rsidRPr="007350BA">
        <w:rPr>
          <w:rFonts w:ascii="Arial" w:hAnsi="Arial" w:cs="Arial"/>
          <w:sz w:val="22"/>
          <w:szCs w:val="22"/>
        </w:rPr>
        <w:t>Yüksel</w:t>
      </w:r>
      <w:proofErr w:type="spellEnd"/>
      <w:r w:rsidRPr="007350BA">
        <w:rPr>
          <w:rFonts w:ascii="Arial" w:hAnsi="Arial" w:cs="Arial"/>
          <w:sz w:val="22"/>
          <w:szCs w:val="22"/>
        </w:rPr>
        <w:t xml:space="preserve">, 2012). It helps organisations systematically scan the broader context to </w:t>
      </w:r>
      <w:r w:rsidR="00963880" w:rsidRPr="007350BA">
        <w:rPr>
          <w:rFonts w:ascii="Arial" w:hAnsi="Arial" w:cs="Arial"/>
          <w:sz w:val="22"/>
          <w:szCs w:val="22"/>
        </w:rPr>
        <w:t>find</w:t>
      </w:r>
      <w:r w:rsidRPr="007350BA">
        <w:rPr>
          <w:rFonts w:ascii="Arial" w:hAnsi="Arial" w:cs="Arial"/>
          <w:sz w:val="22"/>
          <w:szCs w:val="22"/>
        </w:rPr>
        <w:t xml:space="preserve"> opportunities and threats, informing strategic planning and risk management (Johnson et al., 2017). For HR, PESTLE </w:t>
      </w:r>
      <w:r w:rsidR="00963880" w:rsidRPr="007350BA">
        <w:rPr>
          <w:rFonts w:ascii="Arial" w:hAnsi="Arial" w:cs="Arial"/>
          <w:sz w:val="22"/>
          <w:szCs w:val="22"/>
        </w:rPr>
        <w:t>eases</w:t>
      </w:r>
      <w:r w:rsidRPr="007350BA">
        <w:rPr>
          <w:rFonts w:ascii="Arial" w:hAnsi="Arial" w:cs="Arial"/>
          <w:sz w:val="22"/>
          <w:szCs w:val="22"/>
        </w:rPr>
        <w:t xml:space="preserve"> anticipation of labour market shifts (Economic), regulatory changes (Legal/Political), demographic and cultural trends (Social), technology</w:t>
      </w:r>
      <w:r w:rsidR="00963880" w:rsidRPr="007350BA">
        <w:rPr>
          <w:rFonts w:ascii="Arial" w:hAnsi="Arial" w:cs="Arial"/>
          <w:sz w:val="22"/>
          <w:szCs w:val="22"/>
        </w:rPr>
        <w:t xml:space="preserve"> </w:t>
      </w:r>
      <w:r w:rsidRPr="007350BA">
        <w:rPr>
          <w:rFonts w:ascii="Arial" w:hAnsi="Arial" w:cs="Arial"/>
          <w:sz w:val="22"/>
          <w:szCs w:val="22"/>
        </w:rPr>
        <w:t>driven changes to work design (Technological), and sustainability imperatives affecting employer reputation and practices (Environmental) (CIPD, 2020; SHRM, 2019). By structuring environmental scanning, PESTLE supports scenario planning, workforce forecasting, and alignment of HR policies with long-term business strategy (</w:t>
      </w:r>
      <w:proofErr w:type="spellStart"/>
      <w:r w:rsidRPr="007350BA">
        <w:rPr>
          <w:rFonts w:ascii="Arial" w:hAnsi="Arial" w:cs="Arial"/>
          <w:sz w:val="22"/>
          <w:szCs w:val="22"/>
        </w:rPr>
        <w:t>Hitt</w:t>
      </w:r>
      <w:proofErr w:type="spellEnd"/>
      <w:r w:rsidRPr="007350BA">
        <w:rPr>
          <w:rFonts w:ascii="Arial" w:hAnsi="Arial" w:cs="Arial"/>
          <w:sz w:val="22"/>
          <w:szCs w:val="22"/>
        </w:rPr>
        <w:t xml:space="preserve">, Ireland &amp; </w:t>
      </w:r>
      <w:proofErr w:type="spellStart"/>
      <w:r w:rsidRPr="007350BA">
        <w:rPr>
          <w:rFonts w:ascii="Arial" w:hAnsi="Arial" w:cs="Arial"/>
          <w:sz w:val="22"/>
          <w:szCs w:val="22"/>
        </w:rPr>
        <w:t>Hoskisson</w:t>
      </w:r>
      <w:proofErr w:type="spellEnd"/>
      <w:r w:rsidRPr="007350BA">
        <w:rPr>
          <w:rFonts w:ascii="Arial" w:hAnsi="Arial" w:cs="Arial"/>
          <w:sz w:val="22"/>
          <w:szCs w:val="22"/>
        </w:rPr>
        <w:t>, 2017).</w:t>
      </w:r>
    </w:p>
    <w:p w14:paraId="1CEC433C"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Usefulness</w:t>
      </w:r>
    </w:p>
    <w:p w14:paraId="4A30775C" w14:textId="2AEE1869"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1. Strategic foresight: PESTLE enables HR leaders to </w:t>
      </w:r>
      <w:r w:rsidR="00963880" w:rsidRPr="007350BA">
        <w:rPr>
          <w:rFonts w:ascii="Arial" w:hAnsi="Arial" w:cs="Arial"/>
          <w:sz w:val="22"/>
          <w:szCs w:val="22"/>
        </w:rPr>
        <w:t>find</w:t>
      </w:r>
      <w:r w:rsidRPr="007350BA">
        <w:rPr>
          <w:rFonts w:ascii="Arial" w:hAnsi="Arial" w:cs="Arial"/>
          <w:sz w:val="22"/>
          <w:szCs w:val="22"/>
        </w:rPr>
        <w:t xml:space="preserve"> macro trends that will influence talent supply, skill requirements, and cost structures</w:t>
      </w:r>
      <w:r w:rsidR="00236908" w:rsidRPr="007350BA">
        <w:rPr>
          <w:rFonts w:ascii="Arial" w:hAnsi="Arial" w:cs="Arial"/>
          <w:sz w:val="22"/>
          <w:szCs w:val="22"/>
        </w:rPr>
        <w:t xml:space="preserve"> </w:t>
      </w:r>
      <w:r w:rsidRPr="007350BA">
        <w:rPr>
          <w:rFonts w:ascii="Arial" w:hAnsi="Arial" w:cs="Arial"/>
          <w:sz w:val="22"/>
          <w:szCs w:val="22"/>
        </w:rPr>
        <w:t>e.g., ageing populations affecting labour supply, or automation changing skills demand (Frey &amp; Osborne, 2017; World Bank, 2019).</w:t>
      </w:r>
    </w:p>
    <w:p w14:paraId="32ACCE4A" w14:textId="77777777" w:rsidR="000B1173"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2. Risk and compliance management: The Legal and Political dimensions prompt HR to </w:t>
      </w:r>
      <w:r w:rsidR="00963880" w:rsidRPr="007350BA">
        <w:rPr>
          <w:rFonts w:ascii="Arial" w:hAnsi="Arial" w:cs="Arial"/>
          <w:sz w:val="22"/>
          <w:szCs w:val="22"/>
        </w:rPr>
        <w:t>check</w:t>
      </w:r>
      <w:r w:rsidRPr="007350BA">
        <w:rPr>
          <w:rFonts w:ascii="Arial" w:hAnsi="Arial" w:cs="Arial"/>
          <w:sz w:val="22"/>
          <w:szCs w:val="22"/>
        </w:rPr>
        <w:t xml:space="preserve"> labour law changes, immigration policies, and trade agreements that affect mobility and contracts (Kaufman, 2015).</w:t>
      </w:r>
    </w:p>
    <w:p w14:paraId="4258D442" w14:textId="77777777" w:rsidR="000B1173" w:rsidRPr="007350BA" w:rsidRDefault="00827884" w:rsidP="007350BA">
      <w:pPr>
        <w:spacing w:line="360" w:lineRule="auto"/>
        <w:rPr>
          <w:rFonts w:ascii="Arial" w:hAnsi="Arial" w:cs="Arial"/>
          <w:sz w:val="22"/>
          <w:szCs w:val="22"/>
        </w:rPr>
      </w:pPr>
      <w:r w:rsidRPr="007350BA">
        <w:rPr>
          <w:rFonts w:ascii="Arial" w:hAnsi="Arial" w:cs="Arial"/>
          <w:sz w:val="22"/>
          <w:szCs w:val="22"/>
        </w:rPr>
        <w:t>3. Cultural and social alignment: Social factors guide diversity, inclusion, and employer branding strategies tailored to societal values (</w:t>
      </w:r>
      <w:proofErr w:type="spellStart"/>
      <w:r w:rsidRPr="007350BA">
        <w:rPr>
          <w:rFonts w:ascii="Arial" w:hAnsi="Arial" w:cs="Arial"/>
          <w:sz w:val="22"/>
          <w:szCs w:val="22"/>
        </w:rPr>
        <w:t>Hofstede</w:t>
      </w:r>
      <w:proofErr w:type="spellEnd"/>
      <w:r w:rsidRPr="007350BA">
        <w:rPr>
          <w:rFonts w:ascii="Arial" w:hAnsi="Arial" w:cs="Arial"/>
          <w:sz w:val="22"/>
          <w:szCs w:val="22"/>
        </w:rPr>
        <w:t>, 2001; Brewster et al., 2016).</w:t>
      </w:r>
    </w:p>
    <w:p w14:paraId="17C98B1C" w14:textId="0CD78011"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4. Innovation and productivity: Technological scanning informs digital HR transformation</w:t>
      </w:r>
      <w:r w:rsidR="00236908" w:rsidRPr="007350BA">
        <w:rPr>
          <w:rFonts w:ascii="Arial" w:hAnsi="Arial" w:cs="Arial"/>
          <w:sz w:val="22"/>
          <w:szCs w:val="22"/>
        </w:rPr>
        <w:t xml:space="preserve"> </w:t>
      </w:r>
      <w:r w:rsidRPr="007350BA">
        <w:rPr>
          <w:rFonts w:ascii="Arial" w:hAnsi="Arial" w:cs="Arial"/>
          <w:sz w:val="22"/>
          <w:szCs w:val="22"/>
        </w:rPr>
        <w:t>HRIS adoption, virtual work policy, learning technologies (Ulrich et al., 2017).</w:t>
      </w:r>
    </w:p>
    <w:p w14:paraId="243D36C6"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Limitations</w:t>
      </w:r>
    </w:p>
    <w:p w14:paraId="37033CDA" w14:textId="65DCC04E"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1. Macro</w:t>
      </w:r>
      <w:r w:rsidR="00963880" w:rsidRPr="007350BA">
        <w:rPr>
          <w:rFonts w:ascii="Arial" w:hAnsi="Arial" w:cs="Arial"/>
          <w:sz w:val="22"/>
          <w:szCs w:val="22"/>
        </w:rPr>
        <w:t xml:space="preserve"> </w:t>
      </w:r>
      <w:r w:rsidRPr="007350BA">
        <w:rPr>
          <w:rFonts w:ascii="Arial" w:hAnsi="Arial" w:cs="Arial"/>
          <w:sz w:val="22"/>
          <w:szCs w:val="22"/>
        </w:rPr>
        <w:t>level focus: PESTLE overlooks firm</w:t>
      </w:r>
      <w:r w:rsidR="00236908" w:rsidRPr="007350BA">
        <w:rPr>
          <w:rFonts w:ascii="Arial" w:hAnsi="Arial" w:cs="Arial"/>
          <w:sz w:val="22"/>
          <w:szCs w:val="22"/>
        </w:rPr>
        <w:t xml:space="preserve"> </w:t>
      </w:r>
      <w:r w:rsidRPr="007350BA">
        <w:rPr>
          <w:rFonts w:ascii="Arial" w:hAnsi="Arial" w:cs="Arial"/>
          <w:sz w:val="22"/>
          <w:szCs w:val="22"/>
        </w:rPr>
        <w:t>specific internal dynamics (resources, capabilities) and micro</w:t>
      </w:r>
      <w:r w:rsidR="00236908" w:rsidRPr="007350BA">
        <w:rPr>
          <w:rFonts w:ascii="Arial" w:hAnsi="Arial" w:cs="Arial"/>
          <w:sz w:val="22"/>
          <w:szCs w:val="22"/>
        </w:rPr>
        <w:t xml:space="preserve"> </w:t>
      </w:r>
      <w:r w:rsidRPr="007350BA">
        <w:rPr>
          <w:rFonts w:ascii="Arial" w:hAnsi="Arial" w:cs="Arial"/>
          <w:sz w:val="22"/>
          <w:szCs w:val="22"/>
        </w:rPr>
        <w:t xml:space="preserve">level employee behaviours essential for HR decisions (Barney, 1991; </w:t>
      </w:r>
      <w:proofErr w:type="spellStart"/>
      <w:r w:rsidRPr="007350BA">
        <w:rPr>
          <w:rFonts w:ascii="Arial" w:hAnsi="Arial" w:cs="Arial"/>
          <w:sz w:val="22"/>
          <w:szCs w:val="22"/>
        </w:rPr>
        <w:t>Boxall</w:t>
      </w:r>
      <w:proofErr w:type="spellEnd"/>
      <w:r w:rsidRPr="007350BA">
        <w:rPr>
          <w:rFonts w:ascii="Arial" w:hAnsi="Arial" w:cs="Arial"/>
          <w:sz w:val="22"/>
          <w:szCs w:val="22"/>
        </w:rPr>
        <w:t xml:space="preserve"> &amp; Purcell, 2016).</w:t>
      </w:r>
    </w:p>
    <w:p w14:paraId="124255E8" w14:textId="73FF04E8"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2. Static snapshot: PESTLE analyses can become quickly outdated; it requires continual updating and integration with real</w:t>
      </w:r>
      <w:r w:rsidR="00236908" w:rsidRPr="007350BA">
        <w:rPr>
          <w:rFonts w:ascii="Arial" w:hAnsi="Arial" w:cs="Arial"/>
          <w:sz w:val="22"/>
          <w:szCs w:val="22"/>
        </w:rPr>
        <w:t xml:space="preserve"> </w:t>
      </w:r>
      <w:r w:rsidRPr="007350BA">
        <w:rPr>
          <w:rFonts w:ascii="Arial" w:hAnsi="Arial" w:cs="Arial"/>
          <w:sz w:val="22"/>
          <w:szCs w:val="22"/>
        </w:rPr>
        <w:t>time data (Porter, 2008).</w:t>
      </w:r>
    </w:p>
    <w:p w14:paraId="15E66F8A"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3. Lack of prioritisation: The framework lists factors but does not rank their strategic significance or provide causal relationships (Johnson et al., 2017).</w:t>
      </w:r>
    </w:p>
    <w:p w14:paraId="4451B4D5"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4. Subjectivity and scope creep: Analysts may inconsistently define factor boundaries, leading to overlapping issues and diluted focus (</w:t>
      </w:r>
      <w:proofErr w:type="spellStart"/>
      <w:r w:rsidRPr="007350BA">
        <w:rPr>
          <w:rFonts w:ascii="Arial" w:hAnsi="Arial" w:cs="Arial"/>
          <w:sz w:val="22"/>
          <w:szCs w:val="22"/>
        </w:rPr>
        <w:t>Yüksel</w:t>
      </w:r>
      <w:proofErr w:type="spellEnd"/>
      <w:r w:rsidRPr="007350BA">
        <w:rPr>
          <w:rFonts w:ascii="Arial" w:hAnsi="Arial" w:cs="Arial"/>
          <w:sz w:val="22"/>
          <w:szCs w:val="22"/>
        </w:rPr>
        <w:t>, 2012).</w:t>
      </w:r>
    </w:p>
    <w:p w14:paraId="6389C507"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Link to HR Functions</w:t>
      </w:r>
    </w:p>
    <w:p w14:paraId="5C160C2A" w14:textId="7CDC460B"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Recruitment: Economic and demographic trends </w:t>
      </w:r>
      <w:r w:rsidR="00D812AD" w:rsidRPr="007350BA">
        <w:rPr>
          <w:rFonts w:ascii="Arial" w:hAnsi="Arial" w:cs="Arial"/>
          <w:sz w:val="22"/>
          <w:szCs w:val="22"/>
        </w:rPr>
        <w:t>decide</w:t>
      </w:r>
      <w:r w:rsidRPr="007350BA">
        <w:rPr>
          <w:rFonts w:ascii="Arial" w:hAnsi="Arial" w:cs="Arial"/>
          <w:sz w:val="22"/>
          <w:szCs w:val="22"/>
        </w:rPr>
        <w:t xml:space="preserve"> labour availability and wage pressures; political and legal elements (immigration rules, </w:t>
      </w:r>
      <w:r w:rsidR="00236908" w:rsidRPr="007350BA">
        <w:rPr>
          <w:rFonts w:ascii="Arial" w:hAnsi="Arial" w:cs="Arial"/>
          <w:sz w:val="22"/>
          <w:szCs w:val="22"/>
        </w:rPr>
        <w:t>anti-discrimination</w:t>
      </w:r>
      <w:r w:rsidRPr="007350BA">
        <w:rPr>
          <w:rFonts w:ascii="Arial" w:hAnsi="Arial" w:cs="Arial"/>
          <w:sz w:val="22"/>
          <w:szCs w:val="22"/>
        </w:rPr>
        <w:t xml:space="preserve"> law) shape recruitment channels and eligibility criteria (SHRM, 2019). Technological factors enable online recruitment platforms and</w:t>
      </w:r>
      <w:r w:rsidR="00236908" w:rsidRPr="007350BA">
        <w:rPr>
          <w:rFonts w:ascii="Arial" w:hAnsi="Arial" w:cs="Arial"/>
          <w:sz w:val="22"/>
          <w:szCs w:val="22"/>
        </w:rPr>
        <w:t xml:space="preserve"> </w:t>
      </w:r>
      <w:r w:rsidRPr="007350BA">
        <w:rPr>
          <w:rFonts w:ascii="Arial" w:hAnsi="Arial" w:cs="Arial"/>
          <w:sz w:val="22"/>
          <w:szCs w:val="22"/>
        </w:rPr>
        <w:t>AI</w:t>
      </w:r>
      <w:r w:rsidR="00236908" w:rsidRPr="007350BA">
        <w:rPr>
          <w:rFonts w:ascii="Arial" w:hAnsi="Arial" w:cs="Arial"/>
          <w:sz w:val="22"/>
          <w:szCs w:val="22"/>
        </w:rPr>
        <w:t xml:space="preserve"> </w:t>
      </w:r>
      <w:r w:rsidRPr="007350BA">
        <w:rPr>
          <w:rFonts w:ascii="Arial" w:hAnsi="Arial" w:cs="Arial"/>
          <w:sz w:val="22"/>
          <w:szCs w:val="22"/>
        </w:rPr>
        <w:t xml:space="preserve">driven </w:t>
      </w:r>
      <w:r w:rsidR="00D812AD" w:rsidRPr="007350BA">
        <w:rPr>
          <w:rFonts w:ascii="Arial" w:hAnsi="Arial" w:cs="Arial"/>
          <w:sz w:val="22"/>
          <w:szCs w:val="22"/>
        </w:rPr>
        <w:t>choice</w:t>
      </w:r>
      <w:r w:rsidRPr="007350BA">
        <w:rPr>
          <w:rFonts w:ascii="Arial" w:hAnsi="Arial" w:cs="Arial"/>
          <w:sz w:val="22"/>
          <w:szCs w:val="22"/>
        </w:rPr>
        <w:t xml:space="preserve"> but raise ethical concerns (</w:t>
      </w:r>
      <w:proofErr w:type="spellStart"/>
      <w:r w:rsidRPr="007350BA">
        <w:rPr>
          <w:rFonts w:ascii="Arial" w:hAnsi="Arial" w:cs="Arial"/>
          <w:sz w:val="22"/>
          <w:szCs w:val="22"/>
        </w:rPr>
        <w:t>Marler</w:t>
      </w:r>
      <w:proofErr w:type="spellEnd"/>
      <w:r w:rsidRPr="007350BA">
        <w:rPr>
          <w:rFonts w:ascii="Arial" w:hAnsi="Arial" w:cs="Arial"/>
          <w:sz w:val="22"/>
          <w:szCs w:val="22"/>
        </w:rPr>
        <w:t xml:space="preserve"> &amp; </w:t>
      </w:r>
      <w:proofErr w:type="spellStart"/>
      <w:r w:rsidRPr="007350BA">
        <w:rPr>
          <w:rFonts w:ascii="Arial" w:hAnsi="Arial" w:cs="Arial"/>
          <w:sz w:val="22"/>
          <w:szCs w:val="22"/>
        </w:rPr>
        <w:t>Boudreau</w:t>
      </w:r>
      <w:proofErr w:type="spellEnd"/>
      <w:r w:rsidRPr="007350BA">
        <w:rPr>
          <w:rFonts w:ascii="Arial" w:hAnsi="Arial" w:cs="Arial"/>
          <w:sz w:val="22"/>
          <w:szCs w:val="22"/>
        </w:rPr>
        <w:t>, 2017).</w:t>
      </w:r>
    </w:p>
    <w:p w14:paraId="3C9F16A5" w14:textId="7E541F28" w:rsidR="00D812AD"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Training and Development: Technological change accelerates skills obsolescence, </w:t>
      </w:r>
      <w:r w:rsidR="00D812AD" w:rsidRPr="007350BA">
        <w:rPr>
          <w:rFonts w:ascii="Arial" w:hAnsi="Arial" w:cs="Arial"/>
          <w:sz w:val="22"/>
          <w:szCs w:val="22"/>
        </w:rPr>
        <w:t>needing</w:t>
      </w:r>
      <w:r w:rsidRPr="007350BA">
        <w:rPr>
          <w:rFonts w:ascii="Arial" w:hAnsi="Arial" w:cs="Arial"/>
          <w:sz w:val="22"/>
          <w:szCs w:val="22"/>
        </w:rPr>
        <w:t xml:space="preserve"> </w:t>
      </w:r>
      <w:proofErr w:type="spellStart"/>
      <w:r w:rsidRPr="007350BA">
        <w:rPr>
          <w:rFonts w:ascii="Arial" w:hAnsi="Arial" w:cs="Arial"/>
          <w:sz w:val="22"/>
          <w:szCs w:val="22"/>
        </w:rPr>
        <w:t>reskilling</w:t>
      </w:r>
      <w:proofErr w:type="spellEnd"/>
      <w:r w:rsidRPr="007350BA">
        <w:rPr>
          <w:rFonts w:ascii="Arial" w:hAnsi="Arial" w:cs="Arial"/>
          <w:sz w:val="22"/>
          <w:szCs w:val="22"/>
        </w:rPr>
        <w:t xml:space="preserve"> and continuous learning programs. Social trends (lifelong learning expectations) and economic shifts (gig economy) influence investment in learning (Noe, 2017; OECD, 2019).</w:t>
      </w:r>
    </w:p>
    <w:p w14:paraId="4D23ABED" w14:textId="2F1FD621"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Performance Management: Legal and social norms shape appraisal transparency and fairness; technological tools enable </w:t>
      </w:r>
      <w:r w:rsidR="008B2DB7" w:rsidRPr="007350BA">
        <w:rPr>
          <w:rFonts w:ascii="Arial" w:hAnsi="Arial" w:cs="Arial"/>
          <w:sz w:val="22"/>
          <w:szCs w:val="22"/>
        </w:rPr>
        <w:t>real</w:t>
      </w:r>
      <w:r w:rsidR="00D812AD" w:rsidRPr="007350BA">
        <w:rPr>
          <w:rFonts w:ascii="Arial" w:hAnsi="Arial" w:cs="Arial"/>
          <w:sz w:val="22"/>
          <w:szCs w:val="22"/>
        </w:rPr>
        <w:t xml:space="preserve"> </w:t>
      </w:r>
      <w:r w:rsidR="008B2DB7" w:rsidRPr="007350BA">
        <w:rPr>
          <w:rFonts w:ascii="Arial" w:hAnsi="Arial" w:cs="Arial"/>
          <w:sz w:val="22"/>
          <w:szCs w:val="22"/>
        </w:rPr>
        <w:t>time</w:t>
      </w:r>
      <w:r w:rsidRPr="007350BA">
        <w:rPr>
          <w:rFonts w:ascii="Arial" w:hAnsi="Arial" w:cs="Arial"/>
          <w:sz w:val="22"/>
          <w:szCs w:val="22"/>
        </w:rPr>
        <w:t xml:space="preserve"> performance analytics but require data privacy safeguards (</w:t>
      </w:r>
      <w:proofErr w:type="spellStart"/>
      <w:r w:rsidRPr="007350BA">
        <w:rPr>
          <w:rFonts w:ascii="Arial" w:hAnsi="Arial" w:cs="Arial"/>
          <w:sz w:val="22"/>
          <w:szCs w:val="22"/>
        </w:rPr>
        <w:t>Pulakos</w:t>
      </w:r>
      <w:proofErr w:type="spellEnd"/>
      <w:r w:rsidRPr="007350BA">
        <w:rPr>
          <w:rFonts w:ascii="Arial" w:hAnsi="Arial" w:cs="Arial"/>
          <w:sz w:val="22"/>
          <w:szCs w:val="22"/>
        </w:rPr>
        <w:t>, 2009; Davenport, 2018).</w:t>
      </w:r>
    </w:p>
    <w:p w14:paraId="26D07DD7" w14:textId="716C1DCB"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Employee Relations: Political and legal contexts define collective bargaining rights, dispute resolution mechanisms, and termination rules. Social values influence employee expectations on work</w:t>
      </w:r>
      <w:r w:rsidR="008B2DB7" w:rsidRPr="007350BA">
        <w:rPr>
          <w:rFonts w:ascii="Arial" w:hAnsi="Arial" w:cs="Arial"/>
          <w:sz w:val="22"/>
          <w:szCs w:val="22"/>
        </w:rPr>
        <w:t xml:space="preserve"> </w:t>
      </w:r>
      <w:r w:rsidRPr="007350BA">
        <w:rPr>
          <w:rFonts w:ascii="Arial" w:hAnsi="Arial" w:cs="Arial"/>
          <w:sz w:val="22"/>
          <w:szCs w:val="22"/>
        </w:rPr>
        <w:t>life balance and inclusion; environmental commitments can affect industrial relations, particularly where sustainability</w:t>
      </w:r>
      <w:r w:rsidR="008B2DB7" w:rsidRPr="007350BA">
        <w:rPr>
          <w:rFonts w:ascii="Arial" w:hAnsi="Arial" w:cs="Arial"/>
          <w:sz w:val="22"/>
          <w:szCs w:val="22"/>
        </w:rPr>
        <w:t xml:space="preserve"> </w:t>
      </w:r>
      <w:r w:rsidRPr="007350BA">
        <w:rPr>
          <w:rFonts w:ascii="Arial" w:hAnsi="Arial" w:cs="Arial"/>
          <w:sz w:val="22"/>
          <w:szCs w:val="22"/>
        </w:rPr>
        <w:t xml:space="preserve">linked incentives exist (Kaufman, 2015; </w:t>
      </w:r>
      <w:proofErr w:type="spellStart"/>
      <w:r w:rsidRPr="007350BA">
        <w:rPr>
          <w:rFonts w:ascii="Arial" w:hAnsi="Arial" w:cs="Arial"/>
          <w:sz w:val="22"/>
          <w:szCs w:val="22"/>
        </w:rPr>
        <w:t>Bratton</w:t>
      </w:r>
      <w:proofErr w:type="spellEnd"/>
      <w:r w:rsidRPr="007350BA">
        <w:rPr>
          <w:rFonts w:ascii="Arial" w:hAnsi="Arial" w:cs="Arial"/>
          <w:sz w:val="22"/>
          <w:szCs w:val="22"/>
        </w:rPr>
        <w:t xml:space="preserve"> &amp; Gold, 2017).</w:t>
      </w:r>
    </w:p>
    <w:p w14:paraId="534DF061"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Integration with Internal Analysis</w:t>
      </w:r>
    </w:p>
    <w:p w14:paraId="08C5648B" w14:textId="6D7FC14B"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While PESTLE focuses on external forces, HR must integrate internal analyses</w:t>
      </w:r>
      <w:r w:rsidR="008B2DB7" w:rsidRPr="007350BA">
        <w:rPr>
          <w:rFonts w:ascii="Arial" w:hAnsi="Arial" w:cs="Arial"/>
          <w:sz w:val="22"/>
          <w:szCs w:val="22"/>
        </w:rPr>
        <w:t xml:space="preserve"> </w:t>
      </w:r>
      <w:r w:rsidRPr="007350BA">
        <w:rPr>
          <w:rFonts w:ascii="Arial" w:hAnsi="Arial" w:cs="Arial"/>
          <w:sz w:val="22"/>
          <w:szCs w:val="22"/>
        </w:rPr>
        <w:t>organisational culture, structure, and HR capabilities</w:t>
      </w:r>
      <w:r w:rsidR="008B2DB7" w:rsidRPr="007350BA">
        <w:rPr>
          <w:rFonts w:ascii="Arial" w:hAnsi="Arial" w:cs="Arial"/>
          <w:sz w:val="22"/>
          <w:szCs w:val="22"/>
        </w:rPr>
        <w:t xml:space="preserve"> </w:t>
      </w:r>
      <w:r w:rsidRPr="007350BA">
        <w:rPr>
          <w:rFonts w:ascii="Arial" w:hAnsi="Arial" w:cs="Arial"/>
          <w:sz w:val="22"/>
          <w:szCs w:val="22"/>
        </w:rPr>
        <w:t>to design effective responses (Beer et al., 2015). Models such as SWOT or VRIO complement PESTLE by assessing internal strengths and weaknesses alongside external opportunities and threats (Barney, 1991; Hill &amp; Westbrook, 1997).</w:t>
      </w:r>
    </w:p>
    <w:p w14:paraId="2981B968"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Conclusion of this section</w:t>
      </w:r>
    </w:p>
    <w:p w14:paraId="26B94E7C" w14:textId="77777777" w:rsidR="00A37089" w:rsidRPr="007350BA" w:rsidRDefault="00827884" w:rsidP="007350BA">
      <w:pPr>
        <w:spacing w:line="360" w:lineRule="auto"/>
        <w:rPr>
          <w:rFonts w:ascii="Arial" w:hAnsi="Arial" w:cs="Arial"/>
          <w:sz w:val="22"/>
          <w:szCs w:val="22"/>
        </w:rPr>
      </w:pPr>
      <w:r w:rsidRPr="007350BA">
        <w:rPr>
          <w:rFonts w:ascii="Arial" w:hAnsi="Arial" w:cs="Arial"/>
          <w:sz w:val="22"/>
          <w:szCs w:val="22"/>
        </w:rPr>
        <w:t>PESTLE is a practical tool for HR environmental scanning, helping translate macro trends into actionable HR strategies. Its effectiveness increases when combined with internal capability assessments and dynamic monitoring systems; HR leaders should use PESTLE iteratively rather than as a one-off checklist (Johnson et al., 2017; Ulrich et al., 2017).</w:t>
      </w:r>
    </w:p>
    <w:p w14:paraId="5675BC83" w14:textId="4EB9902E" w:rsidR="00827884" w:rsidRPr="007350BA" w:rsidRDefault="00A37089" w:rsidP="007350BA">
      <w:pPr>
        <w:spacing w:line="360" w:lineRule="auto"/>
        <w:rPr>
          <w:rFonts w:ascii="Arial" w:hAnsi="Arial" w:cs="Arial"/>
          <w:color w:val="153D63" w:themeColor="text2" w:themeTint="E6"/>
          <w:sz w:val="22"/>
          <w:szCs w:val="22"/>
        </w:rPr>
      </w:pPr>
      <w:r w:rsidRPr="007350BA">
        <w:rPr>
          <w:rFonts w:ascii="Arial" w:hAnsi="Arial" w:cs="Arial"/>
          <w:color w:val="153D63" w:themeColor="text2" w:themeTint="E6"/>
        </w:rPr>
        <w:t xml:space="preserve"> </w:t>
      </w:r>
      <w:r w:rsidR="00827884" w:rsidRPr="007350BA">
        <w:rPr>
          <w:rFonts w:ascii="Arial" w:hAnsi="Arial" w:cs="Arial"/>
          <w:b/>
          <w:bCs/>
          <w:color w:val="153D63" w:themeColor="text2" w:themeTint="E6"/>
        </w:rPr>
        <w:t>Organisation Application</w:t>
      </w:r>
      <w:r w:rsidR="00827884" w:rsidRPr="007350BA">
        <w:rPr>
          <w:rFonts w:ascii="Arial" w:hAnsi="Arial" w:cs="Arial"/>
          <w:color w:val="153D63" w:themeColor="text2" w:themeTint="E6"/>
          <w:sz w:val="22"/>
          <w:szCs w:val="22"/>
        </w:rPr>
        <w:t xml:space="preserve"> </w:t>
      </w:r>
    </w:p>
    <w:p w14:paraId="5AC4947E"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sz w:val="22"/>
          <w:szCs w:val="22"/>
        </w:rPr>
        <w:t xml:space="preserve">Organisation Introduction: </w:t>
      </w:r>
      <w:r w:rsidRPr="007350BA">
        <w:rPr>
          <w:rFonts w:ascii="Arial" w:hAnsi="Arial" w:cs="Arial"/>
          <w:b/>
          <w:bCs/>
          <w:sz w:val="22"/>
          <w:szCs w:val="22"/>
        </w:rPr>
        <w:t>Unilever</w:t>
      </w:r>
    </w:p>
    <w:p w14:paraId="0039D6FC" w14:textId="404695BD"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plc is a multinational consumer goods company </w:t>
      </w:r>
      <w:r w:rsidR="00D812AD" w:rsidRPr="007350BA">
        <w:rPr>
          <w:rFonts w:ascii="Arial" w:hAnsi="Arial" w:cs="Arial"/>
          <w:sz w:val="22"/>
          <w:szCs w:val="22"/>
        </w:rPr>
        <w:t>running</w:t>
      </w:r>
      <w:r w:rsidRPr="007350BA">
        <w:rPr>
          <w:rFonts w:ascii="Arial" w:hAnsi="Arial" w:cs="Arial"/>
          <w:sz w:val="22"/>
          <w:szCs w:val="22"/>
        </w:rPr>
        <w:t xml:space="preserve"> in more than 190 countries, with major product categories including food, home care, and personal care. The company employs over 150,000 people globally and manages a complex matrix of regional offices, manufacturing sites, and distribution networks (Unilever, 2023). Its strategy focuses on sustainable growth, brand innovation, and close engagement with diverse consumer markets worldwide (Unilever, 2023).</w:t>
      </w:r>
    </w:p>
    <w:p w14:paraId="6CD301E4" w14:textId="77777777" w:rsidR="008B2DB7"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HR Practices</w:t>
      </w:r>
    </w:p>
    <w:p w14:paraId="764685F3" w14:textId="04FF03B6" w:rsidR="00827884" w:rsidRPr="007350BA" w:rsidRDefault="00827884" w:rsidP="007350BA">
      <w:pPr>
        <w:spacing w:line="360" w:lineRule="auto"/>
        <w:rPr>
          <w:rFonts w:ascii="Arial" w:hAnsi="Arial" w:cs="Arial"/>
          <w:b/>
          <w:bCs/>
          <w:sz w:val="22"/>
          <w:szCs w:val="22"/>
        </w:rPr>
      </w:pPr>
      <w:r w:rsidRPr="007350BA">
        <w:rPr>
          <w:rFonts w:ascii="Arial" w:hAnsi="Arial" w:cs="Arial"/>
          <w:sz w:val="22"/>
          <w:szCs w:val="22"/>
        </w:rPr>
        <w:t xml:space="preserve">Recruitment: Unilever uses a blended approach combining global employer branding, campus recruitment, local agency partnerships, and digital platforms to attract talent. It </w:t>
      </w:r>
      <w:r w:rsidR="00D812AD" w:rsidRPr="007350BA">
        <w:rPr>
          <w:rFonts w:ascii="Arial" w:hAnsi="Arial" w:cs="Arial"/>
          <w:sz w:val="22"/>
          <w:szCs w:val="22"/>
        </w:rPr>
        <w:t>uses</w:t>
      </w:r>
      <w:r w:rsidRPr="007350BA">
        <w:rPr>
          <w:rFonts w:ascii="Arial" w:hAnsi="Arial" w:cs="Arial"/>
          <w:sz w:val="22"/>
          <w:szCs w:val="22"/>
        </w:rPr>
        <w:t xml:space="preserve"> </w:t>
      </w:r>
      <w:proofErr w:type="spellStart"/>
      <w:r w:rsidRPr="007350BA">
        <w:rPr>
          <w:rFonts w:ascii="Arial" w:hAnsi="Arial" w:cs="Arial"/>
          <w:sz w:val="22"/>
          <w:szCs w:val="22"/>
        </w:rPr>
        <w:t>standardized</w:t>
      </w:r>
      <w:proofErr w:type="spellEnd"/>
      <w:r w:rsidRPr="007350BA">
        <w:rPr>
          <w:rFonts w:ascii="Arial" w:hAnsi="Arial" w:cs="Arial"/>
          <w:sz w:val="22"/>
          <w:szCs w:val="22"/>
        </w:rPr>
        <w:t xml:space="preserve"> competency frameworks and digital assessments for early</w:t>
      </w:r>
      <w:r w:rsidR="00D812AD" w:rsidRPr="007350BA">
        <w:rPr>
          <w:rFonts w:ascii="Arial" w:hAnsi="Arial" w:cs="Arial"/>
          <w:sz w:val="22"/>
          <w:szCs w:val="22"/>
        </w:rPr>
        <w:t xml:space="preserve"> </w:t>
      </w:r>
      <w:r w:rsidRPr="007350BA">
        <w:rPr>
          <w:rFonts w:ascii="Arial" w:hAnsi="Arial" w:cs="Arial"/>
          <w:sz w:val="22"/>
          <w:szCs w:val="22"/>
        </w:rPr>
        <w:t>career hiring while adapting selection criteria to local labour markets and cultural norms (Brewster et al., 2016; Unilever Careers, 2023).</w:t>
      </w:r>
    </w:p>
    <w:p w14:paraId="78C8E1BD" w14:textId="0366893E"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Training and Development: The company invests heavily in global learning platforms (e.g., Unilever Learning Hub), structured leadership programmes, and on</w:t>
      </w:r>
      <w:r w:rsidR="008B2DB7" w:rsidRPr="007350BA">
        <w:rPr>
          <w:rFonts w:ascii="Arial" w:hAnsi="Arial" w:cs="Arial"/>
          <w:sz w:val="22"/>
          <w:szCs w:val="22"/>
        </w:rPr>
        <w:t xml:space="preserve"> </w:t>
      </w:r>
      <w:r w:rsidRPr="007350BA">
        <w:rPr>
          <w:rFonts w:ascii="Arial" w:hAnsi="Arial" w:cs="Arial"/>
          <w:sz w:val="22"/>
          <w:szCs w:val="22"/>
        </w:rPr>
        <w:t>the</w:t>
      </w:r>
      <w:r w:rsidR="008B2DB7" w:rsidRPr="007350BA">
        <w:rPr>
          <w:rFonts w:ascii="Arial" w:hAnsi="Arial" w:cs="Arial"/>
          <w:sz w:val="22"/>
          <w:szCs w:val="22"/>
        </w:rPr>
        <w:t xml:space="preserve"> </w:t>
      </w:r>
      <w:r w:rsidRPr="007350BA">
        <w:rPr>
          <w:rFonts w:ascii="Arial" w:hAnsi="Arial" w:cs="Arial"/>
          <w:sz w:val="22"/>
          <w:szCs w:val="22"/>
        </w:rPr>
        <w:t xml:space="preserve">job rotations to build global leaders and technical experts. Local </w:t>
      </w:r>
      <w:r w:rsidR="008B2DB7" w:rsidRPr="007350BA">
        <w:rPr>
          <w:rFonts w:ascii="Arial" w:hAnsi="Arial" w:cs="Arial"/>
          <w:sz w:val="22"/>
          <w:szCs w:val="22"/>
        </w:rPr>
        <w:t>training tailored</w:t>
      </w:r>
      <w:r w:rsidRPr="007350BA">
        <w:rPr>
          <w:rFonts w:ascii="Arial" w:hAnsi="Arial" w:cs="Arial"/>
          <w:sz w:val="22"/>
          <w:szCs w:val="22"/>
        </w:rPr>
        <w:t xml:space="preserve"> to regulatory requirements and market</w:t>
      </w:r>
      <w:r w:rsidR="008B2DB7" w:rsidRPr="007350BA">
        <w:rPr>
          <w:rFonts w:ascii="Arial" w:hAnsi="Arial" w:cs="Arial"/>
          <w:sz w:val="22"/>
          <w:szCs w:val="22"/>
        </w:rPr>
        <w:t xml:space="preserve"> </w:t>
      </w:r>
      <w:r w:rsidRPr="007350BA">
        <w:rPr>
          <w:rFonts w:ascii="Arial" w:hAnsi="Arial" w:cs="Arial"/>
          <w:sz w:val="22"/>
          <w:szCs w:val="22"/>
        </w:rPr>
        <w:t>specific skills, including language and cultural competence (Ulrich et al., 2017; Noe, 2017).</w:t>
      </w:r>
    </w:p>
    <w:p w14:paraId="1B4FA459" w14:textId="6DB05924"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Performance Management: Unilever has moved toward continuous performance conversations, combining global performance frameworks with local calibration to ensure fairness across </w:t>
      </w:r>
      <w:r w:rsidR="008B2DB7" w:rsidRPr="007350BA">
        <w:rPr>
          <w:rFonts w:ascii="Arial" w:hAnsi="Arial" w:cs="Arial"/>
          <w:sz w:val="22"/>
          <w:szCs w:val="22"/>
        </w:rPr>
        <w:t>areas</w:t>
      </w:r>
      <w:r w:rsidRPr="007350BA">
        <w:rPr>
          <w:rFonts w:ascii="Arial" w:hAnsi="Arial" w:cs="Arial"/>
          <w:sz w:val="22"/>
          <w:szCs w:val="22"/>
        </w:rPr>
        <w:t>. Reward systems include global pay principles, variable pay linked to sustainability metrics, and country</w:t>
      </w:r>
      <w:r w:rsidR="008B2DB7" w:rsidRPr="007350BA">
        <w:rPr>
          <w:rFonts w:ascii="Arial" w:hAnsi="Arial" w:cs="Arial"/>
          <w:sz w:val="22"/>
          <w:szCs w:val="22"/>
        </w:rPr>
        <w:t xml:space="preserve"> </w:t>
      </w:r>
      <w:r w:rsidRPr="007350BA">
        <w:rPr>
          <w:rFonts w:ascii="Arial" w:hAnsi="Arial" w:cs="Arial"/>
          <w:sz w:val="22"/>
          <w:szCs w:val="22"/>
        </w:rPr>
        <w:t>specific benefits to meet legal and social expectations (</w:t>
      </w:r>
      <w:proofErr w:type="spellStart"/>
      <w:r w:rsidRPr="007350BA">
        <w:rPr>
          <w:rFonts w:ascii="Arial" w:hAnsi="Arial" w:cs="Arial"/>
          <w:sz w:val="22"/>
          <w:szCs w:val="22"/>
        </w:rPr>
        <w:t>Pulakos</w:t>
      </w:r>
      <w:proofErr w:type="spellEnd"/>
      <w:r w:rsidRPr="007350BA">
        <w:rPr>
          <w:rFonts w:ascii="Arial" w:hAnsi="Arial" w:cs="Arial"/>
          <w:sz w:val="22"/>
          <w:szCs w:val="22"/>
        </w:rPr>
        <w:t>, 2009; Unilever, 2022).</w:t>
      </w:r>
    </w:p>
    <w:p w14:paraId="6A568296" w14:textId="574B9AAA"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Employee Relations: The company engages with trade unions where relevant, </w:t>
      </w:r>
      <w:r w:rsidR="00D812AD" w:rsidRPr="007350BA">
        <w:rPr>
          <w:rFonts w:ascii="Arial" w:hAnsi="Arial" w:cs="Arial"/>
          <w:sz w:val="22"/>
          <w:szCs w:val="22"/>
        </w:rPr>
        <w:t>runs</w:t>
      </w:r>
      <w:r w:rsidRPr="007350BA">
        <w:rPr>
          <w:rFonts w:ascii="Arial" w:hAnsi="Arial" w:cs="Arial"/>
          <w:sz w:val="22"/>
          <w:szCs w:val="22"/>
        </w:rPr>
        <w:t xml:space="preserve"> clear grievance and compliance processes, and </w:t>
      </w:r>
      <w:proofErr w:type="spellStart"/>
      <w:r w:rsidRPr="007350BA">
        <w:rPr>
          <w:rFonts w:ascii="Arial" w:hAnsi="Arial" w:cs="Arial"/>
          <w:sz w:val="22"/>
          <w:szCs w:val="22"/>
        </w:rPr>
        <w:t>emphasizes</w:t>
      </w:r>
      <w:proofErr w:type="spellEnd"/>
      <w:r w:rsidRPr="007350BA">
        <w:rPr>
          <w:rFonts w:ascii="Arial" w:hAnsi="Arial" w:cs="Arial"/>
          <w:sz w:val="22"/>
          <w:szCs w:val="22"/>
        </w:rPr>
        <w:t xml:space="preserve"> inclusive policies and diversity targets. Unilever’s sustainability and human rights commitments influence supplier labour standards and worker relations across supply chains (Kaufman, 2015; Unilever Sustainable Living Plan, 2020).</w:t>
      </w:r>
    </w:p>
    <w:p w14:paraId="10B47463" w14:textId="6A6CC4DF"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Cross</w:t>
      </w:r>
      <w:r w:rsidR="008B2DB7" w:rsidRPr="007350BA">
        <w:rPr>
          <w:rFonts w:ascii="Arial" w:hAnsi="Arial" w:cs="Arial"/>
          <w:sz w:val="22"/>
          <w:szCs w:val="22"/>
        </w:rPr>
        <w:t xml:space="preserve"> </w:t>
      </w:r>
      <w:r w:rsidRPr="007350BA">
        <w:rPr>
          <w:rFonts w:ascii="Arial" w:hAnsi="Arial" w:cs="Arial"/>
          <w:sz w:val="22"/>
          <w:szCs w:val="22"/>
        </w:rPr>
        <w:t xml:space="preserve">border adaptation: While Unilever </w:t>
      </w:r>
      <w:r w:rsidR="00D812AD" w:rsidRPr="007350BA">
        <w:rPr>
          <w:rFonts w:ascii="Arial" w:hAnsi="Arial" w:cs="Arial"/>
          <w:sz w:val="22"/>
          <w:szCs w:val="22"/>
        </w:rPr>
        <w:t>supports</w:t>
      </w:r>
      <w:r w:rsidRPr="007350BA">
        <w:rPr>
          <w:rFonts w:ascii="Arial" w:hAnsi="Arial" w:cs="Arial"/>
          <w:sz w:val="22"/>
          <w:szCs w:val="22"/>
        </w:rPr>
        <w:t xml:space="preserve"> global HR standards, it empowers regional HR teams to adapt practices to local legal frameworks, cultural norms, and economic contexts</w:t>
      </w:r>
      <w:r w:rsidR="008B2DB7" w:rsidRPr="007350BA">
        <w:rPr>
          <w:rFonts w:ascii="Arial" w:hAnsi="Arial" w:cs="Arial"/>
          <w:sz w:val="22"/>
          <w:szCs w:val="22"/>
        </w:rPr>
        <w:t xml:space="preserve"> </w:t>
      </w:r>
      <w:r w:rsidRPr="007350BA">
        <w:rPr>
          <w:rFonts w:ascii="Arial" w:hAnsi="Arial" w:cs="Arial"/>
          <w:sz w:val="22"/>
          <w:szCs w:val="22"/>
        </w:rPr>
        <w:t>balancing global consistency with local responsiveness (Brewster et al., 2016; Sparrow, Brewster &amp; Chung, 2016).</w:t>
      </w:r>
    </w:p>
    <w:p w14:paraId="1B778613" w14:textId="1F98F39A" w:rsidR="00A37089" w:rsidRPr="007350BA" w:rsidRDefault="00A37089" w:rsidP="007350BA">
      <w:pPr>
        <w:spacing w:line="360" w:lineRule="auto"/>
        <w:rPr>
          <w:rFonts w:ascii="Arial" w:hAnsi="Arial" w:cs="Arial"/>
          <w:b/>
          <w:bCs/>
        </w:rPr>
      </w:pPr>
      <w:r w:rsidRPr="007350BA">
        <w:rPr>
          <w:rFonts w:ascii="Arial" w:hAnsi="Arial" w:cs="Arial"/>
          <w:b/>
          <w:bCs/>
          <w:sz w:val="22"/>
          <w:szCs w:val="22"/>
        </w:rPr>
        <w:t xml:space="preserve"> </w:t>
      </w:r>
      <w:r w:rsidR="00827884" w:rsidRPr="007350BA">
        <w:rPr>
          <w:rFonts w:ascii="Arial" w:hAnsi="Arial" w:cs="Arial"/>
          <w:b/>
          <w:bCs/>
          <w:color w:val="153D63" w:themeColor="text2" w:themeTint="E6"/>
        </w:rPr>
        <w:t xml:space="preserve">Application of Model </w:t>
      </w:r>
    </w:p>
    <w:p w14:paraId="65C9B0F2" w14:textId="0F6E747D" w:rsidR="00827884" w:rsidRPr="007350BA" w:rsidRDefault="00827884" w:rsidP="007350BA">
      <w:pPr>
        <w:spacing w:line="360" w:lineRule="auto"/>
        <w:rPr>
          <w:rFonts w:ascii="Arial" w:hAnsi="Arial" w:cs="Arial"/>
          <w:sz w:val="22"/>
          <w:szCs w:val="22"/>
          <w:u w:val="single"/>
        </w:rPr>
      </w:pPr>
      <w:r w:rsidRPr="007350BA">
        <w:rPr>
          <w:rFonts w:ascii="Arial" w:hAnsi="Arial" w:cs="Arial"/>
          <w:sz w:val="22"/>
          <w:szCs w:val="22"/>
        </w:rPr>
        <w:t>Impact on Organisation: PESTLE applied to Unilever’s HR Practices</w:t>
      </w:r>
    </w:p>
    <w:p w14:paraId="6AAE3EDC" w14:textId="7441B16E"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Political</w:t>
      </w:r>
      <w:r w:rsidRPr="007350BA">
        <w:rPr>
          <w:rFonts w:ascii="Arial" w:hAnsi="Arial" w:cs="Arial"/>
          <w:sz w:val="22"/>
          <w:szCs w:val="22"/>
        </w:rPr>
        <w:t xml:space="preserve">: Geopolitical stability, trade policies, and labour regulations in host countries directly affect Unilever’s workforce mobility, hiring costs, and contractual arrangements. For example, restrictive immigration policies limit talent mobility for specialist roles, pushing HR to develop local talent pipelines and invest in </w:t>
      </w:r>
      <w:proofErr w:type="spellStart"/>
      <w:r w:rsidRPr="007350BA">
        <w:rPr>
          <w:rFonts w:ascii="Arial" w:hAnsi="Arial" w:cs="Arial"/>
          <w:sz w:val="22"/>
          <w:szCs w:val="22"/>
        </w:rPr>
        <w:t>upskilling</w:t>
      </w:r>
      <w:proofErr w:type="spellEnd"/>
      <w:r w:rsidRPr="007350BA">
        <w:rPr>
          <w:rFonts w:ascii="Arial" w:hAnsi="Arial" w:cs="Arial"/>
          <w:sz w:val="22"/>
          <w:szCs w:val="22"/>
        </w:rPr>
        <w:t xml:space="preserve"> (Kaufman, 2015). Political risk also </w:t>
      </w:r>
      <w:r w:rsidR="00D812AD" w:rsidRPr="007350BA">
        <w:rPr>
          <w:rFonts w:ascii="Arial" w:hAnsi="Arial" w:cs="Arial"/>
          <w:sz w:val="22"/>
          <w:szCs w:val="22"/>
        </w:rPr>
        <w:t>needs</w:t>
      </w:r>
      <w:r w:rsidRPr="007350BA">
        <w:rPr>
          <w:rFonts w:ascii="Arial" w:hAnsi="Arial" w:cs="Arial"/>
          <w:sz w:val="22"/>
          <w:szCs w:val="22"/>
        </w:rPr>
        <w:t xml:space="preserve"> contingency planning for plant closures or relocations, with HR managing redundancies, redeployment, and compliance with local severance laws (Armstrong, 2020).</w:t>
      </w:r>
    </w:p>
    <w:p w14:paraId="71133DE1" w14:textId="28E2BF7E"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Economic</w:t>
      </w:r>
      <w:r w:rsidRPr="007350BA">
        <w:rPr>
          <w:rFonts w:ascii="Arial" w:hAnsi="Arial" w:cs="Arial"/>
          <w:sz w:val="22"/>
          <w:szCs w:val="22"/>
        </w:rPr>
        <w:t>: Macroeconomic conditions</w:t>
      </w:r>
      <w:r w:rsidR="008B2DB7" w:rsidRPr="007350BA">
        <w:rPr>
          <w:rFonts w:ascii="Arial" w:hAnsi="Arial" w:cs="Arial"/>
          <w:sz w:val="22"/>
          <w:szCs w:val="22"/>
        </w:rPr>
        <w:t xml:space="preserve"> </w:t>
      </w:r>
      <w:r w:rsidRPr="007350BA">
        <w:rPr>
          <w:rFonts w:ascii="Arial" w:hAnsi="Arial" w:cs="Arial"/>
          <w:sz w:val="22"/>
          <w:szCs w:val="22"/>
        </w:rPr>
        <w:t>GDP growth, unemployment rates, inflation, and currency fluctuations</w:t>
      </w:r>
      <w:r w:rsidR="008B2DB7" w:rsidRPr="007350BA">
        <w:rPr>
          <w:rFonts w:ascii="Arial" w:hAnsi="Arial" w:cs="Arial"/>
          <w:sz w:val="22"/>
          <w:szCs w:val="22"/>
        </w:rPr>
        <w:t xml:space="preserve"> </w:t>
      </w:r>
      <w:r w:rsidRPr="007350BA">
        <w:rPr>
          <w:rFonts w:ascii="Arial" w:hAnsi="Arial" w:cs="Arial"/>
          <w:sz w:val="22"/>
          <w:szCs w:val="22"/>
        </w:rPr>
        <w:t xml:space="preserve">impact labour supply, compensation strategy, and workforce costs. During economic downturns, Unilever’s HR may reprioritise hiring freezes, redeployment, and targeted </w:t>
      </w:r>
      <w:proofErr w:type="spellStart"/>
      <w:r w:rsidRPr="007350BA">
        <w:rPr>
          <w:rFonts w:ascii="Arial" w:hAnsi="Arial" w:cs="Arial"/>
          <w:sz w:val="22"/>
          <w:szCs w:val="22"/>
        </w:rPr>
        <w:t>reskilling</w:t>
      </w:r>
      <w:proofErr w:type="spellEnd"/>
      <w:r w:rsidRPr="007350BA">
        <w:rPr>
          <w:rFonts w:ascii="Arial" w:hAnsi="Arial" w:cs="Arial"/>
          <w:sz w:val="22"/>
          <w:szCs w:val="22"/>
        </w:rPr>
        <w:t xml:space="preserve"> to preserve core capabilities. Conversely, in tight labour markets, aggressive recruitment and retention incentives </w:t>
      </w:r>
      <w:r w:rsidR="00D812AD" w:rsidRPr="007350BA">
        <w:rPr>
          <w:rFonts w:ascii="Arial" w:hAnsi="Arial" w:cs="Arial"/>
          <w:sz w:val="22"/>
          <w:szCs w:val="22"/>
        </w:rPr>
        <w:t>needed</w:t>
      </w:r>
      <w:r w:rsidRPr="007350BA">
        <w:rPr>
          <w:rFonts w:ascii="Arial" w:hAnsi="Arial" w:cs="Arial"/>
          <w:sz w:val="22"/>
          <w:szCs w:val="22"/>
        </w:rPr>
        <w:t>, particularly for technical and managerial roles (</w:t>
      </w:r>
      <w:proofErr w:type="spellStart"/>
      <w:r w:rsidRPr="007350BA">
        <w:rPr>
          <w:rFonts w:ascii="Arial" w:hAnsi="Arial" w:cs="Arial"/>
          <w:sz w:val="22"/>
          <w:szCs w:val="22"/>
        </w:rPr>
        <w:t>Boxall</w:t>
      </w:r>
      <w:proofErr w:type="spellEnd"/>
      <w:r w:rsidRPr="007350BA">
        <w:rPr>
          <w:rFonts w:ascii="Arial" w:hAnsi="Arial" w:cs="Arial"/>
          <w:sz w:val="22"/>
          <w:szCs w:val="22"/>
        </w:rPr>
        <w:t xml:space="preserve"> &amp; Purcell, 2016; World Bank, 2019).</w:t>
      </w:r>
    </w:p>
    <w:p w14:paraId="3955ED1D" w14:textId="77777777" w:rsidR="00D812AD" w:rsidRPr="007350BA" w:rsidRDefault="00827884" w:rsidP="007350BA">
      <w:pPr>
        <w:spacing w:line="360" w:lineRule="auto"/>
        <w:rPr>
          <w:rFonts w:ascii="Arial" w:hAnsi="Arial" w:cs="Arial"/>
          <w:sz w:val="22"/>
          <w:szCs w:val="22"/>
        </w:rPr>
      </w:pPr>
      <w:r w:rsidRPr="007350BA">
        <w:rPr>
          <w:rFonts w:ascii="Arial" w:hAnsi="Arial" w:cs="Arial"/>
          <w:b/>
          <w:bCs/>
          <w:sz w:val="22"/>
          <w:szCs w:val="22"/>
        </w:rPr>
        <w:t>Social</w:t>
      </w:r>
      <w:r w:rsidRPr="007350BA">
        <w:rPr>
          <w:rFonts w:ascii="Arial" w:hAnsi="Arial" w:cs="Arial"/>
          <w:sz w:val="22"/>
          <w:szCs w:val="22"/>
        </w:rPr>
        <w:t xml:space="preserve">: Demographic trends and cultural expectations shape employer value propositions. Ageing populations in Europe demand different benefits (pension, healthcare) and flexible working arrangements, </w:t>
      </w:r>
      <w:r w:rsidR="00D812AD" w:rsidRPr="007350BA">
        <w:rPr>
          <w:rFonts w:ascii="Arial" w:hAnsi="Arial" w:cs="Arial"/>
          <w:sz w:val="22"/>
          <w:szCs w:val="22"/>
        </w:rPr>
        <w:t>while</w:t>
      </w:r>
      <w:r w:rsidRPr="007350BA">
        <w:rPr>
          <w:rFonts w:ascii="Arial" w:hAnsi="Arial" w:cs="Arial"/>
          <w:sz w:val="22"/>
          <w:szCs w:val="22"/>
        </w:rPr>
        <w:t xml:space="preserve"> younger workforces in emerging markets may expect rapid career progression and digital learning opportunities.</w:t>
      </w:r>
    </w:p>
    <w:p w14:paraId="6774C65F" w14:textId="682A4996"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Unilever’s employer branding and diversity initiatives must therefore be locally nuanced while aligned with global inclusion goals (</w:t>
      </w:r>
      <w:proofErr w:type="spellStart"/>
      <w:r w:rsidRPr="007350BA">
        <w:rPr>
          <w:rFonts w:ascii="Arial" w:hAnsi="Arial" w:cs="Arial"/>
          <w:sz w:val="22"/>
          <w:szCs w:val="22"/>
        </w:rPr>
        <w:t>Hofstede</w:t>
      </w:r>
      <w:proofErr w:type="spellEnd"/>
      <w:r w:rsidRPr="007350BA">
        <w:rPr>
          <w:rFonts w:ascii="Arial" w:hAnsi="Arial" w:cs="Arial"/>
          <w:sz w:val="22"/>
          <w:szCs w:val="22"/>
        </w:rPr>
        <w:t>, 2001; Brewster et al., 2016).</w:t>
      </w:r>
    </w:p>
    <w:p w14:paraId="2551D404" w14:textId="43B824BF"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Technological</w:t>
      </w:r>
      <w:r w:rsidRPr="007350BA">
        <w:rPr>
          <w:rFonts w:ascii="Arial" w:hAnsi="Arial" w:cs="Arial"/>
          <w:sz w:val="22"/>
          <w:szCs w:val="22"/>
        </w:rPr>
        <w:t xml:space="preserve">: Automation and digitalisation transform job design, requiring HR to forecast skills gaps and implement large-scale </w:t>
      </w:r>
      <w:proofErr w:type="spellStart"/>
      <w:r w:rsidRPr="007350BA">
        <w:rPr>
          <w:rFonts w:ascii="Arial" w:hAnsi="Arial" w:cs="Arial"/>
          <w:sz w:val="22"/>
          <w:szCs w:val="22"/>
        </w:rPr>
        <w:t>reskilling</w:t>
      </w:r>
      <w:proofErr w:type="spellEnd"/>
      <w:r w:rsidRPr="007350BA">
        <w:rPr>
          <w:rFonts w:ascii="Arial" w:hAnsi="Arial" w:cs="Arial"/>
          <w:sz w:val="22"/>
          <w:szCs w:val="22"/>
        </w:rPr>
        <w:t xml:space="preserve"> programs (Davenport, 2018). Unilever’s adoption of HR analytics, digital recruitment platforms, and e-learning accelerates talent lifecycle processes but also creates data governance challenges; HR must ensure ethical use of AI in </w:t>
      </w:r>
      <w:r w:rsidR="00D812AD" w:rsidRPr="007350BA">
        <w:rPr>
          <w:rFonts w:ascii="Arial" w:hAnsi="Arial" w:cs="Arial"/>
          <w:sz w:val="22"/>
          <w:szCs w:val="22"/>
        </w:rPr>
        <w:t>choice</w:t>
      </w:r>
      <w:r w:rsidRPr="007350BA">
        <w:rPr>
          <w:rFonts w:ascii="Arial" w:hAnsi="Arial" w:cs="Arial"/>
          <w:sz w:val="22"/>
          <w:szCs w:val="22"/>
        </w:rPr>
        <w:t xml:space="preserve"> and protect employee privacy in compliance with law (</w:t>
      </w:r>
      <w:proofErr w:type="spellStart"/>
      <w:r w:rsidRPr="007350BA">
        <w:rPr>
          <w:rFonts w:ascii="Arial" w:hAnsi="Arial" w:cs="Arial"/>
          <w:sz w:val="22"/>
          <w:szCs w:val="22"/>
        </w:rPr>
        <w:t>Marler</w:t>
      </w:r>
      <w:proofErr w:type="spellEnd"/>
      <w:r w:rsidRPr="007350BA">
        <w:rPr>
          <w:rFonts w:ascii="Arial" w:hAnsi="Arial" w:cs="Arial"/>
          <w:sz w:val="22"/>
          <w:szCs w:val="22"/>
        </w:rPr>
        <w:t xml:space="preserve"> &amp; </w:t>
      </w:r>
      <w:proofErr w:type="spellStart"/>
      <w:r w:rsidRPr="007350BA">
        <w:rPr>
          <w:rFonts w:ascii="Arial" w:hAnsi="Arial" w:cs="Arial"/>
          <w:sz w:val="22"/>
          <w:szCs w:val="22"/>
        </w:rPr>
        <w:t>Boudreau</w:t>
      </w:r>
      <w:proofErr w:type="spellEnd"/>
      <w:r w:rsidRPr="007350BA">
        <w:rPr>
          <w:rFonts w:ascii="Arial" w:hAnsi="Arial" w:cs="Arial"/>
          <w:sz w:val="22"/>
          <w:szCs w:val="22"/>
        </w:rPr>
        <w:t>, 2017; GDPR implications in Europe).</w:t>
      </w:r>
    </w:p>
    <w:p w14:paraId="4B6F67DD" w14:textId="1CDA0982"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Legal</w:t>
      </w:r>
      <w:r w:rsidRPr="007350BA">
        <w:rPr>
          <w:rFonts w:ascii="Arial" w:hAnsi="Arial" w:cs="Arial"/>
          <w:sz w:val="22"/>
          <w:szCs w:val="22"/>
        </w:rPr>
        <w:t xml:space="preserve">: Employment law, collective bargaining statutes, and health and safety regulations differ across </w:t>
      </w:r>
      <w:r w:rsidR="005A6C13" w:rsidRPr="007350BA">
        <w:rPr>
          <w:rFonts w:ascii="Arial" w:hAnsi="Arial" w:cs="Arial"/>
          <w:sz w:val="22"/>
          <w:szCs w:val="22"/>
        </w:rPr>
        <w:t>areas</w:t>
      </w:r>
      <w:r w:rsidRPr="007350BA">
        <w:rPr>
          <w:rFonts w:ascii="Arial" w:hAnsi="Arial" w:cs="Arial"/>
          <w:sz w:val="22"/>
          <w:szCs w:val="22"/>
        </w:rPr>
        <w:t>. Compliance is complex: varying minimum wage laws, working time regulations, and contractual protections force Unilever</w:t>
      </w:r>
      <w:r w:rsidRPr="007350BA">
        <w:rPr>
          <w:rFonts w:ascii="Arial" w:hAnsi="Arial" w:cs="Arial"/>
          <w:b/>
          <w:bCs/>
          <w:sz w:val="22"/>
          <w:szCs w:val="22"/>
        </w:rPr>
        <w:t>’</w:t>
      </w:r>
      <w:r w:rsidRPr="007350BA">
        <w:rPr>
          <w:rFonts w:ascii="Arial" w:hAnsi="Arial" w:cs="Arial"/>
          <w:sz w:val="22"/>
          <w:szCs w:val="22"/>
        </w:rPr>
        <w:t xml:space="preserve">s HR to decentralise employment terms while </w:t>
      </w:r>
      <w:r w:rsidR="00D812AD" w:rsidRPr="007350BA">
        <w:rPr>
          <w:rFonts w:ascii="Arial" w:hAnsi="Arial" w:cs="Arial"/>
          <w:sz w:val="22"/>
          <w:szCs w:val="22"/>
        </w:rPr>
        <w:t>keeping</w:t>
      </w:r>
      <w:r w:rsidRPr="007350BA">
        <w:rPr>
          <w:rFonts w:ascii="Arial" w:hAnsi="Arial" w:cs="Arial"/>
          <w:sz w:val="22"/>
          <w:szCs w:val="22"/>
        </w:rPr>
        <w:t xml:space="preserve"> global pay equity principles. Legal changes</w:t>
      </w:r>
      <w:r w:rsidR="005A6C13" w:rsidRPr="007350BA">
        <w:rPr>
          <w:rFonts w:ascii="Arial" w:hAnsi="Arial" w:cs="Arial"/>
          <w:sz w:val="22"/>
          <w:szCs w:val="22"/>
        </w:rPr>
        <w:t xml:space="preserve"> </w:t>
      </w:r>
      <w:r w:rsidRPr="007350BA">
        <w:rPr>
          <w:rFonts w:ascii="Arial" w:hAnsi="Arial" w:cs="Arial"/>
          <w:sz w:val="22"/>
          <w:szCs w:val="22"/>
        </w:rPr>
        <w:t>e.g., new parental leave regulations</w:t>
      </w:r>
      <w:r w:rsidR="005A6C13" w:rsidRPr="007350BA">
        <w:rPr>
          <w:rFonts w:ascii="Arial" w:hAnsi="Arial" w:cs="Arial"/>
          <w:sz w:val="22"/>
          <w:szCs w:val="22"/>
        </w:rPr>
        <w:t xml:space="preserve"> </w:t>
      </w:r>
      <w:r w:rsidRPr="007350BA">
        <w:rPr>
          <w:rFonts w:ascii="Arial" w:hAnsi="Arial" w:cs="Arial"/>
          <w:sz w:val="22"/>
          <w:szCs w:val="22"/>
        </w:rPr>
        <w:t xml:space="preserve">require rapid policy updates and communication (Kaufman, 2015; </w:t>
      </w:r>
      <w:proofErr w:type="spellStart"/>
      <w:r w:rsidRPr="007350BA">
        <w:rPr>
          <w:rFonts w:ascii="Arial" w:hAnsi="Arial" w:cs="Arial"/>
          <w:sz w:val="22"/>
          <w:szCs w:val="22"/>
        </w:rPr>
        <w:t>Bratton</w:t>
      </w:r>
      <w:proofErr w:type="spellEnd"/>
      <w:r w:rsidRPr="007350BA">
        <w:rPr>
          <w:rFonts w:ascii="Arial" w:hAnsi="Arial" w:cs="Arial"/>
          <w:sz w:val="22"/>
          <w:szCs w:val="22"/>
        </w:rPr>
        <w:t xml:space="preserve"> &amp; Gold, 2017).</w:t>
      </w:r>
    </w:p>
    <w:p w14:paraId="22A416F1" w14:textId="71816B8C"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Environmental</w:t>
      </w:r>
      <w:r w:rsidRPr="007350BA">
        <w:rPr>
          <w:rFonts w:ascii="Arial" w:hAnsi="Arial" w:cs="Arial"/>
          <w:sz w:val="22"/>
          <w:szCs w:val="22"/>
        </w:rPr>
        <w:t>: Increasing regulatory and stakeholder pressure on sustainability influences HR in recruitment (attracting sustainability</w:t>
      </w:r>
      <w:r w:rsidR="005A6C13" w:rsidRPr="007350BA">
        <w:rPr>
          <w:rFonts w:ascii="Arial" w:hAnsi="Arial" w:cs="Arial"/>
          <w:sz w:val="22"/>
          <w:szCs w:val="22"/>
        </w:rPr>
        <w:t xml:space="preserve"> </w:t>
      </w:r>
      <w:r w:rsidRPr="007350BA">
        <w:rPr>
          <w:rFonts w:ascii="Arial" w:hAnsi="Arial" w:cs="Arial"/>
          <w:sz w:val="22"/>
          <w:szCs w:val="22"/>
        </w:rPr>
        <w:t>minded talent), performance metrics (linking bonuses to environmental targets), and supplier labour standards (managing labour conditions in extended supply chains) (Unilever Sustainable Living Plan, 2020). Environmental crises (climate events) can disrupt operations and require HR to manage emergency response, relocations, and community support.</w:t>
      </w:r>
    </w:p>
    <w:p w14:paraId="7F5B4940"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How Internal and External Factors Influence HR Manager Effectiveness</w:t>
      </w:r>
    </w:p>
    <w:p w14:paraId="7AC1DD30" w14:textId="18597A53" w:rsidR="005A6C13"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HR managers at Unilever must balance global policies with local responsiveness. External pressures (legal, economic, cultural) constrain the uniform application of global HR frameworks, requiring HR managers to exercise contextual judgement and negotiation with line management. Effective HR managers combine strategic insight (linking macro trends to talent strategy) with operational agility (adapting processes, ensuring compliance). They must also </w:t>
      </w:r>
      <w:r w:rsidR="00D812AD" w:rsidRPr="007350BA">
        <w:rPr>
          <w:rFonts w:ascii="Arial" w:hAnsi="Arial" w:cs="Arial"/>
          <w:sz w:val="22"/>
          <w:szCs w:val="22"/>
        </w:rPr>
        <w:t>have</w:t>
      </w:r>
      <w:r w:rsidRPr="007350BA">
        <w:rPr>
          <w:rFonts w:ascii="Arial" w:hAnsi="Arial" w:cs="Arial"/>
          <w:sz w:val="22"/>
          <w:szCs w:val="22"/>
        </w:rPr>
        <w:t xml:space="preserve"> cross</w:t>
      </w:r>
      <w:r w:rsidR="005A6C13" w:rsidRPr="007350BA">
        <w:rPr>
          <w:rFonts w:ascii="Arial" w:hAnsi="Arial" w:cs="Arial"/>
          <w:sz w:val="22"/>
          <w:szCs w:val="22"/>
        </w:rPr>
        <w:t xml:space="preserve"> </w:t>
      </w:r>
      <w:r w:rsidRPr="007350BA">
        <w:rPr>
          <w:rFonts w:ascii="Arial" w:hAnsi="Arial" w:cs="Arial"/>
          <w:sz w:val="22"/>
          <w:szCs w:val="22"/>
        </w:rPr>
        <w:t>cultural competencies and stakeholder management skills to navigate conflicting demands from corporate headquarters, local labour markets, and regulators (Ulrich et al., 2017; Sparrow et al., 2016).</w:t>
      </w:r>
    </w:p>
    <w:p w14:paraId="1EB5383B" w14:textId="064406B4"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Country Differences: Culture, Legal Regulations, Economic Conditions</w:t>
      </w:r>
    </w:p>
    <w:p w14:paraId="542E0A29" w14:textId="65C50560"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Culture:</w:t>
      </w:r>
      <w:r w:rsidRPr="007350BA">
        <w:rPr>
          <w:rFonts w:ascii="Arial" w:hAnsi="Arial" w:cs="Arial"/>
          <w:sz w:val="22"/>
          <w:szCs w:val="22"/>
        </w:rPr>
        <w:t xml:space="preserve"> National cultural dimensions (e.g., power distance, individualism vs collectivism) affect employee expectations of leadership, feedback, and career progression (</w:t>
      </w:r>
      <w:proofErr w:type="spellStart"/>
      <w:r w:rsidRPr="007350BA">
        <w:rPr>
          <w:rFonts w:ascii="Arial" w:hAnsi="Arial" w:cs="Arial"/>
          <w:sz w:val="22"/>
          <w:szCs w:val="22"/>
        </w:rPr>
        <w:t>Hofstede</w:t>
      </w:r>
      <w:proofErr w:type="spellEnd"/>
      <w:r w:rsidRPr="007350BA">
        <w:rPr>
          <w:rFonts w:ascii="Arial" w:hAnsi="Arial" w:cs="Arial"/>
          <w:sz w:val="22"/>
          <w:szCs w:val="22"/>
        </w:rPr>
        <w:t>, 2001). In high power</w:t>
      </w:r>
      <w:r w:rsidR="005A6C13" w:rsidRPr="007350BA">
        <w:rPr>
          <w:rFonts w:ascii="Arial" w:hAnsi="Arial" w:cs="Arial"/>
          <w:sz w:val="22"/>
          <w:szCs w:val="22"/>
        </w:rPr>
        <w:t xml:space="preserve"> </w:t>
      </w:r>
      <w:r w:rsidRPr="007350BA">
        <w:rPr>
          <w:rFonts w:ascii="Arial" w:hAnsi="Arial" w:cs="Arial"/>
          <w:sz w:val="22"/>
          <w:szCs w:val="22"/>
        </w:rPr>
        <w:t xml:space="preserve">distance countries, hierarchical appraisal processes and respect-based leadership may be more </w:t>
      </w:r>
      <w:r w:rsidR="005A6C13" w:rsidRPr="007350BA">
        <w:rPr>
          <w:rFonts w:ascii="Arial" w:hAnsi="Arial" w:cs="Arial"/>
          <w:sz w:val="22"/>
          <w:szCs w:val="22"/>
        </w:rPr>
        <w:t>effective,</w:t>
      </w:r>
      <w:r w:rsidRPr="007350BA">
        <w:rPr>
          <w:rFonts w:ascii="Arial" w:hAnsi="Arial" w:cs="Arial"/>
          <w:sz w:val="22"/>
          <w:szCs w:val="22"/>
        </w:rPr>
        <w:t xml:space="preserve"> in low power</w:t>
      </w:r>
      <w:r w:rsidR="005A6C13" w:rsidRPr="007350BA">
        <w:rPr>
          <w:rFonts w:ascii="Arial" w:hAnsi="Arial" w:cs="Arial"/>
          <w:sz w:val="22"/>
          <w:szCs w:val="22"/>
        </w:rPr>
        <w:t xml:space="preserve"> </w:t>
      </w:r>
      <w:r w:rsidRPr="007350BA">
        <w:rPr>
          <w:rFonts w:ascii="Arial" w:hAnsi="Arial" w:cs="Arial"/>
          <w:sz w:val="22"/>
          <w:szCs w:val="22"/>
        </w:rPr>
        <w:t xml:space="preserve">distance societies, participative performance </w:t>
      </w:r>
      <w:r w:rsidR="005A6C13" w:rsidRPr="007350BA">
        <w:rPr>
          <w:rFonts w:ascii="Arial" w:hAnsi="Arial" w:cs="Arial"/>
          <w:sz w:val="22"/>
          <w:szCs w:val="22"/>
        </w:rPr>
        <w:t>systems,</w:t>
      </w:r>
      <w:r w:rsidRPr="007350BA">
        <w:rPr>
          <w:rFonts w:ascii="Arial" w:hAnsi="Arial" w:cs="Arial"/>
          <w:sz w:val="22"/>
          <w:szCs w:val="22"/>
        </w:rPr>
        <w:t xml:space="preserve"> and peer feedback gain traction. Unilever</w:t>
      </w:r>
      <w:r w:rsidRPr="007350BA">
        <w:rPr>
          <w:rFonts w:ascii="Arial" w:hAnsi="Arial" w:cs="Arial"/>
          <w:b/>
          <w:bCs/>
          <w:sz w:val="22"/>
          <w:szCs w:val="22"/>
        </w:rPr>
        <w:t xml:space="preserve"> </w:t>
      </w:r>
      <w:r w:rsidRPr="007350BA">
        <w:rPr>
          <w:rFonts w:ascii="Arial" w:hAnsi="Arial" w:cs="Arial"/>
          <w:sz w:val="22"/>
          <w:szCs w:val="22"/>
        </w:rPr>
        <w:t xml:space="preserve">adapts performance conversations and leadership development to respect these cultural preferences while </w:t>
      </w:r>
      <w:r w:rsidR="00D812AD" w:rsidRPr="007350BA">
        <w:rPr>
          <w:rFonts w:ascii="Arial" w:hAnsi="Arial" w:cs="Arial"/>
          <w:sz w:val="22"/>
          <w:szCs w:val="22"/>
        </w:rPr>
        <w:t>keeping</w:t>
      </w:r>
      <w:r w:rsidRPr="007350BA">
        <w:rPr>
          <w:rFonts w:ascii="Arial" w:hAnsi="Arial" w:cs="Arial"/>
          <w:sz w:val="22"/>
          <w:szCs w:val="22"/>
        </w:rPr>
        <w:t xml:space="preserve"> core competency frameworks (Brewster et al., 2016).</w:t>
      </w:r>
    </w:p>
    <w:p w14:paraId="4DAA2536" w14:textId="5B8E0BA5"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Legal Regulations:</w:t>
      </w:r>
      <w:r w:rsidRPr="007350BA">
        <w:rPr>
          <w:rFonts w:ascii="Arial" w:hAnsi="Arial" w:cs="Arial"/>
          <w:sz w:val="22"/>
          <w:szCs w:val="22"/>
        </w:rPr>
        <w:t xml:space="preserve"> Countries with strong labour protections and collective bargaining (e.g., </w:t>
      </w:r>
      <w:r w:rsidR="005A6C13" w:rsidRPr="007350BA">
        <w:rPr>
          <w:rFonts w:ascii="Arial" w:hAnsi="Arial" w:cs="Arial"/>
          <w:sz w:val="22"/>
          <w:szCs w:val="22"/>
        </w:rPr>
        <w:t>EU</w:t>
      </w:r>
      <w:r w:rsidRPr="007350BA">
        <w:rPr>
          <w:rFonts w:ascii="Arial" w:hAnsi="Arial" w:cs="Arial"/>
          <w:sz w:val="22"/>
          <w:szCs w:val="22"/>
        </w:rPr>
        <w:t xml:space="preserve"> states) require more formalised employee relations, stronger consultation mechanisms, and generous statutory benefits. In contrast, more flexible labour markets (e.g., the US) allow different contractual arrangements and more variable pay structures. HR must design contracts, benefits, and dismissal procedures that comply locally while aligning with global values (Kaufman, 2015; </w:t>
      </w:r>
      <w:proofErr w:type="spellStart"/>
      <w:r w:rsidRPr="007350BA">
        <w:rPr>
          <w:rFonts w:ascii="Arial" w:hAnsi="Arial" w:cs="Arial"/>
          <w:sz w:val="22"/>
          <w:szCs w:val="22"/>
        </w:rPr>
        <w:t>Bratton</w:t>
      </w:r>
      <w:proofErr w:type="spellEnd"/>
      <w:r w:rsidRPr="007350BA">
        <w:rPr>
          <w:rFonts w:ascii="Arial" w:hAnsi="Arial" w:cs="Arial"/>
          <w:sz w:val="22"/>
          <w:szCs w:val="22"/>
        </w:rPr>
        <w:t xml:space="preserve"> &amp; Gold, 2017).</w:t>
      </w:r>
    </w:p>
    <w:p w14:paraId="406DB3EB" w14:textId="45D30F7E"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Economic Conditions</w:t>
      </w:r>
      <w:r w:rsidRPr="007350BA">
        <w:rPr>
          <w:rFonts w:ascii="Arial" w:hAnsi="Arial" w:cs="Arial"/>
          <w:sz w:val="22"/>
          <w:szCs w:val="22"/>
        </w:rPr>
        <w:t>: Wage levels, unemployment, and skill availability vary markedly. In emerging markets with abundant entry</w:t>
      </w:r>
      <w:r w:rsidR="005A6C13" w:rsidRPr="007350BA">
        <w:rPr>
          <w:rFonts w:ascii="Arial" w:hAnsi="Arial" w:cs="Arial"/>
          <w:sz w:val="22"/>
          <w:szCs w:val="22"/>
        </w:rPr>
        <w:t xml:space="preserve"> </w:t>
      </w:r>
      <w:r w:rsidRPr="007350BA">
        <w:rPr>
          <w:rFonts w:ascii="Arial" w:hAnsi="Arial" w:cs="Arial"/>
          <w:sz w:val="22"/>
          <w:szCs w:val="22"/>
        </w:rPr>
        <w:t>level labour, recruitment focuses on vocational training and talent pipelines; in developed markets facing skills shortages, HR emphasises competitive pay, advanced training, and talent mobility. Economic volatility also affects reward strategy</w:t>
      </w:r>
      <w:r w:rsidR="005A6C13" w:rsidRPr="007350BA">
        <w:rPr>
          <w:rFonts w:ascii="Arial" w:hAnsi="Arial" w:cs="Arial"/>
          <w:sz w:val="22"/>
          <w:szCs w:val="22"/>
        </w:rPr>
        <w:t xml:space="preserve"> </w:t>
      </w:r>
      <w:r w:rsidRPr="007350BA">
        <w:rPr>
          <w:rFonts w:ascii="Arial" w:hAnsi="Arial" w:cs="Arial"/>
          <w:sz w:val="22"/>
          <w:szCs w:val="22"/>
        </w:rPr>
        <w:t xml:space="preserve">indexing salaries to inflation or offering </w:t>
      </w:r>
      <w:r w:rsidR="005A6C13" w:rsidRPr="007350BA">
        <w:rPr>
          <w:rFonts w:ascii="Arial" w:hAnsi="Arial" w:cs="Arial"/>
          <w:sz w:val="22"/>
          <w:szCs w:val="22"/>
        </w:rPr>
        <w:t>non-monetary</w:t>
      </w:r>
      <w:r w:rsidRPr="007350BA">
        <w:rPr>
          <w:rFonts w:ascii="Arial" w:hAnsi="Arial" w:cs="Arial"/>
          <w:sz w:val="22"/>
          <w:szCs w:val="22"/>
        </w:rPr>
        <w:t xml:space="preserve"> benefits where cash constraints exist (</w:t>
      </w:r>
      <w:proofErr w:type="spellStart"/>
      <w:r w:rsidRPr="007350BA">
        <w:rPr>
          <w:rFonts w:ascii="Arial" w:hAnsi="Arial" w:cs="Arial"/>
          <w:sz w:val="22"/>
          <w:szCs w:val="22"/>
        </w:rPr>
        <w:t>Boxall</w:t>
      </w:r>
      <w:proofErr w:type="spellEnd"/>
      <w:r w:rsidRPr="007350BA">
        <w:rPr>
          <w:rFonts w:ascii="Arial" w:hAnsi="Arial" w:cs="Arial"/>
          <w:sz w:val="22"/>
          <w:szCs w:val="22"/>
        </w:rPr>
        <w:t xml:space="preserve"> &amp; Purcell, 2016).</w:t>
      </w:r>
    </w:p>
    <w:p w14:paraId="3D0C304B"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Practical Implications and HR Responses</w:t>
      </w:r>
    </w:p>
    <w:p w14:paraId="41118D22" w14:textId="1830AF8C"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1. Localisation vs Standardisation: Unilever’s success depends on combining global HR standards (values, leadership competencies, sustainability goals) with local adaptation (contracts, benefits, recruitment channels). HR must design modular policies</w:t>
      </w:r>
      <w:r w:rsidR="005A6C13" w:rsidRPr="007350BA">
        <w:rPr>
          <w:rFonts w:ascii="Arial" w:hAnsi="Arial" w:cs="Arial"/>
          <w:sz w:val="22"/>
          <w:szCs w:val="22"/>
        </w:rPr>
        <w:t xml:space="preserve"> </w:t>
      </w:r>
      <w:r w:rsidRPr="007350BA">
        <w:rPr>
          <w:rFonts w:ascii="Arial" w:hAnsi="Arial" w:cs="Arial"/>
          <w:sz w:val="22"/>
          <w:szCs w:val="22"/>
        </w:rPr>
        <w:t>core global principles plus local appendices</w:t>
      </w:r>
      <w:r w:rsidR="005A6C13" w:rsidRPr="007350BA">
        <w:rPr>
          <w:rFonts w:ascii="Arial" w:hAnsi="Arial" w:cs="Arial"/>
          <w:sz w:val="22"/>
          <w:szCs w:val="22"/>
        </w:rPr>
        <w:t xml:space="preserve"> </w:t>
      </w:r>
      <w:r w:rsidRPr="007350BA">
        <w:rPr>
          <w:rFonts w:ascii="Arial" w:hAnsi="Arial" w:cs="Arial"/>
          <w:sz w:val="22"/>
          <w:szCs w:val="22"/>
        </w:rPr>
        <w:t>to ensure compliance and relevance (Sparrow et al., 2016).</w:t>
      </w:r>
    </w:p>
    <w:p w14:paraId="5B03B5D9" w14:textId="03795B1D"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2. Workforce Planning and </w:t>
      </w:r>
      <w:proofErr w:type="spellStart"/>
      <w:r w:rsidRPr="007350BA">
        <w:rPr>
          <w:rFonts w:ascii="Arial" w:hAnsi="Arial" w:cs="Arial"/>
          <w:sz w:val="22"/>
          <w:szCs w:val="22"/>
        </w:rPr>
        <w:t>Reskilling</w:t>
      </w:r>
      <w:proofErr w:type="spellEnd"/>
      <w:r w:rsidRPr="007350BA">
        <w:rPr>
          <w:rFonts w:ascii="Arial" w:hAnsi="Arial" w:cs="Arial"/>
          <w:sz w:val="22"/>
          <w:szCs w:val="22"/>
        </w:rPr>
        <w:t xml:space="preserve">: </w:t>
      </w:r>
      <w:r w:rsidR="00D812AD" w:rsidRPr="007350BA">
        <w:rPr>
          <w:rFonts w:ascii="Arial" w:hAnsi="Arial" w:cs="Arial"/>
          <w:sz w:val="22"/>
          <w:szCs w:val="22"/>
        </w:rPr>
        <w:t>Predicting</w:t>
      </w:r>
      <w:r w:rsidRPr="007350BA">
        <w:rPr>
          <w:rFonts w:ascii="Arial" w:hAnsi="Arial" w:cs="Arial"/>
          <w:sz w:val="22"/>
          <w:szCs w:val="22"/>
        </w:rPr>
        <w:t xml:space="preserve"> technological displacement, HR should implement continuous learning systems and mobility pathways to redeploy employees internally, reducing redundancy and protecting employer brand (Noe, 2017; Frey &amp; Osborne, 2017).</w:t>
      </w:r>
    </w:p>
    <w:p w14:paraId="771C78C1" w14:textId="2FBD50EB"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3. Data</w:t>
      </w:r>
      <w:r w:rsidR="005A6C13" w:rsidRPr="007350BA">
        <w:rPr>
          <w:rFonts w:ascii="Arial" w:hAnsi="Arial" w:cs="Arial"/>
          <w:sz w:val="22"/>
          <w:szCs w:val="22"/>
        </w:rPr>
        <w:t xml:space="preserve"> </w:t>
      </w:r>
      <w:r w:rsidRPr="007350BA">
        <w:rPr>
          <w:rFonts w:ascii="Arial" w:hAnsi="Arial" w:cs="Arial"/>
          <w:sz w:val="22"/>
          <w:szCs w:val="22"/>
        </w:rPr>
        <w:t xml:space="preserve">driven HR: Using HR analytics to link PESTLE signals (e.g., unemployment trends) to recruitment metrics improves forecasting. However, HR must govern data ethically and </w:t>
      </w:r>
      <w:r w:rsidR="00D812AD" w:rsidRPr="007350BA">
        <w:rPr>
          <w:rFonts w:ascii="Arial" w:hAnsi="Arial" w:cs="Arial"/>
          <w:sz w:val="22"/>
          <w:szCs w:val="22"/>
        </w:rPr>
        <w:t>follow</w:t>
      </w:r>
      <w:r w:rsidRPr="007350BA">
        <w:rPr>
          <w:rFonts w:ascii="Arial" w:hAnsi="Arial" w:cs="Arial"/>
          <w:sz w:val="22"/>
          <w:szCs w:val="22"/>
        </w:rPr>
        <w:t xml:space="preserve"> privacy laws (</w:t>
      </w:r>
      <w:proofErr w:type="spellStart"/>
      <w:r w:rsidRPr="007350BA">
        <w:rPr>
          <w:rFonts w:ascii="Arial" w:hAnsi="Arial" w:cs="Arial"/>
          <w:sz w:val="22"/>
          <w:szCs w:val="22"/>
        </w:rPr>
        <w:t>Marler</w:t>
      </w:r>
      <w:proofErr w:type="spellEnd"/>
      <w:r w:rsidRPr="007350BA">
        <w:rPr>
          <w:rFonts w:ascii="Arial" w:hAnsi="Arial" w:cs="Arial"/>
          <w:sz w:val="22"/>
          <w:szCs w:val="22"/>
        </w:rPr>
        <w:t xml:space="preserve"> &amp; </w:t>
      </w:r>
      <w:proofErr w:type="spellStart"/>
      <w:r w:rsidRPr="007350BA">
        <w:rPr>
          <w:rFonts w:ascii="Arial" w:hAnsi="Arial" w:cs="Arial"/>
          <w:sz w:val="22"/>
          <w:szCs w:val="22"/>
        </w:rPr>
        <w:t>Boudreau</w:t>
      </w:r>
      <w:proofErr w:type="spellEnd"/>
      <w:r w:rsidRPr="007350BA">
        <w:rPr>
          <w:rFonts w:ascii="Arial" w:hAnsi="Arial" w:cs="Arial"/>
          <w:sz w:val="22"/>
          <w:szCs w:val="22"/>
        </w:rPr>
        <w:t>, 2017; GDPR).</w:t>
      </w:r>
    </w:p>
    <w:p w14:paraId="40EF8FF8" w14:textId="62024CEC"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4. Stakeholder Engagement: </w:t>
      </w:r>
      <w:r w:rsidR="005A6C13" w:rsidRPr="007350BA">
        <w:rPr>
          <w:rFonts w:ascii="Arial" w:hAnsi="Arial" w:cs="Arial"/>
          <w:sz w:val="22"/>
          <w:szCs w:val="22"/>
        </w:rPr>
        <w:t>Initiative-taking</w:t>
      </w:r>
      <w:r w:rsidRPr="007350BA">
        <w:rPr>
          <w:rFonts w:ascii="Arial" w:hAnsi="Arial" w:cs="Arial"/>
          <w:sz w:val="22"/>
          <w:szCs w:val="22"/>
        </w:rPr>
        <w:t xml:space="preserve"> engagement with regulators, unions, and communities mitigates political and social risks. Embedding sustainability into performance management aligns employee incentives with environmental goals and stakeholder expectations (Unilever Sustainable Living Plan, 2020).</w:t>
      </w:r>
    </w:p>
    <w:p w14:paraId="74BF863D" w14:textId="7F69ACAC"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5. Leadership and Cultural Agility: HR leaders need cross</w:t>
      </w:r>
      <w:r w:rsidR="005A6C13" w:rsidRPr="007350BA">
        <w:rPr>
          <w:rFonts w:ascii="Arial" w:hAnsi="Arial" w:cs="Arial"/>
          <w:sz w:val="22"/>
          <w:szCs w:val="22"/>
        </w:rPr>
        <w:t xml:space="preserve"> </w:t>
      </w:r>
      <w:r w:rsidRPr="007350BA">
        <w:rPr>
          <w:rFonts w:ascii="Arial" w:hAnsi="Arial" w:cs="Arial"/>
          <w:sz w:val="22"/>
          <w:szCs w:val="22"/>
        </w:rPr>
        <w:t>cultural competence and political acumen to negotiate local adaptations and drive global initiatives; investing in expatriate training and local leadership development is essential (Ulrich et al., 2017).</w:t>
      </w:r>
    </w:p>
    <w:p w14:paraId="20F41344" w14:textId="7512CCB3" w:rsidR="00D812AD" w:rsidRPr="002E10AC" w:rsidRDefault="00A37089" w:rsidP="007350BA">
      <w:pPr>
        <w:spacing w:line="360" w:lineRule="auto"/>
        <w:rPr>
          <w:rFonts w:ascii="Arial" w:hAnsi="Arial" w:cs="Arial"/>
          <w:b/>
          <w:bCs/>
          <w:color w:val="153D63" w:themeColor="text2" w:themeTint="E6"/>
        </w:rPr>
      </w:pPr>
      <w:r w:rsidRPr="002E10AC">
        <w:rPr>
          <w:rFonts w:ascii="Arial" w:hAnsi="Arial" w:cs="Arial"/>
          <w:b/>
          <w:bCs/>
          <w:color w:val="153D63" w:themeColor="text2" w:themeTint="E6"/>
        </w:rPr>
        <w:t xml:space="preserve"> </w:t>
      </w:r>
      <w:r w:rsidR="00827884" w:rsidRPr="002E10AC">
        <w:rPr>
          <w:rFonts w:ascii="Arial" w:hAnsi="Arial" w:cs="Arial"/>
          <w:b/>
          <w:bCs/>
          <w:color w:val="153D63" w:themeColor="text2" w:themeTint="E6"/>
        </w:rPr>
        <w:t>Conclusion</w:t>
      </w:r>
    </w:p>
    <w:p w14:paraId="50AE0225" w14:textId="1BA09EF0" w:rsidR="00827884" w:rsidRPr="007350BA" w:rsidRDefault="00827884" w:rsidP="007350BA">
      <w:pPr>
        <w:spacing w:line="360" w:lineRule="auto"/>
        <w:rPr>
          <w:rFonts w:ascii="Arial" w:hAnsi="Arial" w:cs="Arial"/>
          <w:b/>
          <w:bCs/>
          <w:sz w:val="22"/>
          <w:szCs w:val="22"/>
        </w:rPr>
      </w:pPr>
      <w:r w:rsidRPr="007350BA">
        <w:rPr>
          <w:rFonts w:ascii="Arial" w:hAnsi="Arial" w:cs="Arial"/>
          <w:sz w:val="22"/>
          <w:szCs w:val="22"/>
        </w:rPr>
        <w:t>Understanding the internal and external environment is indispensable for effective HR management in global organisations. The PESTLE model offers a structured approach to scanning macro forces</w:t>
      </w:r>
      <w:r w:rsidR="005A6C13" w:rsidRPr="007350BA">
        <w:rPr>
          <w:rFonts w:ascii="Arial" w:hAnsi="Arial" w:cs="Arial"/>
          <w:sz w:val="22"/>
          <w:szCs w:val="22"/>
        </w:rPr>
        <w:t xml:space="preserve"> </w:t>
      </w:r>
      <w:r w:rsidRPr="007350BA">
        <w:rPr>
          <w:rFonts w:ascii="Arial" w:hAnsi="Arial" w:cs="Arial"/>
          <w:sz w:val="22"/>
          <w:szCs w:val="22"/>
        </w:rPr>
        <w:t>political, economic, social, technological, legal, and environmental</w:t>
      </w:r>
      <w:r w:rsidR="00963880" w:rsidRPr="007350BA">
        <w:rPr>
          <w:rFonts w:ascii="Arial" w:hAnsi="Arial" w:cs="Arial"/>
          <w:sz w:val="22"/>
          <w:szCs w:val="22"/>
        </w:rPr>
        <w:t xml:space="preserve"> </w:t>
      </w:r>
      <w:r w:rsidRPr="007350BA">
        <w:rPr>
          <w:rFonts w:ascii="Arial" w:hAnsi="Arial" w:cs="Arial"/>
          <w:sz w:val="22"/>
          <w:szCs w:val="22"/>
        </w:rPr>
        <w:t xml:space="preserve">that shape recruitment, training and development, performance management, and employee relations. While PESTLE’s macro focus </w:t>
      </w:r>
      <w:r w:rsidR="00963880" w:rsidRPr="007350BA">
        <w:rPr>
          <w:rFonts w:ascii="Arial" w:hAnsi="Arial" w:cs="Arial"/>
          <w:sz w:val="22"/>
          <w:szCs w:val="22"/>
        </w:rPr>
        <w:t>must</w:t>
      </w:r>
      <w:r w:rsidRPr="007350BA">
        <w:rPr>
          <w:rFonts w:ascii="Arial" w:hAnsi="Arial" w:cs="Arial"/>
          <w:sz w:val="22"/>
          <w:szCs w:val="22"/>
        </w:rPr>
        <w:t xml:space="preserve"> </w:t>
      </w:r>
      <w:r w:rsidR="00963880" w:rsidRPr="007350BA">
        <w:rPr>
          <w:rFonts w:ascii="Arial" w:hAnsi="Arial" w:cs="Arial"/>
          <w:sz w:val="22"/>
          <w:szCs w:val="22"/>
        </w:rPr>
        <w:t>be complemented</w:t>
      </w:r>
      <w:r w:rsidRPr="007350BA">
        <w:rPr>
          <w:rFonts w:ascii="Arial" w:hAnsi="Arial" w:cs="Arial"/>
          <w:sz w:val="22"/>
          <w:szCs w:val="22"/>
        </w:rPr>
        <w:t xml:space="preserve"> by internal capability analyses, it helps HR </w:t>
      </w:r>
      <w:r w:rsidR="00D812AD" w:rsidRPr="007350BA">
        <w:rPr>
          <w:rFonts w:ascii="Arial" w:hAnsi="Arial" w:cs="Arial"/>
          <w:sz w:val="22"/>
          <w:szCs w:val="22"/>
        </w:rPr>
        <w:t>expect</w:t>
      </w:r>
      <w:r w:rsidRPr="007350BA">
        <w:rPr>
          <w:rFonts w:ascii="Arial" w:hAnsi="Arial" w:cs="Arial"/>
          <w:sz w:val="22"/>
          <w:szCs w:val="22"/>
        </w:rPr>
        <w:t xml:space="preserve"> regulatory changes, labour market dynamics, cultural expectations, technological disruptions, and sustainability imperatives that influence people strategy (Johnson et al., 2017; </w:t>
      </w:r>
      <w:proofErr w:type="spellStart"/>
      <w:r w:rsidRPr="007350BA">
        <w:rPr>
          <w:rFonts w:ascii="Arial" w:hAnsi="Arial" w:cs="Arial"/>
          <w:sz w:val="22"/>
          <w:szCs w:val="22"/>
        </w:rPr>
        <w:t>Boxall</w:t>
      </w:r>
      <w:proofErr w:type="spellEnd"/>
      <w:r w:rsidRPr="007350BA">
        <w:rPr>
          <w:rFonts w:ascii="Arial" w:hAnsi="Arial" w:cs="Arial"/>
          <w:sz w:val="22"/>
          <w:szCs w:val="22"/>
        </w:rPr>
        <w:t xml:space="preserve"> &amp; Purcell, 2016).</w:t>
      </w:r>
    </w:p>
    <w:p w14:paraId="79CC9F9A" w14:textId="613608DD"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Applying PESTLE to Unilever illustrates how global HR must reconcile standardised corporate frameworks with local legal and cultural realities. Political and legal differences </w:t>
      </w:r>
      <w:r w:rsidR="00D812AD" w:rsidRPr="007350BA">
        <w:rPr>
          <w:rFonts w:ascii="Arial" w:hAnsi="Arial" w:cs="Arial"/>
          <w:sz w:val="22"/>
          <w:szCs w:val="22"/>
        </w:rPr>
        <w:t>need</w:t>
      </w:r>
      <w:r w:rsidRPr="007350BA">
        <w:rPr>
          <w:rFonts w:ascii="Arial" w:hAnsi="Arial" w:cs="Arial"/>
          <w:sz w:val="22"/>
          <w:szCs w:val="22"/>
        </w:rPr>
        <w:t xml:space="preserve"> decentralised contract management and close compliance oversight; economic variation drives differentiated reward and talent pipeline strategies; social and cultural differences require tailored leadership development and employee engagement approaches; technological and environmental trends push HR toward </w:t>
      </w:r>
      <w:proofErr w:type="spellStart"/>
      <w:r w:rsidRPr="007350BA">
        <w:rPr>
          <w:rFonts w:ascii="Arial" w:hAnsi="Arial" w:cs="Arial"/>
          <w:sz w:val="22"/>
          <w:szCs w:val="22"/>
        </w:rPr>
        <w:t>reskilling</w:t>
      </w:r>
      <w:proofErr w:type="spellEnd"/>
      <w:r w:rsidRPr="007350BA">
        <w:rPr>
          <w:rFonts w:ascii="Arial" w:hAnsi="Arial" w:cs="Arial"/>
          <w:sz w:val="22"/>
          <w:szCs w:val="22"/>
        </w:rPr>
        <w:t>, digitalisation, and sustainability</w:t>
      </w:r>
      <w:r w:rsidR="00963880" w:rsidRPr="007350BA">
        <w:rPr>
          <w:rFonts w:ascii="Arial" w:hAnsi="Arial" w:cs="Arial"/>
          <w:sz w:val="22"/>
          <w:szCs w:val="22"/>
        </w:rPr>
        <w:t xml:space="preserve"> </w:t>
      </w:r>
      <w:r w:rsidRPr="007350BA">
        <w:rPr>
          <w:rFonts w:ascii="Arial" w:hAnsi="Arial" w:cs="Arial"/>
          <w:sz w:val="22"/>
          <w:szCs w:val="22"/>
        </w:rPr>
        <w:t>linked performance metrics. HR managers’ effectiveness depends on their ability to interpret PESTLE insights, translate them into practical HR interventions, and mobilise stakeholders across organisational boundaries (Ulrich et al., 2017; Brewster et al., 2016).</w:t>
      </w:r>
    </w:p>
    <w:p w14:paraId="241536DE" w14:textId="7CD7BE12"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Future implications include accelerating digital transformation, rising importance of sustainability in employer value propositions, and increased complexity in cross</w:t>
      </w:r>
      <w:r w:rsidR="00963880" w:rsidRPr="007350BA">
        <w:rPr>
          <w:rFonts w:ascii="Arial" w:hAnsi="Arial" w:cs="Arial"/>
          <w:sz w:val="22"/>
          <w:szCs w:val="22"/>
        </w:rPr>
        <w:t xml:space="preserve"> </w:t>
      </w:r>
      <w:r w:rsidRPr="007350BA">
        <w:rPr>
          <w:rFonts w:ascii="Arial" w:hAnsi="Arial" w:cs="Arial"/>
          <w:sz w:val="22"/>
          <w:szCs w:val="22"/>
        </w:rPr>
        <w:t xml:space="preserve">border labour regulation. HR leaders must invest in foresight capabilities, data analytics, and cultural agility to navigate these trends, ensuring that workforce strategies </w:t>
      </w:r>
      <w:r w:rsidR="00D812AD" w:rsidRPr="007350BA">
        <w:rPr>
          <w:rFonts w:ascii="Arial" w:hAnsi="Arial" w:cs="Arial"/>
          <w:sz w:val="22"/>
          <w:szCs w:val="22"/>
        </w:rPr>
        <w:t>stay</w:t>
      </w:r>
      <w:r w:rsidRPr="007350BA">
        <w:rPr>
          <w:rFonts w:ascii="Arial" w:hAnsi="Arial" w:cs="Arial"/>
          <w:sz w:val="22"/>
          <w:szCs w:val="22"/>
        </w:rPr>
        <w:t xml:space="preserve"> resilient, compliant, and aligned with both corporate purpose and local expectations (</w:t>
      </w:r>
      <w:proofErr w:type="spellStart"/>
      <w:r w:rsidRPr="007350BA">
        <w:rPr>
          <w:rFonts w:ascii="Arial" w:hAnsi="Arial" w:cs="Arial"/>
          <w:sz w:val="22"/>
          <w:szCs w:val="22"/>
        </w:rPr>
        <w:t>Marler</w:t>
      </w:r>
      <w:proofErr w:type="spellEnd"/>
      <w:r w:rsidRPr="007350BA">
        <w:rPr>
          <w:rFonts w:ascii="Arial" w:hAnsi="Arial" w:cs="Arial"/>
          <w:sz w:val="22"/>
          <w:szCs w:val="22"/>
        </w:rPr>
        <w:t xml:space="preserve"> &amp; </w:t>
      </w:r>
      <w:proofErr w:type="spellStart"/>
      <w:r w:rsidRPr="007350BA">
        <w:rPr>
          <w:rFonts w:ascii="Arial" w:hAnsi="Arial" w:cs="Arial"/>
          <w:sz w:val="22"/>
          <w:szCs w:val="22"/>
        </w:rPr>
        <w:t>Boudreau</w:t>
      </w:r>
      <w:proofErr w:type="spellEnd"/>
      <w:r w:rsidRPr="007350BA">
        <w:rPr>
          <w:rFonts w:ascii="Arial" w:hAnsi="Arial" w:cs="Arial"/>
          <w:sz w:val="22"/>
          <w:szCs w:val="22"/>
        </w:rPr>
        <w:t>, 2017; OECD, 2019).</w:t>
      </w:r>
    </w:p>
    <w:p w14:paraId="1733A31E" w14:textId="24BB9803" w:rsidR="00827884" w:rsidRPr="002E10AC" w:rsidRDefault="00A37089" w:rsidP="007350BA">
      <w:pPr>
        <w:spacing w:line="360" w:lineRule="auto"/>
        <w:rPr>
          <w:rFonts w:ascii="Arial" w:hAnsi="Arial" w:cs="Arial"/>
          <w:b/>
          <w:bCs/>
          <w:color w:val="153D63" w:themeColor="text2" w:themeTint="E6"/>
        </w:rPr>
      </w:pPr>
      <w:r w:rsidRPr="002E10AC">
        <w:rPr>
          <w:rFonts w:ascii="Arial" w:hAnsi="Arial" w:cs="Arial"/>
          <w:b/>
          <w:bCs/>
          <w:color w:val="153D63" w:themeColor="text2" w:themeTint="E6"/>
        </w:rPr>
        <w:t xml:space="preserve"> </w:t>
      </w:r>
      <w:r w:rsidR="00827884" w:rsidRPr="002E10AC">
        <w:rPr>
          <w:rFonts w:ascii="Arial" w:hAnsi="Arial" w:cs="Arial"/>
          <w:b/>
          <w:bCs/>
          <w:color w:val="153D63" w:themeColor="text2" w:themeTint="E6"/>
        </w:rPr>
        <w:t xml:space="preserve">References </w:t>
      </w:r>
    </w:p>
    <w:p w14:paraId="7115C024"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Armstrong, M., 2020. </w:t>
      </w:r>
      <w:r w:rsidRPr="007350BA">
        <w:rPr>
          <w:rFonts w:ascii="Arial" w:hAnsi="Arial" w:cs="Arial"/>
          <w:i/>
          <w:iCs/>
          <w:sz w:val="22"/>
          <w:szCs w:val="22"/>
        </w:rPr>
        <w:t>Armstrong’s Handbook of Human Resource Management Practice</w:t>
      </w:r>
      <w:r w:rsidRPr="007350BA">
        <w:rPr>
          <w:rFonts w:ascii="Arial" w:hAnsi="Arial" w:cs="Arial"/>
          <w:sz w:val="22"/>
          <w:szCs w:val="22"/>
        </w:rPr>
        <w:t>. 15th ed. London: Kogan Page.</w:t>
      </w:r>
    </w:p>
    <w:p w14:paraId="23D270FE" w14:textId="77777777" w:rsidR="00963880"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Barney, J., 1991. </w:t>
      </w:r>
      <w:r w:rsidRPr="007350BA">
        <w:rPr>
          <w:rFonts w:ascii="Arial" w:hAnsi="Arial" w:cs="Arial"/>
          <w:i/>
          <w:iCs/>
          <w:sz w:val="22"/>
          <w:szCs w:val="22"/>
        </w:rPr>
        <w:t>Firm Resources and Sustained Competitive Advantage</w:t>
      </w:r>
      <w:r w:rsidRPr="007350BA">
        <w:rPr>
          <w:rFonts w:ascii="Arial" w:hAnsi="Arial" w:cs="Arial"/>
          <w:sz w:val="22"/>
          <w:szCs w:val="22"/>
        </w:rPr>
        <w:t>. Journal of Management, 17(1), pp.99–120.</w:t>
      </w:r>
    </w:p>
    <w:p w14:paraId="022E8270" w14:textId="59AB8321"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Beer, M., </w:t>
      </w:r>
      <w:proofErr w:type="spellStart"/>
      <w:r w:rsidRPr="007350BA">
        <w:rPr>
          <w:rFonts w:ascii="Arial" w:hAnsi="Arial" w:cs="Arial"/>
          <w:sz w:val="22"/>
          <w:szCs w:val="22"/>
        </w:rPr>
        <w:t>Boselie</w:t>
      </w:r>
      <w:proofErr w:type="spellEnd"/>
      <w:r w:rsidRPr="007350BA">
        <w:rPr>
          <w:rFonts w:ascii="Arial" w:hAnsi="Arial" w:cs="Arial"/>
          <w:sz w:val="22"/>
          <w:szCs w:val="22"/>
        </w:rPr>
        <w:t xml:space="preserve">, P. &amp; Brewster, C., 2015. </w:t>
      </w:r>
      <w:r w:rsidRPr="007350BA">
        <w:rPr>
          <w:rFonts w:ascii="Arial" w:hAnsi="Arial" w:cs="Arial"/>
          <w:i/>
          <w:iCs/>
          <w:sz w:val="22"/>
          <w:szCs w:val="22"/>
        </w:rPr>
        <w:t>Back to the Future:</w:t>
      </w:r>
      <w:r w:rsidRPr="007350BA">
        <w:rPr>
          <w:rFonts w:ascii="Arial" w:hAnsi="Arial" w:cs="Arial"/>
          <w:sz w:val="22"/>
          <w:szCs w:val="22"/>
        </w:rPr>
        <w:t xml:space="preserve"> </w:t>
      </w:r>
      <w:r w:rsidRPr="007350BA">
        <w:rPr>
          <w:rFonts w:ascii="Arial" w:hAnsi="Arial" w:cs="Arial"/>
          <w:i/>
          <w:iCs/>
          <w:sz w:val="22"/>
          <w:szCs w:val="22"/>
        </w:rPr>
        <w:t xml:space="preserve">Implications for the Field of HRM of the </w:t>
      </w:r>
      <w:proofErr w:type="spellStart"/>
      <w:r w:rsidRPr="007350BA">
        <w:rPr>
          <w:rFonts w:ascii="Arial" w:hAnsi="Arial" w:cs="Arial"/>
          <w:i/>
          <w:iCs/>
          <w:sz w:val="22"/>
          <w:szCs w:val="22"/>
        </w:rPr>
        <w:t>Multistakeholder</w:t>
      </w:r>
      <w:proofErr w:type="spellEnd"/>
      <w:r w:rsidRPr="007350BA">
        <w:rPr>
          <w:rFonts w:ascii="Arial" w:hAnsi="Arial" w:cs="Arial"/>
          <w:i/>
          <w:iCs/>
          <w:sz w:val="22"/>
          <w:szCs w:val="22"/>
        </w:rPr>
        <w:t xml:space="preserve"> Perspective Proposed 30 Years Ago</w:t>
      </w:r>
      <w:r w:rsidRPr="007350BA">
        <w:rPr>
          <w:rFonts w:ascii="Arial" w:hAnsi="Arial" w:cs="Arial"/>
          <w:sz w:val="22"/>
          <w:szCs w:val="22"/>
        </w:rPr>
        <w:t>. Human Resource Management, 54(3), pp.427–438.</w:t>
      </w:r>
    </w:p>
    <w:p w14:paraId="5E0B8DD0" w14:textId="77777777" w:rsidR="00827884" w:rsidRPr="007350BA" w:rsidRDefault="00827884" w:rsidP="007350BA">
      <w:pPr>
        <w:spacing w:line="360" w:lineRule="auto"/>
        <w:rPr>
          <w:rFonts w:ascii="Arial" w:hAnsi="Arial" w:cs="Arial"/>
          <w:sz w:val="22"/>
          <w:szCs w:val="22"/>
        </w:rPr>
      </w:pPr>
      <w:proofErr w:type="spellStart"/>
      <w:r w:rsidRPr="007350BA">
        <w:rPr>
          <w:rFonts w:ascii="Arial" w:hAnsi="Arial" w:cs="Arial"/>
          <w:sz w:val="22"/>
          <w:szCs w:val="22"/>
        </w:rPr>
        <w:t>Boxall</w:t>
      </w:r>
      <w:proofErr w:type="spellEnd"/>
      <w:r w:rsidRPr="007350BA">
        <w:rPr>
          <w:rFonts w:ascii="Arial" w:hAnsi="Arial" w:cs="Arial"/>
          <w:sz w:val="22"/>
          <w:szCs w:val="22"/>
        </w:rPr>
        <w:t xml:space="preserve">, P. &amp; Purcell, J., 2016. </w:t>
      </w:r>
      <w:r w:rsidRPr="007350BA">
        <w:rPr>
          <w:rFonts w:ascii="Arial" w:hAnsi="Arial" w:cs="Arial"/>
          <w:i/>
          <w:iCs/>
          <w:sz w:val="22"/>
          <w:szCs w:val="22"/>
        </w:rPr>
        <w:t>Strategy and Human Resource Management</w:t>
      </w:r>
      <w:r w:rsidRPr="007350BA">
        <w:rPr>
          <w:rFonts w:ascii="Arial" w:hAnsi="Arial" w:cs="Arial"/>
          <w:sz w:val="22"/>
          <w:szCs w:val="22"/>
        </w:rPr>
        <w:t xml:space="preserve">. 4th ed. Basingstoke: </w:t>
      </w:r>
      <w:proofErr w:type="spellStart"/>
      <w:r w:rsidRPr="007350BA">
        <w:rPr>
          <w:rFonts w:ascii="Arial" w:hAnsi="Arial" w:cs="Arial"/>
          <w:sz w:val="22"/>
          <w:szCs w:val="22"/>
        </w:rPr>
        <w:t>Palgrave</w:t>
      </w:r>
      <w:proofErr w:type="spellEnd"/>
      <w:r w:rsidRPr="007350BA">
        <w:rPr>
          <w:rFonts w:ascii="Arial" w:hAnsi="Arial" w:cs="Arial"/>
          <w:sz w:val="22"/>
          <w:szCs w:val="22"/>
        </w:rPr>
        <w:t>.</w:t>
      </w:r>
    </w:p>
    <w:p w14:paraId="1592551E" w14:textId="77777777" w:rsidR="00827884" w:rsidRPr="007350BA" w:rsidRDefault="00827884" w:rsidP="007350BA">
      <w:pPr>
        <w:spacing w:line="360" w:lineRule="auto"/>
        <w:rPr>
          <w:rFonts w:ascii="Arial" w:hAnsi="Arial" w:cs="Arial"/>
          <w:sz w:val="22"/>
          <w:szCs w:val="22"/>
        </w:rPr>
      </w:pPr>
      <w:proofErr w:type="spellStart"/>
      <w:r w:rsidRPr="007350BA">
        <w:rPr>
          <w:rFonts w:ascii="Arial" w:hAnsi="Arial" w:cs="Arial"/>
          <w:sz w:val="22"/>
          <w:szCs w:val="22"/>
        </w:rPr>
        <w:t>Bratton</w:t>
      </w:r>
      <w:proofErr w:type="spellEnd"/>
      <w:r w:rsidRPr="007350BA">
        <w:rPr>
          <w:rFonts w:ascii="Arial" w:hAnsi="Arial" w:cs="Arial"/>
          <w:sz w:val="22"/>
          <w:szCs w:val="22"/>
        </w:rPr>
        <w:t xml:space="preserve">, J. &amp; Gold, J., 2017. </w:t>
      </w:r>
      <w:r w:rsidRPr="007350BA">
        <w:rPr>
          <w:rFonts w:ascii="Arial" w:hAnsi="Arial" w:cs="Arial"/>
          <w:i/>
          <w:iCs/>
          <w:sz w:val="22"/>
          <w:szCs w:val="22"/>
        </w:rPr>
        <w:t>Human Resource Management: Theory and Practice</w:t>
      </w:r>
      <w:r w:rsidRPr="007350BA">
        <w:rPr>
          <w:rFonts w:ascii="Arial" w:hAnsi="Arial" w:cs="Arial"/>
          <w:sz w:val="22"/>
          <w:szCs w:val="22"/>
        </w:rPr>
        <w:t xml:space="preserve">. 6th ed. London: </w:t>
      </w:r>
      <w:proofErr w:type="spellStart"/>
      <w:r w:rsidRPr="007350BA">
        <w:rPr>
          <w:rFonts w:ascii="Arial" w:hAnsi="Arial" w:cs="Arial"/>
          <w:sz w:val="22"/>
          <w:szCs w:val="22"/>
        </w:rPr>
        <w:t>Palgrave</w:t>
      </w:r>
      <w:proofErr w:type="spellEnd"/>
      <w:r w:rsidRPr="007350BA">
        <w:rPr>
          <w:rFonts w:ascii="Arial" w:hAnsi="Arial" w:cs="Arial"/>
          <w:sz w:val="22"/>
          <w:szCs w:val="22"/>
        </w:rPr>
        <w:t>.</w:t>
      </w:r>
    </w:p>
    <w:p w14:paraId="61C257AA"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Brewster, C., Sparrow, P., Cooke, F. &amp; Chung, C., 2016. </w:t>
      </w:r>
      <w:r w:rsidRPr="007350BA">
        <w:rPr>
          <w:rFonts w:ascii="Arial" w:hAnsi="Arial" w:cs="Arial"/>
          <w:i/>
          <w:iCs/>
          <w:sz w:val="22"/>
          <w:szCs w:val="22"/>
        </w:rPr>
        <w:t>Contemporary HRM.</w:t>
      </w:r>
      <w:r w:rsidRPr="007350BA">
        <w:rPr>
          <w:rFonts w:ascii="Arial" w:hAnsi="Arial" w:cs="Arial"/>
          <w:sz w:val="22"/>
          <w:szCs w:val="22"/>
        </w:rPr>
        <w:t xml:space="preserve"> 2nd ed. London: CIPD Publishing.</w:t>
      </w:r>
    </w:p>
    <w:p w14:paraId="519A028F"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CIPD, 2020</w:t>
      </w:r>
      <w:r w:rsidRPr="007350BA">
        <w:rPr>
          <w:rFonts w:ascii="Arial" w:hAnsi="Arial" w:cs="Arial"/>
          <w:i/>
          <w:iCs/>
          <w:sz w:val="22"/>
          <w:szCs w:val="22"/>
        </w:rPr>
        <w:t xml:space="preserve">. </w:t>
      </w:r>
      <w:proofErr w:type="spellStart"/>
      <w:r w:rsidRPr="007350BA">
        <w:rPr>
          <w:rFonts w:ascii="Arial" w:hAnsi="Arial" w:cs="Arial"/>
          <w:i/>
          <w:iCs/>
          <w:sz w:val="22"/>
          <w:szCs w:val="22"/>
        </w:rPr>
        <w:t>Megatrends</w:t>
      </w:r>
      <w:proofErr w:type="spellEnd"/>
      <w:r w:rsidRPr="007350BA">
        <w:rPr>
          <w:rFonts w:ascii="Arial" w:hAnsi="Arial" w:cs="Arial"/>
          <w:i/>
          <w:iCs/>
          <w:sz w:val="22"/>
          <w:szCs w:val="22"/>
        </w:rPr>
        <w:t>: The trends shaping work and the workplace</w:t>
      </w:r>
      <w:r w:rsidRPr="007350BA">
        <w:rPr>
          <w:rFonts w:ascii="Arial" w:hAnsi="Arial" w:cs="Arial"/>
          <w:sz w:val="22"/>
          <w:szCs w:val="22"/>
        </w:rPr>
        <w:t>. London: CIPD. Available at: https://www.cipd.co.uk</w:t>
      </w:r>
    </w:p>
    <w:p w14:paraId="4FE1FBD0"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CIPD, 2021. </w:t>
      </w:r>
      <w:r w:rsidRPr="007350BA">
        <w:rPr>
          <w:rFonts w:ascii="Arial" w:hAnsi="Arial" w:cs="Arial"/>
          <w:i/>
          <w:iCs/>
          <w:sz w:val="22"/>
          <w:szCs w:val="22"/>
        </w:rPr>
        <w:t>Employee relations: A guide</w:t>
      </w:r>
      <w:r w:rsidRPr="007350BA">
        <w:rPr>
          <w:rFonts w:ascii="Arial" w:hAnsi="Arial" w:cs="Arial"/>
          <w:sz w:val="22"/>
          <w:szCs w:val="22"/>
        </w:rPr>
        <w:t>. London: CIPD.</w:t>
      </w:r>
    </w:p>
    <w:p w14:paraId="59134861"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Davenport, T.H., 2018. </w:t>
      </w:r>
      <w:r w:rsidRPr="007350BA">
        <w:rPr>
          <w:rFonts w:ascii="Arial" w:hAnsi="Arial" w:cs="Arial"/>
          <w:i/>
          <w:iCs/>
          <w:sz w:val="22"/>
          <w:szCs w:val="22"/>
        </w:rPr>
        <w:t>The AI Advantage: How to Put the Artificial Intelligence Revolution to Work.</w:t>
      </w:r>
      <w:r w:rsidRPr="007350BA">
        <w:rPr>
          <w:rFonts w:ascii="Arial" w:hAnsi="Arial" w:cs="Arial"/>
          <w:sz w:val="22"/>
          <w:szCs w:val="22"/>
        </w:rPr>
        <w:t xml:space="preserve"> Cambridge: MIT Press.</w:t>
      </w:r>
    </w:p>
    <w:p w14:paraId="69CF46A0" w14:textId="77777777" w:rsidR="00827884" w:rsidRPr="007350BA" w:rsidRDefault="00827884" w:rsidP="007350BA">
      <w:pPr>
        <w:spacing w:line="360" w:lineRule="auto"/>
        <w:rPr>
          <w:rFonts w:ascii="Arial" w:hAnsi="Arial" w:cs="Arial"/>
          <w:sz w:val="22"/>
          <w:szCs w:val="22"/>
        </w:rPr>
      </w:pPr>
      <w:proofErr w:type="spellStart"/>
      <w:r w:rsidRPr="007350BA">
        <w:rPr>
          <w:rFonts w:ascii="Arial" w:hAnsi="Arial" w:cs="Arial"/>
          <w:sz w:val="22"/>
          <w:szCs w:val="22"/>
        </w:rPr>
        <w:t>Dessler</w:t>
      </w:r>
      <w:proofErr w:type="spellEnd"/>
      <w:r w:rsidRPr="007350BA">
        <w:rPr>
          <w:rFonts w:ascii="Arial" w:hAnsi="Arial" w:cs="Arial"/>
          <w:sz w:val="22"/>
          <w:szCs w:val="22"/>
        </w:rPr>
        <w:t xml:space="preserve">, G., 2020. </w:t>
      </w:r>
      <w:r w:rsidRPr="007350BA">
        <w:rPr>
          <w:rFonts w:ascii="Arial" w:hAnsi="Arial" w:cs="Arial"/>
          <w:i/>
          <w:iCs/>
          <w:sz w:val="22"/>
          <w:szCs w:val="22"/>
        </w:rPr>
        <w:t>Human Resource Management</w:t>
      </w:r>
      <w:r w:rsidRPr="007350BA">
        <w:rPr>
          <w:rFonts w:ascii="Arial" w:hAnsi="Arial" w:cs="Arial"/>
          <w:sz w:val="22"/>
          <w:szCs w:val="22"/>
        </w:rPr>
        <w:t>. 16th ed. Harlow: Pearson.</w:t>
      </w:r>
    </w:p>
    <w:p w14:paraId="44C62197"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Frey, C.B. &amp; Osborne, M.A., 2017</w:t>
      </w:r>
      <w:r w:rsidRPr="007350BA">
        <w:rPr>
          <w:rFonts w:ascii="Arial" w:hAnsi="Arial" w:cs="Arial"/>
          <w:i/>
          <w:iCs/>
          <w:sz w:val="22"/>
          <w:szCs w:val="22"/>
        </w:rPr>
        <w:t>. The Future of Employment: How Susceptible Are Jobs to Computerisation?</w:t>
      </w:r>
      <w:r w:rsidRPr="007350BA">
        <w:rPr>
          <w:rFonts w:ascii="Arial" w:hAnsi="Arial" w:cs="Arial"/>
          <w:sz w:val="22"/>
          <w:szCs w:val="22"/>
        </w:rPr>
        <w:t xml:space="preserve"> Technological Forecasting and Social Change, 114, pp.254–280.</w:t>
      </w:r>
    </w:p>
    <w:p w14:paraId="203637C9" w14:textId="7B2A2B29"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Hill, T. &amp; Westbrook, R., 1997. </w:t>
      </w:r>
      <w:r w:rsidRPr="007350BA">
        <w:rPr>
          <w:rFonts w:ascii="Arial" w:hAnsi="Arial" w:cs="Arial"/>
          <w:i/>
          <w:iCs/>
          <w:sz w:val="22"/>
          <w:szCs w:val="22"/>
        </w:rPr>
        <w:t xml:space="preserve">SWOT Analysis: </w:t>
      </w:r>
      <w:r w:rsidR="00963880" w:rsidRPr="007350BA">
        <w:rPr>
          <w:rFonts w:ascii="Arial" w:hAnsi="Arial" w:cs="Arial"/>
          <w:i/>
          <w:iCs/>
          <w:sz w:val="22"/>
          <w:szCs w:val="22"/>
        </w:rPr>
        <w:t>It is</w:t>
      </w:r>
      <w:r w:rsidRPr="007350BA">
        <w:rPr>
          <w:rFonts w:ascii="Arial" w:hAnsi="Arial" w:cs="Arial"/>
          <w:i/>
          <w:iCs/>
          <w:sz w:val="22"/>
          <w:szCs w:val="22"/>
        </w:rPr>
        <w:t xml:space="preserve"> Time for a Product Recall</w:t>
      </w:r>
      <w:r w:rsidRPr="007350BA">
        <w:rPr>
          <w:rFonts w:ascii="Arial" w:hAnsi="Arial" w:cs="Arial"/>
          <w:sz w:val="22"/>
          <w:szCs w:val="22"/>
        </w:rPr>
        <w:t>. Long Range Planning, 30(1), pp.46–52.</w:t>
      </w:r>
    </w:p>
    <w:p w14:paraId="330B7256" w14:textId="50D6BB15" w:rsidR="00827884" w:rsidRPr="007350BA" w:rsidRDefault="00827884" w:rsidP="007350BA">
      <w:pPr>
        <w:spacing w:line="360" w:lineRule="auto"/>
        <w:rPr>
          <w:rFonts w:ascii="Arial" w:hAnsi="Arial" w:cs="Arial"/>
          <w:sz w:val="22"/>
          <w:szCs w:val="22"/>
        </w:rPr>
      </w:pPr>
      <w:proofErr w:type="spellStart"/>
      <w:r w:rsidRPr="007350BA">
        <w:rPr>
          <w:rFonts w:ascii="Arial" w:hAnsi="Arial" w:cs="Arial"/>
          <w:sz w:val="22"/>
          <w:szCs w:val="22"/>
        </w:rPr>
        <w:t>Hitt</w:t>
      </w:r>
      <w:proofErr w:type="spellEnd"/>
      <w:r w:rsidRPr="007350BA">
        <w:rPr>
          <w:rFonts w:ascii="Arial" w:hAnsi="Arial" w:cs="Arial"/>
          <w:sz w:val="22"/>
          <w:szCs w:val="22"/>
        </w:rPr>
        <w:t xml:space="preserve">, M.A., Ireland, R.D. &amp; </w:t>
      </w:r>
      <w:proofErr w:type="spellStart"/>
      <w:r w:rsidR="00D812AD" w:rsidRPr="007350BA">
        <w:rPr>
          <w:rFonts w:ascii="Arial" w:hAnsi="Arial" w:cs="Arial"/>
          <w:sz w:val="22"/>
          <w:szCs w:val="22"/>
        </w:rPr>
        <w:t>Huskisson</w:t>
      </w:r>
      <w:proofErr w:type="spellEnd"/>
      <w:r w:rsidRPr="007350BA">
        <w:rPr>
          <w:rFonts w:ascii="Arial" w:hAnsi="Arial" w:cs="Arial"/>
          <w:sz w:val="22"/>
          <w:szCs w:val="22"/>
        </w:rPr>
        <w:t xml:space="preserve">, R.E., 2017. </w:t>
      </w:r>
      <w:r w:rsidRPr="007350BA">
        <w:rPr>
          <w:rFonts w:ascii="Arial" w:hAnsi="Arial" w:cs="Arial"/>
          <w:i/>
          <w:iCs/>
          <w:sz w:val="22"/>
          <w:szCs w:val="22"/>
        </w:rPr>
        <w:t>Strategic Management: Competitiveness and Globalisation</w:t>
      </w:r>
      <w:r w:rsidRPr="007350BA">
        <w:rPr>
          <w:rFonts w:ascii="Arial" w:hAnsi="Arial" w:cs="Arial"/>
          <w:sz w:val="22"/>
          <w:szCs w:val="22"/>
        </w:rPr>
        <w:t xml:space="preserve">. 12th ed. </w:t>
      </w:r>
      <w:proofErr w:type="spellStart"/>
      <w:r w:rsidRPr="007350BA">
        <w:rPr>
          <w:rFonts w:ascii="Arial" w:hAnsi="Arial" w:cs="Arial"/>
          <w:sz w:val="22"/>
          <w:szCs w:val="22"/>
        </w:rPr>
        <w:t>Cengage</w:t>
      </w:r>
      <w:proofErr w:type="spellEnd"/>
      <w:r w:rsidRPr="007350BA">
        <w:rPr>
          <w:rFonts w:ascii="Arial" w:hAnsi="Arial" w:cs="Arial"/>
          <w:sz w:val="22"/>
          <w:szCs w:val="22"/>
        </w:rPr>
        <w:t>.</w:t>
      </w:r>
    </w:p>
    <w:p w14:paraId="5800606F" w14:textId="4A872489" w:rsidR="00827884" w:rsidRPr="007350BA" w:rsidRDefault="00827884" w:rsidP="007350BA">
      <w:pPr>
        <w:spacing w:line="360" w:lineRule="auto"/>
        <w:rPr>
          <w:rFonts w:ascii="Arial" w:hAnsi="Arial" w:cs="Arial"/>
          <w:sz w:val="22"/>
          <w:szCs w:val="22"/>
        </w:rPr>
      </w:pPr>
      <w:proofErr w:type="spellStart"/>
      <w:r w:rsidRPr="007350BA">
        <w:rPr>
          <w:rFonts w:ascii="Arial" w:hAnsi="Arial" w:cs="Arial"/>
          <w:sz w:val="22"/>
          <w:szCs w:val="22"/>
        </w:rPr>
        <w:t>Hofstede</w:t>
      </w:r>
      <w:proofErr w:type="spellEnd"/>
      <w:r w:rsidRPr="007350BA">
        <w:rPr>
          <w:rFonts w:ascii="Arial" w:hAnsi="Arial" w:cs="Arial"/>
          <w:sz w:val="22"/>
          <w:szCs w:val="22"/>
        </w:rPr>
        <w:t xml:space="preserve">, G., 2001. </w:t>
      </w:r>
      <w:r w:rsidRPr="007350BA">
        <w:rPr>
          <w:rFonts w:ascii="Arial" w:hAnsi="Arial" w:cs="Arial"/>
          <w:i/>
          <w:iCs/>
          <w:sz w:val="22"/>
          <w:szCs w:val="22"/>
        </w:rPr>
        <w:t xml:space="preserve">Culture’s Consequences: Comparing Values, </w:t>
      </w:r>
      <w:r w:rsidR="00D812AD" w:rsidRPr="007350BA">
        <w:rPr>
          <w:rFonts w:ascii="Arial" w:hAnsi="Arial" w:cs="Arial"/>
          <w:i/>
          <w:iCs/>
          <w:sz w:val="22"/>
          <w:szCs w:val="22"/>
        </w:rPr>
        <w:t>Behaviours</w:t>
      </w:r>
      <w:r w:rsidRPr="007350BA">
        <w:rPr>
          <w:rFonts w:ascii="Arial" w:hAnsi="Arial" w:cs="Arial"/>
          <w:i/>
          <w:iCs/>
          <w:sz w:val="22"/>
          <w:szCs w:val="22"/>
        </w:rPr>
        <w:t xml:space="preserve">, Institutions and </w:t>
      </w:r>
      <w:proofErr w:type="spellStart"/>
      <w:r w:rsidRPr="007350BA">
        <w:rPr>
          <w:rFonts w:ascii="Arial" w:hAnsi="Arial" w:cs="Arial"/>
          <w:i/>
          <w:iCs/>
          <w:sz w:val="22"/>
          <w:szCs w:val="22"/>
        </w:rPr>
        <w:t>Organizations</w:t>
      </w:r>
      <w:proofErr w:type="spellEnd"/>
      <w:r w:rsidRPr="007350BA">
        <w:rPr>
          <w:rFonts w:ascii="Arial" w:hAnsi="Arial" w:cs="Arial"/>
          <w:i/>
          <w:iCs/>
          <w:sz w:val="22"/>
          <w:szCs w:val="22"/>
        </w:rPr>
        <w:t xml:space="preserve"> Across Nations</w:t>
      </w:r>
      <w:r w:rsidRPr="007350BA">
        <w:rPr>
          <w:rFonts w:ascii="Arial" w:hAnsi="Arial" w:cs="Arial"/>
          <w:sz w:val="22"/>
          <w:szCs w:val="22"/>
        </w:rPr>
        <w:t>. 2nd ed. Thousand Oaks: Sage.</w:t>
      </w:r>
    </w:p>
    <w:p w14:paraId="547667C4"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Johnson, G., Scholes, K. &amp; Whittington, R., 2017. </w:t>
      </w:r>
      <w:r w:rsidRPr="007350BA">
        <w:rPr>
          <w:rFonts w:ascii="Arial" w:hAnsi="Arial" w:cs="Arial"/>
          <w:i/>
          <w:iCs/>
          <w:sz w:val="22"/>
          <w:szCs w:val="22"/>
        </w:rPr>
        <w:t>Exploring Corporate Strategy.</w:t>
      </w:r>
      <w:r w:rsidRPr="007350BA">
        <w:rPr>
          <w:rFonts w:ascii="Arial" w:hAnsi="Arial" w:cs="Arial"/>
          <w:sz w:val="22"/>
          <w:szCs w:val="22"/>
        </w:rPr>
        <w:t xml:space="preserve"> 11th ed. Harlow: Pearson.</w:t>
      </w:r>
    </w:p>
    <w:p w14:paraId="51FCAA3F"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Kaufman, B.E., 2015. </w:t>
      </w:r>
      <w:r w:rsidRPr="007350BA">
        <w:rPr>
          <w:rFonts w:ascii="Arial" w:hAnsi="Arial" w:cs="Arial"/>
          <w:i/>
          <w:iCs/>
          <w:sz w:val="22"/>
          <w:szCs w:val="22"/>
        </w:rPr>
        <w:t>The Evolution of Strategic HRM through Two Founding Books: A 30th Anniversary Perspective on Development of the Field</w:t>
      </w:r>
      <w:r w:rsidRPr="007350BA">
        <w:rPr>
          <w:rFonts w:ascii="Arial" w:hAnsi="Arial" w:cs="Arial"/>
          <w:sz w:val="22"/>
          <w:szCs w:val="22"/>
        </w:rPr>
        <w:t>. Human Resource Management, 54(3), pp.389–407.</w:t>
      </w:r>
    </w:p>
    <w:p w14:paraId="7F047A0B" w14:textId="77777777" w:rsidR="00827884" w:rsidRPr="007350BA" w:rsidRDefault="00827884" w:rsidP="007350BA">
      <w:pPr>
        <w:spacing w:line="360" w:lineRule="auto"/>
        <w:rPr>
          <w:rFonts w:ascii="Arial" w:hAnsi="Arial" w:cs="Arial"/>
          <w:sz w:val="22"/>
          <w:szCs w:val="22"/>
        </w:rPr>
      </w:pPr>
      <w:proofErr w:type="spellStart"/>
      <w:r w:rsidRPr="007350BA">
        <w:rPr>
          <w:rFonts w:ascii="Arial" w:hAnsi="Arial" w:cs="Arial"/>
          <w:sz w:val="22"/>
          <w:szCs w:val="22"/>
        </w:rPr>
        <w:t>Marler</w:t>
      </w:r>
      <w:proofErr w:type="spellEnd"/>
      <w:r w:rsidRPr="007350BA">
        <w:rPr>
          <w:rFonts w:ascii="Arial" w:hAnsi="Arial" w:cs="Arial"/>
          <w:sz w:val="22"/>
          <w:szCs w:val="22"/>
        </w:rPr>
        <w:t xml:space="preserve">, J.H. &amp; </w:t>
      </w:r>
      <w:proofErr w:type="spellStart"/>
      <w:r w:rsidRPr="007350BA">
        <w:rPr>
          <w:rFonts w:ascii="Arial" w:hAnsi="Arial" w:cs="Arial"/>
          <w:sz w:val="22"/>
          <w:szCs w:val="22"/>
        </w:rPr>
        <w:t>Boudreau</w:t>
      </w:r>
      <w:proofErr w:type="spellEnd"/>
      <w:r w:rsidRPr="007350BA">
        <w:rPr>
          <w:rFonts w:ascii="Arial" w:hAnsi="Arial" w:cs="Arial"/>
          <w:sz w:val="22"/>
          <w:szCs w:val="22"/>
        </w:rPr>
        <w:t xml:space="preserve">, J.W., 2017. </w:t>
      </w:r>
      <w:r w:rsidRPr="007350BA">
        <w:rPr>
          <w:rFonts w:ascii="Arial" w:hAnsi="Arial" w:cs="Arial"/>
          <w:i/>
          <w:iCs/>
          <w:sz w:val="22"/>
          <w:szCs w:val="22"/>
        </w:rPr>
        <w:t>An Evidence-Based Review of HR Analytics.</w:t>
      </w:r>
      <w:r w:rsidRPr="007350BA">
        <w:rPr>
          <w:rFonts w:ascii="Arial" w:hAnsi="Arial" w:cs="Arial"/>
          <w:sz w:val="22"/>
          <w:szCs w:val="22"/>
        </w:rPr>
        <w:t xml:space="preserve"> International Journal of Human Resource Management, 28(1), pp.3–26.</w:t>
      </w:r>
    </w:p>
    <w:p w14:paraId="2875C750"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Noe, R.A., 2017. </w:t>
      </w:r>
      <w:r w:rsidRPr="007350BA">
        <w:rPr>
          <w:rFonts w:ascii="Arial" w:hAnsi="Arial" w:cs="Arial"/>
          <w:i/>
          <w:iCs/>
          <w:sz w:val="22"/>
          <w:szCs w:val="22"/>
        </w:rPr>
        <w:t>Employee Training and Development</w:t>
      </w:r>
      <w:r w:rsidRPr="007350BA">
        <w:rPr>
          <w:rFonts w:ascii="Arial" w:hAnsi="Arial" w:cs="Arial"/>
          <w:sz w:val="22"/>
          <w:szCs w:val="22"/>
        </w:rPr>
        <w:t>. 7th ed. New York: McGraw-Hill.</w:t>
      </w:r>
    </w:p>
    <w:p w14:paraId="4F19493E" w14:textId="0E194A85"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OECD, 2019. </w:t>
      </w:r>
      <w:r w:rsidRPr="007350BA">
        <w:rPr>
          <w:rFonts w:ascii="Arial" w:hAnsi="Arial" w:cs="Arial"/>
          <w:i/>
          <w:iCs/>
          <w:sz w:val="22"/>
          <w:szCs w:val="22"/>
        </w:rPr>
        <w:t xml:space="preserve">Education </w:t>
      </w:r>
      <w:r w:rsidR="00963880" w:rsidRPr="007350BA">
        <w:rPr>
          <w:rFonts w:ascii="Arial" w:hAnsi="Arial" w:cs="Arial"/>
          <w:i/>
          <w:iCs/>
          <w:sz w:val="22"/>
          <w:szCs w:val="22"/>
        </w:rPr>
        <w:t>at Glance</w:t>
      </w:r>
      <w:r w:rsidRPr="007350BA">
        <w:rPr>
          <w:rFonts w:ascii="Arial" w:hAnsi="Arial" w:cs="Arial"/>
          <w:i/>
          <w:iCs/>
          <w:sz w:val="22"/>
          <w:szCs w:val="22"/>
        </w:rPr>
        <w:t xml:space="preserve"> 2019: OECD Indicators</w:t>
      </w:r>
      <w:r w:rsidRPr="007350BA">
        <w:rPr>
          <w:rFonts w:ascii="Arial" w:hAnsi="Arial" w:cs="Arial"/>
          <w:sz w:val="22"/>
          <w:szCs w:val="22"/>
        </w:rPr>
        <w:t>. Paris: OECD Publishing.</w:t>
      </w:r>
    </w:p>
    <w:p w14:paraId="7A5C6E03"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Porter, M.E., 2008. </w:t>
      </w:r>
      <w:r w:rsidRPr="007350BA">
        <w:rPr>
          <w:rFonts w:ascii="Arial" w:hAnsi="Arial" w:cs="Arial"/>
          <w:i/>
          <w:iCs/>
          <w:sz w:val="22"/>
          <w:szCs w:val="22"/>
        </w:rPr>
        <w:t>The Five Competitive Forces That Shape Strategy</w:t>
      </w:r>
      <w:r w:rsidRPr="007350BA">
        <w:rPr>
          <w:rFonts w:ascii="Arial" w:hAnsi="Arial" w:cs="Arial"/>
          <w:sz w:val="22"/>
          <w:szCs w:val="22"/>
        </w:rPr>
        <w:t>. Harvard Business Review, January.</w:t>
      </w:r>
    </w:p>
    <w:p w14:paraId="4E0668E4" w14:textId="77777777" w:rsidR="00827884" w:rsidRPr="007350BA" w:rsidRDefault="00827884" w:rsidP="007350BA">
      <w:pPr>
        <w:spacing w:line="360" w:lineRule="auto"/>
        <w:rPr>
          <w:rFonts w:ascii="Arial" w:hAnsi="Arial" w:cs="Arial"/>
          <w:sz w:val="22"/>
          <w:szCs w:val="22"/>
        </w:rPr>
      </w:pPr>
      <w:proofErr w:type="spellStart"/>
      <w:r w:rsidRPr="007350BA">
        <w:rPr>
          <w:rFonts w:ascii="Arial" w:hAnsi="Arial" w:cs="Arial"/>
          <w:sz w:val="22"/>
          <w:szCs w:val="22"/>
        </w:rPr>
        <w:t>Pulakos</w:t>
      </w:r>
      <w:proofErr w:type="spellEnd"/>
      <w:r w:rsidRPr="007350BA">
        <w:rPr>
          <w:rFonts w:ascii="Arial" w:hAnsi="Arial" w:cs="Arial"/>
          <w:sz w:val="22"/>
          <w:szCs w:val="22"/>
        </w:rPr>
        <w:t xml:space="preserve">, E.D., 2009. </w:t>
      </w:r>
      <w:r w:rsidRPr="007350BA">
        <w:rPr>
          <w:rFonts w:ascii="Arial" w:hAnsi="Arial" w:cs="Arial"/>
          <w:i/>
          <w:iCs/>
          <w:sz w:val="22"/>
          <w:szCs w:val="22"/>
        </w:rPr>
        <w:t>Performance Management: A New Approach for Driving Business Results</w:t>
      </w:r>
      <w:r w:rsidRPr="007350BA">
        <w:rPr>
          <w:rFonts w:ascii="Arial" w:hAnsi="Arial" w:cs="Arial"/>
          <w:sz w:val="22"/>
          <w:szCs w:val="22"/>
        </w:rPr>
        <w:t>. Hoboken: Wiley.</w:t>
      </w:r>
    </w:p>
    <w:p w14:paraId="099A4534"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SHRM, 2019. </w:t>
      </w:r>
      <w:r w:rsidRPr="007350BA">
        <w:rPr>
          <w:rFonts w:ascii="Arial" w:hAnsi="Arial" w:cs="Arial"/>
          <w:i/>
          <w:iCs/>
          <w:sz w:val="22"/>
          <w:szCs w:val="22"/>
        </w:rPr>
        <w:t>The Gig Economy and Contingent Work: A Guide for HR. Society for Human Resource Management.</w:t>
      </w:r>
      <w:r w:rsidRPr="007350BA">
        <w:rPr>
          <w:rFonts w:ascii="Arial" w:hAnsi="Arial" w:cs="Arial"/>
          <w:sz w:val="22"/>
          <w:szCs w:val="22"/>
        </w:rPr>
        <w:t xml:space="preserve"> Available at: https://www.shrm.org</w:t>
      </w:r>
    </w:p>
    <w:p w14:paraId="68CD1E3D"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Sparrow, P., Brewster, C. &amp; Chung, C., 2016. </w:t>
      </w:r>
      <w:proofErr w:type="spellStart"/>
      <w:r w:rsidRPr="007350BA">
        <w:rPr>
          <w:rFonts w:ascii="Arial" w:hAnsi="Arial" w:cs="Arial"/>
          <w:i/>
          <w:iCs/>
          <w:sz w:val="22"/>
          <w:szCs w:val="22"/>
        </w:rPr>
        <w:t>Globalizing</w:t>
      </w:r>
      <w:proofErr w:type="spellEnd"/>
      <w:r w:rsidRPr="007350BA">
        <w:rPr>
          <w:rFonts w:ascii="Arial" w:hAnsi="Arial" w:cs="Arial"/>
          <w:i/>
          <w:iCs/>
          <w:sz w:val="22"/>
          <w:szCs w:val="22"/>
        </w:rPr>
        <w:t xml:space="preserve"> Human Resource Management</w:t>
      </w:r>
      <w:r w:rsidRPr="007350BA">
        <w:rPr>
          <w:rFonts w:ascii="Arial" w:hAnsi="Arial" w:cs="Arial"/>
          <w:sz w:val="22"/>
          <w:szCs w:val="22"/>
        </w:rPr>
        <w:t xml:space="preserve">. 2nd ed. London: </w:t>
      </w:r>
      <w:proofErr w:type="spellStart"/>
      <w:r w:rsidRPr="007350BA">
        <w:rPr>
          <w:rFonts w:ascii="Arial" w:hAnsi="Arial" w:cs="Arial"/>
          <w:sz w:val="22"/>
          <w:szCs w:val="22"/>
        </w:rPr>
        <w:t>Routledge</w:t>
      </w:r>
      <w:proofErr w:type="spellEnd"/>
      <w:r w:rsidRPr="007350BA">
        <w:rPr>
          <w:rFonts w:ascii="Arial" w:hAnsi="Arial" w:cs="Arial"/>
          <w:sz w:val="22"/>
          <w:szCs w:val="22"/>
        </w:rPr>
        <w:t>.</w:t>
      </w:r>
    </w:p>
    <w:p w14:paraId="5160951E"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2022. </w:t>
      </w:r>
      <w:r w:rsidRPr="007350BA">
        <w:rPr>
          <w:rFonts w:ascii="Arial" w:hAnsi="Arial" w:cs="Arial"/>
          <w:i/>
          <w:iCs/>
          <w:sz w:val="22"/>
          <w:szCs w:val="22"/>
        </w:rPr>
        <w:t>People Report.</w:t>
      </w:r>
      <w:r w:rsidRPr="007350BA">
        <w:rPr>
          <w:rFonts w:ascii="Arial" w:hAnsi="Arial" w:cs="Arial"/>
          <w:sz w:val="22"/>
          <w:szCs w:val="22"/>
        </w:rPr>
        <w:t xml:space="preserve"> Unilever. Available at: https://www.unilever.com</w:t>
      </w:r>
    </w:p>
    <w:p w14:paraId="62BAC98D"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2023. </w:t>
      </w:r>
      <w:r w:rsidRPr="007350BA">
        <w:rPr>
          <w:rFonts w:ascii="Arial" w:hAnsi="Arial" w:cs="Arial"/>
          <w:i/>
          <w:iCs/>
          <w:sz w:val="22"/>
          <w:szCs w:val="22"/>
        </w:rPr>
        <w:t>Annual Report and Accounts</w:t>
      </w:r>
      <w:r w:rsidRPr="007350BA">
        <w:rPr>
          <w:rFonts w:ascii="Arial" w:hAnsi="Arial" w:cs="Arial"/>
          <w:sz w:val="22"/>
          <w:szCs w:val="22"/>
        </w:rPr>
        <w:t>. Unilever. Available at: https://www.unilever.com</w:t>
      </w:r>
    </w:p>
    <w:p w14:paraId="68C9887E"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Sustainable Living Plan, 2020. </w:t>
      </w:r>
      <w:r w:rsidRPr="007350BA">
        <w:rPr>
          <w:rFonts w:ascii="Arial" w:hAnsi="Arial" w:cs="Arial"/>
          <w:i/>
          <w:iCs/>
          <w:sz w:val="22"/>
          <w:szCs w:val="22"/>
        </w:rPr>
        <w:t>Unilever.</w:t>
      </w:r>
      <w:r w:rsidRPr="007350BA">
        <w:rPr>
          <w:rFonts w:ascii="Arial" w:hAnsi="Arial" w:cs="Arial"/>
          <w:sz w:val="22"/>
          <w:szCs w:val="22"/>
        </w:rPr>
        <w:t xml:space="preserve"> Available at: https://www.unilever.com/sustainable-living</w:t>
      </w:r>
    </w:p>
    <w:p w14:paraId="345BA0D6"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Careers, 2023. </w:t>
      </w:r>
      <w:r w:rsidRPr="007350BA">
        <w:rPr>
          <w:rFonts w:ascii="Arial" w:hAnsi="Arial" w:cs="Arial"/>
          <w:i/>
          <w:iCs/>
          <w:sz w:val="22"/>
          <w:szCs w:val="22"/>
        </w:rPr>
        <w:t>Recruitment and Graduate Programmes</w:t>
      </w:r>
      <w:r w:rsidRPr="007350BA">
        <w:rPr>
          <w:rFonts w:ascii="Arial" w:hAnsi="Arial" w:cs="Arial"/>
          <w:sz w:val="22"/>
          <w:szCs w:val="22"/>
        </w:rPr>
        <w:t>. Available at: https://www.unilever.com/careers</w:t>
      </w:r>
    </w:p>
    <w:p w14:paraId="444D9CFC"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Ulrich, D., </w:t>
      </w:r>
      <w:proofErr w:type="spellStart"/>
      <w:r w:rsidRPr="007350BA">
        <w:rPr>
          <w:rFonts w:ascii="Arial" w:hAnsi="Arial" w:cs="Arial"/>
          <w:sz w:val="22"/>
          <w:szCs w:val="22"/>
        </w:rPr>
        <w:t>Brockbank</w:t>
      </w:r>
      <w:proofErr w:type="spellEnd"/>
      <w:r w:rsidRPr="007350BA">
        <w:rPr>
          <w:rFonts w:ascii="Arial" w:hAnsi="Arial" w:cs="Arial"/>
          <w:sz w:val="22"/>
          <w:szCs w:val="22"/>
        </w:rPr>
        <w:t>, W., Younger, J. &amp; Ulrich, M., 2017</w:t>
      </w:r>
      <w:r w:rsidRPr="007350BA">
        <w:rPr>
          <w:rFonts w:ascii="Arial" w:hAnsi="Arial" w:cs="Arial"/>
          <w:i/>
          <w:iCs/>
          <w:sz w:val="22"/>
          <w:szCs w:val="22"/>
        </w:rPr>
        <w:t>. HR from the Outside In: Six Competencies for the Future of Human Resources</w:t>
      </w:r>
      <w:r w:rsidRPr="007350BA">
        <w:rPr>
          <w:rFonts w:ascii="Arial" w:hAnsi="Arial" w:cs="Arial"/>
          <w:sz w:val="22"/>
          <w:szCs w:val="22"/>
        </w:rPr>
        <w:t>. 2nd ed. New York: McGraw-Hill.</w:t>
      </w:r>
    </w:p>
    <w:p w14:paraId="51584798"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World Bank, 2019. </w:t>
      </w:r>
      <w:r w:rsidRPr="007350BA">
        <w:rPr>
          <w:rFonts w:ascii="Arial" w:hAnsi="Arial" w:cs="Arial"/>
          <w:i/>
          <w:iCs/>
          <w:sz w:val="22"/>
          <w:szCs w:val="22"/>
        </w:rPr>
        <w:t>World Development Report 2019: The Changing Nature of Work.</w:t>
      </w:r>
      <w:r w:rsidRPr="007350BA">
        <w:rPr>
          <w:rFonts w:ascii="Arial" w:hAnsi="Arial" w:cs="Arial"/>
          <w:sz w:val="22"/>
          <w:szCs w:val="22"/>
        </w:rPr>
        <w:t xml:space="preserve"> Washington, DC: World Bank.</w:t>
      </w:r>
    </w:p>
    <w:p w14:paraId="53EFBF0D" w14:textId="7324262B" w:rsidR="00827884" w:rsidRPr="007350BA" w:rsidRDefault="00827884" w:rsidP="007350BA">
      <w:pPr>
        <w:spacing w:line="360" w:lineRule="auto"/>
        <w:rPr>
          <w:rFonts w:ascii="Arial" w:hAnsi="Arial" w:cs="Arial"/>
          <w:sz w:val="22"/>
          <w:szCs w:val="22"/>
        </w:rPr>
      </w:pPr>
      <w:proofErr w:type="spellStart"/>
      <w:r w:rsidRPr="007350BA">
        <w:rPr>
          <w:rFonts w:ascii="Arial" w:hAnsi="Arial" w:cs="Arial"/>
          <w:sz w:val="22"/>
          <w:szCs w:val="22"/>
        </w:rPr>
        <w:t>Yüksel</w:t>
      </w:r>
      <w:proofErr w:type="spellEnd"/>
      <w:r w:rsidRPr="007350BA">
        <w:rPr>
          <w:rFonts w:ascii="Arial" w:hAnsi="Arial" w:cs="Arial"/>
          <w:sz w:val="22"/>
          <w:szCs w:val="22"/>
        </w:rPr>
        <w:t>, I., 2012</w:t>
      </w:r>
      <w:r w:rsidRPr="007350BA">
        <w:rPr>
          <w:rFonts w:ascii="Arial" w:hAnsi="Arial" w:cs="Arial"/>
          <w:i/>
          <w:iCs/>
          <w:sz w:val="22"/>
          <w:szCs w:val="22"/>
        </w:rPr>
        <w:t>. Developing a Multi</w:t>
      </w:r>
      <w:r w:rsidR="00963880" w:rsidRPr="007350BA">
        <w:rPr>
          <w:rFonts w:ascii="Arial" w:hAnsi="Arial" w:cs="Arial"/>
          <w:i/>
          <w:iCs/>
          <w:sz w:val="22"/>
          <w:szCs w:val="22"/>
        </w:rPr>
        <w:t xml:space="preserve"> Criteria Decision Making</w:t>
      </w:r>
      <w:r w:rsidRPr="007350BA">
        <w:rPr>
          <w:rFonts w:ascii="Arial" w:hAnsi="Arial" w:cs="Arial"/>
          <w:i/>
          <w:iCs/>
          <w:sz w:val="22"/>
          <w:szCs w:val="22"/>
        </w:rPr>
        <w:t xml:space="preserve"> Model for PESTEL Analysis</w:t>
      </w:r>
      <w:r w:rsidRPr="007350BA">
        <w:rPr>
          <w:rFonts w:ascii="Arial" w:hAnsi="Arial" w:cs="Arial"/>
          <w:sz w:val="22"/>
          <w:szCs w:val="22"/>
        </w:rPr>
        <w:t>. International Journal of Business and Management, 7(24), pp.52–66.</w:t>
      </w:r>
    </w:p>
    <w:sectPr w:rsidR="00827884" w:rsidRPr="00735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884"/>
    <w:rsid w:val="000013D9"/>
    <w:rsid w:val="0000508C"/>
    <w:rsid w:val="000B1173"/>
    <w:rsid w:val="001D1F7C"/>
    <w:rsid w:val="00236908"/>
    <w:rsid w:val="002E10AC"/>
    <w:rsid w:val="003C3CBC"/>
    <w:rsid w:val="00465355"/>
    <w:rsid w:val="004B0B74"/>
    <w:rsid w:val="004F167F"/>
    <w:rsid w:val="005A6C13"/>
    <w:rsid w:val="005E3DC1"/>
    <w:rsid w:val="005E5477"/>
    <w:rsid w:val="007350BA"/>
    <w:rsid w:val="00827884"/>
    <w:rsid w:val="00840968"/>
    <w:rsid w:val="008B2DB7"/>
    <w:rsid w:val="009516D8"/>
    <w:rsid w:val="00963880"/>
    <w:rsid w:val="00A37089"/>
    <w:rsid w:val="00B20F69"/>
    <w:rsid w:val="00D65516"/>
    <w:rsid w:val="00D812AD"/>
    <w:rsid w:val="00E41DF8"/>
    <w:rsid w:val="00E931F9"/>
    <w:rsid w:val="00EA6608"/>
    <w:rsid w:val="00F164A4"/>
    <w:rsid w:val="00FC3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C27DE"/>
  <w15:chartTrackingRefBased/>
  <w15:docId w15:val="{26156EBA-38F5-47F4-90A2-D14D2C0C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8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8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8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8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8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8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8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8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8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8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8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8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884"/>
    <w:rPr>
      <w:rFonts w:eastAsiaTheme="majorEastAsia" w:cstheme="majorBidi"/>
      <w:color w:val="272727" w:themeColor="text1" w:themeTint="D8"/>
    </w:rPr>
  </w:style>
  <w:style w:type="paragraph" w:styleId="Title">
    <w:name w:val="Title"/>
    <w:basedOn w:val="Normal"/>
    <w:next w:val="Normal"/>
    <w:link w:val="TitleChar"/>
    <w:uiPriority w:val="10"/>
    <w:qFormat/>
    <w:rsid w:val="008278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8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884"/>
    <w:pPr>
      <w:spacing w:before="160"/>
      <w:jc w:val="center"/>
    </w:pPr>
    <w:rPr>
      <w:i/>
      <w:iCs/>
      <w:color w:val="404040" w:themeColor="text1" w:themeTint="BF"/>
    </w:rPr>
  </w:style>
  <w:style w:type="character" w:customStyle="1" w:styleId="QuoteChar">
    <w:name w:val="Quote Char"/>
    <w:basedOn w:val="DefaultParagraphFont"/>
    <w:link w:val="Quote"/>
    <w:uiPriority w:val="29"/>
    <w:rsid w:val="00827884"/>
    <w:rPr>
      <w:i/>
      <w:iCs/>
      <w:color w:val="404040" w:themeColor="text1" w:themeTint="BF"/>
    </w:rPr>
  </w:style>
  <w:style w:type="paragraph" w:styleId="ListParagraph">
    <w:name w:val="List Paragraph"/>
    <w:basedOn w:val="Normal"/>
    <w:uiPriority w:val="34"/>
    <w:qFormat/>
    <w:rsid w:val="00827884"/>
    <w:pPr>
      <w:ind w:left="720"/>
      <w:contextualSpacing/>
    </w:pPr>
  </w:style>
  <w:style w:type="character" w:styleId="IntenseEmphasis">
    <w:name w:val="Intense Emphasis"/>
    <w:basedOn w:val="DefaultParagraphFont"/>
    <w:uiPriority w:val="21"/>
    <w:qFormat/>
    <w:rsid w:val="00827884"/>
    <w:rPr>
      <w:i/>
      <w:iCs/>
      <w:color w:val="0F4761" w:themeColor="accent1" w:themeShade="BF"/>
    </w:rPr>
  </w:style>
  <w:style w:type="paragraph" w:styleId="IntenseQuote">
    <w:name w:val="Intense Quote"/>
    <w:basedOn w:val="Normal"/>
    <w:next w:val="Normal"/>
    <w:link w:val="IntenseQuoteChar"/>
    <w:uiPriority w:val="30"/>
    <w:qFormat/>
    <w:rsid w:val="008278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884"/>
    <w:rPr>
      <w:i/>
      <w:iCs/>
      <w:color w:val="0F4761" w:themeColor="accent1" w:themeShade="BF"/>
    </w:rPr>
  </w:style>
  <w:style w:type="character" w:styleId="IntenseReference">
    <w:name w:val="Intense Reference"/>
    <w:basedOn w:val="DefaultParagraphFont"/>
    <w:uiPriority w:val="32"/>
    <w:qFormat/>
    <w:rsid w:val="00827884"/>
    <w:rPr>
      <w:b/>
      <w:bCs/>
      <w:smallCaps/>
      <w:color w:val="0F4761" w:themeColor="accent1" w:themeShade="BF"/>
      <w:spacing w:val="5"/>
    </w:rPr>
  </w:style>
  <w:style w:type="paragraph" w:styleId="NormalWeb">
    <w:name w:val="Normal (Web)"/>
    <w:basedOn w:val="Normal"/>
    <w:uiPriority w:val="99"/>
    <w:semiHidden/>
    <w:unhideWhenUsed/>
    <w:rsid w:val="00D655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3218</Words>
  <Characters>18347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 dum</dc:creator>
  <cp:keywords/>
  <dc:description/>
  <cp:lastModifiedBy>Dumitru Nechifor (2245145)</cp:lastModifiedBy>
  <cp:revision>2</cp:revision>
  <dcterms:created xsi:type="dcterms:W3CDTF">2026-03-07T16:42:00Z</dcterms:created>
  <dcterms:modified xsi:type="dcterms:W3CDTF">2026-03-07T16:42:00Z</dcterms:modified>
</cp:coreProperties>
</file>