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before="120" w:line="240" w:lineRule="auto"/>
        <w:ind w:right="-426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SGEL6000 Independent Project</w:t>
        <w:tab/>
        <w:tab/>
        <w:t xml:space="preserve">        </w:t>
        <w:tab/>
        <w:tab/>
        <w:tab/>
        <w:t xml:space="preserve">   2023-2024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5067300</wp:posOffset>
                </wp:positionH>
                <wp:positionV relativeFrom="paragraph">
                  <wp:posOffset>355600</wp:posOffset>
                </wp:positionV>
                <wp:extent cx="1206500" cy="110998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761800" y="3291685"/>
                          <a:ext cx="1168400" cy="976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381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Agreed mark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96"/>
                                <w:vertAlign w:val="baseline"/>
                              </w:rPr>
                              <w:t xml:space="preserve">68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5067300</wp:posOffset>
                </wp:positionH>
                <wp:positionV relativeFrom="paragraph">
                  <wp:posOffset>355600</wp:posOffset>
                </wp:positionV>
                <wp:extent cx="1206500" cy="110998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6500" cy="11099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120" w:before="12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DOUBLE MARKING SHEET AND COMBINED STUDENT FEEDBACK</w:t>
      </w:r>
    </w:p>
    <w:p w:rsidR="00000000" w:rsidDel="00000000" w:rsidP="00000000" w:rsidRDefault="00000000" w:rsidRPr="00000000" w14:paraId="00000003">
      <w:pPr>
        <w:spacing w:after="120" w:before="12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Assessment 1 of 4</w:t>
      </w:r>
    </w:p>
    <w:p w:rsidR="00000000" w:rsidDel="00000000" w:rsidP="00000000" w:rsidRDefault="00000000" w:rsidRPr="00000000" w14:paraId="00000004">
      <w:pPr>
        <w:spacing w:after="120" w:before="12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Assignment 1: Project Definition, Research and Quality Planning</w:t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ind w:right="-988"/>
        <w:rPr>
          <w:color w:val="2f5496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Student Number </w:t>
      </w:r>
      <w:r w:rsidDel="00000000" w:rsidR="00000000" w:rsidRPr="00000000">
        <w:rPr>
          <w:color w:val="2f5496"/>
          <w:sz w:val="32"/>
          <w:szCs w:val="32"/>
          <w:rtl w:val="0"/>
        </w:rPr>
        <w:t xml:space="preserve">1909365      </w:t>
      </w:r>
    </w:p>
    <w:tbl>
      <w:tblPr>
        <w:tblStyle w:val="Table1"/>
        <w:tblW w:w="9776.0" w:type="dxa"/>
        <w:jc w:val="left"/>
        <w:tblLayout w:type="fixed"/>
        <w:tblLook w:val="0400"/>
      </w:tblPr>
      <w:tblGrid>
        <w:gridCol w:w="6658"/>
        <w:gridCol w:w="778"/>
        <w:gridCol w:w="780"/>
        <w:gridCol w:w="780"/>
        <w:gridCol w:w="780"/>
        <w:tblGridChange w:id="0">
          <w:tblGrid>
            <w:gridCol w:w="6658"/>
            <w:gridCol w:w="778"/>
            <w:gridCol w:w="780"/>
            <w:gridCol w:w="780"/>
            <w:gridCol w:w="780"/>
          </w:tblGrid>
        </w:tblGridChange>
      </w:tblGrid>
      <w:tr>
        <w:trPr>
          <w:cantSplit w:val="0"/>
          <w:trHeight w:val="100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Generic Assessment Criteria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ind w:left="34" w:right="113" w:firstLine="0"/>
              <w:jc w:val="center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Marks available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ind w:left="34" w:right="113" w:firstLine="0"/>
              <w:jc w:val="center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Ist </w:t>
            </w:r>
          </w:p>
          <w:p w:rsidR="00000000" w:rsidDel="00000000" w:rsidP="00000000" w:rsidRDefault="00000000" w:rsidRPr="00000000" w14:paraId="0000000B">
            <w:pPr>
              <w:spacing w:after="0" w:line="240" w:lineRule="auto"/>
              <w:ind w:left="34" w:right="113" w:firstLine="0"/>
              <w:jc w:val="center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Marker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ind w:left="34" w:right="113" w:firstLine="0"/>
              <w:jc w:val="center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vertAlign w:val="superscript"/>
                <w:rtl w:val="0"/>
              </w:rPr>
              <w:t xml:space="preserve">nd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 Marker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ind w:left="34" w:right="113" w:firstLine="0"/>
              <w:jc w:val="center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Agreed Mark</w:t>
            </w:r>
          </w:p>
        </w:tc>
      </w:tr>
      <w:tr>
        <w:trPr>
          <w:cantSplit w:val="0"/>
          <w:trHeight w:val="39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1. Engagement with Literature Skills</w:t>
            </w: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Sections 3 and 5: Engagement in research, judicial use and critical evaluation sources for project constraints and literature review of solutions. </w:t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Engagement with a wide range of research-informed literature, including sources retrieved independently.</w:t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Cambria" w:cs="Cambria" w:eastAsia="Cambria" w:hAnsi="Cambria"/>
                <w:i w:val="1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color w:val="1155cc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mbria" w:cs="Cambria" w:eastAsia="Cambria" w:hAnsi="Cambria"/>
                <w:i w:val="1"/>
                <w:color w:val="1155cc"/>
                <w:sz w:val="20"/>
                <w:szCs w:val="20"/>
                <w:rtl w:val="0"/>
              </w:rPr>
              <w:t xml:space="preserve">(7/10)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7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Sections 3, 5 and 8:  Extent of reading, use of credible sources, use of Harvard method for listing and citing. </w:t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Cambria" w:cs="Cambria" w:eastAsia="Cambria" w:hAnsi="Cambria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Selection of relevant and credible sources.  Very good use of referencing, with no/very few inaccuracies or </w:t>
            </w:r>
            <w:r w:rsidDel="00000000" w:rsidR="00000000" w:rsidRPr="00000000">
              <w:rPr>
                <w:rFonts w:ascii="Cambria" w:cs="Cambria" w:eastAsia="Cambria" w:hAnsi="Cambria"/>
                <w:color w:val="ff0000"/>
                <w:sz w:val="20"/>
                <w:szCs w:val="20"/>
                <w:rtl w:val="0"/>
              </w:rPr>
              <w:t xml:space="preserve">inconsistencies. (7/10)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7</w:t>
            </w:r>
          </w:p>
        </w:tc>
      </w:tr>
      <w:tr>
        <w:trPr>
          <w:cantSplit w:val="0"/>
          <w:trHeight w:val="40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14</w:t>
            </w:r>
          </w:p>
        </w:tc>
      </w:tr>
      <w:tr>
        <w:trPr>
          <w:cantSplit w:val="0"/>
          <w:trHeight w:val="4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2. Knowledge and Understanding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color w:val="1155c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 3: Project background and problem definition </w:t>
            </w:r>
          </w:p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Cambria" w:cs="Cambria" w:eastAsia="Cambria" w:hAnsi="Cambria"/>
                <w:i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Clearly defined yet a block diagram of the existing system would have helped your reader understand the system better. (4/5)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55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 3: Project constraints: Ethical.  </w:t>
            </w:r>
          </w:p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mbria" w:cs="Cambria" w:eastAsia="Cambria" w:hAnsi="Cambria"/>
                <w:i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Good but some of this is very general. (3/5)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5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 3: Project constraints: Sustainability </w:t>
            </w:r>
          </w:p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Cambria" w:cs="Cambria" w:eastAsia="Cambria" w:hAnsi="Cambria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Good but some of this is very general. (3/5)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54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 3: Project constraints: Legal/Commercial </w:t>
            </w:r>
          </w:p>
          <w:p w:rsidR="00000000" w:rsidDel="00000000" w:rsidP="00000000" w:rsidRDefault="00000000" w:rsidRPr="00000000" w14:paraId="0000003D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Good but some of this is very general. (3/5)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40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13</w:t>
            </w:r>
          </w:p>
        </w:tc>
      </w:tr>
      <w:tr>
        <w:trPr>
          <w:cantSplit w:val="0"/>
          <w:trHeight w:val="44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7">
            <w:pPr>
              <w:spacing w:after="0" w:line="240" w:lineRule="auto"/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3. Cognitive and Intellectual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8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A">
            <w:pPr>
              <w:spacing w:after="0" w:line="240" w:lineRule="auto"/>
              <w:jc w:val="center"/>
              <w:rPr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B">
            <w:pPr>
              <w:spacing w:after="0" w:line="240" w:lineRule="auto"/>
              <w:jc w:val="center"/>
              <w:rPr>
                <w:color w:val="1155c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4: Functional Design Specification </w:t>
            </w:r>
          </w:p>
          <w:p w:rsidR="00000000" w:rsidDel="00000000" w:rsidP="00000000" w:rsidRDefault="00000000" w:rsidRPr="00000000" w14:paraId="0000004D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Brief and clearly stated giving scope for test planning. (3/5)</w:t>
            </w:r>
          </w:p>
          <w:p w:rsidR="00000000" w:rsidDel="00000000" w:rsidP="00000000" w:rsidRDefault="00000000" w:rsidRPr="00000000" w14:paraId="0000004E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55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4: Test planning </w:t>
            </w:r>
          </w:p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A good section with clear methods of testing. (4/5)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5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5: Evaluation of solutions and justification of final solution </w:t>
            </w:r>
          </w:p>
          <w:p w:rsidR="00000000" w:rsidDel="00000000" w:rsidP="00000000" w:rsidRDefault="00000000" w:rsidRPr="00000000" w14:paraId="0000005B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Advantages and disadvantages of each presented with a radar diagram to justify the choice. (4/5)</w:t>
            </w:r>
          </w:p>
          <w:p w:rsidR="00000000" w:rsidDel="00000000" w:rsidP="00000000" w:rsidRDefault="00000000" w:rsidRPr="00000000" w14:paraId="0000005C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55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1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7: Conclusions and Recommendations </w:t>
            </w:r>
          </w:p>
          <w:p w:rsidR="00000000" w:rsidDel="00000000" w:rsidP="00000000" w:rsidRDefault="00000000" w:rsidRPr="00000000" w14:paraId="00000062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A good section that presents all that has been achieved. (4/5)</w:t>
            </w:r>
          </w:p>
          <w:p w:rsidR="00000000" w:rsidDel="00000000" w:rsidP="00000000" w:rsidRDefault="00000000" w:rsidRPr="00000000" w14:paraId="00000063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41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15</w:t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D">
            <w:pPr>
              <w:spacing w:after="0" w:line="240" w:lineRule="auto"/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4. Practical Application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E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F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0">
            <w:pPr>
              <w:spacing w:after="0" w:line="240" w:lineRule="auto"/>
              <w:jc w:val="center"/>
              <w:rPr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1">
            <w:pPr>
              <w:spacing w:after="0" w:line="240" w:lineRule="auto"/>
              <w:jc w:val="center"/>
              <w:rPr>
                <w:color w:val="1155c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6: Project Plan </w:t>
            </w:r>
          </w:p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Plan is basic with some detail and linear without contingencies. (3/5)</w:t>
            </w:r>
          </w:p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55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6: Working breakdown structure, costing exercise and management techniques</w:t>
            </w:r>
          </w:p>
          <w:p w:rsidR="00000000" w:rsidDel="00000000" w:rsidP="00000000" w:rsidRDefault="00000000" w:rsidRPr="00000000" w14:paraId="0000007A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Some level of detail included. (3/5)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60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Appendix: Risk assessment for implementation phase </w:t>
            </w:r>
          </w:p>
          <w:p w:rsidR="00000000" w:rsidDel="00000000" w:rsidP="00000000" w:rsidRDefault="00000000" w:rsidRPr="00000000" w14:paraId="00000081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A good chart with some detail. (3/5)</w:t>
            </w:r>
          </w:p>
          <w:p w:rsidR="00000000" w:rsidDel="00000000" w:rsidP="00000000" w:rsidRDefault="00000000" w:rsidRPr="00000000" w14:paraId="00000082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55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Appendix: Planning phase log-book entries. </w:t>
            </w:r>
          </w:p>
          <w:p w:rsidR="00000000" w:rsidDel="00000000" w:rsidP="00000000" w:rsidRDefault="00000000" w:rsidRPr="00000000" w14:paraId="00000088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Up to date but many entries are very brief and lacking in detail. (2/5)</w:t>
            </w:r>
          </w:p>
          <w:p w:rsidR="00000000" w:rsidDel="00000000" w:rsidP="00000000" w:rsidRDefault="00000000" w:rsidRPr="00000000" w14:paraId="00000089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A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2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E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11</w:t>
            </w:r>
          </w:p>
        </w:tc>
      </w:tr>
      <w:tr>
        <w:trPr>
          <w:cantSplit w:val="0"/>
          <w:trHeight w:val="41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3">
            <w:pPr>
              <w:spacing w:after="0" w:line="240" w:lineRule="auto"/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5. Transferable Skills for Life and Professional Practice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4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5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6">
            <w:pPr>
              <w:spacing w:after="0" w:line="240" w:lineRule="auto"/>
              <w:jc w:val="center"/>
              <w:rPr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7">
            <w:pPr>
              <w:spacing w:after="0" w:line="240" w:lineRule="auto"/>
              <w:jc w:val="center"/>
              <w:rPr>
                <w:color w:val="1155c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8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1: Executive summary </w:t>
            </w:r>
          </w:p>
          <w:p w:rsidR="00000000" w:rsidDel="00000000" w:rsidP="00000000" w:rsidRDefault="00000000" w:rsidRPr="00000000" w14:paraId="00000099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Quite good but has some repetition (3/5)</w:t>
            </w:r>
          </w:p>
          <w:p w:rsidR="00000000" w:rsidDel="00000000" w:rsidP="00000000" w:rsidRDefault="00000000" w:rsidRPr="00000000" w14:paraId="0000009A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F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All Sections: Presentation quality of the report, diagrams, charts, tables, figure numbering, page, and section numbering etc</w:t>
            </w:r>
          </w:p>
          <w:p w:rsidR="00000000" w:rsidDel="00000000" w:rsidP="00000000" w:rsidRDefault="00000000" w:rsidRPr="00000000" w14:paraId="000000A0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Very good overall quality (4/5)</w:t>
            </w:r>
          </w:p>
          <w:p w:rsidR="00000000" w:rsidDel="00000000" w:rsidP="00000000" w:rsidRDefault="00000000" w:rsidRPr="00000000" w14:paraId="000000A1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6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All Sections: Quality of the writing style, use of punctuation and grammar</w:t>
            </w:r>
          </w:p>
          <w:p w:rsidR="00000000" w:rsidDel="00000000" w:rsidP="00000000" w:rsidRDefault="00000000" w:rsidRPr="00000000" w14:paraId="000000A7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Generally well written (4/5) </w:t>
            </w:r>
          </w:p>
          <w:p w:rsidR="00000000" w:rsidDel="00000000" w:rsidP="00000000" w:rsidRDefault="00000000" w:rsidRPr="00000000" w14:paraId="000000A8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9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A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D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Word count limit not exceeded</w:t>
            </w:r>
          </w:p>
          <w:p w:rsidR="00000000" w:rsidDel="00000000" w:rsidP="00000000" w:rsidRDefault="00000000" w:rsidRPr="00000000" w14:paraId="000000AE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Not exceeded yet some of your chart are images and should have been part of the word count. (4/5)</w:t>
            </w:r>
          </w:p>
          <w:p w:rsidR="00000000" w:rsidDel="00000000" w:rsidP="00000000" w:rsidRDefault="00000000" w:rsidRPr="00000000" w14:paraId="000000AF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4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4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7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8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1155cc"/>
                <w:sz w:val="20"/>
                <w:szCs w:val="20"/>
                <w:rtl w:val="0"/>
              </w:rPr>
              <w:t xml:space="preserve">15</w:t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9">
            <w:pPr>
              <w:spacing w:after="0" w:line="240" w:lineRule="auto"/>
              <w:jc w:val="righ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A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B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C">
            <w:pPr>
              <w:spacing w:after="0" w:line="240" w:lineRule="auto"/>
              <w:jc w:val="center"/>
              <w:rPr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D">
            <w:pPr>
              <w:spacing w:after="0" w:line="240" w:lineRule="auto"/>
              <w:jc w:val="center"/>
              <w:rPr>
                <w:color w:val="1155c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E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32"/>
                <w:szCs w:val="32"/>
                <w:rtl w:val="0"/>
              </w:rPr>
              <w:t xml:space="preserve">Grand 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color w:val="000000"/>
                <w:sz w:val="32"/>
                <w:szCs w:val="32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color w:val="ff0000"/>
                <w:sz w:val="32"/>
                <w:szCs w:val="32"/>
                <w:rtl w:val="0"/>
              </w:rPr>
              <w:t xml:space="preserve">67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b w:val="1"/>
                <w:color w:val="00b050"/>
                <w:sz w:val="32"/>
                <w:szCs w:val="32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Cambria Math" w:cs="Cambria Math" w:eastAsia="Cambria Math" w:hAnsi="Cambria Math"/>
                <w:b w:val="1"/>
                <w:color w:val="00b050"/>
                <w:sz w:val="32"/>
                <w:szCs w:val="32"/>
                <w:rtl w:val="0"/>
              </w:rPr>
              <w:t xml:space="preserve">70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b w:val="1"/>
                <w:color w:val="1155cc"/>
                <w:sz w:val="32"/>
                <w:szCs w:val="32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color w:val="1155cc"/>
                <w:sz w:val="32"/>
                <w:szCs w:val="32"/>
                <w:rtl w:val="0"/>
              </w:rPr>
              <w:t xml:space="preserve">68</w:t>
            </w:r>
          </w:p>
        </w:tc>
      </w:tr>
    </w:tbl>
    <w:p w:rsidR="00000000" w:rsidDel="00000000" w:rsidP="00000000" w:rsidRDefault="00000000" w:rsidRPr="00000000" w14:paraId="000000C3">
      <w:pPr>
        <w:ind w:left="284" w:right="531" w:firstLine="0"/>
        <w:rPr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spacing w:after="0" w:line="240" w:lineRule="auto"/>
        <w:ind w:right="-988"/>
        <w:rPr>
          <w:rFonts w:ascii="Arial" w:cs="Arial" w:eastAsia="Arial" w:hAnsi="Arial"/>
          <w:b w:val="1"/>
        </w:rPr>
      </w:pPr>
      <w:bookmarkStart w:colFirst="0" w:colLast="0" w:name="_heading=h.gjdgxs" w:id="0"/>
      <w:bookmarkEnd w:id="0"/>
      <w:r w:rsidDel="00000000" w:rsidR="00000000" w:rsidRPr="00000000">
        <w:rPr>
          <w:color w:val="2f5496"/>
          <w:sz w:val="32"/>
          <w:szCs w:val="32"/>
          <w:rtl w:val="0"/>
        </w:rPr>
        <w:t xml:space="preserve">         </w:t>
      </w:r>
      <w:r w:rsidDel="00000000" w:rsidR="00000000" w:rsidRPr="00000000">
        <w:rPr>
          <w:rtl w:val="0"/>
        </w:rPr>
      </w:r>
    </w:p>
    <w:sectPr>
      <w:pgSz w:h="15840" w:w="12240" w:orient="portrait"/>
      <w:pgMar w:bottom="709" w:top="90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ambria"/>
  <w:font w:name="Cambria Math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mbriaMath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4QPRGzgCv1EfyMa4wR7JmHQ0yw==">CgMxLjAyCGguZ2pkZ3hzMghoLmdqZGd4czgAciExZjJuMmpmaWYxczE3RHFPaWJNc0dFOHdQTnJIX0JzZDA=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