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4EB3F7" w14:textId="4028C9B0" w:rsidR="00B96A75" w:rsidRPr="00EA7459" w:rsidRDefault="00390E02" w:rsidP="00A658FF">
      <w:pPr>
        <w:spacing w:line="360" w:lineRule="auto"/>
        <w:rPr>
          <w:rFonts w:ascii="Arial" w:hAnsi="Arial" w:cs="Arial"/>
          <w:sz w:val="24"/>
          <w:szCs w:val="24"/>
        </w:rPr>
      </w:pPr>
      <w:r w:rsidRPr="00EA7459">
        <w:rPr>
          <w:rFonts w:ascii="Arial" w:hAnsi="Arial" w:cs="Arial"/>
          <w:sz w:val="24"/>
          <w:szCs w:val="24"/>
        </w:rPr>
        <w:t>Th</w:t>
      </w:r>
      <w:r w:rsidR="00B96A75" w:rsidRPr="00EA7459">
        <w:rPr>
          <w:rFonts w:ascii="Arial" w:hAnsi="Arial" w:cs="Arial"/>
          <w:sz w:val="24"/>
          <w:szCs w:val="24"/>
        </w:rPr>
        <w:t xml:space="preserve">e following essay aims to explore the social and biological detriments of human behaviour </w:t>
      </w:r>
      <w:r w:rsidR="009E2DB2" w:rsidRPr="00EA7459">
        <w:rPr>
          <w:rFonts w:ascii="Arial" w:hAnsi="Arial" w:cs="Arial"/>
          <w:sz w:val="24"/>
          <w:szCs w:val="24"/>
        </w:rPr>
        <w:t xml:space="preserve">across the lifespan, </w:t>
      </w:r>
      <w:r w:rsidR="00B96A75" w:rsidRPr="00EA7459">
        <w:rPr>
          <w:rFonts w:ascii="Arial" w:hAnsi="Arial" w:cs="Arial"/>
          <w:sz w:val="24"/>
          <w:szCs w:val="24"/>
        </w:rPr>
        <w:t>through the cognitive perspective and further discuss how the theoretical explanations are applied within heal</w:t>
      </w:r>
      <w:r w:rsidR="00100C8B" w:rsidRPr="00EA7459">
        <w:rPr>
          <w:rFonts w:ascii="Arial" w:hAnsi="Arial" w:cs="Arial"/>
          <w:sz w:val="24"/>
          <w:szCs w:val="24"/>
        </w:rPr>
        <w:t>th</w:t>
      </w:r>
      <w:r w:rsidR="00B96A75" w:rsidRPr="00EA7459">
        <w:rPr>
          <w:rFonts w:ascii="Arial" w:hAnsi="Arial" w:cs="Arial"/>
          <w:sz w:val="24"/>
          <w:szCs w:val="24"/>
        </w:rPr>
        <w:t xml:space="preserve"> and social care settings</w:t>
      </w:r>
      <w:r w:rsidR="00100C8B" w:rsidRPr="00EA7459">
        <w:rPr>
          <w:rFonts w:ascii="Arial" w:hAnsi="Arial" w:cs="Arial"/>
          <w:sz w:val="24"/>
          <w:szCs w:val="24"/>
        </w:rPr>
        <w:t>.</w:t>
      </w:r>
      <w:r w:rsidR="00B96A75" w:rsidRPr="00EA7459">
        <w:rPr>
          <w:rFonts w:ascii="Arial" w:hAnsi="Arial" w:cs="Arial"/>
          <w:sz w:val="24"/>
          <w:szCs w:val="24"/>
        </w:rPr>
        <w:t xml:space="preserve"> </w:t>
      </w:r>
    </w:p>
    <w:p w14:paraId="0BC78883" w14:textId="37485858" w:rsidR="00B96A75" w:rsidRPr="00EA7459" w:rsidRDefault="00B96A75" w:rsidP="00A658FF">
      <w:pPr>
        <w:spacing w:line="360" w:lineRule="auto"/>
        <w:rPr>
          <w:rFonts w:ascii="Arial" w:hAnsi="Arial" w:cs="Arial"/>
          <w:sz w:val="24"/>
          <w:szCs w:val="24"/>
        </w:rPr>
      </w:pPr>
      <w:r w:rsidRPr="00EA7459">
        <w:rPr>
          <w:rFonts w:ascii="Arial" w:hAnsi="Arial" w:cs="Arial"/>
          <w:sz w:val="24"/>
          <w:szCs w:val="24"/>
        </w:rPr>
        <w:t>According to Eysen</w:t>
      </w:r>
      <w:r w:rsidR="00AB5EA1" w:rsidRPr="00EA7459">
        <w:rPr>
          <w:rFonts w:ascii="Arial" w:hAnsi="Arial" w:cs="Arial"/>
          <w:sz w:val="24"/>
          <w:szCs w:val="24"/>
        </w:rPr>
        <w:t>c</w:t>
      </w:r>
      <w:r w:rsidRPr="00EA7459">
        <w:rPr>
          <w:rFonts w:ascii="Arial" w:hAnsi="Arial" w:cs="Arial"/>
          <w:sz w:val="24"/>
          <w:szCs w:val="24"/>
        </w:rPr>
        <w:t>k and Keane</w:t>
      </w:r>
      <w:r w:rsidR="00AB5EA1" w:rsidRPr="00EA7459">
        <w:rPr>
          <w:rFonts w:ascii="Arial" w:hAnsi="Arial" w:cs="Arial"/>
          <w:sz w:val="24"/>
          <w:szCs w:val="24"/>
        </w:rPr>
        <w:t xml:space="preserve"> (2005, p.1)</w:t>
      </w:r>
      <w:r w:rsidRPr="00EA7459">
        <w:rPr>
          <w:rFonts w:ascii="Arial" w:hAnsi="Arial" w:cs="Arial"/>
          <w:sz w:val="24"/>
          <w:szCs w:val="24"/>
        </w:rPr>
        <w:t xml:space="preserve"> cognition is </w:t>
      </w:r>
      <w:r w:rsidR="00AB5EA1" w:rsidRPr="00EA7459">
        <w:rPr>
          <w:rFonts w:ascii="Arial" w:hAnsi="Arial" w:cs="Arial"/>
          <w:sz w:val="24"/>
          <w:szCs w:val="24"/>
        </w:rPr>
        <w:t>“</w:t>
      </w:r>
      <w:r w:rsidRPr="00EA7459">
        <w:rPr>
          <w:rFonts w:ascii="Arial" w:hAnsi="Arial" w:cs="Arial"/>
          <w:sz w:val="24"/>
          <w:szCs w:val="24"/>
        </w:rPr>
        <w:t>concerned with the internal processes involved in making sense of the environment</w:t>
      </w:r>
      <w:r w:rsidR="00AB5EA1" w:rsidRPr="00EA7459">
        <w:rPr>
          <w:rFonts w:ascii="Arial" w:hAnsi="Arial" w:cs="Arial"/>
          <w:sz w:val="24"/>
          <w:szCs w:val="24"/>
        </w:rPr>
        <w:t xml:space="preserve"> </w:t>
      </w:r>
      <w:r w:rsidRPr="00EA7459">
        <w:rPr>
          <w:rFonts w:ascii="Arial" w:hAnsi="Arial" w:cs="Arial"/>
          <w:sz w:val="24"/>
          <w:szCs w:val="24"/>
        </w:rPr>
        <w:t>and deciding what action might be appropriate</w:t>
      </w:r>
      <w:r w:rsidR="00AB5EA1" w:rsidRPr="00EA7459">
        <w:rPr>
          <w:rFonts w:ascii="Arial" w:hAnsi="Arial" w:cs="Arial"/>
          <w:sz w:val="24"/>
          <w:szCs w:val="24"/>
        </w:rPr>
        <w:t>.”</w:t>
      </w:r>
      <w:r w:rsidR="00100C8B" w:rsidRPr="00EA7459">
        <w:rPr>
          <w:rFonts w:ascii="Arial" w:hAnsi="Arial" w:cs="Arial"/>
          <w:sz w:val="24"/>
          <w:szCs w:val="24"/>
        </w:rPr>
        <w:t>. Thus,</w:t>
      </w:r>
      <w:r w:rsidR="00AB5EA1" w:rsidRPr="00EA7459">
        <w:rPr>
          <w:rFonts w:ascii="Arial" w:hAnsi="Arial" w:cs="Arial"/>
          <w:sz w:val="24"/>
          <w:szCs w:val="24"/>
        </w:rPr>
        <w:t xml:space="preserve"> the cognitive approach concerns itself with how the mind manages information, this includes the cognitive processes of memory and perception, attention, </w:t>
      </w:r>
      <w:proofErr w:type="gramStart"/>
      <w:r w:rsidR="00AB5EA1" w:rsidRPr="00EA7459">
        <w:rPr>
          <w:rFonts w:ascii="Arial" w:hAnsi="Arial" w:cs="Arial"/>
          <w:sz w:val="24"/>
          <w:szCs w:val="24"/>
        </w:rPr>
        <w:t>thoughts</w:t>
      </w:r>
      <w:proofErr w:type="gramEnd"/>
      <w:r w:rsidR="00AB5EA1" w:rsidRPr="00EA7459">
        <w:rPr>
          <w:rFonts w:ascii="Arial" w:hAnsi="Arial" w:cs="Arial"/>
          <w:sz w:val="24"/>
          <w:szCs w:val="24"/>
        </w:rPr>
        <w:t xml:space="preserve"> and memory. It alludes that that behaviour is influenced by the way in which a person internalises information from the environment around them</w:t>
      </w:r>
      <w:r w:rsidR="00CB68A0" w:rsidRPr="00EA7459">
        <w:rPr>
          <w:rFonts w:ascii="Arial" w:hAnsi="Arial" w:cs="Arial"/>
          <w:sz w:val="24"/>
          <w:szCs w:val="24"/>
        </w:rPr>
        <w:t xml:space="preserve"> (Eysenck and Keane, 2005).</w:t>
      </w:r>
    </w:p>
    <w:p w14:paraId="72A1B64B" w14:textId="77C90C6D" w:rsidR="009D4795" w:rsidRPr="00EA7459" w:rsidRDefault="00206671" w:rsidP="00A658FF">
      <w:pPr>
        <w:spacing w:line="360" w:lineRule="auto"/>
        <w:rPr>
          <w:rFonts w:ascii="Arial" w:hAnsi="Arial" w:cs="Arial"/>
          <w:sz w:val="24"/>
          <w:szCs w:val="24"/>
        </w:rPr>
      </w:pPr>
      <w:r w:rsidRPr="00EA7459">
        <w:rPr>
          <w:rFonts w:ascii="Arial" w:hAnsi="Arial" w:cs="Arial"/>
          <w:sz w:val="24"/>
          <w:szCs w:val="24"/>
        </w:rPr>
        <w:t>Piaget is viewed as the most influential theorist of the cognitive approach to development. He believed cognitive development to be a reorganisation of mental processes, resulting from biological maturation and stemming from environmental experiences. His theory suggests that intellectual development is an extension of innate biological development</w:t>
      </w:r>
      <w:r w:rsidR="00D90035" w:rsidRPr="00EA7459">
        <w:rPr>
          <w:rFonts w:ascii="Arial" w:hAnsi="Arial" w:cs="Arial"/>
          <w:sz w:val="24"/>
          <w:szCs w:val="24"/>
        </w:rPr>
        <w:t xml:space="preserve"> (</w:t>
      </w:r>
      <w:proofErr w:type="spellStart"/>
      <w:r w:rsidR="00D90035" w:rsidRPr="00EA7459">
        <w:rPr>
          <w:rFonts w:ascii="Arial" w:hAnsi="Arial" w:cs="Arial"/>
          <w:sz w:val="24"/>
          <w:szCs w:val="24"/>
        </w:rPr>
        <w:t>Simatawa</w:t>
      </w:r>
      <w:proofErr w:type="spellEnd"/>
      <w:r w:rsidR="00D90035" w:rsidRPr="00EA7459">
        <w:rPr>
          <w:rFonts w:ascii="Arial" w:hAnsi="Arial" w:cs="Arial"/>
          <w:sz w:val="24"/>
          <w:szCs w:val="24"/>
        </w:rPr>
        <w:t xml:space="preserve">, 2010). </w:t>
      </w:r>
      <w:r w:rsidRPr="00EA7459">
        <w:rPr>
          <w:rFonts w:ascii="Arial" w:hAnsi="Arial" w:cs="Arial"/>
          <w:sz w:val="24"/>
          <w:szCs w:val="24"/>
        </w:rPr>
        <w:t>In other words, an infant is born with biological tendencies to make motor responses</w:t>
      </w:r>
      <w:r w:rsidR="00C073E5" w:rsidRPr="00EA7459">
        <w:rPr>
          <w:rFonts w:ascii="Arial" w:hAnsi="Arial" w:cs="Arial"/>
          <w:sz w:val="24"/>
          <w:szCs w:val="24"/>
        </w:rPr>
        <w:t xml:space="preserve"> which </w:t>
      </w:r>
      <w:r w:rsidR="00D90035" w:rsidRPr="00EA7459">
        <w:rPr>
          <w:rFonts w:ascii="Arial" w:hAnsi="Arial" w:cs="Arial"/>
          <w:sz w:val="24"/>
          <w:szCs w:val="24"/>
        </w:rPr>
        <w:t>provides them with cognitive apparatus</w:t>
      </w:r>
      <w:r w:rsidR="000A7E42" w:rsidRPr="00EA7459">
        <w:rPr>
          <w:rFonts w:ascii="Arial" w:hAnsi="Arial" w:cs="Arial"/>
          <w:sz w:val="24"/>
          <w:szCs w:val="24"/>
        </w:rPr>
        <w:t xml:space="preserve"> or logical structures,</w:t>
      </w:r>
      <w:r w:rsidR="00D90035" w:rsidRPr="00EA7459">
        <w:rPr>
          <w:rFonts w:ascii="Arial" w:hAnsi="Arial" w:cs="Arial"/>
          <w:sz w:val="24"/>
          <w:szCs w:val="24"/>
        </w:rPr>
        <w:t xml:space="preserve"> consisting of</w:t>
      </w:r>
      <w:r w:rsidR="00C073E5" w:rsidRPr="00EA7459">
        <w:rPr>
          <w:rFonts w:ascii="Arial" w:hAnsi="Arial" w:cs="Arial"/>
          <w:sz w:val="24"/>
          <w:szCs w:val="24"/>
        </w:rPr>
        <w:t xml:space="preserve"> a framework</w:t>
      </w:r>
      <w:r w:rsidR="000A7E42" w:rsidRPr="00EA7459">
        <w:rPr>
          <w:rFonts w:ascii="Arial" w:hAnsi="Arial" w:cs="Arial"/>
          <w:sz w:val="24"/>
          <w:szCs w:val="24"/>
        </w:rPr>
        <w:t>,</w:t>
      </w:r>
      <w:r w:rsidR="00D90035" w:rsidRPr="00EA7459">
        <w:rPr>
          <w:rFonts w:ascii="Arial" w:hAnsi="Arial" w:cs="Arial"/>
          <w:sz w:val="24"/>
          <w:szCs w:val="24"/>
        </w:rPr>
        <w:t xml:space="preserve"> shap</w:t>
      </w:r>
      <w:r w:rsidR="00CB68A0" w:rsidRPr="00EA7459">
        <w:rPr>
          <w:rFonts w:ascii="Arial" w:hAnsi="Arial" w:cs="Arial"/>
          <w:sz w:val="24"/>
          <w:szCs w:val="24"/>
        </w:rPr>
        <w:t xml:space="preserve">ing </w:t>
      </w:r>
      <w:r w:rsidR="00D90035" w:rsidRPr="00EA7459">
        <w:rPr>
          <w:rFonts w:ascii="Arial" w:hAnsi="Arial" w:cs="Arial"/>
          <w:sz w:val="24"/>
          <w:szCs w:val="24"/>
        </w:rPr>
        <w:t>one’s interaction with the world (Phillips, 2014). As a child matures, the</w:t>
      </w:r>
      <w:r w:rsidR="000A7E42" w:rsidRPr="00EA7459">
        <w:rPr>
          <w:rFonts w:ascii="Arial" w:hAnsi="Arial" w:cs="Arial"/>
          <w:sz w:val="24"/>
          <w:szCs w:val="24"/>
        </w:rPr>
        <w:t>se logical structures become more adequate for managing the complexities of experiences (</w:t>
      </w:r>
      <w:r w:rsidR="00C073E5" w:rsidRPr="00EA7459">
        <w:rPr>
          <w:rFonts w:ascii="Arial" w:hAnsi="Arial" w:cs="Arial"/>
          <w:sz w:val="24"/>
          <w:szCs w:val="24"/>
        </w:rPr>
        <w:fldChar w:fldCharType="begin" w:fldLock="1"/>
      </w:r>
      <w:r w:rsidR="00C073E5" w:rsidRPr="00EA7459">
        <w:rPr>
          <w:rFonts w:ascii="Arial" w:hAnsi="Arial" w:cs="Arial"/>
          <w:sz w:val="24"/>
          <w:szCs w:val="24"/>
        </w:rPr>
        <w:instrText>ADDIN CSL_CITATION {"citationItems":[{"id":"ITEM-1","itemData":{"DOI":"10.23937/2469-5858/1510048","ISSN":"2469-5858","abstract":"The study of age-related cognitive changes over the last years reveals a considerable variability in available results. The methodological heterogeneity observed in the aging field can significantly contribute to this observed variability, which creates a confusing scenario for beginners in this topic. The main aim of the present article is to extract a clear depiction of the current state of knowledge about age-related cognitive changes regardless of the methodological approach followed by researchers. In this sense, a specific and differential pattern of impairment seems to be present in most cognitive domains, which highlights the existence of a great intra-domain variability in terms of impairment. We conclude it seems to be enough evidence about the influence of certain modulating factors such as benefit from schooling and gender on cognitive aging, and not taking these factors into account when studying age-related cogni-tive changes contributes to the scarce agreement found in available results.","author":[{"dropping-particle":"","family":"Correia","given":"Rut","non-dropping-particle":"","parse-names":false,"suffix":""},{"dropping-particle":"","family":"Barroso","given":"Jose","non-dropping-particle":"","parse-names":false,"suffix":""},{"dropping-particle":"","family":"Nieto","given":"Antonieta","non-dropping-particle":"","parse-names":false,"suffix":""}],"container-title":"Journal of Geriatric Medicine and Gerontology • Page","id":"ITEM-1","issued":{"date-parts":[["2018"]]},"page":"48","title":"Age-Related Cognitive Changes: The Importance of Modulating Factors","type":"article-journal","volume":"4"},"uris":["http://www.mendeley.com/documents/?uuid=df9b9fbe-c0f3-3607-aa20-3031b0385de4"]}],"mendeley":{"formattedCitation":"(Correia, Barroso and Nieto, 2018)","plainTextFormattedCitation":"(Correia, Barroso and Nieto, 2018)","previouslyFormattedCitation":"(Correia, Barroso and Nieto, 2018)"},"properties":{"noteIndex":0},"schema":"https://github.com/citation-style-language/schema/raw/master/csl-citation.json"}</w:instrText>
      </w:r>
      <w:r w:rsidR="00C073E5" w:rsidRPr="00EA7459">
        <w:rPr>
          <w:rFonts w:ascii="Arial" w:hAnsi="Arial" w:cs="Arial"/>
          <w:sz w:val="24"/>
          <w:szCs w:val="24"/>
        </w:rPr>
        <w:fldChar w:fldCharType="separate"/>
      </w:r>
      <w:r w:rsidR="00C073E5" w:rsidRPr="00EA7459">
        <w:rPr>
          <w:rFonts w:ascii="Arial" w:hAnsi="Arial" w:cs="Arial"/>
          <w:noProof/>
          <w:sz w:val="24"/>
          <w:szCs w:val="24"/>
        </w:rPr>
        <w:t>Correia, Barroso and Nieto</w:t>
      </w:r>
      <w:r w:rsidR="000A7E42" w:rsidRPr="00EA7459">
        <w:rPr>
          <w:rFonts w:ascii="Arial" w:hAnsi="Arial" w:cs="Arial"/>
          <w:noProof/>
          <w:sz w:val="24"/>
          <w:szCs w:val="24"/>
        </w:rPr>
        <w:t xml:space="preserve">, </w:t>
      </w:r>
      <w:r w:rsidR="00C073E5" w:rsidRPr="00EA7459">
        <w:rPr>
          <w:rFonts w:ascii="Arial" w:hAnsi="Arial" w:cs="Arial"/>
          <w:noProof/>
          <w:sz w:val="24"/>
          <w:szCs w:val="24"/>
        </w:rPr>
        <w:t>2018)</w:t>
      </w:r>
      <w:r w:rsidR="00C073E5" w:rsidRPr="00EA7459">
        <w:rPr>
          <w:rFonts w:ascii="Arial" w:hAnsi="Arial" w:cs="Arial"/>
          <w:sz w:val="24"/>
          <w:szCs w:val="24"/>
        </w:rPr>
        <w:fldChar w:fldCharType="end"/>
      </w:r>
      <w:r w:rsidR="000A7E42" w:rsidRPr="00EA7459">
        <w:rPr>
          <w:rFonts w:ascii="Arial" w:hAnsi="Arial" w:cs="Arial"/>
          <w:sz w:val="24"/>
          <w:szCs w:val="24"/>
        </w:rPr>
        <w:t xml:space="preserve">. </w:t>
      </w:r>
    </w:p>
    <w:p w14:paraId="28B89FF5" w14:textId="0D9F8048" w:rsidR="000A7E42" w:rsidRPr="00EA7459" w:rsidRDefault="000A7E42" w:rsidP="00A658FF">
      <w:pPr>
        <w:pStyle w:val="NormalWeb"/>
        <w:shd w:val="clear" w:color="auto" w:fill="FFFFFF"/>
        <w:spacing w:before="0" w:beforeAutospacing="0" w:after="165" w:afterAutospacing="0" w:line="360" w:lineRule="auto"/>
        <w:rPr>
          <w:rFonts w:ascii="Arial" w:hAnsi="Arial" w:cs="Arial"/>
          <w:color w:val="121212"/>
        </w:rPr>
      </w:pPr>
      <w:r w:rsidRPr="00EA7459">
        <w:rPr>
          <w:rFonts w:ascii="Arial" w:hAnsi="Arial" w:cs="Arial"/>
          <w:color w:val="121212"/>
        </w:rPr>
        <w:t>Piaget asserts that cognitive development occurs through four distinct stages: the sensorimotor stage which occur between the ages of 0-2 years where the child is able to relate to other</w:t>
      </w:r>
      <w:r w:rsidR="00CB68A0" w:rsidRPr="00EA7459">
        <w:rPr>
          <w:rFonts w:ascii="Arial" w:hAnsi="Arial" w:cs="Arial"/>
          <w:color w:val="121212"/>
        </w:rPr>
        <w:t>s</w:t>
      </w:r>
      <w:r w:rsidRPr="00EA7459">
        <w:rPr>
          <w:rFonts w:ascii="Arial" w:hAnsi="Arial" w:cs="Arial"/>
          <w:color w:val="121212"/>
        </w:rPr>
        <w:t xml:space="preserve"> and the world around them through their senses and achieve object permanence; the concrete operation stage which occurs between the ages of 2-7 years</w:t>
      </w:r>
      <w:r w:rsidR="00C02DDA" w:rsidRPr="00EA7459">
        <w:rPr>
          <w:rFonts w:ascii="Arial" w:hAnsi="Arial" w:cs="Arial"/>
          <w:color w:val="121212"/>
        </w:rPr>
        <w:t xml:space="preserve"> where they are able to apply mental actions; the concrete operation stage (7-11 years) where children start to think logically and the formal operation stage (12-16, years) where children can practise abstract reasoning. Piaget states that each stage relates to significant change</w:t>
      </w:r>
      <w:r w:rsidR="00CB68A0" w:rsidRPr="00EA7459">
        <w:rPr>
          <w:rFonts w:ascii="Arial" w:hAnsi="Arial" w:cs="Arial"/>
          <w:color w:val="121212"/>
        </w:rPr>
        <w:t>s</w:t>
      </w:r>
      <w:r w:rsidR="00C02DDA" w:rsidRPr="00EA7459">
        <w:rPr>
          <w:rFonts w:ascii="Arial" w:hAnsi="Arial" w:cs="Arial"/>
          <w:color w:val="121212"/>
        </w:rPr>
        <w:t xml:space="preserve"> in thought processes compared to the previous stage. The stages occur in sequence and therefor</w:t>
      </w:r>
      <w:r w:rsidR="00CB68A0" w:rsidRPr="00EA7459">
        <w:rPr>
          <w:rFonts w:ascii="Arial" w:hAnsi="Arial" w:cs="Arial"/>
          <w:color w:val="121212"/>
        </w:rPr>
        <w:t xml:space="preserve">e, </w:t>
      </w:r>
      <w:r w:rsidR="00C02DDA" w:rsidRPr="00EA7459">
        <w:rPr>
          <w:rFonts w:ascii="Arial" w:hAnsi="Arial" w:cs="Arial"/>
          <w:color w:val="121212"/>
        </w:rPr>
        <w:t>a child cannot skip the stages – they cannot overcome or speed up on their development from one stage to the next (</w:t>
      </w:r>
      <w:proofErr w:type="spellStart"/>
      <w:r w:rsidR="00C02DDA" w:rsidRPr="00EA7459">
        <w:rPr>
          <w:rFonts w:ascii="Arial" w:hAnsi="Arial" w:cs="Arial"/>
          <w:color w:val="121212"/>
        </w:rPr>
        <w:t>Ojese</w:t>
      </w:r>
      <w:proofErr w:type="spellEnd"/>
      <w:r w:rsidR="00C02DDA" w:rsidRPr="00EA7459">
        <w:rPr>
          <w:rFonts w:ascii="Arial" w:hAnsi="Arial" w:cs="Arial"/>
          <w:color w:val="121212"/>
        </w:rPr>
        <w:t>, 2008).</w:t>
      </w:r>
    </w:p>
    <w:p w14:paraId="34F94651" w14:textId="77777777" w:rsidR="004E3C29" w:rsidRPr="00EA7459" w:rsidRDefault="004E3C29" w:rsidP="00A658FF">
      <w:pPr>
        <w:pStyle w:val="NormalWeb"/>
        <w:shd w:val="clear" w:color="auto" w:fill="FFFFFF"/>
        <w:spacing w:before="0" w:beforeAutospacing="0" w:after="165" w:afterAutospacing="0" w:line="360" w:lineRule="auto"/>
        <w:rPr>
          <w:rFonts w:ascii="Arial" w:hAnsi="Arial" w:cs="Arial"/>
          <w:color w:val="121212"/>
        </w:rPr>
      </w:pPr>
    </w:p>
    <w:p w14:paraId="5A0B53AA" w14:textId="5BFE9CEA" w:rsidR="004E3C29" w:rsidRPr="00EA7459" w:rsidRDefault="004E3C29" w:rsidP="00A658FF">
      <w:pPr>
        <w:pStyle w:val="NormalWeb"/>
        <w:shd w:val="clear" w:color="auto" w:fill="FFFFFF"/>
        <w:spacing w:before="0" w:beforeAutospacing="0" w:after="165" w:afterAutospacing="0" w:line="360" w:lineRule="auto"/>
        <w:rPr>
          <w:rFonts w:ascii="Arial" w:hAnsi="Arial" w:cs="Arial"/>
          <w:color w:val="000000"/>
        </w:rPr>
      </w:pPr>
      <w:r w:rsidRPr="00EA7459">
        <w:rPr>
          <w:rFonts w:ascii="Arial" w:hAnsi="Arial" w:cs="Arial"/>
          <w:color w:val="121212"/>
        </w:rPr>
        <w:lastRenderedPageBreak/>
        <w:t xml:space="preserve">Piaget also states that cognitive development arises from two processes; accommodation and assimilation </w:t>
      </w:r>
      <w:r w:rsidRPr="00EA7459">
        <w:rPr>
          <w:rFonts w:ascii="Arial" w:hAnsi="Arial" w:cs="Arial"/>
          <w:color w:val="121212"/>
        </w:rPr>
        <w:fldChar w:fldCharType="begin" w:fldLock="1"/>
      </w:r>
      <w:r w:rsidRPr="00EA7459">
        <w:rPr>
          <w:rFonts w:ascii="Arial" w:hAnsi="Arial" w:cs="Arial"/>
          <w:color w:val="121212"/>
        </w:rPr>
        <w:instrText>ADDIN CSL_CITATION {"citationItems":[{"id":"ITEM-1","itemData":{"DOI":"10.2307/1128971","ISSN":"00093920","author":[{"dropping-particle":"","family":"Block","given":"Jack","non-dropping-particle":"","parse-names":false,"suffix":""}],"container-title":"Child Development","id":"ITEM-1","issue":"2","issued":{"date-parts":[["1982","4"]]},"page":"281","publisher":"JSTOR","title":"Assimilation, Accommodation, and the Dynamics of Personality Development","type":"article-journal","volume":"53"},"uris":["http://www.mendeley.com/documents/?uuid=11720389-00f0-3f62-a412-a73845e2993f"]}],"mendeley":{"formattedCitation":"(Block, 1982)","plainTextFormattedCitation":"(Block, 1982)","previouslyFormattedCitation":"(Block, 1982)"},"properties":{"noteIndex":0},"schema":"https://github.com/citation-style-language/schema/raw/master/csl-citation.json"}</w:instrText>
      </w:r>
      <w:r w:rsidRPr="00EA7459">
        <w:rPr>
          <w:rFonts w:ascii="Arial" w:hAnsi="Arial" w:cs="Arial"/>
          <w:color w:val="121212"/>
        </w:rPr>
        <w:fldChar w:fldCharType="separate"/>
      </w:r>
      <w:r w:rsidRPr="00EA7459">
        <w:rPr>
          <w:rFonts w:ascii="Arial" w:hAnsi="Arial" w:cs="Arial"/>
          <w:noProof/>
          <w:color w:val="121212"/>
        </w:rPr>
        <w:t>(Block, 1982)</w:t>
      </w:r>
      <w:r w:rsidRPr="00EA7459">
        <w:rPr>
          <w:rFonts w:ascii="Arial" w:hAnsi="Arial" w:cs="Arial"/>
          <w:color w:val="121212"/>
        </w:rPr>
        <w:fldChar w:fldCharType="end"/>
      </w:r>
      <w:r w:rsidRPr="00EA7459">
        <w:rPr>
          <w:rFonts w:ascii="Arial" w:hAnsi="Arial" w:cs="Arial"/>
          <w:color w:val="121212"/>
        </w:rPr>
        <w:t>.</w:t>
      </w:r>
      <w:r w:rsidRPr="00EA7459">
        <w:rPr>
          <w:rFonts w:ascii="Arial" w:hAnsi="Arial" w:cs="Arial"/>
        </w:rPr>
        <w:t>Throughout life</w:t>
      </w:r>
      <w:r w:rsidR="00CB68A0" w:rsidRPr="00EA7459">
        <w:rPr>
          <w:rFonts w:ascii="Arial" w:hAnsi="Arial" w:cs="Arial"/>
        </w:rPr>
        <w:t>,</w:t>
      </w:r>
      <w:r w:rsidRPr="00EA7459">
        <w:rPr>
          <w:rFonts w:ascii="Arial" w:hAnsi="Arial" w:cs="Arial"/>
        </w:rPr>
        <w:t xml:space="preserve"> both these processes are used as the individual adapts to new things and the environment in a more complex way. </w:t>
      </w:r>
      <w:r w:rsidRPr="00EA7459">
        <w:rPr>
          <w:rFonts w:ascii="Arial" w:hAnsi="Arial" w:cs="Arial"/>
          <w:color w:val="000000"/>
        </w:rPr>
        <w:t xml:space="preserve">Assimilation is collecting new information whereas accommodation is the process of changing knowledge with external reality </w:t>
      </w:r>
      <w:r w:rsidRPr="00EA7459">
        <w:rPr>
          <w:rFonts w:ascii="Arial" w:hAnsi="Arial" w:cs="Arial"/>
          <w:color w:val="000000"/>
        </w:rPr>
        <w:fldChar w:fldCharType="begin" w:fldLock="1"/>
      </w:r>
      <w:r w:rsidRPr="00EA7459">
        <w:rPr>
          <w:rFonts w:ascii="Arial" w:hAnsi="Arial" w:cs="Arial"/>
          <w:color w:val="000000"/>
        </w:rPr>
        <w:instrText>ADDIN CSL_CITATION {"citationItems":[{"id":"ITEM-1","itemData":{"DOI":"10.17507/jltr.0805.22","abstract":"Piaget's theory, which is at the center of cognitive approaches to psychology and learning, gave a significant importance to the construct of equilibration. This construct plays a paramount role in cognitive adaptation. It is the unifying factor, and thus the sufficient condition of cognitive development. An attempt was made in this paper to revisit the construct of equilibrium in the realm of cognitive development and relate it to the two receptive language skills, namely; listening and reading comprehension. Topics analyzed included, overview of Piaget's theory of cognitive development, assimilation and accommodation in the process of equilibration and their role in cognitive adaptation, kinds of equilibration, schema theory, Rutherford's neo-Piagetian view of assimilation and accommodation. Then the process of equilibration was related to the practical contexts and its implications and contributions to the listening and reading comprehension was described. It's also described how critical thinking, schemata, assimilation, accommodation, and reading comprehension are interrelated to each other in implication section. Finally, Rutherford's neo-Piagetian view is contributed to reading comprehension from socio-cultural perspective.","author":[{"dropping-particle":"","family":"Babaee","given":"Hamidreza","non-dropping-particle":"","parse-names":false,"suffix":""},{"dropping-particle":"","family":"Khoshhal","given":"Yasin","non-dropping-particle":"","parse-names":false,"suffix":""},{"dropping-particle":"","family":"Bormanaki","given":"Hamidreza Babaee","non-dropping-particle":"","parse-names":false,"suffix":""}],"container-title":"Article in Journal of Language Teaching and Research","id":"ITEM-1","issued":{"date-parts":[["2017"]]},"title":"The Role of Equilibration in Piaget's Theory of Cognitive Development and Its Implication for Receptive Skills: A Theoretical Study Error Analysis View project Psycholinguistics-Birth Order View project The Role of Equilibration in Piaget's Theory of Cognitive Development and Its Implication for Receptive Skills: A Theoretical Study","type":"article-journal"},"uris":["http://www.mendeley.com/documents/?uuid=187e7dc4-1f3b-3d79-8d78-841344be368c"]}],"mendeley":{"formattedCitation":"(Babaee, Khoshhal and Bormanaki, 2017)","plainTextFormattedCitation":"(Babaee, Khoshhal and Bormanaki, 2017)","previouslyFormattedCitation":"(Babaee, Khoshhal and Bormanaki, 2017)"},"properties":{"noteIndex":0},"schema":"https://github.com/citation-style-language/schema/raw/master/csl-citation.json"}</w:instrText>
      </w:r>
      <w:r w:rsidRPr="00EA7459">
        <w:rPr>
          <w:rFonts w:ascii="Arial" w:hAnsi="Arial" w:cs="Arial"/>
          <w:color w:val="000000"/>
        </w:rPr>
        <w:fldChar w:fldCharType="separate"/>
      </w:r>
      <w:r w:rsidR="009860E7" w:rsidRPr="00EA7459">
        <w:rPr>
          <w:rFonts w:ascii="Arial" w:hAnsi="Arial" w:cs="Arial"/>
          <w:noProof/>
          <w:color w:val="000000"/>
        </w:rPr>
        <w:t>(</w:t>
      </w:r>
      <w:r w:rsidRPr="00EA7459">
        <w:rPr>
          <w:rFonts w:ascii="Arial" w:hAnsi="Arial" w:cs="Arial"/>
          <w:noProof/>
          <w:color w:val="000000"/>
        </w:rPr>
        <w:t>Bormanaki</w:t>
      </w:r>
      <w:r w:rsidR="009860E7" w:rsidRPr="00EA7459">
        <w:rPr>
          <w:rFonts w:ascii="Arial" w:hAnsi="Arial" w:cs="Arial"/>
          <w:noProof/>
          <w:color w:val="000000"/>
        </w:rPr>
        <w:t xml:space="preserve"> and Khoshhal, </w:t>
      </w:r>
      <w:r w:rsidRPr="00EA7459">
        <w:rPr>
          <w:rFonts w:ascii="Arial" w:hAnsi="Arial" w:cs="Arial"/>
          <w:noProof/>
          <w:color w:val="000000"/>
        </w:rPr>
        <w:t>2017)</w:t>
      </w:r>
      <w:r w:rsidRPr="00EA7459">
        <w:rPr>
          <w:rFonts w:ascii="Arial" w:hAnsi="Arial" w:cs="Arial"/>
          <w:color w:val="000000"/>
        </w:rPr>
        <w:fldChar w:fldCharType="end"/>
      </w:r>
      <w:r w:rsidRPr="00EA7459">
        <w:rPr>
          <w:rFonts w:ascii="Arial" w:hAnsi="Arial" w:cs="Arial"/>
          <w:color w:val="000000"/>
        </w:rPr>
        <w:t>.</w:t>
      </w:r>
    </w:p>
    <w:p w14:paraId="62C64007" w14:textId="16571FB2" w:rsidR="00A4762C" w:rsidRPr="00EA7459" w:rsidRDefault="00E35EFF" w:rsidP="00A658FF">
      <w:pPr>
        <w:pStyle w:val="NormalWeb"/>
        <w:shd w:val="clear" w:color="auto" w:fill="FFFFFF"/>
        <w:spacing w:before="0" w:beforeAutospacing="0" w:after="165" w:afterAutospacing="0" w:line="360" w:lineRule="auto"/>
        <w:rPr>
          <w:rFonts w:ascii="Arial" w:hAnsi="Arial" w:cs="Arial"/>
          <w:color w:val="121212"/>
        </w:rPr>
      </w:pPr>
      <w:r w:rsidRPr="00EA7459">
        <w:rPr>
          <w:rFonts w:ascii="Arial" w:hAnsi="Arial" w:cs="Arial"/>
          <w:color w:val="121212"/>
        </w:rPr>
        <w:t xml:space="preserve">Eggen </w:t>
      </w:r>
      <w:r w:rsidR="00C02DDA" w:rsidRPr="00EA7459">
        <w:rPr>
          <w:rFonts w:ascii="Arial" w:hAnsi="Arial" w:cs="Arial"/>
          <w:color w:val="121212"/>
        </w:rPr>
        <w:t>and</w:t>
      </w:r>
      <w:r w:rsidRPr="00EA7459">
        <w:rPr>
          <w:rFonts w:ascii="Arial" w:hAnsi="Arial" w:cs="Arial"/>
          <w:color w:val="121212"/>
        </w:rPr>
        <w:t xml:space="preserve"> Kauchak</w:t>
      </w:r>
      <w:r w:rsidR="00DB4016" w:rsidRPr="00EA7459">
        <w:rPr>
          <w:rFonts w:ascii="Arial" w:hAnsi="Arial" w:cs="Arial"/>
          <w:color w:val="121212"/>
        </w:rPr>
        <w:t xml:space="preserve"> (</w:t>
      </w:r>
      <w:r w:rsidRPr="00EA7459">
        <w:rPr>
          <w:rFonts w:ascii="Arial" w:hAnsi="Arial" w:cs="Arial"/>
          <w:color w:val="121212"/>
        </w:rPr>
        <w:t>2000</w:t>
      </w:r>
      <w:r w:rsidR="00DB4016" w:rsidRPr="00EA7459">
        <w:rPr>
          <w:rFonts w:ascii="Arial" w:hAnsi="Arial" w:cs="Arial"/>
          <w:color w:val="121212"/>
        </w:rPr>
        <w:t>)</w:t>
      </w:r>
      <w:r w:rsidR="0057020D" w:rsidRPr="00EA7459">
        <w:rPr>
          <w:rFonts w:ascii="Arial" w:hAnsi="Arial" w:cs="Arial"/>
          <w:color w:val="121212"/>
        </w:rPr>
        <w:t xml:space="preserve"> argue</w:t>
      </w:r>
      <w:r w:rsidR="009F58CD" w:rsidRPr="00EA7459">
        <w:rPr>
          <w:rFonts w:ascii="Arial" w:hAnsi="Arial" w:cs="Arial"/>
          <w:color w:val="121212"/>
        </w:rPr>
        <w:t xml:space="preserve"> that</w:t>
      </w:r>
      <w:r w:rsidR="0057020D" w:rsidRPr="00EA7459">
        <w:rPr>
          <w:rFonts w:ascii="Arial" w:hAnsi="Arial" w:cs="Arial"/>
          <w:color w:val="121212"/>
        </w:rPr>
        <w:t xml:space="preserve"> </w:t>
      </w:r>
      <w:r w:rsidR="00671643" w:rsidRPr="00EA7459">
        <w:rPr>
          <w:rFonts w:ascii="Arial" w:hAnsi="Arial" w:cs="Arial"/>
          <w:color w:val="121212"/>
        </w:rPr>
        <w:t>P</w:t>
      </w:r>
      <w:r w:rsidR="0057020D" w:rsidRPr="00EA7459">
        <w:rPr>
          <w:rFonts w:ascii="Arial" w:hAnsi="Arial" w:cs="Arial"/>
          <w:color w:val="121212"/>
        </w:rPr>
        <w:t>iaget</w:t>
      </w:r>
      <w:r w:rsidR="00CA67E2" w:rsidRPr="00EA7459">
        <w:rPr>
          <w:rFonts w:ascii="Arial" w:hAnsi="Arial" w:cs="Arial"/>
          <w:color w:val="121212"/>
        </w:rPr>
        <w:t>’</w:t>
      </w:r>
      <w:r w:rsidR="0057020D" w:rsidRPr="00EA7459">
        <w:rPr>
          <w:rFonts w:ascii="Arial" w:hAnsi="Arial" w:cs="Arial"/>
          <w:color w:val="121212"/>
        </w:rPr>
        <w:t xml:space="preserve">s </w:t>
      </w:r>
      <w:r w:rsidR="00CC7C1C" w:rsidRPr="00EA7459">
        <w:rPr>
          <w:rFonts w:ascii="Arial" w:hAnsi="Arial" w:cs="Arial"/>
          <w:color w:val="121212"/>
        </w:rPr>
        <w:t xml:space="preserve">theory </w:t>
      </w:r>
      <w:r w:rsidR="00192522" w:rsidRPr="00EA7459">
        <w:rPr>
          <w:rFonts w:ascii="Arial" w:hAnsi="Arial" w:cs="Arial"/>
          <w:color w:val="121212"/>
        </w:rPr>
        <w:t>does not</w:t>
      </w:r>
      <w:r w:rsidR="00CC7C1C" w:rsidRPr="00EA7459">
        <w:rPr>
          <w:rFonts w:ascii="Arial" w:hAnsi="Arial" w:cs="Arial"/>
          <w:color w:val="121212"/>
        </w:rPr>
        <w:t xml:space="preserve"> offer a complete </w:t>
      </w:r>
      <w:r w:rsidR="00A75792" w:rsidRPr="00EA7459">
        <w:rPr>
          <w:rFonts w:ascii="Arial" w:hAnsi="Arial" w:cs="Arial"/>
          <w:color w:val="121212"/>
        </w:rPr>
        <w:t>description of cognitive development</w:t>
      </w:r>
      <w:r w:rsidR="00CA67E2" w:rsidRPr="00EA7459">
        <w:rPr>
          <w:rFonts w:ascii="Arial" w:hAnsi="Arial" w:cs="Arial"/>
          <w:color w:val="121212"/>
        </w:rPr>
        <w:t>,</w:t>
      </w:r>
      <w:r w:rsidR="00A75792" w:rsidRPr="00EA7459">
        <w:rPr>
          <w:rFonts w:ascii="Arial" w:hAnsi="Arial" w:cs="Arial"/>
          <w:color w:val="121212"/>
        </w:rPr>
        <w:t xml:space="preserve"> </w:t>
      </w:r>
      <w:r w:rsidR="005523CE" w:rsidRPr="00EA7459">
        <w:rPr>
          <w:rFonts w:ascii="Arial" w:hAnsi="Arial" w:cs="Arial"/>
          <w:color w:val="121212"/>
        </w:rPr>
        <w:t xml:space="preserve">they criticise </w:t>
      </w:r>
      <w:r w:rsidR="00671643" w:rsidRPr="00EA7459">
        <w:rPr>
          <w:rFonts w:ascii="Arial" w:hAnsi="Arial" w:cs="Arial"/>
          <w:color w:val="121212"/>
        </w:rPr>
        <w:t>P</w:t>
      </w:r>
      <w:r w:rsidR="005523CE" w:rsidRPr="00EA7459">
        <w:rPr>
          <w:rFonts w:ascii="Arial" w:hAnsi="Arial" w:cs="Arial"/>
          <w:color w:val="121212"/>
        </w:rPr>
        <w:t>iaget</w:t>
      </w:r>
      <w:r w:rsidR="00CA67E2" w:rsidRPr="00EA7459">
        <w:rPr>
          <w:rFonts w:ascii="Arial" w:hAnsi="Arial" w:cs="Arial"/>
          <w:color w:val="121212"/>
        </w:rPr>
        <w:t xml:space="preserve"> for</w:t>
      </w:r>
      <w:r w:rsidR="005523CE" w:rsidRPr="00EA7459">
        <w:rPr>
          <w:rFonts w:ascii="Arial" w:hAnsi="Arial" w:cs="Arial"/>
          <w:color w:val="121212"/>
        </w:rPr>
        <w:t xml:space="preserve"> </w:t>
      </w:r>
      <w:r w:rsidR="004316B9" w:rsidRPr="00EA7459">
        <w:rPr>
          <w:rFonts w:ascii="Arial" w:hAnsi="Arial" w:cs="Arial"/>
          <w:color w:val="121212"/>
        </w:rPr>
        <w:t>underestimating the abilities of young children</w:t>
      </w:r>
      <w:r w:rsidR="009860E7" w:rsidRPr="00EA7459">
        <w:rPr>
          <w:rFonts w:ascii="Arial" w:hAnsi="Arial" w:cs="Arial"/>
          <w:color w:val="121212"/>
        </w:rPr>
        <w:t xml:space="preserve"> </w:t>
      </w:r>
      <w:r w:rsidR="00A4762C" w:rsidRPr="00EA7459">
        <w:rPr>
          <w:rFonts w:ascii="Arial" w:hAnsi="Arial" w:cs="Arial"/>
          <w:color w:val="121212"/>
        </w:rPr>
        <w:t>at certain stages of development and overestimates their abilities at other stages. This can have implication for teaching and learning. For example, teacher</w:t>
      </w:r>
      <w:r w:rsidR="009860E7" w:rsidRPr="00EA7459">
        <w:rPr>
          <w:rFonts w:ascii="Arial" w:hAnsi="Arial" w:cs="Arial"/>
          <w:color w:val="121212"/>
        </w:rPr>
        <w:t>s</w:t>
      </w:r>
      <w:r w:rsidR="00A4762C" w:rsidRPr="00EA7459">
        <w:rPr>
          <w:rFonts w:ascii="Arial" w:hAnsi="Arial" w:cs="Arial"/>
          <w:color w:val="121212"/>
        </w:rPr>
        <w:t xml:space="preserve"> may assume that children can in the abstract, think logically all the time, although this is not the case. Gelman, </w:t>
      </w:r>
      <w:proofErr w:type="spellStart"/>
      <w:r w:rsidR="00A4762C" w:rsidRPr="00EA7459">
        <w:rPr>
          <w:rFonts w:ascii="Arial" w:hAnsi="Arial" w:cs="Arial"/>
          <w:color w:val="121212"/>
        </w:rPr>
        <w:t>Meck</w:t>
      </w:r>
      <w:proofErr w:type="spellEnd"/>
      <w:r w:rsidR="00A4762C" w:rsidRPr="00EA7459">
        <w:rPr>
          <w:rFonts w:ascii="Arial" w:hAnsi="Arial" w:cs="Arial"/>
          <w:color w:val="121212"/>
        </w:rPr>
        <w:t xml:space="preserve"> and </w:t>
      </w:r>
      <w:proofErr w:type="spellStart"/>
      <w:r w:rsidR="00A4762C" w:rsidRPr="00EA7459">
        <w:rPr>
          <w:rFonts w:ascii="Arial" w:hAnsi="Arial" w:cs="Arial"/>
          <w:color w:val="121212"/>
        </w:rPr>
        <w:t>Merkin</w:t>
      </w:r>
      <w:proofErr w:type="spellEnd"/>
      <w:r w:rsidR="00A4762C" w:rsidRPr="00EA7459">
        <w:rPr>
          <w:rFonts w:ascii="Arial" w:hAnsi="Arial" w:cs="Arial"/>
          <w:color w:val="121212"/>
        </w:rPr>
        <w:t xml:space="preserve"> (1986), further argue that abstract guidance and requirements may lead to children failing at tasks they </w:t>
      </w:r>
      <w:r w:rsidR="002B78E0" w:rsidRPr="00EA7459">
        <w:rPr>
          <w:rFonts w:ascii="Arial" w:hAnsi="Arial" w:cs="Arial"/>
          <w:color w:val="121212"/>
        </w:rPr>
        <w:t>may be</w:t>
      </w:r>
      <w:r w:rsidR="00A4762C" w:rsidRPr="00EA7459">
        <w:rPr>
          <w:rFonts w:ascii="Arial" w:hAnsi="Arial" w:cs="Arial"/>
          <w:color w:val="121212"/>
        </w:rPr>
        <w:t xml:space="preserve"> able to under simpler conditions. </w:t>
      </w:r>
    </w:p>
    <w:p w14:paraId="77794E88" w14:textId="55E0CC7B" w:rsidR="00A21AF8" w:rsidRPr="00EA7459" w:rsidRDefault="00E767C7" w:rsidP="00A658FF">
      <w:pPr>
        <w:pStyle w:val="NormalWeb"/>
        <w:shd w:val="clear" w:color="auto" w:fill="FFFFFF"/>
        <w:spacing w:before="0" w:beforeAutospacing="0" w:after="165" w:afterAutospacing="0" w:line="360" w:lineRule="auto"/>
        <w:rPr>
          <w:rFonts w:ascii="Arial" w:hAnsi="Arial" w:cs="Arial"/>
          <w:b/>
          <w:bCs/>
          <w:color w:val="121212"/>
        </w:rPr>
      </w:pPr>
      <w:r w:rsidRPr="00EA7459">
        <w:rPr>
          <w:rFonts w:ascii="Arial" w:hAnsi="Arial" w:cs="Arial"/>
        </w:rPr>
        <w:t xml:space="preserve">The sociological assumption of the cognitive approach is that behaviour is influenced by the social situation, it relates to facets of mental processing that are shaped by social interaction which subsequently, form social behaviour (Quinn, Macrae and </w:t>
      </w:r>
      <w:proofErr w:type="spellStart"/>
      <w:r w:rsidRPr="00EA7459">
        <w:rPr>
          <w:rFonts w:ascii="Arial" w:hAnsi="Arial" w:cs="Arial"/>
        </w:rPr>
        <w:t>Bodenhausen</w:t>
      </w:r>
      <w:proofErr w:type="spellEnd"/>
      <w:r w:rsidRPr="00EA7459">
        <w:rPr>
          <w:rFonts w:ascii="Arial" w:hAnsi="Arial" w:cs="Arial"/>
        </w:rPr>
        <w:t>, 2006). Piaget is often cited as the primary theorist regarding the social factors in development</w:t>
      </w:r>
      <w:r w:rsidR="009860E7" w:rsidRPr="00EA7459">
        <w:rPr>
          <w:rFonts w:ascii="Arial" w:hAnsi="Arial" w:cs="Arial"/>
        </w:rPr>
        <w:t xml:space="preserve"> </w:t>
      </w:r>
      <w:r w:rsidRPr="00EA7459">
        <w:rPr>
          <w:rFonts w:ascii="Arial" w:hAnsi="Arial" w:cs="Arial"/>
        </w:rPr>
        <w:t xml:space="preserve">(DeVries, 1997). </w:t>
      </w:r>
      <w:r w:rsidR="00A21AF8" w:rsidRPr="00EA7459">
        <w:rPr>
          <w:rFonts w:ascii="Arial" w:hAnsi="Arial" w:cs="Arial"/>
        </w:rPr>
        <w:t xml:space="preserve">The sociological assumption of the cognitive approach is that behaviour is influenced by the social situation, it relates to facets of mental processing that are shaped by social interaction which subsequently, form social behaviour (Quinn, Macrae and </w:t>
      </w:r>
      <w:proofErr w:type="spellStart"/>
      <w:r w:rsidR="00A21AF8" w:rsidRPr="00EA7459">
        <w:rPr>
          <w:rFonts w:ascii="Arial" w:hAnsi="Arial" w:cs="Arial"/>
        </w:rPr>
        <w:t>Bodenhausen</w:t>
      </w:r>
      <w:proofErr w:type="spellEnd"/>
      <w:r w:rsidR="00A21AF8" w:rsidRPr="00EA7459">
        <w:rPr>
          <w:rFonts w:ascii="Arial" w:hAnsi="Arial" w:cs="Arial"/>
        </w:rPr>
        <w:t xml:space="preserve">, 2006). According to Piaget’s theory on moral judgment, </w:t>
      </w:r>
      <w:r w:rsidR="00A21AF8" w:rsidRPr="00EA7459">
        <w:rPr>
          <w:rFonts w:ascii="Arial" w:hAnsi="Arial" w:cs="Arial"/>
          <w:color w:val="000000" w:themeColor="text1"/>
          <w:shd w:val="clear" w:color="auto" w:fill="FFFFFF"/>
        </w:rPr>
        <w:t>moral development is a </w:t>
      </w:r>
      <w:hyperlink r:id="rId11" w:history="1">
        <w:r w:rsidR="00A21AF8" w:rsidRPr="00EA7459">
          <w:rPr>
            <w:rStyle w:val="Hyperlink"/>
            <w:rFonts w:ascii="Arial" w:hAnsi="Arial" w:cs="Arial"/>
            <w:color w:val="000000" w:themeColor="text1"/>
            <w:u w:val="none"/>
            <w:shd w:val="clear" w:color="auto" w:fill="FFFFFF"/>
          </w:rPr>
          <w:t>constructivist process</w:t>
        </w:r>
      </w:hyperlink>
      <w:r w:rsidR="00A21AF8" w:rsidRPr="00EA7459">
        <w:rPr>
          <w:rFonts w:ascii="Arial" w:hAnsi="Arial" w:cs="Arial"/>
          <w:color w:val="000000" w:themeColor="text1"/>
          <w:shd w:val="clear" w:color="auto" w:fill="FFFFFF"/>
        </w:rPr>
        <w:t>, whereby the interplay of action and thought builds moral concepts</w:t>
      </w:r>
      <w:r w:rsidR="000A7DB0" w:rsidRPr="00EA7459">
        <w:rPr>
          <w:rFonts w:ascii="Arial" w:hAnsi="Arial" w:cs="Arial"/>
          <w:color w:val="000000" w:themeColor="text1"/>
          <w:shd w:val="clear" w:color="auto" w:fill="FFFFFF"/>
        </w:rPr>
        <w:t>.</w:t>
      </w:r>
      <w:r w:rsidR="00A21AF8" w:rsidRPr="00EA7459">
        <w:rPr>
          <w:rFonts w:ascii="Arial" w:hAnsi="Arial" w:cs="Arial"/>
          <w:color w:val="000000" w:themeColor="text1"/>
          <w:shd w:val="clear" w:color="auto" w:fill="FFFFFF"/>
        </w:rPr>
        <w:t xml:space="preserve"> </w:t>
      </w:r>
      <w:r w:rsidR="00A21AF8" w:rsidRPr="00EA7459">
        <w:rPr>
          <w:rFonts w:ascii="Arial" w:hAnsi="Arial" w:cs="Arial"/>
          <w:color w:val="000000" w:themeColor="text1"/>
        </w:rPr>
        <w:t>Piaget found that children’s ideas regarding rules, moral judgements and punishment tended to change as they got older. In other words</w:t>
      </w:r>
      <w:r w:rsidR="000A7DB0" w:rsidRPr="00EA7459">
        <w:rPr>
          <w:rFonts w:ascii="Arial" w:hAnsi="Arial" w:cs="Arial"/>
          <w:color w:val="000000" w:themeColor="text1"/>
        </w:rPr>
        <w:t>,</w:t>
      </w:r>
      <w:r w:rsidR="00A21AF8" w:rsidRPr="00EA7459">
        <w:rPr>
          <w:rFonts w:ascii="Arial" w:hAnsi="Arial" w:cs="Arial"/>
          <w:color w:val="000000" w:themeColor="text1"/>
        </w:rPr>
        <w:t xml:space="preserve"> just as there were stages to children’s </w:t>
      </w:r>
      <w:hyperlink r:id="rId12" w:history="1">
        <w:r w:rsidR="00A21AF8" w:rsidRPr="00EA7459">
          <w:rPr>
            <w:rStyle w:val="Hyperlink"/>
            <w:rFonts w:ascii="Arial" w:eastAsiaTheme="majorEastAsia" w:hAnsi="Arial" w:cs="Arial"/>
            <w:color w:val="000000" w:themeColor="text1"/>
            <w:u w:val="none"/>
          </w:rPr>
          <w:t>cognitive development</w:t>
        </w:r>
      </w:hyperlink>
      <w:r w:rsidR="00A21AF8" w:rsidRPr="00EA7459">
        <w:rPr>
          <w:rFonts w:ascii="Arial" w:hAnsi="Arial" w:cs="Arial"/>
          <w:color w:val="000000" w:themeColor="text1"/>
        </w:rPr>
        <w:t xml:space="preserve"> so there were also universal stages to their moral development. Piaget (1932) suggested two main types of moral thinking: </w:t>
      </w:r>
      <w:hyperlink r:id="rId13" w:anchor="real" w:history="1">
        <w:r w:rsidR="00A21AF8" w:rsidRPr="00EA7459">
          <w:rPr>
            <w:rStyle w:val="Hyperlink"/>
            <w:rFonts w:ascii="Arial" w:eastAsiaTheme="majorEastAsia" w:hAnsi="Arial" w:cs="Arial"/>
            <w:color w:val="000000" w:themeColor="text1"/>
            <w:u w:val="none"/>
          </w:rPr>
          <w:t>Heteronomous morality</w:t>
        </w:r>
      </w:hyperlink>
      <w:r w:rsidR="00A21AF8" w:rsidRPr="00EA7459">
        <w:rPr>
          <w:rFonts w:ascii="Arial" w:hAnsi="Arial" w:cs="Arial"/>
          <w:color w:val="000000" w:themeColor="text1"/>
        </w:rPr>
        <w:t xml:space="preserve"> (moral realism) and </w:t>
      </w:r>
      <w:hyperlink r:id="rId14" w:anchor="rel" w:history="1">
        <w:r w:rsidR="00A21AF8" w:rsidRPr="00EA7459">
          <w:rPr>
            <w:rStyle w:val="Hyperlink"/>
            <w:rFonts w:ascii="Arial" w:eastAsiaTheme="majorEastAsia" w:hAnsi="Arial" w:cs="Arial"/>
            <w:color w:val="000000" w:themeColor="text1"/>
            <w:u w:val="none"/>
          </w:rPr>
          <w:t>Autonomous morality</w:t>
        </w:r>
      </w:hyperlink>
      <w:r w:rsidR="00A21AF8" w:rsidRPr="00EA7459">
        <w:rPr>
          <w:rFonts w:ascii="Arial" w:hAnsi="Arial" w:cs="Arial"/>
          <w:color w:val="000000" w:themeColor="text1"/>
        </w:rPr>
        <w:t xml:space="preserve"> (moral relativism). </w:t>
      </w:r>
      <w:r w:rsidR="00E52C69" w:rsidRPr="00EA7459">
        <w:rPr>
          <w:rFonts w:ascii="Arial" w:hAnsi="Arial" w:cs="Arial"/>
          <w:color w:val="000000" w:themeColor="text1"/>
        </w:rPr>
        <w:t xml:space="preserve">Heteronomous morality </w:t>
      </w:r>
      <w:r w:rsidR="00980714" w:rsidRPr="00EA7459">
        <w:rPr>
          <w:rFonts w:ascii="Arial" w:hAnsi="Arial" w:cs="Arial"/>
          <w:color w:val="000000" w:themeColor="text1"/>
        </w:rPr>
        <w:t>ranges between the ages of 5-9</w:t>
      </w:r>
      <w:r w:rsidR="00EB5F81" w:rsidRPr="00EA7459">
        <w:rPr>
          <w:rFonts w:ascii="Arial" w:hAnsi="Arial" w:cs="Arial"/>
          <w:color w:val="000000" w:themeColor="text1"/>
        </w:rPr>
        <w:t>.</w:t>
      </w:r>
      <w:r w:rsidR="00980714" w:rsidRPr="00EA7459">
        <w:rPr>
          <w:rFonts w:ascii="Arial" w:hAnsi="Arial" w:cs="Arial"/>
          <w:color w:val="000000" w:themeColor="text1"/>
        </w:rPr>
        <w:t xml:space="preserve"> </w:t>
      </w:r>
      <w:r w:rsidR="000A7DB0" w:rsidRPr="00EA7459">
        <w:rPr>
          <w:rFonts w:ascii="Arial" w:hAnsi="Arial" w:cs="Arial"/>
          <w:color w:val="000000" w:themeColor="text1"/>
        </w:rPr>
        <w:t>C</w:t>
      </w:r>
      <w:r w:rsidR="0089250E" w:rsidRPr="00EA7459">
        <w:rPr>
          <w:rFonts w:ascii="Arial" w:hAnsi="Arial" w:cs="Arial"/>
          <w:color w:val="000000" w:themeColor="text1"/>
        </w:rPr>
        <w:t>hildren</w:t>
      </w:r>
      <w:r w:rsidR="000C1E41" w:rsidRPr="00EA7459">
        <w:rPr>
          <w:rFonts w:ascii="Arial" w:hAnsi="Arial" w:cs="Arial"/>
          <w:color w:val="000000" w:themeColor="text1"/>
        </w:rPr>
        <w:t xml:space="preserve"> learn</w:t>
      </w:r>
      <w:r w:rsidR="00D741A5" w:rsidRPr="00EA7459">
        <w:rPr>
          <w:rFonts w:ascii="Arial" w:hAnsi="Arial" w:cs="Arial"/>
          <w:color w:val="000000" w:themeColor="text1"/>
        </w:rPr>
        <w:t xml:space="preserve"> and understand</w:t>
      </w:r>
      <w:r w:rsidR="00D80815" w:rsidRPr="00EA7459">
        <w:rPr>
          <w:rFonts w:ascii="Arial" w:hAnsi="Arial" w:cs="Arial"/>
          <w:color w:val="000000" w:themeColor="text1"/>
        </w:rPr>
        <w:t xml:space="preserve"> </w:t>
      </w:r>
      <w:r w:rsidR="009E4DC2" w:rsidRPr="00EA7459">
        <w:rPr>
          <w:rFonts w:ascii="Arial" w:hAnsi="Arial" w:cs="Arial"/>
          <w:color w:val="000000" w:themeColor="text1"/>
        </w:rPr>
        <w:t>the need to</w:t>
      </w:r>
      <w:r w:rsidR="00D80815" w:rsidRPr="00EA7459">
        <w:rPr>
          <w:rFonts w:ascii="Arial" w:hAnsi="Arial" w:cs="Arial"/>
          <w:color w:val="000000" w:themeColor="text1"/>
        </w:rPr>
        <w:t xml:space="preserve"> </w:t>
      </w:r>
      <w:r w:rsidR="00D741A5" w:rsidRPr="00EA7459">
        <w:rPr>
          <w:rFonts w:ascii="Arial" w:hAnsi="Arial" w:cs="Arial"/>
          <w:color w:val="000000" w:themeColor="text1"/>
        </w:rPr>
        <w:t>obey</w:t>
      </w:r>
      <w:r w:rsidR="00D80815" w:rsidRPr="00EA7459">
        <w:rPr>
          <w:rFonts w:ascii="Arial" w:hAnsi="Arial" w:cs="Arial"/>
          <w:color w:val="000000" w:themeColor="text1"/>
        </w:rPr>
        <w:t xml:space="preserve"> </w:t>
      </w:r>
      <w:r w:rsidR="00AD40B7" w:rsidRPr="00EA7459">
        <w:rPr>
          <w:rFonts w:ascii="Arial" w:hAnsi="Arial" w:cs="Arial"/>
          <w:color w:val="000000" w:themeColor="text1"/>
        </w:rPr>
        <w:t>rules</w:t>
      </w:r>
      <w:r w:rsidR="00D741A5" w:rsidRPr="00EA7459">
        <w:rPr>
          <w:rFonts w:ascii="Arial" w:hAnsi="Arial" w:cs="Arial"/>
          <w:color w:val="000000" w:themeColor="text1"/>
        </w:rPr>
        <w:t xml:space="preserve"> made by others</w:t>
      </w:r>
      <w:r w:rsidR="00AD40B7" w:rsidRPr="00EA7459">
        <w:rPr>
          <w:rFonts w:ascii="Arial" w:hAnsi="Arial" w:cs="Arial"/>
          <w:color w:val="000000" w:themeColor="text1"/>
        </w:rPr>
        <w:t xml:space="preserve"> and </w:t>
      </w:r>
      <w:r w:rsidR="007415D3" w:rsidRPr="00EA7459">
        <w:rPr>
          <w:rFonts w:ascii="Arial" w:hAnsi="Arial" w:cs="Arial"/>
          <w:color w:val="000000" w:themeColor="text1"/>
        </w:rPr>
        <w:t>accept</w:t>
      </w:r>
      <w:r w:rsidR="000238EC" w:rsidRPr="00EA7459">
        <w:rPr>
          <w:rFonts w:ascii="Arial" w:hAnsi="Arial" w:cs="Arial"/>
          <w:color w:val="000000" w:themeColor="text1"/>
        </w:rPr>
        <w:t xml:space="preserve"> </w:t>
      </w:r>
      <w:r w:rsidR="00AD40B7" w:rsidRPr="00EA7459">
        <w:rPr>
          <w:rFonts w:ascii="Arial" w:hAnsi="Arial" w:cs="Arial"/>
          <w:color w:val="000000" w:themeColor="text1"/>
        </w:rPr>
        <w:t>the rules ar</w:t>
      </w:r>
      <w:r w:rsidR="0011076D" w:rsidRPr="00EA7459">
        <w:rPr>
          <w:rFonts w:ascii="Arial" w:hAnsi="Arial" w:cs="Arial"/>
          <w:color w:val="000000" w:themeColor="text1"/>
        </w:rPr>
        <w:t>e made by an authori</w:t>
      </w:r>
      <w:r w:rsidR="000A7DB0" w:rsidRPr="00EA7459">
        <w:rPr>
          <w:rFonts w:ascii="Arial" w:hAnsi="Arial" w:cs="Arial"/>
          <w:color w:val="000000" w:themeColor="text1"/>
        </w:rPr>
        <w:t>tative</w:t>
      </w:r>
      <w:r w:rsidR="0011076D" w:rsidRPr="00EA7459">
        <w:rPr>
          <w:rFonts w:ascii="Arial" w:hAnsi="Arial" w:cs="Arial"/>
          <w:color w:val="000000" w:themeColor="text1"/>
        </w:rPr>
        <w:t xml:space="preserve"> figure such as parents and </w:t>
      </w:r>
      <w:r w:rsidR="000238EC" w:rsidRPr="00EA7459">
        <w:rPr>
          <w:rFonts w:ascii="Arial" w:hAnsi="Arial" w:cs="Arial"/>
          <w:color w:val="000000" w:themeColor="text1"/>
        </w:rPr>
        <w:t>teachers and by</w:t>
      </w:r>
      <w:r w:rsidR="003C57A1" w:rsidRPr="00EA7459">
        <w:rPr>
          <w:rFonts w:ascii="Arial" w:hAnsi="Arial" w:cs="Arial"/>
          <w:color w:val="000000" w:themeColor="text1"/>
        </w:rPr>
        <w:t xml:space="preserve"> breaking </w:t>
      </w:r>
      <w:r w:rsidR="009E4DC2" w:rsidRPr="00EA7459">
        <w:rPr>
          <w:rFonts w:ascii="Arial" w:hAnsi="Arial" w:cs="Arial"/>
          <w:color w:val="000000" w:themeColor="text1"/>
        </w:rPr>
        <w:t>the</w:t>
      </w:r>
      <w:r w:rsidR="003C57A1" w:rsidRPr="00EA7459">
        <w:rPr>
          <w:rFonts w:ascii="Arial" w:hAnsi="Arial" w:cs="Arial"/>
          <w:color w:val="000000" w:themeColor="text1"/>
        </w:rPr>
        <w:t xml:space="preserve"> rules</w:t>
      </w:r>
      <w:r w:rsidR="000A7DB0" w:rsidRPr="00EA7459">
        <w:rPr>
          <w:rFonts w:ascii="Arial" w:hAnsi="Arial" w:cs="Arial"/>
          <w:color w:val="000000" w:themeColor="text1"/>
        </w:rPr>
        <w:t>,</w:t>
      </w:r>
      <w:r w:rsidR="000238EC" w:rsidRPr="00EA7459">
        <w:rPr>
          <w:rFonts w:ascii="Arial" w:hAnsi="Arial" w:cs="Arial"/>
          <w:color w:val="000000" w:themeColor="text1"/>
        </w:rPr>
        <w:t xml:space="preserve"> it</w:t>
      </w:r>
      <w:r w:rsidR="003C57A1" w:rsidRPr="00EA7459">
        <w:rPr>
          <w:rFonts w:ascii="Arial" w:hAnsi="Arial" w:cs="Arial"/>
          <w:color w:val="000000" w:themeColor="text1"/>
        </w:rPr>
        <w:t xml:space="preserve"> will lead to </w:t>
      </w:r>
      <w:r w:rsidR="007415D3" w:rsidRPr="00EA7459">
        <w:rPr>
          <w:rFonts w:ascii="Arial" w:hAnsi="Arial" w:cs="Arial"/>
          <w:color w:val="000000" w:themeColor="text1"/>
        </w:rPr>
        <w:t>consequences</w:t>
      </w:r>
      <w:r w:rsidR="003C57A1" w:rsidRPr="00EA7459">
        <w:rPr>
          <w:rFonts w:ascii="Arial" w:hAnsi="Arial" w:cs="Arial"/>
          <w:color w:val="000000" w:themeColor="text1"/>
        </w:rPr>
        <w:t xml:space="preserve"> and punishment</w:t>
      </w:r>
      <w:r w:rsidR="000238EC" w:rsidRPr="00EA7459">
        <w:rPr>
          <w:rFonts w:ascii="Arial" w:hAnsi="Arial" w:cs="Arial"/>
          <w:color w:val="000000" w:themeColor="text1"/>
        </w:rPr>
        <w:t>.</w:t>
      </w:r>
      <w:r w:rsidR="000A7DB0" w:rsidRPr="00EA7459">
        <w:rPr>
          <w:rFonts w:ascii="Arial" w:hAnsi="Arial" w:cs="Arial"/>
          <w:color w:val="000000" w:themeColor="text1"/>
        </w:rPr>
        <w:t xml:space="preserve"> A</w:t>
      </w:r>
      <w:r w:rsidR="00094D2C" w:rsidRPr="00EA7459">
        <w:rPr>
          <w:rFonts w:ascii="Arial" w:hAnsi="Arial" w:cs="Arial"/>
          <w:color w:val="000000" w:themeColor="text1"/>
        </w:rPr>
        <w:t>utonomous</w:t>
      </w:r>
      <w:r w:rsidR="00CE6BEF" w:rsidRPr="00EA7459">
        <w:rPr>
          <w:rFonts w:ascii="Arial" w:hAnsi="Arial" w:cs="Arial"/>
          <w:color w:val="000000" w:themeColor="text1"/>
        </w:rPr>
        <w:t xml:space="preserve"> morality ranges between the </w:t>
      </w:r>
      <w:r w:rsidR="00CE6BEF" w:rsidRPr="00EA7459">
        <w:rPr>
          <w:rFonts w:ascii="Arial" w:hAnsi="Arial" w:cs="Arial"/>
          <w:color w:val="000000" w:themeColor="text1"/>
        </w:rPr>
        <w:lastRenderedPageBreak/>
        <w:t>ages of 9-10</w:t>
      </w:r>
      <w:r w:rsidR="003D39F8" w:rsidRPr="00EA7459">
        <w:rPr>
          <w:rFonts w:ascii="Arial" w:hAnsi="Arial" w:cs="Arial"/>
          <w:color w:val="000000" w:themeColor="text1"/>
        </w:rPr>
        <w:t xml:space="preserve"> and is based on the rules </w:t>
      </w:r>
      <w:r w:rsidR="000A7DB0" w:rsidRPr="00EA7459">
        <w:rPr>
          <w:rFonts w:ascii="Arial" w:hAnsi="Arial" w:cs="Arial"/>
          <w:color w:val="000000" w:themeColor="text1"/>
        </w:rPr>
        <w:t>children</w:t>
      </w:r>
      <w:r w:rsidR="003D39F8" w:rsidRPr="00EA7459">
        <w:rPr>
          <w:rFonts w:ascii="Arial" w:hAnsi="Arial" w:cs="Arial"/>
          <w:color w:val="000000" w:themeColor="text1"/>
        </w:rPr>
        <w:t xml:space="preserve"> set for themselves </w:t>
      </w:r>
      <w:r w:rsidR="00351190" w:rsidRPr="00EA7459">
        <w:rPr>
          <w:rFonts w:ascii="Arial" w:hAnsi="Arial" w:cs="Arial"/>
          <w:color w:val="000000" w:themeColor="text1"/>
        </w:rPr>
        <w:t xml:space="preserve">and </w:t>
      </w:r>
      <w:r w:rsidR="00951F05" w:rsidRPr="00EA7459">
        <w:rPr>
          <w:rFonts w:ascii="Arial" w:hAnsi="Arial" w:cs="Arial"/>
          <w:color w:val="000000" w:themeColor="text1"/>
        </w:rPr>
        <w:t>understand that morality</w:t>
      </w:r>
      <w:r w:rsidR="001042F3" w:rsidRPr="00EA7459">
        <w:rPr>
          <w:rFonts w:ascii="Arial" w:hAnsi="Arial" w:cs="Arial"/>
          <w:color w:val="000000" w:themeColor="text1"/>
        </w:rPr>
        <w:t xml:space="preserve"> depend</w:t>
      </w:r>
      <w:r w:rsidR="00531E1F" w:rsidRPr="00EA7459">
        <w:rPr>
          <w:rFonts w:ascii="Arial" w:hAnsi="Arial" w:cs="Arial"/>
          <w:color w:val="000000" w:themeColor="text1"/>
        </w:rPr>
        <w:t>s</w:t>
      </w:r>
      <w:r w:rsidR="001042F3" w:rsidRPr="00EA7459">
        <w:rPr>
          <w:rFonts w:ascii="Arial" w:hAnsi="Arial" w:cs="Arial"/>
          <w:color w:val="000000" w:themeColor="text1"/>
        </w:rPr>
        <w:t xml:space="preserve"> on </w:t>
      </w:r>
      <w:r w:rsidR="009F3BAF" w:rsidRPr="00EA7459">
        <w:rPr>
          <w:rFonts w:ascii="Arial" w:hAnsi="Arial" w:cs="Arial"/>
          <w:color w:val="000000" w:themeColor="text1"/>
        </w:rPr>
        <w:t xml:space="preserve">the intention </w:t>
      </w:r>
      <w:r w:rsidR="00785438" w:rsidRPr="00EA7459">
        <w:rPr>
          <w:rFonts w:ascii="Arial" w:hAnsi="Arial" w:cs="Arial"/>
          <w:color w:val="000000" w:themeColor="text1"/>
        </w:rPr>
        <w:t>not the consequences.</w:t>
      </w:r>
      <w:r w:rsidR="009860E7" w:rsidRPr="00EA7459">
        <w:rPr>
          <w:rFonts w:ascii="Arial" w:hAnsi="Arial" w:cs="Arial"/>
          <w:b/>
          <w:bCs/>
          <w:color w:val="121212"/>
        </w:rPr>
        <w:t xml:space="preserve"> </w:t>
      </w:r>
      <w:r w:rsidR="00A21AF8" w:rsidRPr="00EA7459">
        <w:rPr>
          <w:rFonts w:ascii="Arial" w:hAnsi="Arial" w:cs="Arial"/>
        </w:rPr>
        <w:t xml:space="preserve">However, </w:t>
      </w:r>
      <w:r w:rsidR="00690D91" w:rsidRPr="00EA7459">
        <w:rPr>
          <w:rFonts w:ascii="Arial" w:hAnsi="Arial" w:cs="Arial"/>
        </w:rPr>
        <w:t xml:space="preserve">it is argued that </w:t>
      </w:r>
      <w:r w:rsidR="00A21AF8" w:rsidRPr="00EA7459">
        <w:rPr>
          <w:rFonts w:ascii="Arial" w:hAnsi="Arial" w:cs="Arial"/>
        </w:rPr>
        <w:t xml:space="preserve">at the time </w:t>
      </w:r>
      <w:r w:rsidR="000A7DB0" w:rsidRPr="00EA7459">
        <w:rPr>
          <w:rFonts w:ascii="Arial" w:hAnsi="Arial" w:cs="Arial"/>
        </w:rPr>
        <w:t>Piaget’s theory on moral development was introduced</w:t>
      </w:r>
      <w:r w:rsidR="00A21AF8" w:rsidRPr="00EA7459">
        <w:rPr>
          <w:rFonts w:ascii="Arial" w:hAnsi="Arial" w:cs="Arial"/>
        </w:rPr>
        <w:t xml:space="preserve">, there were no long-term studies or empirical evidence to suggest that moral development continues into adulthood (Armon and </w:t>
      </w:r>
      <w:proofErr w:type="spellStart"/>
      <w:r w:rsidR="00A21AF8" w:rsidRPr="00EA7459">
        <w:rPr>
          <w:rFonts w:ascii="Arial" w:hAnsi="Arial" w:cs="Arial"/>
        </w:rPr>
        <w:t>Dawsom</w:t>
      </w:r>
      <w:proofErr w:type="spellEnd"/>
      <w:r w:rsidR="00A21AF8" w:rsidRPr="00EA7459">
        <w:rPr>
          <w:rFonts w:ascii="Arial" w:hAnsi="Arial" w:cs="Arial"/>
        </w:rPr>
        <w:t xml:space="preserve"> 1997). </w:t>
      </w:r>
    </w:p>
    <w:p w14:paraId="0CD13B09" w14:textId="04BDF595" w:rsidR="00765551" w:rsidRPr="00EA7459" w:rsidRDefault="00F63D61" w:rsidP="00A658FF">
      <w:pPr>
        <w:pStyle w:val="NormalWeb"/>
        <w:shd w:val="clear" w:color="auto" w:fill="FFFFFF"/>
        <w:spacing w:after="165" w:line="360" w:lineRule="auto"/>
        <w:rPr>
          <w:rFonts w:ascii="Arial" w:hAnsi="Arial" w:cs="Arial"/>
          <w:color w:val="000000"/>
        </w:rPr>
      </w:pPr>
      <w:r w:rsidRPr="00EA7459">
        <w:rPr>
          <w:rFonts w:ascii="Arial" w:hAnsi="Arial" w:cs="Arial"/>
          <w:color w:val="000000"/>
        </w:rPr>
        <w:t>Cognitive phycology can be used in health and social care by helping with memory disorders, brain injuries, learning disorders and structuring education curricula to enhance learning. Cognitive p</w:t>
      </w:r>
      <w:r w:rsidR="00690D91" w:rsidRPr="00EA7459">
        <w:rPr>
          <w:rFonts w:ascii="Arial" w:hAnsi="Arial" w:cs="Arial"/>
          <w:color w:val="000000"/>
        </w:rPr>
        <w:t>sycholog</w:t>
      </w:r>
      <w:r w:rsidRPr="00EA7459">
        <w:rPr>
          <w:rFonts w:ascii="Arial" w:hAnsi="Arial" w:cs="Arial"/>
          <w:color w:val="000000"/>
        </w:rPr>
        <w:t>y has also improved understanding of how people store and recall memories</w:t>
      </w:r>
      <w:r w:rsidR="00D317D0" w:rsidRPr="00EA7459">
        <w:rPr>
          <w:rFonts w:ascii="Arial" w:hAnsi="Arial" w:cs="Arial"/>
          <w:color w:val="000000"/>
        </w:rPr>
        <w:t xml:space="preserve"> (</w:t>
      </w:r>
      <w:r w:rsidR="00D317D0" w:rsidRPr="00EA7459">
        <w:rPr>
          <w:rFonts w:ascii="Arial" w:hAnsi="Arial" w:cs="Arial"/>
          <w:color w:val="000000"/>
        </w:rPr>
        <w:fldChar w:fldCharType="begin" w:fldLock="1"/>
      </w:r>
      <w:r w:rsidR="00D317D0" w:rsidRPr="00EA7459">
        <w:rPr>
          <w:rFonts w:ascii="Arial" w:hAnsi="Arial" w:cs="Arial"/>
          <w:color w:val="000000"/>
        </w:rPr>
        <w:instrText>ADDIN CSL_CITATION {"citationItems":[{"id":"ITEM-1","itemData":{"DOI":"10.11114/ijsss.v8i4.4870","ISSN":"2324-8033","abstract":"Social Cognitive Theory explains how different personal, environmental and cognitive factors influence human behavior and it has been an important source of knowledge in the social and health sciences. It has been employed in research and practice in nursing, the science of caring. However, no critical analysis has been conducted to show the impact of Social Cognitive Theory in nursing. This article aims to conduct an analysis and evaluation of Social Cognitive Theory using the Fawcett and DeSanto-Madeya methodological framework and a systematic search of the literature. Social Cognitive Theory showed that even though is a non-disciplinary theory of health sciences, the clarity and simplicity of its content facilitates its use in understanding and addressing different phenomena of caring, the creation of middle-range theories and in professional education. The contribution of Social Cognitive Theory in nursing science has focused mainly on two aspects: firstly, on improving disciplinary knowledge with the practical context of health caring by understanding human behavior and its integration in interventions for the promotion, prevention and treatment of health, and secondly, on nursing professionals’ education, highlighting the relevance of the interdisciplinary nature of knowledge.","author":[{"dropping-particle":"","family":"Manjarres-Posada","given":"Natalia I.","non-dropping-particle":"","parse-names":false,"suffix":""},{"dropping-particle":"","family":"Onofre-Rodríguez","given":"Dora J.","non-dropping-particle":"","parse-names":false,"suffix":""},{"dropping-particle":"","family":"Benavides-Torres","given":"Raquel A.","non-dropping-particle":"","parse-names":false,"suffix":""}],"container-title":"International Journal of Social Science Studies","id":"ITEM-1","issue":"4","issued":{"date-parts":[["2020","6","23"]]},"page":"132","publisher":"Redfame Publishing","title":"Social Cognitive Theory and Health Care: Analysis and Evaluation","type":"article-journal","volume":"8"},"uris":["http://www.mendeley.com/documents/?uuid=c1a1aa1f-b0b1-3381-999e-43cffd30dfa8"]}],"mendeley":{"formattedCitation":"(Manjarres-Posada, Onofre-Rodríguez and Benavides-Torres, 2020)","manualFormatting":"Manjarres-Posada, Onofre-Rodríguez and Benavides-Torres (2020)","plainTextFormattedCitation":"(Manjarres-Posada, Onofre-Rodríguez and Benavides-Torres, 2020)","previouslyFormattedCitation":"(Manjarres-Posada, Onofre-Rodríguez and Benavides-Torres, 2020)"},"properties":{"noteIndex":0},"schema":"https://github.com/citation-style-language/schema/raw/master/csl-citation.json"}</w:instrText>
      </w:r>
      <w:r w:rsidR="00D317D0" w:rsidRPr="00EA7459">
        <w:rPr>
          <w:rFonts w:ascii="Arial" w:hAnsi="Arial" w:cs="Arial"/>
          <w:color w:val="000000"/>
        </w:rPr>
        <w:fldChar w:fldCharType="separate"/>
      </w:r>
      <w:r w:rsidR="00D317D0" w:rsidRPr="00EA7459">
        <w:rPr>
          <w:rFonts w:ascii="Arial" w:hAnsi="Arial" w:cs="Arial"/>
          <w:noProof/>
          <w:color w:val="000000"/>
        </w:rPr>
        <w:t>Manjarres-Posada, Onofre-Rodríguez and Benavides-Torres (2020)</w:t>
      </w:r>
      <w:r w:rsidR="00D317D0" w:rsidRPr="00EA7459">
        <w:rPr>
          <w:rFonts w:ascii="Arial" w:hAnsi="Arial" w:cs="Arial"/>
          <w:color w:val="000000"/>
        </w:rPr>
        <w:fldChar w:fldCharType="end"/>
      </w:r>
      <w:r w:rsidR="00CF5915" w:rsidRPr="00EA7459">
        <w:rPr>
          <w:rFonts w:ascii="Arial" w:hAnsi="Arial" w:cs="Arial"/>
          <w:color w:val="000000"/>
        </w:rPr>
        <w:t xml:space="preserve">. </w:t>
      </w:r>
      <w:r w:rsidR="00CF5915" w:rsidRPr="00EA7459">
        <w:rPr>
          <w:rFonts w:ascii="Arial" w:hAnsi="Arial" w:cs="Arial"/>
          <w:color w:val="000000"/>
        </w:rPr>
        <w:fldChar w:fldCharType="begin" w:fldLock="1"/>
      </w:r>
      <w:r w:rsidR="00582158" w:rsidRPr="00EA7459">
        <w:rPr>
          <w:rFonts w:ascii="Arial" w:hAnsi="Arial" w:cs="Arial"/>
          <w:color w:val="000000"/>
        </w:rPr>
        <w:instrText>ADDIN CSL_CITATION {"citationItems":[{"id":"ITEM-1","itemData":{"DOI":"10.11114/ijsss.v8i4.4870","ISSN":"2324-8033","abstract":"Social Cognitive Theory explains how different personal, environmental and cognitive factors influence human behavior and it has been an important source of knowledge in the social and health sciences. It has been employed in research and practice in nursing, the science of caring. However, no critical analysis has been conducted to show the impact of Social Cognitive Theory in nursing. This article aims to conduct an analysis and evaluation of Social Cognitive Theory using the Fawcett and DeSanto-Madeya methodological framework and a systematic search of the literature. Social Cognitive Theory showed that even though is a non-disciplinary theory of health sciences, the clarity and simplicity of its content facilitates its use in understanding and addressing different phenomena of caring, the creation of middle-range theories and in professional education. The contribution of Social Cognitive Theory in nursing science has focused mainly on two aspects: firstly, on improving disciplinary knowledge with the practical context of health caring by understanding human behavior and its integration in interventions for the promotion, prevention and treatment of health, and secondly, on nursing professionals’ education, highlighting the relevance of the interdisciplinary nature of knowledge.","author":[{"dropping-particle":"","family":"Manjarres-Posada","given":"Natalia I.","non-dropping-particle":"","parse-names":false,"suffix":""},{"dropping-particle":"","family":"Onofre-Rodríguez","given":"Dora J.","non-dropping-particle":"","parse-names":false,"suffix":""},{"dropping-particle":"","family":"Benavides-Torres","given":"Raquel A.","non-dropping-particle":"","parse-names":false,"suffix":""}],"container-title":"International Journal of Social Science Studies","id":"ITEM-1","issue":"4","issued":{"date-parts":[["2020","6","23"]]},"page":"132","publisher":"Redfame Publishing","title":"Social Cognitive Theory and Health Care: Analysis and Evaluation","type":"article-journal","volume":"8"},"uris":["http://www.mendeley.com/documents/?uuid=c1a1aa1f-b0b1-3381-999e-43cffd30dfa8"]}],"mendeley":{"formattedCitation":"(Manjarres-Posada, Onofre-Rodríguez and Benavides-Torres, 2020)","manualFormatting":"Manjarres-Posada, Onofre-Rodríguez and Benavides-Torres (2020)","plainTextFormattedCitation":"(Manjarres-Posada, Onofre-Rodríguez and Benavides-Torres, 2020)","previouslyFormattedCitation":"(Manjarres-Posada, Onofre-Rodríguez and Benavides-Torres, 2020)"},"properties":{"noteIndex":0},"schema":"https://github.com/citation-style-language/schema/raw/master/csl-citation.json"}</w:instrText>
      </w:r>
      <w:r w:rsidR="00CF5915" w:rsidRPr="00EA7459">
        <w:rPr>
          <w:rFonts w:ascii="Arial" w:hAnsi="Arial" w:cs="Arial"/>
          <w:color w:val="000000"/>
        </w:rPr>
        <w:fldChar w:fldCharType="separate"/>
      </w:r>
      <w:r w:rsidR="002D245E" w:rsidRPr="00EA7459">
        <w:rPr>
          <w:rFonts w:ascii="Arial" w:hAnsi="Arial" w:cs="Arial"/>
          <w:noProof/>
          <w:color w:val="000000"/>
        </w:rPr>
        <w:t>Manjarres-Posada, Onofre-Rodríguez and Benavides-Torres</w:t>
      </w:r>
      <w:r w:rsidR="00582158" w:rsidRPr="00EA7459">
        <w:rPr>
          <w:rFonts w:ascii="Arial" w:hAnsi="Arial" w:cs="Arial"/>
          <w:noProof/>
          <w:color w:val="000000"/>
        </w:rPr>
        <w:t xml:space="preserve"> (</w:t>
      </w:r>
      <w:r w:rsidR="002D245E" w:rsidRPr="00EA7459">
        <w:rPr>
          <w:rFonts w:ascii="Arial" w:hAnsi="Arial" w:cs="Arial"/>
          <w:noProof/>
          <w:color w:val="000000"/>
        </w:rPr>
        <w:t>2020)</w:t>
      </w:r>
      <w:r w:rsidR="00CF5915" w:rsidRPr="00EA7459">
        <w:rPr>
          <w:rFonts w:ascii="Arial" w:hAnsi="Arial" w:cs="Arial"/>
          <w:color w:val="000000"/>
        </w:rPr>
        <w:fldChar w:fldCharType="end"/>
      </w:r>
      <w:r w:rsidR="002D245E" w:rsidRPr="00EA7459">
        <w:rPr>
          <w:rFonts w:ascii="Arial" w:hAnsi="Arial" w:cs="Arial"/>
          <w:color w:val="000000"/>
        </w:rPr>
        <w:t xml:space="preserve"> </w:t>
      </w:r>
      <w:r w:rsidR="00D317D0" w:rsidRPr="00EA7459">
        <w:rPr>
          <w:rFonts w:ascii="Arial" w:hAnsi="Arial" w:cs="Arial"/>
          <w:color w:val="000000"/>
        </w:rPr>
        <w:t xml:space="preserve">also </w:t>
      </w:r>
      <w:r w:rsidR="004E3C29" w:rsidRPr="00EA7459">
        <w:rPr>
          <w:rFonts w:ascii="Arial" w:hAnsi="Arial" w:cs="Arial"/>
          <w:color w:val="000000"/>
        </w:rPr>
        <w:t xml:space="preserve">state </w:t>
      </w:r>
      <w:r w:rsidR="0078478A" w:rsidRPr="00EA7459">
        <w:rPr>
          <w:rFonts w:ascii="Arial" w:hAnsi="Arial" w:cs="Arial"/>
          <w:color w:val="000000"/>
        </w:rPr>
        <w:t>that understanding</w:t>
      </w:r>
      <w:r w:rsidR="004E3C29" w:rsidRPr="00EA7459">
        <w:rPr>
          <w:rFonts w:ascii="Arial" w:hAnsi="Arial" w:cs="Arial"/>
          <w:color w:val="000000"/>
        </w:rPr>
        <w:t xml:space="preserve"> </w:t>
      </w:r>
      <w:r w:rsidR="006D1127" w:rsidRPr="00EA7459">
        <w:rPr>
          <w:rFonts w:ascii="Arial" w:hAnsi="Arial" w:cs="Arial"/>
        </w:rPr>
        <w:t xml:space="preserve">different environmental, personal, and cognitive factors </w:t>
      </w:r>
      <w:r w:rsidR="00EB25B1" w:rsidRPr="00EA7459">
        <w:rPr>
          <w:rFonts w:ascii="Arial" w:hAnsi="Arial" w:cs="Arial"/>
        </w:rPr>
        <w:t>are</w:t>
      </w:r>
      <w:r w:rsidR="006D1127" w:rsidRPr="00EA7459">
        <w:rPr>
          <w:rFonts w:ascii="Arial" w:hAnsi="Arial" w:cs="Arial"/>
        </w:rPr>
        <w:t xml:space="preserve"> important as it influences human behaviour</w:t>
      </w:r>
      <w:r w:rsidR="004E3C29" w:rsidRPr="00EA7459">
        <w:rPr>
          <w:rFonts w:ascii="Arial" w:hAnsi="Arial" w:cs="Arial"/>
        </w:rPr>
        <w:t>,</w:t>
      </w:r>
      <w:r w:rsidR="006D1127" w:rsidRPr="00EA7459">
        <w:rPr>
          <w:rFonts w:ascii="Arial" w:hAnsi="Arial" w:cs="Arial"/>
        </w:rPr>
        <w:t xml:space="preserve"> </w:t>
      </w:r>
      <w:r w:rsidR="00E1378D" w:rsidRPr="00EA7459">
        <w:rPr>
          <w:rFonts w:ascii="Arial" w:hAnsi="Arial" w:cs="Arial"/>
        </w:rPr>
        <w:t>it is</w:t>
      </w:r>
      <w:r w:rsidR="006D1127" w:rsidRPr="00EA7459">
        <w:rPr>
          <w:rFonts w:ascii="Arial" w:hAnsi="Arial" w:cs="Arial"/>
        </w:rPr>
        <w:t xml:space="preserve"> </w:t>
      </w:r>
      <w:r w:rsidR="004E3C29" w:rsidRPr="00EA7459">
        <w:rPr>
          <w:rFonts w:ascii="Arial" w:hAnsi="Arial" w:cs="Arial"/>
        </w:rPr>
        <w:t xml:space="preserve">therefore </w:t>
      </w:r>
      <w:r w:rsidR="006D1127" w:rsidRPr="00EA7459">
        <w:rPr>
          <w:rFonts w:ascii="Arial" w:hAnsi="Arial" w:cs="Arial"/>
        </w:rPr>
        <w:t xml:space="preserve">an important source of knowledge when working in the health and social sector. </w:t>
      </w:r>
      <w:r w:rsidR="00344090" w:rsidRPr="00EA7459">
        <w:rPr>
          <w:rFonts w:ascii="Arial" w:hAnsi="Arial" w:cs="Arial"/>
        </w:rPr>
        <w:t>It is</w:t>
      </w:r>
      <w:r w:rsidR="006D1127" w:rsidRPr="00EA7459">
        <w:rPr>
          <w:rFonts w:ascii="Arial" w:hAnsi="Arial" w:cs="Arial"/>
        </w:rPr>
        <w:t xml:space="preserve"> important to understand human behaviour and its integration in interventions for prevention and treatment of health</w:t>
      </w:r>
      <w:r w:rsidR="00933BA9" w:rsidRPr="00EA7459">
        <w:rPr>
          <w:rFonts w:ascii="Arial" w:hAnsi="Arial" w:cs="Arial"/>
        </w:rPr>
        <w:t xml:space="preserve"> </w:t>
      </w:r>
      <w:r w:rsidR="00933BA9" w:rsidRPr="00EA7459">
        <w:rPr>
          <w:rFonts w:ascii="Arial" w:hAnsi="Arial" w:cs="Arial"/>
        </w:rPr>
        <w:fldChar w:fldCharType="begin" w:fldLock="1"/>
      </w:r>
      <w:r w:rsidR="00933BA9" w:rsidRPr="00EA7459">
        <w:rPr>
          <w:rFonts w:ascii="Arial" w:hAnsi="Arial" w:cs="Arial"/>
        </w:rPr>
        <w:instrText>ADDIN CSL_CITATION {"citationItems":[{"id":"ITEM-1","itemData":{"author":[{"dropping-particle":"","family":"Sheldon brian","given":"","non-dropping-particle":"","parse-names":false,"suffix":""}],"edition":"2","id":"ITEM-1","issued":{"date-parts":[["2011"]]},"publisher":"Routledge","title":"Cognitive-Behavioural Therapy ","type":"book"},"uris":["http://www.mendeley.com/documents/?uuid=b69ab1d6-f1a3-36a4-b609-4488ce0015fb"]}],"mendeley":{"formattedCitation":"(Sheldon brian, 2011)","plainTextFormattedCitation":"(Sheldon brian, 2011)"},"properties":{"noteIndex":0},"schema":"https://github.com/citation-style-language/schema/raw/master/csl-citation.json"}</w:instrText>
      </w:r>
      <w:r w:rsidR="00933BA9" w:rsidRPr="00EA7459">
        <w:rPr>
          <w:rFonts w:ascii="Arial" w:hAnsi="Arial" w:cs="Arial"/>
        </w:rPr>
        <w:fldChar w:fldCharType="separate"/>
      </w:r>
      <w:r w:rsidR="00933BA9" w:rsidRPr="00EA7459">
        <w:rPr>
          <w:rFonts w:ascii="Arial" w:hAnsi="Arial" w:cs="Arial"/>
          <w:noProof/>
        </w:rPr>
        <w:t>(Sheldon</w:t>
      </w:r>
      <w:r w:rsidR="00D317D0" w:rsidRPr="00EA7459">
        <w:rPr>
          <w:rFonts w:ascii="Arial" w:hAnsi="Arial" w:cs="Arial"/>
          <w:noProof/>
        </w:rPr>
        <w:t xml:space="preserve">, </w:t>
      </w:r>
      <w:r w:rsidR="00933BA9" w:rsidRPr="00EA7459">
        <w:rPr>
          <w:rFonts w:ascii="Arial" w:hAnsi="Arial" w:cs="Arial"/>
          <w:noProof/>
        </w:rPr>
        <w:t>2011)</w:t>
      </w:r>
      <w:r w:rsidR="00933BA9" w:rsidRPr="00EA7459">
        <w:rPr>
          <w:rFonts w:ascii="Arial" w:hAnsi="Arial" w:cs="Arial"/>
        </w:rPr>
        <w:fldChar w:fldCharType="end"/>
      </w:r>
      <w:r w:rsidR="00F0598F" w:rsidRPr="00EA7459">
        <w:rPr>
          <w:rFonts w:ascii="Arial" w:hAnsi="Arial" w:cs="Arial"/>
        </w:rPr>
        <w:t>.</w:t>
      </w:r>
    </w:p>
    <w:p w14:paraId="00047902" w14:textId="6ED7E896" w:rsidR="00804667" w:rsidRPr="00EA7459" w:rsidRDefault="00690D91" w:rsidP="00A658FF">
      <w:pPr>
        <w:spacing w:line="360" w:lineRule="auto"/>
        <w:rPr>
          <w:rFonts w:ascii="Arial" w:hAnsi="Arial" w:cs="Arial"/>
          <w:sz w:val="24"/>
          <w:szCs w:val="24"/>
        </w:rPr>
      </w:pPr>
      <w:r w:rsidRPr="00EA7459">
        <w:rPr>
          <w:rFonts w:ascii="Arial" w:hAnsi="Arial" w:cs="Arial"/>
          <w:sz w:val="24"/>
          <w:szCs w:val="24"/>
        </w:rPr>
        <w:t>To conclude, the cognitive detriments of human behaviour as explained by Piaget, relates to how a person makes sense of their environment through internal processes</w:t>
      </w:r>
      <w:r w:rsidR="00804667" w:rsidRPr="00EA7459">
        <w:rPr>
          <w:rFonts w:ascii="Arial" w:hAnsi="Arial" w:cs="Arial"/>
          <w:sz w:val="24"/>
          <w:szCs w:val="24"/>
        </w:rPr>
        <w:t xml:space="preserve"> or mental structures. Children pass through a series of biological stages which are adapted as the</w:t>
      </w:r>
      <w:r w:rsidR="00FA7BFF" w:rsidRPr="00EA7459">
        <w:rPr>
          <w:rFonts w:ascii="Arial" w:hAnsi="Arial" w:cs="Arial"/>
          <w:sz w:val="24"/>
          <w:szCs w:val="24"/>
        </w:rPr>
        <w:t xml:space="preserve"> child </w:t>
      </w:r>
      <w:r w:rsidR="00531E1F" w:rsidRPr="00EA7459">
        <w:rPr>
          <w:rFonts w:ascii="Arial" w:hAnsi="Arial" w:cs="Arial"/>
          <w:sz w:val="24"/>
          <w:szCs w:val="24"/>
        </w:rPr>
        <w:t>matures</w:t>
      </w:r>
      <w:r w:rsidR="00804667" w:rsidRPr="00EA7459">
        <w:rPr>
          <w:rFonts w:ascii="Arial" w:hAnsi="Arial" w:cs="Arial"/>
          <w:sz w:val="24"/>
          <w:szCs w:val="24"/>
        </w:rPr>
        <w:t xml:space="preserve"> and face</w:t>
      </w:r>
      <w:r w:rsidR="00FA7BFF" w:rsidRPr="00EA7459">
        <w:rPr>
          <w:rFonts w:ascii="Arial" w:hAnsi="Arial" w:cs="Arial"/>
          <w:sz w:val="24"/>
          <w:szCs w:val="24"/>
        </w:rPr>
        <w:t>s</w:t>
      </w:r>
      <w:r w:rsidR="00804667" w:rsidRPr="00EA7459">
        <w:rPr>
          <w:rFonts w:ascii="Arial" w:hAnsi="Arial" w:cs="Arial"/>
          <w:sz w:val="24"/>
          <w:szCs w:val="24"/>
        </w:rPr>
        <w:t xml:space="preserve"> more complex </w:t>
      </w:r>
      <w:r w:rsidR="00531E1F" w:rsidRPr="00EA7459">
        <w:rPr>
          <w:rFonts w:ascii="Arial" w:hAnsi="Arial" w:cs="Arial"/>
          <w:sz w:val="24"/>
          <w:szCs w:val="24"/>
        </w:rPr>
        <w:t xml:space="preserve">experiences. The social detriments of human behaviour on the other, are explained through social interactions. At early stages, a child learns moral behaviour through the understanding of consequences and are </w:t>
      </w:r>
      <w:r w:rsidR="00D317D0" w:rsidRPr="00EA7459">
        <w:rPr>
          <w:rFonts w:ascii="Arial" w:hAnsi="Arial" w:cs="Arial"/>
          <w:sz w:val="24"/>
          <w:szCs w:val="24"/>
        </w:rPr>
        <w:t xml:space="preserve">believed to be </w:t>
      </w:r>
      <w:r w:rsidR="00531E1F" w:rsidRPr="00EA7459">
        <w:rPr>
          <w:rFonts w:ascii="Arial" w:hAnsi="Arial" w:cs="Arial"/>
          <w:sz w:val="24"/>
          <w:szCs w:val="24"/>
        </w:rPr>
        <w:t>governed by authoritative figures such as parents. As a child grows, their moral judgments change</w:t>
      </w:r>
      <w:r w:rsidR="00D317D0" w:rsidRPr="00EA7459">
        <w:rPr>
          <w:rFonts w:ascii="Arial" w:hAnsi="Arial" w:cs="Arial"/>
          <w:sz w:val="24"/>
          <w:szCs w:val="24"/>
        </w:rPr>
        <w:t>,</w:t>
      </w:r>
      <w:r w:rsidR="00531E1F" w:rsidRPr="00EA7459">
        <w:rPr>
          <w:rFonts w:ascii="Arial" w:hAnsi="Arial" w:cs="Arial"/>
          <w:sz w:val="24"/>
          <w:szCs w:val="24"/>
        </w:rPr>
        <w:t xml:space="preserve"> in that morality is based on intention and not consequences</w:t>
      </w:r>
      <w:r w:rsidR="00D317D0" w:rsidRPr="00EA7459">
        <w:rPr>
          <w:rFonts w:ascii="Arial" w:hAnsi="Arial" w:cs="Arial"/>
          <w:sz w:val="24"/>
          <w:szCs w:val="24"/>
        </w:rPr>
        <w:t xml:space="preserve">. </w:t>
      </w:r>
    </w:p>
    <w:p w14:paraId="7260F7AF" w14:textId="77777777" w:rsidR="00804667" w:rsidRPr="00EA7459" w:rsidRDefault="00804667" w:rsidP="00A658FF">
      <w:pPr>
        <w:spacing w:line="360" w:lineRule="auto"/>
        <w:rPr>
          <w:rFonts w:cstheme="minorHAnsi"/>
          <w:sz w:val="24"/>
          <w:szCs w:val="24"/>
        </w:rPr>
      </w:pPr>
    </w:p>
    <w:p w14:paraId="37572DB6" w14:textId="26816FE4" w:rsidR="00690D91" w:rsidRPr="00EA7459" w:rsidRDefault="00690D91" w:rsidP="00A658FF">
      <w:pPr>
        <w:spacing w:line="360" w:lineRule="auto"/>
        <w:rPr>
          <w:rFonts w:cstheme="minorHAnsi"/>
          <w:sz w:val="24"/>
          <w:szCs w:val="24"/>
        </w:rPr>
      </w:pPr>
    </w:p>
    <w:p w14:paraId="4EAE5053" w14:textId="104C5978" w:rsidR="00690D91" w:rsidRPr="00EA7459" w:rsidRDefault="00690D91" w:rsidP="00A658FF">
      <w:pPr>
        <w:spacing w:line="360" w:lineRule="auto"/>
        <w:rPr>
          <w:rFonts w:cstheme="minorHAnsi"/>
          <w:sz w:val="24"/>
          <w:szCs w:val="24"/>
        </w:rPr>
      </w:pPr>
    </w:p>
    <w:p w14:paraId="5C1117D9" w14:textId="16CCD612" w:rsidR="00690D91" w:rsidRPr="00EA7459" w:rsidRDefault="00690D91" w:rsidP="00A658FF">
      <w:pPr>
        <w:spacing w:line="360" w:lineRule="auto"/>
        <w:rPr>
          <w:rFonts w:cstheme="minorHAnsi"/>
          <w:sz w:val="24"/>
          <w:szCs w:val="24"/>
        </w:rPr>
      </w:pPr>
    </w:p>
    <w:p w14:paraId="4B3D3C24" w14:textId="0739157C" w:rsidR="00690D91" w:rsidRPr="00EA7459" w:rsidRDefault="00690D91" w:rsidP="00A658FF">
      <w:pPr>
        <w:spacing w:line="360" w:lineRule="auto"/>
        <w:rPr>
          <w:rFonts w:cstheme="minorHAnsi"/>
          <w:sz w:val="24"/>
          <w:szCs w:val="24"/>
        </w:rPr>
      </w:pPr>
    </w:p>
    <w:p w14:paraId="33F9F8CF" w14:textId="17CAF0F9" w:rsidR="00690D91" w:rsidRPr="00EA7459" w:rsidRDefault="00690D91" w:rsidP="00A658FF">
      <w:pPr>
        <w:spacing w:line="360" w:lineRule="auto"/>
        <w:rPr>
          <w:rFonts w:cstheme="minorHAnsi"/>
          <w:sz w:val="24"/>
          <w:szCs w:val="24"/>
        </w:rPr>
      </w:pPr>
    </w:p>
    <w:p w14:paraId="1AB7A3B9" w14:textId="29F55113" w:rsidR="000A7DB0" w:rsidRPr="00EA7459" w:rsidRDefault="000A7DB0" w:rsidP="00A658FF">
      <w:pPr>
        <w:spacing w:line="360" w:lineRule="auto"/>
        <w:rPr>
          <w:rFonts w:ascii="Arial" w:hAnsi="Arial" w:cs="Arial"/>
          <w:b/>
          <w:bCs/>
          <w:sz w:val="24"/>
          <w:szCs w:val="24"/>
          <w:shd w:val="clear" w:color="auto" w:fill="FFFFFF"/>
        </w:rPr>
      </w:pPr>
      <w:r w:rsidRPr="00EA7459">
        <w:rPr>
          <w:rFonts w:ascii="Arial" w:hAnsi="Arial" w:cs="Arial"/>
          <w:b/>
          <w:bCs/>
          <w:sz w:val="24"/>
          <w:szCs w:val="24"/>
          <w:shd w:val="clear" w:color="auto" w:fill="FFFFFF"/>
        </w:rPr>
        <w:lastRenderedPageBreak/>
        <w:t>References</w:t>
      </w:r>
    </w:p>
    <w:p w14:paraId="38C68A1C" w14:textId="77777777" w:rsidR="00002697" w:rsidRPr="00EA7459" w:rsidRDefault="00002697" w:rsidP="00A658FF">
      <w:pPr>
        <w:pStyle w:val="nova-e-listitem"/>
        <w:shd w:val="clear" w:color="auto" w:fill="FFFFFF"/>
        <w:spacing w:line="360" w:lineRule="auto"/>
        <w:rPr>
          <w:rFonts w:ascii="Arial" w:hAnsi="Arial" w:cs="Arial"/>
          <w:color w:val="555555"/>
        </w:rPr>
      </w:pPr>
      <w:r w:rsidRPr="00EA7459">
        <w:rPr>
          <w:rFonts w:ascii="Arial" w:hAnsi="Arial" w:cs="Arial"/>
        </w:rPr>
        <w:t xml:space="preserve">Armon, C., and Dawson, L. T. (1997). ‘Developmental Trajectories in Moral Reasoning Across the Life Span.’ </w:t>
      </w:r>
      <w:r w:rsidRPr="00EA7459">
        <w:rPr>
          <w:rFonts w:ascii="Arial" w:hAnsi="Arial" w:cs="Arial"/>
          <w:i/>
          <w:iCs/>
        </w:rPr>
        <w:t>Journal of Moral Education</w:t>
      </w:r>
      <w:r w:rsidRPr="00EA7459">
        <w:rPr>
          <w:rFonts w:ascii="Arial" w:hAnsi="Arial" w:cs="Arial"/>
        </w:rPr>
        <w:t xml:space="preserve">, 26(4). Available at: </w:t>
      </w:r>
      <w:hyperlink r:id="rId15" w:history="1">
        <w:r w:rsidRPr="00EA7459">
          <w:rPr>
            <w:rStyle w:val="Hyperlink"/>
            <w:rFonts w:ascii="Arial" w:hAnsi="Arial" w:cs="Arial"/>
          </w:rPr>
          <w:t>https://numerons.files.wordpress.com/2012/04/26-moral-reasoning-across-the-life-span.pdf</w:t>
        </w:r>
      </w:hyperlink>
      <w:r w:rsidRPr="00EA7459">
        <w:rPr>
          <w:rFonts w:ascii="Arial" w:hAnsi="Arial" w:cs="Arial"/>
        </w:rPr>
        <w:t xml:space="preserve"> (Accessed: 2 March 2021). </w:t>
      </w:r>
    </w:p>
    <w:p w14:paraId="33AD3641" w14:textId="77777777" w:rsidR="00002697" w:rsidRPr="00EA7459" w:rsidRDefault="00002697" w:rsidP="00A658FF">
      <w:pPr>
        <w:widowControl w:val="0"/>
        <w:autoSpaceDE w:val="0"/>
        <w:autoSpaceDN w:val="0"/>
        <w:adjustRightInd w:val="0"/>
        <w:spacing w:line="360" w:lineRule="auto"/>
        <w:rPr>
          <w:rFonts w:ascii="Arial" w:hAnsi="Arial" w:cs="Arial"/>
          <w:noProof/>
          <w:sz w:val="24"/>
          <w:szCs w:val="24"/>
        </w:rPr>
      </w:pPr>
      <w:r w:rsidRPr="00EA7459">
        <w:rPr>
          <w:rFonts w:ascii="Arial" w:hAnsi="Arial" w:cs="Arial"/>
          <w:noProof/>
          <w:sz w:val="24"/>
          <w:szCs w:val="24"/>
        </w:rPr>
        <w:t xml:space="preserve">Block, J. (1982) ‘Assimilation, Accommodation, and the Dynamics of Personality Development’, </w:t>
      </w:r>
      <w:r w:rsidRPr="00EA7459">
        <w:rPr>
          <w:rFonts w:ascii="Arial" w:hAnsi="Arial" w:cs="Arial"/>
          <w:i/>
          <w:iCs/>
          <w:noProof/>
          <w:sz w:val="24"/>
          <w:szCs w:val="24"/>
        </w:rPr>
        <w:t>Child Development</w:t>
      </w:r>
      <w:r w:rsidRPr="00EA7459">
        <w:rPr>
          <w:rFonts w:ascii="Arial" w:hAnsi="Arial" w:cs="Arial"/>
          <w:noProof/>
          <w:sz w:val="24"/>
          <w:szCs w:val="24"/>
        </w:rPr>
        <w:t>, 53(2), p. 281. DOI: 10.2307/1128971.</w:t>
      </w:r>
    </w:p>
    <w:p w14:paraId="17072C8A" w14:textId="77777777" w:rsidR="00002697" w:rsidRPr="00EA7459" w:rsidRDefault="00002697" w:rsidP="00A658FF">
      <w:pPr>
        <w:widowControl w:val="0"/>
        <w:autoSpaceDE w:val="0"/>
        <w:autoSpaceDN w:val="0"/>
        <w:adjustRightInd w:val="0"/>
        <w:spacing w:line="360" w:lineRule="auto"/>
        <w:rPr>
          <w:rFonts w:ascii="Arial" w:hAnsi="Arial" w:cs="Arial"/>
          <w:noProof/>
          <w:sz w:val="24"/>
          <w:szCs w:val="24"/>
        </w:rPr>
      </w:pPr>
      <w:r w:rsidRPr="00EA7459">
        <w:rPr>
          <w:rFonts w:ascii="Arial" w:hAnsi="Arial" w:cs="Arial"/>
          <w:noProof/>
          <w:sz w:val="24"/>
          <w:szCs w:val="24"/>
        </w:rPr>
        <w:t>Bormanaki, B.H., and Khshhal, Y. (2017) ‘The Role of Equilibration in Piaget’s Theory of Cognitive Development and Its Implication for Receptive Skills: A Theoretical Study.’</w:t>
      </w:r>
      <w:r w:rsidRPr="00EA7459">
        <w:rPr>
          <w:rFonts w:ascii="Arial" w:hAnsi="Arial" w:cs="Arial"/>
          <w:i/>
          <w:iCs/>
          <w:noProof/>
          <w:sz w:val="24"/>
          <w:szCs w:val="24"/>
        </w:rPr>
        <w:t xml:space="preserve"> Journal of Language Teaching and Research</w:t>
      </w:r>
      <w:r w:rsidRPr="00EA7459">
        <w:rPr>
          <w:rFonts w:ascii="Arial" w:hAnsi="Arial" w:cs="Arial"/>
          <w:noProof/>
          <w:sz w:val="24"/>
          <w:szCs w:val="24"/>
        </w:rPr>
        <w:t>,  8(5). DOI: 10.17507/jltr.0805.22.</w:t>
      </w:r>
    </w:p>
    <w:p w14:paraId="09446435" w14:textId="17A19EC4" w:rsidR="00002697" w:rsidRPr="00EA7459" w:rsidRDefault="00002697" w:rsidP="00A658FF">
      <w:pPr>
        <w:widowControl w:val="0"/>
        <w:autoSpaceDE w:val="0"/>
        <w:autoSpaceDN w:val="0"/>
        <w:adjustRightInd w:val="0"/>
        <w:spacing w:line="360" w:lineRule="auto"/>
        <w:rPr>
          <w:rFonts w:ascii="Arial" w:hAnsi="Arial" w:cs="Arial"/>
          <w:noProof/>
          <w:sz w:val="24"/>
          <w:szCs w:val="24"/>
        </w:rPr>
      </w:pPr>
      <w:r w:rsidRPr="00EA7459">
        <w:rPr>
          <w:rFonts w:ascii="Arial" w:hAnsi="Arial" w:cs="Arial"/>
          <w:noProof/>
          <w:sz w:val="24"/>
          <w:szCs w:val="24"/>
        </w:rPr>
        <w:t xml:space="preserve">Correia, R., Barroso, J. and Nieto, A. (2018) ‘Age-Related Cognitive Changes: The Importance of Modulating Factors.’ </w:t>
      </w:r>
      <w:r w:rsidRPr="00EA7459">
        <w:rPr>
          <w:rFonts w:ascii="Arial" w:hAnsi="Arial" w:cs="Arial"/>
          <w:i/>
          <w:iCs/>
          <w:noProof/>
          <w:sz w:val="24"/>
          <w:szCs w:val="24"/>
        </w:rPr>
        <w:t>Journal of Geriatric Medicine and Gerontology.</w:t>
      </w:r>
      <w:r w:rsidRPr="00EA7459">
        <w:rPr>
          <w:rFonts w:ascii="Arial" w:hAnsi="Arial" w:cs="Arial"/>
          <w:noProof/>
          <w:sz w:val="24"/>
          <w:szCs w:val="24"/>
        </w:rPr>
        <w:t xml:space="preserve"> 4(2). p. 48. DOI: 10.23937/2469-5858/1510048.</w:t>
      </w:r>
    </w:p>
    <w:p w14:paraId="1FC4EFF7" w14:textId="77777777" w:rsidR="00002697" w:rsidRPr="00EA7459" w:rsidRDefault="00002697" w:rsidP="00A658FF">
      <w:pPr>
        <w:widowControl w:val="0"/>
        <w:autoSpaceDE w:val="0"/>
        <w:autoSpaceDN w:val="0"/>
        <w:adjustRightInd w:val="0"/>
        <w:spacing w:line="360" w:lineRule="auto"/>
        <w:rPr>
          <w:rFonts w:ascii="Arial" w:hAnsi="Arial" w:cs="Arial"/>
          <w:sz w:val="24"/>
          <w:szCs w:val="24"/>
          <w:highlight w:val="green"/>
        </w:rPr>
      </w:pPr>
      <w:proofErr w:type="spellStart"/>
      <w:r w:rsidRPr="00EA7459">
        <w:rPr>
          <w:rFonts w:ascii="Arial" w:hAnsi="Arial" w:cs="Arial"/>
          <w:sz w:val="24"/>
          <w:szCs w:val="24"/>
        </w:rPr>
        <w:t>Devrite</w:t>
      </w:r>
      <w:proofErr w:type="spellEnd"/>
      <w:r w:rsidRPr="00EA7459">
        <w:rPr>
          <w:rFonts w:ascii="Arial" w:hAnsi="Arial" w:cs="Arial"/>
          <w:sz w:val="24"/>
          <w:szCs w:val="24"/>
        </w:rPr>
        <w:t xml:space="preserve">, R. &amp; Zan, B. (1994). </w:t>
      </w:r>
      <w:r w:rsidRPr="00EA7459">
        <w:rPr>
          <w:rFonts w:ascii="Arial" w:hAnsi="Arial" w:cs="Arial"/>
          <w:i/>
          <w:iCs/>
          <w:sz w:val="24"/>
          <w:szCs w:val="24"/>
        </w:rPr>
        <w:t>Moral Classrooms, Moral Children: creating a constructivist atmosphere in early education</w:t>
      </w:r>
      <w:r w:rsidRPr="00EA7459">
        <w:rPr>
          <w:rFonts w:ascii="Arial" w:hAnsi="Arial" w:cs="Arial"/>
          <w:sz w:val="24"/>
          <w:szCs w:val="24"/>
        </w:rPr>
        <w:t>. New York: Teachers College Press.</w:t>
      </w:r>
    </w:p>
    <w:p w14:paraId="61369EBC" w14:textId="77777777" w:rsidR="00002697" w:rsidRPr="00EA7459" w:rsidRDefault="00002697" w:rsidP="00A658FF">
      <w:pPr>
        <w:widowControl w:val="0"/>
        <w:autoSpaceDE w:val="0"/>
        <w:autoSpaceDN w:val="0"/>
        <w:adjustRightInd w:val="0"/>
        <w:spacing w:line="360" w:lineRule="auto"/>
        <w:rPr>
          <w:rFonts w:ascii="Arial" w:hAnsi="Arial" w:cs="Arial"/>
          <w:sz w:val="24"/>
          <w:szCs w:val="24"/>
          <w:highlight w:val="green"/>
        </w:rPr>
      </w:pPr>
      <w:r w:rsidRPr="00EA7459">
        <w:rPr>
          <w:rFonts w:ascii="Arial" w:hAnsi="Arial" w:cs="Arial"/>
          <w:sz w:val="24"/>
          <w:szCs w:val="24"/>
        </w:rPr>
        <w:t>Eggen, P. D., &amp; Kauchak, D. P. (2000). Educational psychology: Windows on classrooms (5th ed.). Upper Saddle River, NJ: Prentice Hall</w:t>
      </w:r>
    </w:p>
    <w:p w14:paraId="0774817F" w14:textId="77777777" w:rsidR="00002697" w:rsidRPr="00EA7459" w:rsidRDefault="00002697" w:rsidP="00A658FF">
      <w:pPr>
        <w:spacing w:line="360" w:lineRule="auto"/>
        <w:rPr>
          <w:rFonts w:ascii="Arial" w:hAnsi="Arial" w:cs="Arial"/>
          <w:sz w:val="24"/>
          <w:szCs w:val="24"/>
          <w:shd w:val="clear" w:color="auto" w:fill="FFFFFF"/>
        </w:rPr>
      </w:pPr>
      <w:r w:rsidRPr="00EA7459">
        <w:rPr>
          <w:rFonts w:ascii="Arial" w:hAnsi="Arial" w:cs="Arial"/>
          <w:sz w:val="24"/>
          <w:szCs w:val="24"/>
          <w:shd w:val="clear" w:color="auto" w:fill="FFFFFF"/>
        </w:rPr>
        <w:t>Eysenck, M. W., &amp; Keane, M. T. (2005). </w:t>
      </w:r>
      <w:r w:rsidRPr="00EA7459">
        <w:rPr>
          <w:rStyle w:val="Emphasis"/>
          <w:rFonts w:ascii="Arial" w:hAnsi="Arial" w:cs="Arial"/>
          <w:sz w:val="24"/>
          <w:szCs w:val="24"/>
          <w:shd w:val="clear" w:color="auto" w:fill="FFFFFF"/>
        </w:rPr>
        <w:t>Cognitive psychology: A student's handbook</w:t>
      </w:r>
      <w:r w:rsidRPr="00EA7459">
        <w:rPr>
          <w:rFonts w:ascii="Arial" w:hAnsi="Arial" w:cs="Arial"/>
          <w:sz w:val="24"/>
          <w:szCs w:val="24"/>
          <w:shd w:val="clear" w:color="auto" w:fill="FFFFFF"/>
        </w:rPr>
        <w:t xml:space="preserve">. 5th </w:t>
      </w:r>
      <w:proofErr w:type="spellStart"/>
      <w:r w:rsidRPr="00EA7459">
        <w:rPr>
          <w:rFonts w:ascii="Arial" w:hAnsi="Arial" w:cs="Arial"/>
          <w:sz w:val="24"/>
          <w:szCs w:val="24"/>
          <w:shd w:val="clear" w:color="auto" w:fill="FFFFFF"/>
        </w:rPr>
        <w:t>edn</w:t>
      </w:r>
      <w:proofErr w:type="spellEnd"/>
      <w:r w:rsidRPr="00EA7459">
        <w:rPr>
          <w:rFonts w:ascii="Arial" w:hAnsi="Arial" w:cs="Arial"/>
          <w:sz w:val="24"/>
          <w:szCs w:val="24"/>
          <w:shd w:val="clear" w:color="auto" w:fill="FFFFFF"/>
        </w:rPr>
        <w:t>. London: Psychology Press.</w:t>
      </w:r>
    </w:p>
    <w:p w14:paraId="1B988788" w14:textId="2684E0C6" w:rsidR="00002697" w:rsidRPr="00EA7459" w:rsidRDefault="00002697" w:rsidP="00A658FF">
      <w:pPr>
        <w:widowControl w:val="0"/>
        <w:autoSpaceDE w:val="0"/>
        <w:autoSpaceDN w:val="0"/>
        <w:adjustRightInd w:val="0"/>
        <w:spacing w:line="360" w:lineRule="auto"/>
        <w:rPr>
          <w:rFonts w:ascii="Arial" w:hAnsi="Arial" w:cs="Arial"/>
          <w:sz w:val="24"/>
          <w:szCs w:val="24"/>
        </w:rPr>
      </w:pPr>
      <w:r w:rsidRPr="00EA7459">
        <w:rPr>
          <w:rFonts w:ascii="Arial" w:hAnsi="Arial" w:cs="Arial"/>
          <w:sz w:val="24"/>
          <w:szCs w:val="24"/>
        </w:rPr>
        <w:t xml:space="preserve">Gelman, R., </w:t>
      </w:r>
      <w:proofErr w:type="spellStart"/>
      <w:r w:rsidRPr="00EA7459">
        <w:rPr>
          <w:rFonts w:ascii="Arial" w:hAnsi="Arial" w:cs="Arial"/>
          <w:sz w:val="24"/>
          <w:szCs w:val="24"/>
        </w:rPr>
        <w:t>Meck</w:t>
      </w:r>
      <w:proofErr w:type="spellEnd"/>
      <w:r w:rsidRPr="00EA7459">
        <w:rPr>
          <w:rFonts w:ascii="Arial" w:hAnsi="Arial" w:cs="Arial"/>
          <w:sz w:val="24"/>
          <w:szCs w:val="24"/>
        </w:rPr>
        <w:t xml:space="preserve">, E., &amp; </w:t>
      </w:r>
      <w:proofErr w:type="spellStart"/>
      <w:r w:rsidRPr="00EA7459">
        <w:rPr>
          <w:rFonts w:ascii="Arial" w:hAnsi="Arial" w:cs="Arial"/>
          <w:sz w:val="24"/>
          <w:szCs w:val="24"/>
        </w:rPr>
        <w:t>Merkin</w:t>
      </w:r>
      <w:proofErr w:type="spellEnd"/>
      <w:r w:rsidRPr="00EA7459">
        <w:rPr>
          <w:rFonts w:ascii="Arial" w:hAnsi="Arial" w:cs="Arial"/>
          <w:sz w:val="24"/>
          <w:szCs w:val="24"/>
        </w:rPr>
        <w:t xml:space="preserve">, S. (1986). Young children’s numerical competence. </w:t>
      </w:r>
      <w:r w:rsidRPr="00EA7459">
        <w:rPr>
          <w:rFonts w:ascii="Arial" w:hAnsi="Arial" w:cs="Arial"/>
          <w:i/>
          <w:iCs/>
          <w:sz w:val="24"/>
          <w:szCs w:val="24"/>
        </w:rPr>
        <w:t>Cognitive Development, 1</w:t>
      </w:r>
      <w:r w:rsidRPr="00EA7459">
        <w:rPr>
          <w:rFonts w:ascii="Arial" w:hAnsi="Arial" w:cs="Arial"/>
          <w:sz w:val="24"/>
          <w:szCs w:val="24"/>
        </w:rPr>
        <w:t>, 1–29.</w:t>
      </w:r>
    </w:p>
    <w:p w14:paraId="19A14DB1" w14:textId="06DE1446" w:rsidR="00D317D0" w:rsidRPr="00EA7459" w:rsidRDefault="00D317D0" w:rsidP="00A658FF">
      <w:pPr>
        <w:widowControl w:val="0"/>
        <w:autoSpaceDE w:val="0"/>
        <w:autoSpaceDN w:val="0"/>
        <w:adjustRightInd w:val="0"/>
        <w:spacing w:line="360" w:lineRule="auto"/>
        <w:rPr>
          <w:rFonts w:ascii="Arial" w:hAnsi="Arial" w:cs="Arial"/>
          <w:noProof/>
          <w:sz w:val="24"/>
          <w:szCs w:val="24"/>
        </w:rPr>
      </w:pPr>
      <w:r w:rsidRPr="00EA7459">
        <w:rPr>
          <w:rFonts w:ascii="Arial" w:hAnsi="Arial" w:cs="Arial"/>
          <w:noProof/>
          <w:sz w:val="24"/>
          <w:szCs w:val="24"/>
        </w:rPr>
        <w:t xml:space="preserve">Manjarres-Posada, N. I., Onofre-Rodríguez, D. J. and Benavides-Torres, R. A. (2020) ‘Social Cognitive Theory and Health Care: Analysis and Evaluation.’ </w:t>
      </w:r>
      <w:r w:rsidRPr="00EA7459">
        <w:rPr>
          <w:rFonts w:ascii="Arial" w:hAnsi="Arial" w:cs="Arial"/>
          <w:i/>
          <w:iCs/>
          <w:noProof/>
          <w:sz w:val="24"/>
          <w:szCs w:val="24"/>
        </w:rPr>
        <w:t>International Journal of Social Science Studies</w:t>
      </w:r>
      <w:r w:rsidRPr="00EA7459">
        <w:rPr>
          <w:rFonts w:ascii="Arial" w:hAnsi="Arial" w:cs="Arial"/>
          <w:noProof/>
          <w:sz w:val="24"/>
          <w:szCs w:val="24"/>
        </w:rPr>
        <w:t xml:space="preserve">, 8(4), p. 132. DOI: 10.11114/ijsss.v8i4.4870 </w:t>
      </w:r>
    </w:p>
    <w:p w14:paraId="45942E31" w14:textId="77364DD8" w:rsidR="00002697" w:rsidRPr="00EA7459" w:rsidRDefault="00002697" w:rsidP="00A658FF">
      <w:pPr>
        <w:widowControl w:val="0"/>
        <w:autoSpaceDE w:val="0"/>
        <w:autoSpaceDN w:val="0"/>
        <w:adjustRightInd w:val="0"/>
        <w:spacing w:line="360" w:lineRule="auto"/>
        <w:rPr>
          <w:rFonts w:ascii="Arial" w:hAnsi="Arial" w:cs="Arial"/>
          <w:sz w:val="24"/>
          <w:szCs w:val="24"/>
        </w:rPr>
      </w:pPr>
      <w:proofErr w:type="spellStart"/>
      <w:r w:rsidRPr="00EA7459">
        <w:rPr>
          <w:rFonts w:ascii="Arial" w:hAnsi="Arial" w:cs="Arial"/>
          <w:sz w:val="24"/>
          <w:szCs w:val="24"/>
        </w:rPr>
        <w:t>Ojese</w:t>
      </w:r>
      <w:proofErr w:type="spellEnd"/>
      <w:r w:rsidRPr="00EA7459">
        <w:rPr>
          <w:rFonts w:ascii="Arial" w:hAnsi="Arial" w:cs="Arial"/>
          <w:sz w:val="24"/>
          <w:szCs w:val="24"/>
        </w:rPr>
        <w:t xml:space="preserve">, B. (2008). ‘Applying Piaget’s Theory of Cognitive Development to Mathematics Instruction.’ </w:t>
      </w:r>
      <w:r w:rsidRPr="00EA7459">
        <w:rPr>
          <w:rFonts w:ascii="Arial" w:hAnsi="Arial" w:cs="Arial"/>
          <w:i/>
          <w:iCs/>
          <w:sz w:val="24"/>
          <w:szCs w:val="24"/>
        </w:rPr>
        <w:t>The Mathematics Educator</w:t>
      </w:r>
      <w:r w:rsidRPr="00EA7459">
        <w:rPr>
          <w:rFonts w:ascii="Arial" w:hAnsi="Arial" w:cs="Arial"/>
          <w:sz w:val="24"/>
          <w:szCs w:val="24"/>
        </w:rPr>
        <w:t xml:space="preserve">, 18(1), p. 26–30. Available at: </w:t>
      </w:r>
      <w:hyperlink r:id="rId16" w:history="1">
        <w:r w:rsidRPr="00EA7459">
          <w:rPr>
            <w:rStyle w:val="Hyperlink"/>
            <w:rFonts w:ascii="Arial" w:hAnsi="Arial" w:cs="Arial"/>
            <w:sz w:val="24"/>
            <w:szCs w:val="24"/>
          </w:rPr>
          <w:t>https://files.eric.ed.gov/fulltext/EJ841568.pdf</w:t>
        </w:r>
      </w:hyperlink>
      <w:r w:rsidRPr="00EA7459">
        <w:rPr>
          <w:rFonts w:ascii="Arial" w:hAnsi="Arial" w:cs="Arial"/>
          <w:sz w:val="24"/>
          <w:szCs w:val="24"/>
        </w:rPr>
        <w:t xml:space="preserve"> (Accessed: 21 February 2021). </w:t>
      </w:r>
    </w:p>
    <w:p w14:paraId="6FAC8857" w14:textId="19111840" w:rsidR="00C631CB" w:rsidRPr="00EA7459" w:rsidRDefault="00C631CB" w:rsidP="00A658FF">
      <w:pPr>
        <w:widowControl w:val="0"/>
        <w:autoSpaceDE w:val="0"/>
        <w:autoSpaceDN w:val="0"/>
        <w:adjustRightInd w:val="0"/>
        <w:spacing w:line="360" w:lineRule="auto"/>
        <w:rPr>
          <w:rFonts w:ascii="Arial" w:hAnsi="Arial" w:cs="Arial"/>
          <w:sz w:val="24"/>
          <w:szCs w:val="24"/>
        </w:rPr>
      </w:pPr>
      <w:r w:rsidRPr="00EA7459">
        <w:rPr>
          <w:rFonts w:ascii="Arial" w:hAnsi="Arial" w:cs="Arial"/>
          <w:sz w:val="24"/>
          <w:szCs w:val="24"/>
        </w:rPr>
        <w:lastRenderedPageBreak/>
        <w:t xml:space="preserve">Phillips, C. D. (2014). </w:t>
      </w:r>
      <w:r w:rsidRPr="00EA7459">
        <w:rPr>
          <w:rFonts w:ascii="Arial" w:hAnsi="Arial" w:cs="Arial"/>
          <w:i/>
          <w:iCs/>
          <w:sz w:val="24"/>
          <w:szCs w:val="24"/>
        </w:rPr>
        <w:t>Encyclopaedia of Educational Theory and Philosophy</w:t>
      </w:r>
      <w:r w:rsidRPr="00EA7459">
        <w:rPr>
          <w:rFonts w:ascii="Arial" w:hAnsi="Arial" w:cs="Arial"/>
          <w:sz w:val="24"/>
          <w:szCs w:val="24"/>
        </w:rPr>
        <w:t>. London: SAGE Publications Ltd.</w:t>
      </w:r>
    </w:p>
    <w:p w14:paraId="3FDBFD68" w14:textId="14F369D8" w:rsidR="00690D91" w:rsidRPr="00EA7459" w:rsidRDefault="00690D91" w:rsidP="00A658FF">
      <w:pPr>
        <w:widowControl w:val="0"/>
        <w:autoSpaceDE w:val="0"/>
        <w:autoSpaceDN w:val="0"/>
        <w:adjustRightInd w:val="0"/>
        <w:spacing w:line="360" w:lineRule="auto"/>
        <w:rPr>
          <w:rFonts w:ascii="Arial" w:hAnsi="Arial" w:cs="Arial"/>
          <w:sz w:val="24"/>
          <w:szCs w:val="24"/>
        </w:rPr>
      </w:pPr>
      <w:r w:rsidRPr="00EA7459">
        <w:rPr>
          <w:rFonts w:ascii="Arial" w:hAnsi="Arial" w:cs="Arial"/>
          <w:sz w:val="24"/>
          <w:szCs w:val="24"/>
        </w:rPr>
        <w:t>Piaget, J. (1932). </w:t>
      </w:r>
      <w:r w:rsidRPr="00EA7459">
        <w:rPr>
          <w:rFonts w:ascii="Arial" w:hAnsi="Arial" w:cs="Arial"/>
          <w:i/>
          <w:iCs/>
          <w:sz w:val="24"/>
          <w:szCs w:val="24"/>
        </w:rPr>
        <w:t>The moral judgment of the child.</w:t>
      </w:r>
      <w:r w:rsidRPr="00EA7459">
        <w:rPr>
          <w:rFonts w:ascii="Arial" w:hAnsi="Arial" w:cs="Arial"/>
          <w:sz w:val="24"/>
          <w:szCs w:val="24"/>
        </w:rPr>
        <w:t> Harcourt: Brace</w:t>
      </w:r>
    </w:p>
    <w:p w14:paraId="60BCFA12" w14:textId="2EE8292C" w:rsidR="00002697" w:rsidRPr="00EA7459" w:rsidRDefault="00002697" w:rsidP="00A658FF">
      <w:pPr>
        <w:pStyle w:val="nova-e-listitem"/>
        <w:shd w:val="clear" w:color="auto" w:fill="FFFFFF"/>
        <w:spacing w:line="360" w:lineRule="auto"/>
        <w:rPr>
          <w:rFonts w:ascii="Arial" w:hAnsi="Arial" w:cs="Arial"/>
        </w:rPr>
      </w:pPr>
      <w:r w:rsidRPr="00EA7459">
        <w:rPr>
          <w:rFonts w:ascii="Arial" w:hAnsi="Arial" w:cs="Arial"/>
        </w:rPr>
        <w:t xml:space="preserve">Quinn, A.K., Macrae, N.C., and </w:t>
      </w:r>
      <w:proofErr w:type="spellStart"/>
      <w:r w:rsidRPr="00EA7459">
        <w:rPr>
          <w:rFonts w:ascii="Arial" w:hAnsi="Arial" w:cs="Arial"/>
        </w:rPr>
        <w:t>Bodenhausen</w:t>
      </w:r>
      <w:proofErr w:type="spellEnd"/>
      <w:r w:rsidRPr="00EA7459">
        <w:rPr>
          <w:rFonts w:ascii="Arial" w:hAnsi="Arial" w:cs="Arial"/>
        </w:rPr>
        <w:t xml:space="preserve">, V. G. (2006). ‘Social Cognition.’ In </w:t>
      </w:r>
      <w:proofErr w:type="spellStart"/>
      <w:r w:rsidRPr="00EA7459">
        <w:rPr>
          <w:rFonts w:ascii="Arial" w:hAnsi="Arial" w:cs="Arial"/>
          <w:i/>
          <w:iCs/>
        </w:rPr>
        <w:t>Encyclopedia</w:t>
      </w:r>
      <w:proofErr w:type="spellEnd"/>
      <w:r w:rsidRPr="00EA7459">
        <w:rPr>
          <w:rFonts w:ascii="Arial" w:hAnsi="Arial" w:cs="Arial"/>
          <w:i/>
          <w:iCs/>
        </w:rPr>
        <w:t xml:space="preserve"> of Cognitive Science</w:t>
      </w:r>
      <w:r w:rsidRPr="00EA7459">
        <w:rPr>
          <w:rFonts w:ascii="Arial" w:hAnsi="Arial" w:cs="Arial"/>
        </w:rPr>
        <w:t xml:space="preserve"> (Eds.). London: Palgrave Macmillan. </w:t>
      </w:r>
    </w:p>
    <w:p w14:paraId="5B824C68" w14:textId="6D0BFC8B" w:rsidR="00D317D0" w:rsidRPr="00EA7459" w:rsidRDefault="00D317D0" w:rsidP="00A658FF">
      <w:pPr>
        <w:widowControl w:val="0"/>
        <w:autoSpaceDE w:val="0"/>
        <w:autoSpaceDN w:val="0"/>
        <w:adjustRightInd w:val="0"/>
        <w:spacing w:line="360" w:lineRule="auto"/>
        <w:rPr>
          <w:rFonts w:ascii="Arial" w:hAnsi="Arial" w:cs="Arial"/>
          <w:noProof/>
          <w:sz w:val="24"/>
          <w:szCs w:val="24"/>
        </w:rPr>
      </w:pPr>
      <w:r w:rsidRPr="00EA7459">
        <w:rPr>
          <w:rFonts w:ascii="Arial" w:hAnsi="Arial" w:cs="Arial"/>
          <w:sz w:val="24"/>
          <w:szCs w:val="24"/>
          <w:highlight w:val="green"/>
        </w:rPr>
        <w:fldChar w:fldCharType="begin" w:fldLock="1"/>
      </w:r>
      <w:r w:rsidRPr="00EA7459">
        <w:rPr>
          <w:rFonts w:ascii="Arial" w:hAnsi="Arial" w:cs="Arial"/>
          <w:sz w:val="24"/>
          <w:szCs w:val="24"/>
          <w:highlight w:val="green"/>
        </w:rPr>
        <w:instrText xml:space="preserve">ADDIN Mendeley Bibliography CSL_BIBLIOGRAPHY </w:instrText>
      </w:r>
      <w:r w:rsidRPr="00EA7459">
        <w:rPr>
          <w:rFonts w:ascii="Arial" w:hAnsi="Arial" w:cs="Arial"/>
          <w:sz w:val="24"/>
          <w:szCs w:val="24"/>
          <w:highlight w:val="green"/>
        </w:rPr>
        <w:fldChar w:fldCharType="separate"/>
      </w:r>
      <w:r w:rsidRPr="00EA7459">
        <w:rPr>
          <w:rFonts w:ascii="Arial" w:hAnsi="Arial" w:cs="Arial"/>
          <w:noProof/>
          <w:sz w:val="24"/>
          <w:szCs w:val="24"/>
        </w:rPr>
        <w:t xml:space="preserve">Sheldon, B. (2011) </w:t>
      </w:r>
      <w:r w:rsidRPr="00EA7459">
        <w:rPr>
          <w:rFonts w:ascii="Arial" w:hAnsi="Arial" w:cs="Arial"/>
          <w:i/>
          <w:iCs/>
          <w:noProof/>
          <w:sz w:val="24"/>
          <w:szCs w:val="24"/>
        </w:rPr>
        <w:t>Cognitive-Behavioural Therapy. 2</w:t>
      </w:r>
      <w:r w:rsidRPr="00EA7459">
        <w:rPr>
          <w:rFonts w:ascii="Arial" w:hAnsi="Arial" w:cs="Arial"/>
          <w:i/>
          <w:iCs/>
          <w:noProof/>
          <w:sz w:val="24"/>
          <w:szCs w:val="24"/>
          <w:vertAlign w:val="superscript"/>
        </w:rPr>
        <w:t>nd</w:t>
      </w:r>
      <w:r w:rsidRPr="00EA7459">
        <w:rPr>
          <w:rFonts w:ascii="Arial" w:hAnsi="Arial" w:cs="Arial"/>
          <w:noProof/>
          <w:sz w:val="24"/>
          <w:szCs w:val="24"/>
        </w:rPr>
        <w:t xml:space="preserve"> edn. London: Routledge.</w:t>
      </w:r>
    </w:p>
    <w:p w14:paraId="4CD2706F" w14:textId="0EC33584" w:rsidR="00002697" w:rsidRPr="00EA7459" w:rsidRDefault="00D317D0" w:rsidP="00A658FF">
      <w:pPr>
        <w:spacing w:line="360" w:lineRule="auto"/>
        <w:rPr>
          <w:rFonts w:ascii="Arial" w:hAnsi="Arial" w:cs="Arial"/>
          <w:sz w:val="24"/>
          <w:szCs w:val="24"/>
        </w:rPr>
      </w:pPr>
      <w:r w:rsidRPr="00EA7459">
        <w:rPr>
          <w:rFonts w:ascii="Arial" w:hAnsi="Arial" w:cs="Arial"/>
          <w:sz w:val="24"/>
          <w:szCs w:val="24"/>
          <w:highlight w:val="green"/>
        </w:rPr>
        <w:fldChar w:fldCharType="end"/>
      </w:r>
      <w:proofErr w:type="spellStart"/>
      <w:r w:rsidR="00002697" w:rsidRPr="00EA7459">
        <w:rPr>
          <w:rFonts w:ascii="Arial" w:hAnsi="Arial" w:cs="Arial"/>
          <w:sz w:val="24"/>
          <w:szCs w:val="24"/>
        </w:rPr>
        <w:t>Simatawa</w:t>
      </w:r>
      <w:proofErr w:type="spellEnd"/>
      <w:r w:rsidR="00002697" w:rsidRPr="00EA7459">
        <w:rPr>
          <w:rFonts w:ascii="Arial" w:hAnsi="Arial" w:cs="Arial"/>
          <w:sz w:val="24"/>
          <w:szCs w:val="24"/>
        </w:rPr>
        <w:t xml:space="preserve">, W, M. E. (2010). ‘Length Research Paper Piaget’s theory of intellectual development and its implication for instructional management at presecondary school level.’ </w:t>
      </w:r>
      <w:r w:rsidR="00002697" w:rsidRPr="00EA7459">
        <w:rPr>
          <w:rFonts w:ascii="Arial" w:hAnsi="Arial" w:cs="Arial"/>
          <w:i/>
          <w:iCs/>
          <w:sz w:val="24"/>
          <w:szCs w:val="24"/>
        </w:rPr>
        <w:t xml:space="preserve">Educational Research and Reviews, </w:t>
      </w:r>
      <w:r w:rsidR="00002697" w:rsidRPr="00EA7459">
        <w:rPr>
          <w:rFonts w:ascii="Arial" w:hAnsi="Arial" w:cs="Arial"/>
          <w:sz w:val="24"/>
          <w:szCs w:val="24"/>
        </w:rPr>
        <w:t xml:space="preserve">5(7), pp. 366-371. Available at: </w:t>
      </w:r>
      <w:hyperlink r:id="rId17" w:history="1">
        <w:r w:rsidR="00002697" w:rsidRPr="00EA7459">
          <w:rPr>
            <w:rStyle w:val="Hyperlink"/>
            <w:rFonts w:ascii="Arial" w:hAnsi="Arial" w:cs="Arial"/>
            <w:sz w:val="24"/>
            <w:szCs w:val="24"/>
          </w:rPr>
          <w:t>https://academicjournals.org/article/article1379610138_Simatwa.pdf</w:t>
        </w:r>
      </w:hyperlink>
      <w:r w:rsidR="00002697" w:rsidRPr="00EA7459">
        <w:rPr>
          <w:rFonts w:ascii="Arial" w:hAnsi="Arial" w:cs="Arial"/>
          <w:sz w:val="24"/>
          <w:szCs w:val="24"/>
        </w:rPr>
        <w:t xml:space="preserve"> (Accessed: 22 February 2021)</w:t>
      </w:r>
    </w:p>
    <w:p w14:paraId="6DD62B51" w14:textId="52AF6CA7" w:rsidR="00044788" w:rsidRPr="00D317D0" w:rsidRDefault="00044788" w:rsidP="00C05E80">
      <w:pPr>
        <w:spacing w:line="360" w:lineRule="auto"/>
        <w:rPr>
          <w:rFonts w:ascii="Arial" w:hAnsi="Arial" w:cs="Arial"/>
          <w:sz w:val="24"/>
          <w:szCs w:val="24"/>
        </w:rPr>
      </w:pPr>
    </w:p>
    <w:sectPr w:rsidR="00044788" w:rsidRPr="00D317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480289" w14:textId="77777777" w:rsidR="00D91830" w:rsidRDefault="00D91830" w:rsidP="003D4740">
      <w:pPr>
        <w:spacing w:after="0" w:line="240" w:lineRule="auto"/>
      </w:pPr>
      <w:r>
        <w:separator/>
      </w:r>
    </w:p>
  </w:endnote>
  <w:endnote w:type="continuationSeparator" w:id="0">
    <w:p w14:paraId="3DE2418C" w14:textId="77777777" w:rsidR="00D91830" w:rsidRDefault="00D91830" w:rsidP="003D4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EDB7D0" w14:textId="77777777" w:rsidR="00D91830" w:rsidRDefault="00D91830" w:rsidP="003D4740">
      <w:pPr>
        <w:spacing w:after="0" w:line="240" w:lineRule="auto"/>
      </w:pPr>
      <w:r>
        <w:separator/>
      </w:r>
    </w:p>
  </w:footnote>
  <w:footnote w:type="continuationSeparator" w:id="0">
    <w:p w14:paraId="74A67776" w14:textId="77777777" w:rsidR="00D91830" w:rsidRDefault="00D91830" w:rsidP="003D47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DC641A"/>
    <w:multiLevelType w:val="multilevel"/>
    <w:tmpl w:val="28B4F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B6530F"/>
    <w:multiLevelType w:val="hybridMultilevel"/>
    <w:tmpl w:val="118A2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1B7"/>
    <w:rsid w:val="00002697"/>
    <w:rsid w:val="00005FB7"/>
    <w:rsid w:val="000064D7"/>
    <w:rsid w:val="00011947"/>
    <w:rsid w:val="00013846"/>
    <w:rsid w:val="00015033"/>
    <w:rsid w:val="000238EC"/>
    <w:rsid w:val="000249AB"/>
    <w:rsid w:val="000271EF"/>
    <w:rsid w:val="00027EF9"/>
    <w:rsid w:val="00033945"/>
    <w:rsid w:val="000343F3"/>
    <w:rsid w:val="00034D77"/>
    <w:rsid w:val="0004176C"/>
    <w:rsid w:val="00041C32"/>
    <w:rsid w:val="00044788"/>
    <w:rsid w:val="0004521D"/>
    <w:rsid w:val="0004596D"/>
    <w:rsid w:val="00047022"/>
    <w:rsid w:val="0005325E"/>
    <w:rsid w:val="00082BEF"/>
    <w:rsid w:val="00083BC2"/>
    <w:rsid w:val="0008622E"/>
    <w:rsid w:val="000905FC"/>
    <w:rsid w:val="00091987"/>
    <w:rsid w:val="0009461E"/>
    <w:rsid w:val="00094D2C"/>
    <w:rsid w:val="0009648E"/>
    <w:rsid w:val="00097511"/>
    <w:rsid w:val="000A018B"/>
    <w:rsid w:val="000A0709"/>
    <w:rsid w:val="000A0865"/>
    <w:rsid w:val="000A19CD"/>
    <w:rsid w:val="000A6216"/>
    <w:rsid w:val="000A739D"/>
    <w:rsid w:val="000A7BDD"/>
    <w:rsid w:val="000A7DB0"/>
    <w:rsid w:val="000A7E42"/>
    <w:rsid w:val="000B2D67"/>
    <w:rsid w:val="000B2DC2"/>
    <w:rsid w:val="000B684F"/>
    <w:rsid w:val="000C0050"/>
    <w:rsid w:val="000C1AC3"/>
    <w:rsid w:val="000C1E41"/>
    <w:rsid w:val="000C2A60"/>
    <w:rsid w:val="000C6C76"/>
    <w:rsid w:val="000D4A00"/>
    <w:rsid w:val="000D7B5D"/>
    <w:rsid w:val="000E130B"/>
    <w:rsid w:val="000E1A52"/>
    <w:rsid w:val="000E5C3E"/>
    <w:rsid w:val="00100C8B"/>
    <w:rsid w:val="00102873"/>
    <w:rsid w:val="0010319D"/>
    <w:rsid w:val="001042F3"/>
    <w:rsid w:val="0010502D"/>
    <w:rsid w:val="001059D1"/>
    <w:rsid w:val="001074C5"/>
    <w:rsid w:val="00107ACD"/>
    <w:rsid w:val="001104F9"/>
    <w:rsid w:val="0011076D"/>
    <w:rsid w:val="00113246"/>
    <w:rsid w:val="00115011"/>
    <w:rsid w:val="0011534A"/>
    <w:rsid w:val="0011535D"/>
    <w:rsid w:val="001267AF"/>
    <w:rsid w:val="001268F6"/>
    <w:rsid w:val="00133A3E"/>
    <w:rsid w:val="0013621B"/>
    <w:rsid w:val="00137D89"/>
    <w:rsid w:val="00142199"/>
    <w:rsid w:val="001442D3"/>
    <w:rsid w:val="001660E9"/>
    <w:rsid w:val="00166E19"/>
    <w:rsid w:val="0017027A"/>
    <w:rsid w:val="00173007"/>
    <w:rsid w:val="001828D8"/>
    <w:rsid w:val="0018298C"/>
    <w:rsid w:val="00184542"/>
    <w:rsid w:val="00186B20"/>
    <w:rsid w:val="00187844"/>
    <w:rsid w:val="00192522"/>
    <w:rsid w:val="00194F6D"/>
    <w:rsid w:val="00196124"/>
    <w:rsid w:val="00197ACD"/>
    <w:rsid w:val="001A260F"/>
    <w:rsid w:val="001A7508"/>
    <w:rsid w:val="001B0753"/>
    <w:rsid w:val="001B32EC"/>
    <w:rsid w:val="001C1130"/>
    <w:rsid w:val="001C5AAF"/>
    <w:rsid w:val="001D7E59"/>
    <w:rsid w:val="001F0654"/>
    <w:rsid w:val="001F1393"/>
    <w:rsid w:val="002022CA"/>
    <w:rsid w:val="00203BD7"/>
    <w:rsid w:val="00206671"/>
    <w:rsid w:val="0021462F"/>
    <w:rsid w:val="00217315"/>
    <w:rsid w:val="0021798C"/>
    <w:rsid w:val="0022536B"/>
    <w:rsid w:val="00237A50"/>
    <w:rsid w:val="002409ED"/>
    <w:rsid w:val="002449CD"/>
    <w:rsid w:val="0024735B"/>
    <w:rsid w:val="002620D2"/>
    <w:rsid w:val="00262C83"/>
    <w:rsid w:val="002630C3"/>
    <w:rsid w:val="00270A2F"/>
    <w:rsid w:val="00275550"/>
    <w:rsid w:val="00284EAC"/>
    <w:rsid w:val="0028569D"/>
    <w:rsid w:val="00285C34"/>
    <w:rsid w:val="0028622F"/>
    <w:rsid w:val="00290802"/>
    <w:rsid w:val="0029215C"/>
    <w:rsid w:val="00292400"/>
    <w:rsid w:val="002A575D"/>
    <w:rsid w:val="002A6465"/>
    <w:rsid w:val="002B094A"/>
    <w:rsid w:val="002B10E6"/>
    <w:rsid w:val="002B1517"/>
    <w:rsid w:val="002B15CD"/>
    <w:rsid w:val="002B78E0"/>
    <w:rsid w:val="002C1336"/>
    <w:rsid w:val="002D245E"/>
    <w:rsid w:val="002E196E"/>
    <w:rsid w:val="002E4574"/>
    <w:rsid w:val="002F3DBB"/>
    <w:rsid w:val="00300DD3"/>
    <w:rsid w:val="00303C39"/>
    <w:rsid w:val="003064F3"/>
    <w:rsid w:val="0031367C"/>
    <w:rsid w:val="00317C06"/>
    <w:rsid w:val="00321DD4"/>
    <w:rsid w:val="00323AF1"/>
    <w:rsid w:val="0032557E"/>
    <w:rsid w:val="00326BB0"/>
    <w:rsid w:val="00326CD9"/>
    <w:rsid w:val="0033066A"/>
    <w:rsid w:val="00330EC4"/>
    <w:rsid w:val="00334230"/>
    <w:rsid w:val="003349BC"/>
    <w:rsid w:val="003359A1"/>
    <w:rsid w:val="00342E30"/>
    <w:rsid w:val="00344090"/>
    <w:rsid w:val="00350F81"/>
    <w:rsid w:val="00351118"/>
    <w:rsid w:val="00351190"/>
    <w:rsid w:val="00351C2E"/>
    <w:rsid w:val="003526A0"/>
    <w:rsid w:val="0035796B"/>
    <w:rsid w:val="003661F4"/>
    <w:rsid w:val="00377E0B"/>
    <w:rsid w:val="00387929"/>
    <w:rsid w:val="00390E02"/>
    <w:rsid w:val="00394864"/>
    <w:rsid w:val="003B0B2A"/>
    <w:rsid w:val="003B231D"/>
    <w:rsid w:val="003B5AFD"/>
    <w:rsid w:val="003B75DF"/>
    <w:rsid w:val="003B7B5E"/>
    <w:rsid w:val="003C52EC"/>
    <w:rsid w:val="003C57A1"/>
    <w:rsid w:val="003D39F8"/>
    <w:rsid w:val="003D4740"/>
    <w:rsid w:val="003E5BF5"/>
    <w:rsid w:val="003F1647"/>
    <w:rsid w:val="003F22BF"/>
    <w:rsid w:val="003F2C46"/>
    <w:rsid w:val="003F46BA"/>
    <w:rsid w:val="003F508E"/>
    <w:rsid w:val="004043AC"/>
    <w:rsid w:val="00407D12"/>
    <w:rsid w:val="0041114F"/>
    <w:rsid w:val="00414FC7"/>
    <w:rsid w:val="00423693"/>
    <w:rsid w:val="004316B9"/>
    <w:rsid w:val="004327DC"/>
    <w:rsid w:val="00435020"/>
    <w:rsid w:val="004361FE"/>
    <w:rsid w:val="0044659B"/>
    <w:rsid w:val="00450D1C"/>
    <w:rsid w:val="00451963"/>
    <w:rsid w:val="0045627A"/>
    <w:rsid w:val="004651F6"/>
    <w:rsid w:val="00471ADD"/>
    <w:rsid w:val="00476856"/>
    <w:rsid w:val="00477542"/>
    <w:rsid w:val="00487529"/>
    <w:rsid w:val="00492527"/>
    <w:rsid w:val="004B1C5C"/>
    <w:rsid w:val="004B477C"/>
    <w:rsid w:val="004C2F19"/>
    <w:rsid w:val="004D575A"/>
    <w:rsid w:val="004E2C71"/>
    <w:rsid w:val="004E3C29"/>
    <w:rsid w:val="004F162C"/>
    <w:rsid w:val="004F7547"/>
    <w:rsid w:val="00503EBF"/>
    <w:rsid w:val="00505030"/>
    <w:rsid w:val="00515C88"/>
    <w:rsid w:val="00522985"/>
    <w:rsid w:val="005269E8"/>
    <w:rsid w:val="00531E1F"/>
    <w:rsid w:val="00532DE1"/>
    <w:rsid w:val="00546AA1"/>
    <w:rsid w:val="005519C1"/>
    <w:rsid w:val="00552292"/>
    <w:rsid w:val="005523CE"/>
    <w:rsid w:val="005615BB"/>
    <w:rsid w:val="0057020D"/>
    <w:rsid w:val="005711A5"/>
    <w:rsid w:val="005765FF"/>
    <w:rsid w:val="00580608"/>
    <w:rsid w:val="005813BA"/>
    <w:rsid w:val="00581E1A"/>
    <w:rsid w:val="00582158"/>
    <w:rsid w:val="005835AC"/>
    <w:rsid w:val="00586AE2"/>
    <w:rsid w:val="00596D43"/>
    <w:rsid w:val="005A14F2"/>
    <w:rsid w:val="005A31AF"/>
    <w:rsid w:val="005A5464"/>
    <w:rsid w:val="005B317E"/>
    <w:rsid w:val="005B5D8B"/>
    <w:rsid w:val="005C50A2"/>
    <w:rsid w:val="005C56C3"/>
    <w:rsid w:val="005C59E7"/>
    <w:rsid w:val="005C747C"/>
    <w:rsid w:val="005D0EA0"/>
    <w:rsid w:val="005F4A33"/>
    <w:rsid w:val="005F746A"/>
    <w:rsid w:val="005F766B"/>
    <w:rsid w:val="005F7F12"/>
    <w:rsid w:val="00606F6E"/>
    <w:rsid w:val="00610172"/>
    <w:rsid w:val="006114B5"/>
    <w:rsid w:val="0062123A"/>
    <w:rsid w:val="00622411"/>
    <w:rsid w:val="006300CD"/>
    <w:rsid w:val="00633ECD"/>
    <w:rsid w:val="00634969"/>
    <w:rsid w:val="0063572C"/>
    <w:rsid w:val="006576F0"/>
    <w:rsid w:val="00657885"/>
    <w:rsid w:val="00660558"/>
    <w:rsid w:val="00664F08"/>
    <w:rsid w:val="0066641A"/>
    <w:rsid w:val="006667B2"/>
    <w:rsid w:val="00671643"/>
    <w:rsid w:val="00672726"/>
    <w:rsid w:val="00675BAE"/>
    <w:rsid w:val="00677219"/>
    <w:rsid w:val="00690D91"/>
    <w:rsid w:val="00697140"/>
    <w:rsid w:val="006A1D91"/>
    <w:rsid w:val="006A20E4"/>
    <w:rsid w:val="006A566A"/>
    <w:rsid w:val="006B04BD"/>
    <w:rsid w:val="006B0D59"/>
    <w:rsid w:val="006B2B3A"/>
    <w:rsid w:val="006C0E20"/>
    <w:rsid w:val="006C46B1"/>
    <w:rsid w:val="006C7490"/>
    <w:rsid w:val="006D0409"/>
    <w:rsid w:val="006D0BCD"/>
    <w:rsid w:val="006D1127"/>
    <w:rsid w:val="006D2746"/>
    <w:rsid w:val="006D6227"/>
    <w:rsid w:val="006E0E4F"/>
    <w:rsid w:val="006E4BD7"/>
    <w:rsid w:val="006F2281"/>
    <w:rsid w:val="006F670D"/>
    <w:rsid w:val="0070076B"/>
    <w:rsid w:val="0070298C"/>
    <w:rsid w:val="0071521D"/>
    <w:rsid w:val="00717089"/>
    <w:rsid w:val="00732374"/>
    <w:rsid w:val="007338E6"/>
    <w:rsid w:val="00737BBC"/>
    <w:rsid w:val="007415D3"/>
    <w:rsid w:val="007437FA"/>
    <w:rsid w:val="007578CE"/>
    <w:rsid w:val="00765551"/>
    <w:rsid w:val="00770AC3"/>
    <w:rsid w:val="00771A92"/>
    <w:rsid w:val="00772B70"/>
    <w:rsid w:val="00774437"/>
    <w:rsid w:val="00781AC5"/>
    <w:rsid w:val="00782218"/>
    <w:rsid w:val="0078478A"/>
    <w:rsid w:val="00785438"/>
    <w:rsid w:val="00790E66"/>
    <w:rsid w:val="00790F30"/>
    <w:rsid w:val="00792968"/>
    <w:rsid w:val="007975A6"/>
    <w:rsid w:val="007A2E07"/>
    <w:rsid w:val="007A5274"/>
    <w:rsid w:val="007A7A67"/>
    <w:rsid w:val="007A7FC1"/>
    <w:rsid w:val="007B070F"/>
    <w:rsid w:val="007C07F5"/>
    <w:rsid w:val="007C1191"/>
    <w:rsid w:val="007C2FF4"/>
    <w:rsid w:val="007E0CDA"/>
    <w:rsid w:val="007E1CA8"/>
    <w:rsid w:val="007E6A37"/>
    <w:rsid w:val="007F0383"/>
    <w:rsid w:val="007F19EA"/>
    <w:rsid w:val="007F2488"/>
    <w:rsid w:val="00801511"/>
    <w:rsid w:val="00801FAC"/>
    <w:rsid w:val="00804667"/>
    <w:rsid w:val="00807268"/>
    <w:rsid w:val="008105B1"/>
    <w:rsid w:val="00817825"/>
    <w:rsid w:val="00820312"/>
    <w:rsid w:val="00820B0C"/>
    <w:rsid w:val="00820B18"/>
    <w:rsid w:val="00825B78"/>
    <w:rsid w:val="00826A10"/>
    <w:rsid w:val="0083124E"/>
    <w:rsid w:val="00833046"/>
    <w:rsid w:val="00833815"/>
    <w:rsid w:val="00833EF0"/>
    <w:rsid w:val="00833F3C"/>
    <w:rsid w:val="00834C97"/>
    <w:rsid w:val="00836013"/>
    <w:rsid w:val="00840205"/>
    <w:rsid w:val="00842DC7"/>
    <w:rsid w:val="00843F66"/>
    <w:rsid w:val="00854829"/>
    <w:rsid w:val="008552DE"/>
    <w:rsid w:val="00861687"/>
    <w:rsid w:val="00864272"/>
    <w:rsid w:val="00865A4E"/>
    <w:rsid w:val="008729D6"/>
    <w:rsid w:val="008743E0"/>
    <w:rsid w:val="0088392C"/>
    <w:rsid w:val="00884C2E"/>
    <w:rsid w:val="00885721"/>
    <w:rsid w:val="0089038B"/>
    <w:rsid w:val="0089250E"/>
    <w:rsid w:val="0089469C"/>
    <w:rsid w:val="008977EE"/>
    <w:rsid w:val="008B045A"/>
    <w:rsid w:val="008B1F19"/>
    <w:rsid w:val="008B2132"/>
    <w:rsid w:val="008B21B7"/>
    <w:rsid w:val="008B22E4"/>
    <w:rsid w:val="008B603B"/>
    <w:rsid w:val="008C7D34"/>
    <w:rsid w:val="008D7950"/>
    <w:rsid w:val="008D7B4F"/>
    <w:rsid w:val="008E4232"/>
    <w:rsid w:val="008F1A12"/>
    <w:rsid w:val="008F28E9"/>
    <w:rsid w:val="008F3044"/>
    <w:rsid w:val="008F4A7F"/>
    <w:rsid w:val="008F723A"/>
    <w:rsid w:val="009034F9"/>
    <w:rsid w:val="0090611B"/>
    <w:rsid w:val="00912BE7"/>
    <w:rsid w:val="009135E1"/>
    <w:rsid w:val="0091668F"/>
    <w:rsid w:val="00916900"/>
    <w:rsid w:val="00920883"/>
    <w:rsid w:val="0093132E"/>
    <w:rsid w:val="00933BA9"/>
    <w:rsid w:val="009352F8"/>
    <w:rsid w:val="009443F8"/>
    <w:rsid w:val="009479AB"/>
    <w:rsid w:val="00950699"/>
    <w:rsid w:val="00951F05"/>
    <w:rsid w:val="0095536C"/>
    <w:rsid w:val="00956C05"/>
    <w:rsid w:val="00960D4F"/>
    <w:rsid w:val="009621E6"/>
    <w:rsid w:val="00962A7C"/>
    <w:rsid w:val="00965547"/>
    <w:rsid w:val="009728EF"/>
    <w:rsid w:val="00973283"/>
    <w:rsid w:val="009775A4"/>
    <w:rsid w:val="00980714"/>
    <w:rsid w:val="00980A60"/>
    <w:rsid w:val="00983421"/>
    <w:rsid w:val="009860E7"/>
    <w:rsid w:val="009870F2"/>
    <w:rsid w:val="00991A94"/>
    <w:rsid w:val="009929B1"/>
    <w:rsid w:val="00993DEA"/>
    <w:rsid w:val="00995C73"/>
    <w:rsid w:val="009A47CE"/>
    <w:rsid w:val="009A725C"/>
    <w:rsid w:val="009A73E6"/>
    <w:rsid w:val="009B20C5"/>
    <w:rsid w:val="009B24B8"/>
    <w:rsid w:val="009B6562"/>
    <w:rsid w:val="009C1FEA"/>
    <w:rsid w:val="009C55B1"/>
    <w:rsid w:val="009D4795"/>
    <w:rsid w:val="009D68FD"/>
    <w:rsid w:val="009E0F70"/>
    <w:rsid w:val="009E2DB2"/>
    <w:rsid w:val="009E4D4C"/>
    <w:rsid w:val="009E4DC2"/>
    <w:rsid w:val="009E4E1C"/>
    <w:rsid w:val="009E7C92"/>
    <w:rsid w:val="009F2E28"/>
    <w:rsid w:val="009F3BAF"/>
    <w:rsid w:val="009F58CD"/>
    <w:rsid w:val="009F715A"/>
    <w:rsid w:val="009F7B12"/>
    <w:rsid w:val="00A052F4"/>
    <w:rsid w:val="00A076BC"/>
    <w:rsid w:val="00A127F8"/>
    <w:rsid w:val="00A13E80"/>
    <w:rsid w:val="00A21AF8"/>
    <w:rsid w:val="00A26663"/>
    <w:rsid w:val="00A30941"/>
    <w:rsid w:val="00A338DA"/>
    <w:rsid w:val="00A422F1"/>
    <w:rsid w:val="00A446A2"/>
    <w:rsid w:val="00A44D27"/>
    <w:rsid w:val="00A4762C"/>
    <w:rsid w:val="00A50509"/>
    <w:rsid w:val="00A51106"/>
    <w:rsid w:val="00A5255F"/>
    <w:rsid w:val="00A546A3"/>
    <w:rsid w:val="00A548D6"/>
    <w:rsid w:val="00A57279"/>
    <w:rsid w:val="00A61786"/>
    <w:rsid w:val="00A61AB6"/>
    <w:rsid w:val="00A6404A"/>
    <w:rsid w:val="00A658FF"/>
    <w:rsid w:val="00A74837"/>
    <w:rsid w:val="00A75792"/>
    <w:rsid w:val="00A7768C"/>
    <w:rsid w:val="00A804F0"/>
    <w:rsid w:val="00A85D8E"/>
    <w:rsid w:val="00A86C2F"/>
    <w:rsid w:val="00A86EE2"/>
    <w:rsid w:val="00A90464"/>
    <w:rsid w:val="00A91F34"/>
    <w:rsid w:val="00A9376A"/>
    <w:rsid w:val="00A9385A"/>
    <w:rsid w:val="00A9548F"/>
    <w:rsid w:val="00A972F4"/>
    <w:rsid w:val="00A97AF7"/>
    <w:rsid w:val="00AA2415"/>
    <w:rsid w:val="00AA2C0C"/>
    <w:rsid w:val="00AB3FBC"/>
    <w:rsid w:val="00AB5267"/>
    <w:rsid w:val="00AB5EA1"/>
    <w:rsid w:val="00AB7B61"/>
    <w:rsid w:val="00AC11CB"/>
    <w:rsid w:val="00AC1755"/>
    <w:rsid w:val="00AC58F8"/>
    <w:rsid w:val="00AC6A00"/>
    <w:rsid w:val="00AD2C46"/>
    <w:rsid w:val="00AD3DC5"/>
    <w:rsid w:val="00AD40B7"/>
    <w:rsid w:val="00AD50FE"/>
    <w:rsid w:val="00AD5520"/>
    <w:rsid w:val="00AE2E95"/>
    <w:rsid w:val="00AE4408"/>
    <w:rsid w:val="00AE5CE2"/>
    <w:rsid w:val="00AF0053"/>
    <w:rsid w:val="00AF4736"/>
    <w:rsid w:val="00B03481"/>
    <w:rsid w:val="00B03588"/>
    <w:rsid w:val="00B03AF3"/>
    <w:rsid w:val="00B10F40"/>
    <w:rsid w:val="00B11BF8"/>
    <w:rsid w:val="00B1253F"/>
    <w:rsid w:val="00B23402"/>
    <w:rsid w:val="00B25718"/>
    <w:rsid w:val="00B31E63"/>
    <w:rsid w:val="00B34F28"/>
    <w:rsid w:val="00B35129"/>
    <w:rsid w:val="00B40521"/>
    <w:rsid w:val="00B42890"/>
    <w:rsid w:val="00B42A2F"/>
    <w:rsid w:val="00B42B7A"/>
    <w:rsid w:val="00B43266"/>
    <w:rsid w:val="00B466E2"/>
    <w:rsid w:val="00B515E4"/>
    <w:rsid w:val="00B57AAD"/>
    <w:rsid w:val="00B61492"/>
    <w:rsid w:val="00B66648"/>
    <w:rsid w:val="00B701AA"/>
    <w:rsid w:val="00B702E7"/>
    <w:rsid w:val="00B722F2"/>
    <w:rsid w:val="00B7556B"/>
    <w:rsid w:val="00B7634C"/>
    <w:rsid w:val="00B843A2"/>
    <w:rsid w:val="00B86BBC"/>
    <w:rsid w:val="00B91523"/>
    <w:rsid w:val="00B9270A"/>
    <w:rsid w:val="00B96A75"/>
    <w:rsid w:val="00BA0410"/>
    <w:rsid w:val="00BA4CA7"/>
    <w:rsid w:val="00BB3988"/>
    <w:rsid w:val="00BB3E26"/>
    <w:rsid w:val="00BC0974"/>
    <w:rsid w:val="00BC0CEE"/>
    <w:rsid w:val="00BC7DED"/>
    <w:rsid w:val="00BF2D24"/>
    <w:rsid w:val="00BF4617"/>
    <w:rsid w:val="00C02DDA"/>
    <w:rsid w:val="00C05E80"/>
    <w:rsid w:val="00C06999"/>
    <w:rsid w:val="00C073E5"/>
    <w:rsid w:val="00C075A9"/>
    <w:rsid w:val="00C07E66"/>
    <w:rsid w:val="00C1617E"/>
    <w:rsid w:val="00C17D66"/>
    <w:rsid w:val="00C21D9E"/>
    <w:rsid w:val="00C25287"/>
    <w:rsid w:val="00C2531C"/>
    <w:rsid w:val="00C3329C"/>
    <w:rsid w:val="00C348BB"/>
    <w:rsid w:val="00C422A1"/>
    <w:rsid w:val="00C432C7"/>
    <w:rsid w:val="00C4440E"/>
    <w:rsid w:val="00C45CF2"/>
    <w:rsid w:val="00C46537"/>
    <w:rsid w:val="00C51FA9"/>
    <w:rsid w:val="00C53964"/>
    <w:rsid w:val="00C539F7"/>
    <w:rsid w:val="00C53B84"/>
    <w:rsid w:val="00C5527E"/>
    <w:rsid w:val="00C56987"/>
    <w:rsid w:val="00C631CB"/>
    <w:rsid w:val="00C64B2C"/>
    <w:rsid w:val="00C669AD"/>
    <w:rsid w:val="00C703A0"/>
    <w:rsid w:val="00C70A6B"/>
    <w:rsid w:val="00C807D0"/>
    <w:rsid w:val="00C837EF"/>
    <w:rsid w:val="00C8697B"/>
    <w:rsid w:val="00C93412"/>
    <w:rsid w:val="00CA3FEB"/>
    <w:rsid w:val="00CA548A"/>
    <w:rsid w:val="00CA67E2"/>
    <w:rsid w:val="00CA7610"/>
    <w:rsid w:val="00CB59B5"/>
    <w:rsid w:val="00CB68A0"/>
    <w:rsid w:val="00CC38D1"/>
    <w:rsid w:val="00CC7C1C"/>
    <w:rsid w:val="00CD3315"/>
    <w:rsid w:val="00CD3581"/>
    <w:rsid w:val="00CD5185"/>
    <w:rsid w:val="00CD53BB"/>
    <w:rsid w:val="00CD5F2C"/>
    <w:rsid w:val="00CD5F64"/>
    <w:rsid w:val="00CE6BEF"/>
    <w:rsid w:val="00CF08A7"/>
    <w:rsid w:val="00CF1987"/>
    <w:rsid w:val="00CF5915"/>
    <w:rsid w:val="00D005E6"/>
    <w:rsid w:val="00D00A0B"/>
    <w:rsid w:val="00D0191C"/>
    <w:rsid w:val="00D064E7"/>
    <w:rsid w:val="00D108D3"/>
    <w:rsid w:val="00D14AF3"/>
    <w:rsid w:val="00D15F86"/>
    <w:rsid w:val="00D204E9"/>
    <w:rsid w:val="00D23D9A"/>
    <w:rsid w:val="00D266A6"/>
    <w:rsid w:val="00D307BE"/>
    <w:rsid w:val="00D317D0"/>
    <w:rsid w:val="00D3619B"/>
    <w:rsid w:val="00D370F2"/>
    <w:rsid w:val="00D4019A"/>
    <w:rsid w:val="00D44D94"/>
    <w:rsid w:val="00D45532"/>
    <w:rsid w:val="00D46373"/>
    <w:rsid w:val="00D46DD8"/>
    <w:rsid w:val="00D4789D"/>
    <w:rsid w:val="00D5035A"/>
    <w:rsid w:val="00D521B2"/>
    <w:rsid w:val="00D53FB5"/>
    <w:rsid w:val="00D54CE8"/>
    <w:rsid w:val="00D601AC"/>
    <w:rsid w:val="00D664A3"/>
    <w:rsid w:val="00D741A5"/>
    <w:rsid w:val="00D80532"/>
    <w:rsid w:val="00D80815"/>
    <w:rsid w:val="00D84588"/>
    <w:rsid w:val="00D8475C"/>
    <w:rsid w:val="00D90035"/>
    <w:rsid w:val="00D91830"/>
    <w:rsid w:val="00D96AF0"/>
    <w:rsid w:val="00DB149A"/>
    <w:rsid w:val="00DB4016"/>
    <w:rsid w:val="00DB5AE3"/>
    <w:rsid w:val="00DC6FC4"/>
    <w:rsid w:val="00DD5877"/>
    <w:rsid w:val="00DE3BDA"/>
    <w:rsid w:val="00DE7347"/>
    <w:rsid w:val="00DF0755"/>
    <w:rsid w:val="00DF3237"/>
    <w:rsid w:val="00E03D22"/>
    <w:rsid w:val="00E03D68"/>
    <w:rsid w:val="00E053E3"/>
    <w:rsid w:val="00E1378D"/>
    <w:rsid w:val="00E21617"/>
    <w:rsid w:val="00E32186"/>
    <w:rsid w:val="00E35EFF"/>
    <w:rsid w:val="00E36652"/>
    <w:rsid w:val="00E41F8F"/>
    <w:rsid w:val="00E4429E"/>
    <w:rsid w:val="00E52C69"/>
    <w:rsid w:val="00E62F1C"/>
    <w:rsid w:val="00E64F0A"/>
    <w:rsid w:val="00E72A59"/>
    <w:rsid w:val="00E767C7"/>
    <w:rsid w:val="00E76980"/>
    <w:rsid w:val="00E77CB0"/>
    <w:rsid w:val="00E84B61"/>
    <w:rsid w:val="00E86CB8"/>
    <w:rsid w:val="00E87B7F"/>
    <w:rsid w:val="00E94E29"/>
    <w:rsid w:val="00EA056E"/>
    <w:rsid w:val="00EA7459"/>
    <w:rsid w:val="00EB25B1"/>
    <w:rsid w:val="00EB321D"/>
    <w:rsid w:val="00EB5306"/>
    <w:rsid w:val="00EB5612"/>
    <w:rsid w:val="00EB59E6"/>
    <w:rsid w:val="00EB5F81"/>
    <w:rsid w:val="00EC075D"/>
    <w:rsid w:val="00EC4259"/>
    <w:rsid w:val="00EC50F5"/>
    <w:rsid w:val="00EC5267"/>
    <w:rsid w:val="00EC776A"/>
    <w:rsid w:val="00ED22C4"/>
    <w:rsid w:val="00EE06DC"/>
    <w:rsid w:val="00EE0AF0"/>
    <w:rsid w:val="00EE6A98"/>
    <w:rsid w:val="00EF3D13"/>
    <w:rsid w:val="00F03888"/>
    <w:rsid w:val="00F04790"/>
    <w:rsid w:val="00F0598F"/>
    <w:rsid w:val="00F05A4B"/>
    <w:rsid w:val="00F135A6"/>
    <w:rsid w:val="00F35892"/>
    <w:rsid w:val="00F36348"/>
    <w:rsid w:val="00F3732B"/>
    <w:rsid w:val="00F37A79"/>
    <w:rsid w:val="00F45C38"/>
    <w:rsid w:val="00F541C5"/>
    <w:rsid w:val="00F63D61"/>
    <w:rsid w:val="00F64951"/>
    <w:rsid w:val="00F705F3"/>
    <w:rsid w:val="00F70CBC"/>
    <w:rsid w:val="00F710AD"/>
    <w:rsid w:val="00F804BA"/>
    <w:rsid w:val="00F81C20"/>
    <w:rsid w:val="00F824E1"/>
    <w:rsid w:val="00F87710"/>
    <w:rsid w:val="00F92A84"/>
    <w:rsid w:val="00F93099"/>
    <w:rsid w:val="00F9432B"/>
    <w:rsid w:val="00FA7BFF"/>
    <w:rsid w:val="00FA7EC0"/>
    <w:rsid w:val="00FB5314"/>
    <w:rsid w:val="00FB5638"/>
    <w:rsid w:val="00FB6058"/>
    <w:rsid w:val="00FB72E1"/>
    <w:rsid w:val="00FC0891"/>
    <w:rsid w:val="00FC104A"/>
    <w:rsid w:val="00FC18EF"/>
    <w:rsid w:val="00FC1BE6"/>
    <w:rsid w:val="00FC58D6"/>
    <w:rsid w:val="00FD0D8F"/>
    <w:rsid w:val="00FD352C"/>
    <w:rsid w:val="00FD421C"/>
    <w:rsid w:val="00FD4FAE"/>
    <w:rsid w:val="00FD5D8E"/>
    <w:rsid w:val="00FD651A"/>
    <w:rsid w:val="00FD7B51"/>
    <w:rsid w:val="00FE14D6"/>
    <w:rsid w:val="00FE2610"/>
    <w:rsid w:val="00FF31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EF8ACB"/>
  <w15:chartTrackingRefBased/>
  <w15:docId w15:val="{9C40A9E3-8F7F-4993-981D-6C35CCB48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0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52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04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7152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21D"/>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1521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166E1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B477C"/>
    <w:rPr>
      <w:color w:val="0563C1" w:themeColor="hyperlink"/>
      <w:u w:val="single"/>
    </w:rPr>
  </w:style>
  <w:style w:type="character" w:styleId="UnresolvedMention">
    <w:name w:val="Unresolved Mention"/>
    <w:basedOn w:val="DefaultParagraphFont"/>
    <w:uiPriority w:val="99"/>
    <w:semiHidden/>
    <w:unhideWhenUsed/>
    <w:rsid w:val="004B477C"/>
    <w:rPr>
      <w:color w:val="605E5C"/>
      <w:shd w:val="clear" w:color="auto" w:fill="E1DFDD"/>
    </w:rPr>
  </w:style>
  <w:style w:type="paragraph" w:styleId="ListParagraph">
    <w:name w:val="List Paragraph"/>
    <w:basedOn w:val="Normal"/>
    <w:uiPriority w:val="34"/>
    <w:qFormat/>
    <w:rsid w:val="00326CD9"/>
    <w:pPr>
      <w:ind w:left="720"/>
      <w:contextualSpacing/>
    </w:pPr>
  </w:style>
  <w:style w:type="paragraph" w:styleId="Header">
    <w:name w:val="header"/>
    <w:basedOn w:val="Normal"/>
    <w:link w:val="HeaderChar"/>
    <w:uiPriority w:val="99"/>
    <w:unhideWhenUsed/>
    <w:rsid w:val="003D4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740"/>
  </w:style>
  <w:style w:type="paragraph" w:styleId="Footer">
    <w:name w:val="footer"/>
    <w:basedOn w:val="Normal"/>
    <w:link w:val="FooterChar"/>
    <w:uiPriority w:val="99"/>
    <w:unhideWhenUsed/>
    <w:rsid w:val="003D4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740"/>
  </w:style>
  <w:style w:type="character" w:styleId="Emphasis">
    <w:name w:val="Emphasis"/>
    <w:basedOn w:val="DefaultParagraphFont"/>
    <w:uiPriority w:val="20"/>
    <w:qFormat/>
    <w:rsid w:val="00FF31D0"/>
    <w:rPr>
      <w:i/>
      <w:iCs/>
    </w:rPr>
  </w:style>
  <w:style w:type="character" w:styleId="FollowedHyperlink">
    <w:name w:val="FollowedHyperlink"/>
    <w:basedOn w:val="DefaultParagraphFont"/>
    <w:uiPriority w:val="99"/>
    <w:semiHidden/>
    <w:unhideWhenUsed/>
    <w:rsid w:val="00C073E5"/>
    <w:rPr>
      <w:color w:val="954F72" w:themeColor="followedHyperlink"/>
      <w:u w:val="single"/>
    </w:rPr>
  </w:style>
  <w:style w:type="paragraph" w:customStyle="1" w:styleId="nova-e-listitem">
    <w:name w:val="nova-e-list__item"/>
    <w:basedOn w:val="Normal"/>
    <w:rsid w:val="000A7DB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3609175">
      <w:bodyDiv w:val="1"/>
      <w:marLeft w:val="0"/>
      <w:marRight w:val="0"/>
      <w:marTop w:val="0"/>
      <w:marBottom w:val="0"/>
      <w:divBdr>
        <w:top w:val="none" w:sz="0" w:space="0" w:color="auto"/>
        <w:left w:val="none" w:sz="0" w:space="0" w:color="auto"/>
        <w:bottom w:val="none" w:sz="0" w:space="0" w:color="auto"/>
        <w:right w:val="none" w:sz="0" w:space="0" w:color="auto"/>
      </w:divBdr>
    </w:div>
    <w:div w:id="339507941">
      <w:bodyDiv w:val="1"/>
      <w:marLeft w:val="0"/>
      <w:marRight w:val="0"/>
      <w:marTop w:val="0"/>
      <w:marBottom w:val="0"/>
      <w:divBdr>
        <w:top w:val="none" w:sz="0" w:space="0" w:color="auto"/>
        <w:left w:val="none" w:sz="0" w:space="0" w:color="auto"/>
        <w:bottom w:val="none" w:sz="0" w:space="0" w:color="auto"/>
        <w:right w:val="none" w:sz="0" w:space="0" w:color="auto"/>
      </w:divBdr>
    </w:div>
    <w:div w:id="825361236">
      <w:bodyDiv w:val="1"/>
      <w:marLeft w:val="0"/>
      <w:marRight w:val="0"/>
      <w:marTop w:val="0"/>
      <w:marBottom w:val="0"/>
      <w:divBdr>
        <w:top w:val="none" w:sz="0" w:space="0" w:color="auto"/>
        <w:left w:val="none" w:sz="0" w:space="0" w:color="auto"/>
        <w:bottom w:val="none" w:sz="0" w:space="0" w:color="auto"/>
        <w:right w:val="none" w:sz="0" w:space="0" w:color="auto"/>
      </w:divBdr>
    </w:div>
    <w:div w:id="855776694">
      <w:bodyDiv w:val="1"/>
      <w:marLeft w:val="0"/>
      <w:marRight w:val="0"/>
      <w:marTop w:val="0"/>
      <w:marBottom w:val="0"/>
      <w:divBdr>
        <w:top w:val="none" w:sz="0" w:space="0" w:color="auto"/>
        <w:left w:val="none" w:sz="0" w:space="0" w:color="auto"/>
        <w:bottom w:val="none" w:sz="0" w:space="0" w:color="auto"/>
        <w:right w:val="none" w:sz="0" w:space="0" w:color="auto"/>
      </w:divBdr>
    </w:div>
    <w:div w:id="894313935">
      <w:bodyDiv w:val="1"/>
      <w:marLeft w:val="0"/>
      <w:marRight w:val="0"/>
      <w:marTop w:val="0"/>
      <w:marBottom w:val="0"/>
      <w:divBdr>
        <w:top w:val="none" w:sz="0" w:space="0" w:color="auto"/>
        <w:left w:val="none" w:sz="0" w:space="0" w:color="auto"/>
        <w:bottom w:val="none" w:sz="0" w:space="0" w:color="auto"/>
        <w:right w:val="none" w:sz="0" w:space="0" w:color="auto"/>
      </w:divBdr>
    </w:div>
    <w:div w:id="1169831135">
      <w:bodyDiv w:val="1"/>
      <w:marLeft w:val="0"/>
      <w:marRight w:val="0"/>
      <w:marTop w:val="0"/>
      <w:marBottom w:val="0"/>
      <w:divBdr>
        <w:top w:val="none" w:sz="0" w:space="0" w:color="auto"/>
        <w:left w:val="none" w:sz="0" w:space="0" w:color="auto"/>
        <w:bottom w:val="none" w:sz="0" w:space="0" w:color="auto"/>
        <w:right w:val="none" w:sz="0" w:space="0" w:color="auto"/>
      </w:divBdr>
    </w:div>
    <w:div w:id="1397162838">
      <w:bodyDiv w:val="1"/>
      <w:marLeft w:val="0"/>
      <w:marRight w:val="0"/>
      <w:marTop w:val="0"/>
      <w:marBottom w:val="0"/>
      <w:divBdr>
        <w:top w:val="none" w:sz="0" w:space="0" w:color="auto"/>
        <w:left w:val="none" w:sz="0" w:space="0" w:color="auto"/>
        <w:bottom w:val="none" w:sz="0" w:space="0" w:color="auto"/>
        <w:right w:val="none" w:sz="0" w:space="0" w:color="auto"/>
      </w:divBdr>
    </w:div>
    <w:div w:id="2074891142">
      <w:bodyDiv w:val="1"/>
      <w:marLeft w:val="0"/>
      <w:marRight w:val="0"/>
      <w:marTop w:val="0"/>
      <w:marBottom w:val="0"/>
      <w:divBdr>
        <w:top w:val="none" w:sz="0" w:space="0" w:color="auto"/>
        <w:left w:val="none" w:sz="0" w:space="0" w:color="auto"/>
        <w:bottom w:val="none" w:sz="0" w:space="0" w:color="auto"/>
        <w:right w:val="none" w:sz="0" w:space="0" w:color="auto"/>
      </w:divBdr>
      <w:divsChild>
        <w:div w:id="67503104">
          <w:marLeft w:val="-833"/>
          <w:marRight w:val="-833"/>
          <w:marTop w:val="75"/>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implypsychology.org/piaget-moral.html"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implypsychology.org/piaget.html" TargetMode="External"/><Relationship Id="rId17" Type="http://schemas.openxmlformats.org/officeDocument/2006/relationships/hyperlink" Target="https://academicjournals.org/article/article1379610138_Simatwa.pdf" TargetMode="External"/><Relationship Id="rId2" Type="http://schemas.openxmlformats.org/officeDocument/2006/relationships/customXml" Target="../customXml/item2.xml"/><Relationship Id="rId16" Type="http://schemas.openxmlformats.org/officeDocument/2006/relationships/hyperlink" Target="https://files.eric.ed.gov/fulltext/EJ841568.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implypsychology.org/constructivism.html" TargetMode="External"/><Relationship Id="rId5" Type="http://schemas.openxmlformats.org/officeDocument/2006/relationships/numbering" Target="numbering.xml"/><Relationship Id="rId15" Type="http://schemas.openxmlformats.org/officeDocument/2006/relationships/hyperlink" Target="https://numerons.files.wordpress.com/2012/04/26-moral-reasoning-across-the-life-span.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implypsychology.org/piaget-mora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A5C91F6-355C-46E0-A8DB-2DB3EEBE17B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463DC85-0A28-4BF9-92A8-E70CFE460CD5}">
  <ds:schemaRefs>
    <ds:schemaRef ds:uri="http://schemas.openxmlformats.org/officeDocument/2006/bibliography"/>
  </ds:schemaRefs>
</ds:datastoreItem>
</file>

<file path=customXml/itemProps3.xml><?xml version="1.0" encoding="utf-8"?>
<ds:datastoreItem xmlns:ds="http://schemas.openxmlformats.org/officeDocument/2006/customXml" ds:itemID="{88D25B31-B72C-4908-9A06-7FE8EA8658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76771F1-1891-4305-9DA3-AA5D45E757C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3254</Words>
  <Characters>18550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Joanne Smale (2006544)</dc:creator>
  <cp:keywords/>
  <dc:description/>
  <cp:lastModifiedBy>Sam Joanne Smale (2006544)</cp:lastModifiedBy>
  <cp:revision>7</cp:revision>
  <dcterms:created xsi:type="dcterms:W3CDTF">2021-03-15T10:54:00Z</dcterms:created>
  <dcterms:modified xsi:type="dcterms:W3CDTF">2021-03-15T11:04:00Z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9b35eb59-7bef-389e-b94c-d524d623ec40</vt:lpwstr>
  </property>
  <property fmtid="{D5CDD505-2E9C-101B-9397-08002B2CF9AE}" pid="25" name="Mendeley Citation Style_1">
    <vt:lpwstr>http://www.zotero.org/styles/harvard-cite-them-right</vt:lpwstr>
  </property>
</Properties>
</file>