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4C00" w:rsidRDefault="004F4C00" w:rsidP="004F4C00">
      <w:pPr>
        <w:pStyle w:val="NormalWeb"/>
        <w:spacing w:before="0" w:beforeAutospacing="0" w:after="0" w:afterAutospacing="0"/>
        <w:ind w:left="-180" w:right="-334"/>
      </w:pPr>
      <w:r>
        <w:rPr>
          <w:noProof/>
        </w:rPr>
        <w:drawing>
          <wp:inline distT="0" distB="0" distL="0" distR="0" wp14:anchorId="6B43E17A" wp14:editId="262DEDD9">
            <wp:extent cx="1909445" cy="636270"/>
            <wp:effectExtent l="25400" t="25400" r="8255" b="11430"/>
            <wp:docPr id="1" name="Picture 1"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9445" cy="636270"/>
                    </a:xfrm>
                    <a:prstGeom prst="rect">
                      <a:avLst/>
                    </a:prstGeom>
                    <a:noFill/>
                    <a:ln w="19050" cmpd="sng">
                      <a:solidFill>
                        <a:srgbClr val="000000"/>
                      </a:solidFill>
                      <a:miter lim="800000"/>
                      <a:headEnd/>
                      <a:tailEnd/>
                    </a:ln>
                    <a:effectLst/>
                  </pic:spPr>
                </pic:pic>
              </a:graphicData>
            </a:graphic>
          </wp:inline>
        </w:drawing>
      </w:r>
    </w:p>
    <w:p w:rsidR="004F4C00" w:rsidRDefault="004F4C00" w:rsidP="004F4C00">
      <w:pPr>
        <w:pStyle w:val="NormalWeb"/>
        <w:spacing w:before="0" w:beforeAutospacing="0" w:after="0" w:afterAutospacing="0"/>
        <w:ind w:left="-180" w:right="-334"/>
      </w:pPr>
    </w:p>
    <w:p w:rsidR="004F4C00" w:rsidRDefault="004F4C00" w:rsidP="004F4C00">
      <w:pPr>
        <w:pStyle w:val="NormalWeb"/>
        <w:spacing w:before="0" w:beforeAutospacing="0" w:after="0" w:afterAutospacing="0"/>
        <w:ind w:left="-180" w:right="-334"/>
      </w:pPr>
    </w:p>
    <w:p w:rsidR="004F4C00" w:rsidRDefault="004F4C00" w:rsidP="004F4C00">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4F4C00" w:rsidRPr="00230F35" w:rsidRDefault="004F4C00" w:rsidP="004F4C00">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4F4C00" w:rsidRPr="00230F35" w:rsidRDefault="004F4C00" w:rsidP="004F4C00">
      <w:pPr>
        <w:rPr>
          <w:rFonts w:ascii="Arial" w:hAnsi="Arial" w:cs="Arial"/>
          <w:sz w:val="28"/>
          <w:szCs w:val="28"/>
          <w:lang w:val="cy-GB"/>
        </w:rPr>
      </w:pPr>
    </w:p>
    <w:p w:rsidR="004F4C00" w:rsidRDefault="004F4C00" w:rsidP="004F4C00">
      <w:pPr>
        <w:pStyle w:val="Heading3"/>
        <w:jc w:val="center"/>
        <w:rPr>
          <w:lang w:val="cy-GB"/>
        </w:rPr>
      </w:pPr>
      <w:r>
        <w:rPr>
          <w:lang w:val="cy-GB"/>
        </w:rPr>
        <w:t>THIS SHEET MUST BE THE FIRST PAGE OF THE ASSIGNMENT YOU ARE SUBMITTING  (DO NOT SEND AS A SEPARATE FILE)</w:t>
      </w:r>
    </w:p>
    <w:p w:rsidR="004F4C00" w:rsidRDefault="004F4C00" w:rsidP="004F4C00">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4F4C00" w:rsidRPr="00230F35" w:rsidTr="005D1235">
        <w:trPr>
          <w:trHeight w:val="614"/>
        </w:trPr>
        <w:tc>
          <w:tcPr>
            <w:tcW w:w="8856" w:type="dxa"/>
            <w:gridSpan w:val="5"/>
          </w:tcPr>
          <w:p w:rsidR="004F4C00" w:rsidRPr="00230F35" w:rsidRDefault="004F4C00" w:rsidP="005D123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4F4C00" w:rsidRPr="00230F35" w:rsidTr="005D1235">
        <w:trPr>
          <w:trHeight w:val="718"/>
        </w:trPr>
        <w:tc>
          <w:tcPr>
            <w:tcW w:w="8856" w:type="dxa"/>
            <w:gridSpan w:val="5"/>
          </w:tcPr>
          <w:p w:rsidR="004F4C00" w:rsidRDefault="004F4C00" w:rsidP="005D12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rsidR="004F4C00" w:rsidRPr="00230F35" w:rsidRDefault="004F4C00" w:rsidP="005D1235">
            <w:pPr>
              <w:pStyle w:val="NormalWeb"/>
              <w:spacing w:before="0" w:beforeAutospacing="0" w:after="0" w:afterAutospacing="0"/>
              <w:ind w:right="34"/>
              <w:rPr>
                <w:rFonts w:ascii="Arial" w:hAnsi="Arial" w:cs="Arial"/>
                <w:sz w:val="22"/>
                <w:szCs w:val="22"/>
              </w:rPr>
            </w:pPr>
            <w:r>
              <w:rPr>
                <w:rFonts w:ascii="Arial" w:hAnsi="Arial" w:cs="Arial"/>
                <w:sz w:val="22"/>
                <w:szCs w:val="22"/>
              </w:rPr>
              <w:t>Martina Anguelova</w:t>
            </w:r>
          </w:p>
        </w:tc>
      </w:tr>
      <w:tr w:rsidR="004F4C00" w:rsidRPr="00230F35" w:rsidTr="005D1235">
        <w:trPr>
          <w:trHeight w:val="849"/>
        </w:trPr>
        <w:tc>
          <w:tcPr>
            <w:tcW w:w="4788" w:type="dxa"/>
          </w:tcPr>
          <w:p w:rsidR="004F4C00" w:rsidRPr="00230F35" w:rsidRDefault="004F4C00" w:rsidP="005D12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1E4378">
              <w:rPr>
                <w:rFonts w:ascii="Arial" w:hAnsi="Arial" w:cs="Arial"/>
                <w:sz w:val="22"/>
                <w:szCs w:val="22"/>
              </w:rPr>
              <w:t xml:space="preserve"> </w:t>
            </w:r>
            <w:r>
              <w:rPr>
                <w:rFonts w:ascii="Arial" w:hAnsi="Arial" w:cs="Arial"/>
                <w:sz w:val="22"/>
                <w:szCs w:val="22"/>
              </w:rPr>
              <w:t>HPCA7028</w:t>
            </w:r>
          </w:p>
          <w:p w:rsidR="004F4C00" w:rsidRPr="00230F35" w:rsidRDefault="004F4C00" w:rsidP="005D1235">
            <w:pPr>
              <w:pStyle w:val="NormalWeb"/>
              <w:spacing w:before="0" w:beforeAutospacing="0" w:after="0" w:afterAutospacing="0"/>
              <w:ind w:right="34"/>
              <w:rPr>
                <w:rFonts w:ascii="Arial" w:hAnsi="Arial" w:cs="Arial"/>
                <w:sz w:val="22"/>
                <w:szCs w:val="22"/>
              </w:rPr>
            </w:pPr>
          </w:p>
          <w:p w:rsidR="004F4C00" w:rsidRDefault="004F4C00" w:rsidP="005D12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Skies</w:t>
            </w:r>
          </w:p>
          <w:p w:rsidR="004F4C00" w:rsidRDefault="004F4C00" w:rsidP="005D1235">
            <w:pPr>
              <w:pStyle w:val="NormalWeb"/>
              <w:spacing w:before="0" w:beforeAutospacing="0" w:after="0" w:afterAutospacing="0"/>
              <w:ind w:right="34"/>
              <w:rPr>
                <w:rFonts w:ascii="Arial" w:hAnsi="Arial" w:cs="Arial"/>
                <w:sz w:val="22"/>
                <w:szCs w:val="22"/>
              </w:rPr>
            </w:pPr>
          </w:p>
          <w:p w:rsidR="004F4C00" w:rsidRPr="00230F35" w:rsidRDefault="004F4C00" w:rsidP="005D1235">
            <w:pPr>
              <w:pStyle w:val="NormalWeb"/>
              <w:spacing w:before="0" w:beforeAutospacing="0" w:after="0" w:afterAutospacing="0"/>
              <w:ind w:right="34"/>
              <w:rPr>
                <w:rFonts w:ascii="Arial" w:hAnsi="Arial" w:cs="Arial"/>
                <w:sz w:val="22"/>
                <w:szCs w:val="22"/>
              </w:rPr>
            </w:pPr>
          </w:p>
        </w:tc>
        <w:tc>
          <w:tcPr>
            <w:tcW w:w="2266" w:type="dxa"/>
            <w:gridSpan w:val="3"/>
          </w:tcPr>
          <w:p w:rsidR="004F4C00" w:rsidRDefault="004F4C00" w:rsidP="005D12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4F4C00" w:rsidRPr="00230F35" w:rsidRDefault="004F4C00" w:rsidP="005D1235">
            <w:pPr>
              <w:pStyle w:val="NormalWeb"/>
              <w:spacing w:before="0" w:beforeAutospacing="0" w:after="0" w:afterAutospacing="0"/>
              <w:ind w:right="34"/>
              <w:rPr>
                <w:rFonts w:ascii="Arial" w:hAnsi="Arial" w:cs="Arial"/>
                <w:sz w:val="22"/>
                <w:szCs w:val="22"/>
              </w:rPr>
            </w:pPr>
            <w:r>
              <w:rPr>
                <w:rFonts w:ascii="Arial" w:hAnsi="Arial" w:cs="Arial"/>
                <w:sz w:val="22"/>
                <w:szCs w:val="22"/>
              </w:rPr>
              <w:t>2533564</w:t>
            </w:r>
          </w:p>
        </w:tc>
        <w:tc>
          <w:tcPr>
            <w:tcW w:w="1802" w:type="dxa"/>
          </w:tcPr>
          <w:p w:rsidR="004F4C00" w:rsidRPr="00230F35" w:rsidRDefault="004F4C00" w:rsidP="005D12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4F4C00" w:rsidRPr="00230F35" w:rsidRDefault="004F4C00" w:rsidP="005D1235">
            <w:pPr>
              <w:pStyle w:val="NormalWeb"/>
              <w:spacing w:before="0" w:beforeAutospacing="0" w:after="0" w:afterAutospacing="0"/>
              <w:ind w:right="34"/>
              <w:rPr>
                <w:rFonts w:ascii="Arial" w:hAnsi="Arial" w:cs="Arial"/>
                <w:sz w:val="22"/>
                <w:szCs w:val="22"/>
              </w:rPr>
            </w:pPr>
            <w:r w:rsidRPr="00686252">
              <w:rPr>
                <w:rFonts w:ascii="Arial" w:hAnsi="Arial" w:cs="Arial"/>
                <w:strike/>
                <w:sz w:val="22"/>
                <w:szCs w:val="22"/>
              </w:rPr>
              <w:t>Yes/</w:t>
            </w:r>
            <w:r w:rsidRPr="00230F35">
              <w:rPr>
                <w:rFonts w:ascii="Arial" w:hAnsi="Arial" w:cs="Arial"/>
                <w:sz w:val="22"/>
                <w:szCs w:val="22"/>
              </w:rPr>
              <w:t>No</w:t>
            </w:r>
          </w:p>
        </w:tc>
      </w:tr>
      <w:tr w:rsidR="004F4C00" w:rsidRPr="00230F35" w:rsidTr="005D1235">
        <w:trPr>
          <w:trHeight w:val="1139"/>
        </w:trPr>
        <w:tc>
          <w:tcPr>
            <w:tcW w:w="8856" w:type="dxa"/>
            <w:gridSpan w:val="5"/>
          </w:tcPr>
          <w:p w:rsidR="004F4C00" w:rsidRPr="00230F35" w:rsidRDefault="004F4C00" w:rsidP="005D1235">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Bernadette Brady, Darrelyn Gunzburg, Nick Campion</w:t>
            </w:r>
          </w:p>
          <w:p w:rsidR="004F4C00" w:rsidRPr="00230F35" w:rsidRDefault="004F4C00" w:rsidP="005D1235">
            <w:pPr>
              <w:pStyle w:val="NormalWeb"/>
              <w:spacing w:before="0" w:beforeAutospacing="0" w:after="0" w:afterAutospacing="0"/>
              <w:ind w:right="34"/>
              <w:rPr>
                <w:rFonts w:ascii="Arial" w:hAnsi="Arial" w:cs="Arial"/>
                <w:sz w:val="22"/>
                <w:szCs w:val="22"/>
              </w:rPr>
            </w:pPr>
          </w:p>
          <w:p w:rsidR="004F4C00" w:rsidRDefault="004F4C00" w:rsidP="005D1235">
            <w:pPr>
              <w:pStyle w:val="NormalWeb"/>
              <w:spacing w:before="0" w:beforeAutospacing="0" w:after="0" w:afterAutospacing="0"/>
              <w:ind w:right="34"/>
              <w:rPr>
                <w:rFonts w:ascii="Arial" w:hAnsi="Arial" w:cs="Arial"/>
                <w:sz w:val="22"/>
                <w:szCs w:val="22"/>
              </w:rPr>
            </w:pPr>
          </w:p>
          <w:p w:rsidR="004F4C00" w:rsidRPr="00230F35" w:rsidRDefault="004F4C00" w:rsidP="005D12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7</w:t>
            </w:r>
            <w:r w:rsidRPr="00686252">
              <w:rPr>
                <w:rFonts w:ascii="Arial" w:hAnsi="Arial" w:cs="Arial"/>
                <w:sz w:val="22"/>
                <w:szCs w:val="22"/>
                <w:vertAlign w:val="superscript"/>
              </w:rPr>
              <w:t>th</w:t>
            </w:r>
            <w:r>
              <w:rPr>
                <w:rFonts w:ascii="Arial" w:hAnsi="Arial" w:cs="Arial"/>
                <w:sz w:val="22"/>
                <w:szCs w:val="22"/>
              </w:rPr>
              <w:t xml:space="preserve"> April 2026</w:t>
            </w:r>
          </w:p>
        </w:tc>
      </w:tr>
      <w:tr w:rsidR="004F4C00" w:rsidRPr="00230F35" w:rsidTr="005D1235">
        <w:trPr>
          <w:trHeight w:val="978"/>
        </w:trPr>
        <w:tc>
          <w:tcPr>
            <w:tcW w:w="8856" w:type="dxa"/>
            <w:gridSpan w:val="5"/>
            <w:tcBorders>
              <w:bottom w:val="single" w:sz="4" w:space="0" w:color="000000"/>
            </w:tcBorders>
          </w:tcPr>
          <w:p w:rsidR="004F4C00" w:rsidRDefault="004F4C00" w:rsidP="005D1235">
            <w:pPr>
              <w:rPr>
                <w:rFonts w:ascii="Arial" w:hAnsi="Arial" w:cs="Arial"/>
                <w:sz w:val="22"/>
                <w:szCs w:val="22"/>
              </w:rPr>
            </w:pPr>
            <w:r>
              <w:rPr>
                <w:rFonts w:ascii="Arial" w:hAnsi="Arial" w:cs="Arial"/>
                <w:sz w:val="22"/>
                <w:szCs w:val="22"/>
              </w:rPr>
              <w:t>If your module has multiple submissions please indicate which piece of work this is.</w:t>
            </w:r>
          </w:p>
          <w:p w:rsidR="004F4C00" w:rsidRDefault="004F4C00" w:rsidP="005D1235">
            <w:pPr>
              <w:rPr>
                <w:rFonts w:ascii="Arial" w:hAnsi="Arial" w:cs="Arial"/>
                <w:sz w:val="22"/>
                <w:szCs w:val="22"/>
              </w:rPr>
            </w:pPr>
          </w:p>
          <w:p w:rsidR="004F4C00" w:rsidRPr="00230F35" w:rsidRDefault="004F4C00" w:rsidP="005D1235">
            <w:pPr>
              <w:rPr>
                <w:rFonts w:ascii="Arial" w:hAnsi="Arial" w:cs="Arial"/>
                <w:sz w:val="22"/>
                <w:szCs w:val="22"/>
              </w:rPr>
            </w:pPr>
            <w:r w:rsidRPr="00230F35">
              <w:rPr>
                <w:rFonts w:ascii="Arial" w:hAnsi="Arial" w:cs="Arial"/>
                <w:sz w:val="22"/>
                <w:szCs w:val="22"/>
              </w:rPr>
              <w:t>1</w:t>
            </w:r>
            <w:r w:rsidRPr="00230F35">
              <w:rPr>
                <w:rFonts w:ascii="Arial" w:hAnsi="Arial" w:cs="Arial"/>
                <w:sz w:val="22"/>
                <w:szCs w:val="22"/>
                <w:vertAlign w:val="superscript"/>
              </w:rPr>
              <w:t xml:space="preserve">st </w:t>
            </w:r>
            <w:r>
              <w:rPr>
                <w:rFonts w:ascii="Segoe UI Symbol" w:hAnsi="Segoe UI Symbol" w:cs="Arial"/>
                <w:sz w:val="22"/>
                <w:szCs w:val="22"/>
              </w:rPr>
              <w:t>✓</w:t>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0" w:name="Check14"/>
            <w:r w:rsidRPr="00230F35">
              <w:rPr>
                <w:rFonts w:ascii="Arial" w:hAnsi="Arial" w:cs="Arial"/>
                <w:sz w:val="22"/>
                <w:szCs w:val="22"/>
              </w:rPr>
              <w:instrText xml:space="preserve"> FORMCHECKBOX </w:instrText>
            </w:r>
            <w:r w:rsidR="00681C2E">
              <w:rPr>
                <w:rFonts w:ascii="Arial" w:hAnsi="Arial" w:cs="Arial"/>
                <w:sz w:val="22"/>
                <w:szCs w:val="22"/>
              </w:rPr>
            </w:r>
            <w:r w:rsidR="00681C2E">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1" w:name="Check15"/>
            <w:r w:rsidRPr="00230F35">
              <w:rPr>
                <w:rFonts w:ascii="Arial" w:hAnsi="Arial" w:cs="Arial"/>
                <w:sz w:val="22"/>
                <w:szCs w:val="22"/>
              </w:rPr>
              <w:instrText xml:space="preserve"> FORMCHECKBOX </w:instrText>
            </w:r>
            <w:r w:rsidR="00681C2E">
              <w:rPr>
                <w:rFonts w:ascii="Arial" w:hAnsi="Arial" w:cs="Arial"/>
                <w:sz w:val="22"/>
                <w:szCs w:val="22"/>
              </w:rPr>
            </w:r>
            <w:r w:rsidR="00681C2E">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2" w:name="Check16"/>
            <w:r w:rsidRPr="00230F35">
              <w:rPr>
                <w:rFonts w:ascii="Arial" w:hAnsi="Arial" w:cs="Arial"/>
                <w:sz w:val="22"/>
                <w:szCs w:val="22"/>
              </w:rPr>
              <w:instrText xml:space="preserve"> FORMCHECKBOX </w:instrText>
            </w:r>
            <w:r w:rsidR="00681C2E">
              <w:rPr>
                <w:rFonts w:ascii="Arial" w:hAnsi="Arial" w:cs="Arial"/>
                <w:sz w:val="22"/>
                <w:szCs w:val="22"/>
              </w:rPr>
            </w:r>
            <w:r w:rsidR="00681C2E">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3" w:name="Check17"/>
            <w:r w:rsidRPr="00230F35">
              <w:rPr>
                <w:rFonts w:ascii="Arial" w:hAnsi="Arial" w:cs="Arial"/>
                <w:sz w:val="22"/>
                <w:szCs w:val="22"/>
              </w:rPr>
              <w:instrText xml:space="preserve"> FORMCHECKBOX </w:instrText>
            </w:r>
            <w:r w:rsidR="00681C2E">
              <w:rPr>
                <w:rFonts w:ascii="Arial" w:hAnsi="Arial" w:cs="Arial"/>
                <w:sz w:val="22"/>
                <w:szCs w:val="22"/>
              </w:rPr>
            </w:r>
            <w:r w:rsidR="00681C2E">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4" w:name="Check18"/>
            <w:r w:rsidRPr="00230F35">
              <w:rPr>
                <w:rFonts w:ascii="Arial" w:hAnsi="Arial" w:cs="Arial"/>
                <w:sz w:val="22"/>
                <w:szCs w:val="22"/>
              </w:rPr>
              <w:instrText xml:space="preserve"> FORMCHECKBOX </w:instrText>
            </w:r>
            <w:r w:rsidR="00681C2E">
              <w:rPr>
                <w:rFonts w:ascii="Arial" w:hAnsi="Arial" w:cs="Arial"/>
                <w:sz w:val="22"/>
                <w:szCs w:val="22"/>
              </w:rPr>
            </w:r>
            <w:r w:rsidR="00681C2E">
              <w:rPr>
                <w:rFonts w:ascii="Arial" w:hAnsi="Arial" w:cs="Arial"/>
                <w:sz w:val="22"/>
                <w:szCs w:val="22"/>
              </w:rPr>
              <w:fldChar w:fldCharType="separate"/>
            </w:r>
            <w:r w:rsidRPr="00230F35">
              <w:rPr>
                <w:rFonts w:ascii="Arial" w:hAnsi="Arial" w:cs="Arial"/>
                <w:sz w:val="22"/>
                <w:szCs w:val="22"/>
              </w:rPr>
              <w:fldChar w:fldCharType="end"/>
            </w:r>
            <w:bookmarkEnd w:id="4"/>
          </w:p>
        </w:tc>
      </w:tr>
      <w:tr w:rsidR="004F4C00" w:rsidRPr="00230F35" w:rsidTr="005D1235">
        <w:trPr>
          <w:trHeight w:val="978"/>
        </w:trPr>
        <w:tc>
          <w:tcPr>
            <w:tcW w:w="8856" w:type="dxa"/>
            <w:gridSpan w:val="5"/>
            <w:shd w:val="clear" w:color="auto" w:fill="D9D9D9"/>
          </w:tcPr>
          <w:p w:rsidR="004F4C00" w:rsidRPr="00230F35" w:rsidRDefault="004F4C00" w:rsidP="005D12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4F4C00" w:rsidRDefault="004F4C00" w:rsidP="005D123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Martina Anguelova</w:t>
            </w:r>
            <w:r w:rsidRPr="00230F35">
              <w:rPr>
                <w:rFonts w:ascii="Arial" w:hAnsi="Arial" w:cs="Arial"/>
                <w:sz w:val="22"/>
                <w:szCs w:val="22"/>
              </w:rPr>
              <w:t>…………………………………………</w:t>
            </w:r>
          </w:p>
          <w:p w:rsidR="004F4C00" w:rsidRPr="00686252" w:rsidRDefault="004F4C00" w:rsidP="005D1235">
            <w:pPr>
              <w:pStyle w:val="NormalWeb"/>
              <w:spacing w:before="0" w:beforeAutospacing="0" w:after="0" w:afterAutospacing="0"/>
              <w:ind w:right="34"/>
              <w:rPr>
                <w:rFonts w:ascii="Segoe UI Symbol" w:hAnsi="Segoe UI Symbol"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w:t>
            </w:r>
            <w:r>
              <w:rPr>
                <w:rFonts w:ascii="Segoe UI Symbol" w:hAnsi="Segoe UI Symbol" w:cs="Calibri"/>
                <w:b/>
                <w:sz w:val="44"/>
                <w:szCs w:val="44"/>
              </w:rPr>
              <w:t>✓</w:t>
            </w:r>
          </w:p>
          <w:p w:rsidR="004F4C00" w:rsidRPr="00230F35" w:rsidRDefault="004F4C00" w:rsidP="005D123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4F4C00" w:rsidRPr="00230F35" w:rsidTr="005D1235">
        <w:trPr>
          <w:trHeight w:val="3972"/>
        </w:trPr>
        <w:tc>
          <w:tcPr>
            <w:tcW w:w="8856" w:type="dxa"/>
            <w:gridSpan w:val="5"/>
          </w:tcPr>
          <w:p w:rsidR="004F4C00" w:rsidRDefault="004F4C00" w:rsidP="005D1235">
            <w:pPr>
              <w:rPr>
                <w:rFonts w:ascii="Arial" w:hAnsi="Arial"/>
                <w:b/>
              </w:rPr>
            </w:pPr>
          </w:p>
          <w:p w:rsidR="004F4C00" w:rsidRDefault="004F4C00" w:rsidP="005D1235">
            <w:pPr>
              <w:rPr>
                <w:rFonts w:ascii="Arial" w:hAnsi="Arial"/>
                <w:b/>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F4C00" w:rsidRPr="00116CE6" w:rsidTr="005D1235">
              <w:tc>
                <w:tcPr>
                  <w:tcW w:w="6970" w:type="dxa"/>
                </w:tcPr>
                <w:p w:rsidR="004F4C00" w:rsidRDefault="004F4C00" w:rsidP="005D1235">
                  <w:pPr>
                    <w:rPr>
                      <w:rFonts w:ascii="Arial" w:hAnsi="Arial"/>
                      <w:sz w:val="20"/>
                      <w:szCs w:val="20"/>
                    </w:rPr>
                  </w:pPr>
                </w:p>
                <w:p w:rsidR="004F4C00" w:rsidRPr="00022345" w:rsidRDefault="004F4C00" w:rsidP="005D1235">
                  <w:pPr>
                    <w:rPr>
                      <w:rFonts w:ascii="Arial" w:hAnsi="Arial"/>
                      <w:b/>
                      <w:sz w:val="20"/>
                      <w:szCs w:val="20"/>
                    </w:rPr>
                  </w:pPr>
                  <w:r w:rsidRPr="00022345">
                    <w:rPr>
                      <w:rFonts w:ascii="Arial" w:hAnsi="Arial"/>
                      <w:b/>
                      <w:sz w:val="20"/>
                      <w:szCs w:val="20"/>
                    </w:rPr>
                    <w:t>Final Mark</w:t>
                  </w:r>
                </w:p>
                <w:p w:rsidR="004F4C00" w:rsidRPr="00116CE6" w:rsidRDefault="004F4C00" w:rsidP="005D1235">
                  <w:pPr>
                    <w:rPr>
                      <w:rFonts w:ascii="Arial" w:hAnsi="Arial"/>
                      <w:sz w:val="20"/>
                      <w:szCs w:val="20"/>
                    </w:rPr>
                  </w:pPr>
                </w:p>
              </w:tc>
              <w:tc>
                <w:tcPr>
                  <w:tcW w:w="1660" w:type="dxa"/>
                </w:tcPr>
                <w:p w:rsidR="004F4C00" w:rsidRPr="00116CE6" w:rsidRDefault="004F4C00" w:rsidP="005D1235">
                  <w:pPr>
                    <w:rPr>
                      <w:rFonts w:ascii="Arial" w:hAnsi="Arial"/>
                      <w:sz w:val="20"/>
                      <w:szCs w:val="20"/>
                    </w:rPr>
                  </w:pPr>
                  <w:r>
                    <w:rPr>
                      <w:rFonts w:ascii="Arial" w:hAnsi="Arial"/>
                      <w:sz w:val="20"/>
                      <w:szCs w:val="20"/>
                    </w:rPr>
                    <w:t>WILL BE GIVEN ON TURNITIN</w:t>
                  </w:r>
                </w:p>
              </w:tc>
            </w:tr>
          </w:tbl>
          <w:p w:rsidR="004F4C00" w:rsidRDefault="004F4C00" w:rsidP="005D1235">
            <w:pPr>
              <w:pStyle w:val="NormalWeb"/>
              <w:spacing w:before="0" w:beforeAutospacing="0" w:after="0" w:afterAutospacing="0"/>
              <w:ind w:left="142" w:right="34"/>
              <w:rPr>
                <w:rFonts w:ascii="Arial" w:hAnsi="Arial" w:cs="Arial"/>
                <w:b/>
                <w:sz w:val="22"/>
                <w:szCs w:val="22"/>
              </w:rPr>
            </w:pPr>
          </w:p>
          <w:p w:rsidR="004F4C00" w:rsidRPr="00230F35" w:rsidRDefault="004F4C00" w:rsidP="005D123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4F4C00" w:rsidRDefault="004F4C00" w:rsidP="005D1235">
            <w:pPr>
              <w:pStyle w:val="NormalWeb"/>
              <w:spacing w:before="0" w:beforeAutospacing="0" w:after="0" w:afterAutospacing="0"/>
              <w:rPr>
                <w:rFonts w:ascii="Arial" w:hAnsi="Arial" w:cs="Arial"/>
                <w:b/>
                <w:sz w:val="22"/>
                <w:szCs w:val="22"/>
              </w:rPr>
            </w:pPr>
          </w:p>
          <w:p w:rsidR="004F4C00" w:rsidRDefault="004F4C00" w:rsidP="005D1235">
            <w:pPr>
              <w:pStyle w:val="NormalWeb"/>
              <w:spacing w:before="0" w:beforeAutospacing="0" w:after="0" w:afterAutospacing="0"/>
              <w:rPr>
                <w:rFonts w:ascii="Arial" w:hAnsi="Arial" w:cs="Arial"/>
                <w:b/>
                <w:sz w:val="22"/>
                <w:szCs w:val="22"/>
              </w:rPr>
            </w:pPr>
            <w:r>
              <w:rPr>
                <w:rFonts w:ascii="Arial" w:hAnsi="Arial" w:cs="Arial"/>
                <w:b/>
                <w:sz w:val="22"/>
                <w:szCs w:val="22"/>
              </w:rPr>
              <w:t>PLEASE NOTE: ALL COMMENTS WIL BE POSTED ON TURNITIN</w:t>
            </w:r>
          </w:p>
          <w:p w:rsidR="004F4C00" w:rsidRDefault="004F4C00" w:rsidP="005D1235">
            <w:pPr>
              <w:pStyle w:val="NormalWeb"/>
              <w:spacing w:before="0" w:beforeAutospacing="0" w:after="0" w:afterAutospacing="0"/>
              <w:rPr>
                <w:rFonts w:ascii="Arial" w:hAnsi="Arial" w:cs="Arial"/>
                <w:b/>
                <w:sz w:val="22"/>
                <w:szCs w:val="22"/>
              </w:rPr>
            </w:pPr>
          </w:p>
          <w:p w:rsidR="004F4C00" w:rsidRDefault="004F4C00" w:rsidP="005D1235">
            <w:pPr>
              <w:pStyle w:val="NormalWeb"/>
              <w:spacing w:before="0" w:beforeAutospacing="0" w:after="0" w:afterAutospacing="0"/>
              <w:rPr>
                <w:rFonts w:ascii="Arial" w:hAnsi="Arial" w:cs="Arial"/>
                <w:b/>
                <w:sz w:val="22"/>
                <w:szCs w:val="22"/>
              </w:rPr>
            </w:pPr>
          </w:p>
          <w:p w:rsidR="004F4C00" w:rsidRPr="00230F35" w:rsidRDefault="004F4C00" w:rsidP="005D123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rsidR="004F4C00" w:rsidRDefault="004F4C00" w:rsidP="005D123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4F4C00" w:rsidRPr="00001C3B" w:rsidRDefault="004F4C00" w:rsidP="005D1235">
            <w:pPr>
              <w:pStyle w:val="NormalWeb"/>
              <w:rPr>
                <w:rFonts w:ascii="Arial" w:hAnsi="Arial" w:cs="Arial"/>
                <w:sz w:val="22"/>
                <w:szCs w:val="22"/>
              </w:rPr>
            </w:pPr>
          </w:p>
        </w:tc>
      </w:tr>
      <w:tr w:rsidR="004F4C00" w:rsidRPr="00230F35" w:rsidTr="005D1235">
        <w:trPr>
          <w:trHeight w:val="492"/>
        </w:trPr>
        <w:tc>
          <w:tcPr>
            <w:tcW w:w="6768" w:type="dxa"/>
            <w:gridSpan w:val="3"/>
          </w:tcPr>
          <w:p w:rsidR="004F4C00" w:rsidRPr="00230F35" w:rsidRDefault="004F4C00" w:rsidP="005D12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4F4C00" w:rsidRPr="00230F35" w:rsidRDefault="004F4C00" w:rsidP="005D1235">
            <w:pPr>
              <w:pStyle w:val="NormalWeb"/>
              <w:spacing w:after="0"/>
              <w:ind w:left="142" w:right="34"/>
              <w:rPr>
                <w:rFonts w:ascii="Arial" w:hAnsi="Arial" w:cs="Arial"/>
                <w:sz w:val="22"/>
                <w:szCs w:val="22"/>
              </w:rPr>
            </w:pPr>
            <w:r w:rsidRPr="00230F35">
              <w:rPr>
                <w:rFonts w:ascii="Arial" w:hAnsi="Arial" w:cs="Arial"/>
                <w:sz w:val="22"/>
                <w:szCs w:val="22"/>
              </w:rPr>
              <w:t>Date:</w:t>
            </w:r>
          </w:p>
        </w:tc>
      </w:tr>
      <w:tr w:rsidR="004F4C00" w:rsidRPr="002F467C" w:rsidTr="005D1235">
        <w:tc>
          <w:tcPr>
            <w:tcW w:w="8856" w:type="dxa"/>
            <w:gridSpan w:val="5"/>
          </w:tcPr>
          <w:p w:rsidR="004F4C00" w:rsidRPr="00230F35" w:rsidRDefault="004F4C00" w:rsidP="005D1235">
            <w:pPr>
              <w:pStyle w:val="NormalWeb"/>
              <w:spacing w:before="0" w:beforeAutospacing="0" w:after="0" w:afterAutospacing="0"/>
              <w:ind w:right="-334"/>
              <w:rPr>
                <w:rFonts w:ascii="Arial" w:hAnsi="Arial" w:cs="Arial"/>
                <w:bCs/>
                <w:i/>
                <w:sz w:val="22"/>
                <w:szCs w:val="22"/>
              </w:rPr>
            </w:pPr>
          </w:p>
          <w:p w:rsidR="004F4C00" w:rsidRPr="00230F35" w:rsidRDefault="004F4C00" w:rsidP="005D123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4F4C00" w:rsidRPr="00230F35" w:rsidRDefault="004F4C00" w:rsidP="005D1235">
            <w:pPr>
              <w:pStyle w:val="NormalWeb"/>
              <w:spacing w:before="0" w:beforeAutospacing="0" w:after="0" w:afterAutospacing="0"/>
              <w:ind w:right="-334"/>
              <w:rPr>
                <w:rFonts w:ascii="Arial" w:hAnsi="Arial" w:cs="Arial"/>
                <w:b/>
                <w:bCs/>
                <w:sz w:val="22"/>
                <w:szCs w:val="22"/>
              </w:rPr>
            </w:pPr>
          </w:p>
          <w:p w:rsidR="004F4C00" w:rsidRPr="00230F35" w:rsidRDefault="004F4C00" w:rsidP="005D123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4F4C00" w:rsidRPr="00230F35" w:rsidRDefault="004F4C00" w:rsidP="005D1235">
            <w:pPr>
              <w:pStyle w:val="NormalWeb"/>
              <w:spacing w:before="0" w:beforeAutospacing="0" w:after="0" w:afterAutospacing="0"/>
              <w:ind w:right="-334"/>
              <w:rPr>
                <w:rFonts w:ascii="Arial" w:hAnsi="Arial" w:cs="Arial"/>
                <w:bCs/>
                <w:sz w:val="22"/>
                <w:szCs w:val="22"/>
              </w:rPr>
            </w:pPr>
          </w:p>
          <w:p w:rsidR="004F4C00" w:rsidRPr="00230F35" w:rsidRDefault="004F4C00" w:rsidP="005D1235">
            <w:pPr>
              <w:pStyle w:val="NormalWeb"/>
              <w:spacing w:before="0" w:beforeAutospacing="0" w:after="0" w:afterAutospacing="0"/>
              <w:ind w:right="-334"/>
              <w:rPr>
                <w:rFonts w:ascii="Arial" w:hAnsi="Arial" w:cs="Arial"/>
                <w:bCs/>
                <w:sz w:val="22"/>
                <w:szCs w:val="22"/>
              </w:rPr>
            </w:pPr>
          </w:p>
          <w:p w:rsidR="004F4C00" w:rsidRPr="00230F35" w:rsidRDefault="004F4C00" w:rsidP="005D1235">
            <w:pPr>
              <w:pStyle w:val="NormalWeb"/>
              <w:spacing w:before="0" w:beforeAutospacing="0" w:after="0" w:afterAutospacing="0"/>
              <w:ind w:right="-334"/>
              <w:rPr>
                <w:rFonts w:ascii="Arial" w:hAnsi="Arial" w:cs="Arial"/>
                <w:bCs/>
                <w:sz w:val="22"/>
                <w:szCs w:val="22"/>
              </w:rPr>
            </w:pPr>
          </w:p>
        </w:tc>
      </w:tr>
      <w:tr w:rsidR="004F4C00" w:rsidRPr="002F467C" w:rsidTr="005D1235">
        <w:trPr>
          <w:trHeight w:val="720"/>
        </w:trPr>
        <w:tc>
          <w:tcPr>
            <w:tcW w:w="5211" w:type="dxa"/>
            <w:gridSpan w:val="2"/>
          </w:tcPr>
          <w:p w:rsidR="004F4C00" w:rsidRPr="00230F35" w:rsidRDefault="004F4C00" w:rsidP="005D123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4F4C00" w:rsidRPr="00230F35" w:rsidRDefault="004F4C00" w:rsidP="005D123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4F4C00" w:rsidRPr="002F467C" w:rsidTr="005D1235">
        <w:trPr>
          <w:trHeight w:val="720"/>
        </w:trPr>
        <w:tc>
          <w:tcPr>
            <w:tcW w:w="8856" w:type="dxa"/>
            <w:gridSpan w:val="5"/>
          </w:tcPr>
          <w:p w:rsidR="004F4C00" w:rsidRPr="006367FD" w:rsidRDefault="004F4C00" w:rsidP="005D1235">
            <w:pPr>
              <w:rPr>
                <w:rFonts w:ascii="Arial" w:hAnsi="Arial" w:cs="Arial"/>
                <w:b/>
                <w:sz w:val="22"/>
                <w:szCs w:val="22"/>
              </w:rPr>
            </w:pPr>
            <w:r w:rsidRPr="006367FD">
              <w:rPr>
                <w:rFonts w:ascii="Arial" w:hAnsi="Arial" w:cs="Arial"/>
                <w:b/>
                <w:sz w:val="22"/>
                <w:szCs w:val="22"/>
              </w:rPr>
              <w:t>AGREED INTERNAL MARK (where necessary):</w:t>
            </w:r>
          </w:p>
          <w:p w:rsidR="004F4C00" w:rsidRPr="006367FD" w:rsidRDefault="004F4C00" w:rsidP="005D1235">
            <w:pPr>
              <w:rPr>
                <w:rFonts w:ascii="Arial" w:hAnsi="Arial" w:cs="Arial"/>
                <w:b/>
                <w:sz w:val="22"/>
                <w:szCs w:val="22"/>
              </w:rPr>
            </w:pPr>
          </w:p>
          <w:p w:rsidR="004F4C00" w:rsidRDefault="004F4C00" w:rsidP="005D1235">
            <w:pPr>
              <w:rPr>
                <w:rFonts w:ascii="Arial" w:hAnsi="Arial" w:cs="Arial"/>
                <w:b/>
                <w:sz w:val="22"/>
                <w:szCs w:val="22"/>
              </w:rPr>
            </w:pPr>
            <w:r w:rsidRPr="006367FD">
              <w:rPr>
                <w:rFonts w:ascii="Arial" w:hAnsi="Arial" w:cs="Arial"/>
                <w:b/>
                <w:sz w:val="22"/>
                <w:szCs w:val="22"/>
              </w:rPr>
              <w:t>Comment on process of arriving at agreed mark:</w:t>
            </w:r>
          </w:p>
          <w:p w:rsidR="004F4C00" w:rsidRDefault="004F4C00" w:rsidP="005D1235">
            <w:pPr>
              <w:rPr>
                <w:rFonts w:ascii="Arial" w:hAnsi="Arial" w:cs="Arial"/>
                <w:b/>
                <w:sz w:val="22"/>
                <w:szCs w:val="22"/>
              </w:rPr>
            </w:pPr>
          </w:p>
          <w:p w:rsidR="004F4C00" w:rsidRDefault="004F4C00" w:rsidP="005D1235">
            <w:pPr>
              <w:rPr>
                <w:rFonts w:ascii="Arial" w:hAnsi="Arial" w:cs="Arial"/>
                <w:b/>
                <w:sz w:val="22"/>
                <w:szCs w:val="22"/>
              </w:rPr>
            </w:pPr>
          </w:p>
          <w:p w:rsidR="004F4C00" w:rsidRDefault="004F4C00" w:rsidP="005D1235">
            <w:pPr>
              <w:rPr>
                <w:rFonts w:ascii="Arial" w:hAnsi="Arial" w:cs="Arial"/>
                <w:b/>
                <w:sz w:val="22"/>
                <w:szCs w:val="22"/>
              </w:rPr>
            </w:pPr>
          </w:p>
          <w:p w:rsidR="004F4C00" w:rsidRDefault="004F4C00" w:rsidP="005D1235">
            <w:pPr>
              <w:rPr>
                <w:rFonts w:ascii="Arial" w:hAnsi="Arial" w:cs="Arial"/>
                <w:b/>
                <w:sz w:val="22"/>
                <w:szCs w:val="22"/>
              </w:rPr>
            </w:pPr>
          </w:p>
          <w:p w:rsidR="004F4C00" w:rsidRDefault="004F4C00" w:rsidP="005D1235">
            <w:pPr>
              <w:rPr>
                <w:rFonts w:ascii="Arial" w:hAnsi="Arial" w:cs="Arial"/>
                <w:b/>
                <w:sz w:val="22"/>
                <w:szCs w:val="22"/>
              </w:rPr>
            </w:pPr>
          </w:p>
          <w:p w:rsidR="004F4C00" w:rsidRDefault="004F4C00" w:rsidP="005D1235">
            <w:pPr>
              <w:rPr>
                <w:rFonts w:ascii="Arial" w:hAnsi="Arial" w:cs="Arial"/>
                <w:b/>
                <w:sz w:val="22"/>
                <w:szCs w:val="22"/>
              </w:rPr>
            </w:pPr>
          </w:p>
          <w:p w:rsidR="004F4C00" w:rsidRDefault="004F4C00" w:rsidP="005D1235">
            <w:pPr>
              <w:rPr>
                <w:rFonts w:ascii="Arial" w:hAnsi="Arial" w:cs="Arial"/>
                <w:b/>
                <w:sz w:val="22"/>
                <w:szCs w:val="22"/>
              </w:rPr>
            </w:pPr>
          </w:p>
          <w:p w:rsidR="004F4C00" w:rsidRPr="00B34964" w:rsidRDefault="004F4C00" w:rsidP="005D1235">
            <w:pPr>
              <w:rPr>
                <w:rFonts w:ascii="Arial" w:hAnsi="Arial" w:cs="Arial"/>
                <w:b/>
                <w:sz w:val="22"/>
                <w:szCs w:val="22"/>
              </w:rPr>
            </w:pPr>
          </w:p>
        </w:tc>
      </w:tr>
      <w:tr w:rsidR="004F4C00" w:rsidRPr="002F467C" w:rsidTr="005D1235">
        <w:trPr>
          <w:trHeight w:val="720"/>
        </w:trPr>
        <w:tc>
          <w:tcPr>
            <w:tcW w:w="8856" w:type="dxa"/>
            <w:gridSpan w:val="5"/>
          </w:tcPr>
          <w:p w:rsidR="004F4C00" w:rsidRPr="00B34964" w:rsidRDefault="004F4C00" w:rsidP="005D1235">
            <w:pPr>
              <w:rPr>
                <w:rFonts w:ascii="Arial" w:hAnsi="Arial" w:cs="Arial"/>
                <w:b/>
                <w:sz w:val="22"/>
                <w:szCs w:val="22"/>
              </w:rPr>
            </w:pPr>
            <w:r w:rsidRPr="00B34964">
              <w:rPr>
                <w:rFonts w:ascii="Arial" w:hAnsi="Arial" w:cs="Arial"/>
                <w:b/>
                <w:sz w:val="22"/>
                <w:szCs w:val="22"/>
              </w:rPr>
              <w:lastRenderedPageBreak/>
              <w:t>External Examiner’s comments (if relevant)</w:t>
            </w:r>
          </w:p>
          <w:p w:rsidR="004F4C00" w:rsidRDefault="004F4C00" w:rsidP="005D1235">
            <w:pPr>
              <w:pStyle w:val="NormalWeb"/>
              <w:spacing w:before="0" w:beforeAutospacing="0" w:after="0" w:afterAutospacing="0"/>
              <w:ind w:right="-334"/>
              <w:rPr>
                <w:rFonts w:ascii="Arial" w:hAnsi="Arial" w:cs="Arial"/>
                <w:bCs/>
                <w:sz w:val="22"/>
                <w:szCs w:val="22"/>
              </w:rPr>
            </w:pPr>
          </w:p>
          <w:p w:rsidR="004F4C00" w:rsidRDefault="004F4C00" w:rsidP="005D1235">
            <w:pPr>
              <w:pStyle w:val="NormalWeb"/>
              <w:spacing w:before="0" w:beforeAutospacing="0" w:after="0" w:afterAutospacing="0"/>
              <w:ind w:right="-334"/>
              <w:rPr>
                <w:rFonts w:ascii="Arial" w:hAnsi="Arial" w:cs="Arial"/>
                <w:bCs/>
                <w:sz w:val="22"/>
                <w:szCs w:val="22"/>
              </w:rPr>
            </w:pPr>
          </w:p>
          <w:p w:rsidR="004F4C00" w:rsidRDefault="004F4C00" w:rsidP="005D1235">
            <w:pPr>
              <w:pStyle w:val="NormalWeb"/>
              <w:spacing w:before="0" w:beforeAutospacing="0" w:after="0" w:afterAutospacing="0"/>
              <w:ind w:right="-334"/>
              <w:rPr>
                <w:rFonts w:ascii="Arial" w:hAnsi="Arial" w:cs="Arial"/>
                <w:bCs/>
                <w:sz w:val="22"/>
                <w:szCs w:val="22"/>
              </w:rPr>
            </w:pPr>
          </w:p>
          <w:p w:rsidR="004F4C00" w:rsidRDefault="004F4C00" w:rsidP="005D1235">
            <w:pPr>
              <w:pStyle w:val="NormalWeb"/>
              <w:spacing w:before="0" w:beforeAutospacing="0" w:after="0" w:afterAutospacing="0"/>
              <w:ind w:right="-334"/>
              <w:rPr>
                <w:rFonts w:ascii="Arial" w:hAnsi="Arial" w:cs="Arial"/>
                <w:bCs/>
                <w:sz w:val="22"/>
                <w:szCs w:val="22"/>
              </w:rPr>
            </w:pPr>
          </w:p>
          <w:p w:rsidR="004F4C00" w:rsidRPr="00230F35" w:rsidRDefault="004F4C00" w:rsidP="005D1235">
            <w:pPr>
              <w:pStyle w:val="NormalWeb"/>
              <w:spacing w:before="0" w:beforeAutospacing="0" w:after="0" w:afterAutospacing="0"/>
              <w:ind w:right="-334"/>
              <w:rPr>
                <w:rFonts w:ascii="Arial" w:hAnsi="Arial" w:cs="Arial"/>
                <w:bCs/>
                <w:sz w:val="22"/>
                <w:szCs w:val="22"/>
              </w:rPr>
            </w:pPr>
          </w:p>
          <w:p w:rsidR="004F4C00" w:rsidRPr="00230F35" w:rsidRDefault="004F4C00" w:rsidP="005D1235">
            <w:pPr>
              <w:pStyle w:val="NormalWeb"/>
              <w:spacing w:before="0" w:beforeAutospacing="0" w:after="0" w:afterAutospacing="0"/>
              <w:ind w:right="-334"/>
              <w:rPr>
                <w:rFonts w:ascii="Arial" w:hAnsi="Arial" w:cs="Arial"/>
                <w:bCs/>
                <w:sz w:val="22"/>
                <w:szCs w:val="22"/>
              </w:rPr>
            </w:pPr>
          </w:p>
          <w:p w:rsidR="004F4C00" w:rsidRPr="00230F35" w:rsidRDefault="004F4C00" w:rsidP="005D1235">
            <w:pPr>
              <w:pStyle w:val="NormalWeb"/>
              <w:spacing w:before="0" w:beforeAutospacing="0" w:after="0" w:afterAutospacing="0"/>
              <w:ind w:right="-334"/>
              <w:rPr>
                <w:rFonts w:ascii="Arial" w:hAnsi="Arial" w:cs="Arial"/>
                <w:bCs/>
                <w:sz w:val="22"/>
                <w:szCs w:val="22"/>
              </w:rPr>
            </w:pPr>
          </w:p>
        </w:tc>
      </w:tr>
      <w:tr w:rsidR="004F4C00" w:rsidRPr="002F467C" w:rsidTr="005D1235">
        <w:trPr>
          <w:trHeight w:val="720"/>
        </w:trPr>
        <w:tc>
          <w:tcPr>
            <w:tcW w:w="5211" w:type="dxa"/>
            <w:gridSpan w:val="2"/>
          </w:tcPr>
          <w:p w:rsidR="004F4C00" w:rsidRPr="00230F35" w:rsidRDefault="004F4C00" w:rsidP="005D12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rsidR="004F4C00" w:rsidRPr="00230F35" w:rsidRDefault="004F4C00" w:rsidP="005D1235">
            <w:pPr>
              <w:rPr>
                <w:rFonts w:ascii="Arial" w:hAnsi="Arial" w:cs="Arial"/>
                <w:sz w:val="22"/>
                <w:szCs w:val="22"/>
              </w:rPr>
            </w:pPr>
            <w:r w:rsidRPr="00230F35">
              <w:rPr>
                <w:rFonts w:ascii="Arial" w:hAnsi="Arial" w:cs="Arial"/>
                <w:sz w:val="22"/>
                <w:szCs w:val="22"/>
              </w:rPr>
              <w:t>Date:</w:t>
            </w:r>
          </w:p>
        </w:tc>
      </w:tr>
    </w:tbl>
    <w:p w:rsidR="004F4C00" w:rsidRDefault="004F4C00" w:rsidP="004F4C00">
      <w:pPr>
        <w:pStyle w:val="Title"/>
        <w:jc w:val="left"/>
        <w:rPr>
          <w:rFonts w:cstheme="majorHAnsi"/>
          <w:color w:val="auto"/>
          <w:sz w:val="24"/>
          <w:szCs w:val="24"/>
        </w:rPr>
      </w:pPr>
    </w:p>
    <w:p w:rsidR="00F214D2" w:rsidRDefault="003F689B" w:rsidP="004F4C00">
      <w:pPr>
        <w:pStyle w:val="Title"/>
        <w:jc w:val="left"/>
        <w:rPr>
          <w:rFonts w:cstheme="majorHAnsi"/>
          <w:color w:val="auto"/>
          <w:sz w:val="24"/>
          <w:szCs w:val="24"/>
        </w:rPr>
      </w:pPr>
      <w:r w:rsidRPr="00617A7E">
        <w:rPr>
          <w:rFonts w:cstheme="majorHAnsi"/>
          <w:color w:val="auto"/>
          <w:sz w:val="24"/>
          <w:szCs w:val="24"/>
        </w:rPr>
        <w:t xml:space="preserve">A Critical Comparison of </w:t>
      </w:r>
      <w:r w:rsidR="002078EA" w:rsidRPr="00617A7E">
        <w:rPr>
          <w:rFonts w:cstheme="majorHAnsi"/>
          <w:color w:val="auto"/>
          <w:sz w:val="24"/>
          <w:szCs w:val="24"/>
        </w:rPr>
        <w:t>T</w:t>
      </w:r>
      <w:r w:rsidR="00E77493" w:rsidRPr="00617A7E">
        <w:rPr>
          <w:rFonts w:cstheme="majorHAnsi"/>
          <w:color w:val="auto"/>
          <w:sz w:val="24"/>
          <w:szCs w:val="24"/>
        </w:rPr>
        <w:t xml:space="preserve">wo </w:t>
      </w:r>
      <w:r w:rsidR="002078EA" w:rsidRPr="00617A7E">
        <w:rPr>
          <w:rFonts w:cstheme="majorHAnsi"/>
          <w:color w:val="auto"/>
          <w:sz w:val="24"/>
          <w:szCs w:val="24"/>
        </w:rPr>
        <w:t>S</w:t>
      </w:r>
      <w:r w:rsidR="00E77493" w:rsidRPr="00617A7E">
        <w:rPr>
          <w:rFonts w:cstheme="majorHAnsi"/>
          <w:color w:val="auto"/>
          <w:sz w:val="24"/>
          <w:szCs w:val="24"/>
        </w:rPr>
        <w:t xml:space="preserve">econdary </w:t>
      </w:r>
      <w:r w:rsidR="002078EA" w:rsidRPr="00617A7E">
        <w:rPr>
          <w:rFonts w:cstheme="majorHAnsi"/>
          <w:color w:val="auto"/>
          <w:sz w:val="24"/>
          <w:szCs w:val="24"/>
        </w:rPr>
        <w:t>S</w:t>
      </w:r>
      <w:r w:rsidR="00E77493" w:rsidRPr="00617A7E">
        <w:rPr>
          <w:rFonts w:cstheme="majorHAnsi"/>
          <w:color w:val="auto"/>
          <w:sz w:val="24"/>
          <w:szCs w:val="24"/>
        </w:rPr>
        <w:t>ources</w:t>
      </w:r>
    </w:p>
    <w:p w:rsidR="0011041B" w:rsidRPr="0011041B" w:rsidRDefault="0011041B" w:rsidP="0011041B">
      <w:pPr>
        <w:pStyle w:val="BodyText"/>
      </w:pPr>
      <w:r>
        <w:t>Word count: 308</w:t>
      </w:r>
      <w:r w:rsidR="00196504">
        <w:t>6</w:t>
      </w:r>
      <w:bookmarkStart w:id="5" w:name="_GoBack"/>
      <w:bookmarkEnd w:id="5"/>
    </w:p>
    <w:p w:rsidR="00F214D2" w:rsidRPr="00617A7E" w:rsidRDefault="003F689B">
      <w:pPr>
        <w:pStyle w:val="Heading1"/>
        <w:rPr>
          <w:rFonts w:cstheme="majorHAnsi"/>
          <w:color w:val="auto"/>
          <w:sz w:val="24"/>
          <w:szCs w:val="24"/>
        </w:rPr>
      </w:pPr>
      <w:bookmarkStart w:id="6" w:name="introduction"/>
      <w:r w:rsidRPr="00617A7E">
        <w:rPr>
          <w:rFonts w:cstheme="majorHAnsi"/>
          <w:color w:val="auto"/>
          <w:sz w:val="24"/>
          <w:szCs w:val="24"/>
        </w:rPr>
        <w:t>Introduction</w:t>
      </w:r>
    </w:p>
    <w:p w:rsidR="00F214D2" w:rsidRPr="00617A7E" w:rsidRDefault="003F689B">
      <w:pPr>
        <w:pStyle w:val="FirstParagraph"/>
        <w:rPr>
          <w:rFonts w:asciiTheme="majorHAnsi" w:hAnsiTheme="majorHAnsi" w:cstheme="majorHAnsi"/>
        </w:rPr>
      </w:pPr>
      <w:r w:rsidRPr="00617A7E">
        <w:rPr>
          <w:rFonts w:asciiTheme="majorHAnsi" w:hAnsiTheme="majorHAnsi" w:cstheme="majorHAnsi"/>
        </w:rPr>
        <w:t>Both Signe Cohen’s ‘What Do the Gods Call the Sky? Naming the Celestial in Old Norse’ and Morag Feeney</w:t>
      </w:r>
      <w:r w:rsidR="00EF1B53" w:rsidRPr="00617A7E">
        <w:rPr>
          <w:rFonts w:asciiTheme="majorHAnsi" w:hAnsiTheme="majorHAnsi" w:cstheme="majorHAnsi"/>
        </w:rPr>
        <w:t>-</w:t>
      </w:r>
      <w:r w:rsidRPr="00617A7E">
        <w:rPr>
          <w:rFonts w:asciiTheme="majorHAnsi" w:hAnsiTheme="majorHAnsi" w:cstheme="majorHAnsi"/>
        </w:rPr>
        <w:t xml:space="preserve">Beaton’s ‘Altair and Vega, the Cowherd and the Weaver Girl, an Analysis of a Living Sky-Myth’ were published in </w:t>
      </w:r>
      <w:r w:rsidRPr="00617A7E">
        <w:rPr>
          <w:rFonts w:asciiTheme="majorHAnsi" w:hAnsiTheme="majorHAnsi" w:cstheme="majorHAnsi"/>
          <w:i/>
          <w:iCs/>
        </w:rPr>
        <w:t>Culture and Cosmos</w:t>
      </w:r>
      <w:r w:rsidRPr="00617A7E">
        <w:rPr>
          <w:rFonts w:asciiTheme="majorHAnsi" w:hAnsiTheme="majorHAnsi" w:cstheme="majorHAnsi"/>
        </w:rPr>
        <w:t xml:space="preserve"> (Vol. 24, 2020), a special issue devoted to ‘The Talking Sky’.</w:t>
      </w:r>
      <w:r w:rsidRPr="00617A7E">
        <w:rPr>
          <w:rStyle w:val="FootnoteReference"/>
          <w:rFonts w:asciiTheme="majorHAnsi" w:hAnsiTheme="majorHAnsi" w:cstheme="majorHAnsi"/>
        </w:rPr>
        <w:footnoteReference w:id="1"/>
      </w:r>
      <w:r w:rsidRPr="00617A7E">
        <w:rPr>
          <w:rFonts w:asciiTheme="majorHAnsi" w:hAnsiTheme="majorHAnsi" w:cstheme="majorHAnsi"/>
        </w:rPr>
        <w:t xml:space="preserve"> Both address a question central to cultural astronomy: how do human cultures construct meaning from the sky?</w:t>
      </w:r>
      <w:r w:rsidRPr="00617A7E">
        <w:rPr>
          <w:rStyle w:val="FootnoteReference"/>
          <w:rFonts w:asciiTheme="majorHAnsi" w:hAnsiTheme="majorHAnsi" w:cstheme="majorHAnsi"/>
        </w:rPr>
        <w:footnoteReference w:id="2"/>
      </w:r>
      <w:r w:rsidRPr="00617A7E">
        <w:rPr>
          <w:rFonts w:asciiTheme="majorHAnsi" w:hAnsiTheme="majorHAnsi" w:cstheme="majorHAnsi"/>
        </w:rPr>
        <w:t xml:space="preserve"> Yet they approach this from opposite directions. Cohen examines a twelfth-century Old Norse poem in which different supernatural beings assign distinct names to the sky, moon, and sun. Feeney</w:t>
      </w:r>
      <w:r w:rsidR="00EF1B53" w:rsidRPr="00617A7E">
        <w:rPr>
          <w:rFonts w:asciiTheme="majorHAnsi" w:hAnsiTheme="majorHAnsi" w:cstheme="majorHAnsi"/>
        </w:rPr>
        <w:t>-</w:t>
      </w:r>
      <w:r w:rsidRPr="00617A7E">
        <w:rPr>
          <w:rFonts w:asciiTheme="majorHAnsi" w:hAnsiTheme="majorHAnsi" w:cstheme="majorHAnsi"/>
        </w:rPr>
        <w:t>Beaton traces an ancient Chinese legend across centuries and cultures, arguing it remains a ‘living sky-myth’ today. As Brady has observed, every place in the dome of the heavens holds some culture’s myth, some culture’s cosmic narrative.</w:t>
      </w:r>
      <w:r w:rsidRPr="00617A7E">
        <w:rPr>
          <w:rStyle w:val="FootnoteReference"/>
          <w:rFonts w:asciiTheme="majorHAnsi" w:hAnsiTheme="majorHAnsi" w:cstheme="majorHAnsi"/>
        </w:rPr>
        <w:footnoteReference w:id="3"/>
      </w:r>
      <w:r w:rsidRPr="00617A7E">
        <w:rPr>
          <w:rFonts w:asciiTheme="majorHAnsi" w:hAnsiTheme="majorHAnsi" w:cstheme="majorHAnsi"/>
        </w:rPr>
        <w:t xml:space="preserve"> This essay argues that reading these two papers together reveals a </w:t>
      </w:r>
      <w:r w:rsidRPr="00617A7E">
        <w:rPr>
          <w:rFonts w:asciiTheme="majorHAnsi" w:hAnsiTheme="majorHAnsi" w:cstheme="majorHAnsi"/>
        </w:rPr>
        <w:lastRenderedPageBreak/>
        <w:t>productive tension between knowing the sky and living under it. Cohen’s analysis exposes the fatal consequences of detached celestial knowledge, while Feeney</w:t>
      </w:r>
      <w:r w:rsidR="00EF1B53" w:rsidRPr="00617A7E">
        <w:rPr>
          <w:rFonts w:asciiTheme="majorHAnsi" w:hAnsiTheme="majorHAnsi" w:cstheme="majorHAnsi"/>
        </w:rPr>
        <w:t>-</w:t>
      </w:r>
      <w:r w:rsidRPr="00617A7E">
        <w:rPr>
          <w:rFonts w:asciiTheme="majorHAnsi" w:hAnsiTheme="majorHAnsi" w:cstheme="majorHAnsi"/>
        </w:rPr>
        <w:t xml:space="preserve">Beaton claims to demonstrate a myth that is actively lived. However, the question of what ‘living’ truly means in this context deserves closer </w:t>
      </w:r>
      <w:r w:rsidR="004F23DA" w:rsidRPr="00617A7E">
        <w:rPr>
          <w:rFonts w:asciiTheme="majorHAnsi" w:hAnsiTheme="majorHAnsi" w:cstheme="majorHAnsi"/>
        </w:rPr>
        <w:t>enquiry</w:t>
      </w:r>
      <w:r w:rsidRPr="00617A7E">
        <w:rPr>
          <w:rFonts w:asciiTheme="majorHAnsi" w:hAnsiTheme="majorHAnsi" w:cstheme="majorHAnsi"/>
        </w:rPr>
        <w:t xml:space="preserve"> than Feeney</w:t>
      </w:r>
      <w:r w:rsidR="00EF1B53" w:rsidRPr="00617A7E">
        <w:rPr>
          <w:rFonts w:asciiTheme="majorHAnsi" w:hAnsiTheme="majorHAnsi" w:cstheme="majorHAnsi"/>
        </w:rPr>
        <w:t>-</w:t>
      </w:r>
      <w:r w:rsidRPr="00617A7E">
        <w:rPr>
          <w:rFonts w:asciiTheme="majorHAnsi" w:hAnsiTheme="majorHAnsi" w:cstheme="majorHAnsi"/>
        </w:rPr>
        <w:t>Beaton’s paper provides. Between them, these papers raise a question that neither fully answers: what does it take for a sky-myth to remain truly alive?</w:t>
      </w:r>
    </w:p>
    <w:p w:rsidR="00F214D2" w:rsidRPr="00617A7E" w:rsidRDefault="003F689B">
      <w:pPr>
        <w:pStyle w:val="Heading1"/>
        <w:rPr>
          <w:rFonts w:cstheme="majorHAnsi"/>
          <w:color w:val="auto"/>
          <w:sz w:val="24"/>
          <w:szCs w:val="24"/>
        </w:rPr>
      </w:pPr>
      <w:bookmarkStart w:id="7" w:name="subject-scope-and-framing"/>
      <w:bookmarkEnd w:id="6"/>
      <w:r w:rsidRPr="00617A7E">
        <w:rPr>
          <w:rFonts w:cstheme="majorHAnsi"/>
          <w:color w:val="auto"/>
          <w:sz w:val="24"/>
          <w:szCs w:val="24"/>
        </w:rPr>
        <w:t>Subject, Scope, and Framing</w:t>
      </w:r>
    </w:p>
    <w:p w:rsidR="00F214D2" w:rsidRPr="00617A7E" w:rsidRDefault="003F689B">
      <w:pPr>
        <w:pStyle w:val="FirstParagraph"/>
        <w:rPr>
          <w:rFonts w:asciiTheme="majorHAnsi" w:hAnsiTheme="majorHAnsi" w:cstheme="majorHAnsi"/>
        </w:rPr>
      </w:pPr>
      <w:r w:rsidRPr="00617A7E">
        <w:rPr>
          <w:rFonts w:asciiTheme="majorHAnsi" w:hAnsiTheme="majorHAnsi" w:cstheme="majorHAnsi"/>
        </w:rPr>
        <w:t xml:space="preserve">Cohen’s paper is tightly bounded. Its primary source is a single Old Norse poem, the </w:t>
      </w:r>
      <w:r w:rsidRPr="00617A7E">
        <w:rPr>
          <w:rFonts w:asciiTheme="majorHAnsi" w:hAnsiTheme="majorHAnsi" w:cstheme="majorHAnsi"/>
          <w:i/>
          <w:iCs/>
        </w:rPr>
        <w:t>Alvissmal</w:t>
      </w:r>
      <w:r w:rsidRPr="00617A7E">
        <w:rPr>
          <w:rFonts w:asciiTheme="majorHAnsi" w:hAnsiTheme="majorHAnsi" w:cstheme="majorHAnsi"/>
        </w:rPr>
        <w:t xml:space="preserve"> (‘The Speech of the All-Wise’), a dialogue between the thunder god Thor and a dwarf named Alviss.</w:t>
      </w:r>
      <w:r w:rsidRPr="00617A7E">
        <w:rPr>
          <w:rStyle w:val="FootnoteReference"/>
          <w:rFonts w:asciiTheme="majorHAnsi" w:hAnsiTheme="majorHAnsi" w:cstheme="majorHAnsi"/>
        </w:rPr>
        <w:footnoteReference w:id="4"/>
      </w:r>
      <w:r w:rsidRPr="00617A7E">
        <w:rPr>
          <w:rFonts w:asciiTheme="majorHAnsi" w:hAnsiTheme="majorHAnsi" w:cstheme="majorHAnsi"/>
        </w:rPr>
        <w:t xml:space="preserve"> Feeney</w:t>
      </w:r>
      <w:r w:rsidR="00E75F15" w:rsidRPr="00617A7E">
        <w:rPr>
          <w:rFonts w:asciiTheme="majorHAnsi" w:hAnsiTheme="majorHAnsi" w:cstheme="majorHAnsi"/>
        </w:rPr>
        <w:t>-</w:t>
      </w:r>
      <w:r w:rsidRPr="00617A7E">
        <w:rPr>
          <w:rFonts w:asciiTheme="majorHAnsi" w:hAnsiTheme="majorHAnsi" w:cstheme="majorHAnsi"/>
        </w:rPr>
        <w:t>Beaton’s paper is far broader, tracking the legend of the Cowherd and the Weaver Girl from its earliest written reference (between 900 and 600 BCE) through to contemporary festivals and diaspora communities in the UK.</w:t>
      </w:r>
      <w:r w:rsidRPr="00617A7E">
        <w:rPr>
          <w:rStyle w:val="FootnoteReference"/>
          <w:rFonts w:asciiTheme="majorHAnsi" w:hAnsiTheme="majorHAnsi" w:cstheme="majorHAnsi"/>
        </w:rPr>
        <w:footnoteReference w:id="5"/>
      </w:r>
      <w:r w:rsidRPr="00617A7E">
        <w:rPr>
          <w:rFonts w:asciiTheme="majorHAnsi" w:hAnsiTheme="majorHAnsi" w:cstheme="majorHAnsi"/>
        </w:rPr>
        <w:t xml:space="preserve"> At eighteen pages, Feeney</w:t>
      </w:r>
      <w:r w:rsidR="00EF1B53" w:rsidRPr="00617A7E">
        <w:rPr>
          <w:rFonts w:asciiTheme="majorHAnsi" w:hAnsiTheme="majorHAnsi" w:cstheme="majorHAnsi"/>
        </w:rPr>
        <w:t>-</w:t>
      </w:r>
      <w:r w:rsidRPr="00617A7E">
        <w:rPr>
          <w:rFonts w:asciiTheme="majorHAnsi" w:hAnsiTheme="majorHAnsi" w:cstheme="majorHAnsi"/>
        </w:rPr>
        <w:t>Beaton’s paper is almost double the length of Cohen’s ten</w:t>
      </w:r>
      <w:r w:rsidR="00050A43" w:rsidRPr="00617A7E">
        <w:rPr>
          <w:rFonts w:asciiTheme="majorHAnsi" w:hAnsiTheme="majorHAnsi" w:cstheme="majorHAnsi"/>
        </w:rPr>
        <w:t>. It includes images and a table, preparing the reader for an in-depth analysis of the myth and mirroring its complexity.</w:t>
      </w:r>
    </w:p>
    <w:p w:rsidR="00F214D2" w:rsidRPr="00617A7E" w:rsidRDefault="003F689B">
      <w:pPr>
        <w:pStyle w:val="BodyText"/>
        <w:rPr>
          <w:rFonts w:asciiTheme="majorHAnsi" w:hAnsiTheme="majorHAnsi" w:cstheme="majorHAnsi"/>
        </w:rPr>
      </w:pPr>
      <w:r w:rsidRPr="00617A7E">
        <w:rPr>
          <w:rFonts w:asciiTheme="majorHAnsi" w:hAnsiTheme="majorHAnsi" w:cstheme="majorHAnsi"/>
        </w:rPr>
        <w:t xml:space="preserve">The titles reveal contrasting orientations. Cohen’s title </w:t>
      </w:r>
      <w:r w:rsidR="00050A43" w:rsidRPr="00617A7E">
        <w:rPr>
          <w:rFonts w:asciiTheme="majorHAnsi" w:hAnsiTheme="majorHAnsi" w:cstheme="majorHAnsi"/>
        </w:rPr>
        <w:t>centres on</w:t>
      </w:r>
      <w:r w:rsidRPr="00617A7E">
        <w:rPr>
          <w:rFonts w:asciiTheme="majorHAnsi" w:hAnsiTheme="majorHAnsi" w:cstheme="majorHAnsi"/>
        </w:rPr>
        <w:t xml:space="preserve"> the act of naming: ‘What Do the Gods Call the Sky?’ is a question, with the gods as the grammatical subject, actively assigning meaning. The subtitle, ‘Naming the Celestial in Old Norse’, is direct and locates the work within a specific culture and time. Feeney</w:t>
      </w:r>
      <w:r w:rsidR="00050A43" w:rsidRPr="00617A7E">
        <w:rPr>
          <w:rFonts w:asciiTheme="majorHAnsi" w:hAnsiTheme="majorHAnsi" w:cstheme="majorHAnsi"/>
        </w:rPr>
        <w:t>-</w:t>
      </w:r>
      <w:r w:rsidRPr="00617A7E">
        <w:rPr>
          <w:rFonts w:asciiTheme="majorHAnsi" w:hAnsiTheme="majorHAnsi" w:cstheme="majorHAnsi"/>
        </w:rPr>
        <w:t xml:space="preserve">Beaton’s title works differently. By listing both astronomical designations (Altair and Vega) and mythic identities (the Cowherd and the Weaver Girl), the title itself performs the dual naming that the paper explores. </w:t>
      </w:r>
      <w:r w:rsidR="00050A43" w:rsidRPr="00617A7E">
        <w:rPr>
          <w:rFonts w:asciiTheme="majorHAnsi" w:hAnsiTheme="majorHAnsi" w:cstheme="majorHAnsi"/>
        </w:rPr>
        <w:t xml:space="preserve">It </w:t>
      </w:r>
      <w:r w:rsidRPr="00617A7E">
        <w:rPr>
          <w:rFonts w:asciiTheme="majorHAnsi" w:hAnsiTheme="majorHAnsi" w:cstheme="majorHAnsi"/>
        </w:rPr>
        <w:t>contains no specific cultural marker equivalent to ‘Old Norse’. Where Cohen names the culture and keeps the celestial abstract, Feeney</w:t>
      </w:r>
      <w:r w:rsidR="00050A43" w:rsidRPr="00617A7E">
        <w:rPr>
          <w:rFonts w:asciiTheme="majorHAnsi" w:hAnsiTheme="majorHAnsi" w:cstheme="majorHAnsi"/>
        </w:rPr>
        <w:t>-</w:t>
      </w:r>
      <w:r w:rsidRPr="00617A7E">
        <w:rPr>
          <w:rFonts w:asciiTheme="majorHAnsi" w:hAnsiTheme="majorHAnsi" w:cstheme="majorHAnsi"/>
        </w:rPr>
        <w:t>Beaton names the stars and their characters but withholds the cultural context. The phrase ‘living sky-myth’ does significant work in the title, carrying both a claim and an analytical burden that the paper must subsequently justify.</w:t>
      </w:r>
    </w:p>
    <w:p w:rsidR="00F214D2" w:rsidRPr="00617A7E" w:rsidRDefault="003F689B">
      <w:pPr>
        <w:pStyle w:val="BodyText"/>
        <w:rPr>
          <w:rFonts w:asciiTheme="majorHAnsi" w:hAnsiTheme="majorHAnsi" w:cstheme="majorHAnsi"/>
        </w:rPr>
      </w:pPr>
      <w:r w:rsidRPr="00617A7E">
        <w:rPr>
          <w:rFonts w:asciiTheme="majorHAnsi" w:hAnsiTheme="majorHAnsi" w:cstheme="majorHAnsi"/>
        </w:rPr>
        <w:t>The authors’ backgrounds inform their approaches. Cohen is a US-based scholar of religion, trained in Sanskrit, with research interests in Hinduism and South Asian Buddhism.</w:t>
      </w:r>
      <w:r w:rsidR="00735A54" w:rsidRPr="00617A7E">
        <w:rPr>
          <w:rFonts w:asciiTheme="majorHAnsi" w:hAnsiTheme="majorHAnsi" w:cstheme="majorHAnsi"/>
        </w:rPr>
        <w:t xml:space="preserve"> </w:t>
      </w:r>
      <w:r w:rsidRPr="00617A7E">
        <w:rPr>
          <w:rFonts w:asciiTheme="majorHAnsi" w:hAnsiTheme="majorHAnsi" w:cstheme="majorHAnsi"/>
        </w:rPr>
        <w:t xml:space="preserve">This comparative grounding is evident in her opening paragraph, which places the </w:t>
      </w:r>
      <w:r w:rsidRPr="00617A7E">
        <w:rPr>
          <w:rFonts w:asciiTheme="majorHAnsi" w:hAnsiTheme="majorHAnsi" w:cstheme="majorHAnsi"/>
          <w:i/>
          <w:iCs/>
        </w:rPr>
        <w:t>Alvissmal</w:t>
      </w:r>
      <w:r w:rsidRPr="00617A7E">
        <w:rPr>
          <w:rFonts w:asciiTheme="majorHAnsi" w:hAnsiTheme="majorHAnsi" w:cstheme="majorHAnsi"/>
        </w:rPr>
        <w:t xml:space="preserve"> within a wider Indo-European tradition of divine vocabularies, drawing on parallels from India, Iran, Ireland, Anatolia, and Greece.</w:t>
      </w:r>
      <w:r w:rsidRPr="00617A7E">
        <w:rPr>
          <w:rStyle w:val="FootnoteReference"/>
          <w:rFonts w:asciiTheme="majorHAnsi" w:hAnsiTheme="majorHAnsi" w:cstheme="majorHAnsi"/>
        </w:rPr>
        <w:footnoteReference w:id="6"/>
      </w:r>
      <w:r w:rsidRPr="00617A7E">
        <w:rPr>
          <w:rFonts w:asciiTheme="majorHAnsi" w:hAnsiTheme="majorHAnsi" w:cstheme="majorHAnsi"/>
        </w:rPr>
        <w:t xml:space="preserve"> Feeney</w:t>
      </w:r>
      <w:r w:rsidR="00050A43" w:rsidRPr="00617A7E">
        <w:rPr>
          <w:rFonts w:asciiTheme="majorHAnsi" w:hAnsiTheme="majorHAnsi" w:cstheme="majorHAnsi"/>
        </w:rPr>
        <w:t>-</w:t>
      </w:r>
      <w:r w:rsidRPr="00617A7E">
        <w:rPr>
          <w:rFonts w:asciiTheme="majorHAnsi" w:hAnsiTheme="majorHAnsi" w:cstheme="majorHAnsi"/>
        </w:rPr>
        <w:t xml:space="preserve">Beaton is a </w:t>
      </w:r>
      <w:r w:rsidR="00552FA8">
        <w:rPr>
          <w:rFonts w:asciiTheme="majorHAnsi" w:hAnsiTheme="majorHAnsi" w:cstheme="majorHAnsi"/>
        </w:rPr>
        <w:t xml:space="preserve">UK-based </w:t>
      </w:r>
      <w:r w:rsidRPr="00617A7E">
        <w:rPr>
          <w:rFonts w:asciiTheme="majorHAnsi" w:hAnsiTheme="majorHAnsi" w:cstheme="majorHAnsi"/>
        </w:rPr>
        <w:t>graduate of the Sophia Centre MA in Cultural Astronomy</w:t>
      </w:r>
      <w:r w:rsidR="00857095" w:rsidRPr="00617A7E">
        <w:rPr>
          <w:rFonts w:asciiTheme="majorHAnsi" w:hAnsiTheme="majorHAnsi" w:cstheme="majorHAnsi"/>
        </w:rPr>
        <w:t xml:space="preserve"> and Astrology</w:t>
      </w:r>
      <w:r w:rsidRPr="00617A7E">
        <w:rPr>
          <w:rFonts w:asciiTheme="majorHAnsi" w:hAnsiTheme="majorHAnsi" w:cstheme="majorHAnsi"/>
        </w:rPr>
        <w:t>, with a professional background in costume and textiles at the Royal Opera House.</w:t>
      </w:r>
      <w:r w:rsidR="00735A54" w:rsidRPr="00617A7E">
        <w:rPr>
          <w:rFonts w:asciiTheme="majorHAnsi" w:hAnsiTheme="majorHAnsi" w:cstheme="majorHAnsi"/>
        </w:rPr>
        <w:t xml:space="preserve"> </w:t>
      </w:r>
      <w:r w:rsidRPr="00617A7E">
        <w:rPr>
          <w:rFonts w:asciiTheme="majorHAnsi" w:hAnsiTheme="majorHAnsi" w:cstheme="majorHAnsi"/>
        </w:rPr>
        <w:t xml:space="preserve">Her interest in ‘the anthropology of the everyday’ brings a personal dimension absent from Cohen’s paper. This is reflected in her language: she describes weaving </w:t>
      </w:r>
      <w:r w:rsidRPr="00617A7E">
        <w:rPr>
          <w:rFonts w:asciiTheme="majorHAnsi" w:hAnsiTheme="majorHAnsi" w:cstheme="majorHAnsi"/>
        </w:rPr>
        <w:lastRenderedPageBreak/>
        <w:t>as ‘manufacturing the cosmos and colouring the heavens’.</w:t>
      </w:r>
      <w:r w:rsidRPr="00617A7E">
        <w:rPr>
          <w:rStyle w:val="FootnoteReference"/>
          <w:rFonts w:asciiTheme="majorHAnsi" w:hAnsiTheme="majorHAnsi" w:cstheme="majorHAnsi"/>
        </w:rPr>
        <w:footnoteReference w:id="7"/>
      </w:r>
      <w:r w:rsidRPr="00617A7E">
        <w:rPr>
          <w:rFonts w:asciiTheme="majorHAnsi" w:hAnsiTheme="majorHAnsi" w:cstheme="majorHAnsi"/>
        </w:rPr>
        <w:t xml:space="preserve"> The first phrase sounds industrial, almost mechanical; the second is theatrical and creative. This unevenness of register runs throughout the paper and is worth noting as a feature of Feeney</w:t>
      </w:r>
      <w:r w:rsidR="00735A54" w:rsidRPr="00617A7E">
        <w:rPr>
          <w:rFonts w:asciiTheme="majorHAnsi" w:hAnsiTheme="majorHAnsi" w:cstheme="majorHAnsi"/>
        </w:rPr>
        <w:t>-</w:t>
      </w:r>
      <w:r w:rsidRPr="00617A7E">
        <w:rPr>
          <w:rFonts w:asciiTheme="majorHAnsi" w:hAnsiTheme="majorHAnsi" w:cstheme="majorHAnsi"/>
        </w:rPr>
        <w:t>Beaton’s style.</w:t>
      </w:r>
    </w:p>
    <w:p w:rsidR="00F214D2" w:rsidRPr="00617A7E" w:rsidRDefault="003F689B">
      <w:pPr>
        <w:pStyle w:val="Heading1"/>
        <w:rPr>
          <w:rFonts w:cstheme="majorHAnsi"/>
          <w:color w:val="auto"/>
          <w:sz w:val="24"/>
          <w:szCs w:val="24"/>
        </w:rPr>
      </w:pPr>
      <w:bookmarkStart w:id="8" w:name="methodology-and-sources"/>
      <w:bookmarkEnd w:id="7"/>
      <w:r w:rsidRPr="00617A7E">
        <w:rPr>
          <w:rFonts w:cstheme="majorHAnsi"/>
          <w:color w:val="auto"/>
          <w:sz w:val="24"/>
          <w:szCs w:val="24"/>
        </w:rPr>
        <w:t>Methodology and Sources</w:t>
      </w:r>
    </w:p>
    <w:p w:rsidR="00F214D2" w:rsidRPr="00617A7E" w:rsidRDefault="003F689B">
      <w:pPr>
        <w:pStyle w:val="FirstParagraph"/>
        <w:rPr>
          <w:rFonts w:asciiTheme="majorHAnsi" w:hAnsiTheme="majorHAnsi" w:cstheme="majorHAnsi"/>
        </w:rPr>
      </w:pPr>
      <w:r w:rsidRPr="00617A7E">
        <w:rPr>
          <w:rFonts w:asciiTheme="majorHAnsi" w:hAnsiTheme="majorHAnsi" w:cstheme="majorHAnsi"/>
        </w:rPr>
        <w:t>Cohen’s methodology is close textual reading combined with etymological analysis. She works through the poem’s stanzas systematically, examining the rare words assigned to each category of beings. Her approach draws on the comparative linguistics tradition established by Watkins, who demonstrated that the notion of separate vocabularies for gods and humans is an archaic Indo-European idea.</w:t>
      </w:r>
      <w:r w:rsidRPr="00617A7E">
        <w:rPr>
          <w:rStyle w:val="FootnoteReference"/>
          <w:rFonts w:asciiTheme="majorHAnsi" w:hAnsiTheme="majorHAnsi" w:cstheme="majorHAnsi"/>
        </w:rPr>
        <w:footnoteReference w:id="8"/>
      </w:r>
      <w:r w:rsidRPr="00617A7E">
        <w:rPr>
          <w:rFonts w:asciiTheme="majorHAnsi" w:hAnsiTheme="majorHAnsi" w:cstheme="majorHAnsi"/>
        </w:rPr>
        <w:t xml:space="preserve"> Cohen’s references are precise: editions and translations of the </w:t>
      </w:r>
      <w:r w:rsidRPr="00617A7E">
        <w:rPr>
          <w:rFonts w:asciiTheme="majorHAnsi" w:hAnsiTheme="majorHAnsi" w:cstheme="majorHAnsi"/>
          <w:i/>
          <w:iCs/>
        </w:rPr>
        <w:t>Poetic Edda</w:t>
      </w:r>
      <w:r w:rsidRPr="00617A7E">
        <w:rPr>
          <w:rFonts w:asciiTheme="majorHAnsi" w:hAnsiTheme="majorHAnsi" w:cstheme="majorHAnsi"/>
        </w:rPr>
        <w:t xml:space="preserve">, Icelandic dictionaries, and scholarly commentary on specific Old Norse terms. </w:t>
      </w:r>
      <w:r w:rsidR="00A97AB3" w:rsidRPr="00617A7E">
        <w:rPr>
          <w:rFonts w:asciiTheme="majorHAnsi" w:hAnsiTheme="majorHAnsi" w:cstheme="majorHAnsi"/>
        </w:rPr>
        <w:t>Seventeen</w:t>
      </w:r>
      <w:r w:rsidRPr="00617A7E">
        <w:rPr>
          <w:rFonts w:asciiTheme="majorHAnsi" w:hAnsiTheme="majorHAnsi" w:cstheme="majorHAnsi"/>
        </w:rPr>
        <w:t xml:space="preserve"> footnotes across ten pages, with each claim anchored in textual evidence. The strength of this approach is its rigour; its limitation is that it can tell us what the poem says about celestial naming but cannot tell us whether these vocabularies were ever practised in lived ritual. Cohen herself does not make this claim, and that restraint is appropriate to her method.</w:t>
      </w:r>
    </w:p>
    <w:p w:rsidR="00F214D2" w:rsidRPr="00617A7E" w:rsidRDefault="003F689B">
      <w:pPr>
        <w:pStyle w:val="BodyText"/>
        <w:rPr>
          <w:rFonts w:asciiTheme="majorHAnsi" w:hAnsiTheme="majorHAnsi" w:cstheme="majorHAnsi"/>
        </w:rPr>
      </w:pPr>
      <w:r w:rsidRPr="00617A7E">
        <w:rPr>
          <w:rFonts w:asciiTheme="majorHAnsi" w:hAnsiTheme="majorHAnsi" w:cstheme="majorHAnsi"/>
        </w:rPr>
        <w:t>Feeney</w:t>
      </w:r>
      <w:r w:rsidR="00A97AB3" w:rsidRPr="00617A7E">
        <w:rPr>
          <w:rFonts w:asciiTheme="majorHAnsi" w:hAnsiTheme="majorHAnsi" w:cstheme="majorHAnsi"/>
        </w:rPr>
        <w:t>-</w:t>
      </w:r>
      <w:r w:rsidRPr="00617A7E">
        <w:rPr>
          <w:rFonts w:asciiTheme="majorHAnsi" w:hAnsiTheme="majorHAnsi" w:cstheme="majorHAnsi"/>
        </w:rPr>
        <w:t xml:space="preserve">Beaton’s methodology </w:t>
      </w:r>
      <w:r w:rsidR="00A97AB3" w:rsidRPr="00617A7E">
        <w:rPr>
          <w:rFonts w:asciiTheme="majorHAnsi" w:hAnsiTheme="majorHAnsi" w:cstheme="majorHAnsi"/>
        </w:rPr>
        <w:t>draws from several different methods</w:t>
      </w:r>
      <w:r w:rsidRPr="00617A7E">
        <w:rPr>
          <w:rFonts w:asciiTheme="majorHAnsi" w:hAnsiTheme="majorHAnsi" w:cstheme="majorHAnsi"/>
        </w:rPr>
        <w:t>. She combines structural analysis of the myth’s narrative (sky, earth, return), a cross-cultural survey of weaving goddesses, astronomical discussion of Vega and Altair, analysis of festival traditions, and a small-scale case study among thirty-six respondents in the UK.</w:t>
      </w:r>
      <w:r w:rsidRPr="00617A7E">
        <w:rPr>
          <w:rStyle w:val="FootnoteReference"/>
          <w:rFonts w:asciiTheme="majorHAnsi" w:hAnsiTheme="majorHAnsi" w:cstheme="majorHAnsi"/>
        </w:rPr>
        <w:footnoteReference w:id="9"/>
      </w:r>
      <w:r w:rsidRPr="00617A7E">
        <w:rPr>
          <w:rFonts w:asciiTheme="majorHAnsi" w:hAnsiTheme="majorHAnsi" w:cstheme="majorHAnsi"/>
        </w:rPr>
        <w:t xml:space="preserve"> Her source types range widely, from </w:t>
      </w:r>
      <w:r w:rsidR="002A5051" w:rsidRPr="00617A7E">
        <w:rPr>
          <w:rFonts w:asciiTheme="majorHAnsi" w:hAnsiTheme="majorHAnsi" w:cstheme="majorHAnsi"/>
        </w:rPr>
        <w:t xml:space="preserve">the study of Chinese mythology </w:t>
      </w:r>
      <w:r w:rsidRPr="00617A7E">
        <w:rPr>
          <w:rFonts w:asciiTheme="majorHAnsi" w:hAnsiTheme="majorHAnsi" w:cstheme="majorHAnsi"/>
        </w:rPr>
        <w:t xml:space="preserve">and folklore studies to websites, blog posts, and a YouTube video link. This breadth </w:t>
      </w:r>
      <w:r w:rsidR="002A5051" w:rsidRPr="00617A7E">
        <w:rPr>
          <w:rFonts w:asciiTheme="majorHAnsi" w:hAnsiTheme="majorHAnsi" w:cstheme="majorHAnsi"/>
        </w:rPr>
        <w:t xml:space="preserve">is reflected in her sixty-four footnotes and varied use of media. The reader is taken on an intricate journey as she </w:t>
      </w:r>
      <w:r w:rsidRPr="00617A7E">
        <w:rPr>
          <w:rFonts w:asciiTheme="majorHAnsi" w:hAnsiTheme="majorHAnsi" w:cstheme="majorHAnsi"/>
        </w:rPr>
        <w:t>trace</w:t>
      </w:r>
      <w:r w:rsidR="002A5051" w:rsidRPr="00617A7E">
        <w:rPr>
          <w:rFonts w:asciiTheme="majorHAnsi" w:hAnsiTheme="majorHAnsi" w:cstheme="majorHAnsi"/>
        </w:rPr>
        <w:t>s</w:t>
      </w:r>
      <w:r w:rsidRPr="00617A7E">
        <w:rPr>
          <w:rFonts w:asciiTheme="majorHAnsi" w:hAnsiTheme="majorHAnsi" w:cstheme="majorHAnsi"/>
        </w:rPr>
        <w:t xml:space="preserve"> the myth across time and geography, but some sources undermine the argument. One reference cited as evidence for the myth’s contemporary astronomical relevance is a travel article listing ‘top 5 romantic places to go stargazing with your partner’.</w:t>
      </w:r>
      <w:r w:rsidRPr="00617A7E">
        <w:rPr>
          <w:rStyle w:val="FootnoteReference"/>
          <w:rFonts w:asciiTheme="majorHAnsi" w:hAnsiTheme="majorHAnsi" w:cstheme="majorHAnsi"/>
        </w:rPr>
        <w:footnoteReference w:id="10"/>
      </w:r>
      <w:r w:rsidRPr="00617A7E">
        <w:rPr>
          <w:rFonts w:asciiTheme="majorHAnsi" w:hAnsiTheme="majorHAnsi" w:cstheme="majorHAnsi"/>
        </w:rPr>
        <w:t xml:space="preserve"> This has no direct connection to the myth itself and weakens the evidentiary basis of the paper’s central claim.</w:t>
      </w:r>
    </w:p>
    <w:p w:rsidR="00F214D2" w:rsidRPr="001B4D7E" w:rsidRDefault="004241F9" w:rsidP="008E6C93">
      <w:pPr>
        <w:rPr>
          <w:rFonts w:asciiTheme="majorHAnsi" w:eastAsia="Times New Roman" w:hAnsiTheme="majorHAnsi" w:cstheme="majorHAnsi"/>
        </w:rPr>
      </w:pPr>
      <w:r w:rsidRPr="00617A7E">
        <w:rPr>
          <w:rFonts w:asciiTheme="majorHAnsi" w:hAnsiTheme="majorHAnsi" w:cstheme="majorHAnsi"/>
        </w:rPr>
        <w:t xml:space="preserve">Bascom's </w:t>
      </w:r>
      <w:r w:rsidR="008E6C93" w:rsidRPr="00617A7E">
        <w:rPr>
          <w:rFonts w:asciiTheme="majorHAnsi" w:hAnsiTheme="majorHAnsi" w:cstheme="majorHAnsi"/>
        </w:rPr>
        <w:t xml:space="preserve">foundational </w:t>
      </w:r>
      <w:r w:rsidRPr="00617A7E">
        <w:rPr>
          <w:rFonts w:asciiTheme="majorHAnsi" w:hAnsiTheme="majorHAnsi" w:cstheme="majorHAnsi"/>
        </w:rPr>
        <w:t xml:space="preserve">1954 essay, still widely cited in folklore studies, offers a useful </w:t>
      </w:r>
      <w:r w:rsidR="008E6C93" w:rsidRPr="00617A7E">
        <w:rPr>
          <w:rFonts w:asciiTheme="majorHAnsi" w:hAnsiTheme="majorHAnsi" w:cstheme="majorHAnsi"/>
        </w:rPr>
        <w:t xml:space="preserve">lens </w:t>
      </w:r>
      <w:r w:rsidR="003F689B" w:rsidRPr="00617A7E">
        <w:rPr>
          <w:rFonts w:asciiTheme="majorHAnsi" w:hAnsiTheme="majorHAnsi" w:cstheme="majorHAnsi"/>
        </w:rPr>
        <w:t>for evaluating this distinction.</w:t>
      </w:r>
      <w:r w:rsidR="003F689B" w:rsidRPr="00617A7E">
        <w:rPr>
          <w:rStyle w:val="FootnoteReference"/>
          <w:rFonts w:asciiTheme="majorHAnsi" w:hAnsiTheme="majorHAnsi" w:cstheme="majorHAnsi"/>
        </w:rPr>
        <w:footnoteReference w:id="11"/>
      </w:r>
      <w:r w:rsidR="003F689B" w:rsidRPr="00617A7E">
        <w:rPr>
          <w:rFonts w:asciiTheme="majorHAnsi" w:hAnsiTheme="majorHAnsi" w:cstheme="majorHAnsi"/>
        </w:rPr>
        <w:t xml:space="preserve"> He argued that folklore must be understood in relation to its social functions: it validates culture, educates, maintains conformity, and provides an escape from </w:t>
      </w:r>
      <w:r w:rsidR="003F689B" w:rsidRPr="00617A7E">
        <w:rPr>
          <w:rFonts w:asciiTheme="majorHAnsi" w:hAnsiTheme="majorHAnsi" w:cstheme="majorHAnsi"/>
        </w:rPr>
        <w:lastRenderedPageBreak/>
        <w:t>societal constraints.</w:t>
      </w:r>
      <w:r w:rsidR="003F689B" w:rsidRPr="00617A7E">
        <w:rPr>
          <w:rStyle w:val="FootnoteReference"/>
          <w:rFonts w:asciiTheme="majorHAnsi" w:hAnsiTheme="majorHAnsi" w:cstheme="majorHAnsi"/>
        </w:rPr>
        <w:footnoteReference w:id="12"/>
      </w:r>
      <w:r w:rsidR="003F689B" w:rsidRPr="00617A7E">
        <w:rPr>
          <w:rFonts w:asciiTheme="majorHAnsi" w:hAnsiTheme="majorHAnsi" w:cstheme="majorHAnsi"/>
        </w:rPr>
        <w:t xml:space="preserve"> Crucially, he insisted that text without context ‘remains lifeless’.</w:t>
      </w:r>
      <w:r w:rsidR="003F689B" w:rsidRPr="00617A7E">
        <w:rPr>
          <w:rStyle w:val="FootnoteReference"/>
          <w:rFonts w:asciiTheme="majorHAnsi" w:hAnsiTheme="majorHAnsi" w:cstheme="majorHAnsi"/>
        </w:rPr>
        <w:footnoteReference w:id="13"/>
      </w:r>
      <w:r w:rsidR="003F689B" w:rsidRPr="00617A7E">
        <w:rPr>
          <w:rFonts w:asciiTheme="majorHAnsi" w:hAnsiTheme="majorHAnsi" w:cstheme="majorHAnsi"/>
        </w:rPr>
        <w:t xml:space="preserve"> Cohen works with text and acknowledges the limitation.</w:t>
      </w:r>
      <w:r w:rsidR="002078EA" w:rsidRPr="00617A7E">
        <w:rPr>
          <w:rFonts w:asciiTheme="majorHAnsi" w:hAnsiTheme="majorHAnsi" w:cstheme="majorHAnsi"/>
        </w:rPr>
        <w:t xml:space="preserve"> </w:t>
      </w:r>
      <w:r w:rsidR="002078EA" w:rsidRPr="00617A7E">
        <w:rPr>
          <w:rFonts w:asciiTheme="majorHAnsi" w:eastAsia="Times New Roman" w:hAnsiTheme="majorHAnsi" w:cstheme="majorHAnsi"/>
        </w:rPr>
        <w:t>Feeney</w:t>
      </w:r>
      <w:r w:rsidR="00EF1B53" w:rsidRPr="00617A7E">
        <w:rPr>
          <w:rFonts w:asciiTheme="majorHAnsi" w:eastAsia="Times New Roman" w:hAnsiTheme="majorHAnsi" w:cstheme="majorHAnsi"/>
        </w:rPr>
        <w:t>-</w:t>
      </w:r>
      <w:r w:rsidR="002078EA" w:rsidRPr="00617A7E">
        <w:rPr>
          <w:rFonts w:asciiTheme="majorHAnsi" w:eastAsia="Times New Roman" w:hAnsiTheme="majorHAnsi" w:cstheme="majorHAnsi"/>
        </w:rPr>
        <w:t>Beaton attempts to recover context, but the sheer range of material, spanning three millennia, multiple cultures, and several continents, means that no single strand of evidence receives the sustained attention that Bascom's emphasis on social context would demand.</w:t>
      </w:r>
    </w:p>
    <w:p w:rsidR="00F214D2" w:rsidRPr="00617A7E" w:rsidRDefault="003F689B">
      <w:pPr>
        <w:pStyle w:val="Heading1"/>
        <w:rPr>
          <w:rFonts w:cstheme="majorHAnsi"/>
          <w:color w:val="auto"/>
          <w:sz w:val="24"/>
          <w:szCs w:val="24"/>
        </w:rPr>
      </w:pPr>
      <w:bookmarkStart w:id="9" w:name="the-knowingliving-tension"/>
      <w:bookmarkEnd w:id="8"/>
      <w:r w:rsidRPr="00617A7E">
        <w:rPr>
          <w:rFonts w:cstheme="majorHAnsi"/>
          <w:color w:val="auto"/>
          <w:sz w:val="24"/>
          <w:szCs w:val="24"/>
        </w:rPr>
        <w:t>The Knowing/Living Tension</w:t>
      </w:r>
    </w:p>
    <w:p w:rsidR="00F214D2" w:rsidRPr="00617A7E" w:rsidRDefault="003F689B">
      <w:pPr>
        <w:pStyle w:val="FirstParagraph"/>
        <w:rPr>
          <w:rFonts w:asciiTheme="majorHAnsi" w:hAnsiTheme="majorHAnsi" w:cstheme="majorHAnsi"/>
        </w:rPr>
      </w:pPr>
      <w:r w:rsidRPr="00617A7E">
        <w:rPr>
          <w:rFonts w:asciiTheme="majorHAnsi" w:hAnsiTheme="majorHAnsi" w:cstheme="majorHAnsi"/>
        </w:rPr>
        <w:t>The central analytical tension between these papers can be framed as a question of knowing versus living. Cohen’s paper contains a striking irony at its core. The dwarf Alviss is ‘all-wise’: he recites the names for the sun as used by gods, elves, dwarves, giants, and those in Hel. Yet Cohen observes that ‘his learning is more theoretical than applied’, for he ‘forgets to watch the actual sun’ as he lists his rare words.</w:t>
      </w:r>
      <w:r w:rsidRPr="00617A7E">
        <w:rPr>
          <w:rStyle w:val="FootnoteReference"/>
          <w:rFonts w:asciiTheme="majorHAnsi" w:hAnsiTheme="majorHAnsi" w:cstheme="majorHAnsi"/>
        </w:rPr>
        <w:footnoteReference w:id="14"/>
      </w:r>
      <w:r w:rsidRPr="00617A7E">
        <w:rPr>
          <w:rFonts w:asciiTheme="majorHAnsi" w:hAnsiTheme="majorHAnsi" w:cstheme="majorHAnsi"/>
        </w:rPr>
        <w:t xml:space="preserve"> The sun rises, and Alviss is turned to stone. His encyclopaedic knowledge of celestial vocabulary is fatally disconnected from embodied awareness of the celestial body itself. The dwarf’s name for the sun, ‘Dvalin’s Toy’, carries a double meaning that Cohen draws out: </w:t>
      </w:r>
      <w:r w:rsidRPr="00617A7E">
        <w:rPr>
          <w:rFonts w:asciiTheme="majorHAnsi" w:hAnsiTheme="majorHAnsi" w:cstheme="majorHAnsi"/>
          <w:i/>
          <w:iCs/>
        </w:rPr>
        <w:t>leika</w:t>
      </w:r>
      <w:r w:rsidRPr="00617A7E">
        <w:rPr>
          <w:rFonts w:asciiTheme="majorHAnsi" w:hAnsiTheme="majorHAnsi" w:cstheme="majorHAnsi"/>
        </w:rPr>
        <w:t xml:space="preserve"> means both ‘plaything’ and ‘trap’.</w:t>
      </w:r>
      <w:r w:rsidRPr="00617A7E">
        <w:rPr>
          <w:rStyle w:val="FootnoteReference"/>
          <w:rFonts w:asciiTheme="majorHAnsi" w:hAnsiTheme="majorHAnsi" w:cstheme="majorHAnsi"/>
        </w:rPr>
        <w:footnoteReference w:id="15"/>
      </w:r>
      <w:r w:rsidRPr="00617A7E">
        <w:rPr>
          <w:rFonts w:asciiTheme="majorHAnsi" w:hAnsiTheme="majorHAnsi" w:cstheme="majorHAnsi"/>
        </w:rPr>
        <w:t xml:space="preserve"> The warning is embedded in the vocabulary itself, but Alviss cannot hear it because he treats words as objects to be catalogued rather than as lived relationships to the world.</w:t>
      </w:r>
    </w:p>
    <w:p w:rsidR="00F214D2" w:rsidRPr="00617A7E" w:rsidRDefault="003F689B">
      <w:pPr>
        <w:pStyle w:val="BodyText"/>
        <w:rPr>
          <w:rFonts w:asciiTheme="majorHAnsi" w:hAnsiTheme="majorHAnsi" w:cstheme="majorHAnsi"/>
        </w:rPr>
      </w:pPr>
      <w:r w:rsidRPr="00617A7E">
        <w:rPr>
          <w:rFonts w:asciiTheme="majorHAnsi" w:hAnsiTheme="majorHAnsi" w:cstheme="majorHAnsi"/>
        </w:rPr>
        <w:t>Cohen’s analysis of the vocabulary assigned to each being reveals a further dimension. The Aesir see the sky as an architectural vault; the Vanir call it ‘Wind-Weaver’, full of movement and creative potential; the giants, earthbound and prosaic, call it ‘the World Up There’; the dwarves, who prefer the underground, call it ‘the Dripping Hall’.</w:t>
      </w:r>
      <w:r w:rsidRPr="00617A7E">
        <w:rPr>
          <w:rStyle w:val="FootnoteReference"/>
          <w:rFonts w:asciiTheme="majorHAnsi" w:hAnsiTheme="majorHAnsi" w:cstheme="majorHAnsi"/>
        </w:rPr>
        <w:footnoteReference w:id="16"/>
      </w:r>
      <w:r w:rsidRPr="00617A7E">
        <w:rPr>
          <w:rFonts w:asciiTheme="majorHAnsi" w:hAnsiTheme="majorHAnsi" w:cstheme="majorHAnsi"/>
        </w:rPr>
        <w:t xml:space="preserve"> What emerges is that the way a being names the sky also categorises the namer. Each term is a self-portrait as much as a description of the cosmos. The giants’ blunt vocabulary reveals their earthbound nature; the elves’ appreciation of beauty reveals theirs. In this sense, each creature becomes the creator of its own experience of the sky, and the reader learns as much about the observer as about what is observed. Cohen concludes that the </w:t>
      </w:r>
      <w:r w:rsidRPr="00617A7E">
        <w:rPr>
          <w:rFonts w:asciiTheme="majorHAnsi" w:hAnsiTheme="majorHAnsi" w:cstheme="majorHAnsi"/>
          <w:i/>
          <w:iCs/>
        </w:rPr>
        <w:t>Alvissmal</w:t>
      </w:r>
      <w:r w:rsidRPr="00617A7E">
        <w:rPr>
          <w:rFonts w:asciiTheme="majorHAnsi" w:hAnsiTheme="majorHAnsi" w:cstheme="majorHAnsi"/>
        </w:rPr>
        <w:t xml:space="preserve"> presents ‘an implicit theory of the relationship between external reality and cultural experience: the cosmos does not have a fixed meaning; its interpretation is always dependent on the observer’s culture and environment’.</w:t>
      </w:r>
      <w:r w:rsidRPr="00617A7E">
        <w:rPr>
          <w:rStyle w:val="FootnoteReference"/>
          <w:rFonts w:asciiTheme="majorHAnsi" w:hAnsiTheme="majorHAnsi" w:cstheme="majorHAnsi"/>
        </w:rPr>
        <w:footnoteReference w:id="17"/>
      </w:r>
    </w:p>
    <w:p w:rsidR="00F214D2" w:rsidRPr="00617A7E" w:rsidRDefault="003F689B">
      <w:pPr>
        <w:pStyle w:val="BodyText"/>
        <w:rPr>
          <w:rFonts w:asciiTheme="majorHAnsi" w:hAnsiTheme="majorHAnsi" w:cstheme="majorHAnsi"/>
        </w:rPr>
      </w:pPr>
      <w:r w:rsidRPr="00617A7E">
        <w:rPr>
          <w:rFonts w:asciiTheme="majorHAnsi" w:hAnsiTheme="majorHAnsi" w:cstheme="majorHAnsi"/>
        </w:rPr>
        <w:t xml:space="preserve">It is worth noting, however, that Cohen does not explore the poem’s structure as thoroughly as she does its vocabulary. The stanzas proceed from the earth to the sky, then the moon, then </w:t>
      </w:r>
      <w:r w:rsidRPr="00617A7E">
        <w:rPr>
          <w:rFonts w:asciiTheme="majorHAnsi" w:hAnsiTheme="majorHAnsi" w:cstheme="majorHAnsi"/>
        </w:rPr>
        <w:lastRenderedPageBreak/>
        <w:t>the sun, an earth-centric, bottom-up perspective. Whether this ordering carries cosmological significance is a question Cohen does not address. Similarly, Thor’s repeated refrain, ‘Tell me, Alviss, you know everything’, could be read as mockery or as a trap being set, since Thor is deliberately keeping the dwarf talking until dawn.</w:t>
      </w:r>
      <w:r w:rsidRPr="00617A7E">
        <w:rPr>
          <w:rStyle w:val="FootnoteReference"/>
          <w:rFonts w:asciiTheme="majorHAnsi" w:hAnsiTheme="majorHAnsi" w:cstheme="majorHAnsi"/>
        </w:rPr>
        <w:footnoteReference w:id="18"/>
      </w:r>
      <w:r w:rsidRPr="00617A7E">
        <w:rPr>
          <w:rFonts w:asciiTheme="majorHAnsi" w:hAnsiTheme="majorHAnsi" w:cstheme="majorHAnsi"/>
        </w:rPr>
        <w:t xml:space="preserve"> Cohen focuses on the meanings of the words rather than the dynamics of the dialogue, and this is a gap that a fuller reading of the poem might address.</w:t>
      </w:r>
    </w:p>
    <w:p w:rsidR="00891648" w:rsidRPr="001B4D7E" w:rsidRDefault="003F689B" w:rsidP="00891648">
      <w:pPr>
        <w:rPr>
          <w:rFonts w:asciiTheme="majorHAnsi" w:hAnsiTheme="majorHAnsi" w:cstheme="majorHAnsi"/>
        </w:rPr>
      </w:pPr>
      <w:r w:rsidRPr="00617A7E">
        <w:rPr>
          <w:rFonts w:asciiTheme="majorHAnsi" w:hAnsiTheme="majorHAnsi" w:cstheme="majorHAnsi"/>
        </w:rPr>
        <w:t>Feeney</w:t>
      </w:r>
      <w:r w:rsidR="00403236" w:rsidRPr="00617A7E">
        <w:rPr>
          <w:rFonts w:asciiTheme="majorHAnsi" w:hAnsiTheme="majorHAnsi" w:cstheme="majorHAnsi"/>
        </w:rPr>
        <w:t>-</w:t>
      </w:r>
      <w:r w:rsidRPr="00617A7E">
        <w:rPr>
          <w:rFonts w:asciiTheme="majorHAnsi" w:hAnsiTheme="majorHAnsi" w:cstheme="majorHAnsi"/>
        </w:rPr>
        <w:t>Beaton’s paper makes a different kind of claim. Under a sub-section titled ‘The Living Myth’, she defines her central term: ‘To be a living sky-myth, the legend needs to be alive for people living today.’</w:t>
      </w:r>
      <w:r w:rsidRPr="00617A7E">
        <w:rPr>
          <w:rStyle w:val="FootnoteReference"/>
          <w:rFonts w:asciiTheme="majorHAnsi" w:hAnsiTheme="majorHAnsi" w:cstheme="majorHAnsi"/>
        </w:rPr>
        <w:footnoteReference w:id="19"/>
      </w:r>
      <w:r w:rsidRPr="00617A7E">
        <w:rPr>
          <w:rFonts w:asciiTheme="majorHAnsi" w:hAnsiTheme="majorHAnsi" w:cstheme="majorHAnsi"/>
        </w:rPr>
        <w:t xml:space="preserve"> Her definition of ‘living’ is anchored in contemporary resonance. </w:t>
      </w:r>
      <w:r w:rsidR="00403236" w:rsidRPr="00617A7E">
        <w:rPr>
          <w:rFonts w:asciiTheme="majorHAnsi" w:hAnsiTheme="majorHAnsi" w:cstheme="majorHAnsi"/>
        </w:rPr>
        <w:t>T</w:t>
      </w:r>
      <w:r w:rsidRPr="00617A7E">
        <w:rPr>
          <w:rFonts w:asciiTheme="majorHAnsi" w:hAnsiTheme="majorHAnsi" w:cstheme="majorHAnsi"/>
        </w:rPr>
        <w:t>he question</w:t>
      </w:r>
      <w:r w:rsidR="00403236" w:rsidRPr="00617A7E">
        <w:rPr>
          <w:rFonts w:asciiTheme="majorHAnsi" w:hAnsiTheme="majorHAnsi" w:cstheme="majorHAnsi"/>
        </w:rPr>
        <w:t>, though,</w:t>
      </w:r>
      <w:r w:rsidRPr="00617A7E">
        <w:rPr>
          <w:rFonts w:asciiTheme="majorHAnsi" w:hAnsiTheme="majorHAnsi" w:cstheme="majorHAnsi"/>
        </w:rPr>
        <w:t xml:space="preserve"> is whether resonance is sufficient. Losada argues that myth is inherently local, ‘a product of a town’s tradition, a community, a culture’, and that globalisation can hollow out myth’s </w:t>
      </w:r>
      <w:r w:rsidR="0074598F" w:rsidRPr="00617A7E">
        <w:rPr>
          <w:rFonts w:asciiTheme="majorHAnsi" w:hAnsiTheme="majorHAnsi" w:cstheme="majorHAnsi"/>
        </w:rPr>
        <w:t>original</w:t>
      </w:r>
      <w:r w:rsidRPr="00617A7E">
        <w:rPr>
          <w:rFonts w:asciiTheme="majorHAnsi" w:hAnsiTheme="majorHAnsi" w:cstheme="majorHAnsi"/>
        </w:rPr>
        <w:t xml:space="preserve"> power.</w:t>
      </w:r>
      <w:r w:rsidRPr="00617A7E">
        <w:rPr>
          <w:rStyle w:val="FootnoteReference"/>
          <w:rFonts w:asciiTheme="majorHAnsi" w:hAnsiTheme="majorHAnsi" w:cstheme="majorHAnsi"/>
        </w:rPr>
        <w:footnoteReference w:id="20"/>
      </w:r>
      <w:r w:rsidR="001B4D7E">
        <w:rPr>
          <w:rFonts w:asciiTheme="majorHAnsi" w:hAnsiTheme="majorHAnsi" w:cstheme="majorHAnsi"/>
        </w:rPr>
        <w:t xml:space="preserve"> </w:t>
      </w:r>
      <w:r w:rsidR="001B4D7E">
        <w:rPr>
          <w:rFonts w:asciiTheme="majorHAnsi" w:eastAsia="Times New Roman" w:hAnsiTheme="majorHAnsi" w:cstheme="majorHAnsi"/>
        </w:rPr>
        <w:t>“</w:t>
      </w:r>
      <w:r w:rsidR="00891648" w:rsidRPr="001B4D7E">
        <w:rPr>
          <w:rFonts w:asciiTheme="majorHAnsi" w:eastAsia="Times New Roman" w:hAnsiTheme="majorHAnsi" w:cstheme="majorHAnsi"/>
        </w:rPr>
        <w:t>We can no longer think of nor live myth like it was thought of or lived in ancient or Christian times.</w:t>
      </w:r>
      <w:r w:rsidR="001B4D7E">
        <w:rPr>
          <w:rFonts w:asciiTheme="majorHAnsi" w:eastAsia="Times New Roman" w:hAnsiTheme="majorHAnsi" w:cstheme="majorHAnsi"/>
        </w:rPr>
        <w:t>”</w:t>
      </w:r>
      <w:r w:rsidRPr="001B4D7E">
        <w:rPr>
          <w:rStyle w:val="FootnoteReference"/>
          <w:rFonts w:asciiTheme="majorHAnsi" w:hAnsiTheme="majorHAnsi" w:cstheme="majorHAnsi"/>
        </w:rPr>
        <w:footnoteReference w:id="21"/>
      </w:r>
      <w:r w:rsidRPr="001B4D7E">
        <w:rPr>
          <w:rFonts w:asciiTheme="majorHAnsi" w:hAnsiTheme="majorHAnsi" w:cstheme="majorHAnsi"/>
        </w:rPr>
        <w:t xml:space="preserve"> </w:t>
      </w:r>
    </w:p>
    <w:p w:rsidR="00F214D2" w:rsidRPr="00617A7E" w:rsidRDefault="003F689B" w:rsidP="00891648">
      <w:pPr>
        <w:rPr>
          <w:rFonts w:asciiTheme="majorHAnsi" w:eastAsia="Times New Roman" w:hAnsiTheme="majorHAnsi" w:cstheme="majorHAnsi"/>
          <w:i/>
        </w:rPr>
      </w:pPr>
      <w:r w:rsidRPr="00617A7E">
        <w:rPr>
          <w:rFonts w:asciiTheme="majorHAnsi" w:hAnsiTheme="majorHAnsi" w:cstheme="majorHAnsi"/>
        </w:rPr>
        <w:t>If the Cowherd and Weaver Girl myth now functions primarily as the backstory for a Chinese Valentine’s Day, as Feeney</w:t>
      </w:r>
      <w:r w:rsidR="0074598F" w:rsidRPr="00617A7E">
        <w:rPr>
          <w:rFonts w:asciiTheme="majorHAnsi" w:hAnsiTheme="majorHAnsi" w:cstheme="majorHAnsi"/>
        </w:rPr>
        <w:t>-</w:t>
      </w:r>
      <w:r w:rsidRPr="00617A7E">
        <w:rPr>
          <w:rFonts w:asciiTheme="majorHAnsi" w:hAnsiTheme="majorHAnsi" w:cstheme="majorHAnsi"/>
        </w:rPr>
        <w:t>Beaton’s own evidence suggests,</w:t>
      </w:r>
      <w:r w:rsidRPr="00617A7E">
        <w:rPr>
          <w:rStyle w:val="FootnoteReference"/>
          <w:rFonts w:asciiTheme="majorHAnsi" w:hAnsiTheme="majorHAnsi" w:cstheme="majorHAnsi"/>
        </w:rPr>
        <w:footnoteReference w:id="22"/>
      </w:r>
      <w:r w:rsidRPr="00617A7E">
        <w:rPr>
          <w:rFonts w:asciiTheme="majorHAnsi" w:hAnsiTheme="majorHAnsi" w:cstheme="majorHAnsi"/>
        </w:rPr>
        <w:t xml:space="preserve"> it is worth asking whether its sacred and celestial dimensions remain active or have become ornamental.</w:t>
      </w:r>
    </w:p>
    <w:p w:rsidR="00F214D2" w:rsidRPr="00617A7E" w:rsidRDefault="003F689B">
      <w:pPr>
        <w:pStyle w:val="BodyText"/>
        <w:rPr>
          <w:rFonts w:asciiTheme="majorHAnsi" w:hAnsiTheme="majorHAnsi" w:cstheme="majorHAnsi"/>
        </w:rPr>
      </w:pPr>
      <w:r w:rsidRPr="00617A7E">
        <w:rPr>
          <w:rFonts w:asciiTheme="majorHAnsi" w:hAnsiTheme="majorHAnsi" w:cstheme="majorHAnsi"/>
        </w:rPr>
        <w:t>Feeney</w:t>
      </w:r>
      <w:r w:rsidR="0074598F" w:rsidRPr="00617A7E">
        <w:rPr>
          <w:rFonts w:asciiTheme="majorHAnsi" w:hAnsiTheme="majorHAnsi" w:cstheme="majorHAnsi"/>
        </w:rPr>
        <w:t>-</w:t>
      </w:r>
      <w:r w:rsidRPr="00617A7E">
        <w:rPr>
          <w:rFonts w:asciiTheme="majorHAnsi" w:hAnsiTheme="majorHAnsi" w:cstheme="majorHAnsi"/>
        </w:rPr>
        <w:t>Beaton’s UK case study is revealing. Some respondents ‘were aware of the festivals but not of the narrative detail of the legend behind it’.</w:t>
      </w:r>
      <w:r w:rsidRPr="00617A7E">
        <w:rPr>
          <w:rStyle w:val="FootnoteReference"/>
          <w:rFonts w:asciiTheme="majorHAnsi" w:hAnsiTheme="majorHAnsi" w:cstheme="majorHAnsi"/>
        </w:rPr>
        <w:footnoteReference w:id="23"/>
      </w:r>
      <w:r w:rsidRPr="00617A7E">
        <w:rPr>
          <w:rFonts w:asciiTheme="majorHAnsi" w:hAnsiTheme="majorHAnsi" w:cstheme="majorHAnsi"/>
        </w:rPr>
        <w:t xml:space="preserve"> Others reported that the myth had been given a new title each time it was retold in English, and that characters were known by different names across versions.</w:t>
      </w:r>
      <w:r w:rsidRPr="00617A7E">
        <w:rPr>
          <w:rStyle w:val="FootnoteReference"/>
          <w:rFonts w:asciiTheme="majorHAnsi" w:hAnsiTheme="majorHAnsi" w:cstheme="majorHAnsi"/>
        </w:rPr>
        <w:footnoteReference w:id="24"/>
      </w:r>
      <w:r w:rsidRPr="00617A7E">
        <w:rPr>
          <w:rFonts w:asciiTheme="majorHAnsi" w:hAnsiTheme="majorHAnsi" w:cstheme="majorHAnsi"/>
        </w:rPr>
        <w:t xml:space="preserve"> There is a meaningful difference between knowing that Vega and Altair feature in a love story and going outside on the seventh evening of the seventh moon to look up at them. Feeney</w:t>
      </w:r>
      <w:r w:rsidR="0074598F" w:rsidRPr="00617A7E">
        <w:rPr>
          <w:rFonts w:asciiTheme="majorHAnsi" w:hAnsiTheme="majorHAnsi" w:cstheme="majorHAnsi"/>
        </w:rPr>
        <w:t>-</w:t>
      </w:r>
      <w:r w:rsidRPr="00617A7E">
        <w:rPr>
          <w:rFonts w:asciiTheme="majorHAnsi" w:hAnsiTheme="majorHAnsi" w:cstheme="majorHAnsi"/>
        </w:rPr>
        <w:t>Beaton provides rich evidence for the former and limited evidence for the latter. The myth may be culturally recognised, but the question of whether it is astronomically practised remains open.</w:t>
      </w:r>
    </w:p>
    <w:p w:rsidR="00F214D2" w:rsidRPr="00617A7E" w:rsidRDefault="003F689B">
      <w:pPr>
        <w:pStyle w:val="BodyText"/>
        <w:rPr>
          <w:rFonts w:asciiTheme="majorHAnsi" w:hAnsiTheme="majorHAnsi" w:cstheme="majorHAnsi"/>
        </w:rPr>
      </w:pPr>
      <w:r w:rsidRPr="00617A7E">
        <w:rPr>
          <w:rFonts w:asciiTheme="majorHAnsi" w:hAnsiTheme="majorHAnsi" w:cstheme="majorHAnsi"/>
        </w:rPr>
        <w:t xml:space="preserve">There is an additional asymmetry between the papers in terms of emotional accessibility. A reader encountering the </w:t>
      </w:r>
      <w:r w:rsidRPr="00617A7E">
        <w:rPr>
          <w:rFonts w:asciiTheme="majorHAnsi" w:hAnsiTheme="majorHAnsi" w:cstheme="majorHAnsi"/>
          <w:i/>
          <w:iCs/>
        </w:rPr>
        <w:t>Alvissmal</w:t>
      </w:r>
      <w:r w:rsidRPr="00617A7E">
        <w:rPr>
          <w:rFonts w:asciiTheme="majorHAnsi" w:hAnsiTheme="majorHAnsi" w:cstheme="majorHAnsi"/>
        </w:rPr>
        <w:t xml:space="preserve"> through Cohen’s analysis cannot easily relate to the position </w:t>
      </w:r>
      <w:r w:rsidRPr="00617A7E">
        <w:rPr>
          <w:rFonts w:asciiTheme="majorHAnsi" w:hAnsiTheme="majorHAnsi" w:cstheme="majorHAnsi"/>
        </w:rPr>
        <w:lastRenderedPageBreak/>
        <w:t>of a giant, an elf, or a dwarf. The poem’s power is intellectual and linguistic; it does not invite identification. The Cowherd and Weaver Girl legend, by contrast, operates through recognisable human emotions: love, separation, longing, and the tension between personal fulfilment and collective duty.</w:t>
      </w:r>
      <w:r w:rsidRPr="00617A7E">
        <w:rPr>
          <w:rStyle w:val="FootnoteReference"/>
          <w:rFonts w:asciiTheme="majorHAnsi" w:hAnsiTheme="majorHAnsi" w:cstheme="majorHAnsi"/>
        </w:rPr>
        <w:footnoteReference w:id="25"/>
      </w:r>
      <w:r w:rsidRPr="00617A7E">
        <w:rPr>
          <w:rFonts w:asciiTheme="majorHAnsi" w:hAnsiTheme="majorHAnsi" w:cstheme="majorHAnsi"/>
        </w:rPr>
        <w:t xml:space="preserve"> Feeney</w:t>
      </w:r>
      <w:r w:rsidR="0074598F" w:rsidRPr="00617A7E">
        <w:rPr>
          <w:rFonts w:asciiTheme="majorHAnsi" w:hAnsiTheme="majorHAnsi" w:cstheme="majorHAnsi"/>
        </w:rPr>
        <w:t>-</w:t>
      </w:r>
      <w:r w:rsidRPr="00617A7E">
        <w:rPr>
          <w:rFonts w:asciiTheme="majorHAnsi" w:hAnsiTheme="majorHAnsi" w:cstheme="majorHAnsi"/>
        </w:rPr>
        <w:t xml:space="preserve">Beaton does not analyse this emotional dimension directly, but it may be one of the factors that has kept the myth circulating. A reader can relate to the Weaver Girl </w:t>
      </w:r>
      <w:r w:rsidR="0074598F" w:rsidRPr="00617A7E">
        <w:rPr>
          <w:rFonts w:asciiTheme="majorHAnsi" w:hAnsiTheme="majorHAnsi" w:cstheme="majorHAnsi"/>
        </w:rPr>
        <w:t xml:space="preserve">falling in love with someone from a different background </w:t>
      </w:r>
      <w:r w:rsidRPr="00617A7E">
        <w:rPr>
          <w:rFonts w:asciiTheme="majorHAnsi" w:hAnsiTheme="majorHAnsi" w:cstheme="majorHAnsi"/>
        </w:rPr>
        <w:t>in a way that they cannot relate to a dwarf who knows six words for the sun. Whether relatability is the same as ‘living’ is another question, but it is a quality that Feeney</w:t>
      </w:r>
      <w:r w:rsidR="0074598F" w:rsidRPr="00617A7E">
        <w:rPr>
          <w:rFonts w:asciiTheme="majorHAnsi" w:hAnsiTheme="majorHAnsi" w:cstheme="majorHAnsi"/>
        </w:rPr>
        <w:t>-</w:t>
      </w:r>
      <w:r w:rsidRPr="00617A7E">
        <w:rPr>
          <w:rFonts w:asciiTheme="majorHAnsi" w:hAnsiTheme="majorHAnsi" w:cstheme="majorHAnsi"/>
        </w:rPr>
        <w:t>Beaton’s paper benefits from without fully accounting for.</w:t>
      </w:r>
    </w:p>
    <w:p w:rsidR="00F214D2" w:rsidRPr="00617A7E" w:rsidRDefault="003F689B" w:rsidP="00617A7E">
      <w:pPr>
        <w:rPr>
          <w:rFonts w:asciiTheme="majorHAnsi" w:eastAsia="Times New Roman" w:hAnsiTheme="majorHAnsi" w:cstheme="majorHAnsi"/>
        </w:rPr>
      </w:pPr>
      <w:r w:rsidRPr="00617A7E">
        <w:rPr>
          <w:rFonts w:asciiTheme="majorHAnsi" w:hAnsiTheme="majorHAnsi" w:cstheme="majorHAnsi"/>
        </w:rPr>
        <w:t xml:space="preserve">Both papers, read together, expose versions of the same problem. </w:t>
      </w:r>
      <w:r w:rsidR="00617A7E" w:rsidRPr="00617A7E">
        <w:rPr>
          <w:rFonts w:asciiTheme="majorHAnsi" w:eastAsia="Times New Roman" w:hAnsiTheme="majorHAnsi" w:cstheme="majorHAnsi"/>
        </w:rPr>
        <w:t xml:space="preserve">Cohen's Alviss dies because he knows the sky without living under it. His performance of knowledge is designed to impress his future father-in-law, not to </w:t>
      </w:r>
      <w:r w:rsidR="001B4D7E">
        <w:rPr>
          <w:rFonts w:asciiTheme="majorHAnsi" w:eastAsia="Times New Roman" w:hAnsiTheme="majorHAnsi" w:cstheme="majorHAnsi"/>
        </w:rPr>
        <w:t>demonstrate</w:t>
      </w:r>
      <w:r w:rsidR="00617A7E" w:rsidRPr="00617A7E">
        <w:rPr>
          <w:rFonts w:asciiTheme="majorHAnsi" w:eastAsia="Times New Roman" w:hAnsiTheme="majorHAnsi" w:cstheme="majorHAnsi"/>
        </w:rPr>
        <w:t xml:space="preserve"> a genuine relationship with the cosmos, and it is that inauthenticity that costs him his life. </w:t>
      </w:r>
      <w:r w:rsidRPr="00617A7E">
        <w:rPr>
          <w:rFonts w:asciiTheme="majorHAnsi" w:hAnsiTheme="majorHAnsi" w:cstheme="majorHAnsi"/>
        </w:rPr>
        <w:t>Feeney</w:t>
      </w:r>
      <w:r w:rsidR="0074598F" w:rsidRPr="00617A7E">
        <w:rPr>
          <w:rFonts w:asciiTheme="majorHAnsi" w:hAnsiTheme="majorHAnsi" w:cstheme="majorHAnsi"/>
        </w:rPr>
        <w:t>-</w:t>
      </w:r>
      <w:r w:rsidRPr="00617A7E">
        <w:rPr>
          <w:rFonts w:asciiTheme="majorHAnsi" w:hAnsiTheme="majorHAnsi" w:cstheme="majorHAnsi"/>
        </w:rPr>
        <w:t>Beaton’s myth may be at risk of a similar fate: known about, culturally circulated, but increasingly detached from the astronomical realities that generated it. The shift from the lunar to the solar calendar, which Feeney</w:t>
      </w:r>
      <w:r w:rsidR="0074598F" w:rsidRPr="00617A7E">
        <w:rPr>
          <w:rFonts w:asciiTheme="majorHAnsi" w:hAnsiTheme="majorHAnsi" w:cstheme="majorHAnsi"/>
        </w:rPr>
        <w:t>-</w:t>
      </w:r>
      <w:r w:rsidRPr="00617A7E">
        <w:rPr>
          <w:rFonts w:asciiTheme="majorHAnsi" w:hAnsiTheme="majorHAnsi" w:cstheme="majorHAnsi"/>
        </w:rPr>
        <w:t>Beaton discusses, is a case in point.</w:t>
      </w:r>
      <w:r w:rsidRPr="00617A7E">
        <w:rPr>
          <w:rStyle w:val="FootnoteReference"/>
          <w:rFonts w:asciiTheme="majorHAnsi" w:hAnsiTheme="majorHAnsi" w:cstheme="majorHAnsi"/>
        </w:rPr>
        <w:footnoteReference w:id="26"/>
      </w:r>
      <w:r w:rsidRPr="00617A7E">
        <w:rPr>
          <w:rFonts w:asciiTheme="majorHAnsi" w:hAnsiTheme="majorHAnsi" w:cstheme="majorHAnsi"/>
        </w:rPr>
        <w:t xml:space="preserve"> When Japan adopted the solar calendar in 1873, the </w:t>
      </w:r>
      <w:proofErr w:type="spellStart"/>
      <w:r w:rsidRPr="00617A7E">
        <w:rPr>
          <w:rFonts w:asciiTheme="majorHAnsi" w:hAnsiTheme="majorHAnsi" w:cstheme="majorHAnsi"/>
        </w:rPr>
        <w:t>Tanabata</w:t>
      </w:r>
      <w:proofErr w:type="spellEnd"/>
      <w:r w:rsidRPr="00617A7E">
        <w:rPr>
          <w:rFonts w:asciiTheme="majorHAnsi" w:hAnsiTheme="majorHAnsi" w:cstheme="majorHAnsi"/>
        </w:rPr>
        <w:t xml:space="preserve"> festival was moved to 7</w:t>
      </w:r>
      <w:r w:rsidR="001B4D7E" w:rsidRPr="001B4D7E">
        <w:rPr>
          <w:rFonts w:asciiTheme="majorHAnsi" w:hAnsiTheme="majorHAnsi" w:cstheme="majorHAnsi"/>
          <w:vertAlign w:val="superscript"/>
        </w:rPr>
        <w:t>th</w:t>
      </w:r>
      <w:r w:rsidR="001B4D7E">
        <w:rPr>
          <w:rFonts w:asciiTheme="majorHAnsi" w:hAnsiTheme="majorHAnsi" w:cstheme="majorHAnsi"/>
        </w:rPr>
        <w:t xml:space="preserve"> </w:t>
      </w:r>
      <w:r w:rsidRPr="00617A7E">
        <w:rPr>
          <w:rFonts w:asciiTheme="majorHAnsi" w:hAnsiTheme="majorHAnsi" w:cstheme="majorHAnsi"/>
        </w:rPr>
        <w:t>July rather than the seventh evening of the seventh moon. This disconnected the festival from the very celestial event that gave it meaning. It is a striking observation that across all the myth’s many variants, the only truly constant element is the fixed stars Vega and Altair themselves</w:t>
      </w:r>
      <w:r w:rsidR="00B92CE5" w:rsidRPr="00617A7E">
        <w:rPr>
          <w:rFonts w:asciiTheme="majorHAnsi" w:hAnsiTheme="majorHAnsi" w:cstheme="majorHAnsi"/>
        </w:rPr>
        <w:t xml:space="preserve">. </w:t>
      </w:r>
      <w:r w:rsidRPr="00617A7E">
        <w:rPr>
          <w:rFonts w:asciiTheme="majorHAnsi" w:hAnsiTheme="majorHAnsi" w:cstheme="majorHAnsi"/>
        </w:rPr>
        <w:t>The narrative details shift endlessly across cultures and centuries; the stars do not. Brady’s observation that the stars offer humanity ‘a view of eternity’ in an otherwise changing world is directly relevant here.</w:t>
      </w:r>
      <w:r w:rsidRPr="00617A7E">
        <w:rPr>
          <w:rStyle w:val="FootnoteReference"/>
          <w:rFonts w:asciiTheme="majorHAnsi" w:hAnsiTheme="majorHAnsi" w:cstheme="majorHAnsi"/>
        </w:rPr>
        <w:footnoteReference w:id="27"/>
      </w:r>
      <w:r w:rsidRPr="00617A7E">
        <w:rPr>
          <w:rFonts w:asciiTheme="majorHAnsi" w:hAnsiTheme="majorHAnsi" w:cstheme="majorHAnsi"/>
        </w:rPr>
        <w:t xml:space="preserve"> A myth tethered to the stars risks becoming a cultural memory once it loses that tether.</w:t>
      </w:r>
    </w:p>
    <w:p w:rsidR="00F214D2" w:rsidRPr="00617A7E" w:rsidRDefault="003F689B">
      <w:pPr>
        <w:pStyle w:val="Heading1"/>
        <w:rPr>
          <w:rFonts w:cstheme="majorHAnsi"/>
          <w:color w:val="auto"/>
          <w:sz w:val="24"/>
          <w:szCs w:val="24"/>
        </w:rPr>
      </w:pPr>
      <w:bookmarkStart w:id="10" w:name="structure-clarity-and-effectiveness"/>
      <w:bookmarkEnd w:id="9"/>
      <w:r w:rsidRPr="00617A7E">
        <w:rPr>
          <w:rFonts w:cstheme="majorHAnsi"/>
          <w:color w:val="auto"/>
          <w:sz w:val="24"/>
          <w:szCs w:val="24"/>
        </w:rPr>
        <w:t>Structure, Clarity, and Effectiveness</w:t>
      </w:r>
    </w:p>
    <w:p w:rsidR="00F214D2" w:rsidRPr="00617A7E" w:rsidRDefault="003F689B">
      <w:pPr>
        <w:pStyle w:val="FirstParagraph"/>
        <w:rPr>
          <w:rFonts w:asciiTheme="majorHAnsi" w:hAnsiTheme="majorHAnsi" w:cstheme="majorHAnsi"/>
        </w:rPr>
      </w:pPr>
      <w:r w:rsidRPr="00617A7E">
        <w:rPr>
          <w:rFonts w:asciiTheme="majorHAnsi" w:hAnsiTheme="majorHAnsi" w:cstheme="majorHAnsi"/>
        </w:rPr>
        <w:t xml:space="preserve">Cohen’s paper moves systematically through the </w:t>
      </w:r>
      <w:r w:rsidRPr="00617A7E">
        <w:rPr>
          <w:rFonts w:asciiTheme="majorHAnsi" w:hAnsiTheme="majorHAnsi" w:cstheme="majorHAnsi"/>
          <w:i/>
          <w:iCs/>
        </w:rPr>
        <w:t>Alvissmal</w:t>
      </w:r>
      <w:r w:rsidRPr="00617A7E">
        <w:rPr>
          <w:rFonts w:asciiTheme="majorHAnsi" w:hAnsiTheme="majorHAnsi" w:cstheme="majorHAnsi"/>
        </w:rPr>
        <w:t>’s stanzas, beginning with the earth, then the sky, the moon, and the sun. The paper is economical. Its clarity is a strength: the reader always knows where the argument is heading. Cohen stays focused on the meanings of the words and does not attempt a broader structural analysis of the poem or its cultural reception. This is both a disciplined choice and a limitation.</w:t>
      </w:r>
    </w:p>
    <w:p w:rsidR="00F214D2" w:rsidRPr="00617A7E" w:rsidRDefault="003F689B">
      <w:pPr>
        <w:pStyle w:val="BodyText"/>
        <w:rPr>
          <w:rFonts w:asciiTheme="majorHAnsi" w:hAnsiTheme="majorHAnsi" w:cstheme="majorHAnsi"/>
        </w:rPr>
      </w:pPr>
      <w:r w:rsidRPr="00617A7E">
        <w:rPr>
          <w:rFonts w:asciiTheme="majorHAnsi" w:hAnsiTheme="majorHAnsi" w:cstheme="majorHAnsi"/>
        </w:rPr>
        <w:t>Feeney</w:t>
      </w:r>
      <w:r w:rsidR="005C3557" w:rsidRPr="00617A7E">
        <w:rPr>
          <w:rFonts w:asciiTheme="majorHAnsi" w:hAnsiTheme="majorHAnsi" w:cstheme="majorHAnsi"/>
        </w:rPr>
        <w:t>-</w:t>
      </w:r>
      <w:r w:rsidRPr="00617A7E">
        <w:rPr>
          <w:rFonts w:asciiTheme="majorHAnsi" w:hAnsiTheme="majorHAnsi" w:cstheme="majorHAnsi"/>
        </w:rPr>
        <w:t xml:space="preserve">Beaton’s structure mirrors the complexity of the myth itself. She moves from weaving symbolism, to narrative structure, to astronomy, to festival traditions, to her UK case study. The journey is ambitious. She notes the ‘remarkable multiplicity of narrative detail resulting from many different versions of the same tale’, and acknowledges that this multiplicity is itself a </w:t>
      </w:r>
      <w:r w:rsidRPr="00617A7E">
        <w:rPr>
          <w:rFonts w:asciiTheme="majorHAnsi" w:hAnsiTheme="majorHAnsi" w:cstheme="majorHAnsi"/>
        </w:rPr>
        <w:lastRenderedPageBreak/>
        <w:t>characteristic of the Chinese mythological tradition.</w:t>
      </w:r>
      <w:r w:rsidRPr="00617A7E">
        <w:rPr>
          <w:rStyle w:val="FootnoteReference"/>
          <w:rFonts w:asciiTheme="majorHAnsi" w:hAnsiTheme="majorHAnsi" w:cstheme="majorHAnsi"/>
        </w:rPr>
        <w:footnoteReference w:id="28"/>
      </w:r>
      <w:r w:rsidRPr="00617A7E">
        <w:rPr>
          <w:rFonts w:asciiTheme="majorHAnsi" w:hAnsiTheme="majorHAnsi" w:cstheme="majorHAnsi"/>
        </w:rPr>
        <w:t xml:space="preserve"> One could argue that the paper’s structure enacts the myth’s own central metaphor: Feeney</w:t>
      </w:r>
      <w:r w:rsidR="005C3557" w:rsidRPr="00617A7E">
        <w:rPr>
          <w:rFonts w:asciiTheme="majorHAnsi" w:hAnsiTheme="majorHAnsi" w:cstheme="majorHAnsi"/>
        </w:rPr>
        <w:t>-</w:t>
      </w:r>
      <w:r w:rsidRPr="00617A7E">
        <w:rPr>
          <w:rFonts w:asciiTheme="majorHAnsi" w:hAnsiTheme="majorHAnsi" w:cstheme="majorHAnsi"/>
        </w:rPr>
        <w:t>Beaton weaves the reader through a complex journey across time, cultures, the heavens, and the earth, just as the Weaver Girl weaves the cosmos. If this is a deliberate structural choice, it is creative. At times, the number of cultural contexts and narrative variants makes the thread difficult to follow, and the paper begins to feel, as the legend itself arguably does, incomplete.</w:t>
      </w:r>
    </w:p>
    <w:p w:rsidR="00F214D2" w:rsidRPr="00617A7E" w:rsidRDefault="003F689B" w:rsidP="007578A7">
      <w:pPr>
        <w:rPr>
          <w:rFonts w:asciiTheme="majorHAnsi" w:eastAsia="Times New Roman" w:hAnsiTheme="majorHAnsi" w:cstheme="majorHAnsi"/>
        </w:rPr>
      </w:pPr>
      <w:r w:rsidRPr="00617A7E">
        <w:rPr>
          <w:rFonts w:asciiTheme="majorHAnsi" w:hAnsiTheme="majorHAnsi" w:cstheme="majorHAnsi"/>
        </w:rPr>
        <w:t>Feeney</w:t>
      </w:r>
      <w:r w:rsidR="005C3557" w:rsidRPr="00617A7E">
        <w:rPr>
          <w:rFonts w:asciiTheme="majorHAnsi" w:hAnsiTheme="majorHAnsi" w:cstheme="majorHAnsi"/>
        </w:rPr>
        <w:t>-</w:t>
      </w:r>
      <w:r w:rsidRPr="00617A7E">
        <w:rPr>
          <w:rFonts w:asciiTheme="majorHAnsi" w:hAnsiTheme="majorHAnsi" w:cstheme="majorHAnsi"/>
        </w:rPr>
        <w:t>Beaton also uses a substantially wider range of source types than Cohen, and the quality is uneven.</w:t>
      </w:r>
      <w:r w:rsidR="007578A7" w:rsidRPr="00617A7E">
        <w:rPr>
          <w:rFonts w:asciiTheme="majorHAnsi" w:hAnsiTheme="majorHAnsi" w:cstheme="majorHAnsi"/>
        </w:rPr>
        <w:t xml:space="preserve"> Although it reflects the contemporary evolution of the myth itself </w:t>
      </w:r>
      <w:r w:rsidR="007578A7" w:rsidRPr="00617A7E">
        <w:rPr>
          <w:rFonts w:asciiTheme="majorHAnsi" w:eastAsia="Times New Roman" w:hAnsiTheme="majorHAnsi" w:cstheme="majorHAnsi"/>
        </w:rPr>
        <w:t xml:space="preserve">these carry significantly less analytical weight. </w:t>
      </w:r>
      <w:r w:rsidRPr="00617A7E">
        <w:rPr>
          <w:rFonts w:asciiTheme="majorHAnsi" w:hAnsiTheme="majorHAnsi" w:cstheme="majorHAnsi"/>
        </w:rPr>
        <w:t>Alongside serious sinological scholarship from Idema and Birrell, and astronomical work from Brady, the paper draws on travel websites, blog posts, and a YouTube link. This is notable because it undermines the paper’s argument at its most critical point: the claim that the myth is ‘living’ rests partly on online evidence of festival activity, yet the sources cited do not always demonstrate the astronomical or mythological engagement that the claim requires.</w:t>
      </w:r>
    </w:p>
    <w:p w:rsidR="00F214D2" w:rsidRPr="00617A7E" w:rsidRDefault="003F689B">
      <w:pPr>
        <w:pStyle w:val="Heading1"/>
        <w:rPr>
          <w:rFonts w:cstheme="majorHAnsi"/>
          <w:color w:val="auto"/>
          <w:sz w:val="24"/>
          <w:szCs w:val="24"/>
        </w:rPr>
      </w:pPr>
      <w:bookmarkStart w:id="11" w:name="conclusion"/>
      <w:bookmarkEnd w:id="10"/>
      <w:r w:rsidRPr="00617A7E">
        <w:rPr>
          <w:rFonts w:cstheme="majorHAnsi"/>
          <w:color w:val="auto"/>
          <w:sz w:val="24"/>
          <w:szCs w:val="24"/>
        </w:rPr>
        <w:t>Conclusion</w:t>
      </w:r>
    </w:p>
    <w:p w:rsidR="00F214D2" w:rsidRPr="00617A7E" w:rsidRDefault="003F689B">
      <w:pPr>
        <w:pStyle w:val="FirstParagraph"/>
        <w:rPr>
          <w:rFonts w:asciiTheme="majorHAnsi" w:hAnsiTheme="majorHAnsi" w:cstheme="majorHAnsi"/>
        </w:rPr>
      </w:pPr>
      <w:r w:rsidRPr="00617A7E">
        <w:rPr>
          <w:rFonts w:asciiTheme="majorHAnsi" w:hAnsiTheme="majorHAnsi" w:cstheme="majorHAnsi"/>
        </w:rPr>
        <w:t>Cohen and Feeney</w:t>
      </w:r>
      <w:r w:rsidR="007578A7" w:rsidRPr="00617A7E">
        <w:rPr>
          <w:rFonts w:asciiTheme="majorHAnsi" w:hAnsiTheme="majorHAnsi" w:cstheme="majorHAnsi"/>
        </w:rPr>
        <w:t>-</w:t>
      </w:r>
      <w:r w:rsidRPr="00617A7E">
        <w:rPr>
          <w:rFonts w:asciiTheme="majorHAnsi" w:hAnsiTheme="majorHAnsi" w:cstheme="majorHAnsi"/>
        </w:rPr>
        <w:t>Beaton approach the sky from opposite directions. Cohen examines a closed text from a specific historical moment and finds within it a sophisticated theory of cultural relativism: the cosmos means different things to different beings because they inhabit different worlds.</w:t>
      </w:r>
      <w:r w:rsidRPr="00617A7E">
        <w:rPr>
          <w:rStyle w:val="FootnoteReference"/>
          <w:rFonts w:asciiTheme="majorHAnsi" w:hAnsiTheme="majorHAnsi" w:cstheme="majorHAnsi"/>
        </w:rPr>
        <w:footnoteReference w:id="29"/>
      </w:r>
      <w:r w:rsidRPr="00617A7E">
        <w:rPr>
          <w:rFonts w:asciiTheme="majorHAnsi" w:hAnsiTheme="majorHAnsi" w:cstheme="majorHAnsi"/>
        </w:rPr>
        <w:t xml:space="preserve"> Feeney</w:t>
      </w:r>
      <w:r w:rsidR="007578A7" w:rsidRPr="00617A7E">
        <w:rPr>
          <w:rFonts w:asciiTheme="majorHAnsi" w:hAnsiTheme="majorHAnsi" w:cstheme="majorHAnsi"/>
        </w:rPr>
        <w:t>-</w:t>
      </w:r>
      <w:r w:rsidRPr="00617A7E">
        <w:rPr>
          <w:rFonts w:asciiTheme="majorHAnsi" w:hAnsiTheme="majorHAnsi" w:cstheme="majorHAnsi"/>
        </w:rPr>
        <w:t>Beaton tracks an evolving narrative across millennia and argues for its continued vitality. Both make valuable contributions to cultural astronomy. Cohen gives the discipline a sharp analytical tool: the recognition that celestial meaning is plural, constructed, and dependent on the observer. Feeney</w:t>
      </w:r>
      <w:r w:rsidR="007578A7" w:rsidRPr="00617A7E">
        <w:rPr>
          <w:rFonts w:asciiTheme="majorHAnsi" w:hAnsiTheme="majorHAnsi" w:cstheme="majorHAnsi"/>
        </w:rPr>
        <w:t>-</w:t>
      </w:r>
      <w:r w:rsidRPr="00617A7E">
        <w:rPr>
          <w:rFonts w:asciiTheme="majorHAnsi" w:hAnsiTheme="majorHAnsi" w:cstheme="majorHAnsi"/>
        </w:rPr>
        <w:t>Beaton provides evidence that celestial myth can migrate across cultures and persist across centuries.</w:t>
      </w:r>
    </w:p>
    <w:p w:rsidR="00F214D2" w:rsidRPr="00617A7E" w:rsidRDefault="003F689B">
      <w:pPr>
        <w:pStyle w:val="BodyText"/>
        <w:rPr>
          <w:rFonts w:asciiTheme="majorHAnsi" w:hAnsiTheme="majorHAnsi" w:cstheme="majorHAnsi"/>
        </w:rPr>
      </w:pPr>
      <w:r w:rsidRPr="00617A7E">
        <w:rPr>
          <w:rFonts w:asciiTheme="majorHAnsi" w:hAnsiTheme="majorHAnsi" w:cstheme="majorHAnsi"/>
        </w:rPr>
        <w:t>However, read together, the papers raise a question that neither fully answers. If, as Campion argues, the study of cultural astronomy investigates how beliefs about the stars are applied in human culture,</w:t>
      </w:r>
      <w:r w:rsidRPr="00617A7E">
        <w:rPr>
          <w:rStyle w:val="FootnoteReference"/>
          <w:rFonts w:asciiTheme="majorHAnsi" w:hAnsiTheme="majorHAnsi" w:cstheme="majorHAnsi"/>
        </w:rPr>
        <w:footnoteReference w:id="30"/>
      </w:r>
      <w:r w:rsidRPr="00617A7E">
        <w:rPr>
          <w:rFonts w:asciiTheme="majorHAnsi" w:hAnsiTheme="majorHAnsi" w:cstheme="majorHAnsi"/>
        </w:rPr>
        <w:t xml:space="preserve"> then the difference between knowing a sky-myth and living under the sky it describes becomes a central concern for the discipline. Feeney</w:t>
      </w:r>
      <w:r w:rsidR="00616D7C" w:rsidRPr="00617A7E">
        <w:rPr>
          <w:rFonts w:asciiTheme="majorHAnsi" w:hAnsiTheme="majorHAnsi" w:cstheme="majorHAnsi"/>
        </w:rPr>
        <w:t>-</w:t>
      </w:r>
      <w:r w:rsidRPr="00617A7E">
        <w:rPr>
          <w:rFonts w:asciiTheme="majorHAnsi" w:hAnsiTheme="majorHAnsi" w:cstheme="majorHAnsi"/>
        </w:rPr>
        <w:t xml:space="preserve">Beaton quotes a Tang dynasty text in which the Weaver Girl tells mortals they ‘are not able to see or comprehend the heavenly world; they see only stars where in fact there are palaces and houses where the </w:t>
      </w:r>
      <w:r w:rsidRPr="00617A7E">
        <w:rPr>
          <w:rFonts w:asciiTheme="majorHAnsi" w:hAnsiTheme="majorHAnsi" w:cstheme="majorHAnsi"/>
        </w:rPr>
        <w:lastRenderedPageBreak/>
        <w:t>immortals roam’.</w:t>
      </w:r>
      <w:r w:rsidRPr="00617A7E">
        <w:rPr>
          <w:rStyle w:val="FootnoteReference"/>
          <w:rFonts w:asciiTheme="majorHAnsi" w:hAnsiTheme="majorHAnsi" w:cstheme="majorHAnsi"/>
        </w:rPr>
        <w:footnoteReference w:id="31"/>
      </w:r>
      <w:r w:rsidRPr="00617A7E">
        <w:rPr>
          <w:rFonts w:asciiTheme="majorHAnsi" w:hAnsiTheme="majorHAnsi" w:cstheme="majorHAnsi"/>
        </w:rPr>
        <w:t xml:space="preserve"> This encapsulates the gap between knowing and living: to see only stars is to know; to see palaces is to inhabit the myth.</w:t>
      </w:r>
    </w:p>
    <w:p w:rsidR="00E77493" w:rsidRPr="00617A7E" w:rsidRDefault="003F689B" w:rsidP="001E4378">
      <w:pPr>
        <w:pStyle w:val="BodyText"/>
        <w:rPr>
          <w:rFonts w:asciiTheme="majorHAnsi" w:hAnsiTheme="majorHAnsi" w:cstheme="majorHAnsi"/>
        </w:rPr>
      </w:pPr>
      <w:r w:rsidRPr="00617A7E">
        <w:rPr>
          <w:rFonts w:asciiTheme="majorHAnsi" w:hAnsiTheme="majorHAnsi" w:cstheme="majorHAnsi"/>
        </w:rPr>
        <w:t>Feeney</w:t>
      </w:r>
      <w:r w:rsidR="00616D7C" w:rsidRPr="00617A7E">
        <w:rPr>
          <w:rFonts w:asciiTheme="majorHAnsi" w:hAnsiTheme="majorHAnsi" w:cstheme="majorHAnsi"/>
        </w:rPr>
        <w:t>-</w:t>
      </w:r>
      <w:r w:rsidRPr="00617A7E">
        <w:rPr>
          <w:rFonts w:asciiTheme="majorHAnsi" w:hAnsiTheme="majorHAnsi" w:cstheme="majorHAnsi"/>
        </w:rPr>
        <w:t>Beaton’s conclusion suggests that a myth is alive ‘if it continues to mutate, to change, expand and develop’.</w:t>
      </w:r>
      <w:r w:rsidRPr="00617A7E">
        <w:rPr>
          <w:rStyle w:val="FootnoteReference"/>
          <w:rFonts w:asciiTheme="majorHAnsi" w:hAnsiTheme="majorHAnsi" w:cstheme="majorHAnsi"/>
        </w:rPr>
        <w:footnoteReference w:id="32"/>
      </w:r>
      <w:r w:rsidRPr="00617A7E">
        <w:rPr>
          <w:rFonts w:asciiTheme="majorHAnsi" w:hAnsiTheme="majorHAnsi" w:cstheme="majorHAnsi"/>
        </w:rPr>
        <w:t xml:space="preserve"> This is a generous definition</w:t>
      </w:r>
      <w:r w:rsidR="00616D7C" w:rsidRPr="00617A7E">
        <w:rPr>
          <w:rFonts w:asciiTheme="majorHAnsi" w:hAnsiTheme="majorHAnsi" w:cstheme="majorHAnsi"/>
        </w:rPr>
        <w:t>, as</w:t>
      </w:r>
      <w:r w:rsidRPr="00617A7E">
        <w:rPr>
          <w:rFonts w:asciiTheme="majorHAnsi" w:hAnsiTheme="majorHAnsi" w:cstheme="majorHAnsi"/>
        </w:rPr>
        <w:t xml:space="preserve"> evolving and living are not the same thing. A myth may evolve in its retellings while the embodied, astronomical relationship at its core fades. </w:t>
      </w:r>
      <w:r w:rsidR="00616D7C" w:rsidRPr="00617A7E">
        <w:rPr>
          <w:rFonts w:asciiTheme="majorHAnsi" w:hAnsiTheme="majorHAnsi" w:cstheme="majorHAnsi"/>
        </w:rPr>
        <w:t>One question the reader could be left with is i</w:t>
      </w:r>
      <w:r w:rsidRPr="00617A7E">
        <w:rPr>
          <w:rFonts w:asciiTheme="majorHAnsi" w:hAnsiTheme="majorHAnsi" w:cstheme="majorHAnsi"/>
        </w:rPr>
        <w:t xml:space="preserve">f meaning changes, does the myth still matter in the way it once did? The details of the Cowherd and Weaver Girl legend are in constant shift across cultures and centuries, but the two fixed stars remain. The </w:t>
      </w:r>
      <w:r w:rsidRPr="00617A7E">
        <w:rPr>
          <w:rFonts w:asciiTheme="majorHAnsi" w:hAnsiTheme="majorHAnsi" w:cstheme="majorHAnsi"/>
          <w:i/>
          <w:iCs/>
        </w:rPr>
        <w:t>Alvissmal</w:t>
      </w:r>
      <w:r w:rsidRPr="00617A7E">
        <w:rPr>
          <w:rFonts w:asciiTheme="majorHAnsi" w:hAnsiTheme="majorHAnsi" w:cstheme="majorHAnsi"/>
        </w:rPr>
        <w:t>’s warning is relevant here: it is possible to know every name for the sun and still be destroyed by it. What it means to truly live under the sky, rather than merely know about it, is a question that both papers illuminate but that cultural astronomy, through experiential and ethnographic methods, has yet to fully explore.</w:t>
      </w:r>
      <w:bookmarkStart w:id="12" w:name="bibliography"/>
      <w:bookmarkEnd w:id="11"/>
    </w:p>
    <w:p w:rsidR="00F214D2" w:rsidRPr="00617A7E" w:rsidRDefault="003F689B">
      <w:pPr>
        <w:pStyle w:val="Heading1"/>
        <w:rPr>
          <w:rFonts w:cstheme="majorHAnsi"/>
          <w:color w:val="auto"/>
          <w:sz w:val="24"/>
          <w:szCs w:val="24"/>
        </w:rPr>
      </w:pPr>
      <w:r w:rsidRPr="00617A7E">
        <w:rPr>
          <w:rFonts w:cstheme="majorHAnsi"/>
          <w:color w:val="auto"/>
          <w:sz w:val="24"/>
          <w:szCs w:val="24"/>
        </w:rPr>
        <w:t>Bibliography</w:t>
      </w:r>
    </w:p>
    <w:p w:rsidR="00617A7E" w:rsidRPr="00617A7E" w:rsidRDefault="003F689B" w:rsidP="00617A7E">
      <w:pPr>
        <w:pStyle w:val="FirstParagraph"/>
        <w:rPr>
          <w:rFonts w:asciiTheme="majorHAnsi" w:hAnsiTheme="majorHAnsi" w:cstheme="majorHAnsi"/>
        </w:rPr>
      </w:pPr>
      <w:r w:rsidRPr="00617A7E">
        <w:rPr>
          <w:rFonts w:asciiTheme="majorHAnsi" w:hAnsiTheme="majorHAnsi" w:cstheme="majorHAnsi"/>
        </w:rPr>
        <w:t xml:space="preserve">Bascom, William R. ‘Four Functions of Folklore’, </w:t>
      </w:r>
      <w:r w:rsidRPr="00617A7E">
        <w:rPr>
          <w:rFonts w:asciiTheme="majorHAnsi" w:hAnsiTheme="majorHAnsi" w:cstheme="majorHAnsi"/>
          <w:i/>
          <w:iCs/>
        </w:rPr>
        <w:t>The Journal of American Folklore</w:t>
      </w:r>
      <w:r w:rsidRPr="00617A7E">
        <w:rPr>
          <w:rFonts w:asciiTheme="majorHAnsi" w:hAnsiTheme="majorHAnsi" w:cstheme="majorHAnsi"/>
        </w:rPr>
        <w:t>, Vol. 67, No. 266, Oct.–Dec. 1954, pp. 333–349.</w:t>
      </w:r>
      <w:r w:rsidR="00617A7E" w:rsidRPr="00617A7E">
        <w:rPr>
          <w:rFonts w:asciiTheme="majorHAnsi" w:hAnsiTheme="majorHAnsi" w:cstheme="majorHAnsi"/>
        </w:rPr>
        <w:t xml:space="preserve"> </w:t>
      </w:r>
      <w:r w:rsidR="00617A7E" w:rsidRPr="00617A7E">
        <w:rPr>
          <w:rFonts w:asciiTheme="majorHAnsi" w:eastAsia="Times New Roman" w:hAnsiTheme="majorHAnsi" w:cstheme="majorHAnsi"/>
        </w:rPr>
        <w:t>https://doi.org/10.2307/536411.</w:t>
      </w:r>
    </w:p>
    <w:p w:rsidR="00F214D2" w:rsidRPr="00617A7E" w:rsidRDefault="003F689B">
      <w:pPr>
        <w:pStyle w:val="BodyText"/>
        <w:rPr>
          <w:rFonts w:asciiTheme="majorHAnsi" w:hAnsiTheme="majorHAnsi" w:cstheme="majorHAnsi"/>
        </w:rPr>
      </w:pPr>
      <w:r w:rsidRPr="00617A7E">
        <w:rPr>
          <w:rFonts w:asciiTheme="majorHAnsi" w:hAnsiTheme="majorHAnsi" w:cstheme="majorHAnsi"/>
        </w:rPr>
        <w:t xml:space="preserve">Brady, Bernadette. ‘Stars and Cultural Astronomy’, </w:t>
      </w:r>
      <w:r w:rsidRPr="00617A7E">
        <w:rPr>
          <w:rFonts w:asciiTheme="majorHAnsi" w:hAnsiTheme="majorHAnsi" w:cstheme="majorHAnsi"/>
          <w:i/>
          <w:iCs/>
        </w:rPr>
        <w:t>Journal of Skyscape Archaeology</w:t>
      </w:r>
      <w:r w:rsidRPr="00617A7E">
        <w:rPr>
          <w:rFonts w:asciiTheme="majorHAnsi" w:hAnsiTheme="majorHAnsi" w:cstheme="majorHAnsi"/>
        </w:rPr>
        <w:t>, Vol. 4, no. 1, 2018, pp. 129–133.</w:t>
      </w:r>
    </w:p>
    <w:p w:rsidR="00F214D2" w:rsidRPr="00617A7E" w:rsidRDefault="003F689B">
      <w:pPr>
        <w:pStyle w:val="BodyText"/>
        <w:rPr>
          <w:rFonts w:asciiTheme="majorHAnsi" w:hAnsiTheme="majorHAnsi" w:cstheme="majorHAnsi"/>
        </w:rPr>
      </w:pPr>
      <w:r w:rsidRPr="00617A7E">
        <w:rPr>
          <w:rFonts w:asciiTheme="majorHAnsi" w:hAnsiTheme="majorHAnsi" w:cstheme="majorHAnsi"/>
        </w:rPr>
        <w:t xml:space="preserve">Campion, Nicholas. ‘The Importance of Cosmology in Culture: Contexts and Consequences’, in Abraao Jesse Capistrano de Souza, ed., </w:t>
      </w:r>
      <w:r w:rsidRPr="00617A7E">
        <w:rPr>
          <w:rFonts w:asciiTheme="majorHAnsi" w:hAnsiTheme="majorHAnsi" w:cstheme="majorHAnsi"/>
          <w:i/>
          <w:iCs/>
        </w:rPr>
        <w:t>Cosmology</w:t>
      </w:r>
      <w:r w:rsidRPr="00617A7E">
        <w:rPr>
          <w:rFonts w:asciiTheme="majorHAnsi" w:hAnsiTheme="majorHAnsi" w:cstheme="majorHAnsi"/>
        </w:rPr>
        <w:t xml:space="preserve"> (InTech Open, 2017)</w:t>
      </w:r>
      <w:r w:rsidR="00EF1B53" w:rsidRPr="00617A7E">
        <w:rPr>
          <w:rFonts w:asciiTheme="majorHAnsi" w:hAnsiTheme="majorHAnsi" w:cstheme="majorHAnsi"/>
        </w:rPr>
        <w:t xml:space="preserve"> doi:10.5772/67976.</w:t>
      </w:r>
    </w:p>
    <w:p w:rsidR="00F214D2" w:rsidRPr="00617A7E" w:rsidRDefault="003F689B">
      <w:pPr>
        <w:pStyle w:val="BodyText"/>
        <w:rPr>
          <w:rFonts w:asciiTheme="majorHAnsi" w:hAnsiTheme="majorHAnsi" w:cstheme="majorHAnsi"/>
        </w:rPr>
      </w:pPr>
      <w:r w:rsidRPr="00617A7E">
        <w:rPr>
          <w:rFonts w:asciiTheme="majorHAnsi" w:hAnsiTheme="majorHAnsi" w:cstheme="majorHAnsi"/>
        </w:rPr>
        <w:t xml:space="preserve">Cohen, Signe. ‘What Do the Gods Call the Sky? Naming the Celestial in Old Norse’, </w:t>
      </w:r>
      <w:r w:rsidRPr="00617A7E">
        <w:rPr>
          <w:rFonts w:asciiTheme="majorHAnsi" w:hAnsiTheme="majorHAnsi" w:cstheme="majorHAnsi"/>
          <w:i/>
          <w:iCs/>
        </w:rPr>
        <w:t>Culture and Cosmos</w:t>
      </w:r>
      <w:r w:rsidRPr="00617A7E">
        <w:rPr>
          <w:rFonts w:asciiTheme="majorHAnsi" w:hAnsiTheme="majorHAnsi" w:cstheme="majorHAnsi"/>
        </w:rPr>
        <w:t>, Vol. 24, no. 1 and 2, Spring/Summer and Autumn/Winter 2020, pp. 27–36.</w:t>
      </w:r>
      <w:r w:rsidR="008E4B6D">
        <w:rPr>
          <w:rFonts w:asciiTheme="majorHAnsi" w:hAnsiTheme="majorHAnsi" w:cstheme="majorHAnsi"/>
        </w:rPr>
        <w:t xml:space="preserve">                                                                     </w:t>
      </w:r>
    </w:p>
    <w:p w:rsidR="00F214D2" w:rsidRPr="00617A7E" w:rsidRDefault="003F689B">
      <w:pPr>
        <w:pStyle w:val="BodyText"/>
        <w:rPr>
          <w:rFonts w:asciiTheme="majorHAnsi" w:hAnsiTheme="majorHAnsi" w:cstheme="majorHAnsi"/>
        </w:rPr>
      </w:pPr>
      <w:r w:rsidRPr="00617A7E">
        <w:rPr>
          <w:rFonts w:asciiTheme="majorHAnsi" w:hAnsiTheme="majorHAnsi" w:cstheme="majorHAnsi"/>
        </w:rPr>
        <w:t xml:space="preserve">Feeney Beaton, Morag. ‘Altair and Vega, The Cowherd and the Weaver Girl, an Analysis of a Living Sky-Myth’, </w:t>
      </w:r>
      <w:r w:rsidRPr="00617A7E">
        <w:rPr>
          <w:rFonts w:asciiTheme="majorHAnsi" w:hAnsiTheme="majorHAnsi" w:cstheme="majorHAnsi"/>
          <w:i/>
          <w:iCs/>
        </w:rPr>
        <w:t>Culture and Cosmos</w:t>
      </w:r>
      <w:r w:rsidRPr="00617A7E">
        <w:rPr>
          <w:rFonts w:asciiTheme="majorHAnsi" w:hAnsiTheme="majorHAnsi" w:cstheme="majorHAnsi"/>
        </w:rPr>
        <w:t>, Vol. 24, no. 1 and 2, Spring/Summer and Autumn/Winter 2020, pp. 55–72.</w:t>
      </w:r>
    </w:p>
    <w:p w:rsidR="00F214D2" w:rsidRPr="00617A7E" w:rsidRDefault="003F689B">
      <w:pPr>
        <w:pStyle w:val="BodyText"/>
        <w:rPr>
          <w:rFonts w:asciiTheme="majorHAnsi" w:hAnsiTheme="majorHAnsi" w:cstheme="majorHAnsi"/>
        </w:rPr>
      </w:pPr>
      <w:r w:rsidRPr="00617A7E">
        <w:rPr>
          <w:rFonts w:asciiTheme="majorHAnsi" w:hAnsiTheme="majorHAnsi" w:cstheme="majorHAnsi"/>
        </w:rPr>
        <w:t xml:space="preserve">Losada, Jose Manuel. ‘Cultural Myth Criticism and Today’s Challenges to Myth’, in Nickolas B. Roubekas and Thomas Ryba, eds., </w:t>
      </w:r>
      <w:r w:rsidRPr="00617A7E">
        <w:rPr>
          <w:rFonts w:asciiTheme="majorHAnsi" w:hAnsiTheme="majorHAnsi" w:cstheme="majorHAnsi"/>
          <w:i/>
          <w:iCs/>
        </w:rPr>
        <w:t>Explaining, Interpreting, and Theorizing Religion and Myth: Contributions in Honor of Robert A. Segal</w:t>
      </w:r>
      <w:r w:rsidRPr="00617A7E">
        <w:rPr>
          <w:rFonts w:asciiTheme="majorHAnsi" w:hAnsiTheme="majorHAnsi" w:cstheme="majorHAnsi"/>
        </w:rPr>
        <w:t xml:space="preserve"> (Leiden: Brill, 2020), pp. 355–370.</w:t>
      </w:r>
      <w:bookmarkEnd w:id="12"/>
    </w:p>
    <w:sectPr w:rsidR="00F214D2" w:rsidRPr="00617A7E" w:rsidSect="0011041B">
      <w:headerReference w:type="even" r:id="rId9"/>
      <w:head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1C2E" w:rsidRDefault="00681C2E">
      <w:pPr>
        <w:spacing w:after="0"/>
      </w:pPr>
      <w:r>
        <w:separator/>
      </w:r>
    </w:p>
  </w:endnote>
  <w:endnote w:type="continuationSeparator" w:id="0">
    <w:p w:rsidR="00681C2E" w:rsidRDefault="00681C2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1C2E" w:rsidRDefault="00681C2E">
      <w:r>
        <w:separator/>
      </w:r>
    </w:p>
  </w:footnote>
  <w:footnote w:type="continuationSeparator" w:id="0">
    <w:p w:rsidR="00681C2E" w:rsidRDefault="00681C2E">
      <w:r>
        <w:continuationSeparator/>
      </w:r>
    </w:p>
  </w:footnote>
  <w:footnote w:id="1">
    <w:p w:rsidR="00F214D2" w:rsidRDefault="003F689B">
      <w:pPr>
        <w:pStyle w:val="FootnoteText"/>
      </w:pPr>
      <w:r>
        <w:rPr>
          <w:rStyle w:val="FootnoteReference"/>
        </w:rPr>
        <w:footnoteRef/>
      </w:r>
      <w:r>
        <w:t xml:space="preserve"> Signe Cohen, ‘What Do the Gods Call the Sky? Naming the Celestial in Old Norse’, </w:t>
      </w:r>
      <w:r>
        <w:rPr>
          <w:i/>
          <w:iCs/>
        </w:rPr>
        <w:t>Culture and Cosmos</w:t>
      </w:r>
      <w:r>
        <w:t>, Vol. 24 no. 1 and 2, Spring/Summer and Autumn/Winter 2020, pp. 27–36.</w:t>
      </w:r>
    </w:p>
  </w:footnote>
  <w:footnote w:id="2">
    <w:p w:rsidR="00F214D2" w:rsidRDefault="003F689B">
      <w:pPr>
        <w:pStyle w:val="FootnoteText"/>
      </w:pPr>
      <w:r>
        <w:rPr>
          <w:rStyle w:val="FootnoteReference"/>
        </w:rPr>
        <w:footnoteRef/>
      </w:r>
      <w:r>
        <w:t xml:space="preserve"> Morag Feeney</w:t>
      </w:r>
      <w:r w:rsidR="00EF1B53">
        <w:t>-</w:t>
      </w:r>
      <w:r>
        <w:t xml:space="preserve">Beaton, ‘Altair and Vega, The Cowherd and the Weaver Girl, an Analysis of a Living Sky-Myth’, </w:t>
      </w:r>
      <w:r>
        <w:rPr>
          <w:i/>
          <w:iCs/>
        </w:rPr>
        <w:t>Culture and Cosmos</w:t>
      </w:r>
      <w:r>
        <w:t>, Vol. 24 no. 1 and 2, Spring/Summer and Autumn/Winter 2020, pp. 55–72.</w:t>
      </w:r>
    </w:p>
  </w:footnote>
  <w:footnote w:id="3">
    <w:p w:rsidR="00F214D2" w:rsidRDefault="003F689B">
      <w:pPr>
        <w:pStyle w:val="FootnoteText"/>
      </w:pPr>
      <w:r>
        <w:rPr>
          <w:rStyle w:val="FootnoteReference"/>
        </w:rPr>
        <w:footnoteRef/>
      </w:r>
      <w:r>
        <w:t xml:space="preserve"> Bernadette Brady, ‘Stars and Cultural Astronomy’, </w:t>
      </w:r>
      <w:r>
        <w:rPr>
          <w:i/>
          <w:iCs/>
        </w:rPr>
        <w:t>Journal of Skyscape Archaeology</w:t>
      </w:r>
      <w:r>
        <w:t>, Vol. 4, no. 1, 2018, p. 129.</w:t>
      </w:r>
    </w:p>
  </w:footnote>
  <w:footnote w:id="4">
    <w:p w:rsidR="00F214D2" w:rsidRDefault="003F689B">
      <w:pPr>
        <w:pStyle w:val="FootnoteText"/>
      </w:pPr>
      <w:r>
        <w:rPr>
          <w:rStyle w:val="FootnoteReference"/>
        </w:rPr>
        <w:footnoteRef/>
      </w:r>
      <w:r>
        <w:t xml:space="preserve"> Cohen, ‘What Do the Gods Call the Sky?’, p. 27.</w:t>
      </w:r>
    </w:p>
  </w:footnote>
  <w:footnote w:id="5">
    <w:p w:rsidR="00F214D2" w:rsidRDefault="003F689B">
      <w:pPr>
        <w:pStyle w:val="FootnoteText"/>
      </w:pPr>
      <w:r>
        <w:rPr>
          <w:rStyle w:val="FootnoteReference"/>
        </w:rPr>
        <w:footnoteRef/>
      </w:r>
      <w:r>
        <w:t xml:space="preserve"> Feeney</w:t>
      </w:r>
      <w:r w:rsidR="00735A54">
        <w:t>-</w:t>
      </w:r>
      <w:r>
        <w:t>Beaton, ‘Altair and Vega’, p. 55.</w:t>
      </w:r>
    </w:p>
  </w:footnote>
  <w:footnote w:id="6">
    <w:p w:rsidR="00F214D2" w:rsidRDefault="003F689B">
      <w:pPr>
        <w:pStyle w:val="FootnoteText"/>
      </w:pPr>
      <w:r>
        <w:rPr>
          <w:rStyle w:val="FootnoteReference"/>
        </w:rPr>
        <w:footnoteRef/>
      </w:r>
      <w:r>
        <w:t xml:space="preserve"> Cohen, ‘What Do the Gods Call the Sky?’, p. 2</w:t>
      </w:r>
      <w:r w:rsidR="00857095">
        <w:t>8</w:t>
      </w:r>
      <w:r>
        <w:t>.</w:t>
      </w:r>
    </w:p>
  </w:footnote>
  <w:footnote w:id="7">
    <w:p w:rsidR="00F214D2" w:rsidRDefault="00735A54">
      <w:pPr>
        <w:pStyle w:val="FootnoteText"/>
      </w:pPr>
      <w:r>
        <w:rPr>
          <w:rStyle w:val="FootnoteReference"/>
        </w:rPr>
        <w:t>7</w:t>
      </w:r>
      <w:r>
        <w:t xml:space="preserve"> Feeney-Beaton, ‘Altair and Vega’, p. 55.</w:t>
      </w:r>
    </w:p>
  </w:footnote>
  <w:footnote w:id="8">
    <w:p w:rsidR="00F214D2" w:rsidRDefault="00A97AB3">
      <w:pPr>
        <w:pStyle w:val="FootnoteText"/>
      </w:pPr>
      <w:r>
        <w:rPr>
          <w:rStyle w:val="FootnoteReference"/>
        </w:rPr>
        <w:t>8</w:t>
      </w:r>
      <w:r>
        <w:t xml:space="preserve"> Cohen, ‘What Do the Gods Call the Sky?’, p. 29.</w:t>
      </w:r>
    </w:p>
  </w:footnote>
  <w:footnote w:id="9">
    <w:p w:rsidR="00F214D2" w:rsidRDefault="003F689B">
      <w:pPr>
        <w:pStyle w:val="FootnoteText"/>
      </w:pPr>
      <w:r>
        <w:rPr>
          <w:rStyle w:val="FootnoteReference"/>
        </w:rPr>
        <w:footnoteRef/>
      </w:r>
      <w:r>
        <w:t xml:space="preserve"> Feeney Beaton, ‘Altair and Vega’, pp. 55–56.</w:t>
      </w:r>
    </w:p>
  </w:footnote>
  <w:footnote w:id="10">
    <w:p w:rsidR="00F214D2" w:rsidRDefault="003F689B">
      <w:pPr>
        <w:pStyle w:val="FootnoteText"/>
      </w:pPr>
      <w:r>
        <w:rPr>
          <w:rStyle w:val="FootnoteReference"/>
        </w:rPr>
        <w:footnoteRef/>
      </w:r>
      <w:r>
        <w:t xml:space="preserve"> Feeney Beaton, ‘Altair and Vega’, p. 69, footnote 59.</w:t>
      </w:r>
    </w:p>
  </w:footnote>
  <w:footnote w:id="11">
    <w:p w:rsidR="00F214D2" w:rsidRDefault="003F689B">
      <w:pPr>
        <w:pStyle w:val="FootnoteText"/>
      </w:pPr>
      <w:r>
        <w:rPr>
          <w:rStyle w:val="FootnoteReference"/>
        </w:rPr>
        <w:footnoteRef/>
      </w:r>
      <w:r>
        <w:t xml:space="preserve"> William R. Bascom, ‘Four Functions of Folklore’, </w:t>
      </w:r>
      <w:r>
        <w:rPr>
          <w:i/>
          <w:iCs/>
        </w:rPr>
        <w:t>The Journal of American Folklore</w:t>
      </w:r>
      <w:r>
        <w:t>, Vol. 67, No. 266, Oct.–Dec. 1954, pp. 333–349.</w:t>
      </w:r>
    </w:p>
  </w:footnote>
  <w:footnote w:id="12">
    <w:p w:rsidR="00F214D2" w:rsidRDefault="003F689B">
      <w:pPr>
        <w:pStyle w:val="FootnoteText"/>
      </w:pPr>
      <w:r>
        <w:rPr>
          <w:rStyle w:val="FootnoteReference"/>
        </w:rPr>
        <w:footnoteRef/>
      </w:r>
      <w:r>
        <w:t xml:space="preserve"> Bascom, ‘Four Functions of Folklore’, pp. 333–334.</w:t>
      </w:r>
    </w:p>
  </w:footnote>
  <w:footnote w:id="13">
    <w:p w:rsidR="00F214D2" w:rsidRDefault="003F689B">
      <w:pPr>
        <w:pStyle w:val="FootnoteText"/>
      </w:pPr>
      <w:r>
        <w:rPr>
          <w:rStyle w:val="FootnoteReference"/>
        </w:rPr>
        <w:footnoteRef/>
      </w:r>
      <w:r>
        <w:t xml:space="preserve"> Bascom, ‘Four Functions of Folklore’, p. 33</w:t>
      </w:r>
      <w:r w:rsidR="006A4052">
        <w:t>5</w:t>
      </w:r>
      <w:r>
        <w:t>.</w:t>
      </w:r>
    </w:p>
  </w:footnote>
  <w:footnote w:id="14">
    <w:p w:rsidR="00F214D2" w:rsidRDefault="003F689B">
      <w:pPr>
        <w:pStyle w:val="FootnoteText"/>
      </w:pPr>
      <w:r>
        <w:rPr>
          <w:rStyle w:val="FootnoteReference"/>
        </w:rPr>
        <w:footnoteRef/>
      </w:r>
      <w:r>
        <w:t xml:space="preserve"> Cohen, ‘What Do the Gods Call the Sky?’, p. 28.</w:t>
      </w:r>
    </w:p>
  </w:footnote>
  <w:footnote w:id="15">
    <w:p w:rsidR="00F214D2" w:rsidRDefault="003F689B">
      <w:pPr>
        <w:pStyle w:val="FootnoteText"/>
      </w:pPr>
      <w:r>
        <w:rPr>
          <w:rStyle w:val="FootnoteReference"/>
        </w:rPr>
        <w:footnoteRef/>
      </w:r>
      <w:r>
        <w:t xml:space="preserve"> Cohen, ‘What Do the Gods Call the Sky?’, p. 34.</w:t>
      </w:r>
    </w:p>
  </w:footnote>
  <w:footnote w:id="16">
    <w:p w:rsidR="00F214D2" w:rsidRDefault="003F689B">
      <w:pPr>
        <w:pStyle w:val="FootnoteText"/>
      </w:pPr>
      <w:r>
        <w:rPr>
          <w:rStyle w:val="FootnoteReference"/>
        </w:rPr>
        <w:footnoteRef/>
      </w:r>
      <w:r>
        <w:t xml:space="preserve"> Cohen, ‘What Do the Gods Call the Sky?’, pp. 32–34.</w:t>
      </w:r>
    </w:p>
  </w:footnote>
  <w:footnote w:id="17">
    <w:p w:rsidR="00F214D2" w:rsidRDefault="003F689B">
      <w:pPr>
        <w:pStyle w:val="FootnoteText"/>
      </w:pPr>
      <w:r>
        <w:rPr>
          <w:rStyle w:val="FootnoteReference"/>
        </w:rPr>
        <w:footnoteRef/>
      </w:r>
      <w:r>
        <w:t xml:space="preserve"> Cohen, ‘What Do the Gods Call the Sky?’, p. 36.</w:t>
      </w:r>
    </w:p>
  </w:footnote>
  <w:footnote w:id="18">
    <w:p w:rsidR="00F214D2" w:rsidRDefault="003F689B">
      <w:pPr>
        <w:pStyle w:val="FootnoteText"/>
      </w:pPr>
      <w:r>
        <w:rPr>
          <w:rStyle w:val="FootnoteReference"/>
        </w:rPr>
        <w:footnoteRef/>
      </w:r>
      <w:r>
        <w:t xml:space="preserve"> Cohen, ‘What Do the Gods Call the Sky?’, pp. 27–28.</w:t>
      </w:r>
    </w:p>
  </w:footnote>
  <w:footnote w:id="19">
    <w:p w:rsidR="00F214D2" w:rsidRDefault="003F689B">
      <w:pPr>
        <w:pStyle w:val="FootnoteText"/>
      </w:pPr>
      <w:r>
        <w:rPr>
          <w:rStyle w:val="FootnoteReference"/>
        </w:rPr>
        <w:footnoteRef/>
      </w:r>
      <w:r>
        <w:t xml:space="preserve"> Feeney</w:t>
      </w:r>
      <w:r w:rsidR="00EF1B53">
        <w:t>-</w:t>
      </w:r>
      <w:r>
        <w:t>Beaton, ‘Altair and Vega’, p. 69.</w:t>
      </w:r>
    </w:p>
  </w:footnote>
  <w:footnote w:id="20">
    <w:p w:rsidR="00F214D2" w:rsidRDefault="003F689B">
      <w:pPr>
        <w:pStyle w:val="FootnoteText"/>
      </w:pPr>
      <w:r>
        <w:rPr>
          <w:rStyle w:val="FootnoteReference"/>
        </w:rPr>
        <w:footnoteRef/>
      </w:r>
      <w:r>
        <w:t xml:space="preserve"> Jose Manuel Losada, ‘Cultural Myth Criticism and Today’s Challenges to Myth’, in Nickolas B. Roubekas and Thomas Ryba, eds., </w:t>
      </w:r>
      <w:r>
        <w:rPr>
          <w:i/>
          <w:iCs/>
        </w:rPr>
        <w:t>Explaining, Interpreting, and Theorizing Religion and Myth</w:t>
      </w:r>
      <w:r>
        <w:t xml:space="preserve"> (Leiden: Brill, 2020), p. 356.</w:t>
      </w:r>
    </w:p>
  </w:footnote>
  <w:footnote w:id="21">
    <w:p w:rsidR="00F214D2" w:rsidRDefault="003F689B">
      <w:pPr>
        <w:pStyle w:val="FootnoteText"/>
      </w:pPr>
      <w:r>
        <w:rPr>
          <w:rStyle w:val="FootnoteReference"/>
        </w:rPr>
        <w:footnoteRef/>
      </w:r>
      <w:r>
        <w:t xml:space="preserve"> Losada, ‘Cultural Myth Criticism’, p. 355.</w:t>
      </w:r>
    </w:p>
  </w:footnote>
  <w:footnote w:id="22">
    <w:p w:rsidR="00F214D2" w:rsidRDefault="003F689B">
      <w:pPr>
        <w:pStyle w:val="FootnoteText"/>
      </w:pPr>
      <w:r>
        <w:rPr>
          <w:rStyle w:val="FootnoteReference"/>
        </w:rPr>
        <w:footnoteRef/>
      </w:r>
      <w:r>
        <w:t xml:space="preserve"> Feeney</w:t>
      </w:r>
      <w:r w:rsidR="00EF1B53">
        <w:t>-</w:t>
      </w:r>
      <w:r>
        <w:t>Beaton, ‘Altair and Vega’, p. 67.</w:t>
      </w:r>
    </w:p>
  </w:footnote>
  <w:footnote w:id="23">
    <w:p w:rsidR="00F214D2" w:rsidRDefault="003F689B">
      <w:pPr>
        <w:pStyle w:val="FootnoteText"/>
      </w:pPr>
      <w:r>
        <w:rPr>
          <w:rStyle w:val="FootnoteReference"/>
        </w:rPr>
        <w:footnoteRef/>
      </w:r>
      <w:r>
        <w:t xml:space="preserve"> Feeney</w:t>
      </w:r>
      <w:r w:rsidR="00EF1B53">
        <w:t>-</w:t>
      </w:r>
      <w:r>
        <w:t>Beaton, ‘Altair and Vega’, p. 71.</w:t>
      </w:r>
    </w:p>
  </w:footnote>
  <w:footnote w:id="24">
    <w:p w:rsidR="00F214D2" w:rsidRDefault="003F689B">
      <w:pPr>
        <w:pStyle w:val="FootnoteText"/>
      </w:pPr>
      <w:r>
        <w:rPr>
          <w:rStyle w:val="FootnoteReference"/>
        </w:rPr>
        <w:footnoteRef/>
      </w:r>
      <w:r>
        <w:t xml:space="preserve"> Feeney</w:t>
      </w:r>
      <w:r w:rsidR="00EF1B53">
        <w:t>-</w:t>
      </w:r>
      <w:r>
        <w:t>Beaton, ‘Altair and Vega’, pp. 70–71.</w:t>
      </w:r>
    </w:p>
  </w:footnote>
  <w:footnote w:id="25">
    <w:p w:rsidR="00F214D2" w:rsidRDefault="003F689B">
      <w:pPr>
        <w:pStyle w:val="FootnoteText"/>
      </w:pPr>
      <w:r>
        <w:rPr>
          <w:rStyle w:val="FootnoteReference"/>
        </w:rPr>
        <w:footnoteRef/>
      </w:r>
      <w:r>
        <w:t xml:space="preserve"> Feeney</w:t>
      </w:r>
      <w:r w:rsidR="00EF1B53">
        <w:t>-</w:t>
      </w:r>
      <w:r>
        <w:t>Beaton, ‘Altair and Vega’, p. 62.</w:t>
      </w:r>
    </w:p>
  </w:footnote>
  <w:footnote w:id="26">
    <w:p w:rsidR="00F214D2" w:rsidRDefault="003F689B">
      <w:pPr>
        <w:pStyle w:val="FootnoteText"/>
      </w:pPr>
      <w:r>
        <w:rPr>
          <w:rStyle w:val="FootnoteReference"/>
        </w:rPr>
        <w:footnoteRef/>
      </w:r>
      <w:r>
        <w:t xml:space="preserve"> Feeney</w:t>
      </w:r>
      <w:r w:rsidR="00EF1B53">
        <w:t>-</w:t>
      </w:r>
      <w:r>
        <w:t>Beaton, ‘Altair and Vega’, pp. 65–66.</w:t>
      </w:r>
    </w:p>
  </w:footnote>
  <w:footnote w:id="27">
    <w:p w:rsidR="00F214D2" w:rsidRDefault="003F689B">
      <w:pPr>
        <w:pStyle w:val="FootnoteText"/>
      </w:pPr>
      <w:r>
        <w:rPr>
          <w:rStyle w:val="FootnoteReference"/>
        </w:rPr>
        <w:footnoteRef/>
      </w:r>
      <w:r>
        <w:t xml:space="preserve"> Brady, ‘Stars and Cultural Astronomy’, p</w:t>
      </w:r>
      <w:r w:rsidR="005C3557">
        <w:t xml:space="preserve">. </w:t>
      </w:r>
      <w:r>
        <w:t>13</w:t>
      </w:r>
      <w:r w:rsidR="005C3557">
        <w:t>1</w:t>
      </w:r>
      <w:r>
        <w:t>.</w:t>
      </w:r>
    </w:p>
  </w:footnote>
  <w:footnote w:id="28">
    <w:p w:rsidR="00F214D2" w:rsidRDefault="003F689B">
      <w:pPr>
        <w:pStyle w:val="FootnoteText"/>
      </w:pPr>
      <w:r>
        <w:rPr>
          <w:rStyle w:val="FootnoteReference"/>
        </w:rPr>
        <w:footnoteRef/>
      </w:r>
      <w:r>
        <w:t xml:space="preserve"> Feeney</w:t>
      </w:r>
      <w:r w:rsidR="00EF1B53">
        <w:t>-</w:t>
      </w:r>
      <w:r>
        <w:t>Beaton, ‘Altair and Vega’, p. 59.</w:t>
      </w:r>
    </w:p>
  </w:footnote>
  <w:footnote w:id="29">
    <w:p w:rsidR="00F214D2" w:rsidRDefault="003F689B">
      <w:pPr>
        <w:pStyle w:val="FootnoteText"/>
      </w:pPr>
      <w:r>
        <w:rPr>
          <w:rStyle w:val="FootnoteReference"/>
        </w:rPr>
        <w:footnoteRef/>
      </w:r>
      <w:r>
        <w:t xml:space="preserve"> Cohen, ‘What Do the Gods Call the Sky?’, p. 36.</w:t>
      </w:r>
    </w:p>
  </w:footnote>
  <w:footnote w:id="30">
    <w:p w:rsidR="00F214D2" w:rsidRDefault="003F689B">
      <w:pPr>
        <w:pStyle w:val="FootnoteText"/>
      </w:pPr>
      <w:r>
        <w:rPr>
          <w:rStyle w:val="FootnoteReference"/>
        </w:rPr>
        <w:footnoteRef/>
      </w:r>
      <w:r>
        <w:t xml:space="preserve"> Nicholas Campion, ‘The Importance of Cosmology in Culture: Contexts and Consequences’, in Abraao Jesse Capistrano de Souza, ed., </w:t>
      </w:r>
      <w:r>
        <w:rPr>
          <w:i/>
          <w:iCs/>
        </w:rPr>
        <w:t>Cosmology</w:t>
      </w:r>
      <w:r>
        <w:t xml:space="preserve"> (InTech Open, 2017)</w:t>
      </w:r>
    </w:p>
  </w:footnote>
  <w:footnote w:id="31">
    <w:p w:rsidR="00F214D2" w:rsidRDefault="003F689B">
      <w:pPr>
        <w:pStyle w:val="FootnoteText"/>
      </w:pPr>
      <w:r>
        <w:rPr>
          <w:rStyle w:val="FootnoteReference"/>
        </w:rPr>
        <w:footnoteRef/>
      </w:r>
      <w:r>
        <w:t xml:space="preserve"> Feeney</w:t>
      </w:r>
      <w:r w:rsidR="00EF1B53">
        <w:t>-</w:t>
      </w:r>
      <w:r>
        <w:t>Beaton, ‘Altair and Vega’, p. 64.</w:t>
      </w:r>
    </w:p>
  </w:footnote>
  <w:footnote w:id="32">
    <w:p w:rsidR="00F214D2" w:rsidRDefault="003F689B">
      <w:pPr>
        <w:pStyle w:val="FootnoteText"/>
      </w:pPr>
      <w:r>
        <w:rPr>
          <w:rStyle w:val="FootnoteReference"/>
        </w:rPr>
        <w:footnoteRef/>
      </w:r>
      <w:r>
        <w:t xml:space="preserve"> Feeney</w:t>
      </w:r>
      <w:r w:rsidR="00EF1B53">
        <w:t>-</w:t>
      </w:r>
      <w:r>
        <w:t>Beaton, ‘Altair and Vega’, p. 72.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5952290"/>
      <w:docPartObj>
        <w:docPartGallery w:val="Page Numbers (Top of Page)"/>
        <w:docPartUnique/>
      </w:docPartObj>
    </w:sdtPr>
    <w:sdtEndPr>
      <w:rPr>
        <w:rStyle w:val="PageNumber"/>
      </w:rPr>
    </w:sdtEndPr>
    <w:sdtContent>
      <w:p w:rsidR="0011041B" w:rsidRDefault="0011041B" w:rsidP="00327CF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24E86" w:rsidRDefault="00F24E86" w:rsidP="0011041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19429037"/>
      <w:docPartObj>
        <w:docPartGallery w:val="Page Numbers (Top of Page)"/>
        <w:docPartUnique/>
      </w:docPartObj>
    </w:sdtPr>
    <w:sdtEndPr>
      <w:rPr>
        <w:rStyle w:val="PageNumber"/>
      </w:rPr>
    </w:sdtEndPr>
    <w:sdtContent>
      <w:p w:rsidR="0011041B" w:rsidRDefault="0011041B" w:rsidP="00327CFF">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1041B" w:rsidRDefault="00F24E86" w:rsidP="0011041B">
    <w:pPr>
      <w:pStyle w:val="Header"/>
      <w:ind w:right="360"/>
    </w:pPr>
    <w:r>
      <w:t xml:space="preserve">Martina Anguelova </w:t>
    </w:r>
    <w:r w:rsidR="0011041B">
      <w:t>2533564</w:t>
    </w:r>
    <w:r w:rsidR="0011041B">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A990"/>
    <w:multiLevelType w:val="multilevel"/>
    <w:tmpl w:val="F028CDA4"/>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embedSystemFonts/>
  <w:activeWritingStyle w:appName="MSWord" w:lang="en-US" w:vendorID="64" w:dllVersion="4096" w:nlCheck="1" w:checkStyle="0"/>
  <w:activeWritingStyle w:appName="MSWord" w:lang="en-GB" w:vendorID="64" w:dllVersion="4096" w:nlCheck="1" w:checkStyle="0"/>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efaultTabStop w:val="720"/>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4D2"/>
    <w:rsid w:val="00050A43"/>
    <w:rsid w:val="0011041B"/>
    <w:rsid w:val="00127C58"/>
    <w:rsid w:val="00196504"/>
    <w:rsid w:val="001B4D7E"/>
    <w:rsid w:val="001E4378"/>
    <w:rsid w:val="002078EA"/>
    <w:rsid w:val="0022197A"/>
    <w:rsid w:val="002A5051"/>
    <w:rsid w:val="003F689B"/>
    <w:rsid w:val="00403236"/>
    <w:rsid w:val="0041136D"/>
    <w:rsid w:val="004241F9"/>
    <w:rsid w:val="004F23DA"/>
    <w:rsid w:val="004F4C00"/>
    <w:rsid w:val="00552FA8"/>
    <w:rsid w:val="005C3557"/>
    <w:rsid w:val="00616D7C"/>
    <w:rsid w:val="00617A7E"/>
    <w:rsid w:val="00681C2E"/>
    <w:rsid w:val="006A4052"/>
    <w:rsid w:val="00735A54"/>
    <w:rsid w:val="0074598F"/>
    <w:rsid w:val="007578A7"/>
    <w:rsid w:val="00857095"/>
    <w:rsid w:val="00891648"/>
    <w:rsid w:val="008E4B6D"/>
    <w:rsid w:val="008E6C93"/>
    <w:rsid w:val="00A97AB3"/>
    <w:rsid w:val="00AC0529"/>
    <w:rsid w:val="00B92CE5"/>
    <w:rsid w:val="00C02426"/>
    <w:rsid w:val="00E75F15"/>
    <w:rsid w:val="00E77493"/>
    <w:rsid w:val="00EF1B53"/>
    <w:rsid w:val="00F003F2"/>
    <w:rsid w:val="00F214D2"/>
    <w:rsid w:val="00F24E86"/>
    <w:rsid w:val="00F37C1F"/>
    <w:rsid w:val="00F947C2"/>
    <w:rsid w:val="00FB3D2E"/>
  </w:rsids>
  <m:mathPr>
    <m:mathFont m:val="Cambria Math"/>
    <m:brkBin m:val="before"/>
    <m:brkBinSub m:val="--"/>
    <m:smallFrac m:val="0"/>
    <m:dispDef/>
    <m:lMargin m:val="0"/>
    <m:rMargin m:val="0"/>
    <m:defJc m:val="centerGroup"/>
    <m:wrapRight/>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DA32A"/>
  <w15:docId w15:val="{1A0BD4ED-198B-9E4D-AB2C-EF946B17DE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5">
    <w:lsdException w:name="heading 6"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3" w:semiHidden="1" w:unhideWhenUsed="1"/>
    <w:lsdException w:name="List Bullet 4" w:semiHidden="1" w:unhideWhenUsed="1"/>
    <w:lsdException w:name="List Number 3" w:semiHidden="1" w:unhideWhenUsed="1"/>
    <w:lsdException w:name="List Number 4"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Bibliography" w:semiHidden="1" w:unhideWhenUsed="1"/>
    <w:lsdException w:name="TOC Heading"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val="en-GB"/>
    </w:rPr>
  </w:style>
  <w:style w:type="paragraph" w:styleId="Heading1">
    <w:name w:val="heading 1"/>
    <w:basedOn w:val="Normal"/>
    <w:next w:val="BodyText"/>
    <w:uiPriority w:val="9"/>
    <w:qFormat/>
    <w:pPr>
      <w:keepNext/>
      <w:keepLines/>
      <w:spacing w:before="480" w:after="0"/>
      <w:outlineLvl w:val="0"/>
    </w:pPr>
    <w:rPr>
      <w:rFonts w:asciiTheme="majorHAnsi" w:eastAsiaTheme="majorEastAsia" w:hAnsiTheme="majorHAnsi" w:cstheme="majorBidi"/>
      <w:b/>
      <w:bCs/>
      <w:color w:val="4F81BD" w:themeColor="accent1"/>
      <w:sz w:val="32"/>
      <w:szCs w:val="32"/>
    </w:rPr>
  </w:style>
  <w:style w:type="paragraph" w:styleId="Heading2">
    <w:name w:val="heading 2"/>
    <w:basedOn w:val="Normal"/>
    <w:next w:val="BodyText"/>
    <w:uiPriority w:val="9"/>
    <w:unhideWhenUsed/>
    <w:qFormat/>
    <w:pPr>
      <w:keepNext/>
      <w:keepLines/>
      <w:spacing w:before="200" w:after="0"/>
      <w:outlineLvl w:val="1"/>
    </w:pPr>
    <w:rPr>
      <w:rFonts w:asciiTheme="majorHAnsi" w:eastAsiaTheme="majorEastAsia" w:hAnsiTheme="majorHAnsi" w:cstheme="majorBidi"/>
      <w:b/>
      <w:bCs/>
      <w:color w:val="4F81BD" w:themeColor="accent1"/>
      <w:sz w:val="28"/>
      <w:szCs w:val="28"/>
    </w:rPr>
  </w:style>
  <w:style w:type="paragraph" w:styleId="Heading3">
    <w:name w:val="heading 3"/>
    <w:basedOn w:val="Normal"/>
    <w:next w:val="BodyText"/>
    <w:uiPriority w:val="9"/>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BodyText"/>
    <w:uiPriority w:val="9"/>
    <w:unhideWhenUsed/>
    <w:qFormat/>
    <w:pPr>
      <w:keepNext/>
      <w:keepLines/>
      <w:spacing w:before="200" w:after="0"/>
      <w:outlineLvl w:val="3"/>
    </w:pPr>
    <w:rPr>
      <w:rFonts w:asciiTheme="majorHAnsi" w:eastAsiaTheme="majorEastAsia" w:hAnsiTheme="majorHAnsi" w:cstheme="majorBidi"/>
      <w:bCs/>
      <w:i/>
      <w:color w:val="4F81BD" w:themeColor="accent1"/>
    </w:rPr>
  </w:style>
  <w:style w:type="paragraph" w:styleId="Heading5">
    <w:name w:val="heading 5"/>
    <w:basedOn w:val="Normal"/>
    <w:next w:val="BodyText"/>
    <w:uiPriority w:val="9"/>
    <w:unhideWhenUsed/>
    <w:qFormat/>
    <w:pPr>
      <w:keepNext/>
      <w:keepLines/>
      <w:spacing w:before="200" w:after="0"/>
      <w:outlineLvl w:val="4"/>
    </w:pPr>
    <w:rPr>
      <w:rFonts w:asciiTheme="majorHAnsi" w:eastAsiaTheme="majorEastAsia" w:hAnsiTheme="majorHAnsi" w:cstheme="majorBidi"/>
      <w:iCs/>
      <w:color w:val="4F81BD" w:themeColor="accent1"/>
    </w:rPr>
  </w:style>
  <w:style w:type="paragraph" w:styleId="Heading6">
    <w:name w:val="heading 6"/>
    <w:basedOn w:val="Normal"/>
    <w:next w:val="BodyText"/>
    <w:uiPriority w:val="9"/>
    <w:unhideWhenUsed/>
    <w:qFormat/>
    <w:pPr>
      <w:keepNext/>
      <w:keepLines/>
      <w:spacing w:before="200" w:after="0"/>
      <w:outlineLvl w:val="5"/>
    </w:pPr>
    <w:rPr>
      <w:rFonts w:asciiTheme="majorHAnsi" w:eastAsiaTheme="majorEastAsia" w:hAnsiTheme="majorHAnsi" w:cstheme="majorBidi"/>
      <w:color w:val="4F81BD" w:themeColor="accent1"/>
    </w:rPr>
  </w:style>
  <w:style w:type="paragraph" w:styleId="Heading7">
    <w:name w:val="heading 7"/>
    <w:basedOn w:val="Normal"/>
    <w:next w:val="BodyText"/>
    <w:uiPriority w:val="9"/>
    <w:unhideWhenUsed/>
    <w:qFormat/>
    <w:pPr>
      <w:keepNext/>
      <w:keepLines/>
      <w:spacing w:before="200" w:after="0"/>
      <w:outlineLvl w:val="6"/>
    </w:pPr>
    <w:rPr>
      <w:rFonts w:asciiTheme="majorHAnsi" w:eastAsiaTheme="majorEastAsia" w:hAnsiTheme="majorHAnsi" w:cstheme="majorBidi"/>
      <w:color w:val="4F81BD" w:themeColor="accent1"/>
    </w:rPr>
  </w:style>
  <w:style w:type="paragraph" w:styleId="Heading8">
    <w:name w:val="heading 8"/>
    <w:basedOn w:val="Normal"/>
    <w:next w:val="BodyText"/>
    <w:uiPriority w:val="9"/>
    <w:unhideWhenUsed/>
    <w:qFormat/>
    <w:pPr>
      <w:keepNext/>
      <w:keepLines/>
      <w:spacing w:before="200" w:after="0"/>
      <w:outlineLvl w:val="7"/>
    </w:pPr>
    <w:rPr>
      <w:rFonts w:asciiTheme="majorHAnsi" w:eastAsiaTheme="majorEastAsia" w:hAnsiTheme="majorHAnsi" w:cstheme="majorBidi"/>
      <w:color w:val="4F81BD" w:themeColor="accent1"/>
    </w:rPr>
  </w:style>
  <w:style w:type="paragraph" w:styleId="Heading9">
    <w:name w:val="heading 9"/>
    <w:basedOn w:val="Normal"/>
    <w:next w:val="BodyText"/>
    <w:uiPriority w:val="9"/>
    <w:unhideWhenUsed/>
    <w:qFormat/>
    <w:pPr>
      <w:keepNext/>
      <w:keepLines/>
      <w:spacing w:before="200" w:after="0"/>
      <w:outlineLvl w:val="8"/>
    </w:pPr>
    <w:rPr>
      <w:rFonts w:asciiTheme="majorHAnsi" w:eastAsiaTheme="majorEastAsia" w:hAnsiTheme="majorHAnsi" w:cstheme="majorBidi"/>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qFormat/>
    <w:pPr>
      <w:keepNext/>
      <w:keepLines/>
      <w:spacing w:before="480" w:after="240"/>
      <w:jc w:val="center"/>
    </w:pPr>
    <w:rPr>
      <w:rFonts w:asciiTheme="majorHAnsi" w:eastAsiaTheme="majorEastAsia" w:hAnsiTheme="majorHAnsi" w:cstheme="majorBidi"/>
      <w:b/>
      <w:bCs/>
      <w:color w:val="345A8A" w:themeColor="accent1" w:themeShade="B5"/>
      <w:sz w:val="36"/>
      <w:szCs w:val="36"/>
    </w:rPr>
  </w:style>
  <w:style w:type="paragraph" w:styleId="Subtitle">
    <w:name w:val="Subtitle"/>
    <w:basedOn w:val="Title"/>
    <w:next w:val="BodyText"/>
    <w:qFormat/>
    <w:pPr>
      <w:spacing w:before="240"/>
    </w:pPr>
    <w:rPr>
      <w:sz w:val="30"/>
      <w:szCs w:val="30"/>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color w:val="345A8A"/>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4F81BD" w:themeColor="accent1"/>
    </w:rPr>
  </w:style>
  <w:style w:type="paragraph" w:styleId="TOCHeading">
    <w:name w:val="TOC Heading"/>
    <w:basedOn w:val="Heading1"/>
    <w:next w:val="BodyText"/>
    <w:uiPriority w:val="39"/>
    <w:unhideWhenUsed/>
    <w:qFormat/>
    <w:pPr>
      <w:spacing w:before="240" w:line="259" w:lineRule="auto"/>
      <w:outlineLvl w:val="9"/>
    </w:pPr>
    <w:rPr>
      <w:b w:val="0"/>
      <w:bCs w:val="0"/>
      <w:color w:val="365F91" w:themeColor="accent1" w:themeShade="BF"/>
    </w:r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 w:type="paragraph" w:styleId="Header">
    <w:name w:val="header"/>
    <w:basedOn w:val="Normal"/>
    <w:link w:val="HeaderChar"/>
    <w:unhideWhenUsed/>
    <w:rsid w:val="00F24E86"/>
    <w:pPr>
      <w:tabs>
        <w:tab w:val="center" w:pos="4680"/>
        <w:tab w:val="right" w:pos="9360"/>
      </w:tabs>
      <w:spacing w:after="0"/>
    </w:pPr>
  </w:style>
  <w:style w:type="character" w:customStyle="1" w:styleId="HeaderChar">
    <w:name w:val="Header Char"/>
    <w:basedOn w:val="DefaultParagraphFont"/>
    <w:link w:val="Header"/>
    <w:rsid w:val="00F24E86"/>
    <w:rPr>
      <w:lang w:val="en-GB"/>
    </w:rPr>
  </w:style>
  <w:style w:type="paragraph" w:styleId="Footer">
    <w:name w:val="footer"/>
    <w:basedOn w:val="Normal"/>
    <w:link w:val="FooterChar"/>
    <w:unhideWhenUsed/>
    <w:rsid w:val="00F24E86"/>
    <w:pPr>
      <w:tabs>
        <w:tab w:val="center" w:pos="4680"/>
        <w:tab w:val="right" w:pos="9360"/>
      </w:tabs>
      <w:spacing w:after="0"/>
    </w:pPr>
  </w:style>
  <w:style w:type="character" w:customStyle="1" w:styleId="FooterChar">
    <w:name w:val="Footer Char"/>
    <w:basedOn w:val="DefaultParagraphFont"/>
    <w:link w:val="Footer"/>
    <w:rsid w:val="00F24E86"/>
    <w:rPr>
      <w:lang w:val="en-GB"/>
    </w:rPr>
  </w:style>
  <w:style w:type="character" w:styleId="PageNumber">
    <w:name w:val="page number"/>
    <w:basedOn w:val="DefaultParagraphFont"/>
    <w:semiHidden/>
    <w:unhideWhenUsed/>
    <w:rsid w:val="0011041B"/>
  </w:style>
  <w:style w:type="paragraph" w:styleId="NormalWeb">
    <w:name w:val="Normal (Web)"/>
    <w:basedOn w:val="Normal"/>
    <w:rsid w:val="004F4C00"/>
    <w:pPr>
      <w:spacing w:before="100" w:beforeAutospacing="1" w:after="100" w:afterAutospacing="1"/>
    </w:pPr>
    <w:rPr>
      <w:rFonts w:ascii="Georgia" w:eastAsia="SimSun" w:hAnsi="Georgia" w:cs="Times New Roman"/>
      <w:color w:val="000000"/>
      <w:sz w:val="21"/>
      <w:szCs w:val="21"/>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07030634">
      <w:bodyDiv w:val="1"/>
      <w:marLeft w:val="0"/>
      <w:marRight w:val="0"/>
      <w:marTop w:val="0"/>
      <w:marBottom w:val="0"/>
      <w:divBdr>
        <w:top w:val="none" w:sz="0" w:space="0" w:color="auto"/>
        <w:left w:val="none" w:sz="0" w:space="0" w:color="auto"/>
        <w:bottom w:val="none" w:sz="0" w:space="0" w:color="auto"/>
        <w:right w:val="none" w:sz="0" w:space="0" w:color="auto"/>
      </w:divBdr>
      <w:divsChild>
        <w:div w:id="541678352">
          <w:marLeft w:val="0"/>
          <w:marRight w:val="0"/>
          <w:marTop w:val="0"/>
          <w:marBottom w:val="0"/>
          <w:divBdr>
            <w:top w:val="none" w:sz="0" w:space="0" w:color="auto"/>
            <w:left w:val="none" w:sz="0" w:space="0" w:color="auto"/>
            <w:bottom w:val="none" w:sz="0" w:space="0" w:color="auto"/>
            <w:right w:val="none" w:sz="0" w:space="0" w:color="auto"/>
          </w:divBdr>
          <w:divsChild>
            <w:div w:id="204585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521162">
      <w:bodyDiv w:val="1"/>
      <w:marLeft w:val="0"/>
      <w:marRight w:val="0"/>
      <w:marTop w:val="0"/>
      <w:marBottom w:val="0"/>
      <w:divBdr>
        <w:top w:val="none" w:sz="0" w:space="0" w:color="auto"/>
        <w:left w:val="none" w:sz="0" w:space="0" w:color="auto"/>
        <w:bottom w:val="none" w:sz="0" w:space="0" w:color="auto"/>
        <w:right w:val="none" w:sz="0" w:space="0" w:color="auto"/>
      </w:divBdr>
    </w:div>
    <w:div w:id="1607422124">
      <w:bodyDiv w:val="1"/>
      <w:marLeft w:val="0"/>
      <w:marRight w:val="0"/>
      <w:marTop w:val="0"/>
      <w:marBottom w:val="0"/>
      <w:divBdr>
        <w:top w:val="none" w:sz="0" w:space="0" w:color="auto"/>
        <w:left w:val="none" w:sz="0" w:space="0" w:color="auto"/>
        <w:bottom w:val="none" w:sz="0" w:space="0" w:color="auto"/>
        <w:right w:val="none" w:sz="0" w:space="0" w:color="auto"/>
      </w:divBdr>
    </w:div>
    <w:div w:id="1632203948">
      <w:bodyDiv w:val="1"/>
      <w:marLeft w:val="0"/>
      <w:marRight w:val="0"/>
      <w:marTop w:val="0"/>
      <w:marBottom w:val="0"/>
      <w:divBdr>
        <w:top w:val="none" w:sz="0" w:space="0" w:color="auto"/>
        <w:left w:val="none" w:sz="0" w:space="0" w:color="auto"/>
        <w:bottom w:val="none" w:sz="0" w:space="0" w:color="auto"/>
        <w:right w:val="none" w:sz="0" w:space="0" w:color="auto"/>
      </w:divBdr>
    </w:div>
    <w:div w:id="1731229348">
      <w:bodyDiv w:val="1"/>
      <w:marLeft w:val="0"/>
      <w:marRight w:val="0"/>
      <w:marTop w:val="0"/>
      <w:marBottom w:val="0"/>
      <w:divBdr>
        <w:top w:val="none" w:sz="0" w:space="0" w:color="auto"/>
        <w:left w:val="none" w:sz="0" w:space="0" w:color="auto"/>
        <w:bottom w:val="none" w:sz="0" w:space="0" w:color="auto"/>
        <w:right w:val="none" w:sz="0" w:space="0" w:color="auto"/>
      </w:divBdr>
    </w:div>
    <w:div w:id="204158879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94B83E-AAB1-474D-AE45-17C9EAB196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10</Pages>
  <Words>3179</Words>
  <Characters>17012</Characters>
  <Application>Microsoft Office Word</Application>
  <DocSecurity>0</DocSecurity>
  <Lines>250</Lines>
  <Paragraphs>45</Paragraphs>
  <ScaleCrop>false</ScaleCrop>
  <HeadingPairs>
    <vt:vector size="2" baseType="variant">
      <vt:variant>
        <vt:lpstr>Title</vt:lpstr>
      </vt:variant>
      <vt:variant>
        <vt:i4>1</vt:i4>
      </vt:variant>
    </vt:vector>
  </HeadingPairs>
  <TitlesOfParts>
    <vt:vector size="1" baseType="lpstr">
      <vt:lpstr>Knowing the Sky, Living Under It: A Critical Comparison of Cohen and Feeney Beaton</vt:lpstr>
    </vt:vector>
  </TitlesOfParts>
  <Company/>
  <LinksUpToDate>false</LinksUpToDate>
  <CharactersWithSpaces>20146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Knowing the Sky, Living Under It: A Critical Comparison of Cohen and Feeney Beaton</dc:title>
  <dc:creator>Microsoft Office User</dc:creator>
  <cp:keywords/>
  <cp:lastModifiedBy>Microsoft Office User</cp:lastModifiedBy>
  <cp:revision>4</cp:revision>
  <dcterms:created xsi:type="dcterms:W3CDTF">2026-04-07T11:47:00Z</dcterms:created>
  <dcterms:modified xsi:type="dcterms:W3CDTF">2026-04-07T13:48:00Z</dcterms:modified>
</cp:coreProperties>
</file>