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49F2B" w14:textId="55D8672B" w:rsidR="00E93BD8" w:rsidRDefault="00E93BD8">
      <w:pPr>
        <w:spacing w:line="360" w:lineRule="auto"/>
        <w:jc w:val="center"/>
        <w:rPr>
          <w:rFonts w:ascii="Arial" w:eastAsia="Arial" w:hAnsi="Arial" w:cs="Arial"/>
          <w:b/>
          <w:bCs/>
        </w:rPr>
      </w:pPr>
    </w:p>
    <w:p w14:paraId="53FCCA1B" w14:textId="77777777" w:rsidR="004D001A" w:rsidRDefault="004D001A">
      <w:pPr>
        <w:spacing w:line="360" w:lineRule="auto"/>
        <w:jc w:val="center"/>
        <w:rPr>
          <w:rFonts w:ascii="Arial" w:eastAsia="Arial" w:hAnsi="Arial" w:cs="Arial"/>
          <w:b/>
          <w:bCs/>
        </w:rPr>
      </w:pPr>
    </w:p>
    <w:p w14:paraId="3AFA7BF1" w14:textId="6A57B8FA" w:rsidR="004D001A" w:rsidRDefault="004D001A" w:rsidP="004D001A">
      <w:pPr>
        <w:spacing w:line="360" w:lineRule="auto"/>
        <w:rPr>
          <w:rFonts w:ascii="Arial" w:eastAsia="Arial" w:hAnsi="Arial" w:cs="Arial"/>
          <w:b/>
          <w:bCs/>
        </w:rPr>
      </w:pPr>
      <w:r>
        <w:rPr>
          <w:rFonts w:ascii="Arial" w:eastAsia="Arial" w:hAnsi="Arial" w:cs="Arial"/>
          <w:b/>
          <w:bCs/>
        </w:rPr>
        <w:t xml:space="preserve">Student Name: Patience </w:t>
      </w:r>
      <w:proofErr w:type="spellStart"/>
      <w:r>
        <w:rPr>
          <w:rFonts w:ascii="Arial" w:eastAsia="Arial" w:hAnsi="Arial" w:cs="Arial"/>
          <w:b/>
          <w:bCs/>
        </w:rPr>
        <w:t>Iriuwa</w:t>
      </w:r>
      <w:proofErr w:type="spellEnd"/>
      <w:r>
        <w:rPr>
          <w:rFonts w:ascii="Arial" w:eastAsia="Arial" w:hAnsi="Arial" w:cs="Arial"/>
          <w:b/>
          <w:bCs/>
        </w:rPr>
        <w:t xml:space="preserve"> Solomon</w:t>
      </w:r>
    </w:p>
    <w:p w14:paraId="30BD7BD2" w14:textId="5542F245" w:rsidR="004D001A" w:rsidRDefault="004D001A" w:rsidP="004D001A">
      <w:pPr>
        <w:spacing w:line="360" w:lineRule="auto"/>
        <w:rPr>
          <w:rFonts w:ascii="Arial" w:eastAsia="Arial" w:hAnsi="Arial" w:cs="Arial"/>
          <w:b/>
          <w:bCs/>
        </w:rPr>
      </w:pPr>
      <w:r>
        <w:rPr>
          <w:rFonts w:ascii="Arial" w:eastAsia="Arial" w:hAnsi="Arial" w:cs="Arial"/>
          <w:b/>
          <w:bCs/>
        </w:rPr>
        <w:t>Student Number: 2233993</w:t>
      </w:r>
    </w:p>
    <w:p w14:paraId="35FDCB1B" w14:textId="2E49156D" w:rsidR="004D001A" w:rsidRDefault="004D001A" w:rsidP="004D001A">
      <w:pPr>
        <w:spacing w:line="360" w:lineRule="auto"/>
        <w:rPr>
          <w:rFonts w:ascii="Arial" w:eastAsia="Arial" w:hAnsi="Arial" w:cs="Arial"/>
          <w:b/>
          <w:bCs/>
        </w:rPr>
      </w:pPr>
      <w:r>
        <w:rPr>
          <w:rFonts w:ascii="Arial" w:eastAsia="Arial" w:hAnsi="Arial" w:cs="Arial"/>
          <w:b/>
          <w:bCs/>
        </w:rPr>
        <w:t>Lecture Name: Jolly Nwankwo</w:t>
      </w:r>
    </w:p>
    <w:p w14:paraId="3C6C9A36" w14:textId="124282A8" w:rsidR="004D001A" w:rsidRDefault="004D001A" w:rsidP="004D001A">
      <w:pPr>
        <w:spacing w:line="360" w:lineRule="auto"/>
        <w:rPr>
          <w:rFonts w:ascii="Arial" w:eastAsia="Arial" w:hAnsi="Arial" w:cs="Arial"/>
          <w:b/>
          <w:bCs/>
        </w:rPr>
      </w:pPr>
      <w:r>
        <w:rPr>
          <w:rFonts w:ascii="Arial" w:eastAsia="Arial" w:hAnsi="Arial" w:cs="Arial"/>
          <w:b/>
          <w:bCs/>
        </w:rPr>
        <w:t>Module code: BMHP6020</w:t>
      </w:r>
    </w:p>
    <w:p w14:paraId="05E47870" w14:textId="66DCDCAA" w:rsidR="004D001A" w:rsidRDefault="004D001A" w:rsidP="004D001A">
      <w:pPr>
        <w:spacing w:line="360" w:lineRule="auto"/>
        <w:rPr>
          <w:rFonts w:ascii="Arial" w:eastAsia="Arial" w:hAnsi="Arial" w:cs="Arial"/>
          <w:b/>
          <w:bCs/>
        </w:rPr>
      </w:pPr>
      <w:r>
        <w:rPr>
          <w:rFonts w:ascii="Arial" w:eastAsia="Arial" w:hAnsi="Arial" w:cs="Arial"/>
          <w:b/>
          <w:bCs/>
        </w:rPr>
        <w:t>Module: Independent Project</w:t>
      </w:r>
    </w:p>
    <w:p w14:paraId="21CB9900" w14:textId="77777777" w:rsidR="004D001A" w:rsidRDefault="004D001A" w:rsidP="004D001A">
      <w:pPr>
        <w:spacing w:line="360" w:lineRule="auto"/>
        <w:rPr>
          <w:rFonts w:ascii="Arial" w:eastAsia="Arial" w:hAnsi="Arial" w:cs="Arial"/>
          <w:b/>
          <w:bCs/>
        </w:rPr>
      </w:pPr>
    </w:p>
    <w:p w14:paraId="011849A3" w14:textId="77777777" w:rsidR="004D001A" w:rsidRDefault="004D001A" w:rsidP="004D001A">
      <w:pPr>
        <w:spacing w:line="360" w:lineRule="auto"/>
        <w:rPr>
          <w:rFonts w:ascii="Arial" w:eastAsia="Arial" w:hAnsi="Arial" w:cs="Arial"/>
          <w:b/>
          <w:bCs/>
        </w:rPr>
      </w:pPr>
    </w:p>
    <w:p w14:paraId="5E7C48EF" w14:textId="77777777" w:rsidR="004D001A" w:rsidRDefault="004D001A">
      <w:pPr>
        <w:spacing w:line="360" w:lineRule="auto"/>
        <w:jc w:val="center"/>
        <w:rPr>
          <w:rFonts w:ascii="Arial" w:eastAsia="Arial" w:hAnsi="Arial" w:cs="Arial"/>
          <w:b/>
          <w:bCs/>
        </w:rPr>
      </w:pPr>
    </w:p>
    <w:p w14:paraId="6119AF68" w14:textId="77777777" w:rsidR="004D001A" w:rsidRDefault="004D001A">
      <w:pPr>
        <w:spacing w:line="360" w:lineRule="auto"/>
        <w:jc w:val="center"/>
        <w:rPr>
          <w:rFonts w:ascii="Arial" w:eastAsia="Arial" w:hAnsi="Arial" w:cs="Arial"/>
          <w:b/>
          <w:bCs/>
        </w:rPr>
      </w:pPr>
    </w:p>
    <w:p w14:paraId="73A64488" w14:textId="77777777" w:rsidR="004D001A" w:rsidRDefault="004D001A">
      <w:pPr>
        <w:spacing w:line="360" w:lineRule="auto"/>
        <w:jc w:val="center"/>
        <w:rPr>
          <w:rFonts w:ascii="Arial" w:eastAsia="Arial" w:hAnsi="Arial" w:cs="Arial"/>
          <w:b/>
          <w:bCs/>
        </w:rPr>
      </w:pPr>
    </w:p>
    <w:p w14:paraId="325EAAF5" w14:textId="77777777" w:rsidR="004D001A" w:rsidRDefault="004D001A">
      <w:pPr>
        <w:spacing w:line="360" w:lineRule="auto"/>
        <w:jc w:val="center"/>
        <w:rPr>
          <w:rFonts w:ascii="Arial" w:eastAsia="Arial" w:hAnsi="Arial" w:cs="Arial"/>
          <w:b/>
          <w:bCs/>
        </w:rPr>
      </w:pPr>
    </w:p>
    <w:p w14:paraId="1BC8ECA3" w14:textId="77777777" w:rsidR="004D001A" w:rsidRDefault="004D001A">
      <w:pPr>
        <w:spacing w:line="360" w:lineRule="auto"/>
        <w:jc w:val="center"/>
        <w:rPr>
          <w:rFonts w:ascii="Arial" w:eastAsia="Arial" w:hAnsi="Arial" w:cs="Arial"/>
          <w:b/>
          <w:bCs/>
        </w:rPr>
      </w:pPr>
    </w:p>
    <w:p w14:paraId="3766ACB2" w14:textId="77777777" w:rsidR="004D001A" w:rsidRDefault="004D001A">
      <w:pPr>
        <w:spacing w:line="360" w:lineRule="auto"/>
        <w:jc w:val="center"/>
        <w:rPr>
          <w:rFonts w:ascii="Arial" w:eastAsia="Arial" w:hAnsi="Arial" w:cs="Arial"/>
          <w:b/>
          <w:bCs/>
        </w:rPr>
      </w:pPr>
    </w:p>
    <w:p w14:paraId="74F9378D" w14:textId="77777777" w:rsidR="004D001A" w:rsidRDefault="004D001A">
      <w:pPr>
        <w:spacing w:line="360" w:lineRule="auto"/>
        <w:jc w:val="center"/>
        <w:rPr>
          <w:rFonts w:ascii="Arial" w:eastAsia="Arial" w:hAnsi="Arial" w:cs="Arial"/>
          <w:b/>
          <w:bCs/>
        </w:rPr>
      </w:pPr>
    </w:p>
    <w:p w14:paraId="66514C1A" w14:textId="77777777" w:rsidR="004D001A" w:rsidRDefault="004D001A">
      <w:pPr>
        <w:spacing w:line="360" w:lineRule="auto"/>
        <w:jc w:val="center"/>
        <w:rPr>
          <w:rFonts w:ascii="Arial" w:eastAsia="Arial" w:hAnsi="Arial" w:cs="Arial"/>
          <w:b/>
          <w:bCs/>
        </w:rPr>
      </w:pPr>
    </w:p>
    <w:p w14:paraId="7C5AE6F9" w14:textId="77777777" w:rsidR="004D001A" w:rsidRDefault="004D001A">
      <w:pPr>
        <w:spacing w:line="360" w:lineRule="auto"/>
        <w:jc w:val="center"/>
        <w:rPr>
          <w:rFonts w:ascii="Arial" w:eastAsia="Arial" w:hAnsi="Arial" w:cs="Arial"/>
          <w:b/>
          <w:bCs/>
        </w:rPr>
      </w:pPr>
    </w:p>
    <w:p w14:paraId="4A9CCC0B" w14:textId="77777777" w:rsidR="004D001A" w:rsidRDefault="004D001A">
      <w:pPr>
        <w:spacing w:line="360" w:lineRule="auto"/>
        <w:jc w:val="center"/>
        <w:rPr>
          <w:rFonts w:ascii="Arial" w:eastAsia="Arial" w:hAnsi="Arial" w:cs="Arial"/>
          <w:b/>
          <w:bCs/>
        </w:rPr>
      </w:pPr>
    </w:p>
    <w:p w14:paraId="5D8B1FB1" w14:textId="77777777" w:rsidR="00E93BD8" w:rsidRDefault="00E93BD8">
      <w:pPr>
        <w:spacing w:line="360" w:lineRule="auto"/>
        <w:jc w:val="center"/>
        <w:rPr>
          <w:rFonts w:ascii="Arial" w:eastAsia="Arial" w:hAnsi="Arial" w:cs="Arial"/>
          <w:b/>
          <w:bCs/>
        </w:rPr>
      </w:pPr>
    </w:p>
    <w:p w14:paraId="3D4BB8CB" w14:textId="77777777" w:rsidR="00E93BD8" w:rsidRDefault="00E93BD8">
      <w:pPr>
        <w:spacing w:line="360" w:lineRule="auto"/>
        <w:jc w:val="center"/>
        <w:rPr>
          <w:rFonts w:ascii="Arial" w:eastAsia="Arial" w:hAnsi="Arial" w:cs="Arial"/>
          <w:b/>
          <w:bCs/>
        </w:rPr>
      </w:pPr>
    </w:p>
    <w:p w14:paraId="1CFD2861" w14:textId="77777777" w:rsidR="00E93BD8" w:rsidRDefault="00E93BD8">
      <w:pPr>
        <w:spacing w:line="360" w:lineRule="auto"/>
        <w:jc w:val="center"/>
        <w:rPr>
          <w:rFonts w:ascii="Arial" w:eastAsia="Arial" w:hAnsi="Arial" w:cs="Arial"/>
          <w:b/>
          <w:bCs/>
        </w:rPr>
      </w:pPr>
    </w:p>
    <w:p w14:paraId="3702C28B" w14:textId="77777777" w:rsidR="00E93BD8" w:rsidRDefault="00E93BD8">
      <w:pPr>
        <w:spacing w:line="360" w:lineRule="auto"/>
        <w:rPr>
          <w:rFonts w:ascii="Arial" w:eastAsia="Arial" w:hAnsi="Arial" w:cs="Arial"/>
          <w:b/>
          <w:bCs/>
        </w:rPr>
      </w:pPr>
    </w:p>
    <w:p w14:paraId="7FEE15E6" w14:textId="77777777" w:rsidR="00E93BD8" w:rsidRDefault="00E93BD8">
      <w:pPr>
        <w:spacing w:line="360" w:lineRule="auto"/>
        <w:jc w:val="center"/>
        <w:rPr>
          <w:rFonts w:ascii="Arial" w:eastAsia="Arial" w:hAnsi="Arial" w:cs="Arial"/>
          <w:b/>
          <w:bCs/>
        </w:rPr>
      </w:pPr>
    </w:p>
    <w:p w14:paraId="6BCB1CBA" w14:textId="77777777" w:rsidR="00E93BD8" w:rsidRDefault="00E93BD8">
      <w:pPr>
        <w:spacing w:line="360" w:lineRule="auto"/>
        <w:rPr>
          <w:rFonts w:ascii="Arial" w:eastAsia="Arial" w:hAnsi="Arial" w:cs="Arial"/>
          <w:b/>
          <w:bCs/>
        </w:rPr>
      </w:pPr>
    </w:p>
    <w:p w14:paraId="6A19F54B" w14:textId="77777777" w:rsidR="00E93BD8" w:rsidRDefault="00E93BD8">
      <w:pPr>
        <w:spacing w:line="360" w:lineRule="auto"/>
        <w:jc w:val="center"/>
        <w:rPr>
          <w:rFonts w:ascii="Arial" w:eastAsia="Arial" w:hAnsi="Arial" w:cs="Arial"/>
          <w:b/>
          <w:bCs/>
        </w:rPr>
      </w:pPr>
    </w:p>
    <w:p w14:paraId="00E4237A" w14:textId="77777777" w:rsidR="00E93BD8" w:rsidRDefault="00E93BD8">
      <w:pPr>
        <w:spacing w:line="360" w:lineRule="auto"/>
        <w:jc w:val="center"/>
        <w:rPr>
          <w:rFonts w:ascii="Arial" w:eastAsia="Arial" w:hAnsi="Arial" w:cs="Arial"/>
          <w:b/>
          <w:bCs/>
        </w:rPr>
      </w:pPr>
    </w:p>
    <w:p w14:paraId="4B31C202" w14:textId="77777777" w:rsidR="00E93BD8" w:rsidRDefault="00000000">
      <w:pPr>
        <w:pStyle w:val="Heading2"/>
        <w:spacing w:line="360" w:lineRule="auto"/>
        <w:jc w:val="center"/>
        <w:rPr>
          <w:rFonts w:ascii="Arial" w:eastAsia="Arial" w:hAnsi="Arial" w:cs="Arial"/>
          <w:b/>
          <w:bCs/>
          <w:color w:val="000000"/>
          <w:sz w:val="24"/>
          <w:szCs w:val="24"/>
        </w:rPr>
      </w:pPr>
      <w:bookmarkStart w:id="0" w:name="_heading=h.upvc6sku9gvg" w:colFirst="0" w:colLast="0"/>
      <w:bookmarkEnd w:id="0"/>
      <w:r>
        <w:rPr>
          <w:rFonts w:ascii="Arial" w:eastAsia="Arial" w:hAnsi="Arial" w:cs="Arial"/>
          <w:b/>
          <w:bCs/>
          <w:color w:val="000000"/>
          <w:sz w:val="24"/>
          <w:szCs w:val="24"/>
        </w:rPr>
        <w:t>Exploring the Effect of Depression on Young Adult in the UK</w:t>
      </w:r>
    </w:p>
    <w:p w14:paraId="4EEC9387" w14:textId="77777777" w:rsidR="00E93BD8" w:rsidRDefault="00E93BD8">
      <w:pPr>
        <w:spacing w:line="360" w:lineRule="auto"/>
        <w:jc w:val="center"/>
        <w:rPr>
          <w:rFonts w:ascii="Arial" w:eastAsia="Arial" w:hAnsi="Arial" w:cs="Arial"/>
          <w:b/>
          <w:bCs/>
        </w:rPr>
      </w:pPr>
    </w:p>
    <w:p w14:paraId="64E48E50" w14:textId="77777777" w:rsidR="00E93BD8" w:rsidRDefault="00000000">
      <w:pPr>
        <w:spacing w:line="360" w:lineRule="auto"/>
        <w:jc w:val="center"/>
        <w:rPr>
          <w:rFonts w:ascii="Arial" w:eastAsia="Arial" w:hAnsi="Arial" w:cs="Arial"/>
          <w:b/>
          <w:bCs/>
        </w:rPr>
      </w:pPr>
      <w:r>
        <w:rPr>
          <w:rFonts w:ascii="Arial" w:eastAsia="Arial" w:hAnsi="Arial" w:cs="Arial"/>
          <w:b/>
          <w:bCs/>
        </w:rPr>
        <w:t>By:</w:t>
      </w:r>
    </w:p>
    <w:p w14:paraId="2F347EF6" w14:textId="77777777" w:rsidR="00E93BD8" w:rsidRDefault="00000000">
      <w:pPr>
        <w:spacing w:line="360" w:lineRule="auto"/>
        <w:jc w:val="center"/>
        <w:rPr>
          <w:rFonts w:ascii="Arial" w:eastAsia="Arial" w:hAnsi="Arial" w:cs="Arial"/>
          <w:b/>
          <w:bCs/>
        </w:rPr>
      </w:pPr>
      <w:r>
        <w:rPr>
          <w:rFonts w:ascii="Arial" w:eastAsia="Arial" w:hAnsi="Arial" w:cs="Arial"/>
          <w:b/>
          <w:bCs/>
        </w:rPr>
        <w:t>Student ID:</w:t>
      </w:r>
    </w:p>
    <w:p w14:paraId="0BF76C6D" w14:textId="77777777" w:rsidR="00E93BD8" w:rsidRDefault="00E93BD8">
      <w:pPr>
        <w:spacing w:line="360" w:lineRule="auto"/>
        <w:jc w:val="center"/>
        <w:rPr>
          <w:rFonts w:ascii="Arial" w:eastAsia="Arial" w:hAnsi="Arial" w:cs="Arial"/>
          <w:b/>
          <w:bCs/>
        </w:rPr>
      </w:pPr>
    </w:p>
    <w:p w14:paraId="2E0748E5" w14:textId="77777777" w:rsidR="00E93BD8" w:rsidRDefault="00E93BD8">
      <w:pPr>
        <w:spacing w:line="360" w:lineRule="auto"/>
        <w:jc w:val="center"/>
        <w:rPr>
          <w:rFonts w:ascii="Arial" w:eastAsia="Arial" w:hAnsi="Arial" w:cs="Arial"/>
          <w:b/>
          <w:bCs/>
        </w:rPr>
      </w:pPr>
    </w:p>
    <w:p w14:paraId="688454FA" w14:textId="77777777" w:rsidR="00E93BD8" w:rsidRDefault="00E93BD8">
      <w:pPr>
        <w:spacing w:line="360" w:lineRule="auto"/>
        <w:jc w:val="center"/>
        <w:rPr>
          <w:rFonts w:ascii="Arial" w:eastAsia="Arial" w:hAnsi="Arial" w:cs="Arial"/>
          <w:b/>
          <w:bCs/>
        </w:rPr>
      </w:pPr>
    </w:p>
    <w:p w14:paraId="37BCE837" w14:textId="77777777" w:rsidR="00E93BD8" w:rsidRDefault="00E93BD8">
      <w:pPr>
        <w:spacing w:line="360" w:lineRule="auto"/>
        <w:jc w:val="center"/>
        <w:rPr>
          <w:rFonts w:ascii="Arial" w:eastAsia="Arial" w:hAnsi="Arial" w:cs="Arial"/>
          <w:b/>
          <w:bCs/>
        </w:rPr>
      </w:pPr>
    </w:p>
    <w:p w14:paraId="6525674F" w14:textId="77777777" w:rsidR="00E93BD8" w:rsidRDefault="00E93BD8">
      <w:pPr>
        <w:spacing w:line="360" w:lineRule="auto"/>
        <w:rPr>
          <w:rFonts w:ascii="Arial" w:eastAsia="Arial" w:hAnsi="Arial" w:cs="Arial"/>
          <w:b/>
          <w:bCs/>
        </w:rPr>
      </w:pPr>
    </w:p>
    <w:p w14:paraId="66F94007" w14:textId="77777777" w:rsidR="00E93BD8" w:rsidRDefault="00E93BD8">
      <w:pPr>
        <w:spacing w:line="360" w:lineRule="auto"/>
        <w:rPr>
          <w:rFonts w:ascii="Arial" w:eastAsia="Arial" w:hAnsi="Arial" w:cs="Arial"/>
          <w:b/>
          <w:bCs/>
        </w:rPr>
      </w:pPr>
    </w:p>
    <w:p w14:paraId="031A2FD4" w14:textId="77777777" w:rsidR="00E93BD8" w:rsidRDefault="00E93BD8">
      <w:pPr>
        <w:spacing w:line="360" w:lineRule="auto"/>
        <w:rPr>
          <w:rFonts w:ascii="Arial" w:eastAsia="Arial" w:hAnsi="Arial" w:cs="Arial"/>
          <w:b/>
          <w:bCs/>
        </w:rPr>
      </w:pPr>
    </w:p>
    <w:p w14:paraId="1EA97EFB" w14:textId="77777777" w:rsidR="00E93BD8" w:rsidRDefault="00000000">
      <w:pPr>
        <w:spacing w:line="360" w:lineRule="auto"/>
        <w:rPr>
          <w:rFonts w:ascii="Arial" w:eastAsia="Arial" w:hAnsi="Arial" w:cs="Arial"/>
          <w:b/>
          <w:bCs/>
        </w:rPr>
      </w:pPr>
      <w:r>
        <w:rPr>
          <w:rFonts w:ascii="Arial" w:eastAsia="Arial" w:hAnsi="Arial" w:cs="Arial"/>
          <w:b/>
          <w:bCs/>
        </w:rPr>
        <w:t>Word Count: 9,738</w:t>
      </w:r>
    </w:p>
    <w:p w14:paraId="6779280B" w14:textId="77777777" w:rsidR="00E93BD8" w:rsidRDefault="00000000">
      <w:pPr>
        <w:spacing w:line="360" w:lineRule="auto"/>
        <w:jc w:val="center"/>
        <w:rPr>
          <w:rFonts w:ascii="Arial" w:eastAsia="Arial" w:hAnsi="Arial" w:cs="Arial"/>
          <w:b/>
          <w:bCs/>
        </w:rPr>
        <w:sectPr w:rsidR="00E93BD8" w:rsidSect="009A4751">
          <w:footerReference w:type="default" r:id="rId8"/>
          <w:pgSz w:w="12240" w:h="15840"/>
          <w:pgMar w:top="1440" w:right="1440" w:bottom="1440" w:left="1440" w:header="708" w:footer="708" w:gutter="0"/>
          <w:pgBorders w:display="firstPage" w:offsetFrom="page">
            <w:top w:val="dashDotStroked" w:sz="24" w:space="24" w:color="C45911" w:themeColor="accent2" w:themeShade="BF"/>
            <w:left w:val="dashDotStroked" w:sz="24" w:space="24" w:color="C45911" w:themeColor="accent2" w:themeShade="BF"/>
            <w:bottom w:val="dashDotStroked" w:sz="24" w:space="24" w:color="C45911" w:themeColor="accent2" w:themeShade="BF"/>
            <w:right w:val="dashDotStroked" w:sz="24" w:space="24" w:color="C45911" w:themeColor="accent2" w:themeShade="BF"/>
          </w:pgBorders>
          <w:pgNumType w:start="1"/>
          <w:cols w:space="720"/>
        </w:sectPr>
      </w:pPr>
      <w:r>
        <w:rPr>
          <w:rFonts w:ascii="Arial" w:eastAsia="Arial" w:hAnsi="Arial" w:cs="Arial"/>
          <w:b/>
          <w:bCs/>
        </w:rPr>
        <w:t>December, 2025</w:t>
      </w:r>
    </w:p>
    <w:p w14:paraId="2E021C11" w14:textId="77777777" w:rsidR="00E93BD8" w:rsidRDefault="00000000">
      <w:pPr>
        <w:pStyle w:val="Heading1"/>
        <w:spacing w:line="360" w:lineRule="auto"/>
        <w:jc w:val="center"/>
        <w:rPr>
          <w:rFonts w:ascii="Arial" w:eastAsia="Arial" w:hAnsi="Arial" w:cs="Arial"/>
          <w:b/>
          <w:bCs/>
          <w:color w:val="000000"/>
          <w:sz w:val="24"/>
          <w:szCs w:val="24"/>
        </w:rPr>
      </w:pPr>
      <w:bookmarkStart w:id="1" w:name="_heading=h.h4nkgicgxb5n" w:colFirst="0" w:colLast="0"/>
      <w:bookmarkEnd w:id="1"/>
      <w:r>
        <w:rPr>
          <w:rFonts w:ascii="Arial" w:eastAsia="Arial" w:hAnsi="Arial" w:cs="Arial"/>
          <w:b/>
          <w:bCs/>
          <w:color w:val="000000"/>
          <w:sz w:val="24"/>
          <w:szCs w:val="24"/>
        </w:rPr>
        <w:lastRenderedPageBreak/>
        <w:t>ABSTRACT</w:t>
      </w:r>
    </w:p>
    <w:p w14:paraId="21FB8B80" w14:textId="77777777" w:rsidR="00E93BD8" w:rsidRDefault="00000000">
      <w:pPr>
        <w:spacing w:line="360" w:lineRule="auto"/>
        <w:jc w:val="both"/>
        <w:rPr>
          <w:rFonts w:ascii="Arial" w:eastAsia="Arial" w:hAnsi="Arial" w:cs="Arial"/>
        </w:rPr>
      </w:pPr>
      <w:r>
        <w:rPr>
          <w:rFonts w:ascii="Arial" w:eastAsia="Arial" w:hAnsi="Arial" w:cs="Arial"/>
        </w:rPr>
        <w:t xml:space="preserve">This paper examined the prevalence, impact, and support resources that are linked with depression and young adults in the United Kingdom in response to mounting evidence on increased influence of depression on academic, work and social performance. The study aimed to provide a synthesis of available literature that would explain the manifestation of depressive symptoms in this population and explore the formal and informal coping and support-seeking pathways in young adults. The systematic review method was used and was guided by the PRISMA principles to locate and analyze thirteen peer-reviewed articles that satisfied the inclusion criteria. The thematic synthesis was based on three overarching areas, including prevalence and severity, functional consequences, and coping strategies and support systems. The results indicate that depression is very common among young adults in the </w:t>
      </w:r>
      <w:proofErr w:type="gramStart"/>
      <w:r>
        <w:rPr>
          <w:rFonts w:ascii="Arial" w:eastAsia="Arial" w:hAnsi="Arial" w:cs="Arial"/>
        </w:rPr>
        <w:t>UK</w:t>
      </w:r>
      <w:proofErr w:type="gramEnd"/>
      <w:r>
        <w:rPr>
          <w:rFonts w:ascii="Arial" w:eastAsia="Arial" w:hAnsi="Arial" w:cs="Arial"/>
        </w:rPr>
        <w:t xml:space="preserve"> and it has been found to be more vulnerable in students, sexual minorities and those with chronic or life limiting conditions. The depressive symptoms were always linked to the poor academic performance, inconsistent employment patterns and poor social connectedness, which demonstrates how multidimensional its effects are. It was also found that there are significant obstacles to effective help-seeking, such as stigma, long waiting times, regional differences in service accessibility, and youth-focused care, which leads many young adults to turn to informal sources of support (peers, family networks, and online communities). These supports are significant but cannot help with the lack of available and responsive clinical services. In general, the research highlights the importance of combined and youth-sensitive mental health care that improves the timely identification of mental health issues, increases equal access to care, and expands the formal and informal care networks. Enhancement of policy commitments, coordination of services and context sensitive interventions are important in addressing the increasing burden of depression among young adults in the UK.</w:t>
      </w:r>
    </w:p>
    <w:p w14:paraId="4A236060" w14:textId="77777777" w:rsidR="00E93BD8" w:rsidRDefault="00E93BD8">
      <w:pPr>
        <w:spacing w:line="360" w:lineRule="auto"/>
        <w:rPr>
          <w:rFonts w:ascii="Arial" w:eastAsia="Arial" w:hAnsi="Arial" w:cs="Arial"/>
        </w:rPr>
      </w:pPr>
    </w:p>
    <w:p w14:paraId="15433DB2" w14:textId="77777777" w:rsidR="00E93BD8" w:rsidRDefault="00E93BD8">
      <w:pPr>
        <w:spacing w:line="360" w:lineRule="auto"/>
        <w:rPr>
          <w:rFonts w:ascii="Arial" w:eastAsia="Arial" w:hAnsi="Arial" w:cs="Arial"/>
        </w:rPr>
      </w:pPr>
    </w:p>
    <w:p w14:paraId="2D0BD25E" w14:textId="77777777" w:rsidR="00DB383A" w:rsidRDefault="00DB383A">
      <w:pPr>
        <w:spacing w:line="360" w:lineRule="auto"/>
        <w:rPr>
          <w:rFonts w:ascii="Arial" w:eastAsia="Arial" w:hAnsi="Arial" w:cs="Arial"/>
        </w:rPr>
      </w:pPr>
    </w:p>
    <w:p w14:paraId="378E4A30" w14:textId="21CB8960" w:rsidR="00DB383A" w:rsidRPr="00DB383A" w:rsidRDefault="00DB383A" w:rsidP="00DB383A">
      <w:pPr>
        <w:pStyle w:val="Heading1"/>
        <w:jc w:val="center"/>
        <w:rPr>
          <w:rFonts w:ascii="Arial" w:hAnsi="Arial" w:cs="Arial"/>
          <w:b/>
          <w:bCs/>
          <w:color w:val="auto"/>
          <w:sz w:val="24"/>
          <w:szCs w:val="24"/>
        </w:rPr>
      </w:pPr>
      <w:r w:rsidRPr="00DB383A">
        <w:rPr>
          <w:rFonts w:ascii="Arial" w:hAnsi="Arial" w:cs="Arial"/>
          <w:b/>
          <w:bCs/>
          <w:color w:val="auto"/>
          <w:sz w:val="24"/>
          <w:szCs w:val="24"/>
        </w:rPr>
        <w:lastRenderedPageBreak/>
        <w:t>ACKNOWLEDGEMENT</w:t>
      </w:r>
    </w:p>
    <w:p w14:paraId="4DD6FD65" w14:textId="77777777" w:rsidR="00DB383A" w:rsidRDefault="00DB383A">
      <w:pPr>
        <w:spacing w:line="360" w:lineRule="auto"/>
        <w:rPr>
          <w:rFonts w:ascii="Arial" w:eastAsia="Arial" w:hAnsi="Arial" w:cs="Arial"/>
        </w:rPr>
      </w:pPr>
    </w:p>
    <w:p w14:paraId="6E10A79E" w14:textId="021A4F4B" w:rsidR="00DB383A" w:rsidRPr="00DB383A" w:rsidRDefault="00DB383A" w:rsidP="00DB383A">
      <w:pPr>
        <w:spacing w:line="360" w:lineRule="auto"/>
        <w:jc w:val="both"/>
        <w:rPr>
          <w:rFonts w:ascii="Arial" w:eastAsia="Arial" w:hAnsi="Arial" w:cs="Arial"/>
        </w:rPr>
      </w:pPr>
      <w:r w:rsidRPr="00DB383A">
        <w:rPr>
          <w:rFonts w:ascii="Arial" w:eastAsia="Arial" w:hAnsi="Arial" w:cs="Arial"/>
        </w:rPr>
        <w:t>I would like to express my sincere gratitude to all those who contributed to the successful completion of this research project. First and foremost, I am deeply thankful to my academic supervisor for h</w:t>
      </w:r>
      <w:r>
        <w:rPr>
          <w:rFonts w:ascii="Arial" w:eastAsia="Arial" w:hAnsi="Arial" w:cs="Arial"/>
        </w:rPr>
        <w:t>is</w:t>
      </w:r>
      <w:r w:rsidRPr="00DB383A">
        <w:rPr>
          <w:rFonts w:ascii="Arial" w:eastAsia="Arial" w:hAnsi="Arial" w:cs="Arial"/>
        </w:rPr>
        <w:t xml:space="preserve"> guidance, constructive feedback, and continuous encouragement throughout the research process. H</w:t>
      </w:r>
      <w:r>
        <w:rPr>
          <w:rFonts w:ascii="Arial" w:eastAsia="Arial" w:hAnsi="Arial" w:cs="Arial"/>
        </w:rPr>
        <w:t>is</w:t>
      </w:r>
      <w:r w:rsidRPr="00DB383A">
        <w:rPr>
          <w:rFonts w:ascii="Arial" w:eastAsia="Arial" w:hAnsi="Arial" w:cs="Arial"/>
        </w:rPr>
        <w:t xml:space="preserve"> expertise and patience were invaluable in shaping the direction and quality of this work.</w:t>
      </w:r>
    </w:p>
    <w:p w14:paraId="70234D95" w14:textId="6D7E3708" w:rsidR="00DB383A" w:rsidRPr="00DB383A" w:rsidRDefault="00DB383A" w:rsidP="00DB383A">
      <w:pPr>
        <w:spacing w:line="360" w:lineRule="auto"/>
        <w:jc w:val="both"/>
        <w:rPr>
          <w:rFonts w:ascii="Arial" w:eastAsia="Arial" w:hAnsi="Arial" w:cs="Arial"/>
        </w:rPr>
      </w:pPr>
      <w:r w:rsidRPr="00DB383A">
        <w:rPr>
          <w:rFonts w:ascii="Arial" w:eastAsia="Arial" w:hAnsi="Arial" w:cs="Arial"/>
        </w:rPr>
        <w:t>I also wish to acknowledge the lecturers and academic staff whose teaching and support provided the theoretical and methodological foundation necessary for this study. Their insights greatly enhanced my understanding of mental health research and systematic review methods.</w:t>
      </w:r>
    </w:p>
    <w:p w14:paraId="342FB0C1" w14:textId="15644ADD" w:rsidR="00DB383A" w:rsidRDefault="00DB383A" w:rsidP="00DB383A">
      <w:pPr>
        <w:spacing w:line="360" w:lineRule="auto"/>
        <w:jc w:val="both"/>
        <w:rPr>
          <w:rFonts w:ascii="Arial" w:eastAsia="Arial" w:hAnsi="Arial" w:cs="Arial"/>
        </w:rPr>
      </w:pPr>
      <w:r w:rsidRPr="00DB383A">
        <w:rPr>
          <w:rFonts w:ascii="Arial" w:eastAsia="Arial" w:hAnsi="Arial" w:cs="Arial"/>
        </w:rPr>
        <w:t>Finally, I am grateful to my family and friends for their emotional support, motivation, and understanding during the demanding periods of this project. Their encouragement played a significant role in helping me remain focused and committed to completing this research.</w:t>
      </w:r>
    </w:p>
    <w:p w14:paraId="28344363" w14:textId="77777777" w:rsidR="00DB383A" w:rsidRDefault="00DB383A">
      <w:pPr>
        <w:spacing w:line="360" w:lineRule="auto"/>
        <w:rPr>
          <w:rFonts w:ascii="Arial" w:eastAsia="Arial" w:hAnsi="Arial" w:cs="Arial"/>
        </w:rPr>
      </w:pPr>
    </w:p>
    <w:p w14:paraId="3191B715" w14:textId="77777777" w:rsidR="00DB383A" w:rsidRDefault="00DB383A">
      <w:pPr>
        <w:spacing w:line="360" w:lineRule="auto"/>
        <w:rPr>
          <w:rFonts w:ascii="Arial" w:eastAsia="Arial" w:hAnsi="Arial" w:cs="Arial"/>
        </w:rPr>
      </w:pPr>
    </w:p>
    <w:p w14:paraId="4A352987" w14:textId="77777777" w:rsidR="00DB383A" w:rsidRDefault="00DB383A">
      <w:pPr>
        <w:spacing w:line="360" w:lineRule="auto"/>
        <w:rPr>
          <w:rFonts w:ascii="Arial" w:eastAsia="Arial" w:hAnsi="Arial" w:cs="Arial"/>
        </w:rPr>
        <w:sectPr w:rsidR="00DB383A">
          <w:pgSz w:w="12240" w:h="15840"/>
          <w:pgMar w:top="1440" w:right="1440" w:bottom="1440" w:left="1440" w:header="708" w:footer="708" w:gutter="0"/>
          <w:cols w:space="720"/>
        </w:sectPr>
      </w:pPr>
    </w:p>
    <w:p w14:paraId="7486F409" w14:textId="77777777" w:rsidR="00E93BD8" w:rsidRDefault="00000000">
      <w:pPr>
        <w:pStyle w:val="Heading1"/>
        <w:spacing w:line="360" w:lineRule="auto"/>
        <w:jc w:val="center"/>
        <w:rPr>
          <w:rFonts w:ascii="Arial" w:eastAsia="Arial" w:hAnsi="Arial" w:cs="Arial"/>
          <w:b/>
          <w:bCs/>
          <w:color w:val="000000"/>
          <w:sz w:val="24"/>
          <w:szCs w:val="24"/>
        </w:rPr>
      </w:pPr>
      <w:bookmarkStart w:id="2" w:name="_heading=h.nbbh10n5tiu6" w:colFirst="0" w:colLast="0"/>
      <w:bookmarkEnd w:id="2"/>
      <w:r>
        <w:rPr>
          <w:rFonts w:ascii="Arial" w:eastAsia="Arial" w:hAnsi="Arial" w:cs="Arial"/>
          <w:b/>
          <w:bCs/>
          <w:color w:val="000000"/>
          <w:sz w:val="24"/>
          <w:szCs w:val="24"/>
        </w:rPr>
        <w:lastRenderedPageBreak/>
        <w:t>LIST OF TABLES AND FIGURES</w:t>
      </w:r>
    </w:p>
    <w:p w14:paraId="784CEEDC" w14:textId="77777777" w:rsidR="00E93BD8" w:rsidRDefault="00E93BD8">
      <w:pPr>
        <w:spacing w:line="360" w:lineRule="auto"/>
        <w:rPr>
          <w:rFonts w:ascii="Arial" w:eastAsia="Arial" w:hAnsi="Arial" w:cs="Arial"/>
        </w:rPr>
      </w:pPr>
    </w:p>
    <w:p w14:paraId="3A7455D9" w14:textId="77777777" w:rsidR="00E93BD8" w:rsidRDefault="00000000">
      <w:pPr>
        <w:spacing w:line="360" w:lineRule="auto"/>
        <w:jc w:val="both"/>
        <w:rPr>
          <w:rFonts w:ascii="Arial" w:eastAsia="Arial" w:hAnsi="Arial" w:cs="Arial"/>
        </w:rPr>
      </w:pPr>
      <w:r>
        <w:rPr>
          <w:rFonts w:ascii="Arial" w:eastAsia="Arial" w:hAnsi="Arial" w:cs="Arial"/>
        </w:rPr>
        <w:t>List of Figures</w:t>
      </w:r>
    </w:p>
    <w:p w14:paraId="1C0E3D47" w14:textId="77777777" w:rsidR="00E93BD8" w:rsidRDefault="00000000">
      <w:pPr>
        <w:spacing w:line="360" w:lineRule="auto"/>
        <w:jc w:val="both"/>
        <w:rPr>
          <w:rFonts w:ascii="Arial" w:eastAsia="Arial" w:hAnsi="Arial" w:cs="Arial"/>
        </w:rPr>
      </w:pPr>
      <w:r>
        <w:rPr>
          <w:rFonts w:ascii="Arial" w:eastAsia="Arial" w:hAnsi="Arial" w:cs="Arial"/>
        </w:rPr>
        <w:t>Figure 4.1: PRISMA Framework for the study</w:t>
      </w:r>
    </w:p>
    <w:p w14:paraId="69517F4B" w14:textId="77777777" w:rsidR="00E93BD8" w:rsidRDefault="00000000">
      <w:pPr>
        <w:spacing w:line="360" w:lineRule="auto"/>
        <w:jc w:val="both"/>
        <w:rPr>
          <w:rFonts w:ascii="Arial" w:eastAsia="Arial" w:hAnsi="Arial" w:cs="Arial"/>
        </w:rPr>
      </w:pPr>
      <w:r>
        <w:rPr>
          <w:rFonts w:ascii="Arial" w:eastAsia="Arial" w:hAnsi="Arial" w:cs="Arial"/>
        </w:rPr>
        <w:t>Figure 4.2: Journal categories of included studies</w:t>
      </w:r>
    </w:p>
    <w:p w14:paraId="768D4A6B" w14:textId="77777777" w:rsidR="00E93BD8" w:rsidRDefault="00000000">
      <w:pPr>
        <w:spacing w:line="360" w:lineRule="auto"/>
        <w:jc w:val="both"/>
        <w:rPr>
          <w:rFonts w:ascii="Arial" w:eastAsia="Arial" w:hAnsi="Arial" w:cs="Arial"/>
        </w:rPr>
      </w:pPr>
      <w:r>
        <w:rPr>
          <w:rFonts w:ascii="Arial" w:eastAsia="Arial" w:hAnsi="Arial" w:cs="Arial"/>
        </w:rPr>
        <w:t>Figure 4.3: Citation count of reviewed studies</w:t>
      </w:r>
    </w:p>
    <w:p w14:paraId="256CD379" w14:textId="77777777" w:rsidR="00E93BD8" w:rsidRDefault="00000000">
      <w:pPr>
        <w:spacing w:line="360" w:lineRule="auto"/>
        <w:jc w:val="both"/>
        <w:rPr>
          <w:rFonts w:ascii="Arial" w:eastAsia="Arial" w:hAnsi="Arial" w:cs="Arial"/>
        </w:rPr>
      </w:pPr>
      <w:r>
        <w:rPr>
          <w:rFonts w:ascii="Arial" w:eastAsia="Arial" w:hAnsi="Arial" w:cs="Arial"/>
        </w:rPr>
        <w:t>Figure 4.4:</w:t>
      </w:r>
      <w:r>
        <w:rPr>
          <w:rFonts w:ascii="Arial" w:eastAsia="Arial" w:hAnsi="Arial" w:cs="Arial"/>
          <w:b/>
          <w:bCs/>
        </w:rPr>
        <w:t xml:space="preserve"> </w:t>
      </w:r>
      <w:r>
        <w:rPr>
          <w:rFonts w:ascii="Arial" w:eastAsia="Arial" w:hAnsi="Arial" w:cs="Arial"/>
        </w:rPr>
        <w:t>Temporal review of reviewed research papers</w:t>
      </w:r>
    </w:p>
    <w:p w14:paraId="5AF9924F" w14:textId="77777777" w:rsidR="00E93BD8" w:rsidRDefault="00000000">
      <w:pPr>
        <w:spacing w:line="360" w:lineRule="auto"/>
        <w:jc w:val="both"/>
        <w:rPr>
          <w:rFonts w:ascii="Arial" w:eastAsia="Arial" w:hAnsi="Arial" w:cs="Arial"/>
        </w:rPr>
      </w:pPr>
      <w:r>
        <w:rPr>
          <w:rFonts w:ascii="Arial" w:eastAsia="Arial" w:hAnsi="Arial" w:cs="Arial"/>
        </w:rPr>
        <w:t>Figure 4.5: Research methods of reviewed studies</w:t>
      </w:r>
    </w:p>
    <w:p w14:paraId="336EDA3C" w14:textId="77777777" w:rsidR="00E93BD8" w:rsidRDefault="00000000">
      <w:pPr>
        <w:spacing w:line="360" w:lineRule="auto"/>
        <w:jc w:val="both"/>
        <w:rPr>
          <w:rFonts w:ascii="Arial" w:eastAsia="Arial" w:hAnsi="Arial" w:cs="Arial"/>
        </w:rPr>
      </w:pPr>
      <w:r>
        <w:rPr>
          <w:rFonts w:ascii="Arial" w:eastAsia="Arial" w:hAnsi="Arial" w:cs="Arial"/>
        </w:rPr>
        <w:t>Figure 4.6: Participant characteristics of included studies</w:t>
      </w:r>
    </w:p>
    <w:p w14:paraId="3EB6FB1A" w14:textId="77777777" w:rsidR="00E93BD8" w:rsidRDefault="00E93BD8">
      <w:pPr>
        <w:spacing w:line="360" w:lineRule="auto"/>
        <w:jc w:val="both"/>
        <w:rPr>
          <w:rFonts w:ascii="Arial" w:eastAsia="Arial" w:hAnsi="Arial" w:cs="Arial"/>
        </w:rPr>
      </w:pPr>
    </w:p>
    <w:p w14:paraId="0CCBDCFB" w14:textId="77777777" w:rsidR="00E93BD8" w:rsidRDefault="00000000">
      <w:pPr>
        <w:spacing w:line="360" w:lineRule="auto"/>
        <w:jc w:val="both"/>
        <w:rPr>
          <w:rFonts w:ascii="Arial" w:eastAsia="Arial" w:hAnsi="Arial" w:cs="Arial"/>
        </w:rPr>
      </w:pPr>
      <w:r>
        <w:rPr>
          <w:rFonts w:ascii="Arial" w:eastAsia="Arial" w:hAnsi="Arial" w:cs="Arial"/>
        </w:rPr>
        <w:t>List of Tables</w:t>
      </w:r>
    </w:p>
    <w:p w14:paraId="03E93612" w14:textId="77777777" w:rsidR="00E93BD8" w:rsidRDefault="00000000">
      <w:pPr>
        <w:spacing w:line="360" w:lineRule="auto"/>
        <w:jc w:val="both"/>
        <w:rPr>
          <w:rFonts w:ascii="Arial" w:eastAsia="Arial" w:hAnsi="Arial" w:cs="Arial"/>
        </w:rPr>
      </w:pPr>
      <w:r>
        <w:rPr>
          <w:rFonts w:ascii="Arial" w:eastAsia="Arial" w:hAnsi="Arial" w:cs="Arial"/>
        </w:rPr>
        <w:t>Table 4.1: Journal categories of included studies</w:t>
      </w:r>
    </w:p>
    <w:p w14:paraId="24CBFC73" w14:textId="77777777" w:rsidR="00E93BD8" w:rsidRDefault="00000000">
      <w:pPr>
        <w:spacing w:line="360" w:lineRule="auto"/>
        <w:jc w:val="both"/>
        <w:rPr>
          <w:rFonts w:ascii="Arial" w:eastAsia="Arial" w:hAnsi="Arial" w:cs="Arial"/>
        </w:rPr>
      </w:pPr>
      <w:r>
        <w:rPr>
          <w:rFonts w:ascii="Arial" w:eastAsia="Arial" w:hAnsi="Arial" w:cs="Arial"/>
        </w:rPr>
        <w:t>Table 4.2: Citation count of reviewed studies</w:t>
      </w:r>
    </w:p>
    <w:p w14:paraId="40A08C30" w14:textId="77777777" w:rsidR="00E93BD8" w:rsidRDefault="00000000">
      <w:pPr>
        <w:spacing w:line="360" w:lineRule="auto"/>
        <w:jc w:val="both"/>
        <w:rPr>
          <w:rFonts w:ascii="Arial" w:eastAsia="Arial" w:hAnsi="Arial" w:cs="Arial"/>
        </w:rPr>
      </w:pPr>
      <w:r>
        <w:rPr>
          <w:rFonts w:ascii="Arial" w:eastAsia="Arial" w:hAnsi="Arial" w:cs="Arial"/>
        </w:rPr>
        <w:t>Table 4.3: Temporal review of reviewed research papers</w:t>
      </w:r>
    </w:p>
    <w:p w14:paraId="6A2EE10E" w14:textId="77777777" w:rsidR="00E93BD8" w:rsidRDefault="00000000">
      <w:pPr>
        <w:spacing w:line="360" w:lineRule="auto"/>
        <w:jc w:val="both"/>
        <w:rPr>
          <w:rFonts w:ascii="Arial" w:eastAsia="Arial" w:hAnsi="Arial" w:cs="Arial"/>
        </w:rPr>
      </w:pPr>
      <w:r>
        <w:rPr>
          <w:rFonts w:ascii="Arial" w:eastAsia="Arial" w:hAnsi="Arial" w:cs="Arial"/>
        </w:rPr>
        <w:t>Table 4.4: Research methods of reviewed studies</w:t>
      </w:r>
    </w:p>
    <w:p w14:paraId="237CCB33" w14:textId="77777777" w:rsidR="00E93BD8" w:rsidRDefault="00000000">
      <w:pPr>
        <w:spacing w:line="360" w:lineRule="auto"/>
        <w:jc w:val="both"/>
        <w:rPr>
          <w:rFonts w:ascii="Arial" w:eastAsia="Arial" w:hAnsi="Arial" w:cs="Arial"/>
        </w:rPr>
      </w:pPr>
      <w:r>
        <w:rPr>
          <w:rFonts w:ascii="Arial" w:eastAsia="Arial" w:hAnsi="Arial" w:cs="Arial"/>
        </w:rPr>
        <w:t>Table 4.5: Participant characteristics of included studies</w:t>
      </w:r>
    </w:p>
    <w:p w14:paraId="058C39B3" w14:textId="77777777" w:rsidR="00E93BD8" w:rsidRDefault="00000000">
      <w:pPr>
        <w:spacing w:line="360" w:lineRule="auto"/>
        <w:jc w:val="both"/>
        <w:rPr>
          <w:rFonts w:ascii="Arial" w:eastAsia="Arial" w:hAnsi="Arial" w:cs="Arial"/>
        </w:rPr>
      </w:pPr>
      <w:r>
        <w:rPr>
          <w:rFonts w:ascii="Arial" w:eastAsia="Arial" w:hAnsi="Arial" w:cs="Arial"/>
        </w:rPr>
        <w:t>Table 4.5 Research Results of Included Studies</w:t>
      </w:r>
    </w:p>
    <w:p w14:paraId="6F8E3728" w14:textId="77777777" w:rsidR="00E93BD8" w:rsidRDefault="00E93BD8">
      <w:pPr>
        <w:spacing w:line="360" w:lineRule="auto"/>
        <w:rPr>
          <w:rFonts w:ascii="Arial" w:eastAsia="Arial" w:hAnsi="Arial" w:cs="Arial"/>
        </w:rPr>
      </w:pPr>
    </w:p>
    <w:p w14:paraId="3DE6DD09" w14:textId="77777777" w:rsidR="00E93BD8" w:rsidRDefault="00E93BD8">
      <w:pPr>
        <w:spacing w:line="360" w:lineRule="auto"/>
        <w:rPr>
          <w:rFonts w:ascii="Arial" w:eastAsia="Arial" w:hAnsi="Arial" w:cs="Arial"/>
        </w:rPr>
      </w:pPr>
    </w:p>
    <w:p w14:paraId="5CBA8480" w14:textId="77777777" w:rsidR="00E93BD8" w:rsidRDefault="00E93BD8">
      <w:pPr>
        <w:spacing w:line="360" w:lineRule="auto"/>
        <w:rPr>
          <w:rFonts w:ascii="Arial" w:eastAsia="Arial" w:hAnsi="Arial" w:cs="Arial"/>
        </w:rPr>
      </w:pPr>
    </w:p>
    <w:p w14:paraId="7A7A015B" w14:textId="77777777" w:rsidR="00E93BD8" w:rsidRDefault="00E93BD8">
      <w:pPr>
        <w:spacing w:line="360" w:lineRule="auto"/>
        <w:rPr>
          <w:rFonts w:ascii="Arial" w:eastAsia="Arial" w:hAnsi="Arial" w:cs="Arial"/>
        </w:rPr>
        <w:sectPr w:rsidR="00E93BD8">
          <w:pgSz w:w="12240" w:h="15840"/>
          <w:pgMar w:top="1440" w:right="1440" w:bottom="1440" w:left="1440" w:header="708" w:footer="708" w:gutter="0"/>
          <w:cols w:space="720"/>
        </w:sectPr>
      </w:pPr>
    </w:p>
    <w:p w14:paraId="3592FE9D" w14:textId="77777777" w:rsidR="00E93BD8" w:rsidRDefault="00000000">
      <w:pPr>
        <w:pStyle w:val="Heading1"/>
        <w:spacing w:line="360" w:lineRule="auto"/>
        <w:jc w:val="center"/>
        <w:rPr>
          <w:rFonts w:ascii="Arial" w:eastAsia="Arial" w:hAnsi="Arial" w:cs="Arial"/>
          <w:b/>
          <w:bCs/>
          <w:color w:val="000000"/>
          <w:sz w:val="24"/>
          <w:szCs w:val="24"/>
        </w:rPr>
      </w:pPr>
      <w:bookmarkStart w:id="3" w:name="_heading=h.vagzemv0k5jd" w:colFirst="0" w:colLast="0"/>
      <w:bookmarkEnd w:id="3"/>
      <w:r>
        <w:rPr>
          <w:rFonts w:ascii="Arial" w:eastAsia="Arial" w:hAnsi="Arial" w:cs="Arial"/>
          <w:b/>
          <w:bCs/>
          <w:color w:val="000000"/>
          <w:sz w:val="24"/>
          <w:szCs w:val="24"/>
        </w:rPr>
        <w:lastRenderedPageBreak/>
        <w:t>TABLE OF CONTENT</w:t>
      </w:r>
    </w:p>
    <w:p w14:paraId="633E9EEE" w14:textId="77777777" w:rsidR="00E93BD8" w:rsidRDefault="00E93BD8">
      <w:pPr>
        <w:keepNext/>
        <w:keepLines/>
        <w:pBdr>
          <w:top w:val="nil"/>
          <w:left w:val="nil"/>
          <w:bottom w:val="nil"/>
          <w:right w:val="nil"/>
          <w:between w:val="nil"/>
        </w:pBdr>
        <w:spacing w:before="240" w:after="0" w:line="259" w:lineRule="auto"/>
        <w:rPr>
          <w:rFonts w:ascii="Arial" w:eastAsia="Arial" w:hAnsi="Arial" w:cs="Arial"/>
          <w:color w:val="2E75B5"/>
        </w:rPr>
      </w:pPr>
    </w:p>
    <w:sdt>
      <w:sdtPr>
        <w:id w:val="308083965"/>
        <w:docPartObj>
          <w:docPartGallery w:val="Table of Contents"/>
          <w:docPartUnique/>
        </w:docPartObj>
      </w:sdtPr>
      <w:sdtContent>
        <w:p w14:paraId="7463FEC1" w14:textId="77777777" w:rsidR="00E93BD8" w:rsidRDefault="00000000">
          <w:pPr>
            <w:pBdr>
              <w:top w:val="nil"/>
              <w:left w:val="nil"/>
              <w:bottom w:val="nil"/>
              <w:right w:val="nil"/>
              <w:between w:val="nil"/>
            </w:pBdr>
            <w:tabs>
              <w:tab w:val="right" w:leader="dot" w:pos="9350"/>
            </w:tabs>
            <w:spacing w:after="100"/>
            <w:ind w:left="240"/>
            <w:rPr>
              <w:rFonts w:ascii="Arial" w:eastAsia="Arial" w:hAnsi="Arial" w:cs="Arial"/>
              <w:color w:val="000000"/>
            </w:rPr>
          </w:pPr>
          <w:r>
            <w:fldChar w:fldCharType="begin"/>
          </w:r>
          <w:r>
            <w:instrText xml:space="preserve"> TOC \h \u \z \t "Heading 1,1,Heading 2,2,Heading 3,3,"</w:instrText>
          </w:r>
          <w:r>
            <w:fldChar w:fldCharType="separate"/>
          </w:r>
          <w:hyperlink w:anchor="_heading=h.upvc6sku9gvg">
            <w:r w:rsidR="00E93BD8">
              <w:rPr>
                <w:rFonts w:ascii="Arial" w:eastAsia="Arial" w:hAnsi="Arial" w:cs="Arial"/>
                <w:b/>
                <w:bCs/>
                <w:color w:val="000000"/>
              </w:rPr>
              <w:t>Exploring the Effect of Depression on Young Adult in the UK</w:t>
            </w:r>
          </w:hyperlink>
          <w:hyperlink w:anchor="_heading=h.upvc6sku9gvg">
            <w:r w:rsidR="00E93BD8">
              <w:rPr>
                <w:rFonts w:ascii="Arial" w:eastAsia="Arial" w:hAnsi="Arial" w:cs="Arial"/>
                <w:color w:val="000000"/>
              </w:rPr>
              <w:tab/>
              <w:t>1</w:t>
            </w:r>
          </w:hyperlink>
        </w:p>
        <w:p w14:paraId="3B311A57"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h4nkgicgxb5n">
            <w:r>
              <w:rPr>
                <w:rFonts w:ascii="Arial" w:eastAsia="Arial" w:hAnsi="Arial" w:cs="Arial"/>
                <w:b/>
                <w:bCs/>
                <w:color w:val="000000"/>
              </w:rPr>
              <w:t>ABSTRACT</w:t>
            </w:r>
          </w:hyperlink>
          <w:hyperlink w:anchor="_heading=h.h4nkgicgxb5n">
            <w:r>
              <w:rPr>
                <w:rFonts w:ascii="Arial" w:eastAsia="Arial" w:hAnsi="Arial" w:cs="Arial"/>
                <w:color w:val="000000"/>
              </w:rPr>
              <w:tab/>
              <w:t>2</w:t>
            </w:r>
          </w:hyperlink>
        </w:p>
        <w:p w14:paraId="65CC488E"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nbbh10n5tiu6">
            <w:r>
              <w:rPr>
                <w:rFonts w:ascii="Arial" w:eastAsia="Arial" w:hAnsi="Arial" w:cs="Arial"/>
                <w:b/>
                <w:bCs/>
                <w:color w:val="000000"/>
              </w:rPr>
              <w:t>LIST OF TABLES AND FIGURES</w:t>
            </w:r>
          </w:hyperlink>
          <w:hyperlink w:anchor="_heading=h.nbbh10n5tiu6">
            <w:r>
              <w:rPr>
                <w:rFonts w:ascii="Arial" w:eastAsia="Arial" w:hAnsi="Arial" w:cs="Arial"/>
                <w:color w:val="000000"/>
              </w:rPr>
              <w:tab/>
              <w:t>3</w:t>
            </w:r>
          </w:hyperlink>
        </w:p>
        <w:p w14:paraId="69085E54"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vagzemv0k5jd">
            <w:r>
              <w:rPr>
                <w:rFonts w:ascii="Arial" w:eastAsia="Arial" w:hAnsi="Arial" w:cs="Arial"/>
                <w:b/>
                <w:bCs/>
                <w:color w:val="000000"/>
              </w:rPr>
              <w:t>TABLE OF CONTENT</w:t>
            </w:r>
          </w:hyperlink>
          <w:hyperlink w:anchor="_heading=h.vagzemv0k5jd">
            <w:r>
              <w:rPr>
                <w:rFonts w:ascii="Arial" w:eastAsia="Arial" w:hAnsi="Arial" w:cs="Arial"/>
                <w:color w:val="000000"/>
              </w:rPr>
              <w:tab/>
              <w:t>4</w:t>
            </w:r>
          </w:hyperlink>
        </w:p>
        <w:p w14:paraId="0117A831"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ppw8r9pai3cg">
            <w:r>
              <w:rPr>
                <w:rFonts w:ascii="Arial" w:eastAsia="Arial" w:hAnsi="Arial" w:cs="Arial"/>
                <w:b/>
                <w:bCs/>
                <w:color w:val="000000"/>
              </w:rPr>
              <w:t>CHAPTER 1 – INTRODUCTION</w:t>
            </w:r>
          </w:hyperlink>
          <w:hyperlink w:anchor="_heading=h.ppw8r9pai3cg">
            <w:r>
              <w:rPr>
                <w:rFonts w:ascii="Arial" w:eastAsia="Arial" w:hAnsi="Arial" w:cs="Arial"/>
                <w:color w:val="000000"/>
              </w:rPr>
              <w:tab/>
              <w:t>5</w:t>
            </w:r>
          </w:hyperlink>
        </w:p>
        <w:p w14:paraId="039C13F4"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85muk57a2hmt">
            <w:r>
              <w:rPr>
                <w:rFonts w:ascii="Arial" w:eastAsia="Arial" w:hAnsi="Arial" w:cs="Arial"/>
                <w:b/>
                <w:bCs/>
                <w:color w:val="000000"/>
              </w:rPr>
              <w:t>1.1 Introduction and Background of study</w:t>
            </w:r>
          </w:hyperlink>
          <w:hyperlink w:anchor="_heading=h.85muk57a2hmt">
            <w:r>
              <w:rPr>
                <w:rFonts w:ascii="Arial" w:eastAsia="Arial" w:hAnsi="Arial" w:cs="Arial"/>
                <w:color w:val="000000"/>
              </w:rPr>
              <w:tab/>
              <w:t>5</w:t>
            </w:r>
          </w:hyperlink>
        </w:p>
        <w:p w14:paraId="15B63B4E"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ecgn3hqq6uwe">
            <w:r>
              <w:rPr>
                <w:rFonts w:ascii="Arial" w:eastAsia="Arial" w:hAnsi="Arial" w:cs="Arial"/>
                <w:b/>
                <w:bCs/>
                <w:color w:val="000000"/>
              </w:rPr>
              <w:t>1.2 Problem Statement</w:t>
            </w:r>
          </w:hyperlink>
          <w:hyperlink w:anchor="_heading=h.ecgn3hqq6uwe">
            <w:r>
              <w:rPr>
                <w:rFonts w:ascii="Arial" w:eastAsia="Arial" w:hAnsi="Arial" w:cs="Arial"/>
                <w:color w:val="000000"/>
              </w:rPr>
              <w:tab/>
              <w:t>6</w:t>
            </w:r>
          </w:hyperlink>
        </w:p>
        <w:p w14:paraId="0B0DDF23"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nyd94r5dj2hj">
            <w:r>
              <w:rPr>
                <w:rFonts w:ascii="Arial" w:eastAsia="Arial" w:hAnsi="Arial" w:cs="Arial"/>
                <w:b/>
                <w:bCs/>
                <w:color w:val="000000"/>
              </w:rPr>
              <w:t>1.3 Research Aim and Objectives</w:t>
            </w:r>
          </w:hyperlink>
          <w:hyperlink w:anchor="_heading=h.nyd94r5dj2hj">
            <w:r>
              <w:rPr>
                <w:rFonts w:ascii="Arial" w:eastAsia="Arial" w:hAnsi="Arial" w:cs="Arial"/>
                <w:color w:val="000000"/>
              </w:rPr>
              <w:tab/>
              <w:t>7</w:t>
            </w:r>
          </w:hyperlink>
        </w:p>
        <w:p w14:paraId="2E35F3F9"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dqxi3xjxgwy8">
            <w:r>
              <w:rPr>
                <w:rFonts w:ascii="Arial" w:eastAsia="Arial" w:hAnsi="Arial" w:cs="Arial"/>
                <w:b/>
                <w:bCs/>
                <w:color w:val="000000"/>
              </w:rPr>
              <w:t>1.3.1 Research Aim</w:t>
            </w:r>
          </w:hyperlink>
          <w:hyperlink w:anchor="_heading=h.dqxi3xjxgwy8">
            <w:r>
              <w:rPr>
                <w:rFonts w:ascii="Arial" w:eastAsia="Arial" w:hAnsi="Arial" w:cs="Arial"/>
                <w:color w:val="000000"/>
              </w:rPr>
              <w:tab/>
              <w:t>7</w:t>
            </w:r>
          </w:hyperlink>
        </w:p>
        <w:p w14:paraId="66DD7492"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xpwsbb1fjnqk">
            <w:r>
              <w:rPr>
                <w:rFonts w:ascii="Arial" w:eastAsia="Arial" w:hAnsi="Arial" w:cs="Arial"/>
                <w:b/>
                <w:bCs/>
                <w:color w:val="000000"/>
              </w:rPr>
              <w:t>1.3.2 Research Objectives</w:t>
            </w:r>
          </w:hyperlink>
          <w:hyperlink w:anchor="_heading=h.xpwsbb1fjnqk">
            <w:r>
              <w:rPr>
                <w:rFonts w:ascii="Arial" w:eastAsia="Arial" w:hAnsi="Arial" w:cs="Arial"/>
                <w:color w:val="000000"/>
              </w:rPr>
              <w:tab/>
              <w:t>7</w:t>
            </w:r>
          </w:hyperlink>
        </w:p>
        <w:p w14:paraId="58CE04A4"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h1c3m072mqwm">
            <w:r>
              <w:rPr>
                <w:rFonts w:ascii="Arial" w:eastAsia="Arial" w:hAnsi="Arial" w:cs="Arial"/>
                <w:b/>
                <w:bCs/>
                <w:color w:val="000000"/>
              </w:rPr>
              <w:t>1.3.3 Research Questions</w:t>
            </w:r>
          </w:hyperlink>
          <w:hyperlink w:anchor="_heading=h.h1c3m072mqwm">
            <w:r>
              <w:rPr>
                <w:rFonts w:ascii="Arial" w:eastAsia="Arial" w:hAnsi="Arial" w:cs="Arial"/>
                <w:color w:val="000000"/>
              </w:rPr>
              <w:tab/>
              <w:t>8</w:t>
            </w:r>
          </w:hyperlink>
        </w:p>
        <w:p w14:paraId="7294EE3A"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iodd6fj7rfs2">
            <w:r>
              <w:rPr>
                <w:rFonts w:ascii="Arial" w:eastAsia="Arial" w:hAnsi="Arial" w:cs="Arial"/>
                <w:b/>
                <w:bCs/>
                <w:color w:val="000000"/>
              </w:rPr>
              <w:t>1.4 Significance of Study</w:t>
            </w:r>
          </w:hyperlink>
          <w:hyperlink w:anchor="_heading=h.iodd6fj7rfs2">
            <w:r>
              <w:rPr>
                <w:rFonts w:ascii="Arial" w:eastAsia="Arial" w:hAnsi="Arial" w:cs="Arial"/>
                <w:color w:val="000000"/>
              </w:rPr>
              <w:tab/>
              <w:t>8</w:t>
            </w:r>
          </w:hyperlink>
        </w:p>
        <w:p w14:paraId="5684216D"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ya8k4o4oxiqx">
            <w:r>
              <w:rPr>
                <w:rFonts w:ascii="Arial" w:eastAsia="Arial" w:hAnsi="Arial" w:cs="Arial"/>
                <w:b/>
                <w:bCs/>
                <w:color w:val="000000"/>
              </w:rPr>
              <w:t>1.5 Chapter Summary</w:t>
            </w:r>
          </w:hyperlink>
          <w:hyperlink w:anchor="_heading=h.ya8k4o4oxiqx">
            <w:r>
              <w:rPr>
                <w:rFonts w:ascii="Arial" w:eastAsia="Arial" w:hAnsi="Arial" w:cs="Arial"/>
                <w:color w:val="000000"/>
              </w:rPr>
              <w:tab/>
              <w:t>8</w:t>
            </w:r>
          </w:hyperlink>
        </w:p>
        <w:p w14:paraId="26034444"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u9zqqvr7mcv3">
            <w:r>
              <w:rPr>
                <w:rFonts w:ascii="Arial" w:eastAsia="Arial" w:hAnsi="Arial" w:cs="Arial"/>
                <w:b/>
                <w:bCs/>
                <w:color w:val="000000"/>
              </w:rPr>
              <w:t>CHAPTER TWO: BACKGROUND AND REVIEW OF LITERATURE</w:t>
            </w:r>
          </w:hyperlink>
          <w:hyperlink w:anchor="_heading=h.u9zqqvr7mcv3">
            <w:r>
              <w:rPr>
                <w:rFonts w:ascii="Arial" w:eastAsia="Arial" w:hAnsi="Arial" w:cs="Arial"/>
                <w:color w:val="000000"/>
              </w:rPr>
              <w:tab/>
              <w:t>9</w:t>
            </w:r>
          </w:hyperlink>
        </w:p>
        <w:p w14:paraId="665EAD3B"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5yaruwlrb1uv">
            <w:r>
              <w:rPr>
                <w:rFonts w:ascii="Arial" w:eastAsia="Arial" w:hAnsi="Arial" w:cs="Arial"/>
                <w:b/>
                <w:bCs/>
                <w:color w:val="000000"/>
              </w:rPr>
              <w:t>2.1 Introduction</w:t>
            </w:r>
          </w:hyperlink>
          <w:hyperlink w:anchor="_heading=h.5yaruwlrb1uv">
            <w:r>
              <w:rPr>
                <w:rFonts w:ascii="Arial" w:eastAsia="Arial" w:hAnsi="Arial" w:cs="Arial"/>
                <w:color w:val="000000"/>
              </w:rPr>
              <w:tab/>
              <w:t>9</w:t>
            </w:r>
          </w:hyperlink>
        </w:p>
        <w:p w14:paraId="5928AA0A"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hxpvtm4zqfts">
            <w:r>
              <w:rPr>
                <w:rFonts w:ascii="Arial" w:eastAsia="Arial" w:hAnsi="Arial" w:cs="Arial"/>
                <w:b/>
                <w:bCs/>
                <w:color w:val="000000"/>
              </w:rPr>
              <w:t>2.2 Depression and its Effects in Young Adults</w:t>
            </w:r>
          </w:hyperlink>
          <w:hyperlink w:anchor="_heading=h.hxpvtm4zqfts">
            <w:r>
              <w:rPr>
                <w:rFonts w:ascii="Arial" w:eastAsia="Arial" w:hAnsi="Arial" w:cs="Arial"/>
                <w:color w:val="000000"/>
              </w:rPr>
              <w:tab/>
              <w:t>9</w:t>
            </w:r>
          </w:hyperlink>
        </w:p>
        <w:p w14:paraId="08103A45"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22cim3kx81l6">
            <w:r>
              <w:rPr>
                <w:rFonts w:ascii="Arial" w:eastAsia="Arial" w:hAnsi="Arial" w:cs="Arial"/>
                <w:b/>
                <w:bCs/>
                <w:color w:val="000000"/>
              </w:rPr>
              <w:t>2.3 Prevalence and Severity of Depression Among UK Young Adults</w:t>
            </w:r>
          </w:hyperlink>
          <w:hyperlink w:anchor="_heading=h.22cim3kx81l6">
            <w:r>
              <w:rPr>
                <w:rFonts w:ascii="Arial" w:eastAsia="Arial" w:hAnsi="Arial" w:cs="Arial"/>
                <w:color w:val="000000"/>
              </w:rPr>
              <w:tab/>
              <w:t>10</w:t>
            </w:r>
          </w:hyperlink>
        </w:p>
        <w:p w14:paraId="71982D79"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y1bq4fr4d1mn">
            <w:r>
              <w:rPr>
                <w:rFonts w:ascii="Arial" w:eastAsia="Arial" w:hAnsi="Arial" w:cs="Arial"/>
                <w:b/>
                <w:bCs/>
                <w:color w:val="000000"/>
              </w:rPr>
              <w:t>2.4 Effect of Depression in Young Adults</w:t>
            </w:r>
          </w:hyperlink>
          <w:hyperlink w:anchor="_heading=h.y1bq4fr4d1mn">
            <w:r>
              <w:rPr>
                <w:rFonts w:ascii="Arial" w:eastAsia="Arial" w:hAnsi="Arial" w:cs="Arial"/>
                <w:color w:val="000000"/>
              </w:rPr>
              <w:tab/>
              <w:t>11</w:t>
            </w:r>
          </w:hyperlink>
        </w:p>
        <w:p w14:paraId="761574F0"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f6z2hrcbwzbr">
            <w:r>
              <w:rPr>
                <w:rFonts w:ascii="Arial" w:eastAsia="Arial" w:hAnsi="Arial" w:cs="Arial"/>
                <w:b/>
                <w:bCs/>
                <w:color w:val="000000"/>
              </w:rPr>
              <w:t>2.5 Coping Mechanisms and Support Systems</w:t>
            </w:r>
          </w:hyperlink>
          <w:hyperlink w:anchor="_heading=h.f6z2hrcbwzbr">
            <w:r>
              <w:rPr>
                <w:rFonts w:ascii="Arial" w:eastAsia="Arial" w:hAnsi="Arial" w:cs="Arial"/>
                <w:color w:val="000000"/>
              </w:rPr>
              <w:tab/>
              <w:t>13</w:t>
            </w:r>
          </w:hyperlink>
        </w:p>
        <w:p w14:paraId="3034104D"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g3vi60dbglqd">
            <w:r>
              <w:rPr>
                <w:rFonts w:ascii="Arial" w:eastAsia="Arial" w:hAnsi="Arial" w:cs="Arial"/>
                <w:b/>
                <w:bCs/>
                <w:color w:val="000000"/>
              </w:rPr>
              <w:t>2.6 Literature Gaps</w:t>
            </w:r>
          </w:hyperlink>
          <w:hyperlink w:anchor="_heading=h.g3vi60dbglqd">
            <w:r>
              <w:rPr>
                <w:rFonts w:ascii="Arial" w:eastAsia="Arial" w:hAnsi="Arial" w:cs="Arial"/>
                <w:color w:val="000000"/>
              </w:rPr>
              <w:tab/>
              <w:t>14</w:t>
            </w:r>
          </w:hyperlink>
        </w:p>
        <w:p w14:paraId="58623037"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iga18el9q1f8">
            <w:r>
              <w:rPr>
                <w:rFonts w:ascii="Arial" w:eastAsia="Arial" w:hAnsi="Arial" w:cs="Arial"/>
                <w:b/>
                <w:bCs/>
                <w:color w:val="000000"/>
              </w:rPr>
              <w:t>2.7 Chapter Summary</w:t>
            </w:r>
          </w:hyperlink>
          <w:hyperlink w:anchor="_heading=h.iga18el9q1f8">
            <w:r>
              <w:rPr>
                <w:rFonts w:ascii="Arial" w:eastAsia="Arial" w:hAnsi="Arial" w:cs="Arial"/>
                <w:color w:val="000000"/>
              </w:rPr>
              <w:tab/>
              <w:t>14</w:t>
            </w:r>
          </w:hyperlink>
        </w:p>
        <w:p w14:paraId="49E08A71"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6gtyhujvotqp">
            <w:r>
              <w:rPr>
                <w:rFonts w:ascii="Arial" w:eastAsia="Arial" w:hAnsi="Arial" w:cs="Arial"/>
                <w:b/>
                <w:bCs/>
                <w:color w:val="000000"/>
              </w:rPr>
              <w:t>CHAPTER THREE: METHODOLOGY</w:t>
            </w:r>
          </w:hyperlink>
          <w:hyperlink w:anchor="_heading=h.6gtyhujvotqp">
            <w:r>
              <w:rPr>
                <w:rFonts w:ascii="Arial" w:eastAsia="Arial" w:hAnsi="Arial" w:cs="Arial"/>
                <w:color w:val="000000"/>
              </w:rPr>
              <w:tab/>
              <w:t>15</w:t>
            </w:r>
          </w:hyperlink>
        </w:p>
        <w:p w14:paraId="462BF06F"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lrx8gvgytt53">
            <w:r>
              <w:rPr>
                <w:rFonts w:ascii="Arial" w:eastAsia="Arial" w:hAnsi="Arial" w:cs="Arial"/>
                <w:b/>
                <w:bCs/>
                <w:color w:val="000000"/>
              </w:rPr>
              <w:t>3.1 Introduction</w:t>
            </w:r>
          </w:hyperlink>
          <w:hyperlink w:anchor="_heading=h.lrx8gvgytt53">
            <w:r>
              <w:rPr>
                <w:rFonts w:ascii="Arial" w:eastAsia="Arial" w:hAnsi="Arial" w:cs="Arial"/>
                <w:color w:val="000000"/>
              </w:rPr>
              <w:tab/>
              <w:t>15</w:t>
            </w:r>
          </w:hyperlink>
        </w:p>
        <w:p w14:paraId="1EB3B4EF"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bol13l5gteac">
            <w:r>
              <w:rPr>
                <w:rFonts w:ascii="Arial" w:eastAsia="Arial" w:hAnsi="Arial" w:cs="Arial"/>
                <w:b/>
                <w:bCs/>
                <w:color w:val="000000"/>
              </w:rPr>
              <w:t>3.2 Research Philosophy and Approach</w:t>
            </w:r>
          </w:hyperlink>
          <w:hyperlink w:anchor="_heading=h.bol13l5gteac">
            <w:r>
              <w:rPr>
                <w:rFonts w:ascii="Arial" w:eastAsia="Arial" w:hAnsi="Arial" w:cs="Arial"/>
                <w:color w:val="000000"/>
              </w:rPr>
              <w:tab/>
              <w:t>15</w:t>
            </w:r>
          </w:hyperlink>
        </w:p>
        <w:p w14:paraId="6F30E9CC"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ce92oxg2grn8">
            <w:r>
              <w:rPr>
                <w:rFonts w:ascii="Arial" w:eastAsia="Arial" w:hAnsi="Arial" w:cs="Arial"/>
                <w:b/>
                <w:bCs/>
                <w:color w:val="000000"/>
              </w:rPr>
              <w:t>3.3 Research Design</w:t>
            </w:r>
          </w:hyperlink>
          <w:hyperlink w:anchor="_heading=h.ce92oxg2grn8">
            <w:r>
              <w:rPr>
                <w:rFonts w:ascii="Arial" w:eastAsia="Arial" w:hAnsi="Arial" w:cs="Arial"/>
                <w:color w:val="000000"/>
              </w:rPr>
              <w:tab/>
              <w:t>15</w:t>
            </w:r>
          </w:hyperlink>
        </w:p>
        <w:p w14:paraId="4286210F"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cr46ehuif8yk">
            <w:r>
              <w:rPr>
                <w:rFonts w:ascii="Arial" w:eastAsia="Arial" w:hAnsi="Arial" w:cs="Arial"/>
                <w:b/>
                <w:bCs/>
                <w:color w:val="000000"/>
              </w:rPr>
              <w:t>3.4 Data Collection Strategy</w:t>
            </w:r>
          </w:hyperlink>
          <w:hyperlink w:anchor="_heading=h.cr46ehuif8yk">
            <w:r>
              <w:rPr>
                <w:rFonts w:ascii="Arial" w:eastAsia="Arial" w:hAnsi="Arial" w:cs="Arial"/>
                <w:color w:val="000000"/>
              </w:rPr>
              <w:tab/>
              <w:t>16</w:t>
            </w:r>
          </w:hyperlink>
        </w:p>
        <w:p w14:paraId="2EAF104C"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hqzbltt430tv">
            <w:r>
              <w:rPr>
                <w:rFonts w:ascii="Arial" w:eastAsia="Arial" w:hAnsi="Arial" w:cs="Arial"/>
                <w:b/>
                <w:bCs/>
                <w:color w:val="000000"/>
              </w:rPr>
              <w:t>3.4.1 Sampling size and Sampling Technique</w:t>
            </w:r>
          </w:hyperlink>
          <w:hyperlink w:anchor="_heading=h.hqzbltt430tv">
            <w:r>
              <w:rPr>
                <w:rFonts w:ascii="Arial" w:eastAsia="Arial" w:hAnsi="Arial" w:cs="Arial"/>
                <w:color w:val="000000"/>
              </w:rPr>
              <w:tab/>
              <w:t>16</w:t>
            </w:r>
          </w:hyperlink>
        </w:p>
        <w:p w14:paraId="0D10F0E7"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84o3gzlc54sj">
            <w:r>
              <w:rPr>
                <w:rFonts w:ascii="Arial" w:eastAsia="Arial" w:hAnsi="Arial" w:cs="Arial"/>
                <w:b/>
                <w:bCs/>
                <w:color w:val="000000"/>
              </w:rPr>
              <w:t>3.4.2 Data Collection</w:t>
            </w:r>
          </w:hyperlink>
          <w:hyperlink w:anchor="_heading=h.84o3gzlc54sj">
            <w:r>
              <w:rPr>
                <w:rFonts w:ascii="Arial" w:eastAsia="Arial" w:hAnsi="Arial" w:cs="Arial"/>
                <w:color w:val="000000"/>
              </w:rPr>
              <w:tab/>
              <w:t>16</w:t>
            </w:r>
          </w:hyperlink>
        </w:p>
        <w:p w14:paraId="5DF697B9"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vbnpqma7cgj4">
            <w:r>
              <w:rPr>
                <w:rFonts w:ascii="Arial" w:eastAsia="Arial" w:hAnsi="Arial" w:cs="Arial"/>
                <w:b/>
                <w:bCs/>
                <w:color w:val="000000"/>
              </w:rPr>
              <w:t>Inclusion Criteria</w:t>
            </w:r>
          </w:hyperlink>
          <w:hyperlink w:anchor="_heading=h.vbnpqma7cgj4">
            <w:r>
              <w:rPr>
                <w:rFonts w:ascii="Arial" w:eastAsia="Arial" w:hAnsi="Arial" w:cs="Arial"/>
                <w:color w:val="000000"/>
              </w:rPr>
              <w:tab/>
              <w:t>17</w:t>
            </w:r>
          </w:hyperlink>
        </w:p>
        <w:p w14:paraId="58276AD3"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rl4hgx7t72o0">
            <w:r>
              <w:rPr>
                <w:rFonts w:ascii="Arial" w:eastAsia="Arial" w:hAnsi="Arial" w:cs="Arial"/>
                <w:b/>
                <w:bCs/>
                <w:color w:val="000000"/>
              </w:rPr>
              <w:t>Exclusion Criteria</w:t>
            </w:r>
          </w:hyperlink>
          <w:hyperlink w:anchor="_heading=h.rl4hgx7t72o0">
            <w:r>
              <w:rPr>
                <w:rFonts w:ascii="Arial" w:eastAsia="Arial" w:hAnsi="Arial" w:cs="Arial"/>
                <w:color w:val="000000"/>
              </w:rPr>
              <w:tab/>
              <w:t>17</w:t>
            </w:r>
          </w:hyperlink>
        </w:p>
        <w:p w14:paraId="7B39F997"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jz4spdejtdf">
            <w:r>
              <w:rPr>
                <w:rFonts w:ascii="Arial" w:eastAsia="Arial" w:hAnsi="Arial" w:cs="Arial"/>
                <w:b/>
                <w:bCs/>
                <w:color w:val="000000"/>
              </w:rPr>
              <w:t>3.4.3 Data Analysis</w:t>
            </w:r>
          </w:hyperlink>
          <w:hyperlink w:anchor="_heading=h.jz4spdejtdf">
            <w:r>
              <w:rPr>
                <w:rFonts w:ascii="Arial" w:eastAsia="Arial" w:hAnsi="Arial" w:cs="Arial"/>
                <w:color w:val="000000"/>
              </w:rPr>
              <w:tab/>
              <w:t>17</w:t>
            </w:r>
          </w:hyperlink>
        </w:p>
        <w:p w14:paraId="7A2906FE"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pucuzjdli27j">
            <w:r>
              <w:rPr>
                <w:rFonts w:ascii="Arial" w:eastAsia="Arial" w:hAnsi="Arial" w:cs="Arial"/>
                <w:b/>
                <w:bCs/>
                <w:color w:val="000000"/>
              </w:rPr>
              <w:t>3.5 Reliability and Validity</w:t>
            </w:r>
          </w:hyperlink>
          <w:hyperlink w:anchor="_heading=h.pucuzjdli27j">
            <w:r>
              <w:rPr>
                <w:rFonts w:ascii="Arial" w:eastAsia="Arial" w:hAnsi="Arial" w:cs="Arial"/>
                <w:color w:val="000000"/>
              </w:rPr>
              <w:tab/>
              <w:t>18</w:t>
            </w:r>
          </w:hyperlink>
        </w:p>
        <w:p w14:paraId="12FE4945"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v0lnyjec0ljm">
            <w:r>
              <w:rPr>
                <w:rFonts w:ascii="Arial" w:eastAsia="Arial" w:hAnsi="Arial" w:cs="Arial"/>
                <w:b/>
                <w:bCs/>
                <w:color w:val="000000"/>
              </w:rPr>
              <w:t>3.6 Ethical consideration</w:t>
            </w:r>
          </w:hyperlink>
          <w:hyperlink w:anchor="_heading=h.v0lnyjec0ljm">
            <w:r>
              <w:rPr>
                <w:rFonts w:ascii="Arial" w:eastAsia="Arial" w:hAnsi="Arial" w:cs="Arial"/>
                <w:color w:val="000000"/>
              </w:rPr>
              <w:tab/>
              <w:t>18</w:t>
            </w:r>
          </w:hyperlink>
        </w:p>
        <w:p w14:paraId="404D8D72"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a62x6j3bm732">
            <w:r>
              <w:rPr>
                <w:rFonts w:ascii="Arial" w:eastAsia="Arial" w:hAnsi="Arial" w:cs="Arial"/>
                <w:b/>
                <w:bCs/>
                <w:color w:val="000000"/>
              </w:rPr>
              <w:t>3.7 Limitations of the Methodology</w:t>
            </w:r>
          </w:hyperlink>
          <w:hyperlink w:anchor="_heading=h.a62x6j3bm732">
            <w:r>
              <w:rPr>
                <w:rFonts w:ascii="Arial" w:eastAsia="Arial" w:hAnsi="Arial" w:cs="Arial"/>
                <w:color w:val="000000"/>
              </w:rPr>
              <w:tab/>
              <w:t>19</w:t>
            </w:r>
          </w:hyperlink>
        </w:p>
        <w:p w14:paraId="7A381CC9"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5trgq01zglpf">
            <w:r>
              <w:rPr>
                <w:rFonts w:ascii="Arial" w:eastAsia="Arial" w:hAnsi="Arial" w:cs="Arial"/>
                <w:b/>
                <w:bCs/>
                <w:color w:val="000000"/>
              </w:rPr>
              <w:t>3.8 Chapter summary</w:t>
            </w:r>
          </w:hyperlink>
          <w:hyperlink w:anchor="_heading=h.5trgq01zglpf">
            <w:r>
              <w:rPr>
                <w:rFonts w:ascii="Arial" w:eastAsia="Arial" w:hAnsi="Arial" w:cs="Arial"/>
                <w:color w:val="000000"/>
              </w:rPr>
              <w:tab/>
              <w:t>19</w:t>
            </w:r>
          </w:hyperlink>
        </w:p>
        <w:p w14:paraId="55B54B12"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bt7cuztjdk46">
            <w:r>
              <w:rPr>
                <w:rFonts w:ascii="Arial" w:eastAsia="Arial" w:hAnsi="Arial" w:cs="Arial"/>
                <w:b/>
                <w:bCs/>
                <w:color w:val="000000"/>
              </w:rPr>
              <w:t>CHAPTER FOUR – RESULTS</w:t>
            </w:r>
          </w:hyperlink>
          <w:hyperlink w:anchor="_heading=h.bt7cuztjdk46">
            <w:r>
              <w:rPr>
                <w:rFonts w:ascii="Arial" w:eastAsia="Arial" w:hAnsi="Arial" w:cs="Arial"/>
                <w:color w:val="000000"/>
              </w:rPr>
              <w:tab/>
              <w:t>20</w:t>
            </w:r>
          </w:hyperlink>
        </w:p>
        <w:p w14:paraId="270DDBB7"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n1gz0ud1odxw">
            <w:r>
              <w:rPr>
                <w:rFonts w:ascii="Arial" w:eastAsia="Arial" w:hAnsi="Arial" w:cs="Arial"/>
                <w:b/>
                <w:bCs/>
                <w:color w:val="000000"/>
              </w:rPr>
              <w:t>4.1 Introduction</w:t>
            </w:r>
          </w:hyperlink>
          <w:hyperlink w:anchor="_heading=h.n1gz0ud1odxw">
            <w:r>
              <w:rPr>
                <w:rFonts w:ascii="Arial" w:eastAsia="Arial" w:hAnsi="Arial" w:cs="Arial"/>
                <w:color w:val="000000"/>
              </w:rPr>
              <w:tab/>
              <w:t>20</w:t>
            </w:r>
          </w:hyperlink>
        </w:p>
        <w:p w14:paraId="59B2BDB7"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atnmezto1p48">
            <w:r>
              <w:rPr>
                <w:rFonts w:ascii="Arial" w:eastAsia="Arial" w:hAnsi="Arial" w:cs="Arial"/>
                <w:b/>
                <w:bCs/>
                <w:color w:val="000000"/>
              </w:rPr>
              <w:t>4.2 Overview of Reviewed Studies</w:t>
            </w:r>
          </w:hyperlink>
          <w:hyperlink w:anchor="_heading=h.atnmezto1p48">
            <w:r>
              <w:rPr>
                <w:rFonts w:ascii="Arial" w:eastAsia="Arial" w:hAnsi="Arial" w:cs="Arial"/>
                <w:color w:val="000000"/>
              </w:rPr>
              <w:tab/>
              <w:t>20</w:t>
            </w:r>
          </w:hyperlink>
        </w:p>
        <w:p w14:paraId="39250533"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nrgaaz7dirms">
            <w:r>
              <w:rPr>
                <w:rFonts w:ascii="Arial" w:eastAsia="Arial" w:hAnsi="Arial" w:cs="Arial"/>
                <w:b/>
                <w:bCs/>
                <w:color w:val="000000"/>
              </w:rPr>
              <w:t>4.2.1 Search and Screening Outcomes (PRISMA Framework)</w:t>
            </w:r>
          </w:hyperlink>
          <w:hyperlink w:anchor="_heading=h.nrgaaz7dirms">
            <w:r>
              <w:rPr>
                <w:rFonts w:ascii="Arial" w:eastAsia="Arial" w:hAnsi="Arial" w:cs="Arial"/>
                <w:color w:val="000000"/>
              </w:rPr>
              <w:tab/>
              <w:t>20</w:t>
            </w:r>
          </w:hyperlink>
        </w:p>
        <w:p w14:paraId="5C4548B2"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y2ezt96uk4jn">
            <w:r>
              <w:rPr>
                <w:rFonts w:ascii="Arial" w:eastAsia="Arial" w:hAnsi="Arial" w:cs="Arial"/>
                <w:b/>
                <w:bCs/>
                <w:color w:val="000000"/>
              </w:rPr>
              <w:t>4.2.2 Journal Categories of Included Studies</w:t>
            </w:r>
          </w:hyperlink>
          <w:hyperlink w:anchor="_heading=h.y2ezt96uk4jn">
            <w:r>
              <w:rPr>
                <w:rFonts w:ascii="Arial" w:eastAsia="Arial" w:hAnsi="Arial" w:cs="Arial"/>
                <w:color w:val="000000"/>
              </w:rPr>
              <w:tab/>
              <w:t>21</w:t>
            </w:r>
          </w:hyperlink>
        </w:p>
        <w:p w14:paraId="6902C654"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6m7h6wq5cpb4">
            <w:r>
              <w:rPr>
                <w:rFonts w:ascii="Arial" w:eastAsia="Arial" w:hAnsi="Arial" w:cs="Arial"/>
                <w:b/>
                <w:bCs/>
                <w:color w:val="000000"/>
              </w:rPr>
              <w:t>4.2.3 Citation Count</w:t>
            </w:r>
          </w:hyperlink>
          <w:hyperlink w:anchor="_heading=h.6m7h6wq5cpb4">
            <w:r>
              <w:rPr>
                <w:rFonts w:ascii="Arial" w:eastAsia="Arial" w:hAnsi="Arial" w:cs="Arial"/>
                <w:color w:val="000000"/>
              </w:rPr>
              <w:tab/>
              <w:t>23</w:t>
            </w:r>
          </w:hyperlink>
        </w:p>
        <w:p w14:paraId="2A7F7369"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c3birzjydgm3">
            <w:r>
              <w:rPr>
                <w:rFonts w:ascii="Arial" w:eastAsia="Arial" w:hAnsi="Arial" w:cs="Arial"/>
                <w:b/>
                <w:bCs/>
                <w:color w:val="000000"/>
              </w:rPr>
              <w:t>4.2.4 Temporal Review of Research Papers</w:t>
            </w:r>
          </w:hyperlink>
          <w:hyperlink w:anchor="_heading=h.c3birzjydgm3">
            <w:r>
              <w:rPr>
                <w:rFonts w:ascii="Arial" w:eastAsia="Arial" w:hAnsi="Arial" w:cs="Arial"/>
                <w:color w:val="000000"/>
              </w:rPr>
              <w:tab/>
              <w:t>24</w:t>
            </w:r>
          </w:hyperlink>
        </w:p>
        <w:p w14:paraId="767B5663"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coykndvhmfjt">
            <w:r>
              <w:rPr>
                <w:rFonts w:ascii="Arial" w:eastAsia="Arial" w:hAnsi="Arial" w:cs="Arial"/>
                <w:b/>
                <w:bCs/>
                <w:color w:val="000000"/>
              </w:rPr>
              <w:t>4.2.5 Research Methods</w:t>
            </w:r>
          </w:hyperlink>
          <w:hyperlink w:anchor="_heading=h.coykndvhmfjt">
            <w:r>
              <w:rPr>
                <w:rFonts w:ascii="Arial" w:eastAsia="Arial" w:hAnsi="Arial" w:cs="Arial"/>
                <w:color w:val="000000"/>
              </w:rPr>
              <w:tab/>
              <w:t>25</w:t>
            </w:r>
          </w:hyperlink>
        </w:p>
        <w:p w14:paraId="74AE0C99"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gp1jiokd9fzz">
            <w:r>
              <w:rPr>
                <w:rFonts w:ascii="Arial" w:eastAsia="Arial" w:hAnsi="Arial" w:cs="Arial"/>
                <w:b/>
                <w:bCs/>
                <w:color w:val="000000"/>
              </w:rPr>
              <w:t>4.2.6 Participant Characteristics of Included Studies</w:t>
            </w:r>
          </w:hyperlink>
          <w:hyperlink w:anchor="_heading=h.gp1jiokd9fzz">
            <w:r>
              <w:rPr>
                <w:rFonts w:ascii="Arial" w:eastAsia="Arial" w:hAnsi="Arial" w:cs="Arial"/>
                <w:color w:val="000000"/>
              </w:rPr>
              <w:tab/>
              <w:t>26</w:t>
            </w:r>
          </w:hyperlink>
        </w:p>
        <w:p w14:paraId="54263481"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2lezfyz06vzi">
            <w:r>
              <w:rPr>
                <w:rFonts w:ascii="Arial" w:eastAsia="Arial" w:hAnsi="Arial" w:cs="Arial"/>
                <w:b/>
                <w:bCs/>
                <w:color w:val="000000"/>
              </w:rPr>
              <w:t>4.3 Findings of the Study</w:t>
            </w:r>
          </w:hyperlink>
          <w:hyperlink w:anchor="_heading=h.2lezfyz06vzi">
            <w:r>
              <w:rPr>
                <w:rFonts w:ascii="Arial" w:eastAsia="Arial" w:hAnsi="Arial" w:cs="Arial"/>
                <w:color w:val="000000"/>
              </w:rPr>
              <w:tab/>
              <w:t>28</w:t>
            </w:r>
          </w:hyperlink>
        </w:p>
        <w:p w14:paraId="58B91A7E"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454weur99q9p">
            <w:r>
              <w:rPr>
                <w:rFonts w:ascii="Arial" w:eastAsia="Arial" w:hAnsi="Arial" w:cs="Arial"/>
                <w:b/>
                <w:bCs/>
                <w:color w:val="000000"/>
              </w:rPr>
              <w:t>4.3.1 Prevalence of Severity of Depression among Young Adults in the UK</w:t>
            </w:r>
          </w:hyperlink>
          <w:hyperlink w:anchor="_heading=h.454weur99q9p">
            <w:r>
              <w:rPr>
                <w:rFonts w:ascii="Arial" w:eastAsia="Arial" w:hAnsi="Arial" w:cs="Arial"/>
                <w:color w:val="000000"/>
              </w:rPr>
              <w:tab/>
              <w:t>30</w:t>
            </w:r>
          </w:hyperlink>
        </w:p>
        <w:p w14:paraId="503A479D"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so9veee2f2sg">
            <w:r>
              <w:rPr>
                <w:rFonts w:ascii="Arial" w:eastAsia="Arial" w:hAnsi="Arial" w:cs="Arial"/>
                <w:b/>
                <w:bCs/>
                <w:color w:val="000000"/>
              </w:rPr>
              <w:t>4.3.2 Academic, Occupational and Social Effects of Depression</w:t>
            </w:r>
          </w:hyperlink>
          <w:hyperlink w:anchor="_heading=h.so9veee2f2sg">
            <w:r>
              <w:rPr>
                <w:rFonts w:ascii="Arial" w:eastAsia="Arial" w:hAnsi="Arial" w:cs="Arial"/>
                <w:color w:val="000000"/>
              </w:rPr>
              <w:tab/>
              <w:t>31</w:t>
            </w:r>
          </w:hyperlink>
        </w:p>
        <w:p w14:paraId="66DA24D4"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ylsphdxml4e5">
            <w:r>
              <w:rPr>
                <w:rFonts w:ascii="Arial" w:eastAsia="Arial" w:hAnsi="Arial" w:cs="Arial"/>
                <w:b/>
                <w:bCs/>
                <w:color w:val="000000"/>
              </w:rPr>
              <w:t>4.3.3 Coping Mechanisms and Support Systems</w:t>
            </w:r>
          </w:hyperlink>
          <w:hyperlink w:anchor="_heading=h.ylsphdxml4e5">
            <w:r>
              <w:rPr>
                <w:rFonts w:ascii="Arial" w:eastAsia="Arial" w:hAnsi="Arial" w:cs="Arial"/>
                <w:color w:val="000000"/>
              </w:rPr>
              <w:tab/>
              <w:t>32</w:t>
            </w:r>
          </w:hyperlink>
        </w:p>
        <w:p w14:paraId="59C3CE34"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rovffw6qlwg3">
            <w:r>
              <w:rPr>
                <w:rFonts w:ascii="Arial" w:eastAsia="Arial" w:hAnsi="Arial" w:cs="Arial"/>
                <w:b/>
                <w:bCs/>
                <w:color w:val="000000"/>
              </w:rPr>
              <w:t>4.4 Discussion of the Findings</w:t>
            </w:r>
          </w:hyperlink>
          <w:hyperlink w:anchor="_heading=h.rovffw6qlwg3">
            <w:r>
              <w:rPr>
                <w:rFonts w:ascii="Arial" w:eastAsia="Arial" w:hAnsi="Arial" w:cs="Arial"/>
                <w:color w:val="000000"/>
              </w:rPr>
              <w:tab/>
              <w:t>34</w:t>
            </w:r>
          </w:hyperlink>
        </w:p>
        <w:p w14:paraId="47CA7E07"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4mnhyw8eqg66">
            <w:r>
              <w:rPr>
                <w:rFonts w:ascii="Arial" w:eastAsia="Arial" w:hAnsi="Arial" w:cs="Arial"/>
                <w:b/>
                <w:bCs/>
                <w:color w:val="000000"/>
              </w:rPr>
              <w:t>4.4.1 Prevalence and Severity of Depressive Symptoms among Young Adults in the UK</w:t>
            </w:r>
          </w:hyperlink>
          <w:hyperlink w:anchor="_heading=h.4mnhyw8eqg66">
            <w:r>
              <w:rPr>
                <w:rFonts w:ascii="Arial" w:eastAsia="Arial" w:hAnsi="Arial" w:cs="Arial"/>
                <w:color w:val="000000"/>
              </w:rPr>
              <w:tab/>
              <w:t>34</w:t>
            </w:r>
          </w:hyperlink>
        </w:p>
        <w:p w14:paraId="3E51A3EA"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1slpha6l4o1x">
            <w:r>
              <w:rPr>
                <w:rFonts w:ascii="Arial" w:eastAsia="Arial" w:hAnsi="Arial" w:cs="Arial"/>
                <w:b/>
                <w:bCs/>
                <w:color w:val="000000"/>
              </w:rPr>
              <w:t>4.4.2 Impacts of Depression on Academic, Occupational, and Social Functioning</w:t>
            </w:r>
          </w:hyperlink>
          <w:hyperlink w:anchor="_heading=h.1slpha6l4o1x">
            <w:r>
              <w:rPr>
                <w:rFonts w:ascii="Arial" w:eastAsia="Arial" w:hAnsi="Arial" w:cs="Arial"/>
                <w:color w:val="000000"/>
              </w:rPr>
              <w:tab/>
              <w:t>35</w:t>
            </w:r>
          </w:hyperlink>
        </w:p>
        <w:p w14:paraId="5D0A2BE3"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52couobxrpx7">
            <w:r>
              <w:rPr>
                <w:rFonts w:ascii="Arial" w:eastAsia="Arial" w:hAnsi="Arial" w:cs="Arial"/>
                <w:b/>
                <w:bCs/>
                <w:color w:val="000000"/>
              </w:rPr>
              <w:t>4.4.3 Coping Mechanisms and Support Systems for Young Adults with Depression</w:t>
            </w:r>
          </w:hyperlink>
          <w:hyperlink w:anchor="_heading=h.52couobxrpx7">
            <w:r>
              <w:rPr>
                <w:rFonts w:ascii="Arial" w:eastAsia="Arial" w:hAnsi="Arial" w:cs="Arial"/>
                <w:color w:val="000000"/>
              </w:rPr>
              <w:tab/>
              <w:t>36</w:t>
            </w:r>
          </w:hyperlink>
        </w:p>
        <w:p w14:paraId="6A42822C"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hn5uc6989sw7">
            <w:r>
              <w:rPr>
                <w:rFonts w:ascii="Arial" w:eastAsia="Arial" w:hAnsi="Arial" w:cs="Arial"/>
                <w:b/>
                <w:bCs/>
                <w:color w:val="000000"/>
              </w:rPr>
              <w:t>4.5 Chapter Summary</w:t>
            </w:r>
          </w:hyperlink>
          <w:hyperlink w:anchor="_heading=h.hn5uc6989sw7">
            <w:r>
              <w:rPr>
                <w:rFonts w:ascii="Arial" w:eastAsia="Arial" w:hAnsi="Arial" w:cs="Arial"/>
                <w:color w:val="000000"/>
              </w:rPr>
              <w:tab/>
              <w:t>37</w:t>
            </w:r>
          </w:hyperlink>
        </w:p>
        <w:p w14:paraId="1488C29B"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mzpahd1hs7x4">
            <w:r>
              <w:rPr>
                <w:rFonts w:ascii="Arial" w:eastAsia="Arial" w:hAnsi="Arial" w:cs="Arial"/>
                <w:b/>
                <w:bCs/>
                <w:color w:val="000000"/>
              </w:rPr>
              <w:t>CHAPTER FIVE- RECOMMENDATION AND CONCLUSION</w:t>
            </w:r>
          </w:hyperlink>
          <w:hyperlink w:anchor="_heading=h.mzpahd1hs7x4">
            <w:r>
              <w:rPr>
                <w:rFonts w:ascii="Arial" w:eastAsia="Arial" w:hAnsi="Arial" w:cs="Arial"/>
                <w:color w:val="000000"/>
              </w:rPr>
              <w:tab/>
              <w:t>38</w:t>
            </w:r>
          </w:hyperlink>
        </w:p>
        <w:p w14:paraId="5D9E6802"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wi7eryvxzif8">
            <w:r>
              <w:rPr>
                <w:rFonts w:ascii="Arial" w:eastAsia="Arial" w:hAnsi="Arial" w:cs="Arial"/>
                <w:b/>
                <w:bCs/>
                <w:color w:val="000000"/>
              </w:rPr>
              <w:t>5.1 Conclusion</w:t>
            </w:r>
          </w:hyperlink>
          <w:hyperlink w:anchor="_heading=h.wi7eryvxzif8">
            <w:r>
              <w:rPr>
                <w:rFonts w:ascii="Arial" w:eastAsia="Arial" w:hAnsi="Arial" w:cs="Arial"/>
                <w:color w:val="000000"/>
              </w:rPr>
              <w:tab/>
              <w:t>38</w:t>
            </w:r>
          </w:hyperlink>
        </w:p>
        <w:p w14:paraId="2108FB4E"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u7dvvajnuvr6">
            <w:r>
              <w:rPr>
                <w:rFonts w:ascii="Arial" w:eastAsia="Arial" w:hAnsi="Arial" w:cs="Arial"/>
                <w:b/>
                <w:bCs/>
                <w:color w:val="000000"/>
              </w:rPr>
              <w:t>5.2 Recommendations</w:t>
            </w:r>
          </w:hyperlink>
          <w:hyperlink w:anchor="_heading=h.u7dvvajnuvr6">
            <w:r>
              <w:rPr>
                <w:rFonts w:ascii="Arial" w:eastAsia="Arial" w:hAnsi="Arial" w:cs="Arial"/>
                <w:color w:val="000000"/>
              </w:rPr>
              <w:tab/>
              <w:t>38</w:t>
            </w:r>
          </w:hyperlink>
        </w:p>
        <w:p w14:paraId="709DAC5C"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io0fmotn0rj9">
            <w:r>
              <w:rPr>
                <w:rFonts w:ascii="Arial" w:eastAsia="Arial" w:hAnsi="Arial" w:cs="Arial"/>
                <w:b/>
                <w:bCs/>
                <w:color w:val="000000"/>
              </w:rPr>
              <w:t>5.2.1 Healthcare System Improvements</w:t>
            </w:r>
          </w:hyperlink>
          <w:hyperlink w:anchor="_heading=h.io0fmotn0rj9">
            <w:r>
              <w:rPr>
                <w:rFonts w:ascii="Arial" w:eastAsia="Arial" w:hAnsi="Arial" w:cs="Arial"/>
                <w:color w:val="000000"/>
              </w:rPr>
              <w:tab/>
              <w:t>39</w:t>
            </w:r>
          </w:hyperlink>
        </w:p>
        <w:p w14:paraId="6BEA3B22"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aat8h1w9ofk2">
            <w:r>
              <w:rPr>
                <w:rFonts w:ascii="Arial" w:eastAsia="Arial" w:hAnsi="Arial" w:cs="Arial"/>
                <w:b/>
                <w:bCs/>
                <w:color w:val="000000"/>
              </w:rPr>
              <w:t>5.2.2 Community and Social Support</w:t>
            </w:r>
          </w:hyperlink>
          <w:hyperlink w:anchor="_heading=h.aat8h1w9ofk2">
            <w:r>
              <w:rPr>
                <w:rFonts w:ascii="Arial" w:eastAsia="Arial" w:hAnsi="Arial" w:cs="Arial"/>
                <w:color w:val="000000"/>
              </w:rPr>
              <w:tab/>
              <w:t>39</w:t>
            </w:r>
          </w:hyperlink>
        </w:p>
        <w:p w14:paraId="13EB6EFB"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tpg13u16sz2o">
            <w:r>
              <w:rPr>
                <w:rFonts w:ascii="Arial" w:eastAsia="Arial" w:hAnsi="Arial" w:cs="Arial"/>
                <w:b/>
                <w:bCs/>
                <w:color w:val="000000"/>
              </w:rPr>
              <w:t>5.2.3 Educational Institutions</w:t>
            </w:r>
          </w:hyperlink>
          <w:hyperlink w:anchor="_heading=h.tpg13u16sz2o">
            <w:r>
              <w:rPr>
                <w:rFonts w:ascii="Arial" w:eastAsia="Arial" w:hAnsi="Arial" w:cs="Arial"/>
                <w:color w:val="000000"/>
              </w:rPr>
              <w:tab/>
              <w:t>39</w:t>
            </w:r>
          </w:hyperlink>
        </w:p>
        <w:p w14:paraId="4A0D4EC0"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8t2tasrxjw1i">
            <w:r>
              <w:rPr>
                <w:rFonts w:ascii="Arial" w:eastAsia="Arial" w:hAnsi="Arial" w:cs="Arial"/>
                <w:b/>
                <w:bCs/>
                <w:color w:val="000000"/>
              </w:rPr>
              <w:t>5.2.4 Policy and Innovation</w:t>
            </w:r>
          </w:hyperlink>
          <w:hyperlink w:anchor="_heading=h.8t2tasrxjw1i">
            <w:r>
              <w:rPr>
                <w:rFonts w:ascii="Arial" w:eastAsia="Arial" w:hAnsi="Arial" w:cs="Arial"/>
                <w:color w:val="000000"/>
              </w:rPr>
              <w:tab/>
              <w:t>40</w:t>
            </w:r>
          </w:hyperlink>
        </w:p>
        <w:p w14:paraId="7B930519"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68hbm92r0f4">
            <w:r>
              <w:rPr>
                <w:rFonts w:ascii="Arial" w:eastAsia="Arial" w:hAnsi="Arial" w:cs="Arial"/>
                <w:b/>
                <w:bCs/>
                <w:color w:val="000000"/>
              </w:rPr>
              <w:t>5.3 Limitations of the Study</w:t>
            </w:r>
          </w:hyperlink>
          <w:hyperlink w:anchor="_heading=h.68hbm92r0f4">
            <w:r>
              <w:rPr>
                <w:rFonts w:ascii="Arial" w:eastAsia="Arial" w:hAnsi="Arial" w:cs="Arial"/>
                <w:color w:val="000000"/>
              </w:rPr>
              <w:tab/>
              <w:t>40</w:t>
            </w:r>
          </w:hyperlink>
        </w:p>
        <w:p w14:paraId="523778C2"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np4hsu897xxv">
            <w:r>
              <w:rPr>
                <w:rFonts w:ascii="Arial" w:eastAsia="Arial" w:hAnsi="Arial" w:cs="Arial"/>
                <w:b/>
                <w:bCs/>
                <w:color w:val="000000"/>
              </w:rPr>
              <w:t>5.4 Suggestions for Future Studies</w:t>
            </w:r>
          </w:hyperlink>
          <w:hyperlink w:anchor="_heading=h.np4hsu897xxv">
            <w:r>
              <w:rPr>
                <w:rFonts w:ascii="Arial" w:eastAsia="Arial" w:hAnsi="Arial" w:cs="Arial"/>
                <w:color w:val="000000"/>
              </w:rPr>
              <w:tab/>
              <w:t>40</w:t>
            </w:r>
          </w:hyperlink>
        </w:p>
        <w:p w14:paraId="35207AE0"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1vwr0hf4l5c6">
            <w:r>
              <w:rPr>
                <w:rFonts w:ascii="Arial" w:eastAsia="Arial" w:hAnsi="Arial" w:cs="Arial"/>
                <w:b/>
                <w:bCs/>
                <w:color w:val="000000"/>
              </w:rPr>
              <w:t>References</w:t>
            </w:r>
          </w:hyperlink>
          <w:hyperlink w:anchor="_heading=h.1vwr0hf4l5c6">
            <w:r>
              <w:rPr>
                <w:rFonts w:ascii="Arial" w:eastAsia="Arial" w:hAnsi="Arial" w:cs="Arial"/>
                <w:color w:val="000000"/>
              </w:rPr>
              <w:tab/>
              <w:t>42</w:t>
            </w:r>
          </w:hyperlink>
        </w:p>
        <w:p w14:paraId="3A16B965" w14:textId="77777777" w:rsidR="00E93BD8" w:rsidRDefault="00E93BD8">
          <w:pPr>
            <w:pBdr>
              <w:top w:val="nil"/>
              <w:left w:val="nil"/>
              <w:bottom w:val="nil"/>
              <w:right w:val="nil"/>
              <w:between w:val="nil"/>
            </w:pBdr>
            <w:tabs>
              <w:tab w:val="right" w:leader="dot" w:pos="9350"/>
            </w:tabs>
            <w:spacing w:after="100"/>
            <w:rPr>
              <w:rFonts w:ascii="Arial" w:eastAsia="Arial" w:hAnsi="Arial" w:cs="Arial"/>
              <w:color w:val="000000"/>
            </w:rPr>
          </w:pPr>
          <w:hyperlink w:anchor="_heading=h.xbxlaaafhv4d">
            <w:r>
              <w:rPr>
                <w:rFonts w:ascii="Arial" w:eastAsia="Arial" w:hAnsi="Arial" w:cs="Arial"/>
                <w:b/>
                <w:bCs/>
                <w:color w:val="000000"/>
              </w:rPr>
              <w:t>APPENDICES</w:t>
            </w:r>
          </w:hyperlink>
          <w:hyperlink w:anchor="_heading=h.xbxlaaafhv4d">
            <w:r>
              <w:rPr>
                <w:rFonts w:ascii="Arial" w:eastAsia="Arial" w:hAnsi="Arial" w:cs="Arial"/>
                <w:color w:val="000000"/>
              </w:rPr>
              <w:tab/>
              <w:t>48</w:t>
            </w:r>
          </w:hyperlink>
        </w:p>
        <w:p w14:paraId="14D31F40" w14:textId="77777777" w:rsidR="00E93BD8" w:rsidRDefault="00E93BD8">
          <w:pPr>
            <w:pBdr>
              <w:top w:val="nil"/>
              <w:left w:val="nil"/>
              <w:bottom w:val="nil"/>
              <w:right w:val="nil"/>
              <w:between w:val="nil"/>
            </w:pBdr>
            <w:tabs>
              <w:tab w:val="right" w:leader="dot" w:pos="9350"/>
            </w:tabs>
            <w:spacing w:after="100"/>
            <w:ind w:left="480"/>
            <w:rPr>
              <w:rFonts w:ascii="Arial" w:eastAsia="Arial" w:hAnsi="Arial" w:cs="Arial"/>
              <w:color w:val="000000"/>
            </w:rPr>
          </w:pPr>
          <w:hyperlink w:anchor="_heading=h.ww50v3jctcac">
            <w:r>
              <w:rPr>
                <w:rFonts w:ascii="Arial" w:eastAsia="Arial" w:hAnsi="Arial" w:cs="Arial"/>
                <w:b/>
                <w:bCs/>
                <w:color w:val="000000"/>
              </w:rPr>
              <w:t>Descriptive Overview of Studies</w:t>
            </w:r>
          </w:hyperlink>
          <w:hyperlink w:anchor="_heading=h.ww50v3jctcac">
            <w:r>
              <w:rPr>
                <w:rFonts w:ascii="Arial" w:eastAsia="Arial" w:hAnsi="Arial" w:cs="Arial"/>
                <w:color w:val="000000"/>
              </w:rPr>
              <w:tab/>
              <w:t>48</w:t>
            </w:r>
          </w:hyperlink>
        </w:p>
        <w:p w14:paraId="02629FA3" w14:textId="77777777" w:rsidR="00E93BD8" w:rsidRDefault="00000000">
          <w:pPr>
            <w:rPr>
              <w:rFonts w:ascii="Arial" w:eastAsia="Arial" w:hAnsi="Arial" w:cs="Arial"/>
            </w:rPr>
          </w:pPr>
          <w:r>
            <w:fldChar w:fldCharType="end"/>
          </w:r>
        </w:p>
      </w:sdtContent>
    </w:sdt>
    <w:p w14:paraId="1C92EB56" w14:textId="77777777" w:rsidR="00E93BD8" w:rsidRDefault="00E93BD8">
      <w:pPr>
        <w:spacing w:line="360" w:lineRule="auto"/>
        <w:rPr>
          <w:rFonts w:ascii="Arial" w:eastAsia="Arial" w:hAnsi="Arial" w:cs="Arial"/>
        </w:rPr>
      </w:pPr>
    </w:p>
    <w:p w14:paraId="4B5B01C9" w14:textId="77777777" w:rsidR="00E93BD8" w:rsidRDefault="00E93BD8">
      <w:pPr>
        <w:spacing w:line="360" w:lineRule="auto"/>
        <w:rPr>
          <w:rFonts w:ascii="Arial" w:eastAsia="Arial" w:hAnsi="Arial" w:cs="Arial"/>
        </w:rPr>
      </w:pPr>
    </w:p>
    <w:p w14:paraId="7D6047B2" w14:textId="77777777" w:rsidR="00E93BD8" w:rsidRDefault="00E93BD8">
      <w:pPr>
        <w:spacing w:line="360" w:lineRule="auto"/>
        <w:rPr>
          <w:rFonts w:ascii="Arial" w:eastAsia="Arial" w:hAnsi="Arial" w:cs="Arial"/>
        </w:rPr>
      </w:pPr>
    </w:p>
    <w:p w14:paraId="71AB6309" w14:textId="77777777" w:rsidR="00E93BD8" w:rsidRDefault="00E93BD8">
      <w:pPr>
        <w:spacing w:line="360" w:lineRule="auto"/>
        <w:rPr>
          <w:rFonts w:ascii="Arial" w:eastAsia="Arial" w:hAnsi="Arial" w:cs="Arial"/>
        </w:rPr>
      </w:pPr>
    </w:p>
    <w:p w14:paraId="57033559" w14:textId="77777777" w:rsidR="00E93BD8" w:rsidRDefault="00E93BD8">
      <w:pPr>
        <w:spacing w:line="360" w:lineRule="auto"/>
        <w:rPr>
          <w:rFonts w:ascii="Arial" w:eastAsia="Arial" w:hAnsi="Arial" w:cs="Arial"/>
        </w:rPr>
      </w:pPr>
    </w:p>
    <w:p w14:paraId="31227285" w14:textId="77777777" w:rsidR="00E93BD8" w:rsidRDefault="00E93BD8">
      <w:pPr>
        <w:spacing w:line="360" w:lineRule="auto"/>
        <w:rPr>
          <w:rFonts w:ascii="Arial" w:eastAsia="Arial" w:hAnsi="Arial" w:cs="Arial"/>
        </w:rPr>
      </w:pPr>
    </w:p>
    <w:p w14:paraId="11903455" w14:textId="77777777" w:rsidR="00E93BD8" w:rsidRDefault="00E93BD8">
      <w:pPr>
        <w:spacing w:line="360" w:lineRule="auto"/>
        <w:rPr>
          <w:rFonts w:ascii="Arial" w:eastAsia="Arial" w:hAnsi="Arial" w:cs="Arial"/>
        </w:rPr>
        <w:sectPr w:rsidR="00E93BD8">
          <w:pgSz w:w="12240" w:h="15840"/>
          <w:pgMar w:top="1440" w:right="1440" w:bottom="1440" w:left="1440" w:header="708" w:footer="708" w:gutter="0"/>
          <w:cols w:space="720"/>
        </w:sectPr>
      </w:pPr>
    </w:p>
    <w:p w14:paraId="64345673" w14:textId="77777777" w:rsidR="00E93BD8" w:rsidRDefault="00000000">
      <w:pPr>
        <w:pStyle w:val="Heading1"/>
        <w:spacing w:line="360" w:lineRule="auto"/>
        <w:jc w:val="center"/>
        <w:rPr>
          <w:rFonts w:ascii="Arial" w:eastAsia="Arial" w:hAnsi="Arial" w:cs="Arial"/>
          <w:b/>
          <w:bCs/>
          <w:color w:val="000000"/>
          <w:sz w:val="24"/>
          <w:szCs w:val="24"/>
        </w:rPr>
      </w:pPr>
      <w:bookmarkStart w:id="4" w:name="_heading=h.ppw8r9pai3cg" w:colFirst="0" w:colLast="0"/>
      <w:bookmarkEnd w:id="4"/>
      <w:r>
        <w:rPr>
          <w:rFonts w:ascii="Arial" w:eastAsia="Arial" w:hAnsi="Arial" w:cs="Arial"/>
          <w:b/>
          <w:bCs/>
          <w:color w:val="000000"/>
          <w:sz w:val="24"/>
          <w:szCs w:val="24"/>
        </w:rPr>
        <w:lastRenderedPageBreak/>
        <w:t>CHAPTER 1 – INTRODUCTION</w:t>
      </w:r>
    </w:p>
    <w:p w14:paraId="46E5751C" w14:textId="77777777" w:rsidR="00E93BD8" w:rsidRDefault="00000000">
      <w:pPr>
        <w:pStyle w:val="Heading1"/>
        <w:spacing w:line="360" w:lineRule="auto"/>
        <w:rPr>
          <w:rFonts w:ascii="Arial" w:eastAsia="Arial" w:hAnsi="Arial" w:cs="Arial"/>
          <w:b/>
          <w:bCs/>
          <w:color w:val="000000"/>
          <w:sz w:val="24"/>
          <w:szCs w:val="24"/>
        </w:rPr>
      </w:pPr>
      <w:bookmarkStart w:id="5" w:name="_heading=h.85muk57a2hmt" w:colFirst="0" w:colLast="0"/>
      <w:bookmarkEnd w:id="5"/>
      <w:r>
        <w:rPr>
          <w:rFonts w:ascii="Arial" w:eastAsia="Arial" w:hAnsi="Arial" w:cs="Arial"/>
          <w:b/>
          <w:bCs/>
          <w:color w:val="000000"/>
          <w:sz w:val="24"/>
          <w:szCs w:val="24"/>
        </w:rPr>
        <w:t>1.1 Introduction and Background of study</w:t>
      </w:r>
    </w:p>
    <w:p w14:paraId="6BCA8C42" w14:textId="77777777" w:rsidR="00E93BD8" w:rsidRDefault="00000000">
      <w:pPr>
        <w:spacing w:line="360" w:lineRule="auto"/>
        <w:jc w:val="both"/>
        <w:rPr>
          <w:rFonts w:ascii="Arial" w:eastAsia="Arial" w:hAnsi="Arial" w:cs="Arial"/>
        </w:rPr>
      </w:pPr>
      <w:r>
        <w:rPr>
          <w:rFonts w:ascii="Arial" w:eastAsia="Arial" w:hAnsi="Arial" w:cs="Arial"/>
        </w:rPr>
        <w:t>Young adult depression is a growing public health problem around the world that has become more common over the last twenty years, with 41% of young adults in the UK reporting depression symptoms in 2021 compared to 15% in 2010 (Statista, 2022). Thapar et al. (2022) state that young adulthood is a short period of significant emotional, psychological, and social development. In this way, this population group is particularly vulnerable to mental health problems. The consequences of untreated depression at this vital stage may include low academic and work outcomes, drug addiction, suicidal ideation, and mental disorders in the long term. Such consequences are based on the notion that depression is a developmental process (Thapar et al., 2022; Zhang et al., 2023).</w:t>
      </w:r>
    </w:p>
    <w:p w14:paraId="5473BF0E" w14:textId="77777777" w:rsidR="00E93BD8" w:rsidRDefault="00000000">
      <w:pPr>
        <w:spacing w:line="360" w:lineRule="auto"/>
        <w:jc w:val="both"/>
        <w:rPr>
          <w:rFonts w:ascii="Arial" w:eastAsia="Arial" w:hAnsi="Arial" w:cs="Arial"/>
        </w:rPr>
      </w:pPr>
      <w:r>
        <w:rPr>
          <w:rFonts w:ascii="Arial" w:eastAsia="Arial" w:hAnsi="Arial" w:cs="Arial"/>
        </w:rPr>
        <w:t xml:space="preserve">The increase in the rates of adolescent depression has been noted in many studies (Husky et al., 2023; Thapar et al., 2022; Zhang et al., 2023; </w:t>
      </w:r>
      <w:proofErr w:type="spellStart"/>
      <w:r>
        <w:rPr>
          <w:rFonts w:ascii="Arial" w:eastAsia="Arial" w:hAnsi="Arial" w:cs="Arial"/>
        </w:rPr>
        <w:t>Mojtabai</w:t>
      </w:r>
      <w:proofErr w:type="spellEnd"/>
      <w:r>
        <w:rPr>
          <w:rFonts w:ascii="Arial" w:eastAsia="Arial" w:hAnsi="Arial" w:cs="Arial"/>
        </w:rPr>
        <w:t xml:space="preserve"> et al., 2016). Yang et al. (2024) discovered a high proportion of depression in 10-24-year-olds throughout the world. These findings were confirmed by Husky et al. (2023) who found that there was an increase in major depressive episodes in European young adults during the years 2005-2021. Also, high incidence rates were observed among college-aged students by Johnson et al. (2022), which proves the problem is not limited by geography and socioeconomic boundaries. Despite the role of the biological predisposition, the social environment has a significant impact on mental health care. Gawrych et al. (2022) emphasise the role of various stressors which can aggravate the depressive symptoms in young adults, including academic disruption, loneliness, and uncertainty about the future. Additional outcomes of Das et al. (2022) indicate that family-related variables, especially parental mental health, have a strong influence on depression during this age. According to Lakasing and Mirza (2020), the number of young people with anxiety and depression is increasing among the UK general practitioners. This implies that there is a complicated association between psychological uneasiness and evolving societal demands.</w:t>
      </w:r>
    </w:p>
    <w:p w14:paraId="77755852" w14:textId="77777777" w:rsidR="00E93BD8" w:rsidRDefault="00000000">
      <w:pPr>
        <w:spacing w:line="360" w:lineRule="auto"/>
        <w:jc w:val="both"/>
        <w:rPr>
          <w:rFonts w:ascii="Arial" w:eastAsia="Arial" w:hAnsi="Arial" w:cs="Arial"/>
        </w:rPr>
      </w:pPr>
      <w:r>
        <w:rPr>
          <w:rFonts w:ascii="Arial" w:eastAsia="Arial" w:hAnsi="Arial" w:cs="Arial"/>
        </w:rPr>
        <w:lastRenderedPageBreak/>
        <w:t xml:space="preserve">Although the frequency is increasing, </w:t>
      </w:r>
      <w:proofErr w:type="gramStart"/>
      <w:r>
        <w:rPr>
          <w:rFonts w:ascii="Arial" w:eastAsia="Arial" w:hAnsi="Arial" w:cs="Arial"/>
        </w:rPr>
        <w:t>young depressed</w:t>
      </w:r>
      <w:proofErr w:type="gramEnd"/>
      <w:r>
        <w:rPr>
          <w:rFonts w:ascii="Arial" w:eastAsia="Arial" w:hAnsi="Arial" w:cs="Arial"/>
        </w:rPr>
        <w:t xml:space="preserve"> adults utilise mental health care in a poor way. According to Adams et al. (2022), stigma, limited access, and underdiagnosis do not allow timely care even in severe symptoms. The service use disparity is of concern to </w:t>
      </w:r>
      <w:proofErr w:type="spellStart"/>
      <w:r>
        <w:rPr>
          <w:rFonts w:ascii="Arial" w:eastAsia="Arial" w:hAnsi="Arial" w:cs="Arial"/>
        </w:rPr>
        <w:t>Mojtabai</w:t>
      </w:r>
      <w:proofErr w:type="spellEnd"/>
      <w:r>
        <w:rPr>
          <w:rFonts w:ascii="Arial" w:eastAsia="Arial" w:hAnsi="Arial" w:cs="Arial"/>
        </w:rPr>
        <w:t xml:space="preserve"> et al. (2016) because of the long-term consequences of early-onset depression on employment, relationships, and self-esteem. It is imperative to realise that there is still a major gap in the evidence-based psychosocial therapy that best fits this demographic. Olisaeloka et al. (2024) highlights the importance of culturally and age-specific mental health therapies, which can be scaled across different cultures.</w:t>
      </w:r>
    </w:p>
    <w:p w14:paraId="6BCA32A1" w14:textId="77777777" w:rsidR="00E93BD8" w:rsidRDefault="00000000">
      <w:pPr>
        <w:spacing w:line="360" w:lineRule="auto"/>
        <w:jc w:val="both"/>
        <w:rPr>
          <w:rFonts w:ascii="Arial" w:eastAsia="Arial" w:hAnsi="Arial" w:cs="Arial"/>
        </w:rPr>
      </w:pPr>
      <w:r>
        <w:rPr>
          <w:rFonts w:ascii="Arial" w:eastAsia="Arial" w:hAnsi="Arial" w:cs="Arial"/>
        </w:rPr>
        <w:t>In short, the increasing cases of depression among young adults, its disabling factors, and the inefficiency of the current support systems need to be assessed in an urgent and thorough manner. This paper analyses the different impacts of depression on the young adults in the UK. It will evaluate the prevalence of depression, functional impact, coping and support.</w:t>
      </w:r>
    </w:p>
    <w:p w14:paraId="4705399B" w14:textId="77777777" w:rsidR="00E93BD8" w:rsidRDefault="00000000">
      <w:pPr>
        <w:pStyle w:val="Heading1"/>
        <w:spacing w:line="360" w:lineRule="auto"/>
        <w:rPr>
          <w:rFonts w:ascii="Arial" w:eastAsia="Arial" w:hAnsi="Arial" w:cs="Arial"/>
          <w:b/>
          <w:bCs/>
          <w:color w:val="000000"/>
          <w:sz w:val="24"/>
          <w:szCs w:val="24"/>
        </w:rPr>
      </w:pPr>
      <w:bookmarkStart w:id="6" w:name="_heading=h.ecgn3hqq6uwe" w:colFirst="0" w:colLast="0"/>
      <w:bookmarkEnd w:id="6"/>
      <w:r>
        <w:rPr>
          <w:rFonts w:ascii="Arial" w:eastAsia="Arial" w:hAnsi="Arial" w:cs="Arial"/>
          <w:b/>
          <w:bCs/>
          <w:color w:val="000000"/>
          <w:sz w:val="24"/>
          <w:szCs w:val="24"/>
        </w:rPr>
        <w:t>1.2 Problem Statement</w:t>
      </w:r>
    </w:p>
    <w:p w14:paraId="2E7FD789" w14:textId="77777777" w:rsidR="00E93BD8" w:rsidRDefault="00000000">
      <w:pPr>
        <w:spacing w:line="360" w:lineRule="auto"/>
        <w:jc w:val="both"/>
        <w:rPr>
          <w:rFonts w:ascii="Arial" w:eastAsia="Arial" w:hAnsi="Arial" w:cs="Arial"/>
        </w:rPr>
      </w:pPr>
      <w:r>
        <w:rPr>
          <w:rFonts w:ascii="Arial" w:eastAsia="Arial" w:hAnsi="Arial" w:cs="Arial"/>
        </w:rPr>
        <w:t>The increased cases of depression among young adults in the UK show that there is an escalating issue. Statista (2022) also reports that the rate of self-reported depression among young adults has almost doubled in the last ten years. With the increase in rates, epidemiological and structural problems emerge. Identity, career, and relationship building depend on young adulthood. Depression at this age may negatively affect these milestones, leading to failure in academic performance, unemployment, anti-social behavior, and mental disorder (Thapar et al., 2022; Keyes et al., 2024). Such effects can be the consequence of a negative cycle. Depression among young adults always impacts on various aspects in their lives. Gawrych et al. (2022) demonstrate that depression has been aggravated by social isolation. Lakasing and Mirza (2020) state that mental health primary care demand is increasing because of structural malfunction in the identification and intervention at an early stage. Although scientific studies have proven the risks, not all young adults are treated or adequately provided with care (Adams et al., 2022). This indicates a deficiency in the knowledge of mental health, its stigma, and service access.</w:t>
      </w:r>
    </w:p>
    <w:p w14:paraId="797C6FA5" w14:textId="77777777" w:rsidR="00E93BD8" w:rsidRDefault="00000000">
      <w:pPr>
        <w:spacing w:line="360" w:lineRule="auto"/>
        <w:jc w:val="both"/>
        <w:rPr>
          <w:rFonts w:ascii="Arial" w:eastAsia="Arial" w:hAnsi="Arial" w:cs="Arial"/>
        </w:rPr>
      </w:pPr>
      <w:r>
        <w:rPr>
          <w:rFonts w:ascii="Arial" w:eastAsia="Arial" w:hAnsi="Arial" w:cs="Arial"/>
        </w:rPr>
        <w:lastRenderedPageBreak/>
        <w:t>Depression has social and economic impacts on society outside the individual distress. In the case of young adults, Smith and Blackwood (2004) discovered that depression lowers the workforce engagement and productivity more than a decade ago. Yang et al. (2024) and Husky et al. (2023) indicate an increasing economic and healthcare cost of untreated and under-treated depression among young adults. The findings are in line with the recent research concerns. The support systems and coping mechanisms of young adults are also important in this case. International research like Das et al. (2022) and Al Balawi et al. (2019) can be useful in understanding the risk factors and prevalence of depression in different populations; nevertheless, there is a gap in the UK-specific literature that will investigate how depression is manifested among young adults in the country. According to Olisaeloka et al. (2024), the lack of consistency in the research of effective interventions and the support of depressed young adults in real-life situations contributes to the difference.</w:t>
      </w:r>
    </w:p>
    <w:p w14:paraId="35D3F4B8" w14:textId="77777777" w:rsidR="00E93BD8" w:rsidRDefault="00000000">
      <w:pPr>
        <w:spacing w:line="360" w:lineRule="auto"/>
        <w:jc w:val="both"/>
        <w:rPr>
          <w:rFonts w:ascii="Arial" w:eastAsia="Arial" w:hAnsi="Arial" w:cs="Arial"/>
        </w:rPr>
      </w:pPr>
      <w:r>
        <w:rPr>
          <w:rFonts w:ascii="Arial" w:eastAsia="Arial" w:hAnsi="Arial" w:cs="Arial"/>
        </w:rPr>
        <w:t xml:space="preserve">Thus, this paper shall </w:t>
      </w:r>
      <w:proofErr w:type="spellStart"/>
      <w:r>
        <w:rPr>
          <w:rFonts w:ascii="Arial" w:eastAsia="Arial" w:hAnsi="Arial" w:cs="Arial"/>
        </w:rPr>
        <w:t>analyse</w:t>
      </w:r>
      <w:proofErr w:type="spellEnd"/>
      <w:r>
        <w:rPr>
          <w:rFonts w:ascii="Arial" w:eastAsia="Arial" w:hAnsi="Arial" w:cs="Arial"/>
        </w:rPr>
        <w:t xml:space="preserve"> depression and its symptoms and their impacts on the social, intellectual, and work development of young adults in the UK. It will also measure coping and support mechanisms. The research will be aimed at seeking practical conclusions in a bid to enhance mental health intervention among this vulnerable group.</w:t>
      </w:r>
    </w:p>
    <w:p w14:paraId="1F60005A" w14:textId="77777777" w:rsidR="00E93BD8" w:rsidRDefault="00000000">
      <w:pPr>
        <w:pStyle w:val="Heading1"/>
        <w:spacing w:line="360" w:lineRule="auto"/>
        <w:rPr>
          <w:rFonts w:ascii="Arial" w:eastAsia="Arial" w:hAnsi="Arial" w:cs="Arial"/>
          <w:b/>
          <w:bCs/>
          <w:color w:val="000000"/>
          <w:sz w:val="24"/>
          <w:szCs w:val="24"/>
        </w:rPr>
      </w:pPr>
      <w:bookmarkStart w:id="7" w:name="_heading=h.nyd94r5dj2hj" w:colFirst="0" w:colLast="0"/>
      <w:bookmarkEnd w:id="7"/>
      <w:r>
        <w:rPr>
          <w:rFonts w:ascii="Arial" w:eastAsia="Arial" w:hAnsi="Arial" w:cs="Arial"/>
          <w:b/>
          <w:bCs/>
          <w:color w:val="000000"/>
          <w:sz w:val="24"/>
          <w:szCs w:val="24"/>
        </w:rPr>
        <w:t>1.3 Research Aim and Objectives</w:t>
      </w:r>
    </w:p>
    <w:p w14:paraId="40FA3770" w14:textId="77777777" w:rsidR="00E93BD8" w:rsidRDefault="00000000">
      <w:pPr>
        <w:pStyle w:val="Heading3"/>
        <w:spacing w:line="360" w:lineRule="auto"/>
        <w:rPr>
          <w:rFonts w:ascii="Arial" w:eastAsia="Arial" w:hAnsi="Arial" w:cs="Arial"/>
          <w:b/>
          <w:bCs/>
          <w:color w:val="000000"/>
          <w:sz w:val="24"/>
          <w:szCs w:val="24"/>
        </w:rPr>
      </w:pPr>
      <w:bookmarkStart w:id="8" w:name="_heading=h.dqxi3xjxgwy8" w:colFirst="0" w:colLast="0"/>
      <w:bookmarkEnd w:id="8"/>
      <w:r>
        <w:rPr>
          <w:rFonts w:ascii="Arial" w:eastAsia="Arial" w:hAnsi="Arial" w:cs="Arial"/>
          <w:b/>
          <w:bCs/>
          <w:color w:val="000000"/>
          <w:sz w:val="24"/>
          <w:szCs w:val="24"/>
        </w:rPr>
        <w:t>1.3.1 Research Aim</w:t>
      </w:r>
    </w:p>
    <w:p w14:paraId="5A2DAD1C" w14:textId="77777777" w:rsidR="00E93BD8" w:rsidRDefault="00000000">
      <w:pPr>
        <w:spacing w:line="360" w:lineRule="auto"/>
        <w:jc w:val="both"/>
        <w:rPr>
          <w:rFonts w:ascii="Arial" w:eastAsia="Arial" w:hAnsi="Arial" w:cs="Arial"/>
        </w:rPr>
      </w:pPr>
      <w:r>
        <w:rPr>
          <w:rFonts w:ascii="Arial" w:eastAsia="Arial" w:hAnsi="Arial" w:cs="Arial"/>
        </w:rPr>
        <w:t>This study aims to explore the effects of depression on young adults in the United Kingdom.</w:t>
      </w:r>
    </w:p>
    <w:p w14:paraId="2556FAD1" w14:textId="77777777" w:rsidR="00E93BD8" w:rsidRDefault="00000000">
      <w:pPr>
        <w:pStyle w:val="Heading3"/>
        <w:spacing w:line="360" w:lineRule="auto"/>
        <w:rPr>
          <w:rFonts w:ascii="Arial" w:eastAsia="Arial" w:hAnsi="Arial" w:cs="Arial"/>
          <w:b/>
          <w:bCs/>
          <w:color w:val="000000"/>
          <w:sz w:val="24"/>
          <w:szCs w:val="24"/>
        </w:rPr>
      </w:pPr>
      <w:bookmarkStart w:id="9" w:name="_heading=h.xpwsbb1fjnqk" w:colFirst="0" w:colLast="0"/>
      <w:bookmarkEnd w:id="9"/>
      <w:r>
        <w:rPr>
          <w:rFonts w:ascii="Arial" w:eastAsia="Arial" w:hAnsi="Arial" w:cs="Arial"/>
          <w:b/>
          <w:bCs/>
          <w:color w:val="000000"/>
          <w:sz w:val="24"/>
          <w:szCs w:val="24"/>
        </w:rPr>
        <w:t xml:space="preserve">1.3.2 Research Objectives </w:t>
      </w:r>
    </w:p>
    <w:p w14:paraId="14E0F021" w14:textId="77777777" w:rsidR="00E93BD8" w:rsidRDefault="00000000">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To examine the prevalence and severity of depressive symptoms among young adults in the UK.</w:t>
      </w:r>
    </w:p>
    <w:p w14:paraId="1468F16A" w14:textId="77777777" w:rsidR="00E93BD8" w:rsidRDefault="00000000">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To investigate how depression affects the academic, occupational, and social functioning of young adults.</w:t>
      </w:r>
    </w:p>
    <w:p w14:paraId="190237AB" w14:textId="77777777" w:rsidR="00E93BD8" w:rsidRDefault="00000000">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To explore the coping mechanisms and mental health support systems accessed by young adults experiencing depression.</w:t>
      </w:r>
    </w:p>
    <w:p w14:paraId="051E4B87" w14:textId="77777777" w:rsidR="00E93BD8" w:rsidRDefault="00000000">
      <w:pPr>
        <w:pStyle w:val="Heading3"/>
        <w:spacing w:line="360" w:lineRule="auto"/>
        <w:rPr>
          <w:rFonts w:ascii="Arial" w:eastAsia="Arial" w:hAnsi="Arial" w:cs="Arial"/>
          <w:b/>
          <w:bCs/>
          <w:color w:val="000000"/>
          <w:sz w:val="24"/>
          <w:szCs w:val="24"/>
        </w:rPr>
      </w:pPr>
      <w:bookmarkStart w:id="10" w:name="_heading=h.h1c3m072mqwm" w:colFirst="0" w:colLast="0"/>
      <w:bookmarkEnd w:id="10"/>
      <w:r>
        <w:rPr>
          <w:rFonts w:ascii="Arial" w:eastAsia="Arial" w:hAnsi="Arial" w:cs="Arial"/>
          <w:b/>
          <w:bCs/>
          <w:color w:val="000000"/>
          <w:sz w:val="24"/>
          <w:szCs w:val="24"/>
        </w:rPr>
        <w:lastRenderedPageBreak/>
        <w:t>1.3.3 Research Questions</w:t>
      </w:r>
    </w:p>
    <w:p w14:paraId="76443A8E" w14:textId="77777777" w:rsidR="00E93BD8"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What is the prevalence and severity of depressive symptoms among young adults in the United Kingdom?</w:t>
      </w:r>
    </w:p>
    <w:p w14:paraId="3287427D" w14:textId="77777777" w:rsidR="00E93BD8"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How does depression affect the academic performance, occupational engagement, and social relationships of young adults in the UK?</w:t>
      </w:r>
    </w:p>
    <w:p w14:paraId="0A0E7447" w14:textId="77777777" w:rsidR="00E93BD8" w:rsidRDefault="00000000">
      <w:pPr>
        <w:numPr>
          <w:ilvl w:val="0"/>
          <w:numId w:val="2"/>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What coping mechanisms and mental health support systems are commonly accessed by young adults experiencing depression in the UK?</w:t>
      </w:r>
    </w:p>
    <w:p w14:paraId="678F8A7A" w14:textId="77777777" w:rsidR="00E93BD8" w:rsidRDefault="00000000">
      <w:pPr>
        <w:pStyle w:val="Heading1"/>
        <w:spacing w:line="360" w:lineRule="auto"/>
        <w:rPr>
          <w:rFonts w:ascii="Arial" w:eastAsia="Arial" w:hAnsi="Arial" w:cs="Arial"/>
          <w:b/>
          <w:bCs/>
          <w:color w:val="000000"/>
          <w:sz w:val="24"/>
          <w:szCs w:val="24"/>
        </w:rPr>
      </w:pPr>
      <w:bookmarkStart w:id="11" w:name="_heading=h.iodd6fj7rfs2" w:colFirst="0" w:colLast="0"/>
      <w:bookmarkEnd w:id="11"/>
      <w:r>
        <w:rPr>
          <w:rFonts w:ascii="Arial" w:eastAsia="Arial" w:hAnsi="Arial" w:cs="Arial"/>
          <w:b/>
          <w:bCs/>
          <w:color w:val="000000"/>
          <w:sz w:val="24"/>
          <w:szCs w:val="24"/>
        </w:rPr>
        <w:t>1.4 Significance of Study</w:t>
      </w:r>
    </w:p>
    <w:p w14:paraId="08C05D7D" w14:textId="77777777" w:rsidR="00E93BD8" w:rsidRDefault="00000000">
      <w:pPr>
        <w:spacing w:line="360" w:lineRule="auto"/>
        <w:jc w:val="both"/>
        <w:rPr>
          <w:rFonts w:ascii="Arial" w:eastAsia="Arial" w:hAnsi="Arial" w:cs="Arial"/>
        </w:rPr>
      </w:pPr>
      <w:r>
        <w:rPr>
          <w:rFonts w:ascii="Arial" w:eastAsia="Arial" w:hAnsi="Arial" w:cs="Arial"/>
        </w:rPr>
        <w:t>The paper deals with a significant mental health issue that impacts the youth in the UK. There is an increase in depression among this group which is impacting both personal and social growth. This project aims at enhancing mental health care by bridging the knowledge gaps with evidence. This will be done through a thorough study of the prevalence of depression, how it affects the body and how people cope with it. The research will assist policymakers, mental health professionals, educators, and support organisations to create age-related interventions to lessen stigma and enhance early detection and aid among young adults.</w:t>
      </w:r>
    </w:p>
    <w:p w14:paraId="56CF3EDA" w14:textId="77777777" w:rsidR="00E93BD8" w:rsidRDefault="00000000">
      <w:pPr>
        <w:pStyle w:val="Heading1"/>
        <w:spacing w:line="360" w:lineRule="auto"/>
        <w:rPr>
          <w:rFonts w:ascii="Arial" w:eastAsia="Arial" w:hAnsi="Arial" w:cs="Arial"/>
          <w:b/>
          <w:bCs/>
          <w:color w:val="000000"/>
          <w:sz w:val="24"/>
          <w:szCs w:val="24"/>
        </w:rPr>
      </w:pPr>
      <w:bookmarkStart w:id="12" w:name="_heading=h.ya8k4o4oxiqx" w:colFirst="0" w:colLast="0"/>
      <w:bookmarkEnd w:id="12"/>
      <w:r>
        <w:rPr>
          <w:rFonts w:ascii="Arial" w:eastAsia="Arial" w:hAnsi="Arial" w:cs="Arial"/>
          <w:b/>
          <w:bCs/>
          <w:color w:val="000000"/>
          <w:sz w:val="24"/>
          <w:szCs w:val="24"/>
        </w:rPr>
        <w:t>1.5 Chapter Summary</w:t>
      </w:r>
    </w:p>
    <w:p w14:paraId="67AB251B" w14:textId="77777777" w:rsidR="00E93BD8" w:rsidRDefault="00000000">
      <w:pPr>
        <w:spacing w:line="360" w:lineRule="auto"/>
        <w:jc w:val="both"/>
        <w:rPr>
          <w:rFonts w:ascii="Arial" w:eastAsia="Arial" w:hAnsi="Arial" w:cs="Arial"/>
        </w:rPr>
      </w:pPr>
      <w:r>
        <w:rPr>
          <w:rFonts w:ascii="Arial" w:eastAsia="Arial" w:hAnsi="Arial" w:cs="Arial"/>
        </w:rPr>
        <w:t xml:space="preserve">This chapter discussed the rising prevalence and severity of depression among young adults in the UK and the contextual and theoretical elements driving the research. Background material showed this population's developmental sensitivity and the effects of poor mental health intervention. </w:t>
      </w:r>
      <w:proofErr w:type="spellStart"/>
      <w:r>
        <w:rPr>
          <w:rFonts w:ascii="Arial" w:eastAsia="Arial" w:hAnsi="Arial" w:cs="Arial"/>
        </w:rPr>
        <w:t>Recognising</w:t>
      </w:r>
      <w:proofErr w:type="spellEnd"/>
      <w:r>
        <w:rPr>
          <w:rFonts w:ascii="Arial" w:eastAsia="Arial" w:hAnsi="Arial" w:cs="Arial"/>
        </w:rPr>
        <w:t xml:space="preserve"> the issue necessitated studying how depression affects daily life and resources. In the investigative framework, the study stated its goals and importance. The next chapter will evaluate the literature to contextualise the topic and highlight crucial areas requiring further study.</w:t>
      </w:r>
    </w:p>
    <w:p w14:paraId="2BBB7CF0" w14:textId="77777777" w:rsidR="00E93BD8" w:rsidRDefault="00E93BD8">
      <w:pPr>
        <w:spacing w:line="360" w:lineRule="auto"/>
        <w:jc w:val="both"/>
        <w:rPr>
          <w:rFonts w:ascii="Arial" w:eastAsia="Arial" w:hAnsi="Arial" w:cs="Arial"/>
        </w:rPr>
      </w:pPr>
    </w:p>
    <w:p w14:paraId="52B4CDE4" w14:textId="77777777" w:rsidR="00E93BD8" w:rsidRDefault="00E93BD8">
      <w:pPr>
        <w:spacing w:line="360" w:lineRule="auto"/>
        <w:jc w:val="both"/>
        <w:rPr>
          <w:rFonts w:ascii="Arial" w:eastAsia="Arial" w:hAnsi="Arial" w:cs="Arial"/>
        </w:rPr>
      </w:pPr>
    </w:p>
    <w:p w14:paraId="7D4B8156" w14:textId="77777777" w:rsidR="00E93BD8" w:rsidRDefault="00E93BD8">
      <w:pPr>
        <w:spacing w:line="360" w:lineRule="auto"/>
        <w:jc w:val="both"/>
        <w:rPr>
          <w:rFonts w:ascii="Arial" w:eastAsia="Arial" w:hAnsi="Arial" w:cs="Arial"/>
        </w:rPr>
        <w:sectPr w:rsidR="00E93BD8">
          <w:pgSz w:w="12240" w:h="15840"/>
          <w:pgMar w:top="1440" w:right="1440" w:bottom="1440" w:left="1440" w:header="708" w:footer="708" w:gutter="0"/>
          <w:cols w:space="720"/>
        </w:sectPr>
      </w:pPr>
    </w:p>
    <w:p w14:paraId="54ADB474" w14:textId="77777777" w:rsidR="00E93BD8" w:rsidRDefault="00000000">
      <w:pPr>
        <w:pStyle w:val="Heading1"/>
        <w:spacing w:line="360" w:lineRule="auto"/>
        <w:jc w:val="center"/>
        <w:rPr>
          <w:rFonts w:ascii="Arial" w:eastAsia="Arial" w:hAnsi="Arial" w:cs="Arial"/>
          <w:b/>
          <w:bCs/>
          <w:color w:val="000000"/>
          <w:sz w:val="24"/>
          <w:szCs w:val="24"/>
        </w:rPr>
      </w:pPr>
      <w:bookmarkStart w:id="13" w:name="_heading=h.u9zqqvr7mcv3" w:colFirst="0" w:colLast="0"/>
      <w:bookmarkEnd w:id="13"/>
      <w:r>
        <w:rPr>
          <w:rFonts w:ascii="Arial" w:eastAsia="Arial" w:hAnsi="Arial" w:cs="Arial"/>
          <w:b/>
          <w:bCs/>
          <w:color w:val="000000"/>
          <w:sz w:val="24"/>
          <w:szCs w:val="24"/>
        </w:rPr>
        <w:lastRenderedPageBreak/>
        <w:t>CHAPTER TWO: BACKGROUND AND REVIEW OF LITERATURE</w:t>
      </w:r>
    </w:p>
    <w:p w14:paraId="26F0BBDB" w14:textId="77777777" w:rsidR="00E93BD8" w:rsidRDefault="00000000">
      <w:pPr>
        <w:pStyle w:val="Heading1"/>
        <w:spacing w:line="360" w:lineRule="auto"/>
        <w:rPr>
          <w:rFonts w:ascii="Arial" w:eastAsia="Arial" w:hAnsi="Arial" w:cs="Arial"/>
          <w:b/>
          <w:bCs/>
          <w:color w:val="000000"/>
          <w:sz w:val="24"/>
          <w:szCs w:val="24"/>
        </w:rPr>
      </w:pPr>
      <w:bookmarkStart w:id="14" w:name="_heading=h.5yaruwlrb1uv" w:colFirst="0" w:colLast="0"/>
      <w:bookmarkEnd w:id="14"/>
      <w:r>
        <w:rPr>
          <w:rFonts w:ascii="Arial" w:eastAsia="Arial" w:hAnsi="Arial" w:cs="Arial"/>
          <w:b/>
          <w:bCs/>
          <w:color w:val="000000"/>
          <w:sz w:val="24"/>
          <w:szCs w:val="24"/>
        </w:rPr>
        <w:t>2.1 Introduction</w:t>
      </w:r>
    </w:p>
    <w:p w14:paraId="7C6381BE" w14:textId="77777777" w:rsidR="00E93BD8" w:rsidRDefault="00000000">
      <w:pPr>
        <w:spacing w:line="360" w:lineRule="auto"/>
        <w:jc w:val="both"/>
        <w:rPr>
          <w:rFonts w:ascii="Arial" w:eastAsia="Arial" w:hAnsi="Arial" w:cs="Arial"/>
        </w:rPr>
      </w:pPr>
      <w:bookmarkStart w:id="15" w:name="_heading=h.xbkub74kcmvr" w:colFirst="0" w:colLast="0"/>
      <w:bookmarkEnd w:id="15"/>
      <w:r>
        <w:rPr>
          <w:rFonts w:ascii="Arial" w:eastAsia="Arial" w:hAnsi="Arial" w:cs="Arial"/>
        </w:rPr>
        <w:t xml:space="preserve">Young adults' depression is also on the increase all over the world and several risk and protective factors have been identified but gaps in understanding the support seeking behaviours have remained in place particularly in the UK. The chapter is a literature review on the prevalence, effects, coping mechanisms, and support of youth depression. It assesses the methodological strengths and </w:t>
      </w:r>
      <w:proofErr w:type="gramStart"/>
      <w:r>
        <w:rPr>
          <w:rFonts w:ascii="Arial" w:eastAsia="Arial" w:hAnsi="Arial" w:cs="Arial"/>
        </w:rPr>
        <w:t>weaknesses,</w:t>
      </w:r>
      <w:proofErr w:type="gramEnd"/>
      <w:r>
        <w:rPr>
          <w:rFonts w:ascii="Arial" w:eastAsia="Arial" w:hAnsi="Arial" w:cs="Arial"/>
        </w:rPr>
        <w:t xml:space="preserve"> sheds light on theoretical contributions and creates gaps that guide the purpose and rationale of the current study.</w:t>
      </w:r>
    </w:p>
    <w:p w14:paraId="10755747" w14:textId="77777777" w:rsidR="00E93BD8" w:rsidRDefault="00000000">
      <w:pPr>
        <w:pStyle w:val="Heading1"/>
        <w:spacing w:line="360" w:lineRule="auto"/>
        <w:rPr>
          <w:rFonts w:ascii="Arial" w:eastAsia="Arial" w:hAnsi="Arial" w:cs="Arial"/>
          <w:b/>
          <w:bCs/>
          <w:color w:val="000000"/>
          <w:sz w:val="24"/>
          <w:szCs w:val="24"/>
        </w:rPr>
      </w:pPr>
      <w:bookmarkStart w:id="16" w:name="_heading=h.hxpvtm4zqfts" w:colFirst="0" w:colLast="0"/>
      <w:bookmarkEnd w:id="16"/>
      <w:r>
        <w:rPr>
          <w:rFonts w:ascii="Arial" w:eastAsia="Arial" w:hAnsi="Arial" w:cs="Arial"/>
          <w:b/>
          <w:bCs/>
          <w:color w:val="000000"/>
          <w:sz w:val="24"/>
          <w:szCs w:val="24"/>
        </w:rPr>
        <w:t>2.2 Depression and its Effects in Young Adults</w:t>
      </w:r>
    </w:p>
    <w:p w14:paraId="00A1FF03" w14:textId="77777777" w:rsidR="00E93BD8" w:rsidRDefault="00000000">
      <w:pPr>
        <w:spacing w:line="360" w:lineRule="auto"/>
        <w:jc w:val="both"/>
        <w:rPr>
          <w:rFonts w:ascii="Arial" w:eastAsia="Arial" w:hAnsi="Arial" w:cs="Arial"/>
        </w:rPr>
      </w:pPr>
      <w:bookmarkStart w:id="17" w:name="_heading=h.46l162olhnpt" w:colFirst="0" w:colLast="0"/>
      <w:bookmarkEnd w:id="17"/>
      <w:r>
        <w:rPr>
          <w:rFonts w:ascii="Arial" w:eastAsia="Arial" w:hAnsi="Arial" w:cs="Arial"/>
        </w:rPr>
        <w:t>Young adult depression is typified by the atypical mood, anhedonia and dysfunction, and is developed due to developmental, psychosocial and environmental pressures. The stress-vulnerability model and the biopsychosocial framework are some of the theories that describe how personal vulnerabilities interact with stressful situations to cause depressive symptoms. Studies always put the development of depression at the age bracket 18-25 years which is characterised by increasing autonomy, academic and occupational stress, and altered social interactions. These changes may be beyond coping limits, which are in favor of ecological and life-course approaches to mental health as influenced by interrelated personal, social, and institutional factors.</w:t>
      </w:r>
    </w:p>
    <w:p w14:paraId="61C0BCC0" w14:textId="77777777" w:rsidR="00E93BD8" w:rsidRDefault="00000000">
      <w:pPr>
        <w:spacing w:line="360" w:lineRule="auto"/>
        <w:jc w:val="both"/>
        <w:rPr>
          <w:rFonts w:ascii="Arial" w:eastAsia="Arial" w:hAnsi="Arial" w:cs="Arial"/>
        </w:rPr>
      </w:pPr>
      <w:r>
        <w:rPr>
          <w:rFonts w:ascii="Arial" w:eastAsia="Arial" w:hAnsi="Arial" w:cs="Arial"/>
        </w:rPr>
        <w:t xml:space="preserve">Depression has even more far-reaching consequences than emotional distress. It has been shown that there is a high level of academic disruption in terms of poor performance, absenteeism, and likelihood of dropping out. The effect is also on occupational functioning, where young adults are less productive, have unstable employment, and face a high risk of unemployment. Social functioning is also impaired because withdrawal and lack of participation also result in isolation, which is supported by interpersonal theories of depression. Stigma and low mental health literacy further hinder help-seeking whereas social support and adaptive coping offer some protection. Nevertheless, the impact of structural forces including financial stress and academic demands usually </w:t>
      </w:r>
      <w:proofErr w:type="gramStart"/>
      <w:r>
        <w:rPr>
          <w:rFonts w:ascii="Arial" w:eastAsia="Arial" w:hAnsi="Arial" w:cs="Arial"/>
        </w:rPr>
        <w:t>overwhelm</w:t>
      </w:r>
      <w:proofErr w:type="gramEnd"/>
      <w:r>
        <w:rPr>
          <w:rFonts w:ascii="Arial" w:eastAsia="Arial" w:hAnsi="Arial" w:cs="Arial"/>
        </w:rPr>
        <w:t xml:space="preserve"> the </w:t>
      </w:r>
      <w:r>
        <w:rPr>
          <w:rFonts w:ascii="Arial" w:eastAsia="Arial" w:hAnsi="Arial" w:cs="Arial"/>
        </w:rPr>
        <w:lastRenderedPageBreak/>
        <w:t>protective factors, which implies that depression is formed in a multifactorial, interactive way.</w:t>
      </w:r>
    </w:p>
    <w:p w14:paraId="3A160777" w14:textId="77777777" w:rsidR="00E93BD8" w:rsidRDefault="00000000">
      <w:pPr>
        <w:spacing w:line="360" w:lineRule="auto"/>
        <w:jc w:val="both"/>
        <w:rPr>
          <w:rFonts w:ascii="Arial" w:eastAsia="Arial" w:hAnsi="Arial" w:cs="Arial"/>
        </w:rPr>
      </w:pPr>
      <w:r>
        <w:rPr>
          <w:rFonts w:ascii="Arial" w:eastAsia="Arial" w:hAnsi="Arial" w:cs="Arial"/>
        </w:rPr>
        <w:t xml:space="preserve">The measurement methods used in literature reviewed are the validated symptom scales, PHQ-9 and BDI, the structured diagnostic interview, and such functional indicators as academic outcomes, attendance, employment outcomes, and social participation measures. It is shown through longitudinal research that early depressive episodes are associated with future vocational problems, and recent findings indicate that the crises, like the COVID-19 pandemic, increase vulnerability among young adults. In massive surveys and institutional research, and in systematic reviews, the same trends are observed: poor academic performance, lower career opportunities, and broken social processes. The effects in this study are perceived as functional outcomes that accompany the depressive symptoms in academic, occupational, and psychosocial levels. This gives a thorough basis upon which the eligible studies can be identified </w:t>
      </w:r>
      <w:proofErr w:type="gramStart"/>
      <w:r>
        <w:rPr>
          <w:rFonts w:ascii="Arial" w:eastAsia="Arial" w:hAnsi="Arial" w:cs="Arial"/>
        </w:rPr>
        <w:t>and also</w:t>
      </w:r>
      <w:proofErr w:type="gramEnd"/>
      <w:r>
        <w:rPr>
          <w:rFonts w:ascii="Arial" w:eastAsia="Arial" w:hAnsi="Arial" w:cs="Arial"/>
        </w:rPr>
        <w:t xml:space="preserve"> the quality of the methodology of the study can be determined in the next chapter.</w:t>
      </w:r>
    </w:p>
    <w:p w14:paraId="7A292CE1" w14:textId="77777777" w:rsidR="00E93BD8" w:rsidRDefault="00000000">
      <w:pPr>
        <w:pStyle w:val="Heading1"/>
        <w:spacing w:line="360" w:lineRule="auto"/>
        <w:rPr>
          <w:rFonts w:ascii="Arial" w:eastAsia="Arial" w:hAnsi="Arial" w:cs="Arial"/>
          <w:b/>
          <w:bCs/>
          <w:color w:val="000000"/>
          <w:sz w:val="24"/>
          <w:szCs w:val="24"/>
        </w:rPr>
      </w:pPr>
      <w:bookmarkStart w:id="18" w:name="_heading=h.22cim3kx81l6" w:colFirst="0" w:colLast="0"/>
      <w:bookmarkEnd w:id="18"/>
      <w:r>
        <w:rPr>
          <w:rFonts w:ascii="Arial" w:eastAsia="Arial" w:hAnsi="Arial" w:cs="Arial"/>
          <w:b/>
          <w:bCs/>
          <w:color w:val="000000"/>
          <w:sz w:val="24"/>
          <w:szCs w:val="24"/>
        </w:rPr>
        <w:t>2.3 Prevalence and Severity of Depression Among UK Young Adults</w:t>
      </w:r>
    </w:p>
    <w:p w14:paraId="18ABACFA" w14:textId="77777777" w:rsidR="00E93BD8" w:rsidRDefault="00000000">
      <w:pPr>
        <w:spacing w:line="360" w:lineRule="auto"/>
        <w:jc w:val="both"/>
        <w:rPr>
          <w:rFonts w:ascii="Arial" w:eastAsia="Arial" w:hAnsi="Arial" w:cs="Arial"/>
        </w:rPr>
      </w:pPr>
      <w:r>
        <w:rPr>
          <w:rFonts w:ascii="Arial" w:eastAsia="Arial" w:hAnsi="Arial" w:cs="Arial"/>
        </w:rPr>
        <w:t xml:space="preserve">Depression is becoming increasingly common among the young adults in the UK. Statista (2022) states that in 2010, 15% of the young individuals noted depressed symptoms, and in 2021, more than 25%). Lakasing and Mirza (2020) discovered that the occurrence of anxiety and depression disorders is on the rise among adolescents and young adults. The implication of this finding is better identification and reporting. According to Thapar et al. (2022), the increase could be explained by a higher level of recognition and lower levels of stigma as opposed to frequency. Studies conducted across the world reveal that depression in young people is prevalent and geographically diverse. The Global Burden of Disease data (Yang et al., 2024) compared 1990-2019 data and revealed that depressive disorders in adolescents and young adults have been on the rise in </w:t>
      </w:r>
      <w:proofErr w:type="gramStart"/>
      <w:r>
        <w:rPr>
          <w:rFonts w:ascii="Arial" w:eastAsia="Arial" w:hAnsi="Arial" w:cs="Arial"/>
        </w:rPr>
        <w:t>the majority of</w:t>
      </w:r>
      <w:proofErr w:type="gramEnd"/>
      <w:r>
        <w:rPr>
          <w:rFonts w:ascii="Arial" w:eastAsia="Arial" w:hAnsi="Arial" w:cs="Arial"/>
        </w:rPr>
        <w:t xml:space="preserve"> the regions, with the UK having the highest rates. Husky et al. (2023) discovered that young adults in France reported 12-20% of episodes of major depressive disorder in the last year, depending on the year of the survey. These are comparable figures as compared to UK reports. Johnson et al. (2022) find prevalence rates of 30% among college students in peri-urban South India, whereas Al Balawi et al. (2019) report </w:t>
      </w:r>
      <w:r>
        <w:rPr>
          <w:rFonts w:ascii="Arial" w:eastAsia="Arial" w:hAnsi="Arial" w:cs="Arial"/>
        </w:rPr>
        <w:lastRenderedPageBreak/>
        <w:t xml:space="preserve">prevalence of 26% among young people in Saudi Arabia who are visiting primary health facilities. These results indicate that UK prevalence rates are not unusual but high in the world. This points out universal mental health issues among the youthful </w:t>
      </w:r>
      <w:proofErr w:type="gramStart"/>
      <w:r>
        <w:rPr>
          <w:rFonts w:ascii="Arial" w:eastAsia="Arial" w:hAnsi="Arial" w:cs="Arial"/>
        </w:rPr>
        <w:t>adults in particular</w:t>
      </w:r>
      <w:proofErr w:type="gramEnd"/>
      <w:r>
        <w:rPr>
          <w:rFonts w:ascii="Arial" w:eastAsia="Arial" w:hAnsi="Arial" w:cs="Arial"/>
        </w:rPr>
        <w:t>.</w:t>
      </w:r>
    </w:p>
    <w:p w14:paraId="0D17A267" w14:textId="77777777" w:rsidR="00E93BD8" w:rsidRDefault="00000000">
      <w:pPr>
        <w:spacing w:line="360" w:lineRule="auto"/>
        <w:jc w:val="both"/>
        <w:rPr>
          <w:rFonts w:ascii="Arial" w:eastAsia="Arial" w:hAnsi="Arial" w:cs="Arial"/>
        </w:rPr>
      </w:pPr>
      <w:r>
        <w:rPr>
          <w:rFonts w:ascii="Arial" w:eastAsia="Arial" w:hAnsi="Arial" w:cs="Arial"/>
        </w:rPr>
        <w:t xml:space="preserve">There is a lack of research on the severity profile of depression in young adults even though it is prevalent. Even though most of the affected persons experience moderate or severe symptoms, as Smith and Blackwood (2004) point out, many are not treated. Adams et al. (2022) discovered that although the symptoms of depression intensified among young adults during the COVID-19 pandemic, a small number of them received mental health treatment. Das et al. (2022) discovered that parental and personal issues have a significant impact on the severity of depression and functional impairment among Indian adolescents and young adults. Socio-economic poverty and stress within the family may aggravate sickness in the UK (Lakasing and Mirza, 2020). According to Thapar et al. (2022), the absence of disaggregated severity data in the UK makes it difficult to provide specific solutions. The patterns of treatment and prevalence are studied in studies such as </w:t>
      </w:r>
      <w:proofErr w:type="spellStart"/>
      <w:r>
        <w:rPr>
          <w:rFonts w:ascii="Arial" w:eastAsia="Arial" w:hAnsi="Arial" w:cs="Arial"/>
        </w:rPr>
        <w:t>Mojtabai</w:t>
      </w:r>
      <w:proofErr w:type="spellEnd"/>
      <w:r>
        <w:rPr>
          <w:rFonts w:ascii="Arial" w:eastAsia="Arial" w:hAnsi="Arial" w:cs="Arial"/>
        </w:rPr>
        <w:t xml:space="preserve"> et al. (2016), but they seldom outline the severity of juvenile symptoms. This complicates the process of determining whether there is increased detection because of less severe symptoms or there is increased severe cases.</w:t>
      </w:r>
    </w:p>
    <w:p w14:paraId="5EBE0A01" w14:textId="77777777" w:rsidR="00E93BD8" w:rsidRDefault="00000000">
      <w:pPr>
        <w:pStyle w:val="Heading1"/>
        <w:spacing w:line="360" w:lineRule="auto"/>
        <w:rPr>
          <w:rFonts w:ascii="Arial" w:eastAsia="Arial" w:hAnsi="Arial" w:cs="Arial"/>
          <w:b/>
          <w:bCs/>
          <w:color w:val="000000"/>
          <w:sz w:val="24"/>
          <w:szCs w:val="24"/>
        </w:rPr>
      </w:pPr>
      <w:bookmarkStart w:id="19" w:name="_heading=h.y1bq4fr4d1mn" w:colFirst="0" w:colLast="0"/>
      <w:bookmarkEnd w:id="19"/>
      <w:r>
        <w:rPr>
          <w:rFonts w:ascii="Arial" w:eastAsia="Arial" w:hAnsi="Arial" w:cs="Arial"/>
          <w:b/>
          <w:bCs/>
          <w:color w:val="000000"/>
          <w:sz w:val="24"/>
          <w:szCs w:val="24"/>
        </w:rPr>
        <w:t>2.4 Effect of Depression in Young Adults</w:t>
      </w:r>
    </w:p>
    <w:p w14:paraId="3B92B83B" w14:textId="77777777" w:rsidR="00E93BD8" w:rsidRDefault="00000000">
      <w:pPr>
        <w:spacing w:line="360" w:lineRule="auto"/>
        <w:jc w:val="both"/>
        <w:rPr>
          <w:rFonts w:ascii="Arial" w:eastAsia="Arial" w:hAnsi="Arial" w:cs="Arial"/>
        </w:rPr>
      </w:pPr>
      <w:r>
        <w:rPr>
          <w:rFonts w:ascii="Arial" w:eastAsia="Arial" w:hAnsi="Arial" w:cs="Arial"/>
        </w:rPr>
        <w:t>Young adults are significantly affected by depression in their academic, vocational, and psychosocial life. Johnson et al. (2022) explain that depression decreases academic participation, and grade achievement and rises absenteeism among college students. Keyes et al. (2024) associate the persistent depressive symptoms between adolescence and early adulthood with accrued educational disadvantages. Wang and Sabran (2024) investigate mental health after the pandemic in China and discover that depression reduces attention and education, which is corroborated by UK research that found declining mental health of young adults to be the cause of declining academic performance (Lakasing and Mirza, 2020). Adams et al. (2022) report that students accessing university counselling services are more likely to continue with their academic performance, which implies that early intervention can help avoid functional deterioration.</w:t>
      </w:r>
    </w:p>
    <w:p w14:paraId="06B2908B" w14:textId="77777777" w:rsidR="00E93BD8" w:rsidRDefault="00000000">
      <w:pPr>
        <w:spacing w:line="360" w:lineRule="auto"/>
        <w:jc w:val="both"/>
        <w:rPr>
          <w:rFonts w:ascii="Arial" w:eastAsia="Arial" w:hAnsi="Arial" w:cs="Arial"/>
        </w:rPr>
      </w:pPr>
      <w:r>
        <w:rPr>
          <w:rFonts w:ascii="Arial" w:eastAsia="Arial" w:hAnsi="Arial" w:cs="Arial"/>
        </w:rPr>
        <w:lastRenderedPageBreak/>
        <w:t>The other issue is the impact of depression on the careers of the youth. According to Smith and Blackwood (2004), untreated depressive disorders in young adults are predictors of delayed access to stable employment, low levels of earnings, and underemployment. Yang et al. (2024) discovered that in countries where the level of youth depression is high, economic transitions are also shorter. Even though the labour statistics in the UK are limited, Adams et al. (2022) discovered that the long-term effects of the pandemic lowered the number of hours worked and augmented the number of withdrawals in training programs. This demonstrates that the disease impacts labour markets even in resource endowed countries.</w:t>
      </w:r>
    </w:p>
    <w:p w14:paraId="0B5FE78F" w14:textId="77777777" w:rsidR="00E93BD8" w:rsidRDefault="00000000">
      <w:pPr>
        <w:spacing w:line="360" w:lineRule="auto"/>
        <w:jc w:val="both"/>
        <w:rPr>
          <w:rFonts w:ascii="Arial" w:eastAsia="Arial" w:hAnsi="Arial" w:cs="Arial"/>
        </w:rPr>
      </w:pPr>
      <w:r>
        <w:rPr>
          <w:rFonts w:ascii="Arial" w:eastAsia="Arial" w:hAnsi="Arial" w:cs="Arial"/>
        </w:rPr>
        <w:t>The social and developmental impacts are an acknowledged fact to many (Petito et al., Gawrych et al., 2022; Adams et al., 2022; Smith and Blackwood, 2004). According to Gawrych et al. (2022), depression also decreases the level of social connectivity and makes young people more isolated at a critical stage of COVID-19 development. The study supports the warning by Petito et al. (2020) that adolescence and early adulthood have the potential to impair identity formation, autonomy, and peer integration because of depression. Olisaeloka et al. (2024) discovered that psychosocial therapies that focus on the use of peer support and family involvement enhance the symptom outcome and social functioning of patients, indicating that it is possible to deal with harmful relationships in time.</w:t>
      </w:r>
    </w:p>
    <w:p w14:paraId="7943223A" w14:textId="77777777" w:rsidR="00E93BD8" w:rsidRDefault="00000000">
      <w:pPr>
        <w:spacing w:line="360" w:lineRule="auto"/>
        <w:jc w:val="both"/>
        <w:rPr>
          <w:rFonts w:ascii="Arial" w:eastAsia="Arial" w:hAnsi="Arial" w:cs="Arial"/>
        </w:rPr>
      </w:pPr>
      <w:r>
        <w:rPr>
          <w:rFonts w:ascii="Arial" w:eastAsia="Arial" w:hAnsi="Arial" w:cs="Arial"/>
        </w:rPr>
        <w:t xml:space="preserve">Psychosocial effects are also </w:t>
      </w:r>
      <w:proofErr w:type="spellStart"/>
      <w:r>
        <w:rPr>
          <w:rFonts w:ascii="Arial" w:eastAsia="Arial" w:hAnsi="Arial" w:cs="Arial"/>
        </w:rPr>
        <w:t>recognised</w:t>
      </w:r>
      <w:proofErr w:type="spellEnd"/>
      <w:r>
        <w:rPr>
          <w:rFonts w:ascii="Arial" w:eastAsia="Arial" w:hAnsi="Arial" w:cs="Arial"/>
        </w:rPr>
        <w:t xml:space="preserve"> in the long term (Keyes et al., 2024; Das et al., 2022; Husky et al., 2023; Olisaeloka et al., 2024). Keyes et al. (2024) attribute initial symptoms of depression to the inability to regulate emotions in the adult age group, and Thapar et al. (2022) state that untreated depression predisposes an individual to new episodes, anxiety, and substance abuse. Similar results were obtained by </w:t>
      </w:r>
      <w:proofErr w:type="spellStart"/>
      <w:r>
        <w:rPr>
          <w:rFonts w:ascii="Arial" w:eastAsia="Arial" w:hAnsi="Arial" w:cs="Arial"/>
        </w:rPr>
        <w:t>Mojtabai</w:t>
      </w:r>
      <w:proofErr w:type="spellEnd"/>
      <w:r>
        <w:rPr>
          <w:rFonts w:ascii="Arial" w:eastAsia="Arial" w:hAnsi="Arial" w:cs="Arial"/>
        </w:rPr>
        <w:t xml:space="preserve"> et al. (2016) who noted that untreated youths are prone to being chronically impaired. International studies indicate that depression in young people is a predictor of worse mental health outcomes irrespective of the country (Das et al., 2022; Husky et al., 2023). Depression is not only episodical condition among the youth, but when not treated in time, it may have an impact on long-term growth of psychology.</w:t>
      </w:r>
    </w:p>
    <w:p w14:paraId="1F84FDA3" w14:textId="77777777" w:rsidR="00E93BD8" w:rsidRDefault="00000000">
      <w:pPr>
        <w:pStyle w:val="Heading1"/>
        <w:spacing w:line="360" w:lineRule="auto"/>
        <w:rPr>
          <w:rFonts w:ascii="Arial" w:eastAsia="Arial" w:hAnsi="Arial" w:cs="Arial"/>
          <w:b/>
          <w:bCs/>
          <w:color w:val="000000"/>
          <w:sz w:val="24"/>
          <w:szCs w:val="24"/>
        </w:rPr>
      </w:pPr>
      <w:bookmarkStart w:id="20" w:name="_heading=h.f6z2hrcbwzbr" w:colFirst="0" w:colLast="0"/>
      <w:bookmarkEnd w:id="20"/>
      <w:r>
        <w:rPr>
          <w:rFonts w:ascii="Arial" w:eastAsia="Arial" w:hAnsi="Arial" w:cs="Arial"/>
          <w:b/>
          <w:bCs/>
          <w:color w:val="000000"/>
          <w:sz w:val="24"/>
          <w:szCs w:val="24"/>
        </w:rPr>
        <w:lastRenderedPageBreak/>
        <w:t>2.5 Coping Mechanisms and Support Systems</w:t>
      </w:r>
    </w:p>
    <w:p w14:paraId="4C0325B7" w14:textId="77777777" w:rsidR="00E93BD8" w:rsidRDefault="00000000">
      <w:pPr>
        <w:spacing w:line="360" w:lineRule="auto"/>
        <w:jc w:val="both"/>
        <w:rPr>
          <w:rFonts w:ascii="Arial" w:eastAsia="Arial" w:hAnsi="Arial" w:cs="Arial"/>
        </w:rPr>
      </w:pPr>
      <w:bookmarkStart w:id="21" w:name="_heading=h.whasqdgtinc6" w:colFirst="0" w:colLast="0"/>
      <w:bookmarkEnd w:id="21"/>
      <w:r>
        <w:rPr>
          <w:rFonts w:ascii="Arial" w:eastAsia="Arial" w:hAnsi="Arial" w:cs="Arial"/>
        </w:rPr>
        <w:t xml:space="preserve">The formal support systems are central to the treatment of depression among the young adults in the UK. The general practitioners (GPs), the National Health Service (NHS), and the university counselling services are also supposed to offer well-organised care </w:t>
      </w:r>
      <w:proofErr w:type="gramStart"/>
      <w:r>
        <w:rPr>
          <w:rFonts w:ascii="Arial" w:eastAsia="Arial" w:hAnsi="Arial" w:cs="Arial"/>
        </w:rPr>
        <w:t>pathways</w:t>
      </w:r>
      <w:proofErr w:type="gramEnd"/>
      <w:r>
        <w:rPr>
          <w:rFonts w:ascii="Arial" w:eastAsia="Arial" w:hAnsi="Arial" w:cs="Arial"/>
        </w:rPr>
        <w:t xml:space="preserve"> but research shows inconsistent uptake. Adams et al. (2022) noted that despite the extreme rise in the depressive symptoms during the COVID-19 pandemic, the use of mental health services among young adults was also modest. The same findings were observed by Lakasing and Mirza (2020), who pointed out that the youth </w:t>
      </w:r>
      <w:proofErr w:type="gramStart"/>
      <w:r>
        <w:rPr>
          <w:rFonts w:ascii="Arial" w:eastAsia="Arial" w:hAnsi="Arial" w:cs="Arial"/>
        </w:rPr>
        <w:t>tends</w:t>
      </w:r>
      <w:proofErr w:type="gramEnd"/>
      <w:r>
        <w:rPr>
          <w:rFonts w:ascii="Arial" w:eastAsia="Arial" w:hAnsi="Arial" w:cs="Arial"/>
        </w:rPr>
        <w:t xml:space="preserve"> to postpone GP visits when experiencing mental distress due to the belief that the available services are overcrowded or do not pay enough attention to their age. These results indicate that accessibility and reliability of formal services are not guaranteed by their presence. Besides official provision, young adults often have recourse to informal or self-help coping mechanisms like peer support, online provision, and lifestyle modification. Beames et al. (2021) note the recent popularity of digital devices and ecological momentary intervention aimed at raising affective awareness, but their effects in practice are not entirely positive. Gawrych et al. (2022) indicate that the use of self-directed methods can be related to either stigma or the fear of confidentiality in the official environment, instead of the actual preference. Although these strategies are flexible, they could underestimate the severity of the depressive symptoms and postpone the professional intervention (Smith and Blackwood, 2004; Thapar et al., 2022).</w:t>
      </w:r>
    </w:p>
    <w:p w14:paraId="2FCAAC9B" w14:textId="77777777" w:rsidR="00E93BD8" w:rsidRDefault="00000000">
      <w:pPr>
        <w:spacing w:line="360" w:lineRule="auto"/>
        <w:jc w:val="both"/>
        <w:rPr>
          <w:rFonts w:ascii="Arial" w:eastAsia="Arial" w:hAnsi="Arial" w:cs="Arial"/>
        </w:rPr>
      </w:pPr>
      <w:r>
        <w:rPr>
          <w:rFonts w:ascii="Arial" w:eastAsia="Arial" w:hAnsi="Arial" w:cs="Arial"/>
        </w:rPr>
        <w:t xml:space="preserve">The obstacles to care and service gaps have always been stressed in new literature. According to Statista (2022), the depressive symptoms of young individuals in the UK have been increasing steadily since 2010 but the use of the services has not followed. Adams et al. (2022) and Thapar et al. (2022) note that structural barriers are long waiting times, regional differences in the delivery of services, and the lack of age-specific programmes, whereas individual barriers are the fear of being judged or dismissed. Olisaeloka et al. (2024) also observe that not all psychosocial interventions that have been tested in low-resource environments can be scaled to high-income settings without a change, thus creating an evidence-service delivery gap. Comparing it to other findings on the topic provided by Wang and Sabran (2024) and Husky et al. (2023) internationally, one can see that </w:t>
      </w:r>
      <w:proofErr w:type="spellStart"/>
      <w:r>
        <w:rPr>
          <w:rFonts w:ascii="Arial" w:eastAsia="Arial" w:hAnsi="Arial" w:cs="Arial"/>
        </w:rPr>
        <w:t>underutilisation</w:t>
      </w:r>
      <w:proofErr w:type="spellEnd"/>
      <w:r>
        <w:rPr>
          <w:rFonts w:ascii="Arial" w:eastAsia="Arial" w:hAnsi="Arial" w:cs="Arial"/>
        </w:rPr>
        <w:t xml:space="preserve"> of formal care is not a UK-specific phenomenon but a </w:t>
      </w:r>
      <w:r>
        <w:rPr>
          <w:rFonts w:ascii="Arial" w:eastAsia="Arial" w:hAnsi="Arial" w:cs="Arial"/>
        </w:rPr>
        <w:lastRenderedPageBreak/>
        <w:t xml:space="preserve">wider trend in how young adults seek mental health services in the world. These concerns are the core of the current investigation, which aims at examining not only the question of </w:t>
      </w:r>
      <w:proofErr w:type="gramStart"/>
      <w:r>
        <w:rPr>
          <w:rFonts w:ascii="Arial" w:eastAsia="Arial" w:hAnsi="Arial" w:cs="Arial"/>
        </w:rPr>
        <w:t>whether or not</w:t>
      </w:r>
      <w:proofErr w:type="gramEnd"/>
      <w:r>
        <w:rPr>
          <w:rFonts w:ascii="Arial" w:eastAsia="Arial" w:hAnsi="Arial" w:cs="Arial"/>
        </w:rPr>
        <w:t xml:space="preserve"> young adults have depressive symptoms, but also how they can cope between formal support, informal networks, and self-help methods.</w:t>
      </w:r>
    </w:p>
    <w:p w14:paraId="0D4C88F5" w14:textId="77777777" w:rsidR="00E93BD8" w:rsidRDefault="00000000">
      <w:pPr>
        <w:pStyle w:val="Heading1"/>
        <w:spacing w:line="360" w:lineRule="auto"/>
        <w:rPr>
          <w:rFonts w:ascii="Arial" w:eastAsia="Arial" w:hAnsi="Arial" w:cs="Arial"/>
          <w:b/>
          <w:bCs/>
          <w:color w:val="000000"/>
          <w:sz w:val="24"/>
          <w:szCs w:val="24"/>
        </w:rPr>
      </w:pPr>
      <w:bookmarkStart w:id="22" w:name="_heading=h.g3vi60dbglqd" w:colFirst="0" w:colLast="0"/>
      <w:bookmarkEnd w:id="22"/>
      <w:r>
        <w:rPr>
          <w:rFonts w:ascii="Arial" w:eastAsia="Arial" w:hAnsi="Arial" w:cs="Arial"/>
          <w:b/>
          <w:bCs/>
          <w:color w:val="000000"/>
          <w:sz w:val="24"/>
          <w:szCs w:val="24"/>
        </w:rPr>
        <w:t>2.6 Literature Gaps</w:t>
      </w:r>
    </w:p>
    <w:p w14:paraId="4C2EDFE4" w14:textId="77777777" w:rsidR="00E93BD8" w:rsidRDefault="00000000">
      <w:pPr>
        <w:spacing w:line="360" w:lineRule="auto"/>
        <w:jc w:val="both"/>
        <w:rPr>
          <w:rFonts w:ascii="Arial" w:eastAsia="Arial" w:hAnsi="Arial" w:cs="Arial"/>
        </w:rPr>
      </w:pPr>
      <w:r>
        <w:rPr>
          <w:rFonts w:ascii="Arial" w:eastAsia="Arial" w:hAnsi="Arial" w:cs="Arial"/>
        </w:rPr>
        <w:t xml:space="preserve">Even with the current body of research on youth depression, there are still significant gaps in the existing literature about the functioning of coping strategies and support systems in UK-specific situations. Although the prevalence and patterns of treatment are reported in global studies, there are few which study the interaction of formal services and informal networks </w:t>
      </w:r>
      <w:proofErr w:type="gramStart"/>
      <w:r>
        <w:rPr>
          <w:rFonts w:ascii="Arial" w:eastAsia="Arial" w:hAnsi="Arial" w:cs="Arial"/>
        </w:rPr>
        <w:t>in order to</w:t>
      </w:r>
      <w:proofErr w:type="gramEnd"/>
      <w:r>
        <w:rPr>
          <w:rFonts w:ascii="Arial" w:eastAsia="Arial" w:hAnsi="Arial" w:cs="Arial"/>
        </w:rPr>
        <w:t xml:space="preserve"> address the needs of young adults. There is inconsistent service use based on the evidence of the growing depressive symptoms, however there is limited evidence on the impact of stigma, outreach failure and structural barriers on UK populations. The current literature is characterised by descriptive, quantitative designs and a small number of studies on the lived experience of accessing support using a qualitative design. Lack of consistency in defining the effect of depression and different measurement instruments also make it difficult to compare across studies. Also, very few studies compare scalable, context-sensitive psychosocial interventions in the context of higher education and primary care. Therefore, the available evidence does not provide much information to guide the creation of specific and comprehensive support systems to address the needs of young adults. This review covers these gaps by </w:t>
      </w:r>
      <w:proofErr w:type="spellStart"/>
      <w:r>
        <w:rPr>
          <w:rFonts w:ascii="Arial" w:eastAsia="Arial" w:hAnsi="Arial" w:cs="Arial"/>
        </w:rPr>
        <w:t>summarising</w:t>
      </w:r>
      <w:proofErr w:type="spellEnd"/>
      <w:r>
        <w:rPr>
          <w:rFonts w:ascii="Arial" w:eastAsia="Arial" w:hAnsi="Arial" w:cs="Arial"/>
        </w:rPr>
        <w:t xml:space="preserve"> the current literature to explain the dynamics of support and priority areas of intervention.</w:t>
      </w:r>
    </w:p>
    <w:p w14:paraId="3D501335" w14:textId="77777777" w:rsidR="00E93BD8" w:rsidRDefault="00000000">
      <w:pPr>
        <w:pStyle w:val="Heading1"/>
        <w:spacing w:line="360" w:lineRule="auto"/>
        <w:rPr>
          <w:rFonts w:ascii="Arial" w:eastAsia="Arial" w:hAnsi="Arial" w:cs="Arial"/>
          <w:b/>
          <w:bCs/>
          <w:color w:val="000000"/>
          <w:sz w:val="24"/>
          <w:szCs w:val="24"/>
        </w:rPr>
      </w:pPr>
      <w:bookmarkStart w:id="23" w:name="_heading=h.iga18el9q1f8" w:colFirst="0" w:colLast="0"/>
      <w:bookmarkEnd w:id="23"/>
      <w:r>
        <w:rPr>
          <w:rFonts w:ascii="Arial" w:eastAsia="Arial" w:hAnsi="Arial" w:cs="Arial"/>
          <w:b/>
          <w:bCs/>
          <w:color w:val="000000"/>
          <w:sz w:val="24"/>
          <w:szCs w:val="24"/>
        </w:rPr>
        <w:t>2.7 Chapter Summary</w:t>
      </w:r>
    </w:p>
    <w:p w14:paraId="43FDA8E0" w14:textId="77777777" w:rsidR="00E93BD8" w:rsidRDefault="00000000">
      <w:pPr>
        <w:spacing w:line="360" w:lineRule="auto"/>
        <w:jc w:val="both"/>
        <w:rPr>
          <w:rFonts w:ascii="Arial" w:eastAsia="Arial" w:hAnsi="Arial" w:cs="Arial"/>
        </w:rPr>
      </w:pPr>
      <w:r>
        <w:rPr>
          <w:rFonts w:ascii="Arial" w:eastAsia="Arial" w:hAnsi="Arial" w:cs="Arial"/>
        </w:rPr>
        <w:t>The chapter has examined the evidence on depression among young adults, including its effects, support, and care barriers. It pointed to disjointed results, inconsistency of definitions and a lack of UK-specific qualitative understanding. The review highlighted the necessity of age-appropriate interventions, which are scalable, and the reason why the present study is necessary. The systematic review methodology is discussed in the following chapter.</w:t>
      </w:r>
    </w:p>
    <w:p w14:paraId="7544844B" w14:textId="77777777" w:rsidR="00E93BD8" w:rsidRDefault="00E93BD8">
      <w:pPr>
        <w:spacing w:line="360" w:lineRule="auto"/>
        <w:jc w:val="both"/>
        <w:rPr>
          <w:rFonts w:ascii="Arial" w:eastAsia="Arial" w:hAnsi="Arial" w:cs="Arial"/>
        </w:rPr>
        <w:sectPr w:rsidR="00E93BD8">
          <w:pgSz w:w="12240" w:h="15840"/>
          <w:pgMar w:top="1440" w:right="1440" w:bottom="1440" w:left="1440" w:header="708" w:footer="708" w:gutter="0"/>
          <w:cols w:space="720"/>
        </w:sectPr>
      </w:pPr>
    </w:p>
    <w:p w14:paraId="6094392A" w14:textId="77777777" w:rsidR="00E93BD8" w:rsidRDefault="00000000">
      <w:pPr>
        <w:pStyle w:val="Heading1"/>
        <w:spacing w:line="360" w:lineRule="auto"/>
        <w:jc w:val="center"/>
        <w:rPr>
          <w:rFonts w:ascii="Arial" w:eastAsia="Arial" w:hAnsi="Arial" w:cs="Arial"/>
          <w:b/>
          <w:bCs/>
          <w:color w:val="000000"/>
          <w:sz w:val="24"/>
          <w:szCs w:val="24"/>
        </w:rPr>
      </w:pPr>
      <w:bookmarkStart w:id="24" w:name="_heading=h.6gtyhujvotqp" w:colFirst="0" w:colLast="0"/>
      <w:bookmarkEnd w:id="24"/>
      <w:r>
        <w:rPr>
          <w:rFonts w:ascii="Arial" w:eastAsia="Arial" w:hAnsi="Arial" w:cs="Arial"/>
          <w:b/>
          <w:bCs/>
          <w:color w:val="000000"/>
          <w:sz w:val="24"/>
          <w:szCs w:val="24"/>
        </w:rPr>
        <w:lastRenderedPageBreak/>
        <w:t>CHAPTER THREE: METHODOLOGY</w:t>
      </w:r>
    </w:p>
    <w:p w14:paraId="3161ED48" w14:textId="77777777" w:rsidR="00E93BD8" w:rsidRDefault="00000000">
      <w:pPr>
        <w:pStyle w:val="Heading1"/>
        <w:spacing w:line="360" w:lineRule="auto"/>
        <w:rPr>
          <w:rFonts w:ascii="Arial" w:eastAsia="Arial" w:hAnsi="Arial" w:cs="Arial"/>
          <w:b/>
          <w:bCs/>
          <w:color w:val="000000"/>
          <w:sz w:val="24"/>
          <w:szCs w:val="24"/>
        </w:rPr>
      </w:pPr>
      <w:bookmarkStart w:id="25" w:name="_heading=h.lrx8gvgytt53" w:colFirst="0" w:colLast="0"/>
      <w:bookmarkEnd w:id="25"/>
      <w:r>
        <w:rPr>
          <w:rFonts w:ascii="Arial" w:eastAsia="Arial" w:hAnsi="Arial" w:cs="Arial"/>
          <w:b/>
          <w:bCs/>
          <w:color w:val="000000"/>
          <w:sz w:val="24"/>
          <w:szCs w:val="24"/>
        </w:rPr>
        <w:t>3.1 Introduction</w:t>
      </w:r>
    </w:p>
    <w:p w14:paraId="14D8A1A6" w14:textId="77777777" w:rsidR="00E93BD8" w:rsidRDefault="00000000">
      <w:pPr>
        <w:spacing w:line="360" w:lineRule="auto"/>
        <w:jc w:val="both"/>
        <w:rPr>
          <w:rFonts w:ascii="Arial" w:eastAsia="Arial" w:hAnsi="Arial" w:cs="Arial"/>
        </w:rPr>
      </w:pPr>
      <w:r>
        <w:rPr>
          <w:rFonts w:ascii="Arial" w:eastAsia="Arial" w:hAnsi="Arial" w:cs="Arial"/>
        </w:rPr>
        <w:t>This chapter presents the methodology adopted for the study. It outlines the research philosophy, design, data collection strategy, and analysis approach. The chapter also addresses reliability, validity, ethical considerations, and limitations to ensure transparency and rigour.</w:t>
      </w:r>
    </w:p>
    <w:p w14:paraId="55BE2383" w14:textId="77777777" w:rsidR="00E93BD8" w:rsidRDefault="00000000">
      <w:pPr>
        <w:pStyle w:val="Heading1"/>
        <w:spacing w:line="360" w:lineRule="auto"/>
        <w:rPr>
          <w:rFonts w:ascii="Arial" w:eastAsia="Arial" w:hAnsi="Arial" w:cs="Arial"/>
          <w:b/>
          <w:bCs/>
          <w:color w:val="000000"/>
          <w:sz w:val="24"/>
          <w:szCs w:val="24"/>
        </w:rPr>
      </w:pPr>
      <w:bookmarkStart w:id="26" w:name="_heading=h.bol13l5gteac" w:colFirst="0" w:colLast="0"/>
      <w:bookmarkEnd w:id="26"/>
      <w:r>
        <w:rPr>
          <w:rFonts w:ascii="Arial" w:eastAsia="Arial" w:hAnsi="Arial" w:cs="Arial"/>
          <w:b/>
          <w:bCs/>
          <w:color w:val="000000"/>
          <w:sz w:val="24"/>
          <w:szCs w:val="24"/>
        </w:rPr>
        <w:t>3.2 Research Philosophy and Approach</w:t>
      </w:r>
    </w:p>
    <w:p w14:paraId="7A6539FE" w14:textId="77777777" w:rsidR="00E93BD8" w:rsidRDefault="00000000">
      <w:pPr>
        <w:spacing w:line="360" w:lineRule="auto"/>
        <w:jc w:val="both"/>
        <w:rPr>
          <w:rFonts w:ascii="Arial" w:eastAsia="Arial" w:hAnsi="Arial" w:cs="Arial"/>
        </w:rPr>
      </w:pPr>
      <w:r>
        <w:rPr>
          <w:rFonts w:ascii="Arial" w:eastAsia="Arial" w:hAnsi="Arial" w:cs="Arial"/>
        </w:rPr>
        <w:t xml:space="preserve">This study adopts the interpretivist philosophy which holds that reality is a social construct and that understanding it is best achieved through the interpretations people assign to their experiences. Where positivism uses measurement and quantification to find objective truths (Bryman, 2016), interpretivism does not. An interpretivist perspective is ideal for studying how depression affects young adults’ academic, occupational, and social outcomes as personal, cultural, and social factors influence young adult depression. Furthermore, it underpins the exploration of diverse realities from primary research on young </w:t>
      </w:r>
      <w:proofErr w:type="gramStart"/>
      <w:r>
        <w:rPr>
          <w:rFonts w:ascii="Arial" w:eastAsia="Arial" w:hAnsi="Arial" w:cs="Arial"/>
        </w:rPr>
        <w:t>adults'</w:t>
      </w:r>
      <w:proofErr w:type="gramEnd"/>
      <w:r>
        <w:rPr>
          <w:rFonts w:ascii="Arial" w:eastAsia="Arial" w:hAnsi="Arial" w:cs="Arial"/>
        </w:rPr>
        <w:t xml:space="preserve"> lived experiences of depression (Saunders, Lewis, and Thornhill, 2019).</w:t>
      </w:r>
    </w:p>
    <w:p w14:paraId="186ECA93" w14:textId="77777777" w:rsidR="00E93BD8" w:rsidRDefault="00000000">
      <w:pPr>
        <w:spacing w:line="360" w:lineRule="auto"/>
        <w:jc w:val="both"/>
        <w:rPr>
          <w:rFonts w:ascii="Arial" w:eastAsia="Arial" w:hAnsi="Arial" w:cs="Arial"/>
        </w:rPr>
      </w:pPr>
      <w:r>
        <w:rPr>
          <w:rFonts w:ascii="Arial" w:eastAsia="Arial" w:hAnsi="Arial" w:cs="Arial"/>
        </w:rPr>
        <w:t xml:space="preserve">As an interpretivist philosophy, the study employs the inductive approach. Qualitative research prioritises depth, complexity, and significance over numerical generalisations, making it ideal for emotional and social themes, according to Creswell &amp; Creswell (2018). The inductive approach generates themes from synthesised facts, but it also uses deductive aspects. Established theoretical frameworks and depression evidence help </w:t>
      </w:r>
      <w:proofErr w:type="spellStart"/>
      <w:r>
        <w:rPr>
          <w:rFonts w:ascii="Arial" w:eastAsia="Arial" w:hAnsi="Arial" w:cs="Arial"/>
        </w:rPr>
        <w:t>organise</w:t>
      </w:r>
      <w:proofErr w:type="spellEnd"/>
      <w:r>
        <w:rPr>
          <w:rFonts w:ascii="Arial" w:eastAsia="Arial" w:hAnsi="Arial" w:cs="Arial"/>
        </w:rPr>
        <w:t xml:space="preserve"> and understand issues. The research improves and expands knowledge by reaching this equilibrium.</w:t>
      </w:r>
    </w:p>
    <w:p w14:paraId="6D5E2245" w14:textId="77777777" w:rsidR="00E93BD8" w:rsidRDefault="00000000">
      <w:pPr>
        <w:pStyle w:val="Heading1"/>
        <w:spacing w:line="360" w:lineRule="auto"/>
        <w:rPr>
          <w:rFonts w:ascii="Arial" w:eastAsia="Arial" w:hAnsi="Arial" w:cs="Arial"/>
          <w:b/>
          <w:bCs/>
          <w:color w:val="000000"/>
          <w:sz w:val="24"/>
          <w:szCs w:val="24"/>
        </w:rPr>
      </w:pPr>
      <w:bookmarkStart w:id="27" w:name="_heading=h.ce92oxg2grn8" w:colFirst="0" w:colLast="0"/>
      <w:bookmarkEnd w:id="27"/>
      <w:r>
        <w:rPr>
          <w:rFonts w:ascii="Arial" w:eastAsia="Arial" w:hAnsi="Arial" w:cs="Arial"/>
          <w:b/>
          <w:bCs/>
          <w:color w:val="000000"/>
          <w:sz w:val="24"/>
          <w:szCs w:val="24"/>
        </w:rPr>
        <w:t>3.3 Research Design</w:t>
      </w:r>
    </w:p>
    <w:p w14:paraId="4F55AC19" w14:textId="77777777" w:rsidR="00E93BD8" w:rsidRDefault="00000000">
      <w:pPr>
        <w:spacing w:line="360" w:lineRule="auto"/>
        <w:jc w:val="both"/>
        <w:rPr>
          <w:rFonts w:ascii="Arial" w:eastAsia="Arial" w:hAnsi="Arial" w:cs="Arial"/>
        </w:rPr>
      </w:pPr>
      <w:r>
        <w:rPr>
          <w:rFonts w:ascii="Arial" w:eastAsia="Arial" w:hAnsi="Arial" w:cs="Arial"/>
        </w:rPr>
        <w:t xml:space="preserve">Qualitative secondary research makes use of a systematic literature review (SLR). Systematic literature reviews (SLRs) are organised, replicable and holistic. This approach minimises bias and ensures methodological rigour (Booth et al., 2016). The reason why </w:t>
      </w:r>
      <w:r>
        <w:rPr>
          <w:rFonts w:ascii="Arial" w:eastAsia="Arial" w:hAnsi="Arial" w:cs="Arial"/>
        </w:rPr>
        <w:lastRenderedPageBreak/>
        <w:t xml:space="preserve">this design is suitable is that it offers a sure way of synthesising the results of several primary studies </w:t>
      </w:r>
      <w:proofErr w:type="gramStart"/>
      <w:r>
        <w:rPr>
          <w:rFonts w:ascii="Arial" w:eastAsia="Arial" w:hAnsi="Arial" w:cs="Arial"/>
        </w:rPr>
        <w:t>on the subject of depression</w:t>
      </w:r>
      <w:proofErr w:type="gramEnd"/>
      <w:r>
        <w:rPr>
          <w:rFonts w:ascii="Arial" w:eastAsia="Arial" w:hAnsi="Arial" w:cs="Arial"/>
        </w:rPr>
        <w:t xml:space="preserve"> in young adults in the UK, and this will be achieved by identifying patterns, themes, and gaps in the literature.</w:t>
      </w:r>
    </w:p>
    <w:p w14:paraId="24B81ED0" w14:textId="77777777" w:rsidR="00E93BD8" w:rsidRDefault="00000000">
      <w:pPr>
        <w:spacing w:line="360" w:lineRule="auto"/>
        <w:jc w:val="both"/>
        <w:rPr>
          <w:rFonts w:ascii="Arial" w:eastAsia="Arial" w:hAnsi="Arial" w:cs="Arial"/>
        </w:rPr>
      </w:pPr>
      <w:r>
        <w:rPr>
          <w:rFonts w:ascii="Arial" w:eastAsia="Arial" w:hAnsi="Arial" w:cs="Arial"/>
        </w:rPr>
        <w:t>Secondary data was used rather than primary data such as interviews for ethical and practical reasons. Due to the sensitive nature of depression, primary research requires time, ethical approval, and strict protective procedures. Even without these obstacles, a systematic review can inform policy and practice (Hennink et al., 2020).</w:t>
      </w:r>
    </w:p>
    <w:p w14:paraId="4682E256" w14:textId="77777777" w:rsidR="00E93BD8" w:rsidRDefault="00000000">
      <w:pPr>
        <w:spacing w:line="360" w:lineRule="auto"/>
        <w:jc w:val="both"/>
        <w:rPr>
          <w:rFonts w:ascii="Arial" w:eastAsia="Arial" w:hAnsi="Arial" w:cs="Arial"/>
        </w:rPr>
      </w:pPr>
      <w:r>
        <w:rPr>
          <w:rFonts w:ascii="Arial" w:eastAsia="Arial" w:hAnsi="Arial" w:cs="Arial"/>
        </w:rPr>
        <w:t>Systematic reviews help collect and understand health and social science data, especially mental health research (Snyder, 2019). The identification, selection, and synthesis of studies using acknowledged methods ensures the validity and reliability of this research (Tawfik et al., 2019). The qualitative technique allows for a deep analysis of lived experiences, supporting the study's focus on depression's social and functional effects (Bazen et al., 2021).</w:t>
      </w:r>
    </w:p>
    <w:p w14:paraId="2631CFBD" w14:textId="77777777" w:rsidR="00E93BD8" w:rsidRDefault="00000000">
      <w:pPr>
        <w:pStyle w:val="Heading1"/>
        <w:spacing w:line="360" w:lineRule="auto"/>
        <w:rPr>
          <w:rFonts w:ascii="Arial" w:eastAsia="Arial" w:hAnsi="Arial" w:cs="Arial"/>
          <w:b/>
          <w:bCs/>
          <w:color w:val="000000"/>
          <w:sz w:val="24"/>
          <w:szCs w:val="24"/>
        </w:rPr>
      </w:pPr>
      <w:bookmarkStart w:id="28" w:name="_heading=h.cr46ehuif8yk" w:colFirst="0" w:colLast="0"/>
      <w:bookmarkEnd w:id="28"/>
      <w:r>
        <w:rPr>
          <w:rFonts w:ascii="Arial" w:eastAsia="Arial" w:hAnsi="Arial" w:cs="Arial"/>
          <w:b/>
          <w:bCs/>
          <w:color w:val="000000"/>
          <w:sz w:val="24"/>
          <w:szCs w:val="24"/>
        </w:rPr>
        <w:t>3.4 Data Collection Strategy</w:t>
      </w:r>
    </w:p>
    <w:p w14:paraId="5FFB5EF9" w14:textId="77777777" w:rsidR="00E93BD8" w:rsidRDefault="00000000">
      <w:pPr>
        <w:pStyle w:val="Heading3"/>
        <w:spacing w:line="360" w:lineRule="auto"/>
        <w:rPr>
          <w:rFonts w:ascii="Arial" w:eastAsia="Arial" w:hAnsi="Arial" w:cs="Arial"/>
          <w:b/>
          <w:bCs/>
          <w:color w:val="000000"/>
          <w:sz w:val="24"/>
          <w:szCs w:val="24"/>
        </w:rPr>
      </w:pPr>
      <w:bookmarkStart w:id="29" w:name="_heading=h.hqzbltt430tv" w:colFirst="0" w:colLast="0"/>
      <w:bookmarkEnd w:id="29"/>
      <w:r>
        <w:rPr>
          <w:rFonts w:ascii="Arial" w:eastAsia="Arial" w:hAnsi="Arial" w:cs="Arial"/>
          <w:b/>
          <w:bCs/>
          <w:color w:val="000000"/>
          <w:sz w:val="24"/>
          <w:szCs w:val="24"/>
        </w:rPr>
        <w:t>3.4.1 Sampling size and Sampling Technique</w:t>
      </w:r>
    </w:p>
    <w:p w14:paraId="49776414" w14:textId="77777777" w:rsidR="00E93BD8" w:rsidRDefault="00000000">
      <w:pPr>
        <w:spacing w:line="360" w:lineRule="auto"/>
        <w:jc w:val="both"/>
        <w:rPr>
          <w:rFonts w:ascii="Arial" w:eastAsia="Arial" w:hAnsi="Arial" w:cs="Arial"/>
        </w:rPr>
      </w:pPr>
      <w:r>
        <w:rPr>
          <w:rFonts w:ascii="Arial" w:eastAsia="Arial" w:hAnsi="Arial" w:cs="Arial"/>
        </w:rPr>
        <w:t>This study selected peer-reviewed journal articles relevant to the research objectives using purposive sampling. Instead of random or representative selection, qualitative researchers utilise purposeful sampling to focus on sources that provide rich, relevant, and reliable insights (Creswell &amp; Creswell, 2018). Only peer-reviewed articles are included in the systematic review to ensure methodological rigour and scholarly integrity (Booth et al., 2016). The sample size for the study is a minimum of 10 papers between 2015 and 2025, but more may be found if relevant research is found. This adaptable strategy promotes rigour and adequacy in addressing the evidence (Saunders et al., 2019).</w:t>
      </w:r>
    </w:p>
    <w:p w14:paraId="04472325" w14:textId="77777777" w:rsidR="00E93BD8" w:rsidRDefault="00000000">
      <w:pPr>
        <w:pStyle w:val="Heading3"/>
        <w:spacing w:line="360" w:lineRule="auto"/>
        <w:rPr>
          <w:rFonts w:ascii="Arial" w:eastAsia="Arial" w:hAnsi="Arial" w:cs="Arial"/>
          <w:b/>
          <w:bCs/>
          <w:color w:val="000000"/>
          <w:sz w:val="24"/>
          <w:szCs w:val="24"/>
        </w:rPr>
      </w:pPr>
      <w:bookmarkStart w:id="30" w:name="_heading=h.84o3gzlc54sj" w:colFirst="0" w:colLast="0"/>
      <w:bookmarkEnd w:id="30"/>
      <w:r>
        <w:rPr>
          <w:rFonts w:ascii="Arial" w:eastAsia="Arial" w:hAnsi="Arial" w:cs="Arial"/>
          <w:b/>
          <w:bCs/>
          <w:color w:val="000000"/>
          <w:sz w:val="24"/>
          <w:szCs w:val="24"/>
        </w:rPr>
        <w:t>3.4.2 Data Collection</w:t>
      </w:r>
    </w:p>
    <w:p w14:paraId="381BE7AE" w14:textId="77777777" w:rsidR="00E93BD8" w:rsidRDefault="00000000">
      <w:pPr>
        <w:spacing w:line="360" w:lineRule="auto"/>
        <w:jc w:val="both"/>
        <w:rPr>
          <w:rFonts w:ascii="Arial" w:eastAsia="Arial" w:hAnsi="Arial" w:cs="Arial"/>
        </w:rPr>
      </w:pPr>
      <w:r>
        <w:rPr>
          <w:rFonts w:ascii="Arial" w:eastAsia="Arial" w:hAnsi="Arial" w:cs="Arial"/>
        </w:rPr>
        <w:t xml:space="preserve">The process of data collection will be conducted in the form of systematic search of large academic databases, such as PsycINFO, PubMed, Scopus and Web of Science because they provide full coverage of the literature on psychology, health, and social sciences. </w:t>
      </w:r>
      <w:r>
        <w:rPr>
          <w:rFonts w:ascii="Arial" w:eastAsia="Arial" w:hAnsi="Arial" w:cs="Arial"/>
        </w:rPr>
        <w:lastRenderedPageBreak/>
        <w:t xml:space="preserve">Search strategy will be using the targeted keywords with the help of Boolean operators to narrow down the results. Some of the examples of keywords would be depression, young adults, United Kingdom, mental health, and lived experience. The PRISMA (Preferred Reporting Items to Systematic Reviews and Meta-Analyses) framework will be used to choose the articles as it offers a clear four-step process (identification, screening, eligibility, inclusion) to guarantee reproducibility and </w:t>
      </w:r>
      <w:proofErr w:type="spellStart"/>
      <w:r>
        <w:rPr>
          <w:rFonts w:ascii="Arial" w:eastAsia="Arial" w:hAnsi="Arial" w:cs="Arial"/>
        </w:rPr>
        <w:t>minimise</w:t>
      </w:r>
      <w:proofErr w:type="spellEnd"/>
      <w:r>
        <w:rPr>
          <w:rFonts w:ascii="Arial" w:eastAsia="Arial" w:hAnsi="Arial" w:cs="Arial"/>
        </w:rPr>
        <w:t xml:space="preserve"> bias (Tawfik et al., 2019; Sohrabi et al., 2021).</w:t>
      </w:r>
    </w:p>
    <w:p w14:paraId="2193E29E" w14:textId="77777777" w:rsidR="00E93BD8" w:rsidRDefault="00000000">
      <w:pPr>
        <w:spacing w:line="360" w:lineRule="auto"/>
        <w:jc w:val="both"/>
        <w:rPr>
          <w:rFonts w:ascii="Arial" w:eastAsia="Arial" w:hAnsi="Arial" w:cs="Arial"/>
        </w:rPr>
      </w:pPr>
      <w:r>
        <w:rPr>
          <w:rFonts w:ascii="Arial" w:eastAsia="Arial" w:hAnsi="Arial" w:cs="Arial"/>
        </w:rPr>
        <w:t>The review will use explicit inclusion and exclusion criteria to increase validity:</w:t>
      </w:r>
    </w:p>
    <w:p w14:paraId="41698A29" w14:textId="77777777" w:rsidR="00E93BD8" w:rsidRDefault="00000000">
      <w:pPr>
        <w:pStyle w:val="Heading3"/>
        <w:spacing w:line="360" w:lineRule="auto"/>
        <w:rPr>
          <w:rFonts w:ascii="Arial" w:eastAsia="Arial" w:hAnsi="Arial" w:cs="Arial"/>
          <w:b/>
          <w:bCs/>
          <w:color w:val="000000"/>
          <w:sz w:val="24"/>
          <w:szCs w:val="24"/>
        </w:rPr>
      </w:pPr>
      <w:bookmarkStart w:id="31" w:name="_heading=h.vbnpqma7cgj4" w:colFirst="0" w:colLast="0"/>
      <w:bookmarkEnd w:id="31"/>
      <w:r>
        <w:rPr>
          <w:rFonts w:ascii="Arial" w:eastAsia="Arial" w:hAnsi="Arial" w:cs="Arial"/>
          <w:b/>
          <w:bCs/>
          <w:color w:val="000000"/>
          <w:sz w:val="24"/>
          <w:szCs w:val="24"/>
        </w:rPr>
        <w:t>Inclusion Criteria</w:t>
      </w:r>
    </w:p>
    <w:p w14:paraId="08E61AAB" w14:textId="77777777" w:rsidR="00E93BD8" w:rsidRDefault="00000000">
      <w:pPr>
        <w:numPr>
          <w:ilvl w:val="0"/>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The study will focus on young adults between ages 18-30 in the UK.</w:t>
      </w:r>
    </w:p>
    <w:p w14:paraId="7E99C871" w14:textId="77777777" w:rsidR="00E93BD8" w:rsidRDefault="00000000">
      <w:pPr>
        <w:numPr>
          <w:ilvl w:val="0"/>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The study will only employ primary methodologies published in English.</w:t>
      </w:r>
    </w:p>
    <w:p w14:paraId="6CAB8B56" w14:textId="77777777" w:rsidR="00E93BD8" w:rsidRDefault="00000000">
      <w:pPr>
        <w:numPr>
          <w:ilvl w:val="0"/>
          <w:numId w:val="3"/>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The study will only employ peer reviewed articles published between 2015-2025.</w:t>
      </w:r>
    </w:p>
    <w:p w14:paraId="0C0D5EDA" w14:textId="77777777" w:rsidR="00E93BD8" w:rsidRDefault="00000000">
      <w:pPr>
        <w:pStyle w:val="Heading3"/>
        <w:spacing w:line="360" w:lineRule="auto"/>
        <w:rPr>
          <w:rFonts w:ascii="Arial" w:eastAsia="Arial" w:hAnsi="Arial" w:cs="Arial"/>
          <w:b/>
          <w:bCs/>
          <w:color w:val="000000"/>
          <w:sz w:val="24"/>
          <w:szCs w:val="24"/>
        </w:rPr>
      </w:pPr>
      <w:bookmarkStart w:id="32" w:name="_heading=h.rl4hgx7t72o0" w:colFirst="0" w:colLast="0"/>
      <w:bookmarkEnd w:id="32"/>
      <w:r>
        <w:rPr>
          <w:rFonts w:ascii="Arial" w:eastAsia="Arial" w:hAnsi="Arial" w:cs="Arial"/>
          <w:b/>
          <w:bCs/>
          <w:color w:val="000000"/>
          <w:sz w:val="24"/>
          <w:szCs w:val="24"/>
        </w:rPr>
        <w:t>Exclusion Criteria</w:t>
      </w:r>
    </w:p>
    <w:p w14:paraId="77FC875E" w14:textId="77777777" w:rsidR="00E93BD8" w:rsidRDefault="00000000">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Research not related to young adults between ages 18-30 in the UK.</w:t>
      </w:r>
    </w:p>
    <w:p w14:paraId="2DE20780" w14:textId="77777777" w:rsidR="00E93BD8" w:rsidRDefault="00000000">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Studies using secondary methodologies and in languages other than English.</w:t>
      </w:r>
    </w:p>
    <w:p w14:paraId="53469822" w14:textId="77777777" w:rsidR="00E93BD8" w:rsidRDefault="00000000">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Studies published before 2015.</w:t>
      </w:r>
    </w:p>
    <w:p w14:paraId="56473A00" w14:textId="77777777" w:rsidR="00E93BD8" w:rsidRDefault="00000000">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Studies that are not peer reviewed journals.</w:t>
      </w:r>
    </w:p>
    <w:p w14:paraId="0588F030" w14:textId="77777777" w:rsidR="00E93BD8" w:rsidRDefault="00000000">
      <w:pPr>
        <w:spacing w:line="360" w:lineRule="auto"/>
        <w:jc w:val="both"/>
        <w:rPr>
          <w:rFonts w:ascii="Arial" w:eastAsia="Arial" w:hAnsi="Arial" w:cs="Arial"/>
        </w:rPr>
      </w:pPr>
      <w:r>
        <w:rPr>
          <w:rFonts w:ascii="Arial" w:eastAsia="Arial" w:hAnsi="Arial" w:cs="Arial"/>
        </w:rPr>
        <w:t>This structured approach ensures systematic coverage of relevant literature while maintaining focus on the population and context of interest (Snyder, 2019; Usman, 2011; Booth et al., 2016).</w:t>
      </w:r>
    </w:p>
    <w:p w14:paraId="71732146" w14:textId="77777777" w:rsidR="00E93BD8" w:rsidRDefault="00000000">
      <w:pPr>
        <w:pStyle w:val="Heading3"/>
        <w:spacing w:line="360" w:lineRule="auto"/>
        <w:rPr>
          <w:rFonts w:ascii="Arial" w:eastAsia="Arial" w:hAnsi="Arial" w:cs="Arial"/>
          <w:b/>
          <w:bCs/>
          <w:color w:val="000000"/>
          <w:sz w:val="24"/>
          <w:szCs w:val="24"/>
        </w:rPr>
      </w:pPr>
      <w:bookmarkStart w:id="33" w:name="_heading=h.jz4spdejtdf" w:colFirst="0" w:colLast="0"/>
      <w:bookmarkEnd w:id="33"/>
      <w:r>
        <w:rPr>
          <w:rFonts w:ascii="Arial" w:eastAsia="Arial" w:hAnsi="Arial" w:cs="Arial"/>
          <w:b/>
          <w:bCs/>
          <w:color w:val="000000"/>
          <w:sz w:val="24"/>
          <w:szCs w:val="24"/>
        </w:rPr>
        <w:t>3.4.3 Data Analysis</w:t>
      </w:r>
    </w:p>
    <w:p w14:paraId="68D07157" w14:textId="77777777" w:rsidR="00E93BD8" w:rsidRDefault="00000000">
      <w:pPr>
        <w:spacing w:line="360" w:lineRule="auto"/>
        <w:jc w:val="both"/>
        <w:rPr>
          <w:rFonts w:ascii="Arial" w:eastAsia="Arial" w:hAnsi="Arial" w:cs="Arial"/>
        </w:rPr>
      </w:pPr>
      <w:r>
        <w:rPr>
          <w:rFonts w:ascii="Arial" w:eastAsia="Arial" w:hAnsi="Arial" w:cs="Arial"/>
        </w:rPr>
        <w:t xml:space="preserve">The selected studies will be analysed using Thematic Analysis (TA), following Braun and Clarke’s (2006) widely adopted six-step framework. This involves </w:t>
      </w:r>
      <w:proofErr w:type="spellStart"/>
      <w:r>
        <w:rPr>
          <w:rFonts w:ascii="Arial" w:eastAsia="Arial" w:hAnsi="Arial" w:cs="Arial"/>
        </w:rPr>
        <w:t>familiarisation</w:t>
      </w:r>
      <w:proofErr w:type="spellEnd"/>
      <w:r>
        <w:rPr>
          <w:rFonts w:ascii="Arial" w:eastAsia="Arial" w:hAnsi="Arial" w:cs="Arial"/>
        </w:rPr>
        <w:t xml:space="preserve"> with the data, generating initial codes, searching for potential themes, reviewing themes, defining and naming themes, and producing the final report. Thematic analysis is valued for its flexibility and capacity to identify patterns of meaning across qualitative datasets, making it highly suitable for synthesising mental health literature (Hennink, Hutter and Bailey, 2020).</w:t>
      </w:r>
    </w:p>
    <w:p w14:paraId="1F98FAA3" w14:textId="77777777" w:rsidR="00E93BD8" w:rsidRDefault="00000000">
      <w:pPr>
        <w:spacing w:line="360" w:lineRule="auto"/>
        <w:jc w:val="both"/>
        <w:rPr>
          <w:rFonts w:ascii="Arial" w:eastAsia="Arial" w:hAnsi="Arial" w:cs="Arial"/>
        </w:rPr>
      </w:pPr>
      <w:r>
        <w:rPr>
          <w:rFonts w:ascii="Arial" w:eastAsia="Arial" w:hAnsi="Arial" w:cs="Arial"/>
        </w:rPr>
        <w:lastRenderedPageBreak/>
        <w:t>Themes will be aligned with the study objectives, including:</w:t>
      </w:r>
    </w:p>
    <w:p w14:paraId="4AD4057F" w14:textId="77777777" w:rsidR="00E93BD8"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The prevalence and severity of depression among young adults in the UK.</w:t>
      </w:r>
    </w:p>
    <w:p w14:paraId="42E3C183" w14:textId="77777777" w:rsidR="00E93BD8"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The academic, occupational, and social effects of depression.</w:t>
      </w:r>
    </w:p>
    <w:p w14:paraId="36839967" w14:textId="77777777" w:rsidR="00E93BD8" w:rsidRDefault="00000000">
      <w:pPr>
        <w:numPr>
          <w:ilvl w:val="0"/>
          <w:numId w:val="5"/>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The coping mechanisms and support systems available to young adults.</w:t>
      </w:r>
    </w:p>
    <w:p w14:paraId="71A0E3F3" w14:textId="77777777" w:rsidR="00E93BD8" w:rsidRDefault="00000000">
      <w:pPr>
        <w:spacing w:line="360" w:lineRule="auto"/>
        <w:jc w:val="both"/>
        <w:rPr>
          <w:rFonts w:ascii="Arial" w:eastAsia="Arial" w:hAnsi="Arial" w:cs="Arial"/>
        </w:rPr>
      </w:pPr>
      <w:r>
        <w:rPr>
          <w:rFonts w:ascii="Arial" w:eastAsia="Arial" w:hAnsi="Arial" w:cs="Arial"/>
        </w:rPr>
        <w:t>Thematic analysis is appropriate because it allows both inductive insights to emerge from the literature and deductive alignment with existing theoretical frameworks (Creswell and Creswell, 2018; Bazen, Barg and Takeshita, 2021). Its widespread application in health and social research further strengthens its relevance to this study.</w:t>
      </w:r>
    </w:p>
    <w:p w14:paraId="4455D1D2" w14:textId="77777777" w:rsidR="00E93BD8" w:rsidRDefault="00000000">
      <w:pPr>
        <w:pStyle w:val="Heading1"/>
        <w:spacing w:line="360" w:lineRule="auto"/>
        <w:rPr>
          <w:rFonts w:ascii="Arial" w:eastAsia="Arial" w:hAnsi="Arial" w:cs="Arial"/>
          <w:b/>
          <w:bCs/>
          <w:color w:val="000000"/>
          <w:sz w:val="24"/>
          <w:szCs w:val="24"/>
        </w:rPr>
      </w:pPr>
      <w:bookmarkStart w:id="34" w:name="_heading=h.pucuzjdli27j" w:colFirst="0" w:colLast="0"/>
      <w:bookmarkEnd w:id="34"/>
      <w:r>
        <w:rPr>
          <w:rFonts w:ascii="Arial" w:eastAsia="Arial" w:hAnsi="Arial" w:cs="Arial"/>
          <w:b/>
          <w:bCs/>
          <w:color w:val="000000"/>
          <w:sz w:val="24"/>
          <w:szCs w:val="24"/>
        </w:rPr>
        <w:t>3.5 Reliability and Validity</w:t>
      </w:r>
    </w:p>
    <w:p w14:paraId="2B5F3889" w14:textId="77777777" w:rsidR="00E93BD8" w:rsidRDefault="00000000">
      <w:pPr>
        <w:spacing w:line="360" w:lineRule="auto"/>
        <w:jc w:val="both"/>
        <w:rPr>
          <w:rFonts w:ascii="Arial" w:eastAsia="Arial" w:hAnsi="Arial" w:cs="Arial"/>
        </w:rPr>
      </w:pPr>
      <w:r>
        <w:rPr>
          <w:rFonts w:ascii="Arial" w:eastAsia="Arial" w:hAnsi="Arial" w:cs="Arial"/>
        </w:rPr>
        <w:t>Lincoln and Guba (1985) trustworthiness criteria is used to ensure this study's rigour, credibility, dependability, confirmability, and transferability. Transparent record of literature sourcing establishes credibility. This documentation must include a PRISMA flowchart for identification, screening, and inclusion (Snyder, 2019; Sohrabi et al., 2021). A methodical and replicable search method ensures dependability, while an audit trail and researcher interpretation improve confirmability. Hennink et al. (2020) found that reflexivity—the cognitive recognition of bias in coding and theme development—enhances this dimension. Transferability is established by specifically defining the study population as 18–30-year-old UK young adults enabling applicability to similar situations (Saunders et al., 2019).</w:t>
      </w:r>
    </w:p>
    <w:p w14:paraId="7F08B20A" w14:textId="77777777" w:rsidR="00E93BD8" w:rsidRDefault="00000000">
      <w:pPr>
        <w:pStyle w:val="Heading1"/>
        <w:spacing w:line="360" w:lineRule="auto"/>
        <w:rPr>
          <w:rFonts w:ascii="Arial" w:eastAsia="Arial" w:hAnsi="Arial" w:cs="Arial"/>
          <w:b/>
          <w:bCs/>
          <w:color w:val="000000"/>
          <w:sz w:val="24"/>
          <w:szCs w:val="24"/>
        </w:rPr>
      </w:pPr>
      <w:bookmarkStart w:id="35" w:name="_heading=h.v0lnyjec0ljm" w:colFirst="0" w:colLast="0"/>
      <w:bookmarkEnd w:id="35"/>
      <w:r>
        <w:rPr>
          <w:rFonts w:ascii="Arial" w:eastAsia="Arial" w:hAnsi="Arial" w:cs="Arial"/>
          <w:b/>
          <w:bCs/>
          <w:color w:val="000000"/>
          <w:sz w:val="24"/>
          <w:szCs w:val="24"/>
        </w:rPr>
        <w:t xml:space="preserve">3.6 Ethical consideration </w:t>
      </w:r>
    </w:p>
    <w:p w14:paraId="0BA31469" w14:textId="77777777" w:rsidR="00E93BD8" w:rsidRDefault="00000000">
      <w:pPr>
        <w:spacing w:line="360" w:lineRule="auto"/>
        <w:jc w:val="both"/>
        <w:rPr>
          <w:rFonts w:ascii="Arial" w:eastAsia="Arial" w:hAnsi="Arial" w:cs="Arial"/>
        </w:rPr>
      </w:pPr>
      <w:r>
        <w:rPr>
          <w:rFonts w:ascii="Arial" w:eastAsia="Arial" w:hAnsi="Arial" w:cs="Arial"/>
        </w:rPr>
        <w:t>As a secondary qualitative study with no direct human participants, this research has low ethical risk. However, accurate references, plagiarism avoidance, and intellectual property respect can maintain ethical integrity. To avoid harm or misrepresentation, the results will be presented carefully. The study ensures to adhere to institutional requirements and ethical norms like BERA and SAGE, which value transparency, accountability, and respect for knowledge providers.</w:t>
      </w:r>
    </w:p>
    <w:p w14:paraId="0A52AD7B" w14:textId="77777777" w:rsidR="00E93BD8" w:rsidRDefault="00000000">
      <w:pPr>
        <w:pStyle w:val="Heading1"/>
        <w:spacing w:line="360" w:lineRule="auto"/>
        <w:rPr>
          <w:rFonts w:ascii="Arial" w:eastAsia="Arial" w:hAnsi="Arial" w:cs="Arial"/>
          <w:b/>
          <w:bCs/>
          <w:color w:val="000000"/>
          <w:sz w:val="24"/>
          <w:szCs w:val="24"/>
        </w:rPr>
      </w:pPr>
      <w:bookmarkStart w:id="36" w:name="_heading=h.a62x6j3bm732" w:colFirst="0" w:colLast="0"/>
      <w:bookmarkEnd w:id="36"/>
      <w:r>
        <w:rPr>
          <w:rFonts w:ascii="Arial" w:eastAsia="Arial" w:hAnsi="Arial" w:cs="Arial"/>
          <w:b/>
          <w:bCs/>
          <w:color w:val="000000"/>
          <w:sz w:val="24"/>
          <w:szCs w:val="24"/>
        </w:rPr>
        <w:lastRenderedPageBreak/>
        <w:t>3.7 Limitations of the Methodology</w:t>
      </w:r>
    </w:p>
    <w:p w14:paraId="20D5F70A" w14:textId="77777777" w:rsidR="00E93BD8" w:rsidRDefault="00000000">
      <w:pPr>
        <w:spacing w:line="360" w:lineRule="auto"/>
        <w:jc w:val="both"/>
        <w:rPr>
          <w:rFonts w:ascii="Arial" w:eastAsia="Arial" w:hAnsi="Arial" w:cs="Arial"/>
        </w:rPr>
      </w:pPr>
      <w:r>
        <w:rPr>
          <w:rFonts w:ascii="Arial" w:eastAsia="Arial" w:hAnsi="Arial" w:cs="Arial"/>
        </w:rPr>
        <w:t xml:space="preserve">This study has drawbacks despite its benefits. Peer-reviewed journals may introduce publication bias eliminating crucial ideas from grey literature like government reports or theses. UK-only research increases specificity but decreases </w:t>
      </w:r>
      <w:proofErr w:type="spellStart"/>
      <w:r>
        <w:rPr>
          <w:rFonts w:ascii="Arial" w:eastAsia="Arial" w:hAnsi="Arial" w:cs="Arial"/>
        </w:rPr>
        <w:t>generalisability</w:t>
      </w:r>
      <w:proofErr w:type="spellEnd"/>
      <w:r>
        <w:rPr>
          <w:rFonts w:ascii="Arial" w:eastAsia="Arial" w:hAnsi="Arial" w:cs="Arial"/>
        </w:rPr>
        <w:t xml:space="preserve"> (Usman, 2011). Systematic reviews can give breadth of research, but interviews or ethnographic methods can capture people's lived experiences (Snyder, 2019). These limitations are acknowledged to provide transparency and balance in interpreting the findings.</w:t>
      </w:r>
    </w:p>
    <w:p w14:paraId="4B730CAE" w14:textId="77777777" w:rsidR="00E93BD8" w:rsidRDefault="00000000">
      <w:pPr>
        <w:pStyle w:val="Heading1"/>
        <w:spacing w:line="360" w:lineRule="auto"/>
        <w:rPr>
          <w:rFonts w:ascii="Arial" w:eastAsia="Arial" w:hAnsi="Arial" w:cs="Arial"/>
          <w:b/>
          <w:bCs/>
          <w:color w:val="000000"/>
          <w:sz w:val="24"/>
          <w:szCs w:val="24"/>
        </w:rPr>
      </w:pPr>
      <w:bookmarkStart w:id="37" w:name="_heading=h.5trgq01zglpf" w:colFirst="0" w:colLast="0"/>
      <w:bookmarkEnd w:id="37"/>
      <w:r>
        <w:rPr>
          <w:rFonts w:ascii="Arial" w:eastAsia="Arial" w:hAnsi="Arial" w:cs="Arial"/>
          <w:b/>
          <w:bCs/>
          <w:color w:val="000000"/>
          <w:sz w:val="24"/>
          <w:szCs w:val="24"/>
        </w:rPr>
        <w:t>3.8 Chapter summary</w:t>
      </w:r>
    </w:p>
    <w:p w14:paraId="17BA4515" w14:textId="77777777" w:rsidR="00E93BD8" w:rsidRDefault="00000000">
      <w:pPr>
        <w:spacing w:line="360" w:lineRule="auto"/>
        <w:jc w:val="both"/>
        <w:rPr>
          <w:rFonts w:ascii="Arial" w:eastAsia="Arial" w:hAnsi="Arial" w:cs="Arial"/>
        </w:rPr>
      </w:pPr>
      <w:r>
        <w:rPr>
          <w:rFonts w:ascii="Arial" w:eastAsia="Arial" w:hAnsi="Arial" w:cs="Arial"/>
        </w:rPr>
        <w:t>This chapter outlined the methodological framework, justifying the use of a qualitative systematic literature review. It explained the sampling, search, and thematic analysis process, alongside strategies to ensure rigour and ethical integrity. Limitations were acknowledged, providing a transparent foundation for the presentation of findings in the next chapter.</w:t>
      </w:r>
    </w:p>
    <w:p w14:paraId="5FF8F03F" w14:textId="77777777" w:rsidR="00E93BD8" w:rsidRDefault="00E93BD8">
      <w:pPr>
        <w:spacing w:line="360" w:lineRule="auto"/>
        <w:rPr>
          <w:rFonts w:ascii="Arial" w:eastAsia="Arial" w:hAnsi="Arial" w:cs="Arial"/>
          <w:b/>
          <w:bCs/>
        </w:rPr>
      </w:pPr>
    </w:p>
    <w:p w14:paraId="6C2594E0" w14:textId="77777777" w:rsidR="00E93BD8" w:rsidRDefault="00E93BD8">
      <w:pPr>
        <w:spacing w:line="360" w:lineRule="auto"/>
        <w:jc w:val="center"/>
        <w:rPr>
          <w:rFonts w:ascii="Arial" w:eastAsia="Arial" w:hAnsi="Arial" w:cs="Arial"/>
          <w:b/>
          <w:bCs/>
        </w:rPr>
      </w:pPr>
    </w:p>
    <w:p w14:paraId="78CD361B" w14:textId="77777777" w:rsidR="00E93BD8" w:rsidRDefault="00E93BD8">
      <w:pPr>
        <w:spacing w:line="360" w:lineRule="auto"/>
        <w:rPr>
          <w:rFonts w:ascii="Arial" w:eastAsia="Arial" w:hAnsi="Arial" w:cs="Arial"/>
          <w:b/>
          <w:bCs/>
        </w:rPr>
        <w:sectPr w:rsidR="00E93BD8">
          <w:pgSz w:w="12240" w:h="15840"/>
          <w:pgMar w:top="1440" w:right="1440" w:bottom="1440" w:left="1440" w:header="708" w:footer="708" w:gutter="0"/>
          <w:cols w:space="720"/>
        </w:sectPr>
      </w:pPr>
    </w:p>
    <w:p w14:paraId="73A196D4" w14:textId="77777777" w:rsidR="00E93BD8" w:rsidRDefault="00000000">
      <w:pPr>
        <w:pStyle w:val="Heading1"/>
        <w:spacing w:line="360" w:lineRule="auto"/>
        <w:jc w:val="center"/>
        <w:rPr>
          <w:rFonts w:ascii="Arial" w:eastAsia="Arial" w:hAnsi="Arial" w:cs="Arial"/>
          <w:b/>
          <w:bCs/>
          <w:color w:val="000000"/>
          <w:sz w:val="24"/>
          <w:szCs w:val="24"/>
        </w:rPr>
      </w:pPr>
      <w:bookmarkStart w:id="38" w:name="_heading=h.bt7cuztjdk46" w:colFirst="0" w:colLast="0"/>
      <w:bookmarkEnd w:id="38"/>
      <w:r>
        <w:rPr>
          <w:rFonts w:ascii="Arial" w:eastAsia="Arial" w:hAnsi="Arial" w:cs="Arial"/>
          <w:b/>
          <w:bCs/>
          <w:color w:val="000000"/>
          <w:sz w:val="24"/>
          <w:szCs w:val="24"/>
        </w:rPr>
        <w:lastRenderedPageBreak/>
        <w:t>CHAPTER FOUR – RESULTS</w:t>
      </w:r>
    </w:p>
    <w:p w14:paraId="192427F2" w14:textId="77777777" w:rsidR="00E93BD8" w:rsidRDefault="00000000">
      <w:pPr>
        <w:pStyle w:val="Heading1"/>
        <w:spacing w:line="360" w:lineRule="auto"/>
        <w:rPr>
          <w:rFonts w:ascii="Arial" w:eastAsia="Arial" w:hAnsi="Arial" w:cs="Arial"/>
          <w:b/>
          <w:bCs/>
          <w:color w:val="000000"/>
          <w:sz w:val="24"/>
          <w:szCs w:val="24"/>
        </w:rPr>
      </w:pPr>
      <w:bookmarkStart w:id="39" w:name="_heading=h.n1gz0ud1odxw" w:colFirst="0" w:colLast="0"/>
      <w:bookmarkEnd w:id="39"/>
      <w:r>
        <w:rPr>
          <w:rFonts w:ascii="Arial" w:eastAsia="Arial" w:hAnsi="Arial" w:cs="Arial"/>
          <w:b/>
          <w:bCs/>
          <w:color w:val="000000"/>
          <w:sz w:val="24"/>
          <w:szCs w:val="24"/>
        </w:rPr>
        <w:t>4.1 Introduction</w:t>
      </w:r>
    </w:p>
    <w:p w14:paraId="1B1D3C2B" w14:textId="77777777" w:rsidR="00E93BD8" w:rsidRDefault="00000000">
      <w:pPr>
        <w:spacing w:line="360" w:lineRule="auto"/>
        <w:jc w:val="both"/>
        <w:rPr>
          <w:rFonts w:ascii="Arial" w:eastAsia="Arial" w:hAnsi="Arial" w:cs="Arial"/>
        </w:rPr>
      </w:pPr>
      <w:r>
        <w:rPr>
          <w:rFonts w:ascii="Arial" w:eastAsia="Arial" w:hAnsi="Arial" w:cs="Arial"/>
        </w:rPr>
        <w:t>The chapter reflects the research results, where the authors tried to study the occurrence and intensity of depression in young adults in the UK, its scholarly, professional, and social consequences, and the coping strategies and support mechanisms. The results are arranged as per the three research questions starting with the rate and severity of depression, the wider effects of depression on life and finally the coping and support mechanisms. This structure will make sure that the findings are well aligned to the goals and research design of the study.</w:t>
      </w:r>
    </w:p>
    <w:p w14:paraId="4B99FB83" w14:textId="77777777" w:rsidR="00E93BD8" w:rsidRDefault="00000000">
      <w:pPr>
        <w:pStyle w:val="Heading1"/>
        <w:spacing w:line="360" w:lineRule="auto"/>
        <w:rPr>
          <w:rFonts w:ascii="Arial" w:eastAsia="Arial" w:hAnsi="Arial" w:cs="Arial"/>
          <w:b/>
          <w:bCs/>
          <w:color w:val="000000"/>
          <w:sz w:val="24"/>
          <w:szCs w:val="24"/>
        </w:rPr>
      </w:pPr>
      <w:bookmarkStart w:id="40" w:name="_heading=h.atnmezto1p48" w:colFirst="0" w:colLast="0"/>
      <w:bookmarkEnd w:id="40"/>
      <w:r>
        <w:rPr>
          <w:rFonts w:ascii="Arial" w:eastAsia="Arial" w:hAnsi="Arial" w:cs="Arial"/>
          <w:b/>
          <w:bCs/>
          <w:color w:val="000000"/>
          <w:sz w:val="24"/>
          <w:szCs w:val="24"/>
        </w:rPr>
        <w:t>4.2 Overview of Reviewed Studies</w:t>
      </w:r>
    </w:p>
    <w:p w14:paraId="6D52ABC6" w14:textId="77777777" w:rsidR="00E93BD8" w:rsidRDefault="00000000">
      <w:pPr>
        <w:pStyle w:val="Heading3"/>
        <w:spacing w:line="360" w:lineRule="auto"/>
        <w:rPr>
          <w:rFonts w:ascii="Arial" w:eastAsia="Arial" w:hAnsi="Arial" w:cs="Arial"/>
          <w:b/>
          <w:bCs/>
          <w:color w:val="000000"/>
          <w:sz w:val="24"/>
          <w:szCs w:val="24"/>
        </w:rPr>
      </w:pPr>
      <w:bookmarkStart w:id="41" w:name="_heading=h.nrgaaz7dirms" w:colFirst="0" w:colLast="0"/>
      <w:bookmarkEnd w:id="41"/>
      <w:r>
        <w:rPr>
          <w:rFonts w:ascii="Arial" w:eastAsia="Arial" w:hAnsi="Arial" w:cs="Arial"/>
          <w:b/>
          <w:bCs/>
          <w:color w:val="000000"/>
          <w:sz w:val="24"/>
          <w:szCs w:val="24"/>
        </w:rPr>
        <w:t>4.2.1 Search and Screening Outcomes (PRISMA Framework)</w:t>
      </w:r>
    </w:p>
    <w:p w14:paraId="1794CD4F" w14:textId="77777777" w:rsidR="00E93BD8" w:rsidRDefault="00000000">
      <w:pPr>
        <w:spacing w:line="360" w:lineRule="auto"/>
        <w:jc w:val="both"/>
        <w:rPr>
          <w:rFonts w:ascii="Arial" w:eastAsia="Arial" w:hAnsi="Arial" w:cs="Arial"/>
        </w:rPr>
      </w:pPr>
      <w:r>
        <w:rPr>
          <w:rFonts w:ascii="Arial" w:eastAsia="Arial" w:hAnsi="Arial" w:cs="Arial"/>
        </w:rPr>
        <w:t xml:space="preserve">The search and screening procedure </w:t>
      </w:r>
      <w:proofErr w:type="gramStart"/>
      <w:r>
        <w:rPr>
          <w:rFonts w:ascii="Arial" w:eastAsia="Arial" w:hAnsi="Arial" w:cs="Arial"/>
        </w:rPr>
        <w:t>were in compliance with</w:t>
      </w:r>
      <w:proofErr w:type="gramEnd"/>
      <w:r>
        <w:rPr>
          <w:rFonts w:ascii="Arial" w:eastAsia="Arial" w:hAnsi="Arial" w:cs="Arial"/>
        </w:rPr>
        <w:t xml:space="preserve"> PRISMA so that rigour and transparency are maintained. Out of the 96 records obtained in databases, 72 were retained after the elimination of duplicates. After screening title and abstract, 24 articles were eligible to be reviewed in full-</w:t>
      </w:r>
      <w:proofErr w:type="gramStart"/>
      <w:r>
        <w:rPr>
          <w:rFonts w:ascii="Arial" w:eastAsia="Arial" w:hAnsi="Arial" w:cs="Arial"/>
        </w:rPr>
        <w:t>text</w:t>
      </w:r>
      <w:proofErr w:type="gramEnd"/>
      <w:r>
        <w:rPr>
          <w:rFonts w:ascii="Arial" w:eastAsia="Arial" w:hAnsi="Arial" w:cs="Arial"/>
        </w:rPr>
        <w:t xml:space="preserve"> and 13 articles were included at last. The articles analyzed in this paper were published in 2015-2023 and used various methodologies such as quantitative surveys, qualitative interviews, systematic reviews, and mixed-method designs. Together, they offer a wide yet narrow evidence base to the study of depression in young adults in the UK.</w:t>
      </w:r>
    </w:p>
    <w:p w14:paraId="42950546" w14:textId="77777777" w:rsidR="00E93BD8" w:rsidRDefault="00E93BD8">
      <w:pPr>
        <w:spacing w:line="360" w:lineRule="auto"/>
        <w:jc w:val="both"/>
        <w:rPr>
          <w:rFonts w:ascii="Arial" w:eastAsia="Arial" w:hAnsi="Arial" w:cs="Arial"/>
        </w:rPr>
      </w:pPr>
    </w:p>
    <w:p w14:paraId="69F82365" w14:textId="77777777" w:rsidR="00E93BD8" w:rsidRDefault="00E93BD8">
      <w:pPr>
        <w:spacing w:line="360" w:lineRule="auto"/>
        <w:jc w:val="both"/>
        <w:rPr>
          <w:rFonts w:ascii="Arial" w:eastAsia="Arial" w:hAnsi="Arial" w:cs="Arial"/>
        </w:rPr>
      </w:pPr>
    </w:p>
    <w:p w14:paraId="6F72D924" w14:textId="77777777" w:rsidR="00E93BD8" w:rsidRDefault="00E93BD8">
      <w:pPr>
        <w:spacing w:line="360" w:lineRule="auto"/>
        <w:jc w:val="both"/>
        <w:rPr>
          <w:rFonts w:ascii="Arial" w:eastAsia="Arial" w:hAnsi="Arial" w:cs="Arial"/>
        </w:rPr>
      </w:pPr>
    </w:p>
    <w:p w14:paraId="24013929" w14:textId="77777777" w:rsidR="00E93BD8" w:rsidRDefault="00E93BD8">
      <w:pPr>
        <w:spacing w:line="360" w:lineRule="auto"/>
        <w:jc w:val="both"/>
        <w:rPr>
          <w:rFonts w:ascii="Arial" w:eastAsia="Arial" w:hAnsi="Arial" w:cs="Arial"/>
        </w:rPr>
      </w:pPr>
    </w:p>
    <w:p w14:paraId="5DFA8FC4" w14:textId="77777777" w:rsidR="00E93BD8" w:rsidRDefault="00E93BD8">
      <w:pPr>
        <w:spacing w:line="360" w:lineRule="auto"/>
        <w:jc w:val="both"/>
        <w:rPr>
          <w:rFonts w:ascii="Arial" w:eastAsia="Arial" w:hAnsi="Arial" w:cs="Arial"/>
        </w:rPr>
      </w:pPr>
    </w:p>
    <w:p w14:paraId="706A430B" w14:textId="77777777" w:rsidR="00E93BD8" w:rsidRDefault="00E93BD8">
      <w:pPr>
        <w:spacing w:line="360" w:lineRule="auto"/>
        <w:jc w:val="both"/>
        <w:rPr>
          <w:rFonts w:ascii="Arial" w:eastAsia="Arial" w:hAnsi="Arial" w:cs="Arial"/>
        </w:rPr>
      </w:pPr>
    </w:p>
    <w:p w14:paraId="379AEBF7" w14:textId="77777777" w:rsidR="00E93BD8" w:rsidRDefault="00E93BD8">
      <w:pPr>
        <w:spacing w:line="360" w:lineRule="auto"/>
        <w:jc w:val="both"/>
        <w:rPr>
          <w:rFonts w:ascii="Arial" w:eastAsia="Arial" w:hAnsi="Arial" w:cs="Arial"/>
        </w:rPr>
      </w:pPr>
    </w:p>
    <w:p w14:paraId="4D5B3D05" w14:textId="77777777" w:rsidR="00E93BD8" w:rsidRDefault="00E93BD8">
      <w:pPr>
        <w:spacing w:line="360" w:lineRule="auto"/>
        <w:jc w:val="both"/>
        <w:rPr>
          <w:rFonts w:ascii="Arial" w:eastAsia="Arial" w:hAnsi="Arial" w:cs="Arial"/>
        </w:rPr>
      </w:pPr>
    </w:p>
    <w:p w14:paraId="4040BDEF" w14:textId="77777777" w:rsidR="00E93BD8" w:rsidRDefault="00000000">
      <w:pPr>
        <w:spacing w:line="360" w:lineRule="auto"/>
        <w:jc w:val="both"/>
        <w:rPr>
          <w:rFonts w:ascii="Arial" w:eastAsia="Arial" w:hAnsi="Arial" w:cs="Arial"/>
        </w:rPr>
      </w:pPr>
      <w:r>
        <w:rPr>
          <w:noProof/>
        </w:rPr>
        <mc:AlternateContent>
          <mc:Choice Requires="wpg">
            <w:drawing>
              <wp:anchor distT="0" distB="0" distL="114300" distR="114300" simplePos="0" relativeHeight="251658240" behindDoc="0" locked="0" layoutInCell="1" hidden="0" allowOverlap="1" wp14:anchorId="51970394" wp14:editId="2971359C">
                <wp:simplePos x="0" y="0"/>
                <wp:positionH relativeFrom="column">
                  <wp:posOffset>170180</wp:posOffset>
                </wp:positionH>
                <wp:positionV relativeFrom="paragraph">
                  <wp:posOffset>-276224</wp:posOffset>
                </wp:positionV>
                <wp:extent cx="5019675" cy="4612005"/>
                <wp:effectExtent l="0" t="0" r="0" b="0"/>
                <wp:wrapNone/>
                <wp:docPr id="2125133440" name="Group 2125133440"/>
                <wp:cNvGraphicFramePr/>
                <a:graphic xmlns:a="http://schemas.openxmlformats.org/drawingml/2006/main">
                  <a:graphicData uri="http://schemas.microsoft.com/office/word/2010/wordprocessingGroup">
                    <wpg:wgp>
                      <wpg:cNvGrpSpPr/>
                      <wpg:grpSpPr>
                        <a:xfrm>
                          <a:off x="0" y="0"/>
                          <a:ext cx="5019675" cy="4612005"/>
                          <a:chOff x="2829800" y="1467625"/>
                          <a:chExt cx="5032400" cy="4624750"/>
                        </a:xfrm>
                      </wpg:grpSpPr>
                      <wpg:grpSp>
                        <wpg:cNvPr id="2128914456" name="Group 2128914456"/>
                        <wpg:cNvGrpSpPr/>
                        <wpg:grpSpPr>
                          <a:xfrm>
                            <a:off x="2836163" y="1473998"/>
                            <a:ext cx="5019675" cy="4612005"/>
                            <a:chOff x="0" y="0"/>
                            <a:chExt cx="4997303" cy="4593000"/>
                          </a:xfrm>
                        </wpg:grpSpPr>
                        <wps:wsp>
                          <wps:cNvPr id="378717075" name="Rectangle 378717075"/>
                          <wps:cNvSpPr/>
                          <wps:spPr>
                            <a:xfrm>
                              <a:off x="0" y="0"/>
                              <a:ext cx="4997300" cy="4593000"/>
                            </a:xfrm>
                            <a:prstGeom prst="rect">
                              <a:avLst/>
                            </a:prstGeom>
                            <a:noFill/>
                            <a:ln>
                              <a:noFill/>
                            </a:ln>
                          </wps:spPr>
                          <wps:txbx>
                            <w:txbxContent>
                              <w:p w14:paraId="5016ACCF" w14:textId="77777777" w:rsidR="00E93BD8" w:rsidRDefault="00E93BD8">
                                <w:pPr>
                                  <w:spacing w:after="0" w:line="240" w:lineRule="auto"/>
                                  <w:textDirection w:val="btLr"/>
                                </w:pPr>
                              </w:p>
                            </w:txbxContent>
                          </wps:txbx>
                          <wps:bodyPr spcFirstLastPara="1" wrap="square" lIns="91425" tIns="91425" rIns="91425" bIns="91425" anchor="ctr" anchorCtr="0">
                            <a:noAutofit/>
                          </wps:bodyPr>
                        </wps:wsp>
                        <wps:wsp>
                          <wps:cNvPr id="980627558" name="Rectangle 980627558"/>
                          <wps:cNvSpPr/>
                          <wps:spPr>
                            <a:xfrm>
                              <a:off x="0" y="0"/>
                              <a:ext cx="1892300" cy="621119"/>
                            </a:xfrm>
                            <a:prstGeom prst="rect">
                              <a:avLst/>
                            </a:prstGeom>
                            <a:gradFill>
                              <a:gsLst>
                                <a:gs pos="0">
                                  <a:srgbClr val="A6B6DE"/>
                                </a:gs>
                                <a:gs pos="50000">
                                  <a:srgbClr val="98AAD9"/>
                                </a:gs>
                                <a:gs pos="100000">
                                  <a:srgbClr val="859CD7"/>
                                </a:gs>
                              </a:gsLst>
                              <a:lin ang="5400000" scaled="0"/>
                            </a:gradFill>
                            <a:ln w="12700" cap="flat" cmpd="sng">
                              <a:solidFill>
                                <a:srgbClr val="2F5496"/>
                              </a:solidFill>
                              <a:prstDash val="solid"/>
                              <a:miter lim="800000"/>
                              <a:headEnd type="none" w="sm" len="sm"/>
                              <a:tailEnd type="none" w="sm" len="sm"/>
                            </a:ln>
                          </wps:spPr>
                          <wps:txbx>
                            <w:txbxContent>
                              <w:p w14:paraId="6FADA2A1" w14:textId="77777777" w:rsidR="00E93BD8" w:rsidRDefault="00000000">
                                <w:pPr>
                                  <w:spacing w:after="0" w:line="277" w:lineRule="auto"/>
                                  <w:jc w:val="center"/>
                                  <w:textDirection w:val="btLr"/>
                                </w:pPr>
                                <w:r>
                                  <w:rPr>
                                    <w:rFonts w:ascii="Arial" w:eastAsia="Arial" w:hAnsi="Arial" w:cs="Arial"/>
                                    <w:b/>
                                    <w:color w:val="000000"/>
                                    <w:sz w:val="16"/>
                                  </w:rPr>
                                  <w:t>Records identified through database searching</w:t>
                                </w:r>
                              </w:p>
                              <w:p w14:paraId="7344F7B1" w14:textId="77777777" w:rsidR="00E93BD8" w:rsidRDefault="00000000">
                                <w:pPr>
                                  <w:spacing w:after="0" w:line="277" w:lineRule="auto"/>
                                  <w:jc w:val="center"/>
                                  <w:textDirection w:val="btLr"/>
                                </w:pPr>
                                <w:r>
                                  <w:rPr>
                                    <w:rFonts w:ascii="Arial" w:eastAsia="Arial" w:hAnsi="Arial" w:cs="Arial"/>
                                    <w:b/>
                                    <w:color w:val="000000"/>
                                    <w:sz w:val="16"/>
                                  </w:rPr>
                                  <w:t>(n= 87)</w:t>
                                </w:r>
                              </w:p>
                            </w:txbxContent>
                          </wps:txbx>
                          <wps:bodyPr spcFirstLastPara="1" wrap="square" lIns="91425" tIns="45700" rIns="91425" bIns="45700" anchor="ctr" anchorCtr="0">
                            <a:noAutofit/>
                          </wps:bodyPr>
                        </wps:wsp>
                        <wps:wsp>
                          <wps:cNvPr id="1949782307" name="Rectangle 1949782307"/>
                          <wps:cNvSpPr/>
                          <wps:spPr>
                            <a:xfrm>
                              <a:off x="606056" y="1010093"/>
                              <a:ext cx="1892300" cy="605790"/>
                            </a:xfrm>
                            <a:prstGeom prst="rect">
                              <a:avLst/>
                            </a:prstGeom>
                            <a:gradFill>
                              <a:gsLst>
                                <a:gs pos="0">
                                  <a:srgbClr val="A6B6DE"/>
                                </a:gs>
                                <a:gs pos="50000">
                                  <a:srgbClr val="98AAD9"/>
                                </a:gs>
                                <a:gs pos="100000">
                                  <a:srgbClr val="859CD7"/>
                                </a:gs>
                              </a:gsLst>
                              <a:lin ang="5400000" scaled="0"/>
                            </a:gradFill>
                            <a:ln w="12700" cap="flat" cmpd="sng">
                              <a:solidFill>
                                <a:srgbClr val="2F5496"/>
                              </a:solidFill>
                              <a:prstDash val="solid"/>
                              <a:miter lim="800000"/>
                              <a:headEnd type="none" w="sm" len="sm"/>
                              <a:tailEnd type="none" w="sm" len="sm"/>
                            </a:ln>
                          </wps:spPr>
                          <wps:txbx>
                            <w:txbxContent>
                              <w:p w14:paraId="0823632B" w14:textId="77777777" w:rsidR="00E93BD8" w:rsidRDefault="00000000">
                                <w:pPr>
                                  <w:spacing w:after="0" w:line="277" w:lineRule="auto"/>
                                  <w:jc w:val="center"/>
                                  <w:textDirection w:val="btLr"/>
                                </w:pPr>
                                <w:r>
                                  <w:rPr>
                                    <w:rFonts w:ascii="Arial" w:eastAsia="Arial" w:hAnsi="Arial" w:cs="Arial"/>
                                    <w:b/>
                                    <w:color w:val="000000"/>
                                    <w:sz w:val="16"/>
                                  </w:rPr>
                                  <w:t xml:space="preserve">Records after duplicates removed </w:t>
                                </w:r>
                              </w:p>
                              <w:p w14:paraId="50A02AB5" w14:textId="77777777" w:rsidR="00E93BD8" w:rsidRDefault="00000000">
                                <w:pPr>
                                  <w:spacing w:after="0" w:line="277" w:lineRule="auto"/>
                                  <w:jc w:val="center"/>
                                  <w:textDirection w:val="btLr"/>
                                </w:pPr>
                                <w:r>
                                  <w:rPr>
                                    <w:rFonts w:ascii="Arial" w:eastAsia="Arial" w:hAnsi="Arial" w:cs="Arial"/>
                                    <w:b/>
                                    <w:color w:val="000000"/>
                                    <w:sz w:val="16"/>
                                  </w:rPr>
                                  <w:t>(n= 72)</w:t>
                                </w:r>
                              </w:p>
                            </w:txbxContent>
                          </wps:txbx>
                          <wps:bodyPr spcFirstLastPara="1" wrap="square" lIns="91425" tIns="45700" rIns="91425" bIns="45700" anchor="ctr" anchorCtr="0">
                            <a:noAutofit/>
                          </wps:bodyPr>
                        </wps:wsp>
                        <wps:wsp>
                          <wps:cNvPr id="390146520" name="Rectangle 390146520"/>
                          <wps:cNvSpPr/>
                          <wps:spPr>
                            <a:xfrm>
                              <a:off x="2062716" y="0"/>
                              <a:ext cx="1892300" cy="621030"/>
                            </a:xfrm>
                            <a:prstGeom prst="rect">
                              <a:avLst/>
                            </a:prstGeom>
                            <a:gradFill>
                              <a:gsLst>
                                <a:gs pos="0">
                                  <a:srgbClr val="A6B6DE"/>
                                </a:gs>
                                <a:gs pos="50000">
                                  <a:srgbClr val="98AAD9"/>
                                </a:gs>
                                <a:gs pos="100000">
                                  <a:srgbClr val="859CD7"/>
                                </a:gs>
                              </a:gsLst>
                              <a:lin ang="5400000" scaled="0"/>
                            </a:gradFill>
                            <a:ln w="12700" cap="flat" cmpd="sng">
                              <a:solidFill>
                                <a:srgbClr val="2F5496"/>
                              </a:solidFill>
                              <a:prstDash val="solid"/>
                              <a:miter lim="800000"/>
                              <a:headEnd type="none" w="sm" len="sm"/>
                              <a:tailEnd type="none" w="sm" len="sm"/>
                            </a:ln>
                          </wps:spPr>
                          <wps:txbx>
                            <w:txbxContent>
                              <w:p w14:paraId="4B92BA2F" w14:textId="77777777" w:rsidR="00E93BD8" w:rsidRDefault="00000000">
                                <w:pPr>
                                  <w:spacing w:after="0" w:line="277" w:lineRule="auto"/>
                                  <w:jc w:val="center"/>
                                  <w:textDirection w:val="btLr"/>
                                </w:pPr>
                                <w:r>
                                  <w:rPr>
                                    <w:rFonts w:ascii="Arial" w:eastAsia="Arial" w:hAnsi="Arial" w:cs="Arial"/>
                                    <w:b/>
                                    <w:color w:val="000000"/>
                                    <w:sz w:val="16"/>
                                  </w:rPr>
                                  <w:t>Additional records identified through reference chaining and other sources</w:t>
                                </w:r>
                              </w:p>
                              <w:p w14:paraId="56FD67A0" w14:textId="77777777" w:rsidR="00E93BD8" w:rsidRDefault="00000000">
                                <w:pPr>
                                  <w:spacing w:after="0" w:line="277" w:lineRule="auto"/>
                                  <w:jc w:val="center"/>
                                  <w:textDirection w:val="btLr"/>
                                </w:pPr>
                                <w:r>
                                  <w:rPr>
                                    <w:rFonts w:ascii="Arial" w:eastAsia="Arial" w:hAnsi="Arial" w:cs="Arial"/>
                                    <w:b/>
                                    <w:color w:val="000000"/>
                                    <w:sz w:val="16"/>
                                  </w:rPr>
                                  <w:t>(n = 9)</w:t>
                                </w:r>
                              </w:p>
                            </w:txbxContent>
                          </wps:txbx>
                          <wps:bodyPr spcFirstLastPara="1" wrap="square" lIns="91425" tIns="45700" rIns="91425" bIns="45700" anchor="ctr" anchorCtr="0">
                            <a:noAutofit/>
                          </wps:bodyPr>
                        </wps:wsp>
                        <wps:wsp>
                          <wps:cNvPr id="732065983" name="Rectangle 732065983"/>
                          <wps:cNvSpPr/>
                          <wps:spPr>
                            <a:xfrm>
                              <a:off x="606056" y="1988289"/>
                              <a:ext cx="1892596" cy="606055"/>
                            </a:xfrm>
                            <a:prstGeom prst="rect">
                              <a:avLst/>
                            </a:prstGeom>
                            <a:gradFill>
                              <a:gsLst>
                                <a:gs pos="0">
                                  <a:srgbClr val="A6B6DE"/>
                                </a:gs>
                                <a:gs pos="50000">
                                  <a:srgbClr val="98AAD9"/>
                                </a:gs>
                                <a:gs pos="100000">
                                  <a:srgbClr val="859CD7"/>
                                </a:gs>
                              </a:gsLst>
                              <a:lin ang="5400000" scaled="0"/>
                            </a:gradFill>
                            <a:ln w="12700" cap="flat" cmpd="sng">
                              <a:solidFill>
                                <a:srgbClr val="2F5496"/>
                              </a:solidFill>
                              <a:prstDash val="solid"/>
                              <a:miter lim="800000"/>
                              <a:headEnd type="none" w="sm" len="sm"/>
                              <a:tailEnd type="none" w="sm" len="sm"/>
                            </a:ln>
                          </wps:spPr>
                          <wps:txbx>
                            <w:txbxContent>
                              <w:p w14:paraId="2E1B4AE8" w14:textId="77777777" w:rsidR="00E93BD8" w:rsidRDefault="00000000">
                                <w:pPr>
                                  <w:spacing w:after="0" w:line="277" w:lineRule="auto"/>
                                  <w:jc w:val="center"/>
                                  <w:textDirection w:val="btLr"/>
                                </w:pPr>
                                <w:r>
                                  <w:rPr>
                                    <w:rFonts w:ascii="Arial" w:eastAsia="Arial" w:hAnsi="Arial" w:cs="Arial"/>
                                    <w:b/>
                                    <w:color w:val="000000"/>
                                    <w:sz w:val="16"/>
                                  </w:rPr>
                                  <w:t>Records screened (title and abstract)</w:t>
                                </w:r>
                              </w:p>
                              <w:p w14:paraId="681574CE" w14:textId="77777777" w:rsidR="00E93BD8" w:rsidRDefault="00000000">
                                <w:pPr>
                                  <w:spacing w:after="0" w:line="277" w:lineRule="auto"/>
                                  <w:jc w:val="center"/>
                                  <w:textDirection w:val="btLr"/>
                                </w:pPr>
                                <w:r>
                                  <w:rPr>
                                    <w:rFonts w:ascii="Arial" w:eastAsia="Arial" w:hAnsi="Arial" w:cs="Arial"/>
                                    <w:b/>
                                    <w:color w:val="000000"/>
                                    <w:sz w:val="16"/>
                                  </w:rPr>
                                  <w:t>(n =43)</w:t>
                                </w:r>
                              </w:p>
                            </w:txbxContent>
                          </wps:txbx>
                          <wps:bodyPr spcFirstLastPara="1" wrap="square" lIns="91425" tIns="45700" rIns="91425" bIns="45700" anchor="ctr" anchorCtr="0">
                            <a:noAutofit/>
                          </wps:bodyPr>
                        </wps:wsp>
                        <wps:wsp>
                          <wps:cNvPr id="580780734" name="Straight Arrow Connector 580780734"/>
                          <wps:cNvCnPr/>
                          <wps:spPr>
                            <a:xfrm>
                              <a:off x="963132" y="629536"/>
                              <a:ext cx="0" cy="396000"/>
                            </a:xfrm>
                            <a:prstGeom prst="straightConnector1">
                              <a:avLst/>
                            </a:prstGeom>
                            <a:noFill/>
                            <a:ln w="12700" cap="flat" cmpd="sng">
                              <a:solidFill>
                                <a:schemeClr val="accent1"/>
                              </a:solidFill>
                              <a:prstDash val="solid"/>
                              <a:miter lim="800000"/>
                              <a:headEnd type="none" w="sm" len="sm"/>
                              <a:tailEnd type="triangle" w="med" len="med"/>
                            </a:ln>
                          </wps:spPr>
                          <wps:bodyPr/>
                        </wps:wsp>
                        <wps:wsp>
                          <wps:cNvPr id="1420750340" name="Rectangle 1420750340"/>
                          <wps:cNvSpPr/>
                          <wps:spPr>
                            <a:xfrm>
                              <a:off x="3104707" y="2594345"/>
                              <a:ext cx="1892596" cy="606055"/>
                            </a:xfrm>
                            <a:prstGeom prst="rect">
                              <a:avLst/>
                            </a:prstGeom>
                            <a:gradFill>
                              <a:gsLst>
                                <a:gs pos="0">
                                  <a:srgbClr val="A6B6DE"/>
                                </a:gs>
                                <a:gs pos="50000">
                                  <a:srgbClr val="98AAD9"/>
                                </a:gs>
                                <a:gs pos="100000">
                                  <a:srgbClr val="859CD7"/>
                                </a:gs>
                              </a:gsLst>
                              <a:lin ang="5400000" scaled="0"/>
                            </a:gradFill>
                            <a:ln w="12700" cap="flat" cmpd="sng">
                              <a:solidFill>
                                <a:srgbClr val="2F5496"/>
                              </a:solidFill>
                              <a:prstDash val="solid"/>
                              <a:miter lim="800000"/>
                              <a:headEnd type="none" w="sm" len="sm"/>
                              <a:tailEnd type="none" w="sm" len="sm"/>
                            </a:ln>
                          </wps:spPr>
                          <wps:txbx>
                            <w:txbxContent>
                              <w:p w14:paraId="14E592BA" w14:textId="77777777" w:rsidR="00E93BD8" w:rsidRDefault="00000000">
                                <w:pPr>
                                  <w:spacing w:after="0" w:line="277" w:lineRule="auto"/>
                                  <w:jc w:val="center"/>
                                  <w:textDirection w:val="btLr"/>
                                </w:pPr>
                                <w:r>
                                  <w:rPr>
                                    <w:rFonts w:ascii="Arial" w:eastAsia="Arial" w:hAnsi="Arial" w:cs="Arial"/>
                                    <w:b/>
                                    <w:color w:val="000000"/>
                                    <w:sz w:val="16"/>
                                  </w:rPr>
                                  <w:t>Records Excluded</w:t>
                                </w:r>
                              </w:p>
                              <w:p w14:paraId="463AA596" w14:textId="77777777" w:rsidR="00E93BD8" w:rsidRDefault="00000000">
                                <w:pPr>
                                  <w:spacing w:after="0" w:line="277" w:lineRule="auto"/>
                                  <w:jc w:val="center"/>
                                  <w:textDirection w:val="btLr"/>
                                </w:pPr>
                                <w:r>
                                  <w:rPr>
                                    <w:rFonts w:ascii="Arial" w:eastAsia="Arial" w:hAnsi="Arial" w:cs="Arial"/>
                                    <w:b/>
                                    <w:color w:val="000000"/>
                                    <w:sz w:val="16"/>
                                  </w:rPr>
                                  <w:t>(n= 19)</w:t>
                                </w:r>
                              </w:p>
                            </w:txbxContent>
                          </wps:txbx>
                          <wps:bodyPr spcFirstLastPara="1" wrap="square" lIns="91425" tIns="45700" rIns="91425" bIns="45700" anchor="ctr" anchorCtr="0">
                            <a:noAutofit/>
                          </wps:bodyPr>
                        </wps:wsp>
                        <wps:wsp>
                          <wps:cNvPr id="1871335901" name="Rectangle 1871335901"/>
                          <wps:cNvSpPr/>
                          <wps:spPr>
                            <a:xfrm>
                              <a:off x="3104707" y="1626782"/>
                              <a:ext cx="1892596" cy="606055"/>
                            </a:xfrm>
                            <a:prstGeom prst="rect">
                              <a:avLst/>
                            </a:prstGeom>
                            <a:gradFill>
                              <a:gsLst>
                                <a:gs pos="0">
                                  <a:srgbClr val="A6B6DE"/>
                                </a:gs>
                                <a:gs pos="50000">
                                  <a:srgbClr val="98AAD9"/>
                                </a:gs>
                                <a:gs pos="100000">
                                  <a:srgbClr val="859CD7"/>
                                </a:gs>
                              </a:gsLst>
                              <a:lin ang="5400000" scaled="0"/>
                            </a:gradFill>
                            <a:ln w="12700" cap="flat" cmpd="sng">
                              <a:solidFill>
                                <a:srgbClr val="2F5496"/>
                              </a:solidFill>
                              <a:prstDash val="solid"/>
                              <a:miter lim="800000"/>
                              <a:headEnd type="none" w="sm" len="sm"/>
                              <a:tailEnd type="none" w="sm" len="sm"/>
                            </a:ln>
                          </wps:spPr>
                          <wps:txbx>
                            <w:txbxContent>
                              <w:p w14:paraId="431ADED5" w14:textId="77777777" w:rsidR="00E93BD8" w:rsidRDefault="00000000">
                                <w:pPr>
                                  <w:spacing w:after="0" w:line="277" w:lineRule="auto"/>
                                  <w:jc w:val="center"/>
                                  <w:textDirection w:val="btLr"/>
                                </w:pPr>
                                <w:r>
                                  <w:rPr>
                                    <w:rFonts w:ascii="Arial" w:eastAsia="Arial" w:hAnsi="Arial" w:cs="Arial"/>
                                    <w:b/>
                                    <w:color w:val="000000"/>
                                    <w:sz w:val="16"/>
                                  </w:rPr>
                                  <w:t xml:space="preserve">Non-relevant articles excluded </w:t>
                                </w:r>
                              </w:p>
                              <w:p w14:paraId="78E363F2" w14:textId="77777777" w:rsidR="00E93BD8" w:rsidRDefault="00000000">
                                <w:pPr>
                                  <w:spacing w:after="0" w:line="277" w:lineRule="auto"/>
                                  <w:jc w:val="center"/>
                                  <w:textDirection w:val="btLr"/>
                                </w:pPr>
                                <w:r>
                                  <w:rPr>
                                    <w:rFonts w:ascii="Arial" w:eastAsia="Arial" w:hAnsi="Arial" w:cs="Arial"/>
                                    <w:b/>
                                    <w:color w:val="000000"/>
                                    <w:sz w:val="16"/>
                                  </w:rPr>
                                  <w:t>(n= 29)</w:t>
                                </w:r>
                              </w:p>
                            </w:txbxContent>
                          </wps:txbx>
                          <wps:bodyPr spcFirstLastPara="1" wrap="square" lIns="91425" tIns="45700" rIns="91425" bIns="45700" anchor="ctr" anchorCtr="0">
                            <a:noAutofit/>
                          </wps:bodyPr>
                        </wps:wsp>
                        <wps:wsp>
                          <wps:cNvPr id="1553636187" name="Rectangle 1553636187"/>
                          <wps:cNvSpPr/>
                          <wps:spPr>
                            <a:xfrm>
                              <a:off x="606056" y="2998382"/>
                              <a:ext cx="1892596" cy="606055"/>
                            </a:xfrm>
                            <a:prstGeom prst="rect">
                              <a:avLst/>
                            </a:prstGeom>
                            <a:gradFill>
                              <a:gsLst>
                                <a:gs pos="0">
                                  <a:srgbClr val="A6B6DE"/>
                                </a:gs>
                                <a:gs pos="50000">
                                  <a:srgbClr val="98AAD9"/>
                                </a:gs>
                                <a:gs pos="100000">
                                  <a:srgbClr val="859CD7"/>
                                </a:gs>
                              </a:gsLst>
                              <a:lin ang="5400000" scaled="0"/>
                            </a:gradFill>
                            <a:ln w="12700" cap="flat" cmpd="sng">
                              <a:solidFill>
                                <a:srgbClr val="2F5496"/>
                              </a:solidFill>
                              <a:prstDash val="solid"/>
                              <a:miter lim="800000"/>
                              <a:headEnd type="none" w="sm" len="sm"/>
                              <a:tailEnd type="none" w="sm" len="sm"/>
                            </a:ln>
                          </wps:spPr>
                          <wps:txbx>
                            <w:txbxContent>
                              <w:p w14:paraId="74A5F485" w14:textId="77777777" w:rsidR="00E93BD8" w:rsidRDefault="00000000">
                                <w:pPr>
                                  <w:spacing w:after="0" w:line="277" w:lineRule="auto"/>
                                  <w:jc w:val="center"/>
                                  <w:textDirection w:val="btLr"/>
                                </w:pPr>
                                <w:r>
                                  <w:rPr>
                                    <w:rFonts w:ascii="Arial" w:eastAsia="Arial" w:hAnsi="Arial" w:cs="Arial"/>
                                    <w:b/>
                                    <w:color w:val="000000"/>
                                    <w:sz w:val="16"/>
                                  </w:rPr>
                                  <w:t>Full-text articles assessed for eligibility</w:t>
                                </w:r>
                              </w:p>
                              <w:p w14:paraId="1DA28FE6" w14:textId="77777777" w:rsidR="00E93BD8" w:rsidRDefault="00000000">
                                <w:pPr>
                                  <w:spacing w:after="0" w:line="277" w:lineRule="auto"/>
                                  <w:jc w:val="center"/>
                                  <w:textDirection w:val="btLr"/>
                                </w:pPr>
                                <w:r>
                                  <w:rPr>
                                    <w:rFonts w:ascii="Arial" w:eastAsia="Arial" w:hAnsi="Arial" w:cs="Arial"/>
                                    <w:b/>
                                    <w:color w:val="000000"/>
                                    <w:sz w:val="16"/>
                                  </w:rPr>
                                  <w:t>(n= 24)</w:t>
                                </w:r>
                              </w:p>
                            </w:txbxContent>
                          </wps:txbx>
                          <wps:bodyPr spcFirstLastPara="1" wrap="square" lIns="91425" tIns="45700" rIns="91425" bIns="45700" anchor="ctr" anchorCtr="0">
                            <a:noAutofit/>
                          </wps:bodyPr>
                        </wps:wsp>
                        <wps:wsp>
                          <wps:cNvPr id="1410987356" name="Rectangle 1410987356"/>
                          <wps:cNvSpPr/>
                          <wps:spPr>
                            <a:xfrm>
                              <a:off x="3104707" y="3604438"/>
                              <a:ext cx="1892300" cy="536058"/>
                            </a:xfrm>
                            <a:prstGeom prst="rect">
                              <a:avLst/>
                            </a:prstGeom>
                            <a:gradFill>
                              <a:gsLst>
                                <a:gs pos="0">
                                  <a:srgbClr val="A6B6DE"/>
                                </a:gs>
                                <a:gs pos="50000">
                                  <a:srgbClr val="98AAD9"/>
                                </a:gs>
                                <a:gs pos="100000">
                                  <a:srgbClr val="859CD7"/>
                                </a:gs>
                              </a:gsLst>
                              <a:lin ang="5400000" scaled="0"/>
                            </a:gradFill>
                            <a:ln w="12700" cap="flat" cmpd="sng">
                              <a:solidFill>
                                <a:srgbClr val="2F5496"/>
                              </a:solidFill>
                              <a:prstDash val="solid"/>
                              <a:miter lim="800000"/>
                              <a:headEnd type="none" w="sm" len="sm"/>
                              <a:tailEnd type="none" w="sm" len="sm"/>
                            </a:ln>
                          </wps:spPr>
                          <wps:txbx>
                            <w:txbxContent>
                              <w:p w14:paraId="77404E20" w14:textId="77777777" w:rsidR="00E93BD8" w:rsidRDefault="00000000">
                                <w:pPr>
                                  <w:spacing w:after="0" w:line="277" w:lineRule="auto"/>
                                  <w:jc w:val="center"/>
                                  <w:textDirection w:val="btLr"/>
                                </w:pPr>
                                <w:r>
                                  <w:rPr>
                                    <w:rFonts w:ascii="Arial" w:eastAsia="Arial" w:hAnsi="Arial" w:cs="Arial"/>
                                    <w:b/>
                                    <w:color w:val="000000"/>
                                    <w:sz w:val="16"/>
                                  </w:rPr>
                                  <w:t>Full-text articles excluded, with reasons</w:t>
                                </w:r>
                              </w:p>
                              <w:p w14:paraId="79020919" w14:textId="77777777" w:rsidR="00E93BD8" w:rsidRDefault="00000000">
                                <w:pPr>
                                  <w:spacing w:after="0" w:line="277" w:lineRule="auto"/>
                                  <w:jc w:val="center"/>
                                  <w:textDirection w:val="btLr"/>
                                </w:pPr>
                                <w:r>
                                  <w:rPr>
                                    <w:rFonts w:ascii="Arial" w:eastAsia="Arial" w:hAnsi="Arial" w:cs="Arial"/>
                                    <w:b/>
                                    <w:color w:val="000000"/>
                                    <w:sz w:val="16"/>
                                  </w:rPr>
                                  <w:t>(n = 11)</w:t>
                                </w:r>
                              </w:p>
                            </w:txbxContent>
                          </wps:txbx>
                          <wps:bodyPr spcFirstLastPara="1" wrap="square" lIns="91425" tIns="45700" rIns="91425" bIns="45700" anchor="ctr" anchorCtr="0">
                            <a:noAutofit/>
                          </wps:bodyPr>
                        </wps:wsp>
                        <wps:wsp>
                          <wps:cNvPr id="594788217" name="Rectangle 594788217"/>
                          <wps:cNvSpPr/>
                          <wps:spPr>
                            <a:xfrm>
                              <a:off x="606056" y="3987210"/>
                              <a:ext cx="1892300" cy="605790"/>
                            </a:xfrm>
                            <a:prstGeom prst="rect">
                              <a:avLst/>
                            </a:prstGeom>
                            <a:gradFill>
                              <a:gsLst>
                                <a:gs pos="0">
                                  <a:srgbClr val="A6B6DE"/>
                                </a:gs>
                                <a:gs pos="50000">
                                  <a:srgbClr val="98AAD9"/>
                                </a:gs>
                                <a:gs pos="100000">
                                  <a:srgbClr val="859CD7"/>
                                </a:gs>
                              </a:gsLst>
                              <a:lin ang="5400000" scaled="0"/>
                            </a:gradFill>
                            <a:ln w="12700" cap="flat" cmpd="sng">
                              <a:solidFill>
                                <a:srgbClr val="2F5496"/>
                              </a:solidFill>
                              <a:prstDash val="solid"/>
                              <a:miter lim="800000"/>
                              <a:headEnd type="none" w="sm" len="sm"/>
                              <a:tailEnd type="none" w="sm" len="sm"/>
                            </a:ln>
                          </wps:spPr>
                          <wps:txbx>
                            <w:txbxContent>
                              <w:p w14:paraId="279FAC70" w14:textId="77777777" w:rsidR="00E93BD8" w:rsidRDefault="00000000">
                                <w:pPr>
                                  <w:spacing w:after="0" w:line="277" w:lineRule="auto"/>
                                  <w:jc w:val="center"/>
                                  <w:textDirection w:val="btLr"/>
                                </w:pPr>
                                <w:r>
                                  <w:rPr>
                                    <w:rFonts w:ascii="Arial" w:eastAsia="Arial" w:hAnsi="Arial" w:cs="Arial"/>
                                    <w:b/>
                                    <w:color w:val="000000"/>
                                    <w:sz w:val="16"/>
                                  </w:rPr>
                                  <w:t>Studies included in qualitative synthesis</w:t>
                                </w:r>
                              </w:p>
                              <w:p w14:paraId="33A71EC1" w14:textId="77777777" w:rsidR="00E93BD8" w:rsidRDefault="00000000">
                                <w:pPr>
                                  <w:spacing w:after="0" w:line="277" w:lineRule="auto"/>
                                  <w:jc w:val="center"/>
                                  <w:textDirection w:val="btLr"/>
                                </w:pPr>
                                <w:r>
                                  <w:rPr>
                                    <w:rFonts w:ascii="Arial" w:eastAsia="Arial" w:hAnsi="Arial" w:cs="Arial"/>
                                    <w:b/>
                                    <w:color w:val="000000"/>
                                    <w:sz w:val="16"/>
                                  </w:rPr>
                                  <w:t>(n = 13)</w:t>
                                </w:r>
                              </w:p>
                            </w:txbxContent>
                          </wps:txbx>
                          <wps:bodyPr spcFirstLastPara="1" wrap="square" lIns="91425" tIns="45700" rIns="91425" bIns="45700" anchor="ctr" anchorCtr="0">
                            <a:noAutofit/>
                          </wps:bodyPr>
                        </wps:wsp>
                        <wps:wsp>
                          <wps:cNvPr id="1768963859" name="Straight Arrow Connector 1768963859"/>
                          <wps:cNvCnPr/>
                          <wps:spPr>
                            <a:xfrm>
                              <a:off x="2153979" y="629536"/>
                              <a:ext cx="0" cy="396000"/>
                            </a:xfrm>
                            <a:prstGeom prst="straightConnector1">
                              <a:avLst/>
                            </a:prstGeom>
                            <a:noFill/>
                            <a:ln w="12700" cap="flat" cmpd="sng">
                              <a:solidFill>
                                <a:schemeClr val="accent1"/>
                              </a:solidFill>
                              <a:prstDash val="solid"/>
                              <a:miter lim="800000"/>
                              <a:headEnd type="none" w="sm" len="sm"/>
                              <a:tailEnd type="triangle" w="med" len="med"/>
                            </a:ln>
                          </wps:spPr>
                          <wps:bodyPr/>
                        </wps:wsp>
                        <wps:wsp>
                          <wps:cNvPr id="1247033136" name="Straight Arrow Connector 1247033136"/>
                          <wps:cNvCnPr/>
                          <wps:spPr>
                            <a:xfrm>
                              <a:off x="1537291" y="1607732"/>
                              <a:ext cx="0" cy="395605"/>
                            </a:xfrm>
                            <a:prstGeom prst="straightConnector1">
                              <a:avLst/>
                            </a:prstGeom>
                            <a:noFill/>
                            <a:ln w="12700" cap="flat" cmpd="sng">
                              <a:solidFill>
                                <a:schemeClr val="accent1"/>
                              </a:solidFill>
                              <a:prstDash val="solid"/>
                              <a:miter lim="800000"/>
                              <a:headEnd type="none" w="sm" len="sm"/>
                              <a:tailEnd type="triangle" w="med" len="med"/>
                            </a:ln>
                          </wps:spPr>
                          <wps:bodyPr/>
                        </wps:wsp>
                        <wps:wsp>
                          <wps:cNvPr id="1460878508" name="Straight Arrow Connector 1460878508"/>
                          <wps:cNvCnPr/>
                          <wps:spPr>
                            <a:xfrm>
                              <a:off x="1537291" y="2596560"/>
                              <a:ext cx="0" cy="396000"/>
                            </a:xfrm>
                            <a:prstGeom prst="straightConnector1">
                              <a:avLst/>
                            </a:prstGeom>
                            <a:noFill/>
                            <a:ln w="12700" cap="flat" cmpd="sng">
                              <a:solidFill>
                                <a:schemeClr val="accent1"/>
                              </a:solidFill>
                              <a:prstDash val="solid"/>
                              <a:miter lim="800000"/>
                              <a:headEnd type="none" w="sm" len="sm"/>
                              <a:tailEnd type="triangle" w="med" len="med"/>
                            </a:ln>
                          </wps:spPr>
                          <wps:bodyPr/>
                        </wps:wsp>
                        <wps:wsp>
                          <wps:cNvPr id="291162736" name="Straight Arrow Connector 291162736"/>
                          <wps:cNvCnPr/>
                          <wps:spPr>
                            <a:xfrm>
                              <a:off x="1547923" y="3596020"/>
                              <a:ext cx="0" cy="396000"/>
                            </a:xfrm>
                            <a:prstGeom prst="straightConnector1">
                              <a:avLst/>
                            </a:prstGeom>
                            <a:noFill/>
                            <a:ln w="12700" cap="flat" cmpd="sng">
                              <a:solidFill>
                                <a:schemeClr val="accent1"/>
                              </a:solidFill>
                              <a:prstDash val="solid"/>
                              <a:miter lim="800000"/>
                              <a:headEnd type="none" w="sm" len="sm"/>
                              <a:tailEnd type="triangle" w="med" len="med"/>
                            </a:ln>
                          </wps:spPr>
                          <wps:bodyPr/>
                        </wps:wsp>
                        <wps:wsp>
                          <wps:cNvPr id="1971908486" name="Straight Arrow Connector 1971908486"/>
                          <wps:cNvCnPr/>
                          <wps:spPr>
                            <a:xfrm>
                              <a:off x="1533303" y="1792473"/>
                              <a:ext cx="1567416" cy="0"/>
                            </a:xfrm>
                            <a:prstGeom prst="straightConnector1">
                              <a:avLst/>
                            </a:prstGeom>
                            <a:noFill/>
                            <a:ln w="12700" cap="flat" cmpd="sng">
                              <a:solidFill>
                                <a:schemeClr val="accent1"/>
                              </a:solidFill>
                              <a:prstDash val="solid"/>
                              <a:miter lim="800000"/>
                              <a:headEnd type="none" w="sm" len="sm"/>
                              <a:tailEnd type="triangle" w="med" len="med"/>
                            </a:ln>
                          </wps:spPr>
                          <wps:bodyPr/>
                        </wps:wsp>
                        <wps:wsp>
                          <wps:cNvPr id="1071819427" name="Straight Arrow Connector 1071819427"/>
                          <wps:cNvCnPr/>
                          <wps:spPr>
                            <a:xfrm>
                              <a:off x="1554568" y="2802566"/>
                              <a:ext cx="1567416" cy="0"/>
                            </a:xfrm>
                            <a:prstGeom prst="straightConnector1">
                              <a:avLst/>
                            </a:prstGeom>
                            <a:noFill/>
                            <a:ln w="12700" cap="flat" cmpd="sng">
                              <a:solidFill>
                                <a:schemeClr val="accent1"/>
                              </a:solidFill>
                              <a:prstDash val="solid"/>
                              <a:miter lim="800000"/>
                              <a:headEnd type="none" w="sm" len="sm"/>
                              <a:tailEnd type="triangle" w="med" len="med"/>
                            </a:ln>
                          </wps:spPr>
                          <wps:bodyPr/>
                        </wps:wsp>
                        <wps:wsp>
                          <wps:cNvPr id="868774803" name="Straight Arrow Connector 868774803"/>
                          <wps:cNvCnPr/>
                          <wps:spPr>
                            <a:xfrm>
                              <a:off x="1533303" y="3812659"/>
                              <a:ext cx="1567416" cy="0"/>
                            </a:xfrm>
                            <a:prstGeom prst="straightConnector1">
                              <a:avLst/>
                            </a:prstGeom>
                            <a:noFill/>
                            <a:ln w="12700" cap="flat" cmpd="sng">
                              <a:solidFill>
                                <a:schemeClr val="accent1"/>
                              </a:solidFill>
                              <a:prstDash val="solid"/>
                              <a:miter lim="800000"/>
                              <a:headEnd type="none" w="sm" len="sm"/>
                              <a:tailEnd type="triangle" w="med" len="med"/>
                            </a:ln>
                          </wps:spPr>
                          <wps:bodyPr/>
                        </wps:wsp>
                      </wpg:grpSp>
                    </wpg:wgp>
                  </a:graphicData>
                </a:graphic>
              </wp:anchor>
            </w:drawing>
          </mc:Choice>
          <mc:Fallback>
            <w:pict>
              <v:group w14:anchorId="51970394" id="Group 2125133440" o:spid="_x0000_s1026" style="position:absolute;left:0;text-align:left;margin-left:13.4pt;margin-top:-21.75pt;width:395.25pt;height:363.15pt;z-index:251658240" coordorigin="28298,14676" coordsize="50324,462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">
                <v:group id="Group 2128914456" o:spid="_x0000_s1027" style="position:absolute;left:28361;top:14739;width:50197;height:46121" coordsize="49973,459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">
                  <v:rect id="Rectangle 378717075" o:spid="_x0000_s1028" style="position:absolute;width:49973;height:4593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" filled="f" stroked="f">
                    <v:textbox inset="2.53958mm,2.53958mm,2.53958mm,2.53958mm">
                      <w:txbxContent>
                        <w:p w14:paraId="5016ACCF" w14:textId="77777777" w:rsidR="00E93BD8" w:rsidRDefault="00E93BD8">
                          <w:pPr>
                            <w:spacing w:after="0" w:line="240" w:lineRule="auto"/>
                            <w:textDirection w:val="btLr"/>
                          </w:pPr>
                        </w:p>
                      </w:txbxContent>
                    </v:textbox>
                  </v:rect>
                  <v:rect id="Rectangle 980627558" o:spid="_x0000_s1029" style="position:absolute;width:18923;height:621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" fillcolor="#a6b6de" strokecolor="#2f5496" strokeweight="1pt">
                    <v:fill color2="#859cd7" colors="0 #a6b6de;.5 #98aad9;1 #859cd7" focus="100%" type="gradient">
                      <o:fill v:ext="view" type="gradientUnscaled"/>
                    </v:fill>
                    <v:stroke startarrowwidth="narrow" startarrowlength="short" endarrowwidth="narrow" endarrowlength="short"/>
                    <v:textbox inset="2.53958mm,1.2694mm,2.53958mm,1.2694mm">
                      <w:txbxContent>
                        <w:p w14:paraId="6FADA2A1" w14:textId="77777777" w:rsidR="00E93BD8" w:rsidRDefault="00000000">
                          <w:pPr>
                            <w:spacing w:after="0" w:line="277" w:lineRule="auto"/>
                            <w:jc w:val="center"/>
                            <w:textDirection w:val="btLr"/>
                          </w:pPr>
                          <w:r>
                            <w:rPr>
                              <w:rFonts w:ascii="Arial" w:eastAsia="Arial" w:hAnsi="Arial" w:cs="Arial"/>
                              <w:b/>
                              <w:color w:val="000000"/>
                              <w:sz w:val="16"/>
                            </w:rPr>
                            <w:t>Records identified through database searching</w:t>
                          </w:r>
                        </w:p>
                        <w:p w14:paraId="7344F7B1" w14:textId="77777777" w:rsidR="00E93BD8" w:rsidRDefault="00000000">
                          <w:pPr>
                            <w:spacing w:after="0" w:line="277" w:lineRule="auto"/>
                            <w:jc w:val="center"/>
                            <w:textDirection w:val="btLr"/>
                          </w:pPr>
                          <w:r>
                            <w:rPr>
                              <w:rFonts w:ascii="Arial" w:eastAsia="Arial" w:hAnsi="Arial" w:cs="Arial"/>
                              <w:b/>
                              <w:color w:val="000000"/>
                              <w:sz w:val="16"/>
                            </w:rPr>
                            <w:t>(n= 87)</w:t>
                          </w:r>
                        </w:p>
                      </w:txbxContent>
                    </v:textbox>
                  </v:rect>
                  <v:rect id="Rectangle 1949782307" o:spid="_x0000_s1030" style="position:absolute;left:6060;top:10100;width:18923;height:6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" fillcolor="#a6b6de" strokecolor="#2f5496" strokeweight="1pt">
                    <v:fill color2="#859cd7" colors="0 #a6b6de;.5 #98aad9;1 #859cd7" focus="100%" type="gradient">
                      <o:fill v:ext="view" type="gradientUnscaled"/>
                    </v:fill>
                    <v:stroke startarrowwidth="narrow" startarrowlength="short" endarrowwidth="narrow" endarrowlength="short"/>
                    <v:textbox inset="2.53958mm,1.2694mm,2.53958mm,1.2694mm">
                      <w:txbxContent>
                        <w:p w14:paraId="0823632B" w14:textId="77777777" w:rsidR="00E93BD8" w:rsidRDefault="00000000">
                          <w:pPr>
                            <w:spacing w:after="0" w:line="277" w:lineRule="auto"/>
                            <w:jc w:val="center"/>
                            <w:textDirection w:val="btLr"/>
                          </w:pPr>
                          <w:r>
                            <w:rPr>
                              <w:rFonts w:ascii="Arial" w:eastAsia="Arial" w:hAnsi="Arial" w:cs="Arial"/>
                              <w:b/>
                              <w:color w:val="000000"/>
                              <w:sz w:val="16"/>
                            </w:rPr>
                            <w:t xml:space="preserve">Records after duplicates removed </w:t>
                          </w:r>
                        </w:p>
                        <w:p w14:paraId="50A02AB5" w14:textId="77777777" w:rsidR="00E93BD8" w:rsidRDefault="00000000">
                          <w:pPr>
                            <w:spacing w:after="0" w:line="277" w:lineRule="auto"/>
                            <w:jc w:val="center"/>
                            <w:textDirection w:val="btLr"/>
                          </w:pPr>
                          <w:r>
                            <w:rPr>
                              <w:rFonts w:ascii="Arial" w:eastAsia="Arial" w:hAnsi="Arial" w:cs="Arial"/>
                              <w:b/>
                              <w:color w:val="000000"/>
                              <w:sz w:val="16"/>
                            </w:rPr>
                            <w:t>(n= 72)</w:t>
                          </w:r>
                        </w:p>
                      </w:txbxContent>
                    </v:textbox>
                  </v:rect>
                  <v:rect id="Rectangle 390146520" o:spid="_x0000_s1031" style="position:absolute;left:20627;width:18923;height:62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" fillcolor="#a6b6de" strokecolor="#2f5496" strokeweight="1pt">
                    <v:fill color2="#859cd7" colors="0 #a6b6de;.5 #98aad9;1 #859cd7" focus="100%" type="gradient">
                      <o:fill v:ext="view" type="gradientUnscaled"/>
                    </v:fill>
                    <v:stroke startarrowwidth="narrow" startarrowlength="short" endarrowwidth="narrow" endarrowlength="short"/>
                    <v:textbox inset="2.53958mm,1.2694mm,2.53958mm,1.2694mm">
                      <w:txbxContent>
                        <w:p w14:paraId="4B92BA2F" w14:textId="77777777" w:rsidR="00E93BD8" w:rsidRDefault="00000000">
                          <w:pPr>
                            <w:spacing w:after="0" w:line="277" w:lineRule="auto"/>
                            <w:jc w:val="center"/>
                            <w:textDirection w:val="btLr"/>
                          </w:pPr>
                          <w:r>
                            <w:rPr>
                              <w:rFonts w:ascii="Arial" w:eastAsia="Arial" w:hAnsi="Arial" w:cs="Arial"/>
                              <w:b/>
                              <w:color w:val="000000"/>
                              <w:sz w:val="16"/>
                            </w:rPr>
                            <w:t>Additional records identified through reference chaining and other sources</w:t>
                          </w:r>
                        </w:p>
                        <w:p w14:paraId="56FD67A0" w14:textId="77777777" w:rsidR="00E93BD8" w:rsidRDefault="00000000">
                          <w:pPr>
                            <w:spacing w:after="0" w:line="277" w:lineRule="auto"/>
                            <w:jc w:val="center"/>
                            <w:textDirection w:val="btLr"/>
                          </w:pPr>
                          <w:r>
                            <w:rPr>
                              <w:rFonts w:ascii="Arial" w:eastAsia="Arial" w:hAnsi="Arial" w:cs="Arial"/>
                              <w:b/>
                              <w:color w:val="000000"/>
                              <w:sz w:val="16"/>
                            </w:rPr>
                            <w:t>(n = 9)</w:t>
                          </w:r>
                        </w:p>
                      </w:txbxContent>
                    </v:textbox>
                  </v:rect>
                  <v:rect id="Rectangle 732065983" o:spid="_x0000_s1032" style="position:absolute;left:6060;top:19882;width:18926;height:60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" fillcolor="#a6b6de" strokecolor="#2f5496" strokeweight="1pt">
                    <v:fill color2="#859cd7" colors="0 #a6b6de;.5 #98aad9;1 #859cd7" focus="100%" type="gradient">
                      <o:fill v:ext="view" type="gradientUnscaled"/>
                    </v:fill>
                    <v:stroke startarrowwidth="narrow" startarrowlength="short" endarrowwidth="narrow" endarrowlength="short"/>
                    <v:textbox inset="2.53958mm,1.2694mm,2.53958mm,1.2694mm">
                      <w:txbxContent>
                        <w:p w14:paraId="2E1B4AE8" w14:textId="77777777" w:rsidR="00E93BD8" w:rsidRDefault="00000000">
                          <w:pPr>
                            <w:spacing w:after="0" w:line="277" w:lineRule="auto"/>
                            <w:jc w:val="center"/>
                            <w:textDirection w:val="btLr"/>
                          </w:pPr>
                          <w:r>
                            <w:rPr>
                              <w:rFonts w:ascii="Arial" w:eastAsia="Arial" w:hAnsi="Arial" w:cs="Arial"/>
                              <w:b/>
                              <w:color w:val="000000"/>
                              <w:sz w:val="16"/>
                            </w:rPr>
                            <w:t>Records screened (title and abstract)</w:t>
                          </w:r>
                        </w:p>
                        <w:p w14:paraId="681574CE" w14:textId="77777777" w:rsidR="00E93BD8" w:rsidRDefault="00000000">
                          <w:pPr>
                            <w:spacing w:after="0" w:line="277" w:lineRule="auto"/>
                            <w:jc w:val="center"/>
                            <w:textDirection w:val="btLr"/>
                          </w:pPr>
                          <w:r>
                            <w:rPr>
                              <w:rFonts w:ascii="Arial" w:eastAsia="Arial" w:hAnsi="Arial" w:cs="Arial"/>
                              <w:b/>
                              <w:color w:val="000000"/>
                              <w:sz w:val="16"/>
                            </w:rPr>
                            <w:t>(n =43)</w:t>
                          </w:r>
                        </w:p>
                      </w:txbxContent>
                    </v:textbox>
                  </v:rect>
                  <v:shapetype id="_x0000_t32" coordsize="21600,21600" o:spt="32" o:oned="t" path="m,l21600,21600e" filled="f">
                    <v:path arrowok="t" fillok="f" o:connecttype="none"/>
                    <o:lock v:ext="edit" shapetype="t"/>
                  </v:shapetype>
                  <v:shape id="Straight Arrow Connector 580780734" o:spid="_x0000_s1033" type="#_x0000_t32" style="position:absolute;left:9631;top:6295;width:0;height:396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" strokecolor="#5b9bd5 [3204]" strokeweight="1pt">
                    <v:stroke startarrowwidth="narrow" startarrowlength="short" endarrow="block" joinstyle="miter"/>
                  </v:shape>
                  <v:rect id="Rectangle 1420750340" o:spid="_x0000_s1034" style="position:absolute;left:31047;top:25943;width:18926;height:60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" fillcolor="#a6b6de" strokecolor="#2f5496" strokeweight="1pt">
                    <v:fill color2="#859cd7" colors="0 #a6b6de;.5 #98aad9;1 #859cd7" focus="100%" type="gradient">
                      <o:fill v:ext="view" type="gradientUnscaled"/>
                    </v:fill>
                    <v:stroke startarrowwidth="narrow" startarrowlength="short" endarrowwidth="narrow" endarrowlength="short"/>
                    <v:textbox inset="2.53958mm,1.2694mm,2.53958mm,1.2694mm">
                      <w:txbxContent>
                        <w:p w14:paraId="14E592BA" w14:textId="77777777" w:rsidR="00E93BD8" w:rsidRDefault="00000000">
                          <w:pPr>
                            <w:spacing w:after="0" w:line="277" w:lineRule="auto"/>
                            <w:jc w:val="center"/>
                            <w:textDirection w:val="btLr"/>
                          </w:pPr>
                          <w:r>
                            <w:rPr>
                              <w:rFonts w:ascii="Arial" w:eastAsia="Arial" w:hAnsi="Arial" w:cs="Arial"/>
                              <w:b/>
                              <w:color w:val="000000"/>
                              <w:sz w:val="16"/>
                            </w:rPr>
                            <w:t>Records Excluded</w:t>
                          </w:r>
                        </w:p>
                        <w:p w14:paraId="463AA596" w14:textId="77777777" w:rsidR="00E93BD8" w:rsidRDefault="00000000">
                          <w:pPr>
                            <w:spacing w:after="0" w:line="277" w:lineRule="auto"/>
                            <w:jc w:val="center"/>
                            <w:textDirection w:val="btLr"/>
                          </w:pPr>
                          <w:r>
                            <w:rPr>
                              <w:rFonts w:ascii="Arial" w:eastAsia="Arial" w:hAnsi="Arial" w:cs="Arial"/>
                              <w:b/>
                              <w:color w:val="000000"/>
                              <w:sz w:val="16"/>
                            </w:rPr>
                            <w:t>(n= 19)</w:t>
                          </w:r>
                        </w:p>
                      </w:txbxContent>
                    </v:textbox>
                  </v:rect>
                  <v:rect id="Rectangle 1871335901" o:spid="_x0000_s1035" style="position:absolute;left:31047;top:16267;width:18926;height:60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" fillcolor="#a6b6de" strokecolor="#2f5496" strokeweight="1pt">
                    <v:fill color2="#859cd7" colors="0 #a6b6de;.5 #98aad9;1 #859cd7" focus="100%" type="gradient">
                      <o:fill v:ext="view" type="gradientUnscaled"/>
                    </v:fill>
                    <v:stroke startarrowwidth="narrow" startarrowlength="short" endarrowwidth="narrow" endarrowlength="short"/>
                    <v:textbox inset="2.53958mm,1.2694mm,2.53958mm,1.2694mm">
                      <w:txbxContent>
                        <w:p w14:paraId="431ADED5" w14:textId="77777777" w:rsidR="00E93BD8" w:rsidRDefault="00000000">
                          <w:pPr>
                            <w:spacing w:after="0" w:line="277" w:lineRule="auto"/>
                            <w:jc w:val="center"/>
                            <w:textDirection w:val="btLr"/>
                          </w:pPr>
                          <w:r>
                            <w:rPr>
                              <w:rFonts w:ascii="Arial" w:eastAsia="Arial" w:hAnsi="Arial" w:cs="Arial"/>
                              <w:b/>
                              <w:color w:val="000000"/>
                              <w:sz w:val="16"/>
                            </w:rPr>
                            <w:t xml:space="preserve">Non-relevant articles excluded </w:t>
                          </w:r>
                        </w:p>
                        <w:p w14:paraId="78E363F2" w14:textId="77777777" w:rsidR="00E93BD8" w:rsidRDefault="00000000">
                          <w:pPr>
                            <w:spacing w:after="0" w:line="277" w:lineRule="auto"/>
                            <w:jc w:val="center"/>
                            <w:textDirection w:val="btLr"/>
                          </w:pPr>
                          <w:r>
                            <w:rPr>
                              <w:rFonts w:ascii="Arial" w:eastAsia="Arial" w:hAnsi="Arial" w:cs="Arial"/>
                              <w:b/>
                              <w:color w:val="000000"/>
                              <w:sz w:val="16"/>
                            </w:rPr>
                            <w:t>(n= 29)</w:t>
                          </w:r>
                        </w:p>
                      </w:txbxContent>
                    </v:textbox>
                  </v:rect>
                  <v:rect id="Rectangle 1553636187" o:spid="_x0000_s1036" style="position:absolute;left:6060;top:29983;width:18926;height:60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" fillcolor="#a6b6de" strokecolor="#2f5496" strokeweight="1pt">
                    <v:fill color2="#859cd7" colors="0 #a6b6de;.5 #98aad9;1 #859cd7" focus="100%" type="gradient">
                      <o:fill v:ext="view" type="gradientUnscaled"/>
                    </v:fill>
                    <v:stroke startarrowwidth="narrow" startarrowlength="short" endarrowwidth="narrow" endarrowlength="short"/>
                    <v:textbox inset="2.53958mm,1.2694mm,2.53958mm,1.2694mm">
                      <w:txbxContent>
                        <w:p w14:paraId="74A5F485" w14:textId="77777777" w:rsidR="00E93BD8" w:rsidRDefault="00000000">
                          <w:pPr>
                            <w:spacing w:after="0" w:line="277" w:lineRule="auto"/>
                            <w:jc w:val="center"/>
                            <w:textDirection w:val="btLr"/>
                          </w:pPr>
                          <w:r>
                            <w:rPr>
                              <w:rFonts w:ascii="Arial" w:eastAsia="Arial" w:hAnsi="Arial" w:cs="Arial"/>
                              <w:b/>
                              <w:color w:val="000000"/>
                              <w:sz w:val="16"/>
                            </w:rPr>
                            <w:t>Full-text articles assessed for eligibility</w:t>
                          </w:r>
                        </w:p>
                        <w:p w14:paraId="1DA28FE6" w14:textId="77777777" w:rsidR="00E93BD8" w:rsidRDefault="00000000">
                          <w:pPr>
                            <w:spacing w:after="0" w:line="277" w:lineRule="auto"/>
                            <w:jc w:val="center"/>
                            <w:textDirection w:val="btLr"/>
                          </w:pPr>
                          <w:r>
                            <w:rPr>
                              <w:rFonts w:ascii="Arial" w:eastAsia="Arial" w:hAnsi="Arial" w:cs="Arial"/>
                              <w:b/>
                              <w:color w:val="000000"/>
                              <w:sz w:val="16"/>
                            </w:rPr>
                            <w:t>(n= 24)</w:t>
                          </w:r>
                        </w:p>
                      </w:txbxContent>
                    </v:textbox>
                  </v:rect>
                  <v:rect id="Rectangle 1410987356" o:spid="_x0000_s1037" style="position:absolute;left:31047;top:36044;width:18923;height:53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" fillcolor="#a6b6de" strokecolor="#2f5496" strokeweight="1pt">
                    <v:fill color2="#859cd7" colors="0 #a6b6de;.5 #98aad9;1 #859cd7" focus="100%" type="gradient">
                      <o:fill v:ext="view" type="gradientUnscaled"/>
                    </v:fill>
                    <v:stroke startarrowwidth="narrow" startarrowlength="short" endarrowwidth="narrow" endarrowlength="short"/>
                    <v:textbox inset="2.53958mm,1.2694mm,2.53958mm,1.2694mm">
                      <w:txbxContent>
                        <w:p w14:paraId="77404E20" w14:textId="77777777" w:rsidR="00E93BD8" w:rsidRDefault="00000000">
                          <w:pPr>
                            <w:spacing w:after="0" w:line="277" w:lineRule="auto"/>
                            <w:jc w:val="center"/>
                            <w:textDirection w:val="btLr"/>
                          </w:pPr>
                          <w:r>
                            <w:rPr>
                              <w:rFonts w:ascii="Arial" w:eastAsia="Arial" w:hAnsi="Arial" w:cs="Arial"/>
                              <w:b/>
                              <w:color w:val="000000"/>
                              <w:sz w:val="16"/>
                            </w:rPr>
                            <w:t>Full-text articles excluded, with reasons</w:t>
                          </w:r>
                        </w:p>
                        <w:p w14:paraId="79020919" w14:textId="77777777" w:rsidR="00E93BD8" w:rsidRDefault="00000000">
                          <w:pPr>
                            <w:spacing w:after="0" w:line="277" w:lineRule="auto"/>
                            <w:jc w:val="center"/>
                            <w:textDirection w:val="btLr"/>
                          </w:pPr>
                          <w:r>
                            <w:rPr>
                              <w:rFonts w:ascii="Arial" w:eastAsia="Arial" w:hAnsi="Arial" w:cs="Arial"/>
                              <w:b/>
                              <w:color w:val="000000"/>
                              <w:sz w:val="16"/>
                            </w:rPr>
                            <w:t>(n = 11)</w:t>
                          </w:r>
                        </w:p>
                      </w:txbxContent>
                    </v:textbox>
                  </v:rect>
                  <v:rect id="Rectangle 594788217" o:spid="_x0000_s1038" style="position:absolute;left:6060;top:39872;width:18923;height:6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" fillcolor="#a6b6de" strokecolor="#2f5496" strokeweight="1pt">
                    <v:fill color2="#859cd7" colors="0 #a6b6de;.5 #98aad9;1 #859cd7" focus="100%" type="gradient">
                      <o:fill v:ext="view" type="gradientUnscaled"/>
                    </v:fill>
                    <v:stroke startarrowwidth="narrow" startarrowlength="short" endarrowwidth="narrow" endarrowlength="short"/>
                    <v:textbox inset="2.53958mm,1.2694mm,2.53958mm,1.2694mm">
                      <w:txbxContent>
                        <w:p w14:paraId="279FAC70" w14:textId="77777777" w:rsidR="00E93BD8" w:rsidRDefault="00000000">
                          <w:pPr>
                            <w:spacing w:after="0" w:line="277" w:lineRule="auto"/>
                            <w:jc w:val="center"/>
                            <w:textDirection w:val="btLr"/>
                          </w:pPr>
                          <w:r>
                            <w:rPr>
                              <w:rFonts w:ascii="Arial" w:eastAsia="Arial" w:hAnsi="Arial" w:cs="Arial"/>
                              <w:b/>
                              <w:color w:val="000000"/>
                              <w:sz w:val="16"/>
                            </w:rPr>
                            <w:t>Studies included in qualitative synthesis</w:t>
                          </w:r>
                        </w:p>
                        <w:p w14:paraId="33A71EC1" w14:textId="77777777" w:rsidR="00E93BD8" w:rsidRDefault="00000000">
                          <w:pPr>
                            <w:spacing w:after="0" w:line="277" w:lineRule="auto"/>
                            <w:jc w:val="center"/>
                            <w:textDirection w:val="btLr"/>
                          </w:pPr>
                          <w:r>
                            <w:rPr>
                              <w:rFonts w:ascii="Arial" w:eastAsia="Arial" w:hAnsi="Arial" w:cs="Arial"/>
                              <w:b/>
                              <w:color w:val="000000"/>
                              <w:sz w:val="16"/>
                            </w:rPr>
                            <w:t>(n = 13)</w:t>
                          </w:r>
                        </w:p>
                      </w:txbxContent>
                    </v:textbox>
                  </v:rect>
                  <v:shape id="Straight Arrow Connector 1768963859" o:spid="_x0000_s1039" type="#_x0000_t32" style="position:absolute;left:21539;top:6295;width:0;height:396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" strokecolor="#5b9bd5 [3204]" strokeweight="1pt">
                    <v:stroke startarrowwidth="narrow" startarrowlength="short" endarrow="block" joinstyle="miter"/>
                  </v:shape>
                  <v:shape id="Straight Arrow Connector 1247033136" o:spid="_x0000_s1040" type="#_x0000_t32" style="position:absolute;left:15372;top:16077;width:0;height:395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" strokecolor="#5b9bd5 [3204]" strokeweight="1pt">
                    <v:stroke startarrowwidth="narrow" startarrowlength="short" endarrow="block" joinstyle="miter"/>
                  </v:shape>
                  <v:shape id="Straight Arrow Connector 1460878508" o:spid="_x0000_s1041" type="#_x0000_t32" style="position:absolute;left:15372;top:25965;width:0;height:396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" strokecolor="#5b9bd5 [3204]" strokeweight="1pt">
                    <v:stroke startarrowwidth="narrow" startarrowlength="short" endarrow="block" joinstyle="miter"/>
                  </v:shape>
                  <v:shape id="Straight Arrow Connector 291162736" o:spid="_x0000_s1042" type="#_x0000_t32" style="position:absolute;left:15479;top:35960;width:0;height:396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" strokecolor="#5b9bd5 [3204]" strokeweight="1pt">
                    <v:stroke startarrowwidth="narrow" startarrowlength="short" endarrow="block" joinstyle="miter"/>
                  </v:shape>
                  <v:shape id="Straight Arrow Connector 1971908486" o:spid="_x0000_s1043" type="#_x0000_t32" style="position:absolute;left:15333;top:17924;width:1567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" strokecolor="#5b9bd5 [3204]" strokeweight="1pt">
                    <v:stroke startarrowwidth="narrow" startarrowlength="short" endarrow="block" joinstyle="miter"/>
                  </v:shape>
                  <v:shape id="Straight Arrow Connector 1071819427" o:spid="_x0000_s1044" type="#_x0000_t32" style="position:absolute;left:15545;top:28025;width:1567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" strokecolor="#5b9bd5 [3204]" strokeweight="1pt">
                    <v:stroke startarrowwidth="narrow" startarrowlength="short" endarrow="block" joinstyle="miter"/>
                  </v:shape>
                  <v:shape id="Straight Arrow Connector 868774803" o:spid="_x0000_s1045" type="#_x0000_t32" style="position:absolute;left:15333;top:38126;width:1567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" strokecolor="#5b9bd5 [3204]" strokeweight="1pt">
                    <v:stroke startarrowwidth="narrow" startarrowlength="short" endarrow="block" joinstyle="miter"/>
                  </v:shape>
                </v:group>
              </v:group>
            </w:pict>
          </mc:Fallback>
        </mc:AlternateContent>
      </w:r>
    </w:p>
    <w:p w14:paraId="0EC360DB" w14:textId="77777777" w:rsidR="00E93BD8" w:rsidRDefault="00E93BD8">
      <w:pPr>
        <w:spacing w:line="360" w:lineRule="auto"/>
        <w:jc w:val="both"/>
        <w:rPr>
          <w:rFonts w:ascii="Arial" w:eastAsia="Arial" w:hAnsi="Arial" w:cs="Arial"/>
        </w:rPr>
      </w:pPr>
    </w:p>
    <w:p w14:paraId="78675BAA" w14:textId="77777777" w:rsidR="00E93BD8" w:rsidRDefault="00E93BD8">
      <w:pPr>
        <w:spacing w:line="360" w:lineRule="auto"/>
        <w:jc w:val="both"/>
        <w:rPr>
          <w:rFonts w:ascii="Arial" w:eastAsia="Arial" w:hAnsi="Arial" w:cs="Arial"/>
        </w:rPr>
      </w:pPr>
    </w:p>
    <w:p w14:paraId="30348C1C" w14:textId="77777777" w:rsidR="00E93BD8" w:rsidRDefault="00E93BD8">
      <w:pPr>
        <w:spacing w:line="360" w:lineRule="auto"/>
        <w:jc w:val="both"/>
        <w:rPr>
          <w:rFonts w:ascii="Arial" w:eastAsia="Arial" w:hAnsi="Arial" w:cs="Arial"/>
        </w:rPr>
      </w:pPr>
    </w:p>
    <w:p w14:paraId="6AEFD1AE" w14:textId="77777777" w:rsidR="00E93BD8" w:rsidRDefault="00E93BD8">
      <w:pPr>
        <w:spacing w:line="360" w:lineRule="auto"/>
        <w:jc w:val="both"/>
        <w:rPr>
          <w:rFonts w:ascii="Arial" w:eastAsia="Arial" w:hAnsi="Arial" w:cs="Arial"/>
        </w:rPr>
      </w:pPr>
    </w:p>
    <w:p w14:paraId="0D4BF34E" w14:textId="77777777" w:rsidR="00E93BD8" w:rsidRDefault="00E93BD8">
      <w:pPr>
        <w:spacing w:line="360" w:lineRule="auto"/>
        <w:jc w:val="both"/>
        <w:rPr>
          <w:rFonts w:ascii="Arial" w:eastAsia="Arial" w:hAnsi="Arial" w:cs="Arial"/>
        </w:rPr>
      </w:pPr>
    </w:p>
    <w:p w14:paraId="35C1AAD0" w14:textId="77777777" w:rsidR="00E93BD8" w:rsidRDefault="00E93BD8">
      <w:pPr>
        <w:spacing w:line="360" w:lineRule="auto"/>
        <w:jc w:val="both"/>
        <w:rPr>
          <w:rFonts w:ascii="Arial" w:eastAsia="Arial" w:hAnsi="Arial" w:cs="Arial"/>
        </w:rPr>
      </w:pPr>
    </w:p>
    <w:p w14:paraId="61C2BF3C" w14:textId="77777777" w:rsidR="00E93BD8" w:rsidRDefault="00E93BD8">
      <w:pPr>
        <w:spacing w:line="360" w:lineRule="auto"/>
        <w:jc w:val="both"/>
        <w:rPr>
          <w:rFonts w:ascii="Arial" w:eastAsia="Arial" w:hAnsi="Arial" w:cs="Arial"/>
        </w:rPr>
      </w:pPr>
    </w:p>
    <w:p w14:paraId="072F3A31" w14:textId="77777777" w:rsidR="00E93BD8" w:rsidRDefault="00E93BD8">
      <w:pPr>
        <w:spacing w:line="360" w:lineRule="auto"/>
        <w:jc w:val="both"/>
        <w:rPr>
          <w:rFonts w:ascii="Arial" w:eastAsia="Arial" w:hAnsi="Arial" w:cs="Arial"/>
        </w:rPr>
      </w:pPr>
    </w:p>
    <w:p w14:paraId="39D811AA" w14:textId="77777777" w:rsidR="00E93BD8" w:rsidRDefault="00E93BD8">
      <w:pPr>
        <w:spacing w:line="360" w:lineRule="auto"/>
        <w:jc w:val="both"/>
        <w:rPr>
          <w:rFonts w:ascii="Arial" w:eastAsia="Arial" w:hAnsi="Arial" w:cs="Arial"/>
        </w:rPr>
      </w:pPr>
    </w:p>
    <w:p w14:paraId="312A7283" w14:textId="77777777" w:rsidR="00E93BD8" w:rsidRDefault="00E93BD8">
      <w:pPr>
        <w:spacing w:line="360" w:lineRule="auto"/>
        <w:jc w:val="both"/>
        <w:rPr>
          <w:rFonts w:ascii="Arial" w:eastAsia="Arial" w:hAnsi="Arial" w:cs="Arial"/>
        </w:rPr>
      </w:pPr>
    </w:p>
    <w:p w14:paraId="4477D791" w14:textId="77777777" w:rsidR="00E93BD8" w:rsidRDefault="00E93BD8">
      <w:pPr>
        <w:spacing w:line="360" w:lineRule="auto"/>
        <w:jc w:val="both"/>
        <w:rPr>
          <w:rFonts w:ascii="Arial" w:eastAsia="Arial" w:hAnsi="Arial" w:cs="Arial"/>
        </w:rPr>
      </w:pPr>
    </w:p>
    <w:p w14:paraId="4495B68F" w14:textId="77777777" w:rsidR="00E93BD8" w:rsidRDefault="00E93BD8">
      <w:pPr>
        <w:spacing w:line="360" w:lineRule="auto"/>
        <w:jc w:val="both"/>
        <w:rPr>
          <w:rFonts w:ascii="Arial" w:eastAsia="Arial" w:hAnsi="Arial" w:cs="Arial"/>
        </w:rPr>
      </w:pPr>
    </w:p>
    <w:p w14:paraId="3E896078" w14:textId="77777777" w:rsidR="00E93BD8" w:rsidRDefault="00000000">
      <w:pPr>
        <w:spacing w:line="360" w:lineRule="auto"/>
        <w:jc w:val="both"/>
        <w:rPr>
          <w:rFonts w:ascii="Arial" w:eastAsia="Arial" w:hAnsi="Arial" w:cs="Arial"/>
        </w:rPr>
      </w:pPr>
      <w:r>
        <w:rPr>
          <w:rFonts w:ascii="Arial" w:eastAsia="Arial" w:hAnsi="Arial" w:cs="Arial"/>
        </w:rPr>
        <w:t xml:space="preserve">Figure 4.1: PRISMA Framework for the study </w:t>
      </w:r>
      <w:r>
        <w:rPr>
          <w:rFonts w:ascii="Arial" w:eastAsia="Arial" w:hAnsi="Arial" w:cs="Arial"/>
        </w:rPr>
        <w:tab/>
        <w:t>(Source: Author’s Own, 2025)</w:t>
      </w:r>
    </w:p>
    <w:p w14:paraId="3746B13D" w14:textId="77777777" w:rsidR="00E93BD8" w:rsidRDefault="00000000">
      <w:pPr>
        <w:spacing w:line="360" w:lineRule="auto"/>
        <w:jc w:val="both"/>
        <w:rPr>
          <w:rFonts w:ascii="Arial" w:eastAsia="Arial" w:hAnsi="Arial" w:cs="Arial"/>
        </w:rPr>
      </w:pPr>
      <w:r>
        <w:rPr>
          <w:rFonts w:ascii="Arial" w:eastAsia="Arial" w:hAnsi="Arial" w:cs="Arial"/>
        </w:rPr>
        <w:t xml:space="preserve">In addition, seminal works such as Beck’s (1967) Cognitive Theory of Depression and Smith and Blackwood’s (2004) clinical overview of depression among young adults were considered to provide theoretical and conceptual grounding for this review. These foundational studies informed the interpretation of contemporary evidence, ensuring that recent findings were </w:t>
      </w:r>
      <w:proofErr w:type="spellStart"/>
      <w:r>
        <w:rPr>
          <w:rFonts w:ascii="Arial" w:eastAsia="Arial" w:hAnsi="Arial" w:cs="Arial"/>
        </w:rPr>
        <w:t>contextualised</w:t>
      </w:r>
      <w:proofErr w:type="spellEnd"/>
      <w:r>
        <w:rPr>
          <w:rFonts w:ascii="Arial" w:eastAsia="Arial" w:hAnsi="Arial" w:cs="Arial"/>
        </w:rPr>
        <w:t xml:space="preserve"> within well-established psychological and clinical frameworks.</w:t>
      </w:r>
    </w:p>
    <w:p w14:paraId="2E0A3C3D" w14:textId="77777777" w:rsidR="00E93BD8" w:rsidRDefault="00000000">
      <w:pPr>
        <w:pStyle w:val="Heading3"/>
        <w:spacing w:line="360" w:lineRule="auto"/>
        <w:rPr>
          <w:rFonts w:ascii="Arial" w:eastAsia="Arial" w:hAnsi="Arial" w:cs="Arial"/>
          <w:b/>
          <w:bCs/>
          <w:color w:val="000000"/>
          <w:sz w:val="24"/>
          <w:szCs w:val="24"/>
        </w:rPr>
      </w:pPr>
      <w:bookmarkStart w:id="42" w:name="_heading=h.y2ezt96uk4jn" w:colFirst="0" w:colLast="0"/>
      <w:bookmarkEnd w:id="42"/>
      <w:r>
        <w:rPr>
          <w:rFonts w:ascii="Arial" w:eastAsia="Arial" w:hAnsi="Arial" w:cs="Arial"/>
          <w:b/>
          <w:bCs/>
          <w:color w:val="000000"/>
          <w:sz w:val="24"/>
          <w:szCs w:val="24"/>
        </w:rPr>
        <w:t>4.2.2 Journal Categories of Included Studies</w:t>
      </w:r>
    </w:p>
    <w:p w14:paraId="59B5CA26" w14:textId="77777777" w:rsidR="00E93BD8" w:rsidRDefault="00000000">
      <w:pPr>
        <w:spacing w:line="360" w:lineRule="auto"/>
        <w:jc w:val="both"/>
        <w:rPr>
          <w:rFonts w:ascii="Arial" w:eastAsia="Arial" w:hAnsi="Arial" w:cs="Arial"/>
        </w:rPr>
      </w:pPr>
      <w:r>
        <w:rPr>
          <w:rFonts w:ascii="Arial" w:eastAsia="Arial" w:hAnsi="Arial" w:cs="Arial"/>
        </w:rPr>
        <w:t>Table 4.1: Journal categories of included studies</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E93BD8" w14:paraId="4F45E76F" w14:textId="77777777">
        <w:trPr>
          <w:trHeight w:val="77"/>
        </w:trPr>
        <w:tc>
          <w:tcPr>
            <w:tcW w:w="3116" w:type="dxa"/>
          </w:tcPr>
          <w:p w14:paraId="2E18F36A" w14:textId="77777777" w:rsidR="00E93BD8" w:rsidRDefault="00000000">
            <w:pPr>
              <w:spacing w:line="360" w:lineRule="auto"/>
              <w:jc w:val="both"/>
              <w:rPr>
                <w:rFonts w:ascii="Arial" w:eastAsia="Arial" w:hAnsi="Arial" w:cs="Arial"/>
                <w:b/>
                <w:bCs/>
              </w:rPr>
            </w:pPr>
            <w:r>
              <w:rPr>
                <w:rFonts w:ascii="Arial" w:eastAsia="Arial" w:hAnsi="Arial" w:cs="Arial"/>
                <w:b/>
                <w:bCs/>
              </w:rPr>
              <w:lastRenderedPageBreak/>
              <w:t>Journal Category</w:t>
            </w:r>
          </w:p>
        </w:tc>
        <w:tc>
          <w:tcPr>
            <w:tcW w:w="3117" w:type="dxa"/>
          </w:tcPr>
          <w:p w14:paraId="0E3EFAA9" w14:textId="77777777" w:rsidR="00E93BD8" w:rsidRDefault="00000000">
            <w:pPr>
              <w:spacing w:line="360" w:lineRule="auto"/>
              <w:jc w:val="both"/>
              <w:rPr>
                <w:rFonts w:ascii="Arial" w:eastAsia="Arial" w:hAnsi="Arial" w:cs="Arial"/>
                <w:b/>
                <w:bCs/>
              </w:rPr>
            </w:pPr>
            <w:r>
              <w:rPr>
                <w:rFonts w:ascii="Arial" w:eastAsia="Arial" w:hAnsi="Arial" w:cs="Arial"/>
                <w:b/>
                <w:bCs/>
              </w:rPr>
              <w:t>Frequency</w:t>
            </w:r>
          </w:p>
        </w:tc>
        <w:tc>
          <w:tcPr>
            <w:tcW w:w="3117" w:type="dxa"/>
          </w:tcPr>
          <w:p w14:paraId="2122CE02" w14:textId="77777777" w:rsidR="00E93BD8" w:rsidRDefault="00000000">
            <w:pPr>
              <w:spacing w:line="360" w:lineRule="auto"/>
              <w:jc w:val="both"/>
              <w:rPr>
                <w:rFonts w:ascii="Arial" w:eastAsia="Arial" w:hAnsi="Arial" w:cs="Arial"/>
                <w:b/>
                <w:bCs/>
              </w:rPr>
            </w:pPr>
            <w:r>
              <w:rPr>
                <w:rFonts w:ascii="Arial" w:eastAsia="Arial" w:hAnsi="Arial" w:cs="Arial"/>
                <w:b/>
                <w:bCs/>
              </w:rPr>
              <w:t>Percentage (%)</w:t>
            </w:r>
          </w:p>
        </w:tc>
      </w:tr>
      <w:tr w:rsidR="00E93BD8" w14:paraId="26889A06" w14:textId="77777777">
        <w:tc>
          <w:tcPr>
            <w:tcW w:w="3116" w:type="dxa"/>
          </w:tcPr>
          <w:p w14:paraId="47CC7CD1" w14:textId="77777777" w:rsidR="00E93BD8" w:rsidRDefault="00000000">
            <w:pPr>
              <w:spacing w:line="360" w:lineRule="auto"/>
              <w:jc w:val="both"/>
              <w:rPr>
                <w:rFonts w:ascii="Arial" w:eastAsia="Arial" w:hAnsi="Arial" w:cs="Arial"/>
              </w:rPr>
            </w:pPr>
            <w:r>
              <w:rPr>
                <w:rFonts w:ascii="Arial" w:eastAsia="Arial" w:hAnsi="Arial" w:cs="Arial"/>
              </w:rPr>
              <w:t>Psychiatry and Mental Health</w:t>
            </w:r>
          </w:p>
        </w:tc>
        <w:tc>
          <w:tcPr>
            <w:tcW w:w="3117" w:type="dxa"/>
          </w:tcPr>
          <w:p w14:paraId="0ADD428F" w14:textId="77777777" w:rsidR="00E93BD8" w:rsidRDefault="00000000">
            <w:pPr>
              <w:spacing w:line="360" w:lineRule="auto"/>
              <w:jc w:val="both"/>
              <w:rPr>
                <w:rFonts w:ascii="Arial" w:eastAsia="Arial" w:hAnsi="Arial" w:cs="Arial"/>
              </w:rPr>
            </w:pPr>
            <w:r>
              <w:rPr>
                <w:rFonts w:ascii="Arial" w:eastAsia="Arial" w:hAnsi="Arial" w:cs="Arial"/>
              </w:rPr>
              <w:t>5</w:t>
            </w:r>
          </w:p>
        </w:tc>
        <w:tc>
          <w:tcPr>
            <w:tcW w:w="3117" w:type="dxa"/>
          </w:tcPr>
          <w:p w14:paraId="654F1940" w14:textId="77777777" w:rsidR="00E93BD8" w:rsidRDefault="00000000">
            <w:pPr>
              <w:spacing w:line="360" w:lineRule="auto"/>
              <w:jc w:val="both"/>
              <w:rPr>
                <w:rFonts w:ascii="Arial" w:eastAsia="Arial" w:hAnsi="Arial" w:cs="Arial"/>
              </w:rPr>
            </w:pPr>
            <w:r>
              <w:rPr>
                <w:rFonts w:ascii="Arial" w:eastAsia="Arial" w:hAnsi="Arial" w:cs="Arial"/>
              </w:rPr>
              <w:t>38.46</w:t>
            </w:r>
          </w:p>
        </w:tc>
      </w:tr>
      <w:tr w:rsidR="00E93BD8" w14:paraId="5D3CD0C7" w14:textId="77777777">
        <w:tc>
          <w:tcPr>
            <w:tcW w:w="3116" w:type="dxa"/>
          </w:tcPr>
          <w:p w14:paraId="61898FA0" w14:textId="77777777" w:rsidR="00E93BD8" w:rsidRDefault="00000000">
            <w:pPr>
              <w:spacing w:line="360" w:lineRule="auto"/>
              <w:jc w:val="both"/>
              <w:rPr>
                <w:rFonts w:ascii="Arial" w:eastAsia="Arial" w:hAnsi="Arial" w:cs="Arial"/>
              </w:rPr>
            </w:pPr>
            <w:r>
              <w:rPr>
                <w:rFonts w:ascii="Arial" w:eastAsia="Arial" w:hAnsi="Arial" w:cs="Arial"/>
              </w:rPr>
              <w:t>Public Health and General Practice</w:t>
            </w:r>
          </w:p>
        </w:tc>
        <w:tc>
          <w:tcPr>
            <w:tcW w:w="3117" w:type="dxa"/>
          </w:tcPr>
          <w:p w14:paraId="7557D6D9" w14:textId="77777777" w:rsidR="00E93BD8" w:rsidRDefault="00000000">
            <w:pPr>
              <w:spacing w:line="360" w:lineRule="auto"/>
              <w:jc w:val="both"/>
              <w:rPr>
                <w:rFonts w:ascii="Arial" w:eastAsia="Arial" w:hAnsi="Arial" w:cs="Arial"/>
              </w:rPr>
            </w:pPr>
            <w:r>
              <w:rPr>
                <w:rFonts w:ascii="Arial" w:eastAsia="Arial" w:hAnsi="Arial" w:cs="Arial"/>
              </w:rPr>
              <w:t>2</w:t>
            </w:r>
          </w:p>
        </w:tc>
        <w:tc>
          <w:tcPr>
            <w:tcW w:w="3117" w:type="dxa"/>
          </w:tcPr>
          <w:p w14:paraId="45DA27FC" w14:textId="77777777" w:rsidR="00E93BD8" w:rsidRDefault="00000000">
            <w:pPr>
              <w:spacing w:line="360" w:lineRule="auto"/>
              <w:jc w:val="both"/>
              <w:rPr>
                <w:rFonts w:ascii="Arial" w:eastAsia="Arial" w:hAnsi="Arial" w:cs="Arial"/>
              </w:rPr>
            </w:pPr>
            <w:r>
              <w:rPr>
                <w:rFonts w:ascii="Arial" w:eastAsia="Arial" w:hAnsi="Arial" w:cs="Arial"/>
              </w:rPr>
              <w:t>15.39</w:t>
            </w:r>
          </w:p>
        </w:tc>
      </w:tr>
      <w:tr w:rsidR="00E93BD8" w14:paraId="1FD2015A" w14:textId="77777777">
        <w:tc>
          <w:tcPr>
            <w:tcW w:w="3116" w:type="dxa"/>
          </w:tcPr>
          <w:p w14:paraId="01224128" w14:textId="77777777" w:rsidR="00E93BD8" w:rsidRDefault="00000000">
            <w:pPr>
              <w:spacing w:line="360" w:lineRule="auto"/>
              <w:jc w:val="both"/>
              <w:rPr>
                <w:rFonts w:ascii="Arial" w:eastAsia="Arial" w:hAnsi="Arial" w:cs="Arial"/>
              </w:rPr>
            </w:pPr>
            <w:r>
              <w:rPr>
                <w:rFonts w:ascii="Arial" w:eastAsia="Arial" w:hAnsi="Arial" w:cs="Arial"/>
              </w:rPr>
              <w:t>Psychology, Child and Adolescent</w:t>
            </w:r>
          </w:p>
        </w:tc>
        <w:tc>
          <w:tcPr>
            <w:tcW w:w="3117" w:type="dxa"/>
          </w:tcPr>
          <w:p w14:paraId="1A2A4D5C" w14:textId="77777777" w:rsidR="00E93BD8" w:rsidRDefault="00000000">
            <w:pPr>
              <w:spacing w:line="360" w:lineRule="auto"/>
              <w:jc w:val="both"/>
              <w:rPr>
                <w:rFonts w:ascii="Arial" w:eastAsia="Arial" w:hAnsi="Arial" w:cs="Arial"/>
              </w:rPr>
            </w:pPr>
            <w:r>
              <w:rPr>
                <w:rFonts w:ascii="Arial" w:eastAsia="Arial" w:hAnsi="Arial" w:cs="Arial"/>
              </w:rPr>
              <w:t>3</w:t>
            </w:r>
          </w:p>
        </w:tc>
        <w:tc>
          <w:tcPr>
            <w:tcW w:w="3117" w:type="dxa"/>
          </w:tcPr>
          <w:p w14:paraId="63E6943E" w14:textId="77777777" w:rsidR="00E93BD8" w:rsidRDefault="00000000">
            <w:pPr>
              <w:spacing w:line="360" w:lineRule="auto"/>
              <w:jc w:val="both"/>
              <w:rPr>
                <w:rFonts w:ascii="Arial" w:eastAsia="Arial" w:hAnsi="Arial" w:cs="Arial"/>
              </w:rPr>
            </w:pPr>
            <w:r>
              <w:rPr>
                <w:rFonts w:ascii="Arial" w:eastAsia="Arial" w:hAnsi="Arial" w:cs="Arial"/>
              </w:rPr>
              <w:t>23.08</w:t>
            </w:r>
          </w:p>
        </w:tc>
      </w:tr>
      <w:tr w:rsidR="00E93BD8" w14:paraId="657F2748" w14:textId="77777777">
        <w:tc>
          <w:tcPr>
            <w:tcW w:w="3116" w:type="dxa"/>
          </w:tcPr>
          <w:p w14:paraId="568AAE5D" w14:textId="77777777" w:rsidR="00E93BD8" w:rsidRDefault="00000000">
            <w:pPr>
              <w:spacing w:line="360" w:lineRule="auto"/>
              <w:jc w:val="both"/>
              <w:rPr>
                <w:rFonts w:ascii="Arial" w:eastAsia="Arial" w:hAnsi="Arial" w:cs="Arial"/>
              </w:rPr>
            </w:pPr>
            <w:r>
              <w:rPr>
                <w:rFonts w:ascii="Arial" w:eastAsia="Arial" w:hAnsi="Arial" w:cs="Arial"/>
              </w:rPr>
              <w:t>Education and Social Science</w:t>
            </w:r>
          </w:p>
        </w:tc>
        <w:tc>
          <w:tcPr>
            <w:tcW w:w="3117" w:type="dxa"/>
          </w:tcPr>
          <w:p w14:paraId="2150095E" w14:textId="77777777" w:rsidR="00E93BD8" w:rsidRDefault="00000000">
            <w:pPr>
              <w:spacing w:line="360" w:lineRule="auto"/>
              <w:jc w:val="both"/>
              <w:rPr>
                <w:rFonts w:ascii="Arial" w:eastAsia="Arial" w:hAnsi="Arial" w:cs="Arial"/>
              </w:rPr>
            </w:pPr>
            <w:r>
              <w:rPr>
                <w:rFonts w:ascii="Arial" w:eastAsia="Arial" w:hAnsi="Arial" w:cs="Arial"/>
              </w:rPr>
              <w:t>2</w:t>
            </w:r>
          </w:p>
        </w:tc>
        <w:tc>
          <w:tcPr>
            <w:tcW w:w="3117" w:type="dxa"/>
          </w:tcPr>
          <w:p w14:paraId="16841DFD" w14:textId="77777777" w:rsidR="00E93BD8" w:rsidRDefault="00000000">
            <w:pPr>
              <w:spacing w:line="360" w:lineRule="auto"/>
              <w:jc w:val="both"/>
              <w:rPr>
                <w:rFonts w:ascii="Arial" w:eastAsia="Arial" w:hAnsi="Arial" w:cs="Arial"/>
              </w:rPr>
            </w:pPr>
            <w:r>
              <w:rPr>
                <w:rFonts w:ascii="Arial" w:eastAsia="Arial" w:hAnsi="Arial" w:cs="Arial"/>
              </w:rPr>
              <w:t>15.39</w:t>
            </w:r>
          </w:p>
        </w:tc>
      </w:tr>
      <w:tr w:rsidR="00E93BD8" w14:paraId="3AFE92F3" w14:textId="77777777">
        <w:tc>
          <w:tcPr>
            <w:tcW w:w="3116" w:type="dxa"/>
          </w:tcPr>
          <w:p w14:paraId="5A12F415" w14:textId="77777777" w:rsidR="00E93BD8" w:rsidRDefault="00000000">
            <w:pPr>
              <w:spacing w:line="360" w:lineRule="auto"/>
              <w:jc w:val="both"/>
              <w:rPr>
                <w:rFonts w:ascii="Arial" w:eastAsia="Arial" w:hAnsi="Arial" w:cs="Arial"/>
              </w:rPr>
            </w:pPr>
            <w:r>
              <w:rPr>
                <w:rFonts w:ascii="Arial" w:eastAsia="Arial" w:hAnsi="Arial" w:cs="Arial"/>
              </w:rPr>
              <w:t>Clinical Policy and Practice</w:t>
            </w:r>
          </w:p>
        </w:tc>
        <w:tc>
          <w:tcPr>
            <w:tcW w:w="3117" w:type="dxa"/>
          </w:tcPr>
          <w:p w14:paraId="242ABE4B" w14:textId="77777777" w:rsidR="00E93BD8" w:rsidRDefault="00000000">
            <w:pPr>
              <w:spacing w:line="360" w:lineRule="auto"/>
              <w:jc w:val="both"/>
              <w:rPr>
                <w:rFonts w:ascii="Arial" w:eastAsia="Arial" w:hAnsi="Arial" w:cs="Arial"/>
              </w:rPr>
            </w:pPr>
            <w:r>
              <w:rPr>
                <w:rFonts w:ascii="Arial" w:eastAsia="Arial" w:hAnsi="Arial" w:cs="Arial"/>
              </w:rPr>
              <w:t>1</w:t>
            </w:r>
          </w:p>
        </w:tc>
        <w:tc>
          <w:tcPr>
            <w:tcW w:w="3117" w:type="dxa"/>
          </w:tcPr>
          <w:p w14:paraId="16D315F8" w14:textId="77777777" w:rsidR="00E93BD8" w:rsidRDefault="00000000">
            <w:pPr>
              <w:spacing w:line="360" w:lineRule="auto"/>
              <w:jc w:val="both"/>
              <w:rPr>
                <w:rFonts w:ascii="Arial" w:eastAsia="Arial" w:hAnsi="Arial" w:cs="Arial"/>
              </w:rPr>
            </w:pPr>
            <w:r>
              <w:rPr>
                <w:rFonts w:ascii="Arial" w:eastAsia="Arial" w:hAnsi="Arial" w:cs="Arial"/>
              </w:rPr>
              <w:t>7.68</w:t>
            </w:r>
          </w:p>
        </w:tc>
      </w:tr>
      <w:tr w:rsidR="00E93BD8" w14:paraId="052B3644" w14:textId="77777777">
        <w:tc>
          <w:tcPr>
            <w:tcW w:w="3116" w:type="dxa"/>
          </w:tcPr>
          <w:p w14:paraId="53585589" w14:textId="77777777" w:rsidR="00E93BD8" w:rsidRDefault="00000000">
            <w:pPr>
              <w:spacing w:line="360" w:lineRule="auto"/>
              <w:jc w:val="both"/>
              <w:rPr>
                <w:rFonts w:ascii="Arial" w:eastAsia="Arial" w:hAnsi="Arial" w:cs="Arial"/>
                <w:b/>
                <w:bCs/>
              </w:rPr>
            </w:pPr>
            <w:r>
              <w:rPr>
                <w:rFonts w:ascii="Arial" w:eastAsia="Arial" w:hAnsi="Arial" w:cs="Arial"/>
                <w:b/>
                <w:bCs/>
              </w:rPr>
              <w:t>Total</w:t>
            </w:r>
          </w:p>
        </w:tc>
        <w:tc>
          <w:tcPr>
            <w:tcW w:w="3117" w:type="dxa"/>
          </w:tcPr>
          <w:p w14:paraId="7ED639C3" w14:textId="77777777" w:rsidR="00E93BD8" w:rsidRDefault="00000000">
            <w:pPr>
              <w:spacing w:line="360" w:lineRule="auto"/>
              <w:jc w:val="both"/>
              <w:rPr>
                <w:rFonts w:ascii="Arial" w:eastAsia="Arial" w:hAnsi="Arial" w:cs="Arial"/>
                <w:b/>
                <w:bCs/>
              </w:rPr>
            </w:pPr>
            <w:r>
              <w:rPr>
                <w:rFonts w:ascii="Arial" w:eastAsia="Arial" w:hAnsi="Arial" w:cs="Arial"/>
                <w:b/>
                <w:bCs/>
              </w:rPr>
              <w:t>13</w:t>
            </w:r>
          </w:p>
        </w:tc>
        <w:tc>
          <w:tcPr>
            <w:tcW w:w="3117" w:type="dxa"/>
          </w:tcPr>
          <w:p w14:paraId="7B72FB9A" w14:textId="77777777" w:rsidR="00E93BD8" w:rsidRDefault="00000000">
            <w:pPr>
              <w:spacing w:line="360" w:lineRule="auto"/>
              <w:jc w:val="both"/>
              <w:rPr>
                <w:rFonts w:ascii="Arial" w:eastAsia="Arial" w:hAnsi="Arial" w:cs="Arial"/>
                <w:b/>
                <w:bCs/>
              </w:rPr>
            </w:pPr>
            <w:r>
              <w:rPr>
                <w:rFonts w:ascii="Arial" w:eastAsia="Arial" w:hAnsi="Arial" w:cs="Arial"/>
                <w:b/>
                <w:bCs/>
              </w:rPr>
              <w:t>100</w:t>
            </w:r>
          </w:p>
        </w:tc>
      </w:tr>
    </w:tbl>
    <w:p w14:paraId="65CD70CB" w14:textId="77777777" w:rsidR="00E93BD8" w:rsidRDefault="00000000">
      <w:pPr>
        <w:spacing w:line="360" w:lineRule="auto"/>
        <w:jc w:val="both"/>
        <w:rPr>
          <w:rFonts w:ascii="Arial" w:eastAsia="Arial" w:hAnsi="Arial" w:cs="Arial"/>
        </w:rPr>
      </w:pPr>
      <w:r>
        <w:rPr>
          <w:rFonts w:ascii="Arial" w:eastAsia="Arial" w:hAnsi="Arial" w:cs="Arial"/>
        </w:rPr>
        <w:t>(Secondary data, 2025)</w:t>
      </w:r>
    </w:p>
    <w:p w14:paraId="156D0E64" w14:textId="77777777" w:rsidR="00E93BD8" w:rsidRDefault="00000000">
      <w:pPr>
        <w:spacing w:line="360" w:lineRule="auto"/>
        <w:jc w:val="both"/>
        <w:rPr>
          <w:rFonts w:ascii="Arial" w:eastAsia="Arial" w:hAnsi="Arial" w:cs="Arial"/>
        </w:rPr>
      </w:pPr>
      <w:r>
        <w:rPr>
          <w:rFonts w:ascii="Arial" w:eastAsia="Arial" w:hAnsi="Arial" w:cs="Arial"/>
          <w:noProof/>
        </w:rPr>
        <w:drawing>
          <wp:inline distT="0" distB="0" distL="0" distR="0" wp14:anchorId="77226A46" wp14:editId="7E540001">
            <wp:extent cx="5943600" cy="2628900"/>
            <wp:effectExtent l="0" t="0" r="0" b="0"/>
            <wp:docPr id="2125133435" name="Chart 212513343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3CDC25C" w14:textId="77777777" w:rsidR="00E93BD8" w:rsidRDefault="00000000">
      <w:pPr>
        <w:spacing w:line="360" w:lineRule="auto"/>
        <w:jc w:val="both"/>
        <w:rPr>
          <w:rFonts w:ascii="Arial" w:eastAsia="Arial" w:hAnsi="Arial" w:cs="Arial"/>
        </w:rPr>
      </w:pPr>
      <w:r>
        <w:rPr>
          <w:rFonts w:ascii="Arial" w:eastAsia="Arial" w:hAnsi="Arial" w:cs="Arial"/>
        </w:rPr>
        <w:t>Figure 4.2: Journal categories of included studies</w:t>
      </w:r>
      <w:r>
        <w:rPr>
          <w:rFonts w:ascii="Arial" w:eastAsia="Arial" w:hAnsi="Arial" w:cs="Arial"/>
        </w:rPr>
        <w:tab/>
        <w:t>(Secondary Data, 2025)</w:t>
      </w:r>
    </w:p>
    <w:p w14:paraId="57A60775" w14:textId="77777777" w:rsidR="00E93BD8" w:rsidRDefault="00000000">
      <w:pPr>
        <w:spacing w:line="360" w:lineRule="auto"/>
        <w:jc w:val="both"/>
        <w:rPr>
          <w:rFonts w:ascii="Arial" w:eastAsia="Arial" w:hAnsi="Arial" w:cs="Arial"/>
        </w:rPr>
      </w:pPr>
      <w:r>
        <w:rPr>
          <w:rFonts w:ascii="Arial" w:eastAsia="Arial" w:hAnsi="Arial" w:cs="Arial"/>
        </w:rPr>
        <w:t xml:space="preserve">The thirteen reviewed studies are distributed in Table 4.1 according to the categories of the journals in which </w:t>
      </w:r>
      <w:proofErr w:type="gramStart"/>
      <w:r>
        <w:rPr>
          <w:rFonts w:ascii="Arial" w:eastAsia="Arial" w:hAnsi="Arial" w:cs="Arial"/>
        </w:rPr>
        <w:t>the majority of</w:t>
      </w:r>
      <w:proofErr w:type="gramEnd"/>
      <w:r>
        <w:rPr>
          <w:rFonts w:ascii="Arial" w:eastAsia="Arial" w:hAnsi="Arial" w:cs="Arial"/>
        </w:rPr>
        <w:t xml:space="preserve"> the publications (38.46% of the total) are published in Psychiatry and Mental Health journals, indicating a high focus on clinical and psychological research. The journal Psychiatry and Child/Adolescent journals had 23.08, Public Health, General Practice, and Education and Social Science journals had 15.39, and 15.39 respectively, making it interdisciplinary. The journals that constituted 7.68 were </w:t>
      </w:r>
      <w:r>
        <w:rPr>
          <w:rFonts w:ascii="Arial" w:eastAsia="Arial" w:hAnsi="Arial" w:cs="Arial"/>
        </w:rPr>
        <w:lastRenderedPageBreak/>
        <w:t>the Clinical Policy and Practice journals. The inclusion of the journals in reputable indexing databases including PubMed, PsycINFO and Scopus increases the credibility. The papers were also original in terms of studying different youth subpopulations and new risk factors, which supports the quality and rigour of the evidence base.</w:t>
      </w:r>
    </w:p>
    <w:p w14:paraId="1778EAA6" w14:textId="77777777" w:rsidR="00E93BD8" w:rsidRDefault="00000000">
      <w:pPr>
        <w:pStyle w:val="Heading3"/>
        <w:spacing w:line="360" w:lineRule="auto"/>
        <w:rPr>
          <w:rFonts w:ascii="Arial" w:eastAsia="Arial" w:hAnsi="Arial" w:cs="Arial"/>
          <w:b/>
          <w:bCs/>
          <w:color w:val="000000"/>
          <w:sz w:val="24"/>
          <w:szCs w:val="24"/>
        </w:rPr>
      </w:pPr>
      <w:bookmarkStart w:id="43" w:name="_heading=h.6m7h6wq5cpb4" w:colFirst="0" w:colLast="0"/>
      <w:bookmarkEnd w:id="43"/>
      <w:r>
        <w:rPr>
          <w:rFonts w:ascii="Arial" w:eastAsia="Arial" w:hAnsi="Arial" w:cs="Arial"/>
          <w:b/>
          <w:bCs/>
          <w:color w:val="000000"/>
          <w:sz w:val="24"/>
          <w:szCs w:val="24"/>
        </w:rPr>
        <w:t>4.2.3 Citation Count</w:t>
      </w:r>
    </w:p>
    <w:p w14:paraId="14CE9F4D" w14:textId="77777777" w:rsidR="00E93BD8" w:rsidRDefault="00000000">
      <w:pPr>
        <w:spacing w:line="360" w:lineRule="auto"/>
        <w:jc w:val="both"/>
        <w:rPr>
          <w:rFonts w:ascii="Arial" w:eastAsia="Arial" w:hAnsi="Arial" w:cs="Arial"/>
        </w:rPr>
      </w:pPr>
      <w:r>
        <w:rPr>
          <w:rFonts w:ascii="Arial" w:eastAsia="Arial" w:hAnsi="Arial" w:cs="Arial"/>
        </w:rPr>
        <w:t>Table 4.2: Citation count of reviewed studies</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E93BD8" w14:paraId="620AE6D7" w14:textId="77777777">
        <w:tc>
          <w:tcPr>
            <w:tcW w:w="3116" w:type="dxa"/>
          </w:tcPr>
          <w:p w14:paraId="55C1FAE7" w14:textId="77777777" w:rsidR="00E93BD8" w:rsidRDefault="00000000">
            <w:pPr>
              <w:spacing w:line="360" w:lineRule="auto"/>
              <w:jc w:val="both"/>
              <w:rPr>
                <w:rFonts w:ascii="Arial" w:eastAsia="Arial" w:hAnsi="Arial" w:cs="Arial"/>
                <w:b/>
                <w:bCs/>
              </w:rPr>
            </w:pPr>
            <w:r>
              <w:rPr>
                <w:rFonts w:ascii="Arial" w:eastAsia="Arial" w:hAnsi="Arial" w:cs="Arial"/>
                <w:b/>
                <w:bCs/>
              </w:rPr>
              <w:t>Citation Count</w:t>
            </w:r>
          </w:p>
        </w:tc>
        <w:tc>
          <w:tcPr>
            <w:tcW w:w="3117" w:type="dxa"/>
          </w:tcPr>
          <w:p w14:paraId="0DC35706" w14:textId="77777777" w:rsidR="00E93BD8" w:rsidRDefault="00000000">
            <w:pPr>
              <w:spacing w:line="360" w:lineRule="auto"/>
              <w:jc w:val="both"/>
              <w:rPr>
                <w:rFonts w:ascii="Arial" w:eastAsia="Arial" w:hAnsi="Arial" w:cs="Arial"/>
                <w:b/>
                <w:bCs/>
              </w:rPr>
            </w:pPr>
            <w:r>
              <w:rPr>
                <w:rFonts w:ascii="Arial" w:eastAsia="Arial" w:hAnsi="Arial" w:cs="Arial"/>
                <w:b/>
                <w:bCs/>
              </w:rPr>
              <w:t>Frequency</w:t>
            </w:r>
          </w:p>
        </w:tc>
        <w:tc>
          <w:tcPr>
            <w:tcW w:w="3117" w:type="dxa"/>
          </w:tcPr>
          <w:p w14:paraId="19EE3243" w14:textId="77777777" w:rsidR="00E93BD8" w:rsidRDefault="00000000">
            <w:pPr>
              <w:spacing w:line="360" w:lineRule="auto"/>
              <w:jc w:val="both"/>
              <w:rPr>
                <w:rFonts w:ascii="Arial" w:eastAsia="Arial" w:hAnsi="Arial" w:cs="Arial"/>
                <w:b/>
                <w:bCs/>
              </w:rPr>
            </w:pPr>
            <w:r>
              <w:rPr>
                <w:rFonts w:ascii="Arial" w:eastAsia="Arial" w:hAnsi="Arial" w:cs="Arial"/>
                <w:b/>
                <w:bCs/>
              </w:rPr>
              <w:t>Percentage (%)</w:t>
            </w:r>
          </w:p>
        </w:tc>
      </w:tr>
      <w:tr w:rsidR="00E93BD8" w14:paraId="32F5B788" w14:textId="77777777">
        <w:tc>
          <w:tcPr>
            <w:tcW w:w="3116" w:type="dxa"/>
          </w:tcPr>
          <w:p w14:paraId="5746B047" w14:textId="77777777" w:rsidR="00E93BD8" w:rsidRDefault="00000000">
            <w:pPr>
              <w:spacing w:line="360" w:lineRule="auto"/>
              <w:jc w:val="both"/>
              <w:rPr>
                <w:rFonts w:ascii="Arial" w:eastAsia="Arial" w:hAnsi="Arial" w:cs="Arial"/>
              </w:rPr>
            </w:pPr>
            <w:r>
              <w:rPr>
                <w:rFonts w:ascii="Arial" w:eastAsia="Arial" w:hAnsi="Arial" w:cs="Arial"/>
              </w:rPr>
              <w:t>Zero Citation</w:t>
            </w:r>
          </w:p>
        </w:tc>
        <w:tc>
          <w:tcPr>
            <w:tcW w:w="3117" w:type="dxa"/>
          </w:tcPr>
          <w:p w14:paraId="4DE57C64" w14:textId="77777777" w:rsidR="00E93BD8" w:rsidRDefault="00000000">
            <w:pPr>
              <w:spacing w:line="360" w:lineRule="auto"/>
              <w:jc w:val="both"/>
              <w:rPr>
                <w:rFonts w:ascii="Arial" w:eastAsia="Arial" w:hAnsi="Arial" w:cs="Arial"/>
              </w:rPr>
            </w:pPr>
            <w:r>
              <w:rPr>
                <w:rFonts w:ascii="Arial" w:eastAsia="Arial" w:hAnsi="Arial" w:cs="Arial"/>
              </w:rPr>
              <w:t>0</w:t>
            </w:r>
          </w:p>
        </w:tc>
        <w:tc>
          <w:tcPr>
            <w:tcW w:w="3117" w:type="dxa"/>
          </w:tcPr>
          <w:p w14:paraId="77E1F80B" w14:textId="77777777" w:rsidR="00E93BD8" w:rsidRDefault="00000000">
            <w:pPr>
              <w:spacing w:line="360" w:lineRule="auto"/>
              <w:jc w:val="both"/>
              <w:rPr>
                <w:rFonts w:ascii="Arial" w:eastAsia="Arial" w:hAnsi="Arial" w:cs="Arial"/>
              </w:rPr>
            </w:pPr>
            <w:r>
              <w:rPr>
                <w:rFonts w:ascii="Arial" w:eastAsia="Arial" w:hAnsi="Arial" w:cs="Arial"/>
              </w:rPr>
              <w:t>0</w:t>
            </w:r>
          </w:p>
        </w:tc>
      </w:tr>
      <w:tr w:rsidR="00E93BD8" w14:paraId="7B08DBE5" w14:textId="77777777">
        <w:tc>
          <w:tcPr>
            <w:tcW w:w="3116" w:type="dxa"/>
          </w:tcPr>
          <w:p w14:paraId="178EA7DD" w14:textId="77777777" w:rsidR="00E93BD8" w:rsidRDefault="00000000">
            <w:pPr>
              <w:spacing w:line="360" w:lineRule="auto"/>
              <w:jc w:val="both"/>
              <w:rPr>
                <w:rFonts w:ascii="Arial" w:eastAsia="Arial" w:hAnsi="Arial" w:cs="Arial"/>
              </w:rPr>
            </w:pPr>
            <w:r>
              <w:rPr>
                <w:rFonts w:ascii="Arial" w:eastAsia="Arial" w:hAnsi="Arial" w:cs="Arial"/>
              </w:rPr>
              <w:t>1-30</w:t>
            </w:r>
          </w:p>
        </w:tc>
        <w:tc>
          <w:tcPr>
            <w:tcW w:w="3117" w:type="dxa"/>
          </w:tcPr>
          <w:p w14:paraId="56CA7963" w14:textId="77777777" w:rsidR="00E93BD8" w:rsidRDefault="00000000">
            <w:pPr>
              <w:spacing w:line="360" w:lineRule="auto"/>
              <w:jc w:val="both"/>
              <w:rPr>
                <w:rFonts w:ascii="Arial" w:eastAsia="Arial" w:hAnsi="Arial" w:cs="Arial"/>
              </w:rPr>
            </w:pPr>
            <w:r>
              <w:rPr>
                <w:rFonts w:ascii="Arial" w:eastAsia="Arial" w:hAnsi="Arial" w:cs="Arial"/>
              </w:rPr>
              <w:t>6</w:t>
            </w:r>
          </w:p>
        </w:tc>
        <w:tc>
          <w:tcPr>
            <w:tcW w:w="3117" w:type="dxa"/>
          </w:tcPr>
          <w:p w14:paraId="309FBC55" w14:textId="77777777" w:rsidR="00E93BD8" w:rsidRDefault="00000000">
            <w:pPr>
              <w:spacing w:line="360" w:lineRule="auto"/>
              <w:jc w:val="both"/>
              <w:rPr>
                <w:rFonts w:ascii="Arial" w:eastAsia="Arial" w:hAnsi="Arial" w:cs="Arial"/>
              </w:rPr>
            </w:pPr>
            <w:r>
              <w:rPr>
                <w:rFonts w:ascii="Arial" w:eastAsia="Arial" w:hAnsi="Arial" w:cs="Arial"/>
              </w:rPr>
              <w:t>46.14</w:t>
            </w:r>
          </w:p>
        </w:tc>
      </w:tr>
      <w:tr w:rsidR="00E93BD8" w14:paraId="2BE74A3B" w14:textId="77777777">
        <w:tc>
          <w:tcPr>
            <w:tcW w:w="3116" w:type="dxa"/>
          </w:tcPr>
          <w:p w14:paraId="1DE8EA49" w14:textId="77777777" w:rsidR="00E93BD8" w:rsidRDefault="00000000">
            <w:pPr>
              <w:spacing w:line="360" w:lineRule="auto"/>
              <w:jc w:val="both"/>
              <w:rPr>
                <w:rFonts w:ascii="Arial" w:eastAsia="Arial" w:hAnsi="Arial" w:cs="Arial"/>
              </w:rPr>
            </w:pPr>
            <w:r>
              <w:rPr>
                <w:rFonts w:ascii="Arial" w:eastAsia="Arial" w:hAnsi="Arial" w:cs="Arial"/>
              </w:rPr>
              <w:t>31-60</w:t>
            </w:r>
          </w:p>
        </w:tc>
        <w:tc>
          <w:tcPr>
            <w:tcW w:w="3117" w:type="dxa"/>
          </w:tcPr>
          <w:p w14:paraId="0B70C35F" w14:textId="77777777" w:rsidR="00E93BD8" w:rsidRDefault="00000000">
            <w:pPr>
              <w:spacing w:line="360" w:lineRule="auto"/>
              <w:jc w:val="both"/>
              <w:rPr>
                <w:rFonts w:ascii="Arial" w:eastAsia="Arial" w:hAnsi="Arial" w:cs="Arial"/>
              </w:rPr>
            </w:pPr>
            <w:r>
              <w:rPr>
                <w:rFonts w:ascii="Arial" w:eastAsia="Arial" w:hAnsi="Arial" w:cs="Arial"/>
              </w:rPr>
              <w:t>3</w:t>
            </w:r>
          </w:p>
        </w:tc>
        <w:tc>
          <w:tcPr>
            <w:tcW w:w="3117" w:type="dxa"/>
          </w:tcPr>
          <w:p w14:paraId="0003C69E" w14:textId="77777777" w:rsidR="00E93BD8" w:rsidRDefault="00000000">
            <w:pPr>
              <w:spacing w:line="360" w:lineRule="auto"/>
              <w:jc w:val="both"/>
              <w:rPr>
                <w:rFonts w:ascii="Arial" w:eastAsia="Arial" w:hAnsi="Arial" w:cs="Arial"/>
              </w:rPr>
            </w:pPr>
            <w:r>
              <w:rPr>
                <w:rFonts w:ascii="Arial" w:eastAsia="Arial" w:hAnsi="Arial" w:cs="Arial"/>
              </w:rPr>
              <w:t>23.08</w:t>
            </w:r>
          </w:p>
        </w:tc>
      </w:tr>
      <w:tr w:rsidR="00E93BD8" w14:paraId="33B18B97" w14:textId="77777777">
        <w:tc>
          <w:tcPr>
            <w:tcW w:w="3116" w:type="dxa"/>
          </w:tcPr>
          <w:p w14:paraId="63178111" w14:textId="77777777" w:rsidR="00E93BD8" w:rsidRDefault="00000000">
            <w:pPr>
              <w:spacing w:line="360" w:lineRule="auto"/>
              <w:jc w:val="both"/>
              <w:rPr>
                <w:rFonts w:ascii="Arial" w:eastAsia="Arial" w:hAnsi="Arial" w:cs="Arial"/>
              </w:rPr>
            </w:pPr>
            <w:r>
              <w:rPr>
                <w:rFonts w:ascii="Arial" w:eastAsia="Arial" w:hAnsi="Arial" w:cs="Arial"/>
              </w:rPr>
              <w:t>61-80</w:t>
            </w:r>
          </w:p>
        </w:tc>
        <w:tc>
          <w:tcPr>
            <w:tcW w:w="3117" w:type="dxa"/>
          </w:tcPr>
          <w:p w14:paraId="17BF435B" w14:textId="77777777" w:rsidR="00E93BD8" w:rsidRDefault="00000000">
            <w:pPr>
              <w:spacing w:line="360" w:lineRule="auto"/>
              <w:jc w:val="both"/>
              <w:rPr>
                <w:rFonts w:ascii="Arial" w:eastAsia="Arial" w:hAnsi="Arial" w:cs="Arial"/>
              </w:rPr>
            </w:pPr>
            <w:r>
              <w:rPr>
                <w:rFonts w:ascii="Arial" w:eastAsia="Arial" w:hAnsi="Arial" w:cs="Arial"/>
              </w:rPr>
              <w:t>2</w:t>
            </w:r>
          </w:p>
        </w:tc>
        <w:tc>
          <w:tcPr>
            <w:tcW w:w="3117" w:type="dxa"/>
          </w:tcPr>
          <w:p w14:paraId="1F87B182" w14:textId="77777777" w:rsidR="00E93BD8" w:rsidRDefault="00000000">
            <w:pPr>
              <w:spacing w:line="360" w:lineRule="auto"/>
              <w:jc w:val="both"/>
              <w:rPr>
                <w:rFonts w:ascii="Arial" w:eastAsia="Arial" w:hAnsi="Arial" w:cs="Arial"/>
              </w:rPr>
            </w:pPr>
            <w:r>
              <w:rPr>
                <w:rFonts w:ascii="Arial" w:eastAsia="Arial" w:hAnsi="Arial" w:cs="Arial"/>
              </w:rPr>
              <w:t>15.39</w:t>
            </w:r>
          </w:p>
        </w:tc>
      </w:tr>
      <w:tr w:rsidR="00E93BD8" w14:paraId="6AB212E0" w14:textId="77777777">
        <w:tc>
          <w:tcPr>
            <w:tcW w:w="3116" w:type="dxa"/>
          </w:tcPr>
          <w:p w14:paraId="3D44DEA5" w14:textId="77777777" w:rsidR="00E93BD8" w:rsidRDefault="00000000">
            <w:pPr>
              <w:spacing w:line="360" w:lineRule="auto"/>
              <w:jc w:val="both"/>
              <w:rPr>
                <w:rFonts w:ascii="Arial" w:eastAsia="Arial" w:hAnsi="Arial" w:cs="Arial"/>
              </w:rPr>
            </w:pPr>
            <w:r>
              <w:rPr>
                <w:rFonts w:ascii="Arial" w:eastAsia="Arial" w:hAnsi="Arial" w:cs="Arial"/>
              </w:rPr>
              <w:t>81-100</w:t>
            </w:r>
          </w:p>
        </w:tc>
        <w:tc>
          <w:tcPr>
            <w:tcW w:w="3117" w:type="dxa"/>
          </w:tcPr>
          <w:p w14:paraId="161E4207" w14:textId="77777777" w:rsidR="00E93BD8" w:rsidRDefault="00000000">
            <w:pPr>
              <w:spacing w:line="360" w:lineRule="auto"/>
              <w:jc w:val="both"/>
              <w:rPr>
                <w:rFonts w:ascii="Arial" w:eastAsia="Arial" w:hAnsi="Arial" w:cs="Arial"/>
              </w:rPr>
            </w:pPr>
            <w:r>
              <w:rPr>
                <w:rFonts w:ascii="Arial" w:eastAsia="Arial" w:hAnsi="Arial" w:cs="Arial"/>
              </w:rPr>
              <w:t>0</w:t>
            </w:r>
          </w:p>
        </w:tc>
        <w:tc>
          <w:tcPr>
            <w:tcW w:w="3117" w:type="dxa"/>
          </w:tcPr>
          <w:p w14:paraId="21D7B11B" w14:textId="77777777" w:rsidR="00E93BD8" w:rsidRDefault="00000000">
            <w:pPr>
              <w:spacing w:line="360" w:lineRule="auto"/>
              <w:jc w:val="both"/>
              <w:rPr>
                <w:rFonts w:ascii="Arial" w:eastAsia="Arial" w:hAnsi="Arial" w:cs="Arial"/>
              </w:rPr>
            </w:pPr>
            <w:r>
              <w:rPr>
                <w:rFonts w:ascii="Arial" w:eastAsia="Arial" w:hAnsi="Arial" w:cs="Arial"/>
              </w:rPr>
              <w:t>0</w:t>
            </w:r>
          </w:p>
        </w:tc>
      </w:tr>
      <w:tr w:rsidR="00E93BD8" w14:paraId="2B8BBDC5" w14:textId="77777777">
        <w:tc>
          <w:tcPr>
            <w:tcW w:w="3116" w:type="dxa"/>
          </w:tcPr>
          <w:p w14:paraId="4C8B12CF" w14:textId="77777777" w:rsidR="00E93BD8" w:rsidRDefault="00000000">
            <w:pPr>
              <w:spacing w:line="360" w:lineRule="auto"/>
              <w:jc w:val="both"/>
              <w:rPr>
                <w:rFonts w:ascii="Arial" w:eastAsia="Arial" w:hAnsi="Arial" w:cs="Arial"/>
              </w:rPr>
            </w:pPr>
            <w:r>
              <w:rPr>
                <w:rFonts w:ascii="Arial" w:eastAsia="Arial" w:hAnsi="Arial" w:cs="Arial"/>
              </w:rPr>
              <w:t>101 and above</w:t>
            </w:r>
          </w:p>
        </w:tc>
        <w:tc>
          <w:tcPr>
            <w:tcW w:w="3117" w:type="dxa"/>
          </w:tcPr>
          <w:p w14:paraId="0E5D7D92" w14:textId="77777777" w:rsidR="00E93BD8" w:rsidRDefault="00000000">
            <w:pPr>
              <w:spacing w:line="360" w:lineRule="auto"/>
              <w:jc w:val="both"/>
              <w:rPr>
                <w:rFonts w:ascii="Arial" w:eastAsia="Arial" w:hAnsi="Arial" w:cs="Arial"/>
              </w:rPr>
            </w:pPr>
            <w:r>
              <w:rPr>
                <w:rFonts w:ascii="Arial" w:eastAsia="Arial" w:hAnsi="Arial" w:cs="Arial"/>
              </w:rPr>
              <w:t>2</w:t>
            </w:r>
          </w:p>
        </w:tc>
        <w:tc>
          <w:tcPr>
            <w:tcW w:w="3117" w:type="dxa"/>
          </w:tcPr>
          <w:p w14:paraId="33A712DF" w14:textId="77777777" w:rsidR="00E93BD8" w:rsidRDefault="00000000">
            <w:pPr>
              <w:spacing w:line="360" w:lineRule="auto"/>
              <w:jc w:val="both"/>
              <w:rPr>
                <w:rFonts w:ascii="Arial" w:eastAsia="Arial" w:hAnsi="Arial" w:cs="Arial"/>
              </w:rPr>
            </w:pPr>
            <w:r>
              <w:rPr>
                <w:rFonts w:ascii="Arial" w:eastAsia="Arial" w:hAnsi="Arial" w:cs="Arial"/>
              </w:rPr>
              <w:t>15.39</w:t>
            </w:r>
          </w:p>
        </w:tc>
      </w:tr>
      <w:tr w:rsidR="00E93BD8" w14:paraId="3EB2148B" w14:textId="77777777">
        <w:tc>
          <w:tcPr>
            <w:tcW w:w="3116" w:type="dxa"/>
          </w:tcPr>
          <w:p w14:paraId="2AFBF05B" w14:textId="77777777" w:rsidR="00E93BD8" w:rsidRDefault="00000000">
            <w:pPr>
              <w:spacing w:line="360" w:lineRule="auto"/>
              <w:jc w:val="both"/>
              <w:rPr>
                <w:rFonts w:ascii="Arial" w:eastAsia="Arial" w:hAnsi="Arial" w:cs="Arial"/>
                <w:b/>
                <w:bCs/>
              </w:rPr>
            </w:pPr>
            <w:r>
              <w:rPr>
                <w:rFonts w:ascii="Arial" w:eastAsia="Arial" w:hAnsi="Arial" w:cs="Arial"/>
                <w:b/>
                <w:bCs/>
              </w:rPr>
              <w:t>Total</w:t>
            </w:r>
          </w:p>
        </w:tc>
        <w:tc>
          <w:tcPr>
            <w:tcW w:w="3117" w:type="dxa"/>
          </w:tcPr>
          <w:p w14:paraId="1E4098F8" w14:textId="77777777" w:rsidR="00E93BD8" w:rsidRDefault="00000000">
            <w:pPr>
              <w:spacing w:line="360" w:lineRule="auto"/>
              <w:jc w:val="both"/>
              <w:rPr>
                <w:rFonts w:ascii="Arial" w:eastAsia="Arial" w:hAnsi="Arial" w:cs="Arial"/>
                <w:b/>
                <w:bCs/>
              </w:rPr>
            </w:pPr>
            <w:r>
              <w:rPr>
                <w:rFonts w:ascii="Arial" w:eastAsia="Arial" w:hAnsi="Arial" w:cs="Arial"/>
                <w:b/>
                <w:bCs/>
              </w:rPr>
              <w:t>13</w:t>
            </w:r>
          </w:p>
        </w:tc>
        <w:tc>
          <w:tcPr>
            <w:tcW w:w="3117" w:type="dxa"/>
          </w:tcPr>
          <w:p w14:paraId="2F3927A1" w14:textId="77777777" w:rsidR="00E93BD8" w:rsidRDefault="00000000">
            <w:pPr>
              <w:spacing w:line="360" w:lineRule="auto"/>
              <w:jc w:val="both"/>
              <w:rPr>
                <w:rFonts w:ascii="Arial" w:eastAsia="Arial" w:hAnsi="Arial" w:cs="Arial"/>
                <w:b/>
                <w:bCs/>
              </w:rPr>
            </w:pPr>
            <w:r>
              <w:rPr>
                <w:rFonts w:ascii="Arial" w:eastAsia="Arial" w:hAnsi="Arial" w:cs="Arial"/>
                <w:b/>
                <w:bCs/>
              </w:rPr>
              <w:t>100</w:t>
            </w:r>
          </w:p>
        </w:tc>
      </w:tr>
    </w:tbl>
    <w:p w14:paraId="50CAF628" w14:textId="77777777" w:rsidR="00E93BD8" w:rsidRDefault="00000000">
      <w:pPr>
        <w:spacing w:line="360" w:lineRule="auto"/>
        <w:jc w:val="both"/>
        <w:rPr>
          <w:rFonts w:ascii="Arial" w:eastAsia="Arial" w:hAnsi="Arial" w:cs="Arial"/>
        </w:rPr>
      </w:pPr>
      <w:r>
        <w:rPr>
          <w:rFonts w:ascii="Arial" w:eastAsia="Arial" w:hAnsi="Arial" w:cs="Arial"/>
        </w:rPr>
        <w:t>(Secondary Data, 2025)</w:t>
      </w:r>
    </w:p>
    <w:p w14:paraId="15523852" w14:textId="77777777" w:rsidR="00E93BD8" w:rsidRDefault="00000000">
      <w:pPr>
        <w:spacing w:line="360" w:lineRule="auto"/>
        <w:jc w:val="both"/>
        <w:rPr>
          <w:rFonts w:ascii="Arial" w:eastAsia="Arial" w:hAnsi="Arial" w:cs="Arial"/>
        </w:rPr>
      </w:pPr>
      <w:r>
        <w:rPr>
          <w:rFonts w:ascii="Arial" w:eastAsia="Arial" w:hAnsi="Arial" w:cs="Arial"/>
          <w:noProof/>
        </w:rPr>
        <w:drawing>
          <wp:inline distT="0" distB="0" distL="0" distR="0" wp14:anchorId="77911AE0" wp14:editId="14C0EE9A">
            <wp:extent cx="5943600" cy="2705100"/>
            <wp:effectExtent l="0" t="0" r="0" b="0"/>
            <wp:docPr id="2125133437" name="Chart 21251334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E4768D3" w14:textId="77777777" w:rsidR="00E93BD8" w:rsidRDefault="00000000">
      <w:pPr>
        <w:spacing w:line="360" w:lineRule="auto"/>
        <w:jc w:val="both"/>
        <w:rPr>
          <w:rFonts w:ascii="Arial" w:eastAsia="Arial" w:hAnsi="Arial" w:cs="Arial"/>
        </w:rPr>
      </w:pPr>
      <w:r>
        <w:rPr>
          <w:rFonts w:ascii="Arial" w:eastAsia="Arial" w:hAnsi="Arial" w:cs="Arial"/>
        </w:rPr>
        <w:t xml:space="preserve">Figure 4.3: Citation count of reviewed studies </w:t>
      </w:r>
      <w:r>
        <w:rPr>
          <w:rFonts w:ascii="Arial" w:eastAsia="Arial" w:hAnsi="Arial" w:cs="Arial"/>
        </w:rPr>
        <w:tab/>
        <w:t>(Secondary Data, 2025)</w:t>
      </w:r>
    </w:p>
    <w:p w14:paraId="648D219E" w14:textId="77777777" w:rsidR="00E93BD8" w:rsidRDefault="00000000">
      <w:pPr>
        <w:spacing w:line="360" w:lineRule="auto"/>
        <w:jc w:val="both"/>
        <w:rPr>
          <w:rFonts w:ascii="Arial" w:eastAsia="Arial" w:hAnsi="Arial" w:cs="Arial"/>
        </w:rPr>
      </w:pPr>
      <w:bookmarkStart w:id="44" w:name="_heading=h.bmir8bpidjl2" w:colFirst="0" w:colLast="0"/>
      <w:bookmarkEnd w:id="44"/>
      <w:r>
        <w:rPr>
          <w:rFonts w:ascii="Arial" w:eastAsia="Arial" w:hAnsi="Arial" w:cs="Arial"/>
        </w:rPr>
        <w:t xml:space="preserve">Table 4.2 presents a summary of the patterns of citation used throughout the reviewed studies which reveal that 46.14% have been cited 1-30 times, indicating a moderate level </w:t>
      </w:r>
      <w:r>
        <w:rPr>
          <w:rFonts w:ascii="Arial" w:eastAsia="Arial" w:hAnsi="Arial" w:cs="Arial"/>
        </w:rPr>
        <w:lastRenderedPageBreak/>
        <w:t xml:space="preserve">of scholarly use. Another 23.08% are in the 31-60 citation range and 15.39% are 61-80 citation range, showing increasing power. The other 15.39% contain more than 100 citations, which proves that some of the studies are properly established and used in the research of mental health. Interestingly, there were no zero citations in any of the papers, which means that all the contributions have gained some academic presence. In general, the allocation is a combination of more recent, </w:t>
      </w:r>
      <w:proofErr w:type="gramStart"/>
      <w:r>
        <w:rPr>
          <w:rFonts w:ascii="Arial" w:eastAsia="Arial" w:hAnsi="Arial" w:cs="Arial"/>
        </w:rPr>
        <w:t>more or less well-known</w:t>
      </w:r>
      <w:proofErr w:type="gramEnd"/>
      <w:r>
        <w:rPr>
          <w:rFonts w:ascii="Arial" w:eastAsia="Arial" w:hAnsi="Arial" w:cs="Arial"/>
        </w:rPr>
        <w:t xml:space="preserve"> research and a smaller number of more influential works that have influenced the field.</w:t>
      </w:r>
    </w:p>
    <w:p w14:paraId="154FA8BB" w14:textId="77777777" w:rsidR="00E93BD8" w:rsidRDefault="00000000">
      <w:pPr>
        <w:pStyle w:val="Heading3"/>
        <w:spacing w:line="360" w:lineRule="auto"/>
        <w:rPr>
          <w:rFonts w:ascii="Arial" w:eastAsia="Arial" w:hAnsi="Arial" w:cs="Arial"/>
          <w:b/>
          <w:bCs/>
          <w:color w:val="000000"/>
          <w:sz w:val="24"/>
          <w:szCs w:val="24"/>
        </w:rPr>
      </w:pPr>
      <w:bookmarkStart w:id="45" w:name="_heading=h.c3birzjydgm3" w:colFirst="0" w:colLast="0"/>
      <w:bookmarkEnd w:id="45"/>
      <w:r>
        <w:rPr>
          <w:rFonts w:ascii="Arial" w:eastAsia="Arial" w:hAnsi="Arial" w:cs="Arial"/>
          <w:b/>
          <w:bCs/>
          <w:color w:val="000000"/>
          <w:sz w:val="24"/>
          <w:szCs w:val="24"/>
        </w:rPr>
        <w:t>4.2.4 Temporal Review of Research Papers</w:t>
      </w:r>
    </w:p>
    <w:p w14:paraId="2C08CADA" w14:textId="77777777" w:rsidR="00E93BD8" w:rsidRDefault="00000000">
      <w:pPr>
        <w:spacing w:line="360" w:lineRule="auto"/>
        <w:jc w:val="both"/>
        <w:rPr>
          <w:rFonts w:ascii="Arial" w:eastAsia="Arial" w:hAnsi="Arial" w:cs="Arial"/>
        </w:rPr>
      </w:pPr>
      <w:r>
        <w:rPr>
          <w:rFonts w:ascii="Arial" w:eastAsia="Arial" w:hAnsi="Arial" w:cs="Arial"/>
        </w:rPr>
        <w:t>Table 4.3: Temporal review of reviewed research papers</w:t>
      </w:r>
    </w:p>
    <w:tbl>
      <w:tblPr>
        <w:tblStyle w:val="a1"/>
        <w:tblW w:w="6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4050"/>
      </w:tblGrid>
      <w:tr w:rsidR="00E93BD8" w14:paraId="7E8D8432" w14:textId="77777777">
        <w:tc>
          <w:tcPr>
            <w:tcW w:w="2155" w:type="dxa"/>
            <w:tcBorders>
              <w:top w:val="single" w:sz="4" w:space="0" w:color="000000"/>
              <w:left w:val="single" w:sz="4" w:space="0" w:color="000000"/>
              <w:bottom w:val="single" w:sz="4" w:space="0" w:color="000000"/>
              <w:right w:val="single" w:sz="4" w:space="0" w:color="000000"/>
            </w:tcBorders>
          </w:tcPr>
          <w:p w14:paraId="685ADA85"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Year Published</w:t>
            </w:r>
          </w:p>
        </w:tc>
        <w:tc>
          <w:tcPr>
            <w:tcW w:w="4050" w:type="dxa"/>
            <w:tcBorders>
              <w:top w:val="single" w:sz="4" w:space="0" w:color="000000"/>
              <w:left w:val="single" w:sz="4" w:space="0" w:color="000000"/>
              <w:bottom w:val="single" w:sz="4" w:space="0" w:color="000000"/>
              <w:right w:val="single" w:sz="4" w:space="0" w:color="000000"/>
            </w:tcBorders>
          </w:tcPr>
          <w:p w14:paraId="007E0B8B"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No of papers Published (frequency)</w:t>
            </w:r>
          </w:p>
        </w:tc>
      </w:tr>
      <w:tr w:rsidR="00E93BD8" w14:paraId="53545AEA" w14:textId="77777777">
        <w:tc>
          <w:tcPr>
            <w:tcW w:w="2155" w:type="dxa"/>
            <w:tcBorders>
              <w:top w:val="single" w:sz="4" w:space="0" w:color="000000"/>
              <w:left w:val="single" w:sz="4" w:space="0" w:color="000000"/>
              <w:bottom w:val="single" w:sz="4" w:space="0" w:color="000000"/>
              <w:right w:val="single" w:sz="4" w:space="0" w:color="000000"/>
            </w:tcBorders>
          </w:tcPr>
          <w:p w14:paraId="161574EB"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2015</w:t>
            </w:r>
          </w:p>
        </w:tc>
        <w:tc>
          <w:tcPr>
            <w:tcW w:w="4050" w:type="dxa"/>
            <w:tcBorders>
              <w:top w:val="single" w:sz="4" w:space="0" w:color="000000"/>
              <w:left w:val="single" w:sz="4" w:space="0" w:color="000000"/>
              <w:bottom w:val="single" w:sz="4" w:space="0" w:color="000000"/>
              <w:right w:val="single" w:sz="4" w:space="0" w:color="000000"/>
            </w:tcBorders>
          </w:tcPr>
          <w:p w14:paraId="50331909"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 xml:space="preserve">1  </w:t>
            </w:r>
          </w:p>
        </w:tc>
      </w:tr>
      <w:tr w:rsidR="00E93BD8" w14:paraId="4A0F270B" w14:textId="77777777">
        <w:tc>
          <w:tcPr>
            <w:tcW w:w="2155" w:type="dxa"/>
            <w:tcBorders>
              <w:top w:val="single" w:sz="4" w:space="0" w:color="000000"/>
              <w:left w:val="single" w:sz="4" w:space="0" w:color="000000"/>
              <w:bottom w:val="single" w:sz="4" w:space="0" w:color="000000"/>
              <w:right w:val="single" w:sz="4" w:space="0" w:color="000000"/>
            </w:tcBorders>
          </w:tcPr>
          <w:p w14:paraId="6630AB62"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2016</w:t>
            </w:r>
          </w:p>
        </w:tc>
        <w:tc>
          <w:tcPr>
            <w:tcW w:w="4050" w:type="dxa"/>
            <w:tcBorders>
              <w:top w:val="single" w:sz="4" w:space="0" w:color="000000"/>
              <w:left w:val="single" w:sz="4" w:space="0" w:color="000000"/>
              <w:bottom w:val="single" w:sz="4" w:space="0" w:color="000000"/>
              <w:right w:val="single" w:sz="4" w:space="0" w:color="000000"/>
            </w:tcBorders>
          </w:tcPr>
          <w:p w14:paraId="742BA969"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 xml:space="preserve">2  </w:t>
            </w:r>
          </w:p>
        </w:tc>
      </w:tr>
      <w:tr w:rsidR="00E93BD8" w14:paraId="2BCFA3A4" w14:textId="77777777">
        <w:tc>
          <w:tcPr>
            <w:tcW w:w="2155" w:type="dxa"/>
            <w:tcBorders>
              <w:top w:val="single" w:sz="4" w:space="0" w:color="000000"/>
              <w:left w:val="single" w:sz="4" w:space="0" w:color="000000"/>
              <w:bottom w:val="single" w:sz="4" w:space="0" w:color="000000"/>
              <w:right w:val="single" w:sz="4" w:space="0" w:color="000000"/>
            </w:tcBorders>
          </w:tcPr>
          <w:p w14:paraId="42599B40"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2017</w:t>
            </w:r>
          </w:p>
        </w:tc>
        <w:tc>
          <w:tcPr>
            <w:tcW w:w="4050" w:type="dxa"/>
            <w:tcBorders>
              <w:top w:val="single" w:sz="4" w:space="0" w:color="000000"/>
              <w:left w:val="single" w:sz="4" w:space="0" w:color="000000"/>
              <w:bottom w:val="single" w:sz="4" w:space="0" w:color="000000"/>
              <w:right w:val="single" w:sz="4" w:space="0" w:color="000000"/>
            </w:tcBorders>
          </w:tcPr>
          <w:p w14:paraId="02A5C051"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0</w:t>
            </w:r>
          </w:p>
        </w:tc>
      </w:tr>
      <w:tr w:rsidR="00E93BD8" w14:paraId="47A460E1" w14:textId="77777777">
        <w:tc>
          <w:tcPr>
            <w:tcW w:w="2155" w:type="dxa"/>
            <w:tcBorders>
              <w:top w:val="single" w:sz="4" w:space="0" w:color="000000"/>
              <w:left w:val="single" w:sz="4" w:space="0" w:color="000000"/>
              <w:bottom w:val="single" w:sz="4" w:space="0" w:color="000000"/>
              <w:right w:val="single" w:sz="4" w:space="0" w:color="000000"/>
            </w:tcBorders>
          </w:tcPr>
          <w:p w14:paraId="57C5979B"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2018</w:t>
            </w:r>
          </w:p>
        </w:tc>
        <w:tc>
          <w:tcPr>
            <w:tcW w:w="4050" w:type="dxa"/>
            <w:tcBorders>
              <w:top w:val="single" w:sz="4" w:space="0" w:color="000000"/>
              <w:left w:val="single" w:sz="4" w:space="0" w:color="000000"/>
              <w:bottom w:val="single" w:sz="4" w:space="0" w:color="000000"/>
              <w:right w:val="single" w:sz="4" w:space="0" w:color="000000"/>
            </w:tcBorders>
          </w:tcPr>
          <w:p w14:paraId="5255FBA9"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0</w:t>
            </w:r>
          </w:p>
        </w:tc>
      </w:tr>
      <w:tr w:rsidR="00E93BD8" w14:paraId="46615558" w14:textId="77777777">
        <w:tc>
          <w:tcPr>
            <w:tcW w:w="2155" w:type="dxa"/>
            <w:tcBorders>
              <w:top w:val="single" w:sz="4" w:space="0" w:color="000000"/>
              <w:left w:val="single" w:sz="4" w:space="0" w:color="000000"/>
              <w:bottom w:val="single" w:sz="4" w:space="0" w:color="000000"/>
              <w:right w:val="single" w:sz="4" w:space="0" w:color="000000"/>
            </w:tcBorders>
          </w:tcPr>
          <w:p w14:paraId="08257374"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2019</w:t>
            </w:r>
          </w:p>
        </w:tc>
        <w:tc>
          <w:tcPr>
            <w:tcW w:w="4050" w:type="dxa"/>
            <w:tcBorders>
              <w:top w:val="single" w:sz="4" w:space="0" w:color="000000"/>
              <w:left w:val="single" w:sz="4" w:space="0" w:color="000000"/>
              <w:bottom w:val="single" w:sz="4" w:space="0" w:color="000000"/>
              <w:right w:val="single" w:sz="4" w:space="0" w:color="000000"/>
            </w:tcBorders>
          </w:tcPr>
          <w:p w14:paraId="1FCAE935"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4</w:t>
            </w:r>
          </w:p>
        </w:tc>
      </w:tr>
      <w:tr w:rsidR="00E93BD8" w14:paraId="400353AE" w14:textId="77777777">
        <w:tc>
          <w:tcPr>
            <w:tcW w:w="2155" w:type="dxa"/>
            <w:tcBorders>
              <w:top w:val="single" w:sz="4" w:space="0" w:color="000000"/>
              <w:left w:val="single" w:sz="4" w:space="0" w:color="000000"/>
              <w:bottom w:val="single" w:sz="4" w:space="0" w:color="000000"/>
              <w:right w:val="single" w:sz="4" w:space="0" w:color="000000"/>
            </w:tcBorders>
          </w:tcPr>
          <w:p w14:paraId="1F13E890"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2020</w:t>
            </w:r>
          </w:p>
        </w:tc>
        <w:tc>
          <w:tcPr>
            <w:tcW w:w="4050" w:type="dxa"/>
            <w:tcBorders>
              <w:top w:val="single" w:sz="4" w:space="0" w:color="000000"/>
              <w:left w:val="single" w:sz="4" w:space="0" w:color="000000"/>
              <w:bottom w:val="single" w:sz="4" w:space="0" w:color="000000"/>
              <w:right w:val="single" w:sz="4" w:space="0" w:color="000000"/>
            </w:tcBorders>
          </w:tcPr>
          <w:p w14:paraId="59CD9CC0"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 xml:space="preserve">2  </w:t>
            </w:r>
          </w:p>
        </w:tc>
      </w:tr>
      <w:tr w:rsidR="00E93BD8" w14:paraId="6EF28372" w14:textId="77777777">
        <w:tc>
          <w:tcPr>
            <w:tcW w:w="2155" w:type="dxa"/>
            <w:tcBorders>
              <w:top w:val="single" w:sz="4" w:space="0" w:color="000000"/>
              <w:left w:val="single" w:sz="4" w:space="0" w:color="000000"/>
              <w:bottom w:val="single" w:sz="4" w:space="0" w:color="000000"/>
              <w:right w:val="single" w:sz="4" w:space="0" w:color="000000"/>
            </w:tcBorders>
          </w:tcPr>
          <w:p w14:paraId="5AAE238F"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2021</w:t>
            </w:r>
          </w:p>
        </w:tc>
        <w:tc>
          <w:tcPr>
            <w:tcW w:w="4050" w:type="dxa"/>
            <w:tcBorders>
              <w:top w:val="single" w:sz="4" w:space="0" w:color="000000"/>
              <w:left w:val="single" w:sz="4" w:space="0" w:color="000000"/>
              <w:bottom w:val="single" w:sz="4" w:space="0" w:color="000000"/>
              <w:right w:val="single" w:sz="4" w:space="0" w:color="000000"/>
            </w:tcBorders>
          </w:tcPr>
          <w:p w14:paraId="65970D9F"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 xml:space="preserve">1  </w:t>
            </w:r>
          </w:p>
        </w:tc>
      </w:tr>
      <w:tr w:rsidR="00E93BD8" w14:paraId="1FC70A8C" w14:textId="77777777">
        <w:tc>
          <w:tcPr>
            <w:tcW w:w="2155" w:type="dxa"/>
            <w:tcBorders>
              <w:top w:val="single" w:sz="4" w:space="0" w:color="000000"/>
              <w:left w:val="single" w:sz="4" w:space="0" w:color="000000"/>
              <w:bottom w:val="single" w:sz="4" w:space="0" w:color="000000"/>
              <w:right w:val="single" w:sz="4" w:space="0" w:color="000000"/>
            </w:tcBorders>
          </w:tcPr>
          <w:p w14:paraId="68A9A1D3"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2022</w:t>
            </w:r>
          </w:p>
        </w:tc>
        <w:tc>
          <w:tcPr>
            <w:tcW w:w="4050" w:type="dxa"/>
            <w:tcBorders>
              <w:top w:val="single" w:sz="4" w:space="0" w:color="000000"/>
              <w:left w:val="single" w:sz="4" w:space="0" w:color="000000"/>
              <w:bottom w:val="single" w:sz="4" w:space="0" w:color="000000"/>
              <w:right w:val="single" w:sz="4" w:space="0" w:color="000000"/>
            </w:tcBorders>
          </w:tcPr>
          <w:p w14:paraId="4EB20DC4"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 xml:space="preserve">1  </w:t>
            </w:r>
          </w:p>
        </w:tc>
      </w:tr>
      <w:tr w:rsidR="00E93BD8" w14:paraId="1BB4001F" w14:textId="77777777">
        <w:tc>
          <w:tcPr>
            <w:tcW w:w="2155" w:type="dxa"/>
            <w:tcBorders>
              <w:top w:val="single" w:sz="4" w:space="0" w:color="000000"/>
              <w:left w:val="single" w:sz="4" w:space="0" w:color="000000"/>
              <w:bottom w:val="single" w:sz="4" w:space="0" w:color="000000"/>
              <w:right w:val="single" w:sz="4" w:space="0" w:color="000000"/>
            </w:tcBorders>
          </w:tcPr>
          <w:p w14:paraId="31EC5761"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2023</w:t>
            </w:r>
          </w:p>
        </w:tc>
        <w:tc>
          <w:tcPr>
            <w:tcW w:w="4050" w:type="dxa"/>
            <w:tcBorders>
              <w:top w:val="single" w:sz="4" w:space="0" w:color="000000"/>
              <w:left w:val="single" w:sz="4" w:space="0" w:color="000000"/>
              <w:bottom w:val="single" w:sz="4" w:space="0" w:color="000000"/>
              <w:right w:val="single" w:sz="4" w:space="0" w:color="000000"/>
            </w:tcBorders>
          </w:tcPr>
          <w:p w14:paraId="52E0F8C2"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 xml:space="preserve">2  </w:t>
            </w:r>
          </w:p>
        </w:tc>
      </w:tr>
      <w:tr w:rsidR="00E93BD8" w14:paraId="26220DD4" w14:textId="77777777">
        <w:tc>
          <w:tcPr>
            <w:tcW w:w="2155" w:type="dxa"/>
            <w:tcBorders>
              <w:top w:val="single" w:sz="4" w:space="0" w:color="000000"/>
              <w:left w:val="single" w:sz="4" w:space="0" w:color="000000"/>
              <w:bottom w:val="single" w:sz="4" w:space="0" w:color="000000"/>
              <w:right w:val="single" w:sz="4" w:space="0" w:color="000000"/>
            </w:tcBorders>
          </w:tcPr>
          <w:p w14:paraId="63757057"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2024</w:t>
            </w:r>
          </w:p>
        </w:tc>
        <w:tc>
          <w:tcPr>
            <w:tcW w:w="4050" w:type="dxa"/>
            <w:tcBorders>
              <w:top w:val="single" w:sz="4" w:space="0" w:color="000000"/>
              <w:left w:val="single" w:sz="4" w:space="0" w:color="000000"/>
              <w:bottom w:val="single" w:sz="4" w:space="0" w:color="000000"/>
              <w:right w:val="single" w:sz="4" w:space="0" w:color="000000"/>
            </w:tcBorders>
          </w:tcPr>
          <w:p w14:paraId="2B639399"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0</w:t>
            </w:r>
          </w:p>
        </w:tc>
      </w:tr>
      <w:tr w:rsidR="00E93BD8" w14:paraId="01743B83" w14:textId="77777777">
        <w:tc>
          <w:tcPr>
            <w:tcW w:w="2155" w:type="dxa"/>
            <w:tcBorders>
              <w:top w:val="single" w:sz="4" w:space="0" w:color="000000"/>
              <w:left w:val="single" w:sz="4" w:space="0" w:color="000000"/>
              <w:bottom w:val="single" w:sz="4" w:space="0" w:color="000000"/>
              <w:right w:val="single" w:sz="4" w:space="0" w:color="000000"/>
            </w:tcBorders>
          </w:tcPr>
          <w:p w14:paraId="03794F2B"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2025</w:t>
            </w:r>
          </w:p>
        </w:tc>
        <w:tc>
          <w:tcPr>
            <w:tcW w:w="4050" w:type="dxa"/>
            <w:tcBorders>
              <w:top w:val="single" w:sz="4" w:space="0" w:color="000000"/>
              <w:left w:val="single" w:sz="4" w:space="0" w:color="000000"/>
              <w:bottom w:val="single" w:sz="4" w:space="0" w:color="000000"/>
              <w:right w:val="single" w:sz="4" w:space="0" w:color="000000"/>
            </w:tcBorders>
          </w:tcPr>
          <w:p w14:paraId="5FDECD3B"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0</w:t>
            </w:r>
          </w:p>
        </w:tc>
      </w:tr>
      <w:tr w:rsidR="00E93BD8" w14:paraId="34BAD912" w14:textId="77777777">
        <w:tc>
          <w:tcPr>
            <w:tcW w:w="2155" w:type="dxa"/>
            <w:tcBorders>
              <w:top w:val="single" w:sz="4" w:space="0" w:color="000000"/>
              <w:left w:val="single" w:sz="4" w:space="0" w:color="000000"/>
              <w:bottom w:val="single" w:sz="4" w:space="0" w:color="000000"/>
              <w:right w:val="single" w:sz="4" w:space="0" w:color="000000"/>
            </w:tcBorders>
          </w:tcPr>
          <w:p w14:paraId="631BB35B"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Total</w:t>
            </w:r>
          </w:p>
        </w:tc>
        <w:tc>
          <w:tcPr>
            <w:tcW w:w="4050" w:type="dxa"/>
            <w:tcBorders>
              <w:top w:val="single" w:sz="4" w:space="0" w:color="000000"/>
              <w:left w:val="single" w:sz="4" w:space="0" w:color="000000"/>
              <w:bottom w:val="single" w:sz="4" w:space="0" w:color="000000"/>
              <w:right w:val="single" w:sz="4" w:space="0" w:color="000000"/>
            </w:tcBorders>
          </w:tcPr>
          <w:p w14:paraId="38BC8EB0"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13</w:t>
            </w:r>
          </w:p>
        </w:tc>
      </w:tr>
    </w:tbl>
    <w:p w14:paraId="7F2646ED" w14:textId="77777777" w:rsidR="00E93BD8" w:rsidRDefault="00000000">
      <w:pPr>
        <w:spacing w:line="360" w:lineRule="auto"/>
        <w:jc w:val="both"/>
        <w:rPr>
          <w:rFonts w:ascii="Arial" w:eastAsia="Arial" w:hAnsi="Arial" w:cs="Arial"/>
        </w:rPr>
      </w:pPr>
      <w:r>
        <w:rPr>
          <w:rFonts w:ascii="Arial" w:eastAsia="Arial" w:hAnsi="Arial" w:cs="Arial"/>
        </w:rPr>
        <w:t>(Secondary Data, 2025)</w:t>
      </w:r>
    </w:p>
    <w:p w14:paraId="7A7BE58F" w14:textId="77777777" w:rsidR="00E93BD8" w:rsidRDefault="00000000">
      <w:pPr>
        <w:spacing w:line="360" w:lineRule="auto"/>
        <w:jc w:val="both"/>
        <w:rPr>
          <w:rFonts w:ascii="Arial" w:eastAsia="Arial" w:hAnsi="Arial" w:cs="Arial"/>
          <w:b/>
          <w:bCs/>
        </w:rPr>
      </w:pPr>
      <w:r>
        <w:rPr>
          <w:rFonts w:ascii="Arial" w:eastAsia="Arial" w:hAnsi="Arial" w:cs="Arial"/>
          <w:noProof/>
        </w:rPr>
        <w:lastRenderedPageBreak/>
        <w:drawing>
          <wp:inline distT="0" distB="0" distL="0" distR="0" wp14:anchorId="488E3AB9" wp14:editId="136FAE91">
            <wp:extent cx="5334000" cy="2743200"/>
            <wp:effectExtent l="0" t="0" r="0" b="0"/>
            <wp:docPr id="2125133436" name="Chart 21251334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E229BB4" w14:textId="77777777" w:rsidR="00E93BD8" w:rsidRDefault="00000000">
      <w:pPr>
        <w:spacing w:line="360" w:lineRule="auto"/>
        <w:jc w:val="both"/>
        <w:rPr>
          <w:rFonts w:ascii="Arial" w:eastAsia="Arial" w:hAnsi="Arial" w:cs="Arial"/>
        </w:rPr>
      </w:pPr>
      <w:r>
        <w:rPr>
          <w:rFonts w:ascii="Arial" w:eastAsia="Arial" w:hAnsi="Arial" w:cs="Arial"/>
        </w:rPr>
        <w:t>Figure 4.4:</w:t>
      </w:r>
      <w:r>
        <w:rPr>
          <w:rFonts w:ascii="Arial" w:eastAsia="Arial" w:hAnsi="Arial" w:cs="Arial"/>
          <w:b/>
          <w:bCs/>
        </w:rPr>
        <w:t xml:space="preserve"> </w:t>
      </w:r>
      <w:r>
        <w:rPr>
          <w:rFonts w:ascii="Arial" w:eastAsia="Arial" w:hAnsi="Arial" w:cs="Arial"/>
        </w:rPr>
        <w:t>Temporal review of reviewed research papers</w:t>
      </w:r>
      <w:r>
        <w:rPr>
          <w:rFonts w:ascii="Arial" w:eastAsia="Arial" w:hAnsi="Arial" w:cs="Arial"/>
        </w:rPr>
        <w:tab/>
        <w:t>(Secondary Data, 2025)</w:t>
      </w:r>
    </w:p>
    <w:p w14:paraId="10BC32DE" w14:textId="77777777" w:rsidR="00E93BD8" w:rsidRDefault="00000000">
      <w:pPr>
        <w:spacing w:line="360" w:lineRule="auto"/>
        <w:jc w:val="both"/>
        <w:rPr>
          <w:rFonts w:ascii="Arial" w:eastAsia="Arial" w:hAnsi="Arial" w:cs="Arial"/>
        </w:rPr>
      </w:pPr>
      <w:r>
        <w:rPr>
          <w:rFonts w:ascii="Arial" w:eastAsia="Arial" w:hAnsi="Arial" w:cs="Arial"/>
        </w:rPr>
        <w:t>Table 4.3 represents a chronology of the years the reviewed studies were published, which shows the distribution of the research activity between 2015 and 2025. The data reveals that the level of research interest was not very high between 2015 and 2018 because only three papers were published at that time. Nevertheless, 2019 saw a drastic rise in the number of publications, with four studies, indicating that there was more academic interest at that period. The trend decreased slightly in the year 2020 but it was steady in the year 2021 and 2022 with one paper each, and then slightly increased in 2023 with two papers. It is important to note that no studies were published in 2024 or 2025, and this fact could be attributed to the temporary gap in the research or the inherent delay in the publication process. In general, the temporal trend indicates that the issue acquired a tangible academic momentum at the end of the 2010s and the beginning of the 2020s, as the awareness of the problem and its scholarly investigation were in the focus at the time.</w:t>
      </w:r>
    </w:p>
    <w:p w14:paraId="1EF82679" w14:textId="77777777" w:rsidR="00E93BD8" w:rsidRDefault="00000000">
      <w:pPr>
        <w:pStyle w:val="Heading3"/>
        <w:spacing w:line="360" w:lineRule="auto"/>
        <w:rPr>
          <w:rFonts w:ascii="Arial" w:eastAsia="Arial" w:hAnsi="Arial" w:cs="Arial"/>
          <w:b/>
          <w:bCs/>
          <w:color w:val="000000"/>
          <w:sz w:val="24"/>
          <w:szCs w:val="24"/>
        </w:rPr>
      </w:pPr>
      <w:bookmarkStart w:id="46" w:name="_heading=h.coykndvhmfjt" w:colFirst="0" w:colLast="0"/>
      <w:bookmarkEnd w:id="46"/>
      <w:r>
        <w:rPr>
          <w:rFonts w:ascii="Arial" w:eastAsia="Arial" w:hAnsi="Arial" w:cs="Arial"/>
          <w:b/>
          <w:bCs/>
          <w:color w:val="000000"/>
          <w:sz w:val="24"/>
          <w:szCs w:val="24"/>
        </w:rPr>
        <w:t>4.2.5 Research Methods</w:t>
      </w:r>
    </w:p>
    <w:p w14:paraId="30E8AFCC" w14:textId="77777777" w:rsidR="00E93BD8" w:rsidRDefault="00000000">
      <w:pPr>
        <w:spacing w:line="360" w:lineRule="auto"/>
        <w:jc w:val="both"/>
        <w:rPr>
          <w:rFonts w:ascii="Arial" w:eastAsia="Arial" w:hAnsi="Arial" w:cs="Arial"/>
        </w:rPr>
      </w:pPr>
      <w:r>
        <w:rPr>
          <w:rFonts w:ascii="Arial" w:eastAsia="Arial" w:hAnsi="Arial" w:cs="Arial"/>
        </w:rPr>
        <w:t>Table 4.4: Research methods of reviewed studies</w:t>
      </w:r>
    </w:p>
    <w:tbl>
      <w:tblPr>
        <w:tblStyle w:val="a2"/>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985"/>
        <w:gridCol w:w="2835"/>
      </w:tblGrid>
      <w:tr w:rsidR="00E93BD8" w14:paraId="7B0E3533" w14:textId="77777777">
        <w:tc>
          <w:tcPr>
            <w:tcW w:w="3539" w:type="dxa"/>
            <w:tcBorders>
              <w:top w:val="single" w:sz="4" w:space="0" w:color="000000"/>
              <w:left w:val="single" w:sz="4" w:space="0" w:color="000000"/>
              <w:bottom w:val="single" w:sz="4" w:space="0" w:color="000000"/>
              <w:right w:val="single" w:sz="4" w:space="0" w:color="000000"/>
            </w:tcBorders>
          </w:tcPr>
          <w:p w14:paraId="69ACF5A8"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Research Methods</w:t>
            </w:r>
          </w:p>
        </w:tc>
        <w:tc>
          <w:tcPr>
            <w:tcW w:w="1985" w:type="dxa"/>
            <w:tcBorders>
              <w:top w:val="single" w:sz="4" w:space="0" w:color="000000"/>
              <w:left w:val="single" w:sz="4" w:space="0" w:color="000000"/>
              <w:bottom w:val="single" w:sz="4" w:space="0" w:color="000000"/>
              <w:right w:val="single" w:sz="4" w:space="0" w:color="000000"/>
            </w:tcBorders>
          </w:tcPr>
          <w:p w14:paraId="2B5911FD"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Frequency</w:t>
            </w:r>
          </w:p>
        </w:tc>
        <w:tc>
          <w:tcPr>
            <w:tcW w:w="2835" w:type="dxa"/>
            <w:tcBorders>
              <w:top w:val="single" w:sz="4" w:space="0" w:color="000000"/>
              <w:left w:val="single" w:sz="4" w:space="0" w:color="000000"/>
              <w:bottom w:val="single" w:sz="4" w:space="0" w:color="000000"/>
              <w:right w:val="single" w:sz="4" w:space="0" w:color="000000"/>
            </w:tcBorders>
          </w:tcPr>
          <w:p w14:paraId="1313D63A"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Percentage (%)</w:t>
            </w:r>
          </w:p>
        </w:tc>
      </w:tr>
      <w:tr w:rsidR="00E93BD8" w14:paraId="5EFF9BA2" w14:textId="77777777">
        <w:tc>
          <w:tcPr>
            <w:tcW w:w="3539" w:type="dxa"/>
            <w:tcBorders>
              <w:top w:val="single" w:sz="4" w:space="0" w:color="000000"/>
              <w:left w:val="single" w:sz="4" w:space="0" w:color="000000"/>
              <w:bottom w:val="single" w:sz="4" w:space="0" w:color="000000"/>
              <w:right w:val="single" w:sz="4" w:space="0" w:color="000000"/>
            </w:tcBorders>
          </w:tcPr>
          <w:p w14:paraId="6B1BE654"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Quantitative</w:t>
            </w:r>
          </w:p>
        </w:tc>
        <w:tc>
          <w:tcPr>
            <w:tcW w:w="1985" w:type="dxa"/>
            <w:tcBorders>
              <w:top w:val="single" w:sz="4" w:space="0" w:color="000000"/>
              <w:left w:val="single" w:sz="4" w:space="0" w:color="000000"/>
              <w:bottom w:val="single" w:sz="4" w:space="0" w:color="000000"/>
              <w:right w:val="single" w:sz="4" w:space="0" w:color="000000"/>
            </w:tcBorders>
          </w:tcPr>
          <w:p w14:paraId="286007A6"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7</w:t>
            </w:r>
          </w:p>
        </w:tc>
        <w:tc>
          <w:tcPr>
            <w:tcW w:w="2835" w:type="dxa"/>
            <w:tcBorders>
              <w:top w:val="single" w:sz="4" w:space="0" w:color="000000"/>
              <w:left w:val="single" w:sz="4" w:space="0" w:color="000000"/>
              <w:bottom w:val="single" w:sz="4" w:space="0" w:color="000000"/>
              <w:right w:val="single" w:sz="4" w:space="0" w:color="000000"/>
            </w:tcBorders>
          </w:tcPr>
          <w:p w14:paraId="07122AC6"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53.85</w:t>
            </w:r>
          </w:p>
        </w:tc>
      </w:tr>
      <w:tr w:rsidR="00E93BD8" w14:paraId="2B972545" w14:textId="77777777">
        <w:tc>
          <w:tcPr>
            <w:tcW w:w="3539" w:type="dxa"/>
            <w:tcBorders>
              <w:top w:val="single" w:sz="4" w:space="0" w:color="000000"/>
              <w:left w:val="single" w:sz="4" w:space="0" w:color="000000"/>
              <w:bottom w:val="single" w:sz="4" w:space="0" w:color="000000"/>
              <w:right w:val="single" w:sz="4" w:space="0" w:color="000000"/>
            </w:tcBorders>
          </w:tcPr>
          <w:p w14:paraId="0F028E6A"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lastRenderedPageBreak/>
              <w:t>Qualitative (Narrative)</w:t>
            </w:r>
          </w:p>
        </w:tc>
        <w:tc>
          <w:tcPr>
            <w:tcW w:w="1985" w:type="dxa"/>
            <w:tcBorders>
              <w:top w:val="single" w:sz="4" w:space="0" w:color="000000"/>
              <w:left w:val="single" w:sz="4" w:space="0" w:color="000000"/>
              <w:bottom w:val="single" w:sz="4" w:space="0" w:color="000000"/>
              <w:right w:val="single" w:sz="4" w:space="0" w:color="000000"/>
            </w:tcBorders>
          </w:tcPr>
          <w:p w14:paraId="701E35F2"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3</w:t>
            </w:r>
          </w:p>
        </w:tc>
        <w:tc>
          <w:tcPr>
            <w:tcW w:w="2835" w:type="dxa"/>
            <w:tcBorders>
              <w:top w:val="single" w:sz="4" w:space="0" w:color="000000"/>
              <w:left w:val="single" w:sz="4" w:space="0" w:color="000000"/>
              <w:bottom w:val="single" w:sz="4" w:space="0" w:color="000000"/>
              <w:right w:val="single" w:sz="4" w:space="0" w:color="000000"/>
            </w:tcBorders>
          </w:tcPr>
          <w:p w14:paraId="52088305"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23.08</w:t>
            </w:r>
          </w:p>
        </w:tc>
      </w:tr>
      <w:tr w:rsidR="00E93BD8" w14:paraId="44D6BFC4" w14:textId="77777777">
        <w:tc>
          <w:tcPr>
            <w:tcW w:w="3539" w:type="dxa"/>
            <w:tcBorders>
              <w:top w:val="single" w:sz="4" w:space="0" w:color="000000"/>
              <w:left w:val="single" w:sz="4" w:space="0" w:color="000000"/>
              <w:bottom w:val="single" w:sz="4" w:space="0" w:color="000000"/>
              <w:right w:val="single" w:sz="4" w:space="0" w:color="000000"/>
            </w:tcBorders>
          </w:tcPr>
          <w:p w14:paraId="607D825C"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Systematic Reviews</w:t>
            </w:r>
          </w:p>
        </w:tc>
        <w:tc>
          <w:tcPr>
            <w:tcW w:w="1985" w:type="dxa"/>
            <w:tcBorders>
              <w:top w:val="single" w:sz="4" w:space="0" w:color="000000"/>
              <w:left w:val="single" w:sz="4" w:space="0" w:color="000000"/>
              <w:bottom w:val="single" w:sz="4" w:space="0" w:color="000000"/>
              <w:right w:val="single" w:sz="4" w:space="0" w:color="000000"/>
            </w:tcBorders>
          </w:tcPr>
          <w:p w14:paraId="49FEE966"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1</w:t>
            </w:r>
          </w:p>
        </w:tc>
        <w:tc>
          <w:tcPr>
            <w:tcW w:w="2835" w:type="dxa"/>
            <w:tcBorders>
              <w:top w:val="single" w:sz="4" w:space="0" w:color="000000"/>
              <w:left w:val="single" w:sz="4" w:space="0" w:color="000000"/>
              <w:bottom w:val="single" w:sz="4" w:space="0" w:color="000000"/>
              <w:right w:val="single" w:sz="4" w:space="0" w:color="000000"/>
            </w:tcBorders>
          </w:tcPr>
          <w:p w14:paraId="534CD00F"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7.69</w:t>
            </w:r>
          </w:p>
        </w:tc>
      </w:tr>
      <w:tr w:rsidR="00E93BD8" w14:paraId="34708CAF" w14:textId="77777777">
        <w:tc>
          <w:tcPr>
            <w:tcW w:w="3539" w:type="dxa"/>
            <w:tcBorders>
              <w:top w:val="single" w:sz="4" w:space="0" w:color="000000"/>
              <w:left w:val="single" w:sz="4" w:space="0" w:color="000000"/>
              <w:bottom w:val="single" w:sz="4" w:space="0" w:color="000000"/>
              <w:right w:val="single" w:sz="4" w:space="0" w:color="000000"/>
            </w:tcBorders>
          </w:tcPr>
          <w:p w14:paraId="7D87A6C1"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Clinical guideline summary</w:t>
            </w:r>
          </w:p>
        </w:tc>
        <w:tc>
          <w:tcPr>
            <w:tcW w:w="1985" w:type="dxa"/>
            <w:tcBorders>
              <w:top w:val="single" w:sz="4" w:space="0" w:color="000000"/>
              <w:left w:val="single" w:sz="4" w:space="0" w:color="000000"/>
              <w:bottom w:val="single" w:sz="4" w:space="0" w:color="000000"/>
              <w:right w:val="single" w:sz="4" w:space="0" w:color="000000"/>
            </w:tcBorders>
          </w:tcPr>
          <w:p w14:paraId="5815312C"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1</w:t>
            </w:r>
          </w:p>
        </w:tc>
        <w:tc>
          <w:tcPr>
            <w:tcW w:w="2835" w:type="dxa"/>
            <w:tcBorders>
              <w:top w:val="single" w:sz="4" w:space="0" w:color="000000"/>
              <w:left w:val="single" w:sz="4" w:space="0" w:color="000000"/>
              <w:bottom w:val="single" w:sz="4" w:space="0" w:color="000000"/>
              <w:right w:val="single" w:sz="4" w:space="0" w:color="000000"/>
            </w:tcBorders>
          </w:tcPr>
          <w:p w14:paraId="400C56F3"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7.69</w:t>
            </w:r>
          </w:p>
        </w:tc>
      </w:tr>
      <w:tr w:rsidR="00E93BD8" w14:paraId="7DDF3A4A" w14:textId="77777777">
        <w:tc>
          <w:tcPr>
            <w:tcW w:w="3539" w:type="dxa"/>
            <w:tcBorders>
              <w:top w:val="single" w:sz="4" w:space="0" w:color="000000"/>
              <w:left w:val="single" w:sz="4" w:space="0" w:color="000000"/>
              <w:bottom w:val="single" w:sz="4" w:space="0" w:color="000000"/>
              <w:right w:val="single" w:sz="4" w:space="0" w:color="000000"/>
            </w:tcBorders>
          </w:tcPr>
          <w:p w14:paraId="5CD1D855"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Review/ Commentary Paper</w:t>
            </w:r>
          </w:p>
        </w:tc>
        <w:tc>
          <w:tcPr>
            <w:tcW w:w="1985" w:type="dxa"/>
            <w:tcBorders>
              <w:top w:val="single" w:sz="4" w:space="0" w:color="000000"/>
              <w:left w:val="single" w:sz="4" w:space="0" w:color="000000"/>
              <w:bottom w:val="single" w:sz="4" w:space="0" w:color="000000"/>
              <w:right w:val="single" w:sz="4" w:space="0" w:color="000000"/>
            </w:tcBorders>
          </w:tcPr>
          <w:p w14:paraId="79652F02"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1</w:t>
            </w:r>
          </w:p>
        </w:tc>
        <w:tc>
          <w:tcPr>
            <w:tcW w:w="2835" w:type="dxa"/>
            <w:tcBorders>
              <w:top w:val="single" w:sz="4" w:space="0" w:color="000000"/>
              <w:left w:val="single" w:sz="4" w:space="0" w:color="000000"/>
              <w:bottom w:val="single" w:sz="4" w:space="0" w:color="000000"/>
              <w:right w:val="single" w:sz="4" w:space="0" w:color="000000"/>
            </w:tcBorders>
          </w:tcPr>
          <w:p w14:paraId="39C962C7"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7.69</w:t>
            </w:r>
          </w:p>
        </w:tc>
      </w:tr>
      <w:tr w:rsidR="00E93BD8" w14:paraId="26D2321A" w14:textId="77777777">
        <w:tc>
          <w:tcPr>
            <w:tcW w:w="3539" w:type="dxa"/>
            <w:tcBorders>
              <w:top w:val="single" w:sz="4" w:space="0" w:color="000000"/>
              <w:left w:val="single" w:sz="4" w:space="0" w:color="000000"/>
              <w:bottom w:val="single" w:sz="4" w:space="0" w:color="000000"/>
              <w:right w:val="single" w:sz="4" w:space="0" w:color="000000"/>
            </w:tcBorders>
          </w:tcPr>
          <w:p w14:paraId="77CC2C74"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Total</w:t>
            </w:r>
          </w:p>
        </w:tc>
        <w:tc>
          <w:tcPr>
            <w:tcW w:w="1985" w:type="dxa"/>
            <w:tcBorders>
              <w:top w:val="single" w:sz="4" w:space="0" w:color="000000"/>
              <w:left w:val="single" w:sz="4" w:space="0" w:color="000000"/>
              <w:bottom w:val="single" w:sz="4" w:space="0" w:color="000000"/>
              <w:right w:val="single" w:sz="4" w:space="0" w:color="000000"/>
            </w:tcBorders>
          </w:tcPr>
          <w:p w14:paraId="6ED25CD8"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13</w:t>
            </w:r>
          </w:p>
        </w:tc>
        <w:tc>
          <w:tcPr>
            <w:tcW w:w="2835" w:type="dxa"/>
            <w:tcBorders>
              <w:top w:val="single" w:sz="4" w:space="0" w:color="000000"/>
              <w:left w:val="single" w:sz="4" w:space="0" w:color="000000"/>
              <w:bottom w:val="single" w:sz="4" w:space="0" w:color="000000"/>
              <w:right w:val="single" w:sz="4" w:space="0" w:color="000000"/>
            </w:tcBorders>
          </w:tcPr>
          <w:p w14:paraId="1740AA4E"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100</w:t>
            </w:r>
          </w:p>
        </w:tc>
      </w:tr>
    </w:tbl>
    <w:p w14:paraId="68D8D906" w14:textId="77777777" w:rsidR="00E93BD8" w:rsidRDefault="00000000">
      <w:pPr>
        <w:spacing w:line="360" w:lineRule="auto"/>
        <w:jc w:val="both"/>
        <w:rPr>
          <w:rFonts w:ascii="Arial" w:eastAsia="Arial" w:hAnsi="Arial" w:cs="Arial"/>
        </w:rPr>
      </w:pPr>
      <w:r>
        <w:rPr>
          <w:rFonts w:ascii="Arial" w:eastAsia="Arial" w:hAnsi="Arial" w:cs="Arial"/>
        </w:rPr>
        <w:t>(Secondary Data, 2025)</w:t>
      </w:r>
    </w:p>
    <w:p w14:paraId="620AA341" w14:textId="77777777" w:rsidR="00E93BD8" w:rsidRDefault="00000000">
      <w:pPr>
        <w:spacing w:line="360" w:lineRule="auto"/>
        <w:jc w:val="both"/>
        <w:rPr>
          <w:rFonts w:ascii="Arial" w:eastAsia="Arial" w:hAnsi="Arial" w:cs="Arial"/>
        </w:rPr>
      </w:pPr>
      <w:r>
        <w:rPr>
          <w:rFonts w:ascii="Arial" w:eastAsia="Arial" w:hAnsi="Arial" w:cs="Arial"/>
          <w:noProof/>
        </w:rPr>
        <w:drawing>
          <wp:inline distT="0" distB="0" distL="0" distR="0" wp14:anchorId="3E889E9B" wp14:editId="1A39876A">
            <wp:extent cx="4572000" cy="2590800"/>
            <wp:effectExtent l="0" t="0" r="0" b="0"/>
            <wp:docPr id="2125133439" name="Chart 21251334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25D9EA" w14:textId="77777777" w:rsidR="00E93BD8" w:rsidRDefault="00000000">
      <w:pPr>
        <w:spacing w:line="360" w:lineRule="auto"/>
        <w:jc w:val="both"/>
        <w:rPr>
          <w:rFonts w:ascii="Arial" w:eastAsia="Arial" w:hAnsi="Arial" w:cs="Arial"/>
        </w:rPr>
      </w:pPr>
      <w:r>
        <w:rPr>
          <w:rFonts w:ascii="Arial" w:eastAsia="Arial" w:hAnsi="Arial" w:cs="Arial"/>
        </w:rPr>
        <w:t>Figure 4.5: Research methods of reviewed studies</w:t>
      </w:r>
      <w:r>
        <w:rPr>
          <w:rFonts w:ascii="Arial" w:eastAsia="Arial" w:hAnsi="Arial" w:cs="Arial"/>
        </w:rPr>
        <w:tab/>
        <w:t>(Secondary Data, 2025)</w:t>
      </w:r>
    </w:p>
    <w:p w14:paraId="4025D607" w14:textId="77777777" w:rsidR="00E93BD8" w:rsidRDefault="00000000">
      <w:pPr>
        <w:spacing w:line="360" w:lineRule="auto"/>
        <w:jc w:val="both"/>
        <w:rPr>
          <w:rFonts w:ascii="Arial" w:eastAsia="Arial" w:hAnsi="Arial" w:cs="Arial"/>
        </w:rPr>
      </w:pPr>
      <w:r>
        <w:rPr>
          <w:rFonts w:ascii="Arial" w:eastAsia="Arial" w:hAnsi="Arial" w:cs="Arial"/>
        </w:rPr>
        <w:t>Table 4.4 demonstrates the methodology that the thirteen studies used, with quantitative designs (53.85) being used predominantly, as it focuses on statistical measurement and objective evaluation of depressive symptoms. Qualitative studies were considered 23.08 that provide valuable information about lived experiences and contextual factors. Each systematic review, clinical guideline summary, and commentary paper had 7.69 value as evidence synthesis and practical interpretation were valued. This mix of empirical, interpretive and clinical methods points to the growing acknowledgment of the multidimensional nature of depression. But despite quantitative work still being the dominant one, the methodological diversity is an indication of a transition to more integrative and mixed-method research in the future.</w:t>
      </w:r>
    </w:p>
    <w:p w14:paraId="0690933A" w14:textId="77777777" w:rsidR="00E93BD8" w:rsidRDefault="00000000">
      <w:pPr>
        <w:pStyle w:val="Heading3"/>
        <w:spacing w:line="360" w:lineRule="auto"/>
        <w:rPr>
          <w:rFonts w:ascii="Arial" w:eastAsia="Arial" w:hAnsi="Arial" w:cs="Arial"/>
          <w:b/>
          <w:bCs/>
          <w:color w:val="000000"/>
          <w:sz w:val="24"/>
          <w:szCs w:val="24"/>
        </w:rPr>
      </w:pPr>
      <w:bookmarkStart w:id="47" w:name="_heading=h.gp1jiokd9fzz" w:colFirst="0" w:colLast="0"/>
      <w:bookmarkEnd w:id="47"/>
      <w:r>
        <w:rPr>
          <w:rFonts w:ascii="Arial" w:eastAsia="Arial" w:hAnsi="Arial" w:cs="Arial"/>
          <w:b/>
          <w:bCs/>
          <w:color w:val="000000"/>
          <w:sz w:val="24"/>
          <w:szCs w:val="24"/>
        </w:rPr>
        <w:t xml:space="preserve">4.2.6 Participant Characteristics of Included Studies </w:t>
      </w:r>
    </w:p>
    <w:p w14:paraId="736CD2E3" w14:textId="77777777" w:rsidR="00E93BD8" w:rsidRDefault="00000000">
      <w:pPr>
        <w:spacing w:line="360" w:lineRule="auto"/>
        <w:jc w:val="both"/>
        <w:rPr>
          <w:rFonts w:ascii="Arial" w:eastAsia="Arial" w:hAnsi="Arial" w:cs="Arial"/>
        </w:rPr>
      </w:pPr>
      <w:r>
        <w:rPr>
          <w:rFonts w:ascii="Arial" w:eastAsia="Arial" w:hAnsi="Arial" w:cs="Arial"/>
        </w:rPr>
        <w:t>Table 4.5: Participant characteristics of included studies</w:t>
      </w:r>
    </w:p>
    <w:tbl>
      <w:tblPr>
        <w:tblStyle w:val="a3"/>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985"/>
        <w:gridCol w:w="2835"/>
      </w:tblGrid>
      <w:tr w:rsidR="00E93BD8" w14:paraId="031E4229" w14:textId="77777777">
        <w:tc>
          <w:tcPr>
            <w:tcW w:w="3539" w:type="dxa"/>
            <w:tcBorders>
              <w:top w:val="single" w:sz="4" w:space="0" w:color="000000"/>
              <w:left w:val="single" w:sz="4" w:space="0" w:color="000000"/>
              <w:bottom w:val="single" w:sz="4" w:space="0" w:color="000000"/>
              <w:right w:val="single" w:sz="4" w:space="0" w:color="000000"/>
            </w:tcBorders>
          </w:tcPr>
          <w:p w14:paraId="30E33EDC"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lastRenderedPageBreak/>
              <w:t>Participant Groups</w:t>
            </w:r>
          </w:p>
        </w:tc>
        <w:tc>
          <w:tcPr>
            <w:tcW w:w="1985" w:type="dxa"/>
            <w:tcBorders>
              <w:top w:val="single" w:sz="4" w:space="0" w:color="000000"/>
              <w:left w:val="single" w:sz="4" w:space="0" w:color="000000"/>
              <w:bottom w:val="single" w:sz="4" w:space="0" w:color="000000"/>
              <w:right w:val="single" w:sz="4" w:space="0" w:color="000000"/>
            </w:tcBorders>
          </w:tcPr>
          <w:p w14:paraId="18EF4315"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Frequency</w:t>
            </w:r>
          </w:p>
        </w:tc>
        <w:tc>
          <w:tcPr>
            <w:tcW w:w="2835" w:type="dxa"/>
            <w:tcBorders>
              <w:top w:val="single" w:sz="4" w:space="0" w:color="000000"/>
              <w:left w:val="single" w:sz="4" w:space="0" w:color="000000"/>
              <w:bottom w:val="single" w:sz="4" w:space="0" w:color="000000"/>
              <w:right w:val="single" w:sz="4" w:space="0" w:color="000000"/>
            </w:tcBorders>
          </w:tcPr>
          <w:p w14:paraId="2DED4935"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Percentage (%)</w:t>
            </w:r>
          </w:p>
        </w:tc>
      </w:tr>
      <w:tr w:rsidR="00E93BD8" w14:paraId="5FE357F4" w14:textId="77777777">
        <w:tc>
          <w:tcPr>
            <w:tcW w:w="3539" w:type="dxa"/>
            <w:tcBorders>
              <w:top w:val="single" w:sz="4" w:space="0" w:color="000000"/>
              <w:left w:val="single" w:sz="4" w:space="0" w:color="000000"/>
              <w:bottom w:val="single" w:sz="4" w:space="0" w:color="000000"/>
              <w:right w:val="single" w:sz="4" w:space="0" w:color="000000"/>
            </w:tcBorders>
          </w:tcPr>
          <w:p w14:paraId="3ADCD272"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Young Adults</w:t>
            </w:r>
          </w:p>
        </w:tc>
        <w:tc>
          <w:tcPr>
            <w:tcW w:w="1985" w:type="dxa"/>
            <w:tcBorders>
              <w:top w:val="single" w:sz="4" w:space="0" w:color="000000"/>
              <w:left w:val="single" w:sz="4" w:space="0" w:color="000000"/>
              <w:bottom w:val="single" w:sz="4" w:space="0" w:color="000000"/>
              <w:right w:val="single" w:sz="4" w:space="0" w:color="000000"/>
            </w:tcBorders>
          </w:tcPr>
          <w:p w14:paraId="4482380E"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3</w:t>
            </w:r>
          </w:p>
        </w:tc>
        <w:tc>
          <w:tcPr>
            <w:tcW w:w="2835" w:type="dxa"/>
            <w:tcBorders>
              <w:top w:val="single" w:sz="4" w:space="0" w:color="000000"/>
              <w:left w:val="single" w:sz="4" w:space="0" w:color="000000"/>
              <w:bottom w:val="single" w:sz="4" w:space="0" w:color="000000"/>
              <w:right w:val="single" w:sz="4" w:space="0" w:color="000000"/>
            </w:tcBorders>
          </w:tcPr>
          <w:p w14:paraId="52AD5D5B"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23.07</w:t>
            </w:r>
          </w:p>
        </w:tc>
      </w:tr>
      <w:tr w:rsidR="00E93BD8" w14:paraId="572AA966" w14:textId="77777777">
        <w:tc>
          <w:tcPr>
            <w:tcW w:w="3539" w:type="dxa"/>
            <w:tcBorders>
              <w:top w:val="single" w:sz="4" w:space="0" w:color="000000"/>
              <w:left w:val="single" w:sz="4" w:space="0" w:color="000000"/>
              <w:bottom w:val="single" w:sz="4" w:space="0" w:color="000000"/>
              <w:right w:val="single" w:sz="4" w:space="0" w:color="000000"/>
            </w:tcBorders>
          </w:tcPr>
          <w:p w14:paraId="2FB21B0F"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Young Adults and Adolescents</w:t>
            </w:r>
          </w:p>
        </w:tc>
        <w:tc>
          <w:tcPr>
            <w:tcW w:w="1985" w:type="dxa"/>
            <w:tcBorders>
              <w:top w:val="single" w:sz="4" w:space="0" w:color="000000"/>
              <w:left w:val="single" w:sz="4" w:space="0" w:color="000000"/>
              <w:bottom w:val="single" w:sz="4" w:space="0" w:color="000000"/>
              <w:right w:val="single" w:sz="4" w:space="0" w:color="000000"/>
            </w:tcBorders>
          </w:tcPr>
          <w:p w14:paraId="5EC4EC1C"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w:t>
            </w:r>
          </w:p>
        </w:tc>
        <w:tc>
          <w:tcPr>
            <w:tcW w:w="2835" w:type="dxa"/>
            <w:tcBorders>
              <w:top w:val="single" w:sz="4" w:space="0" w:color="000000"/>
              <w:left w:val="single" w:sz="4" w:space="0" w:color="000000"/>
              <w:bottom w:val="single" w:sz="4" w:space="0" w:color="000000"/>
              <w:right w:val="single" w:sz="4" w:space="0" w:color="000000"/>
            </w:tcBorders>
          </w:tcPr>
          <w:p w14:paraId="43A2C9F6"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15.39</w:t>
            </w:r>
          </w:p>
        </w:tc>
      </w:tr>
      <w:tr w:rsidR="00E93BD8" w14:paraId="155E1F5A" w14:textId="77777777">
        <w:tc>
          <w:tcPr>
            <w:tcW w:w="3539" w:type="dxa"/>
            <w:tcBorders>
              <w:top w:val="single" w:sz="4" w:space="0" w:color="000000"/>
              <w:left w:val="single" w:sz="4" w:space="0" w:color="000000"/>
              <w:bottom w:val="single" w:sz="4" w:space="0" w:color="000000"/>
              <w:right w:val="single" w:sz="4" w:space="0" w:color="000000"/>
            </w:tcBorders>
          </w:tcPr>
          <w:p w14:paraId="1AB18F64"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Young Adults and Children</w:t>
            </w:r>
          </w:p>
        </w:tc>
        <w:tc>
          <w:tcPr>
            <w:tcW w:w="1985" w:type="dxa"/>
            <w:tcBorders>
              <w:top w:val="single" w:sz="4" w:space="0" w:color="000000"/>
              <w:left w:val="single" w:sz="4" w:space="0" w:color="000000"/>
              <w:bottom w:val="single" w:sz="4" w:space="0" w:color="000000"/>
              <w:right w:val="single" w:sz="4" w:space="0" w:color="000000"/>
            </w:tcBorders>
          </w:tcPr>
          <w:p w14:paraId="28D6A0EF"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4</w:t>
            </w:r>
          </w:p>
        </w:tc>
        <w:tc>
          <w:tcPr>
            <w:tcW w:w="2835" w:type="dxa"/>
            <w:tcBorders>
              <w:top w:val="single" w:sz="4" w:space="0" w:color="000000"/>
              <w:left w:val="single" w:sz="4" w:space="0" w:color="000000"/>
              <w:bottom w:val="single" w:sz="4" w:space="0" w:color="000000"/>
              <w:right w:val="single" w:sz="4" w:space="0" w:color="000000"/>
            </w:tcBorders>
          </w:tcPr>
          <w:p w14:paraId="4CE8ADBE"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30.76</w:t>
            </w:r>
          </w:p>
        </w:tc>
      </w:tr>
      <w:tr w:rsidR="00E93BD8" w14:paraId="450F8A80" w14:textId="77777777">
        <w:tc>
          <w:tcPr>
            <w:tcW w:w="3539" w:type="dxa"/>
            <w:tcBorders>
              <w:top w:val="single" w:sz="4" w:space="0" w:color="000000"/>
              <w:left w:val="single" w:sz="4" w:space="0" w:color="000000"/>
              <w:bottom w:val="single" w:sz="4" w:space="0" w:color="000000"/>
              <w:right w:val="single" w:sz="4" w:space="0" w:color="000000"/>
            </w:tcBorders>
          </w:tcPr>
          <w:p w14:paraId="56E5848E"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College Students (Young Adults)</w:t>
            </w:r>
          </w:p>
        </w:tc>
        <w:tc>
          <w:tcPr>
            <w:tcW w:w="1985" w:type="dxa"/>
            <w:tcBorders>
              <w:top w:val="single" w:sz="4" w:space="0" w:color="000000"/>
              <w:left w:val="single" w:sz="4" w:space="0" w:color="000000"/>
              <w:bottom w:val="single" w:sz="4" w:space="0" w:color="000000"/>
              <w:right w:val="single" w:sz="4" w:space="0" w:color="000000"/>
            </w:tcBorders>
          </w:tcPr>
          <w:p w14:paraId="3E1B12A7"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w:t>
            </w:r>
          </w:p>
        </w:tc>
        <w:tc>
          <w:tcPr>
            <w:tcW w:w="2835" w:type="dxa"/>
            <w:tcBorders>
              <w:top w:val="single" w:sz="4" w:space="0" w:color="000000"/>
              <w:left w:val="single" w:sz="4" w:space="0" w:color="000000"/>
              <w:bottom w:val="single" w:sz="4" w:space="0" w:color="000000"/>
              <w:right w:val="single" w:sz="4" w:space="0" w:color="000000"/>
            </w:tcBorders>
          </w:tcPr>
          <w:p w14:paraId="2FA76D0E"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15.39</w:t>
            </w:r>
          </w:p>
        </w:tc>
      </w:tr>
      <w:tr w:rsidR="00E93BD8" w14:paraId="7181F88F" w14:textId="77777777">
        <w:tc>
          <w:tcPr>
            <w:tcW w:w="3539" w:type="dxa"/>
            <w:tcBorders>
              <w:top w:val="single" w:sz="4" w:space="0" w:color="000000"/>
              <w:left w:val="single" w:sz="4" w:space="0" w:color="000000"/>
              <w:bottom w:val="single" w:sz="4" w:space="0" w:color="000000"/>
              <w:right w:val="single" w:sz="4" w:space="0" w:color="000000"/>
            </w:tcBorders>
          </w:tcPr>
          <w:p w14:paraId="0041373B"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Young Adults, Adolescents and Children</w:t>
            </w:r>
          </w:p>
        </w:tc>
        <w:tc>
          <w:tcPr>
            <w:tcW w:w="1985" w:type="dxa"/>
            <w:tcBorders>
              <w:top w:val="single" w:sz="4" w:space="0" w:color="000000"/>
              <w:left w:val="single" w:sz="4" w:space="0" w:color="000000"/>
              <w:bottom w:val="single" w:sz="4" w:space="0" w:color="000000"/>
              <w:right w:val="single" w:sz="4" w:space="0" w:color="000000"/>
            </w:tcBorders>
          </w:tcPr>
          <w:p w14:paraId="60F08708"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2</w:t>
            </w:r>
          </w:p>
        </w:tc>
        <w:tc>
          <w:tcPr>
            <w:tcW w:w="2835" w:type="dxa"/>
            <w:tcBorders>
              <w:top w:val="single" w:sz="4" w:space="0" w:color="000000"/>
              <w:left w:val="single" w:sz="4" w:space="0" w:color="000000"/>
              <w:bottom w:val="single" w:sz="4" w:space="0" w:color="000000"/>
              <w:right w:val="single" w:sz="4" w:space="0" w:color="000000"/>
            </w:tcBorders>
          </w:tcPr>
          <w:p w14:paraId="06792B62"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15.39</w:t>
            </w:r>
          </w:p>
        </w:tc>
      </w:tr>
      <w:tr w:rsidR="00E93BD8" w14:paraId="6B499F0D" w14:textId="77777777">
        <w:tc>
          <w:tcPr>
            <w:tcW w:w="3539" w:type="dxa"/>
            <w:tcBorders>
              <w:top w:val="single" w:sz="4" w:space="0" w:color="000000"/>
              <w:left w:val="single" w:sz="4" w:space="0" w:color="000000"/>
              <w:bottom w:val="single" w:sz="4" w:space="0" w:color="000000"/>
              <w:right w:val="single" w:sz="4" w:space="0" w:color="000000"/>
            </w:tcBorders>
          </w:tcPr>
          <w:p w14:paraId="22297B5D"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Total</w:t>
            </w:r>
          </w:p>
        </w:tc>
        <w:tc>
          <w:tcPr>
            <w:tcW w:w="1985" w:type="dxa"/>
            <w:tcBorders>
              <w:top w:val="single" w:sz="4" w:space="0" w:color="000000"/>
              <w:left w:val="single" w:sz="4" w:space="0" w:color="000000"/>
              <w:bottom w:val="single" w:sz="4" w:space="0" w:color="000000"/>
              <w:right w:val="single" w:sz="4" w:space="0" w:color="000000"/>
            </w:tcBorders>
          </w:tcPr>
          <w:p w14:paraId="2C6E6A8A"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13</w:t>
            </w:r>
          </w:p>
        </w:tc>
        <w:tc>
          <w:tcPr>
            <w:tcW w:w="2835" w:type="dxa"/>
            <w:tcBorders>
              <w:top w:val="single" w:sz="4" w:space="0" w:color="000000"/>
              <w:left w:val="single" w:sz="4" w:space="0" w:color="000000"/>
              <w:bottom w:val="single" w:sz="4" w:space="0" w:color="000000"/>
              <w:right w:val="single" w:sz="4" w:space="0" w:color="000000"/>
            </w:tcBorders>
          </w:tcPr>
          <w:p w14:paraId="22F9FC1D" w14:textId="77777777" w:rsidR="00E93BD8" w:rsidRDefault="00000000">
            <w:pPr>
              <w:tabs>
                <w:tab w:val="left" w:pos="2997"/>
              </w:tabs>
              <w:spacing w:line="360" w:lineRule="auto"/>
              <w:jc w:val="both"/>
              <w:rPr>
                <w:rFonts w:ascii="Arial" w:eastAsia="Arial" w:hAnsi="Arial" w:cs="Arial"/>
                <w:b/>
                <w:bCs/>
              </w:rPr>
            </w:pPr>
            <w:r>
              <w:rPr>
                <w:rFonts w:ascii="Arial" w:eastAsia="Arial" w:hAnsi="Arial" w:cs="Arial"/>
                <w:b/>
                <w:bCs/>
              </w:rPr>
              <w:t>100</w:t>
            </w:r>
          </w:p>
        </w:tc>
      </w:tr>
    </w:tbl>
    <w:p w14:paraId="0267B09C" w14:textId="77777777" w:rsidR="00E93BD8" w:rsidRDefault="00000000">
      <w:pPr>
        <w:spacing w:line="360" w:lineRule="auto"/>
        <w:jc w:val="both"/>
        <w:rPr>
          <w:rFonts w:ascii="Arial" w:eastAsia="Arial" w:hAnsi="Arial" w:cs="Arial"/>
        </w:rPr>
      </w:pPr>
      <w:r>
        <w:rPr>
          <w:rFonts w:ascii="Arial" w:eastAsia="Arial" w:hAnsi="Arial" w:cs="Arial"/>
        </w:rPr>
        <w:t>(Secondary Data, 2025)</w:t>
      </w:r>
    </w:p>
    <w:p w14:paraId="5EEEFFF3" w14:textId="77777777" w:rsidR="00E93BD8" w:rsidRDefault="00000000">
      <w:pPr>
        <w:spacing w:line="360" w:lineRule="auto"/>
        <w:jc w:val="both"/>
        <w:rPr>
          <w:rFonts w:ascii="Arial" w:eastAsia="Arial" w:hAnsi="Arial" w:cs="Arial"/>
        </w:rPr>
      </w:pPr>
      <w:r>
        <w:rPr>
          <w:rFonts w:ascii="Arial" w:eastAsia="Arial" w:hAnsi="Arial" w:cs="Arial"/>
          <w:noProof/>
        </w:rPr>
        <w:drawing>
          <wp:inline distT="0" distB="0" distL="0" distR="0" wp14:anchorId="2C0C9E96" wp14:editId="7B2CB95B">
            <wp:extent cx="4877118" cy="3371850"/>
            <wp:effectExtent l="0" t="0" r="0" b="0"/>
            <wp:docPr id="2125133438" name="Chart 21251334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DDFEB9" w14:textId="77777777" w:rsidR="00E93BD8" w:rsidRDefault="00000000">
      <w:pPr>
        <w:spacing w:line="360" w:lineRule="auto"/>
        <w:jc w:val="both"/>
        <w:rPr>
          <w:rFonts w:ascii="Arial" w:eastAsia="Arial" w:hAnsi="Arial" w:cs="Arial"/>
        </w:rPr>
      </w:pPr>
      <w:r>
        <w:rPr>
          <w:rFonts w:ascii="Arial" w:eastAsia="Arial" w:hAnsi="Arial" w:cs="Arial"/>
        </w:rPr>
        <w:t>Figure 4.6: Participant characteristics of included studies</w:t>
      </w:r>
      <w:r>
        <w:rPr>
          <w:rFonts w:ascii="Arial" w:eastAsia="Arial" w:hAnsi="Arial" w:cs="Arial"/>
        </w:rPr>
        <w:tab/>
        <w:t>(Secondary Data, 2025)</w:t>
      </w:r>
    </w:p>
    <w:p w14:paraId="0C81C9D7" w14:textId="77777777" w:rsidR="00E93BD8" w:rsidRDefault="00000000">
      <w:pPr>
        <w:spacing w:line="360" w:lineRule="auto"/>
        <w:jc w:val="both"/>
        <w:rPr>
          <w:rFonts w:ascii="Arial" w:eastAsia="Arial" w:hAnsi="Arial" w:cs="Arial"/>
        </w:rPr>
      </w:pPr>
      <w:bookmarkStart w:id="48" w:name="_heading=h.wtjtgubucgs9" w:colFirst="0" w:colLast="0"/>
      <w:bookmarkEnd w:id="48"/>
      <w:r>
        <w:rPr>
          <w:rFonts w:ascii="Arial" w:eastAsia="Arial" w:hAnsi="Arial" w:cs="Arial"/>
        </w:rPr>
        <w:t xml:space="preserve">Table 4.5 outlines the nature of the participants used in the thirteen studies all of which involved young adults alone or in combination with the younger cohorts. Three studies (23.07) were only on young adults whereas four (30.76) involved children and young adults, which indicates continuity of development. Two studies (15.39%) comprised adolescents and young adults, with transitional risk periods. Two (15.39) of them targeted specifically college students, a group that is prone to high-level academic and </w:t>
      </w:r>
      <w:r>
        <w:rPr>
          <w:rFonts w:ascii="Arial" w:eastAsia="Arial" w:hAnsi="Arial" w:cs="Arial"/>
        </w:rPr>
        <w:lastRenderedPageBreak/>
        <w:t>psychosocial stress. The other two articles (15.39%) involved children, adolescents, and young adults in one place, which highlights the concern with depression in all stages of life. In general, young adults were still at the center of some wider developmental process.</w:t>
      </w:r>
    </w:p>
    <w:p w14:paraId="6A28ED48" w14:textId="77777777" w:rsidR="00E93BD8" w:rsidRDefault="00000000">
      <w:pPr>
        <w:pStyle w:val="Heading1"/>
        <w:spacing w:line="360" w:lineRule="auto"/>
        <w:rPr>
          <w:rFonts w:ascii="Arial" w:eastAsia="Arial" w:hAnsi="Arial" w:cs="Arial"/>
          <w:b/>
          <w:bCs/>
          <w:color w:val="000000"/>
          <w:sz w:val="24"/>
          <w:szCs w:val="24"/>
        </w:rPr>
      </w:pPr>
      <w:bookmarkStart w:id="49" w:name="_heading=h.2lezfyz06vzi" w:colFirst="0" w:colLast="0"/>
      <w:bookmarkEnd w:id="49"/>
      <w:r>
        <w:rPr>
          <w:rFonts w:ascii="Arial" w:eastAsia="Arial" w:hAnsi="Arial" w:cs="Arial"/>
          <w:b/>
          <w:bCs/>
          <w:color w:val="000000"/>
          <w:sz w:val="24"/>
          <w:szCs w:val="24"/>
        </w:rPr>
        <w:t>4.3 Findings of the Study</w:t>
      </w:r>
    </w:p>
    <w:p w14:paraId="3F23DB7E" w14:textId="77777777" w:rsidR="00E93BD8" w:rsidRDefault="00000000">
      <w:pPr>
        <w:spacing w:line="360" w:lineRule="auto"/>
        <w:jc w:val="both"/>
        <w:rPr>
          <w:rFonts w:ascii="Arial" w:eastAsia="Arial" w:hAnsi="Arial" w:cs="Arial"/>
        </w:rPr>
      </w:pPr>
      <w:r>
        <w:rPr>
          <w:rFonts w:ascii="Arial" w:eastAsia="Arial" w:hAnsi="Arial" w:cs="Arial"/>
        </w:rPr>
        <w:t>After identifying thirteen peer-reviewed studies, a concept-based synthesis was performed in relation to three themes congruent with the research questions, which are prevalence and severity of depression among the UK young adults, its academic, occupational, and social effects and the coping strategies and support systems they employ. The comparison of cross-studies showed that there were common patterns, differences, and gaps in the evidence. Table 4.5 summarises these main insights.</w:t>
      </w:r>
    </w:p>
    <w:p w14:paraId="5DA83FAC" w14:textId="77777777" w:rsidR="00E93BD8" w:rsidRDefault="00000000">
      <w:pPr>
        <w:spacing w:line="360" w:lineRule="auto"/>
        <w:jc w:val="both"/>
        <w:rPr>
          <w:rFonts w:ascii="Arial" w:eastAsia="Arial" w:hAnsi="Arial" w:cs="Arial"/>
        </w:rPr>
      </w:pPr>
      <w:r>
        <w:rPr>
          <w:rFonts w:ascii="Arial" w:eastAsia="Arial" w:hAnsi="Arial" w:cs="Arial"/>
        </w:rPr>
        <w:t>Table 4.5 Research Results of Included Studies</w:t>
      </w:r>
    </w:p>
    <w:tbl>
      <w:tblPr>
        <w:tblStyle w:val="a4"/>
        <w:tblW w:w="10024"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5"/>
        <w:gridCol w:w="3969"/>
        <w:gridCol w:w="3260"/>
      </w:tblGrid>
      <w:tr w:rsidR="00E93BD8" w14:paraId="5F239026" w14:textId="77777777">
        <w:tc>
          <w:tcPr>
            <w:tcW w:w="2795" w:type="dxa"/>
            <w:tcBorders>
              <w:top w:val="single" w:sz="4" w:space="0" w:color="000000"/>
              <w:left w:val="single" w:sz="4" w:space="0" w:color="000000"/>
              <w:bottom w:val="single" w:sz="4" w:space="0" w:color="000000"/>
              <w:right w:val="single" w:sz="4" w:space="0" w:color="000000"/>
            </w:tcBorders>
          </w:tcPr>
          <w:p w14:paraId="1A9F8D97" w14:textId="77777777" w:rsidR="00E93BD8" w:rsidRDefault="00000000">
            <w:pPr>
              <w:spacing w:line="360" w:lineRule="auto"/>
              <w:jc w:val="both"/>
              <w:rPr>
                <w:rFonts w:ascii="Arial" w:eastAsia="Arial" w:hAnsi="Arial" w:cs="Arial"/>
                <w:b/>
                <w:bCs/>
              </w:rPr>
            </w:pPr>
            <w:r>
              <w:rPr>
                <w:rFonts w:ascii="Arial" w:eastAsia="Arial" w:hAnsi="Arial" w:cs="Arial"/>
                <w:b/>
                <w:bCs/>
              </w:rPr>
              <w:t>Research Questions</w:t>
            </w:r>
          </w:p>
        </w:tc>
        <w:tc>
          <w:tcPr>
            <w:tcW w:w="3969" w:type="dxa"/>
            <w:tcBorders>
              <w:top w:val="single" w:sz="4" w:space="0" w:color="000000"/>
              <w:left w:val="single" w:sz="4" w:space="0" w:color="000000"/>
              <w:bottom w:val="single" w:sz="4" w:space="0" w:color="000000"/>
              <w:right w:val="single" w:sz="4" w:space="0" w:color="000000"/>
            </w:tcBorders>
          </w:tcPr>
          <w:p w14:paraId="7607A71B" w14:textId="77777777" w:rsidR="00E93BD8" w:rsidRDefault="00000000">
            <w:pPr>
              <w:spacing w:line="360" w:lineRule="auto"/>
              <w:jc w:val="both"/>
              <w:rPr>
                <w:rFonts w:ascii="Arial" w:eastAsia="Arial" w:hAnsi="Arial" w:cs="Arial"/>
                <w:b/>
                <w:bCs/>
              </w:rPr>
            </w:pPr>
            <w:r>
              <w:rPr>
                <w:rFonts w:ascii="Arial" w:eastAsia="Arial" w:hAnsi="Arial" w:cs="Arial"/>
                <w:b/>
                <w:bCs/>
              </w:rPr>
              <w:t xml:space="preserve">Key Issues identified </w:t>
            </w:r>
          </w:p>
        </w:tc>
        <w:tc>
          <w:tcPr>
            <w:tcW w:w="3260" w:type="dxa"/>
            <w:tcBorders>
              <w:top w:val="single" w:sz="4" w:space="0" w:color="000000"/>
              <w:left w:val="single" w:sz="4" w:space="0" w:color="000000"/>
              <w:bottom w:val="single" w:sz="4" w:space="0" w:color="000000"/>
              <w:right w:val="single" w:sz="4" w:space="0" w:color="000000"/>
            </w:tcBorders>
          </w:tcPr>
          <w:p w14:paraId="1EA29B11" w14:textId="77777777" w:rsidR="00E93BD8" w:rsidRDefault="00000000">
            <w:pPr>
              <w:spacing w:line="360" w:lineRule="auto"/>
              <w:jc w:val="both"/>
              <w:rPr>
                <w:rFonts w:ascii="Arial" w:eastAsia="Arial" w:hAnsi="Arial" w:cs="Arial"/>
                <w:b/>
                <w:bCs/>
              </w:rPr>
            </w:pPr>
            <w:r>
              <w:rPr>
                <w:rFonts w:ascii="Arial" w:eastAsia="Arial" w:hAnsi="Arial" w:cs="Arial"/>
                <w:b/>
                <w:bCs/>
              </w:rPr>
              <w:t>Reference articles</w:t>
            </w:r>
          </w:p>
        </w:tc>
      </w:tr>
      <w:tr w:rsidR="00E93BD8" w14:paraId="6FB4A949" w14:textId="77777777">
        <w:tc>
          <w:tcPr>
            <w:tcW w:w="2795" w:type="dxa"/>
            <w:vMerge w:val="restart"/>
            <w:tcBorders>
              <w:top w:val="single" w:sz="4" w:space="0" w:color="000000"/>
              <w:left w:val="single" w:sz="4" w:space="0" w:color="000000"/>
              <w:bottom w:val="single" w:sz="4" w:space="0" w:color="000000"/>
              <w:right w:val="single" w:sz="4" w:space="0" w:color="000000"/>
            </w:tcBorders>
          </w:tcPr>
          <w:p w14:paraId="725DEBC0" w14:textId="77777777" w:rsidR="00E93BD8" w:rsidRDefault="00000000">
            <w:pPr>
              <w:spacing w:line="360" w:lineRule="auto"/>
              <w:jc w:val="both"/>
              <w:rPr>
                <w:rFonts w:ascii="Arial" w:eastAsia="Arial" w:hAnsi="Arial" w:cs="Arial"/>
              </w:rPr>
            </w:pPr>
            <w:r>
              <w:rPr>
                <w:rFonts w:ascii="Arial" w:eastAsia="Arial" w:hAnsi="Arial" w:cs="Arial"/>
              </w:rPr>
              <w:t>RQ1: What is the prevalence and severity of depressive symptoms among young adults in the United Kingdom?</w:t>
            </w:r>
          </w:p>
        </w:tc>
        <w:tc>
          <w:tcPr>
            <w:tcW w:w="3969" w:type="dxa"/>
            <w:tcBorders>
              <w:top w:val="single" w:sz="4" w:space="0" w:color="000000"/>
              <w:left w:val="single" w:sz="4" w:space="0" w:color="000000"/>
              <w:bottom w:val="single" w:sz="4" w:space="0" w:color="000000"/>
              <w:right w:val="single" w:sz="4" w:space="0" w:color="000000"/>
            </w:tcBorders>
            <w:vAlign w:val="center"/>
          </w:tcPr>
          <w:p w14:paraId="182A1ED0" w14:textId="77777777" w:rsidR="00E93BD8" w:rsidRDefault="00000000">
            <w:pPr>
              <w:spacing w:line="360" w:lineRule="auto"/>
              <w:jc w:val="both"/>
              <w:rPr>
                <w:rFonts w:ascii="Arial" w:eastAsia="Arial" w:hAnsi="Arial" w:cs="Arial"/>
              </w:rPr>
            </w:pPr>
            <w:r>
              <w:rPr>
                <w:rFonts w:ascii="Arial" w:eastAsia="Arial" w:hAnsi="Arial" w:cs="Arial"/>
              </w:rPr>
              <w:t>Reported high and rising prevalence in young people; variation by subgroups (students, sexual minorities, those with life-limiting conditions); methodological differences produce varying estimates.</w:t>
            </w:r>
          </w:p>
        </w:tc>
        <w:tc>
          <w:tcPr>
            <w:tcW w:w="3260" w:type="dxa"/>
            <w:tcBorders>
              <w:top w:val="single" w:sz="4" w:space="0" w:color="000000"/>
              <w:left w:val="single" w:sz="4" w:space="0" w:color="000000"/>
              <w:bottom w:val="single" w:sz="4" w:space="0" w:color="000000"/>
              <w:right w:val="single" w:sz="4" w:space="0" w:color="000000"/>
            </w:tcBorders>
          </w:tcPr>
          <w:p w14:paraId="22ECC0FF"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 xml:space="preserve">Thapar </w:t>
            </w:r>
            <w:r>
              <w:rPr>
                <w:rFonts w:ascii="Arial" w:eastAsia="Arial" w:hAnsi="Arial" w:cs="Arial"/>
                <w:i/>
                <w:iCs/>
              </w:rPr>
              <w:t>et al.</w:t>
            </w:r>
            <w:r>
              <w:rPr>
                <w:rFonts w:ascii="Arial" w:eastAsia="Arial" w:hAnsi="Arial" w:cs="Arial"/>
              </w:rPr>
              <w:t xml:space="preserve"> (2022), Jenkins </w:t>
            </w:r>
            <w:r>
              <w:rPr>
                <w:rFonts w:ascii="Arial" w:eastAsia="Arial" w:hAnsi="Arial" w:cs="Arial"/>
                <w:i/>
                <w:iCs/>
              </w:rPr>
              <w:t>et al.</w:t>
            </w:r>
            <w:r>
              <w:rPr>
                <w:rFonts w:ascii="Arial" w:eastAsia="Arial" w:hAnsi="Arial" w:cs="Arial"/>
              </w:rPr>
              <w:t xml:space="preserve"> (2021), Irish </w:t>
            </w:r>
            <w:r>
              <w:rPr>
                <w:rFonts w:ascii="Arial" w:eastAsia="Arial" w:hAnsi="Arial" w:cs="Arial"/>
                <w:i/>
                <w:iCs/>
              </w:rPr>
              <w:t>et al.</w:t>
            </w:r>
            <w:r>
              <w:rPr>
                <w:rFonts w:ascii="Arial" w:eastAsia="Arial" w:hAnsi="Arial" w:cs="Arial"/>
              </w:rPr>
              <w:t xml:space="preserve"> (2019), Barker </w:t>
            </w:r>
            <w:r>
              <w:rPr>
                <w:rFonts w:ascii="Arial" w:eastAsia="Arial" w:hAnsi="Arial" w:cs="Arial"/>
                <w:i/>
                <w:iCs/>
              </w:rPr>
              <w:t>et al.</w:t>
            </w:r>
            <w:r>
              <w:rPr>
                <w:rFonts w:ascii="Arial" w:eastAsia="Arial" w:hAnsi="Arial" w:cs="Arial"/>
              </w:rPr>
              <w:t xml:space="preserve"> (2019), Barker </w:t>
            </w:r>
            <w:r>
              <w:rPr>
                <w:rFonts w:ascii="Arial" w:eastAsia="Arial" w:hAnsi="Arial" w:cs="Arial"/>
                <w:i/>
                <w:iCs/>
              </w:rPr>
              <w:t>et al.</w:t>
            </w:r>
            <w:r>
              <w:rPr>
                <w:rFonts w:ascii="Arial" w:eastAsia="Arial" w:hAnsi="Arial" w:cs="Arial"/>
              </w:rPr>
              <w:t xml:space="preserve"> (2023), Khouja </w:t>
            </w:r>
            <w:r>
              <w:rPr>
                <w:rFonts w:ascii="Arial" w:eastAsia="Arial" w:hAnsi="Arial" w:cs="Arial"/>
                <w:i/>
                <w:iCs/>
              </w:rPr>
              <w:t>et al.</w:t>
            </w:r>
            <w:r>
              <w:rPr>
                <w:rFonts w:ascii="Arial" w:eastAsia="Arial" w:hAnsi="Arial" w:cs="Arial"/>
              </w:rPr>
              <w:t xml:space="preserve"> (2019), Morales-Munoz </w:t>
            </w:r>
            <w:r>
              <w:rPr>
                <w:rFonts w:ascii="Arial" w:eastAsia="Arial" w:hAnsi="Arial" w:cs="Arial"/>
                <w:i/>
                <w:iCs/>
              </w:rPr>
              <w:t>et al.</w:t>
            </w:r>
            <w:r>
              <w:rPr>
                <w:rFonts w:ascii="Arial" w:eastAsia="Arial" w:hAnsi="Arial" w:cs="Arial"/>
              </w:rPr>
              <w:t xml:space="preserve"> (2023), Kelvin (2016), Nichols </w:t>
            </w:r>
            <w:r>
              <w:rPr>
                <w:rFonts w:ascii="Arial" w:eastAsia="Arial" w:hAnsi="Arial" w:cs="Arial"/>
                <w:i/>
                <w:iCs/>
              </w:rPr>
              <w:t>et al.</w:t>
            </w:r>
            <w:r>
              <w:rPr>
                <w:rFonts w:ascii="Arial" w:eastAsia="Arial" w:hAnsi="Arial" w:cs="Arial"/>
              </w:rPr>
              <w:t xml:space="preserve"> (2016).</w:t>
            </w:r>
          </w:p>
        </w:tc>
      </w:tr>
      <w:tr w:rsidR="00E93BD8" w14:paraId="32C20FB5" w14:textId="77777777">
        <w:tc>
          <w:tcPr>
            <w:tcW w:w="2795" w:type="dxa"/>
            <w:vMerge/>
            <w:tcBorders>
              <w:top w:val="single" w:sz="4" w:space="0" w:color="000000"/>
              <w:left w:val="single" w:sz="4" w:space="0" w:color="000000"/>
              <w:bottom w:val="single" w:sz="4" w:space="0" w:color="000000"/>
              <w:right w:val="single" w:sz="4" w:space="0" w:color="000000"/>
            </w:tcBorders>
          </w:tcPr>
          <w:p w14:paraId="00CF4DA2" w14:textId="77777777" w:rsidR="00E93BD8" w:rsidRDefault="00E93BD8">
            <w:pPr>
              <w:widowControl w:val="0"/>
              <w:pBdr>
                <w:top w:val="nil"/>
                <w:left w:val="nil"/>
                <w:bottom w:val="nil"/>
                <w:right w:val="nil"/>
                <w:between w:val="nil"/>
              </w:pBdr>
              <w:spacing w:line="276" w:lineRule="auto"/>
              <w:rPr>
                <w:rFonts w:ascii="Arial" w:eastAsia="Arial" w:hAnsi="Arial" w:cs="Arial"/>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BE1F9EC" w14:textId="77777777" w:rsidR="00E93BD8" w:rsidRDefault="00000000">
            <w:pPr>
              <w:spacing w:line="360" w:lineRule="auto"/>
              <w:jc w:val="both"/>
              <w:rPr>
                <w:rFonts w:ascii="Arial" w:eastAsia="Arial" w:hAnsi="Arial" w:cs="Arial"/>
              </w:rPr>
            </w:pPr>
            <w:r>
              <w:rPr>
                <w:rFonts w:ascii="Arial" w:eastAsia="Arial" w:hAnsi="Arial" w:cs="Arial"/>
              </w:rPr>
              <w:t>Under-detection in primary care and routine records (clinical prevalence lower than survey estimates).</w:t>
            </w:r>
          </w:p>
        </w:tc>
        <w:tc>
          <w:tcPr>
            <w:tcW w:w="3260" w:type="dxa"/>
            <w:tcBorders>
              <w:top w:val="single" w:sz="4" w:space="0" w:color="000000"/>
              <w:left w:val="single" w:sz="4" w:space="0" w:color="000000"/>
              <w:bottom w:val="single" w:sz="4" w:space="0" w:color="000000"/>
              <w:right w:val="single" w:sz="4" w:space="0" w:color="000000"/>
            </w:tcBorders>
          </w:tcPr>
          <w:p w14:paraId="173DA3D0" w14:textId="77777777" w:rsidR="00E93BD8" w:rsidRDefault="00000000">
            <w:pPr>
              <w:spacing w:line="360" w:lineRule="auto"/>
              <w:jc w:val="both"/>
              <w:rPr>
                <w:rFonts w:ascii="Arial" w:eastAsia="Arial" w:hAnsi="Arial" w:cs="Arial"/>
              </w:rPr>
            </w:pPr>
            <w:r>
              <w:rPr>
                <w:rFonts w:ascii="Arial" w:eastAsia="Arial" w:hAnsi="Arial" w:cs="Arial"/>
              </w:rPr>
              <w:t xml:space="preserve">Lakasing and Mirza (2020), Nichols </w:t>
            </w:r>
            <w:r>
              <w:rPr>
                <w:rFonts w:ascii="Arial" w:eastAsia="Arial" w:hAnsi="Arial" w:cs="Arial"/>
                <w:i/>
                <w:iCs/>
              </w:rPr>
              <w:t>et al.</w:t>
            </w:r>
            <w:r>
              <w:rPr>
                <w:rFonts w:ascii="Arial" w:eastAsia="Arial" w:hAnsi="Arial" w:cs="Arial"/>
              </w:rPr>
              <w:t xml:space="preserve"> (2016), Hopkins </w:t>
            </w:r>
            <w:r>
              <w:rPr>
                <w:rFonts w:ascii="Arial" w:eastAsia="Arial" w:hAnsi="Arial" w:cs="Arial"/>
                <w:i/>
                <w:iCs/>
              </w:rPr>
              <w:t>et al.</w:t>
            </w:r>
            <w:r>
              <w:rPr>
                <w:rFonts w:ascii="Arial" w:eastAsia="Arial" w:hAnsi="Arial" w:cs="Arial"/>
              </w:rPr>
              <w:t xml:space="preserve"> (2015).</w:t>
            </w:r>
          </w:p>
        </w:tc>
      </w:tr>
      <w:tr w:rsidR="00E93BD8" w14:paraId="2DD0AC1E" w14:textId="77777777">
        <w:tc>
          <w:tcPr>
            <w:tcW w:w="2795" w:type="dxa"/>
            <w:vMerge w:val="restart"/>
            <w:tcBorders>
              <w:top w:val="single" w:sz="4" w:space="0" w:color="000000"/>
              <w:left w:val="single" w:sz="4" w:space="0" w:color="000000"/>
              <w:bottom w:val="single" w:sz="4" w:space="0" w:color="000000"/>
              <w:right w:val="single" w:sz="4" w:space="0" w:color="000000"/>
            </w:tcBorders>
          </w:tcPr>
          <w:p w14:paraId="59E16A3B" w14:textId="77777777" w:rsidR="00E93BD8" w:rsidRDefault="00000000">
            <w:pPr>
              <w:spacing w:line="360" w:lineRule="auto"/>
              <w:jc w:val="both"/>
              <w:rPr>
                <w:rFonts w:ascii="Arial" w:eastAsia="Arial" w:hAnsi="Arial" w:cs="Arial"/>
              </w:rPr>
            </w:pPr>
            <w:r>
              <w:rPr>
                <w:rFonts w:ascii="Arial" w:eastAsia="Arial" w:hAnsi="Arial" w:cs="Arial"/>
              </w:rPr>
              <w:t xml:space="preserve">RQ 2: How does depression affect the academic performance, occupational engagement, and social </w:t>
            </w:r>
            <w:r>
              <w:rPr>
                <w:rFonts w:ascii="Arial" w:eastAsia="Arial" w:hAnsi="Arial" w:cs="Arial"/>
              </w:rPr>
              <w:lastRenderedPageBreak/>
              <w:t>relationships of young adults in the UK?</w:t>
            </w:r>
          </w:p>
        </w:tc>
        <w:tc>
          <w:tcPr>
            <w:tcW w:w="3969" w:type="dxa"/>
            <w:tcBorders>
              <w:top w:val="single" w:sz="4" w:space="0" w:color="000000"/>
              <w:left w:val="single" w:sz="4" w:space="0" w:color="000000"/>
              <w:bottom w:val="single" w:sz="4" w:space="0" w:color="000000"/>
              <w:right w:val="single" w:sz="4" w:space="0" w:color="000000"/>
            </w:tcBorders>
          </w:tcPr>
          <w:p w14:paraId="37B548F7" w14:textId="77777777" w:rsidR="00E93BD8" w:rsidRDefault="00000000">
            <w:pPr>
              <w:spacing w:line="360" w:lineRule="auto"/>
              <w:jc w:val="both"/>
              <w:rPr>
                <w:rFonts w:ascii="Arial" w:eastAsia="Arial" w:hAnsi="Arial" w:cs="Arial"/>
              </w:rPr>
            </w:pPr>
            <w:r>
              <w:rPr>
                <w:rFonts w:ascii="Arial" w:eastAsia="Arial" w:hAnsi="Arial" w:cs="Arial"/>
              </w:rPr>
              <w:lastRenderedPageBreak/>
              <w:t>Academic impairment: concentration, coursework completion, dropout risk—especially among university students.</w:t>
            </w:r>
          </w:p>
        </w:tc>
        <w:tc>
          <w:tcPr>
            <w:tcW w:w="3260" w:type="dxa"/>
            <w:tcBorders>
              <w:top w:val="single" w:sz="4" w:space="0" w:color="000000"/>
              <w:left w:val="single" w:sz="4" w:space="0" w:color="000000"/>
              <w:bottom w:val="single" w:sz="4" w:space="0" w:color="000000"/>
              <w:right w:val="single" w:sz="4" w:space="0" w:color="000000"/>
            </w:tcBorders>
          </w:tcPr>
          <w:p w14:paraId="40BD00B3" w14:textId="77777777" w:rsidR="00E93BD8" w:rsidRDefault="00000000">
            <w:pPr>
              <w:spacing w:line="360" w:lineRule="auto"/>
              <w:jc w:val="both"/>
              <w:rPr>
                <w:rFonts w:ascii="Arial" w:eastAsia="Arial" w:hAnsi="Arial" w:cs="Arial"/>
              </w:rPr>
            </w:pPr>
            <w:r>
              <w:rPr>
                <w:rFonts w:ascii="Arial" w:eastAsia="Arial" w:hAnsi="Arial" w:cs="Arial"/>
              </w:rPr>
              <w:t xml:space="preserve">Martin and Atkinson (2020), Jenkins </w:t>
            </w:r>
            <w:r>
              <w:rPr>
                <w:rFonts w:ascii="Arial" w:eastAsia="Arial" w:hAnsi="Arial" w:cs="Arial"/>
                <w:i/>
                <w:iCs/>
              </w:rPr>
              <w:t>et al.</w:t>
            </w:r>
            <w:r>
              <w:rPr>
                <w:rFonts w:ascii="Arial" w:eastAsia="Arial" w:hAnsi="Arial" w:cs="Arial"/>
              </w:rPr>
              <w:t xml:space="preserve"> (2021), Thapar </w:t>
            </w:r>
            <w:r>
              <w:rPr>
                <w:rFonts w:ascii="Arial" w:eastAsia="Arial" w:hAnsi="Arial" w:cs="Arial"/>
                <w:i/>
                <w:iCs/>
              </w:rPr>
              <w:t>et al.</w:t>
            </w:r>
            <w:r>
              <w:rPr>
                <w:rFonts w:ascii="Arial" w:eastAsia="Arial" w:hAnsi="Arial" w:cs="Arial"/>
              </w:rPr>
              <w:t xml:space="preserve"> (2022).</w:t>
            </w:r>
          </w:p>
        </w:tc>
      </w:tr>
      <w:tr w:rsidR="00E93BD8" w14:paraId="15B65841" w14:textId="77777777">
        <w:tc>
          <w:tcPr>
            <w:tcW w:w="2795" w:type="dxa"/>
            <w:vMerge/>
            <w:tcBorders>
              <w:top w:val="single" w:sz="4" w:space="0" w:color="000000"/>
              <w:left w:val="single" w:sz="4" w:space="0" w:color="000000"/>
              <w:bottom w:val="single" w:sz="4" w:space="0" w:color="000000"/>
              <w:right w:val="single" w:sz="4" w:space="0" w:color="000000"/>
            </w:tcBorders>
          </w:tcPr>
          <w:p w14:paraId="3967D39D" w14:textId="77777777" w:rsidR="00E93BD8" w:rsidRDefault="00E93BD8">
            <w:pPr>
              <w:widowControl w:val="0"/>
              <w:pBdr>
                <w:top w:val="nil"/>
                <w:left w:val="nil"/>
                <w:bottom w:val="nil"/>
                <w:right w:val="nil"/>
                <w:between w:val="nil"/>
              </w:pBdr>
              <w:spacing w:line="276" w:lineRule="auto"/>
              <w:rPr>
                <w:rFonts w:ascii="Arial" w:eastAsia="Arial" w:hAnsi="Arial" w:cs="Arial"/>
              </w:rPr>
            </w:pPr>
          </w:p>
        </w:tc>
        <w:tc>
          <w:tcPr>
            <w:tcW w:w="3969" w:type="dxa"/>
            <w:tcBorders>
              <w:top w:val="single" w:sz="4" w:space="0" w:color="000000"/>
              <w:left w:val="single" w:sz="4" w:space="0" w:color="000000"/>
              <w:bottom w:val="single" w:sz="4" w:space="0" w:color="000000"/>
              <w:right w:val="single" w:sz="4" w:space="0" w:color="000000"/>
            </w:tcBorders>
          </w:tcPr>
          <w:p w14:paraId="5F2E0A45" w14:textId="77777777" w:rsidR="00E93BD8" w:rsidRDefault="00000000">
            <w:pPr>
              <w:spacing w:line="360" w:lineRule="auto"/>
              <w:jc w:val="both"/>
              <w:rPr>
                <w:rFonts w:ascii="Arial" w:eastAsia="Arial" w:hAnsi="Arial" w:cs="Arial"/>
              </w:rPr>
            </w:pPr>
            <w:r>
              <w:rPr>
                <w:rFonts w:ascii="Arial" w:eastAsia="Arial" w:hAnsi="Arial" w:cs="Arial"/>
              </w:rPr>
              <w:t>Occupational impacts: lower employability, unstable work trajectories and absenteeism linked to adolescent/young adult depression.</w:t>
            </w:r>
          </w:p>
        </w:tc>
        <w:tc>
          <w:tcPr>
            <w:tcW w:w="3260" w:type="dxa"/>
            <w:tcBorders>
              <w:top w:val="single" w:sz="4" w:space="0" w:color="000000"/>
              <w:left w:val="single" w:sz="4" w:space="0" w:color="000000"/>
              <w:bottom w:val="single" w:sz="4" w:space="0" w:color="000000"/>
              <w:right w:val="single" w:sz="4" w:space="0" w:color="000000"/>
            </w:tcBorders>
          </w:tcPr>
          <w:p w14:paraId="044CE9EA" w14:textId="77777777" w:rsidR="00E93BD8" w:rsidRDefault="00000000">
            <w:pPr>
              <w:spacing w:line="360" w:lineRule="auto"/>
              <w:jc w:val="both"/>
              <w:rPr>
                <w:rFonts w:ascii="Arial" w:eastAsia="Arial" w:hAnsi="Arial" w:cs="Arial"/>
              </w:rPr>
            </w:pPr>
            <w:r>
              <w:rPr>
                <w:rFonts w:ascii="Arial" w:eastAsia="Arial" w:hAnsi="Arial" w:cs="Arial"/>
              </w:rPr>
              <w:t xml:space="preserve">Morales-Munoz </w:t>
            </w:r>
            <w:r>
              <w:rPr>
                <w:rFonts w:ascii="Arial" w:eastAsia="Arial" w:hAnsi="Arial" w:cs="Arial"/>
                <w:i/>
                <w:iCs/>
              </w:rPr>
              <w:t>et al.</w:t>
            </w:r>
            <w:r>
              <w:rPr>
                <w:rFonts w:ascii="Arial" w:eastAsia="Arial" w:hAnsi="Arial" w:cs="Arial"/>
              </w:rPr>
              <w:t xml:space="preserve"> (2023), Thapar </w:t>
            </w:r>
            <w:r>
              <w:rPr>
                <w:rFonts w:ascii="Arial" w:eastAsia="Arial" w:hAnsi="Arial" w:cs="Arial"/>
                <w:i/>
                <w:iCs/>
              </w:rPr>
              <w:t>et al.</w:t>
            </w:r>
            <w:r>
              <w:rPr>
                <w:rFonts w:ascii="Arial" w:eastAsia="Arial" w:hAnsi="Arial" w:cs="Arial"/>
              </w:rPr>
              <w:t xml:space="preserve"> (2022), Barker </w:t>
            </w:r>
            <w:r>
              <w:rPr>
                <w:rFonts w:ascii="Arial" w:eastAsia="Arial" w:hAnsi="Arial" w:cs="Arial"/>
                <w:i/>
                <w:iCs/>
              </w:rPr>
              <w:t>et al.</w:t>
            </w:r>
            <w:r>
              <w:rPr>
                <w:rFonts w:ascii="Arial" w:eastAsia="Arial" w:hAnsi="Arial" w:cs="Arial"/>
              </w:rPr>
              <w:t xml:space="preserve"> (2023).</w:t>
            </w:r>
          </w:p>
        </w:tc>
      </w:tr>
      <w:tr w:rsidR="00E93BD8" w14:paraId="57AFD210" w14:textId="77777777">
        <w:tc>
          <w:tcPr>
            <w:tcW w:w="2795" w:type="dxa"/>
            <w:vMerge/>
            <w:tcBorders>
              <w:top w:val="single" w:sz="4" w:space="0" w:color="000000"/>
              <w:left w:val="single" w:sz="4" w:space="0" w:color="000000"/>
              <w:bottom w:val="single" w:sz="4" w:space="0" w:color="000000"/>
              <w:right w:val="single" w:sz="4" w:space="0" w:color="000000"/>
            </w:tcBorders>
          </w:tcPr>
          <w:p w14:paraId="0F646978" w14:textId="77777777" w:rsidR="00E93BD8" w:rsidRDefault="00E93BD8">
            <w:pPr>
              <w:widowControl w:val="0"/>
              <w:pBdr>
                <w:top w:val="nil"/>
                <w:left w:val="nil"/>
                <w:bottom w:val="nil"/>
                <w:right w:val="nil"/>
                <w:between w:val="nil"/>
              </w:pBdr>
              <w:spacing w:line="276" w:lineRule="auto"/>
              <w:rPr>
                <w:rFonts w:ascii="Arial" w:eastAsia="Arial" w:hAnsi="Arial" w:cs="Arial"/>
              </w:rPr>
            </w:pPr>
          </w:p>
        </w:tc>
        <w:tc>
          <w:tcPr>
            <w:tcW w:w="3969" w:type="dxa"/>
            <w:tcBorders>
              <w:top w:val="single" w:sz="4" w:space="0" w:color="000000"/>
              <w:left w:val="single" w:sz="4" w:space="0" w:color="000000"/>
              <w:bottom w:val="single" w:sz="4" w:space="0" w:color="000000"/>
              <w:right w:val="single" w:sz="4" w:space="0" w:color="000000"/>
            </w:tcBorders>
          </w:tcPr>
          <w:p w14:paraId="1A2EC862" w14:textId="77777777" w:rsidR="00E93BD8" w:rsidRDefault="00000000">
            <w:pPr>
              <w:spacing w:line="360" w:lineRule="auto"/>
              <w:jc w:val="both"/>
              <w:rPr>
                <w:rFonts w:ascii="Arial" w:eastAsia="Arial" w:hAnsi="Arial" w:cs="Arial"/>
              </w:rPr>
            </w:pPr>
            <w:r>
              <w:rPr>
                <w:rFonts w:ascii="Arial" w:eastAsia="Arial" w:hAnsi="Arial" w:cs="Arial"/>
              </w:rPr>
              <w:t>Social effects: withdrawal, relationship strain, stigma; disproportionate social harm for sexual minorities and those with chronic conditions.</w:t>
            </w:r>
          </w:p>
        </w:tc>
        <w:tc>
          <w:tcPr>
            <w:tcW w:w="3260" w:type="dxa"/>
            <w:tcBorders>
              <w:top w:val="single" w:sz="4" w:space="0" w:color="000000"/>
              <w:left w:val="single" w:sz="4" w:space="0" w:color="000000"/>
              <w:bottom w:val="single" w:sz="4" w:space="0" w:color="000000"/>
              <w:right w:val="single" w:sz="4" w:space="0" w:color="000000"/>
            </w:tcBorders>
          </w:tcPr>
          <w:p w14:paraId="0FCA1C64" w14:textId="77777777" w:rsidR="00E93BD8" w:rsidRDefault="00000000">
            <w:pPr>
              <w:spacing w:line="360" w:lineRule="auto"/>
              <w:jc w:val="both"/>
              <w:rPr>
                <w:rFonts w:ascii="Arial" w:eastAsia="Arial" w:hAnsi="Arial" w:cs="Arial"/>
              </w:rPr>
            </w:pPr>
            <w:r>
              <w:rPr>
                <w:rFonts w:ascii="Arial" w:eastAsia="Arial" w:hAnsi="Arial" w:cs="Arial"/>
              </w:rPr>
              <w:t xml:space="preserve">Irish </w:t>
            </w:r>
            <w:r>
              <w:rPr>
                <w:rFonts w:ascii="Arial" w:eastAsia="Arial" w:hAnsi="Arial" w:cs="Arial"/>
                <w:i/>
                <w:iCs/>
              </w:rPr>
              <w:t>et al.</w:t>
            </w:r>
            <w:r>
              <w:rPr>
                <w:rFonts w:ascii="Arial" w:eastAsia="Arial" w:hAnsi="Arial" w:cs="Arial"/>
              </w:rPr>
              <w:t xml:space="preserve"> (2019), Barker </w:t>
            </w:r>
            <w:r>
              <w:rPr>
                <w:rFonts w:ascii="Arial" w:eastAsia="Arial" w:hAnsi="Arial" w:cs="Arial"/>
                <w:i/>
                <w:iCs/>
              </w:rPr>
              <w:t>et al.</w:t>
            </w:r>
            <w:r>
              <w:rPr>
                <w:rFonts w:ascii="Arial" w:eastAsia="Arial" w:hAnsi="Arial" w:cs="Arial"/>
              </w:rPr>
              <w:t xml:space="preserve"> (2019), Martin and Atkinson (2020), Khouja </w:t>
            </w:r>
            <w:r>
              <w:rPr>
                <w:rFonts w:ascii="Arial" w:eastAsia="Arial" w:hAnsi="Arial" w:cs="Arial"/>
                <w:i/>
                <w:iCs/>
              </w:rPr>
              <w:t>et al.</w:t>
            </w:r>
            <w:r>
              <w:rPr>
                <w:rFonts w:ascii="Arial" w:eastAsia="Arial" w:hAnsi="Arial" w:cs="Arial"/>
              </w:rPr>
              <w:t xml:space="preserve"> (2019).</w:t>
            </w:r>
          </w:p>
        </w:tc>
      </w:tr>
      <w:tr w:rsidR="00E93BD8" w14:paraId="4B6945E8" w14:textId="77777777">
        <w:tc>
          <w:tcPr>
            <w:tcW w:w="2795" w:type="dxa"/>
            <w:vMerge w:val="restart"/>
            <w:tcBorders>
              <w:top w:val="single" w:sz="4" w:space="0" w:color="000000"/>
              <w:left w:val="single" w:sz="4" w:space="0" w:color="000000"/>
              <w:bottom w:val="single" w:sz="4" w:space="0" w:color="000000"/>
              <w:right w:val="single" w:sz="4" w:space="0" w:color="000000"/>
            </w:tcBorders>
          </w:tcPr>
          <w:p w14:paraId="0F1A9053" w14:textId="77777777" w:rsidR="00E93BD8" w:rsidRDefault="00000000">
            <w:pPr>
              <w:spacing w:line="360" w:lineRule="auto"/>
              <w:jc w:val="both"/>
              <w:rPr>
                <w:rFonts w:ascii="Arial" w:eastAsia="Arial" w:hAnsi="Arial" w:cs="Arial"/>
              </w:rPr>
            </w:pPr>
            <w:r>
              <w:rPr>
                <w:rFonts w:ascii="Arial" w:eastAsia="Arial" w:hAnsi="Arial" w:cs="Arial"/>
              </w:rPr>
              <w:t>RQ3: What coping mechanisms and mental health support systems are commonly accessed by young adults experiencing depression in the UK?</w:t>
            </w:r>
          </w:p>
        </w:tc>
        <w:tc>
          <w:tcPr>
            <w:tcW w:w="3969" w:type="dxa"/>
            <w:tcBorders>
              <w:top w:val="single" w:sz="4" w:space="0" w:color="000000"/>
              <w:left w:val="single" w:sz="4" w:space="0" w:color="000000"/>
              <w:bottom w:val="single" w:sz="4" w:space="0" w:color="000000"/>
              <w:right w:val="single" w:sz="4" w:space="0" w:color="000000"/>
            </w:tcBorders>
          </w:tcPr>
          <w:p w14:paraId="091F71D5" w14:textId="77777777" w:rsidR="00E93BD8" w:rsidRDefault="00000000">
            <w:pPr>
              <w:spacing w:line="360" w:lineRule="auto"/>
              <w:jc w:val="both"/>
              <w:rPr>
                <w:rFonts w:ascii="Arial" w:eastAsia="Arial" w:hAnsi="Arial" w:cs="Arial"/>
              </w:rPr>
            </w:pPr>
            <w:r>
              <w:rPr>
                <w:rFonts w:ascii="Arial" w:eastAsia="Arial" w:hAnsi="Arial" w:cs="Arial"/>
              </w:rPr>
              <w:t>Formal supports: NHS services, GP referral pathways, university counselling, NICE-recommended interventions (CBT etc.); uptake limited by access barriers.</w:t>
            </w:r>
          </w:p>
        </w:tc>
        <w:tc>
          <w:tcPr>
            <w:tcW w:w="3260" w:type="dxa"/>
            <w:tcBorders>
              <w:top w:val="single" w:sz="4" w:space="0" w:color="000000"/>
              <w:left w:val="single" w:sz="4" w:space="0" w:color="000000"/>
              <w:bottom w:val="single" w:sz="4" w:space="0" w:color="000000"/>
              <w:right w:val="single" w:sz="4" w:space="0" w:color="000000"/>
            </w:tcBorders>
          </w:tcPr>
          <w:p w14:paraId="165EBC44"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 xml:space="preserve">Hopkins </w:t>
            </w:r>
            <w:r>
              <w:rPr>
                <w:rFonts w:ascii="Arial" w:eastAsia="Arial" w:hAnsi="Arial" w:cs="Arial"/>
                <w:i/>
                <w:iCs/>
              </w:rPr>
              <w:t>et al.</w:t>
            </w:r>
            <w:r>
              <w:rPr>
                <w:rFonts w:ascii="Arial" w:eastAsia="Arial" w:hAnsi="Arial" w:cs="Arial"/>
              </w:rPr>
              <w:t xml:space="preserve"> (2015), Thapar </w:t>
            </w:r>
            <w:r>
              <w:rPr>
                <w:rFonts w:ascii="Arial" w:eastAsia="Arial" w:hAnsi="Arial" w:cs="Arial"/>
                <w:i/>
                <w:iCs/>
              </w:rPr>
              <w:t>et al.</w:t>
            </w:r>
            <w:r>
              <w:rPr>
                <w:rFonts w:ascii="Arial" w:eastAsia="Arial" w:hAnsi="Arial" w:cs="Arial"/>
              </w:rPr>
              <w:t xml:space="preserve"> (2022), Lakasing and Mirza (2020), Pile </w:t>
            </w:r>
            <w:r>
              <w:rPr>
                <w:rFonts w:ascii="Arial" w:eastAsia="Arial" w:hAnsi="Arial" w:cs="Arial"/>
                <w:i/>
                <w:iCs/>
              </w:rPr>
              <w:t>et al.</w:t>
            </w:r>
            <w:r>
              <w:rPr>
                <w:rFonts w:ascii="Arial" w:eastAsia="Arial" w:hAnsi="Arial" w:cs="Arial"/>
              </w:rPr>
              <w:t xml:space="preserve"> (2019), Nichols </w:t>
            </w:r>
            <w:r>
              <w:rPr>
                <w:rFonts w:ascii="Arial" w:eastAsia="Arial" w:hAnsi="Arial" w:cs="Arial"/>
                <w:i/>
                <w:iCs/>
              </w:rPr>
              <w:t>et al.</w:t>
            </w:r>
            <w:r>
              <w:rPr>
                <w:rFonts w:ascii="Arial" w:eastAsia="Arial" w:hAnsi="Arial" w:cs="Arial"/>
              </w:rPr>
              <w:t xml:space="preserve"> (2016).</w:t>
            </w:r>
          </w:p>
        </w:tc>
      </w:tr>
      <w:tr w:rsidR="00E93BD8" w14:paraId="728B1F69" w14:textId="77777777">
        <w:tc>
          <w:tcPr>
            <w:tcW w:w="2795" w:type="dxa"/>
            <w:vMerge/>
            <w:tcBorders>
              <w:top w:val="single" w:sz="4" w:space="0" w:color="000000"/>
              <w:left w:val="single" w:sz="4" w:space="0" w:color="000000"/>
              <w:bottom w:val="single" w:sz="4" w:space="0" w:color="000000"/>
              <w:right w:val="single" w:sz="4" w:space="0" w:color="000000"/>
            </w:tcBorders>
          </w:tcPr>
          <w:p w14:paraId="20ABC0E1" w14:textId="77777777" w:rsidR="00E93BD8" w:rsidRDefault="00E93BD8">
            <w:pPr>
              <w:widowControl w:val="0"/>
              <w:pBdr>
                <w:top w:val="nil"/>
                <w:left w:val="nil"/>
                <w:bottom w:val="nil"/>
                <w:right w:val="nil"/>
                <w:between w:val="nil"/>
              </w:pBdr>
              <w:spacing w:line="276" w:lineRule="auto"/>
              <w:rPr>
                <w:rFonts w:ascii="Arial" w:eastAsia="Arial" w:hAnsi="Arial" w:cs="Arial"/>
              </w:rPr>
            </w:pPr>
          </w:p>
        </w:tc>
        <w:tc>
          <w:tcPr>
            <w:tcW w:w="3969" w:type="dxa"/>
            <w:tcBorders>
              <w:top w:val="single" w:sz="4" w:space="0" w:color="000000"/>
              <w:left w:val="single" w:sz="4" w:space="0" w:color="000000"/>
              <w:bottom w:val="single" w:sz="4" w:space="0" w:color="000000"/>
              <w:right w:val="single" w:sz="4" w:space="0" w:color="000000"/>
            </w:tcBorders>
          </w:tcPr>
          <w:p w14:paraId="78134B48" w14:textId="77777777" w:rsidR="00E93BD8" w:rsidRDefault="00000000">
            <w:pPr>
              <w:spacing w:line="360" w:lineRule="auto"/>
              <w:jc w:val="both"/>
              <w:rPr>
                <w:rFonts w:ascii="Arial" w:eastAsia="Arial" w:hAnsi="Arial" w:cs="Arial"/>
              </w:rPr>
            </w:pPr>
            <w:r>
              <w:rPr>
                <w:rFonts w:ascii="Arial" w:eastAsia="Arial" w:hAnsi="Arial" w:cs="Arial"/>
              </w:rPr>
              <w:t>Informal supports and self-help: peer support, family, self-management strategies often crucial but unevenly available.</w:t>
            </w:r>
          </w:p>
        </w:tc>
        <w:tc>
          <w:tcPr>
            <w:tcW w:w="3260" w:type="dxa"/>
            <w:tcBorders>
              <w:top w:val="single" w:sz="4" w:space="0" w:color="000000"/>
              <w:left w:val="single" w:sz="4" w:space="0" w:color="000000"/>
              <w:bottom w:val="single" w:sz="4" w:space="0" w:color="000000"/>
              <w:right w:val="single" w:sz="4" w:space="0" w:color="000000"/>
            </w:tcBorders>
          </w:tcPr>
          <w:p w14:paraId="173BF74E" w14:textId="77777777" w:rsidR="00E93BD8" w:rsidRDefault="00000000">
            <w:pPr>
              <w:tabs>
                <w:tab w:val="left" w:pos="2997"/>
              </w:tabs>
              <w:spacing w:line="360" w:lineRule="auto"/>
              <w:jc w:val="both"/>
              <w:rPr>
                <w:rFonts w:ascii="Arial" w:eastAsia="Arial" w:hAnsi="Arial" w:cs="Arial"/>
              </w:rPr>
            </w:pPr>
            <w:r>
              <w:rPr>
                <w:rFonts w:ascii="Arial" w:eastAsia="Arial" w:hAnsi="Arial" w:cs="Arial"/>
              </w:rPr>
              <w:t xml:space="preserve">Martin and Atkinson (2020), Jenkins </w:t>
            </w:r>
            <w:r>
              <w:rPr>
                <w:rFonts w:ascii="Arial" w:eastAsia="Arial" w:hAnsi="Arial" w:cs="Arial"/>
                <w:i/>
                <w:iCs/>
              </w:rPr>
              <w:t>et al.</w:t>
            </w:r>
            <w:r>
              <w:rPr>
                <w:rFonts w:ascii="Arial" w:eastAsia="Arial" w:hAnsi="Arial" w:cs="Arial"/>
              </w:rPr>
              <w:t xml:space="preserve"> (2021), Thapar </w:t>
            </w:r>
            <w:r>
              <w:rPr>
                <w:rFonts w:ascii="Arial" w:eastAsia="Arial" w:hAnsi="Arial" w:cs="Arial"/>
                <w:i/>
                <w:iCs/>
              </w:rPr>
              <w:t>et al.</w:t>
            </w:r>
            <w:r>
              <w:rPr>
                <w:rFonts w:ascii="Arial" w:eastAsia="Arial" w:hAnsi="Arial" w:cs="Arial"/>
              </w:rPr>
              <w:t xml:space="preserve"> (2022).</w:t>
            </w:r>
          </w:p>
        </w:tc>
      </w:tr>
      <w:tr w:rsidR="00E93BD8" w14:paraId="70E1B564" w14:textId="77777777">
        <w:tc>
          <w:tcPr>
            <w:tcW w:w="2795" w:type="dxa"/>
            <w:vMerge/>
            <w:tcBorders>
              <w:top w:val="single" w:sz="4" w:space="0" w:color="000000"/>
              <w:left w:val="single" w:sz="4" w:space="0" w:color="000000"/>
              <w:bottom w:val="single" w:sz="4" w:space="0" w:color="000000"/>
              <w:right w:val="single" w:sz="4" w:space="0" w:color="000000"/>
            </w:tcBorders>
          </w:tcPr>
          <w:p w14:paraId="5E40E233" w14:textId="77777777" w:rsidR="00E93BD8" w:rsidRDefault="00E93BD8">
            <w:pPr>
              <w:widowControl w:val="0"/>
              <w:pBdr>
                <w:top w:val="nil"/>
                <w:left w:val="nil"/>
                <w:bottom w:val="nil"/>
                <w:right w:val="nil"/>
                <w:between w:val="nil"/>
              </w:pBdr>
              <w:spacing w:line="276" w:lineRule="auto"/>
              <w:rPr>
                <w:rFonts w:ascii="Arial" w:eastAsia="Arial" w:hAnsi="Arial" w:cs="Arial"/>
              </w:rPr>
            </w:pPr>
          </w:p>
        </w:tc>
        <w:tc>
          <w:tcPr>
            <w:tcW w:w="3969" w:type="dxa"/>
            <w:tcBorders>
              <w:top w:val="single" w:sz="4" w:space="0" w:color="000000"/>
              <w:left w:val="single" w:sz="4" w:space="0" w:color="000000"/>
              <w:bottom w:val="single" w:sz="4" w:space="0" w:color="000000"/>
              <w:right w:val="single" w:sz="4" w:space="0" w:color="000000"/>
            </w:tcBorders>
          </w:tcPr>
          <w:p w14:paraId="7A329D75" w14:textId="77777777" w:rsidR="00E93BD8" w:rsidRDefault="00000000">
            <w:pPr>
              <w:spacing w:line="360" w:lineRule="auto"/>
              <w:jc w:val="both"/>
              <w:rPr>
                <w:rFonts w:ascii="Arial" w:eastAsia="Arial" w:hAnsi="Arial" w:cs="Arial"/>
              </w:rPr>
            </w:pPr>
            <w:r>
              <w:rPr>
                <w:rFonts w:ascii="Arial" w:eastAsia="Arial" w:hAnsi="Arial" w:cs="Arial"/>
              </w:rPr>
              <w:t>Gaps and tailored needs: need for targeted support for LGBTQ+ youth and integrated care for those with life-limiting conditions; service inequalities and waiting times hinder benefit.</w:t>
            </w:r>
          </w:p>
        </w:tc>
        <w:tc>
          <w:tcPr>
            <w:tcW w:w="3260" w:type="dxa"/>
            <w:tcBorders>
              <w:top w:val="single" w:sz="4" w:space="0" w:color="000000"/>
              <w:left w:val="single" w:sz="4" w:space="0" w:color="000000"/>
              <w:bottom w:val="single" w:sz="4" w:space="0" w:color="000000"/>
              <w:right w:val="single" w:sz="4" w:space="0" w:color="000000"/>
            </w:tcBorders>
          </w:tcPr>
          <w:p w14:paraId="02CF9708" w14:textId="77777777" w:rsidR="00E93BD8" w:rsidRDefault="00000000">
            <w:pPr>
              <w:spacing w:line="360" w:lineRule="auto"/>
              <w:jc w:val="both"/>
              <w:rPr>
                <w:rFonts w:ascii="Arial" w:eastAsia="Arial" w:hAnsi="Arial" w:cs="Arial"/>
              </w:rPr>
            </w:pPr>
            <w:r>
              <w:rPr>
                <w:rFonts w:ascii="Arial" w:eastAsia="Arial" w:hAnsi="Arial" w:cs="Arial"/>
              </w:rPr>
              <w:t xml:space="preserve">Irish </w:t>
            </w:r>
            <w:r>
              <w:rPr>
                <w:rFonts w:ascii="Arial" w:eastAsia="Arial" w:hAnsi="Arial" w:cs="Arial"/>
                <w:i/>
                <w:iCs/>
              </w:rPr>
              <w:t>et al.</w:t>
            </w:r>
            <w:r>
              <w:rPr>
                <w:rFonts w:ascii="Arial" w:eastAsia="Arial" w:hAnsi="Arial" w:cs="Arial"/>
              </w:rPr>
              <w:t xml:space="preserve"> (2019), Barker </w:t>
            </w:r>
            <w:r>
              <w:rPr>
                <w:rFonts w:ascii="Arial" w:eastAsia="Arial" w:hAnsi="Arial" w:cs="Arial"/>
                <w:i/>
                <w:iCs/>
              </w:rPr>
              <w:t>et al.</w:t>
            </w:r>
            <w:r>
              <w:rPr>
                <w:rFonts w:ascii="Arial" w:eastAsia="Arial" w:hAnsi="Arial" w:cs="Arial"/>
              </w:rPr>
              <w:t xml:space="preserve"> (2019), Barker </w:t>
            </w:r>
            <w:r>
              <w:rPr>
                <w:rFonts w:ascii="Arial" w:eastAsia="Arial" w:hAnsi="Arial" w:cs="Arial"/>
                <w:i/>
                <w:iCs/>
              </w:rPr>
              <w:t>et al.</w:t>
            </w:r>
            <w:r>
              <w:rPr>
                <w:rFonts w:ascii="Arial" w:eastAsia="Arial" w:hAnsi="Arial" w:cs="Arial"/>
              </w:rPr>
              <w:t xml:space="preserve"> (2023), Pile </w:t>
            </w:r>
            <w:r>
              <w:rPr>
                <w:rFonts w:ascii="Arial" w:eastAsia="Arial" w:hAnsi="Arial" w:cs="Arial"/>
                <w:i/>
                <w:iCs/>
              </w:rPr>
              <w:t>et al.</w:t>
            </w:r>
            <w:r>
              <w:rPr>
                <w:rFonts w:ascii="Arial" w:eastAsia="Arial" w:hAnsi="Arial" w:cs="Arial"/>
              </w:rPr>
              <w:t xml:space="preserve"> (2019).</w:t>
            </w:r>
          </w:p>
        </w:tc>
      </w:tr>
    </w:tbl>
    <w:p w14:paraId="1DF8B2F8" w14:textId="77777777" w:rsidR="00E93BD8" w:rsidRDefault="00E93BD8">
      <w:pPr>
        <w:spacing w:line="360" w:lineRule="auto"/>
        <w:jc w:val="both"/>
        <w:rPr>
          <w:rFonts w:ascii="Arial" w:eastAsia="Arial" w:hAnsi="Arial" w:cs="Arial"/>
        </w:rPr>
      </w:pPr>
    </w:p>
    <w:p w14:paraId="68F6A564" w14:textId="77777777" w:rsidR="00E93BD8" w:rsidRDefault="00000000">
      <w:pPr>
        <w:spacing w:line="360" w:lineRule="auto"/>
        <w:jc w:val="both"/>
        <w:rPr>
          <w:rFonts w:ascii="Arial" w:eastAsia="Arial" w:hAnsi="Arial" w:cs="Arial"/>
        </w:rPr>
      </w:pPr>
      <w:r>
        <w:rPr>
          <w:rFonts w:ascii="Arial" w:eastAsia="Arial" w:hAnsi="Arial" w:cs="Arial"/>
        </w:rPr>
        <w:t>Detailed analysis of the articles is presented in the appendices section. Based on this analysis, the detailed findings are provided on (1) the prevalence and severity of depressive symptoms among young adults in the United Kingdom, (2) the academic, occupational, and social impacts of depression within this population, and (3) the coping mechanisms and mental health support systems accessed by affected individuals.</w:t>
      </w:r>
    </w:p>
    <w:p w14:paraId="5933CA3D" w14:textId="77777777" w:rsidR="00E93BD8" w:rsidRDefault="00000000">
      <w:pPr>
        <w:pStyle w:val="Heading3"/>
        <w:spacing w:line="360" w:lineRule="auto"/>
        <w:rPr>
          <w:rFonts w:ascii="Arial" w:eastAsia="Arial" w:hAnsi="Arial" w:cs="Arial"/>
          <w:b/>
          <w:bCs/>
          <w:color w:val="000000"/>
          <w:sz w:val="24"/>
          <w:szCs w:val="24"/>
        </w:rPr>
      </w:pPr>
      <w:bookmarkStart w:id="50" w:name="_heading=h.454weur99q9p" w:colFirst="0" w:colLast="0"/>
      <w:bookmarkEnd w:id="50"/>
      <w:r>
        <w:rPr>
          <w:rFonts w:ascii="Arial" w:eastAsia="Arial" w:hAnsi="Arial" w:cs="Arial"/>
          <w:b/>
          <w:bCs/>
          <w:color w:val="000000"/>
          <w:sz w:val="24"/>
          <w:szCs w:val="24"/>
        </w:rPr>
        <w:lastRenderedPageBreak/>
        <w:t>4.3.1 Prevalence of Severity of Depression among Young Adults in the UK</w:t>
      </w:r>
    </w:p>
    <w:p w14:paraId="32E268FE" w14:textId="77777777" w:rsidR="00E93BD8" w:rsidRDefault="00000000">
      <w:pPr>
        <w:spacing w:line="360" w:lineRule="auto"/>
        <w:jc w:val="both"/>
        <w:rPr>
          <w:rFonts w:ascii="Arial" w:eastAsia="Arial" w:hAnsi="Arial" w:cs="Arial"/>
        </w:rPr>
      </w:pPr>
      <w:r>
        <w:rPr>
          <w:rFonts w:ascii="Arial" w:eastAsia="Arial" w:hAnsi="Arial" w:cs="Arial"/>
        </w:rPr>
        <w:t>The literature also shows that depressive symptoms are a significant issue in the UK young adult population, although prevalence and severity have been reported to be inconsistent by sample, method, and subgroup. Population-level syntheses and cohort studies define depression as widespread and frequent: systematic reviews and epidemiological research characterise depressive disorders among the youth as an increasing public-health issue with significant chronicity (Thapar et al., 2022; Morales-Munoz et al., 2023). Student sample cohort and survey studies have some of the highest point prevalences that are often significantly higher than estimates based on clinical records and indicate a real concentration of burden in transitional, academic settings as well as differences in case ascertainment (Jenkins et al., 2021; Martin and Atkinson, 2020). Some of the studies mention subgroup variation: the rates and presentations are significantly higher and more severe in sexual minority youth and those with life-limiting or chronic conditions (Irish et al., 2019; Barker et al., 2019; Barker et al., 2023).</w:t>
      </w:r>
    </w:p>
    <w:p w14:paraId="32E2A227" w14:textId="77777777" w:rsidR="00E93BD8" w:rsidRDefault="00000000">
      <w:pPr>
        <w:spacing w:line="360" w:lineRule="auto"/>
        <w:jc w:val="both"/>
        <w:rPr>
          <w:rFonts w:ascii="Arial" w:eastAsia="Arial" w:hAnsi="Arial" w:cs="Arial"/>
        </w:rPr>
      </w:pPr>
      <w:r>
        <w:rPr>
          <w:rFonts w:ascii="Arial" w:eastAsia="Arial" w:hAnsi="Arial" w:cs="Arial"/>
        </w:rPr>
        <w:t xml:space="preserve">Methodological aspects are also a significant source of variation. Self-report screening instruments (cross-sectional survey) studies are more likely to result in a higher prevalence estimate than primary-care records or diagnostic coding studies, which uncovers a pattern of silent prevalence, symptoms present but not documented in routine care (Nichols et al., 2016; Lakasing and Mirza, 2020). The discrepancy is associated with </w:t>
      </w:r>
      <w:proofErr w:type="spellStart"/>
      <w:r>
        <w:rPr>
          <w:rFonts w:ascii="Arial" w:eastAsia="Arial" w:hAnsi="Arial" w:cs="Arial"/>
        </w:rPr>
        <w:t>underdetection</w:t>
      </w:r>
      <w:proofErr w:type="spellEnd"/>
      <w:r>
        <w:rPr>
          <w:rFonts w:ascii="Arial" w:eastAsia="Arial" w:hAnsi="Arial" w:cs="Arial"/>
        </w:rPr>
        <w:t xml:space="preserve"> in clinical environments, case definition differences and sampling bias (such as sample of students conveniently vs. sample of population cohorts). Symptom levels were linked to environmental and lifestyle factors (such as increased screen time) in cohort data, which are contemporary risk exposures and can partially account for increasing rates in recent cohorts (Khouja et al., 2019). The prevalence estimates are further complicated by regional differences in service availability, as regions with a low access to care do not adequately record the cases and do not treat the symptoms, potentially promoting the chronicity (Pile et al., 2019). Overall, the evidence base suggests that the burden of depressive symptoms among young adults in the UK is high and heterogeneous, with the focus on specific subgroups and probably underestimated in conventional clinical data, indicating a need to better detect and monitor it, as well as measure it in a subgroup-sensitive way.</w:t>
      </w:r>
    </w:p>
    <w:p w14:paraId="3B738FC1" w14:textId="77777777" w:rsidR="00E93BD8" w:rsidRDefault="00000000">
      <w:pPr>
        <w:spacing w:line="360" w:lineRule="auto"/>
        <w:jc w:val="both"/>
        <w:rPr>
          <w:rFonts w:ascii="Arial" w:eastAsia="Arial" w:hAnsi="Arial" w:cs="Arial"/>
        </w:rPr>
      </w:pPr>
      <w:r>
        <w:rPr>
          <w:rFonts w:ascii="Arial" w:eastAsia="Arial" w:hAnsi="Arial" w:cs="Arial"/>
        </w:rPr>
        <w:lastRenderedPageBreak/>
        <w:t>The analysed literature shows that although depression among young adults in the UK is a well-</w:t>
      </w:r>
      <w:proofErr w:type="spellStart"/>
      <w:r>
        <w:rPr>
          <w:rFonts w:ascii="Arial" w:eastAsia="Arial" w:hAnsi="Arial" w:cs="Arial"/>
        </w:rPr>
        <w:t>recognised</w:t>
      </w:r>
      <w:proofErr w:type="spellEnd"/>
      <w:r>
        <w:rPr>
          <w:rFonts w:ascii="Arial" w:eastAsia="Arial" w:hAnsi="Arial" w:cs="Arial"/>
        </w:rPr>
        <w:t xml:space="preserve"> public health issue, the actual extent of the same is still concealed by differences in detection, reporting, and measurement. The overlapping of results between the various methodological strategies highlights a structural problem, as opposed to an individual risk factor, i.e., that social inequality, service fragmentation, and the changing lifestyle factors interact to create a persistent burden of depressive symptoms. This implies that prevalence is not merely a demonstration of personal psychological frailty but also of systematic inadequacy to detect and respond to arising distress at an early stage. Hence, the increase in the accuracy of prevalence would not only be possible through the methodological </w:t>
      </w:r>
      <w:proofErr w:type="spellStart"/>
      <w:r>
        <w:rPr>
          <w:rFonts w:ascii="Arial" w:eastAsia="Arial" w:hAnsi="Arial" w:cs="Arial"/>
        </w:rPr>
        <w:t>standardisation</w:t>
      </w:r>
      <w:proofErr w:type="spellEnd"/>
      <w:r>
        <w:rPr>
          <w:rFonts w:ascii="Arial" w:eastAsia="Arial" w:hAnsi="Arial" w:cs="Arial"/>
        </w:rPr>
        <w:t>, but also the policy consideration of the social and institutional conditions that would influence the manifestation and recognition of depression in young adults.</w:t>
      </w:r>
    </w:p>
    <w:p w14:paraId="5B5EB3EE" w14:textId="77777777" w:rsidR="00E93BD8" w:rsidRDefault="00000000">
      <w:pPr>
        <w:pStyle w:val="Heading3"/>
        <w:spacing w:line="360" w:lineRule="auto"/>
        <w:rPr>
          <w:rFonts w:ascii="Arial" w:eastAsia="Arial" w:hAnsi="Arial" w:cs="Arial"/>
          <w:b/>
          <w:bCs/>
          <w:color w:val="000000"/>
          <w:sz w:val="24"/>
          <w:szCs w:val="24"/>
        </w:rPr>
      </w:pPr>
      <w:bookmarkStart w:id="51" w:name="_heading=h.so9veee2f2sg" w:colFirst="0" w:colLast="0"/>
      <w:bookmarkEnd w:id="51"/>
      <w:r>
        <w:rPr>
          <w:rFonts w:ascii="Arial" w:eastAsia="Arial" w:hAnsi="Arial" w:cs="Arial"/>
          <w:b/>
          <w:bCs/>
          <w:color w:val="000000"/>
          <w:sz w:val="24"/>
          <w:szCs w:val="24"/>
        </w:rPr>
        <w:t>4.3.2 Academic, Occupational and Social Effects of Depression</w:t>
      </w:r>
    </w:p>
    <w:p w14:paraId="5B29A2FA" w14:textId="77777777" w:rsidR="00E93BD8" w:rsidRDefault="00000000">
      <w:pPr>
        <w:spacing w:line="360" w:lineRule="auto"/>
        <w:jc w:val="both"/>
        <w:rPr>
          <w:rFonts w:ascii="Arial" w:eastAsia="Arial" w:hAnsi="Arial" w:cs="Arial"/>
        </w:rPr>
      </w:pPr>
      <w:r>
        <w:rPr>
          <w:rFonts w:ascii="Arial" w:eastAsia="Arial" w:hAnsi="Arial" w:cs="Arial"/>
        </w:rPr>
        <w:t xml:space="preserve">In the studies that were reviewed, depression is demonstrated as having significant adverse impacts on educational engagement, labour-market outcomes, social relationships, and several studies have reported the interaction of these areas to generate compounded disadvantage. Depression educationally disturbs concentration, motivation, and course completion, which increases the risk of dropout and reduces educational attainment, which is especially apparent in university samples, where academic stress and comorbidity with anxiety exacerbate the impairment (Martin and Atkinson, 2020; Jenkins et al., 2021). The longitudinal studies connect cases of adolescent and </w:t>
      </w:r>
      <w:proofErr w:type="gramStart"/>
      <w:r>
        <w:rPr>
          <w:rFonts w:ascii="Arial" w:eastAsia="Arial" w:hAnsi="Arial" w:cs="Arial"/>
        </w:rPr>
        <w:t>early-adult</w:t>
      </w:r>
      <w:proofErr w:type="gramEnd"/>
      <w:r>
        <w:rPr>
          <w:rFonts w:ascii="Arial" w:eastAsia="Arial" w:hAnsi="Arial" w:cs="Arial"/>
        </w:rPr>
        <w:t xml:space="preserve"> depressive episodes to lower educational achievements and interrupted academic paths in later life, which subsequently lessen the chances of jobs (Morales-Munoz et al., 2023).</w:t>
      </w:r>
    </w:p>
    <w:p w14:paraId="675E31C7" w14:textId="77777777" w:rsidR="00E93BD8" w:rsidRDefault="00000000">
      <w:pPr>
        <w:spacing w:line="360" w:lineRule="auto"/>
        <w:jc w:val="both"/>
        <w:rPr>
          <w:rFonts w:ascii="Arial" w:eastAsia="Arial" w:hAnsi="Arial" w:cs="Arial"/>
        </w:rPr>
      </w:pPr>
      <w:r>
        <w:rPr>
          <w:rFonts w:ascii="Arial" w:eastAsia="Arial" w:hAnsi="Arial" w:cs="Arial"/>
        </w:rPr>
        <w:t xml:space="preserve">Professionally, various studies also indicate that previous depression is associated with future unemployment, precarious work, and low productivity; chronic or untreated symptoms are specifically harmful to employment stability and career advancement (Morales-Munoz et al., 2023; Barker et al., 2023). To a few young adults, the </w:t>
      </w:r>
      <w:proofErr w:type="gramStart"/>
      <w:r>
        <w:rPr>
          <w:rFonts w:ascii="Arial" w:eastAsia="Arial" w:hAnsi="Arial" w:cs="Arial"/>
        </w:rPr>
        <w:t>work place</w:t>
      </w:r>
      <w:proofErr w:type="gramEnd"/>
      <w:r>
        <w:rPr>
          <w:rFonts w:ascii="Arial" w:eastAsia="Arial" w:hAnsi="Arial" w:cs="Arial"/>
        </w:rPr>
        <w:t xml:space="preserve"> becomes a place of hiding, continuing to work at personal expense, and others are visible in functional disability and absenteeism (Martin and Atkinson, 2020). Socially, depression </w:t>
      </w:r>
      <w:r>
        <w:rPr>
          <w:rFonts w:ascii="Arial" w:eastAsia="Arial" w:hAnsi="Arial" w:cs="Arial"/>
        </w:rPr>
        <w:lastRenderedPageBreak/>
        <w:t xml:space="preserve">serves to weaken relationships and become more isolated: both narrative and cohort evidence show withdrawal into peer networks, poor family relationships, and exclusion </w:t>
      </w:r>
      <w:proofErr w:type="gramStart"/>
      <w:r>
        <w:rPr>
          <w:rFonts w:ascii="Arial" w:eastAsia="Arial" w:hAnsi="Arial" w:cs="Arial"/>
        </w:rPr>
        <w:t>on the basis of</w:t>
      </w:r>
      <w:proofErr w:type="gramEnd"/>
      <w:r>
        <w:rPr>
          <w:rFonts w:ascii="Arial" w:eastAsia="Arial" w:hAnsi="Arial" w:cs="Arial"/>
        </w:rPr>
        <w:t xml:space="preserve"> stigma, which is made worse when depression is combined with minority stress (Irish et al., 2019; Thapar et al., 2022). Online practices make the social situation more complex: whereas people who use screens a lot have lower moods, online social interaction can compensate for social life in others (Khouja et al., 2019).</w:t>
      </w:r>
    </w:p>
    <w:p w14:paraId="23A87AC8" w14:textId="77777777" w:rsidR="00E93BD8" w:rsidRDefault="00000000">
      <w:pPr>
        <w:spacing w:line="360" w:lineRule="auto"/>
        <w:jc w:val="both"/>
        <w:rPr>
          <w:rFonts w:ascii="Arial" w:eastAsia="Arial" w:hAnsi="Arial" w:cs="Arial"/>
        </w:rPr>
      </w:pPr>
      <w:r>
        <w:rPr>
          <w:rFonts w:ascii="Arial" w:eastAsia="Arial" w:hAnsi="Arial" w:cs="Arial"/>
        </w:rPr>
        <w:t xml:space="preserve">Interestingly, the evidence demonstrates that results are heterogeneous: quantitative cohort studies describe general risk in the population and cumulative effects, and qualitative and student-centered studies clarify the mechanisms of living (e.g., coping strategies, concealment, campus pressures) that cannot be described by statistics alone (Nichols et al., 2016; Martin and Atkinson, 2020). These effects are moderated by service access, which is timely and equitable, negative academic and occupational paths are partially alleviated, and the importance of early detection and support is noted (Pile et al., 2019; Hopkins et al., 2015). </w:t>
      </w:r>
      <w:proofErr w:type="gramStart"/>
      <w:r>
        <w:rPr>
          <w:rFonts w:ascii="Arial" w:eastAsia="Arial" w:hAnsi="Arial" w:cs="Arial"/>
        </w:rPr>
        <w:t>On the whole</w:t>
      </w:r>
      <w:proofErr w:type="gramEnd"/>
      <w:r>
        <w:rPr>
          <w:rFonts w:ascii="Arial" w:eastAsia="Arial" w:hAnsi="Arial" w:cs="Arial"/>
        </w:rPr>
        <w:t>, the analysed literature leads to the conclusion that depression is a significant problem that impairs the ability of young adults to study, work, and interact, and that the impacts of depression are determined by systemic (access to services, stigma) and individual factors (identity, comorbidity).</w:t>
      </w:r>
    </w:p>
    <w:p w14:paraId="117B1C2E" w14:textId="77777777" w:rsidR="00E93BD8" w:rsidRDefault="00000000">
      <w:pPr>
        <w:spacing w:line="360" w:lineRule="auto"/>
        <w:jc w:val="both"/>
        <w:rPr>
          <w:rFonts w:ascii="Arial" w:eastAsia="Arial" w:hAnsi="Arial" w:cs="Arial"/>
        </w:rPr>
      </w:pPr>
      <w:r>
        <w:rPr>
          <w:rFonts w:ascii="Arial" w:eastAsia="Arial" w:hAnsi="Arial" w:cs="Arial"/>
        </w:rPr>
        <w:t>Altogether, the accumulated evidence describes depression as a symptom and a cause of social and economic inequality among young adults. Its impacts are cyclical: poor academic achievement makes a person less employable, work insecurity strengthens the impact of psychological stress, and social disengagement makes a person less resilient. This bidirectional interplay demonstrates that the effects of depression go far beyond personal health to affect the socio-economic lifestyles in the long term. Notably, the literature reviewed suggests that reducing the effects of these effects involves more than clinical care but structural responses in the form of academic accommodations, inclusive work-related policies, and stigma reduction programs that consider depression as a social but not strictly medical issue.</w:t>
      </w:r>
    </w:p>
    <w:p w14:paraId="3AF4DC2A" w14:textId="77777777" w:rsidR="00E93BD8" w:rsidRDefault="00000000">
      <w:pPr>
        <w:pStyle w:val="Heading3"/>
        <w:spacing w:line="360" w:lineRule="auto"/>
        <w:rPr>
          <w:rFonts w:ascii="Arial" w:eastAsia="Arial" w:hAnsi="Arial" w:cs="Arial"/>
          <w:b/>
          <w:bCs/>
          <w:color w:val="000000"/>
          <w:sz w:val="24"/>
          <w:szCs w:val="24"/>
        </w:rPr>
      </w:pPr>
      <w:bookmarkStart w:id="52" w:name="_heading=h.ylsphdxml4e5" w:colFirst="0" w:colLast="0"/>
      <w:bookmarkEnd w:id="52"/>
      <w:r>
        <w:rPr>
          <w:rFonts w:ascii="Arial" w:eastAsia="Arial" w:hAnsi="Arial" w:cs="Arial"/>
          <w:b/>
          <w:bCs/>
          <w:color w:val="000000"/>
          <w:sz w:val="24"/>
          <w:szCs w:val="24"/>
        </w:rPr>
        <w:t>4.3.3 Coping Mechanisms and Support Systems</w:t>
      </w:r>
    </w:p>
    <w:p w14:paraId="5EAF0DB9" w14:textId="77777777" w:rsidR="00E93BD8" w:rsidRDefault="00000000">
      <w:pPr>
        <w:spacing w:line="360" w:lineRule="auto"/>
        <w:jc w:val="both"/>
        <w:rPr>
          <w:rFonts w:ascii="Arial" w:eastAsia="Arial" w:hAnsi="Arial" w:cs="Arial"/>
        </w:rPr>
      </w:pPr>
      <w:r>
        <w:rPr>
          <w:rFonts w:ascii="Arial" w:eastAsia="Arial" w:hAnsi="Arial" w:cs="Arial"/>
        </w:rPr>
        <w:t xml:space="preserve">The articles determine a hybrid ecology of formal and informal supports and recurrent obstacles that determine the results of coping among young adults. The formal resources </w:t>
      </w:r>
      <w:r>
        <w:rPr>
          <w:rFonts w:ascii="Arial" w:eastAsia="Arial" w:hAnsi="Arial" w:cs="Arial"/>
        </w:rPr>
        <w:lastRenderedPageBreak/>
        <w:t xml:space="preserve">considered are NHS and primary-care pathways, NICE-recommended therapies (e.g., CBT), university counselling services, and </w:t>
      </w:r>
      <w:proofErr w:type="spellStart"/>
      <w:r>
        <w:rPr>
          <w:rFonts w:ascii="Arial" w:eastAsia="Arial" w:hAnsi="Arial" w:cs="Arial"/>
        </w:rPr>
        <w:t>specialised</w:t>
      </w:r>
      <w:proofErr w:type="spellEnd"/>
      <w:r>
        <w:rPr>
          <w:rFonts w:ascii="Arial" w:eastAsia="Arial" w:hAnsi="Arial" w:cs="Arial"/>
        </w:rPr>
        <w:t xml:space="preserve"> integrated care of people with complex or chronic conditions (Hopkins et al., 2015; Thapar et al., 2022; Barker et al., 2019). It has been indicated that such interventions may be effective when timely and complete and delivered promptly; nevertheless, underdiagnosis in primary care, long waiting lists, regional differences in delivery, and youth-friendly services limit their coverage and timeliness (Lakasing and Mirza, 2020; Pile et al., 2019). Predictive models based on electronic primary-care records have potential to identify and target earlier (Nichols et al., 2016), but their practical usefulness requires large-scale use and adoption by clinicians.</w:t>
      </w:r>
    </w:p>
    <w:p w14:paraId="7CAE6392" w14:textId="77777777" w:rsidR="00E93BD8" w:rsidRDefault="00000000">
      <w:pPr>
        <w:spacing w:line="360" w:lineRule="auto"/>
        <w:jc w:val="both"/>
        <w:rPr>
          <w:rFonts w:ascii="Arial" w:eastAsia="Arial" w:hAnsi="Arial" w:cs="Arial"/>
        </w:rPr>
      </w:pPr>
      <w:r>
        <w:rPr>
          <w:rFonts w:ascii="Arial" w:eastAsia="Arial" w:hAnsi="Arial" w:cs="Arial"/>
        </w:rPr>
        <w:t>Features A central aspect of lived-experience research and is frequently the initial intervention among young adults, informal coping (peer support, family support, self-management, online support, etc.) (Martin and Atkinson, 2020; Jenkins et al., 2021). Although these networks can buffer distress and support help-seeking, they are not accessible and do not always work, particularly among the marginalised group who may encounter family rejection or discriminatory peer environments (Irish et al., 2019). Research on vulnerable subgroups highlights the importance of providing more personalised and integrated models: vulnerable youth with life-limiting conditions are best served with embedded psychological care in medical services, and sexual minority youth need culturally competent and stigma-aware delivery (Barker et al., 2019; Barker et al., 2023; Irish et al., 2019).</w:t>
      </w:r>
    </w:p>
    <w:p w14:paraId="492ED16C" w14:textId="77777777" w:rsidR="00E93BD8" w:rsidRDefault="00000000">
      <w:pPr>
        <w:spacing w:line="360" w:lineRule="auto"/>
        <w:jc w:val="both"/>
        <w:rPr>
          <w:rFonts w:ascii="Arial" w:eastAsia="Arial" w:hAnsi="Arial" w:cs="Arial"/>
        </w:rPr>
      </w:pPr>
      <w:r>
        <w:rPr>
          <w:rFonts w:ascii="Arial" w:eastAsia="Arial" w:hAnsi="Arial" w:cs="Arial"/>
        </w:rPr>
        <w:t xml:space="preserve">Taken together, the literature describes a paradox, namely, despite the availability of evidence-based treatment and policy frameworks (NICE), structural and operational obstacles do not allow a significant number of young adults to achieve the advantages of the latter. The best pathways are a combination of formal clinical responses with a reinforcement of informal support and focused outreach to vulnerable populations; however, the uneven distribution results in gaps that remain. Early detection (with predictive tools) should thus be </w:t>
      </w:r>
      <w:proofErr w:type="spellStart"/>
      <w:r>
        <w:rPr>
          <w:rFonts w:ascii="Arial" w:eastAsia="Arial" w:hAnsi="Arial" w:cs="Arial"/>
        </w:rPr>
        <w:t>prioritised</w:t>
      </w:r>
      <w:proofErr w:type="spellEnd"/>
      <w:r>
        <w:rPr>
          <w:rFonts w:ascii="Arial" w:eastAsia="Arial" w:hAnsi="Arial" w:cs="Arial"/>
        </w:rPr>
        <w:t xml:space="preserve"> by policymakers and service designers, reduce access disparities in systems, increase youth-focused and culturally competent services, </w:t>
      </w:r>
      <w:r>
        <w:rPr>
          <w:rFonts w:ascii="Arial" w:eastAsia="Arial" w:hAnsi="Arial" w:cs="Arial"/>
        </w:rPr>
        <w:lastRenderedPageBreak/>
        <w:t xml:space="preserve">and explicitly incorporate the concept of informal support strengthening to the intervention models to enhance the outcomes of UK young adults. </w:t>
      </w:r>
    </w:p>
    <w:p w14:paraId="2424FFF7" w14:textId="77777777" w:rsidR="00E93BD8" w:rsidRDefault="00000000">
      <w:pPr>
        <w:spacing w:line="360" w:lineRule="auto"/>
        <w:jc w:val="both"/>
        <w:rPr>
          <w:rFonts w:ascii="Arial" w:eastAsia="Arial" w:hAnsi="Arial" w:cs="Arial"/>
        </w:rPr>
      </w:pPr>
      <w:r>
        <w:rPr>
          <w:rFonts w:ascii="Arial" w:eastAsia="Arial" w:hAnsi="Arial" w:cs="Arial"/>
        </w:rPr>
        <w:t xml:space="preserve">Most importantly, the synthesis indicates that the current coping and support measures of young adults with depression in the UK are reactive and not proactive. Although there are elaborate national frameworks, there is service fragmentation and unfair access resulting in many young people depending on informal, inconsistent, or self-directed approaches. This disproportional support terrain signifies the lack of alignment between policy intent and policy action, especially among marginalised groups. The next stage of development will involve the incorporation of mental health promotion into the daily youth settings in schools, universities, workplaces and online environments where early intervention can be </w:t>
      </w:r>
      <w:proofErr w:type="spellStart"/>
      <w:r>
        <w:rPr>
          <w:rFonts w:ascii="Arial" w:eastAsia="Arial" w:hAnsi="Arial" w:cs="Arial"/>
        </w:rPr>
        <w:t>socialised</w:t>
      </w:r>
      <w:proofErr w:type="spellEnd"/>
      <w:r>
        <w:rPr>
          <w:rFonts w:ascii="Arial" w:eastAsia="Arial" w:hAnsi="Arial" w:cs="Arial"/>
        </w:rPr>
        <w:t xml:space="preserve"> and maintained. By doing so, the UK will be able to transition the response to proactive resilience-building so that there is integration of coping mechanisms and continuous integration is ensured across life transitions in a manner that is equitable and embedded.</w:t>
      </w:r>
    </w:p>
    <w:p w14:paraId="3A7C7781" w14:textId="77777777" w:rsidR="00E93BD8" w:rsidRDefault="00000000">
      <w:pPr>
        <w:pStyle w:val="Heading1"/>
        <w:spacing w:line="360" w:lineRule="auto"/>
        <w:rPr>
          <w:rFonts w:ascii="Arial" w:eastAsia="Arial" w:hAnsi="Arial" w:cs="Arial"/>
          <w:b/>
          <w:bCs/>
          <w:color w:val="000000"/>
          <w:sz w:val="24"/>
          <w:szCs w:val="24"/>
        </w:rPr>
      </w:pPr>
      <w:bookmarkStart w:id="53" w:name="_heading=h.rovffw6qlwg3" w:colFirst="0" w:colLast="0"/>
      <w:bookmarkEnd w:id="53"/>
      <w:r>
        <w:rPr>
          <w:rFonts w:ascii="Arial" w:eastAsia="Arial" w:hAnsi="Arial" w:cs="Arial"/>
          <w:b/>
          <w:bCs/>
          <w:color w:val="000000"/>
          <w:sz w:val="24"/>
          <w:szCs w:val="24"/>
        </w:rPr>
        <w:t>4.4 Discussion of the Findings</w:t>
      </w:r>
    </w:p>
    <w:p w14:paraId="5401625C" w14:textId="77777777" w:rsidR="00E93BD8" w:rsidRDefault="00000000">
      <w:pPr>
        <w:spacing w:before="240" w:line="360" w:lineRule="auto"/>
        <w:jc w:val="both"/>
        <w:rPr>
          <w:rFonts w:ascii="Arial" w:eastAsia="Arial" w:hAnsi="Arial" w:cs="Arial"/>
        </w:rPr>
      </w:pPr>
      <w:r>
        <w:rPr>
          <w:rFonts w:ascii="Arial" w:eastAsia="Arial" w:hAnsi="Arial" w:cs="Arial"/>
        </w:rPr>
        <w:t>The synthesis demonstrates that depression among UK young adults is a multidimensional condition that is determined by biological, psychological, and socio-environmental factors. The symptoms often continue after adolescence and have a major impact on academic, occupational, and social functioning. The differences in coping and support are extensive because of stigma, socioeconomic disparities, and unequal access to services. The discussion is a combination of cross-study patterns, practical implications and divergent areas of evidence.</w:t>
      </w:r>
    </w:p>
    <w:p w14:paraId="54273CBC" w14:textId="77777777" w:rsidR="00E93BD8" w:rsidRDefault="00000000">
      <w:pPr>
        <w:pStyle w:val="Heading3"/>
        <w:spacing w:line="360" w:lineRule="auto"/>
        <w:rPr>
          <w:rFonts w:ascii="Arial" w:eastAsia="Arial" w:hAnsi="Arial" w:cs="Arial"/>
          <w:b/>
          <w:bCs/>
          <w:color w:val="000000"/>
          <w:sz w:val="24"/>
          <w:szCs w:val="24"/>
        </w:rPr>
      </w:pPr>
      <w:bookmarkStart w:id="54" w:name="_heading=h.4mnhyw8eqg66" w:colFirst="0" w:colLast="0"/>
      <w:bookmarkEnd w:id="54"/>
      <w:r>
        <w:rPr>
          <w:rFonts w:ascii="Arial" w:eastAsia="Arial" w:hAnsi="Arial" w:cs="Arial"/>
          <w:b/>
          <w:bCs/>
          <w:color w:val="000000"/>
          <w:sz w:val="24"/>
          <w:szCs w:val="24"/>
        </w:rPr>
        <w:t>4.4.1 Prevalence and Severity of Depressive Symptoms among Young Adults in the UK</w:t>
      </w:r>
    </w:p>
    <w:p w14:paraId="0051E5EC" w14:textId="77777777" w:rsidR="00E93BD8" w:rsidRDefault="00000000">
      <w:pPr>
        <w:spacing w:before="240" w:line="360" w:lineRule="auto"/>
        <w:jc w:val="both"/>
        <w:rPr>
          <w:rFonts w:ascii="Arial" w:eastAsia="Arial" w:hAnsi="Arial" w:cs="Arial"/>
        </w:rPr>
      </w:pPr>
      <w:r>
        <w:rPr>
          <w:rFonts w:ascii="Arial" w:eastAsia="Arial" w:hAnsi="Arial" w:cs="Arial"/>
        </w:rPr>
        <w:t xml:space="preserve">In the literature under review, it is evident that depression is a chronic and common problem among young adults in the United Kingdom. The depressive symptoms were always high, which frequently started during adolescence and continued to young adulthood (Thapar et al., 2022; Morales-Munoz et al., 2023). Thapar et al. (2022) reported </w:t>
      </w:r>
      <w:r>
        <w:rPr>
          <w:rFonts w:ascii="Arial" w:eastAsia="Arial" w:hAnsi="Arial" w:cs="Arial"/>
        </w:rPr>
        <w:lastRenderedPageBreak/>
        <w:t>that depressive symptoms typically begin before the age of 25, which is also reflected in Barker et al. (2023) who reported high rates of co-morbidity among the young population with chronic or life-limiting illnesses. The results support the fact that the young adult stage is especially challenging, and it represents the transitional stress of education, work, and identity construction.</w:t>
      </w:r>
    </w:p>
    <w:p w14:paraId="60EE383E" w14:textId="77777777" w:rsidR="00E93BD8" w:rsidRDefault="00000000">
      <w:pPr>
        <w:spacing w:before="240" w:line="360" w:lineRule="auto"/>
        <w:jc w:val="both"/>
        <w:rPr>
          <w:rFonts w:ascii="Arial" w:eastAsia="Arial" w:hAnsi="Arial" w:cs="Arial"/>
        </w:rPr>
      </w:pPr>
      <w:r>
        <w:rPr>
          <w:rFonts w:ascii="Arial" w:eastAsia="Arial" w:hAnsi="Arial" w:cs="Arial"/>
        </w:rPr>
        <w:t xml:space="preserve">Even though the growing prevalence of depression was </w:t>
      </w:r>
      <w:proofErr w:type="gramStart"/>
      <w:r>
        <w:rPr>
          <w:rFonts w:ascii="Arial" w:eastAsia="Arial" w:hAnsi="Arial" w:cs="Arial"/>
        </w:rPr>
        <w:t>general consensus</w:t>
      </w:r>
      <w:proofErr w:type="gramEnd"/>
      <w:r>
        <w:rPr>
          <w:rFonts w:ascii="Arial" w:eastAsia="Arial" w:hAnsi="Arial" w:cs="Arial"/>
        </w:rPr>
        <w:t xml:space="preserve"> in most studies, certain differences arose because of differences in methods and samples. As an example, Jenkins et al. (2021) estimated that comorbid anxiety and depression are especially prevalent among university students, indicating that academic and social stressors contribute to the vulnerability of this subgroup. In comparison, population-based cohort studies like Morales-Munoz et al. (2023) discovered a more moderate prevalence in case of diagnostic interviews compared to self-report scales. This lack of agreement highlights the methodological sensitivity of prevalence estimates. Additionally, other researchers like Khouja et al. (2019) linked digital activity and screen time with increased rates of depressive symptoms although the cause-effect relationship was not established. Combined, the results indicate that although depression among young grown-ups is a well-known issue, measurement and sampling heterogeneity still prevents comparability of national data. The literature thus recommends the use of consistent longitudinal research designs </w:t>
      </w:r>
      <w:proofErr w:type="gramStart"/>
      <w:r>
        <w:rPr>
          <w:rFonts w:ascii="Arial" w:eastAsia="Arial" w:hAnsi="Arial" w:cs="Arial"/>
        </w:rPr>
        <w:t>in order to</w:t>
      </w:r>
      <w:proofErr w:type="gramEnd"/>
      <w:r>
        <w:rPr>
          <w:rFonts w:ascii="Arial" w:eastAsia="Arial" w:hAnsi="Arial" w:cs="Arial"/>
        </w:rPr>
        <w:t xml:space="preserve"> capture a better clinical and subclinical depression among the UK youth populations.</w:t>
      </w:r>
    </w:p>
    <w:p w14:paraId="2DF0947E" w14:textId="77777777" w:rsidR="00E93BD8" w:rsidRDefault="00000000">
      <w:pPr>
        <w:pStyle w:val="Heading3"/>
        <w:spacing w:line="360" w:lineRule="auto"/>
        <w:rPr>
          <w:rFonts w:ascii="Arial" w:eastAsia="Arial" w:hAnsi="Arial" w:cs="Arial"/>
          <w:b/>
          <w:bCs/>
          <w:color w:val="000000"/>
          <w:sz w:val="24"/>
          <w:szCs w:val="24"/>
        </w:rPr>
      </w:pPr>
      <w:bookmarkStart w:id="55" w:name="_heading=h.1slpha6l4o1x" w:colFirst="0" w:colLast="0"/>
      <w:bookmarkEnd w:id="55"/>
      <w:r>
        <w:rPr>
          <w:rFonts w:ascii="Arial" w:eastAsia="Arial" w:hAnsi="Arial" w:cs="Arial"/>
          <w:b/>
          <w:bCs/>
          <w:color w:val="000000"/>
          <w:sz w:val="24"/>
          <w:szCs w:val="24"/>
        </w:rPr>
        <w:t>4.4.2 Impacts of Depression on Academic, Occupational, and Social Functioning</w:t>
      </w:r>
    </w:p>
    <w:p w14:paraId="017D7234" w14:textId="77777777" w:rsidR="00E93BD8" w:rsidRDefault="00000000">
      <w:pPr>
        <w:spacing w:before="240" w:line="360" w:lineRule="auto"/>
        <w:jc w:val="both"/>
        <w:rPr>
          <w:rFonts w:ascii="Arial" w:eastAsia="Arial" w:hAnsi="Arial" w:cs="Arial"/>
        </w:rPr>
      </w:pPr>
      <w:r>
        <w:rPr>
          <w:rFonts w:ascii="Arial" w:eastAsia="Arial" w:hAnsi="Arial" w:cs="Arial"/>
        </w:rPr>
        <w:t xml:space="preserve">The evidence that has been reviewed clearly shows that depression has a great impact on various areas of functioning among young adults in the UK. Morales-Munoz et al. (2023) have shown that adolescent depressive symptoms are associated with poor academic and employment-related outcomes in young adulthood, and they established a longitudinal relationship between mental health in early life and productivity in later life. The result is consistent with Martin and Atkinson (2020), who studied the qualitative experiences of university students and found that the depressive episodes tend to result in absenteeism, lack of engagement, and worsening academic results. The resulting lack of continuation in education is not the only result of such disruptions, which impact </w:t>
      </w:r>
      <w:r>
        <w:rPr>
          <w:rFonts w:ascii="Arial" w:eastAsia="Arial" w:hAnsi="Arial" w:cs="Arial"/>
        </w:rPr>
        <w:lastRenderedPageBreak/>
        <w:t>confidence and self-esteem, furthering a cycle of underperformance and emotional shutdown.</w:t>
      </w:r>
    </w:p>
    <w:p w14:paraId="4492F2DB" w14:textId="77777777" w:rsidR="00E93BD8" w:rsidRDefault="00000000">
      <w:pPr>
        <w:spacing w:before="240" w:line="360" w:lineRule="auto"/>
        <w:jc w:val="both"/>
        <w:rPr>
          <w:rFonts w:ascii="Arial" w:eastAsia="Arial" w:hAnsi="Arial" w:cs="Arial"/>
        </w:rPr>
      </w:pPr>
      <w:r>
        <w:rPr>
          <w:rFonts w:ascii="Arial" w:eastAsia="Arial" w:hAnsi="Arial" w:cs="Arial"/>
        </w:rPr>
        <w:t xml:space="preserve">Outside of academia, </w:t>
      </w:r>
      <w:proofErr w:type="gramStart"/>
      <w:r>
        <w:rPr>
          <w:rFonts w:ascii="Arial" w:eastAsia="Arial" w:hAnsi="Arial" w:cs="Arial"/>
        </w:rPr>
        <w:t>a number of</w:t>
      </w:r>
      <w:proofErr w:type="gramEnd"/>
      <w:r>
        <w:rPr>
          <w:rFonts w:ascii="Arial" w:eastAsia="Arial" w:hAnsi="Arial" w:cs="Arial"/>
        </w:rPr>
        <w:t xml:space="preserve"> studies found that depression disrupts occupational involvement and social interactions. According to Jenkins et al. (2021), depression in young adults is characterised by a low quality of life and decreased </w:t>
      </w:r>
      <w:proofErr w:type="spellStart"/>
      <w:r>
        <w:rPr>
          <w:rFonts w:ascii="Arial" w:eastAsia="Arial" w:hAnsi="Arial" w:cs="Arial"/>
        </w:rPr>
        <w:t>socialisation</w:t>
      </w:r>
      <w:proofErr w:type="spellEnd"/>
      <w:r>
        <w:rPr>
          <w:rFonts w:ascii="Arial" w:eastAsia="Arial" w:hAnsi="Arial" w:cs="Arial"/>
        </w:rPr>
        <w:t xml:space="preserve">, whereas Lakasing and Mirza (2020) found that young adults were commonly characterised by psychosomatic symptoms that hamper work performance and social interactions. The accumulation of evidence indicates that depression does not exist in the form of emotional distress but is also revealed in the form of concrete social and economic outcomes. The extent of these effects is however seen to be mitigated by contextual factors like access to mental health resources and family support. As an example, Barker et al. (2019) discovered that the young individuals with chronic health conditions were more susceptible to isolation and reduced social integration, with the medically or socially marginalised subgroups compounding the disadvantage. </w:t>
      </w:r>
      <w:proofErr w:type="gramStart"/>
      <w:r>
        <w:rPr>
          <w:rFonts w:ascii="Arial" w:eastAsia="Arial" w:hAnsi="Arial" w:cs="Arial"/>
        </w:rPr>
        <w:t>On the whole</w:t>
      </w:r>
      <w:proofErr w:type="gramEnd"/>
      <w:r>
        <w:rPr>
          <w:rFonts w:ascii="Arial" w:eastAsia="Arial" w:hAnsi="Arial" w:cs="Arial"/>
        </w:rPr>
        <w:t>, the literature reviewed highlights that the functional implications of depression go way beyond the symptomology and define the overall patterns of education, employment, and social wellbeing in young adults in the UK.</w:t>
      </w:r>
    </w:p>
    <w:p w14:paraId="547B9DB7" w14:textId="77777777" w:rsidR="00E93BD8" w:rsidRDefault="00000000">
      <w:pPr>
        <w:pStyle w:val="Heading3"/>
        <w:spacing w:line="360" w:lineRule="auto"/>
        <w:rPr>
          <w:rFonts w:ascii="Arial" w:eastAsia="Arial" w:hAnsi="Arial" w:cs="Arial"/>
          <w:b/>
          <w:bCs/>
          <w:color w:val="000000"/>
          <w:sz w:val="24"/>
          <w:szCs w:val="24"/>
        </w:rPr>
      </w:pPr>
      <w:bookmarkStart w:id="56" w:name="_heading=h.52couobxrpx7" w:colFirst="0" w:colLast="0"/>
      <w:bookmarkEnd w:id="56"/>
      <w:r>
        <w:rPr>
          <w:rFonts w:ascii="Arial" w:eastAsia="Arial" w:hAnsi="Arial" w:cs="Arial"/>
          <w:b/>
          <w:bCs/>
          <w:color w:val="000000"/>
          <w:sz w:val="24"/>
          <w:szCs w:val="24"/>
        </w:rPr>
        <w:t>4.4.3 Coping Mechanisms and Support Systems for Young Adults with Depression</w:t>
      </w:r>
    </w:p>
    <w:p w14:paraId="255E58D6" w14:textId="77777777" w:rsidR="00E93BD8" w:rsidRDefault="00000000">
      <w:pPr>
        <w:spacing w:before="240" w:line="360" w:lineRule="auto"/>
        <w:jc w:val="both"/>
        <w:rPr>
          <w:rFonts w:ascii="Arial" w:eastAsia="Arial" w:hAnsi="Arial" w:cs="Arial"/>
        </w:rPr>
      </w:pPr>
      <w:r>
        <w:rPr>
          <w:rFonts w:ascii="Arial" w:eastAsia="Arial" w:hAnsi="Arial" w:cs="Arial"/>
        </w:rPr>
        <w:t xml:space="preserve">The studied articles indicate that coping styles in young adults with depression entail exchanges of formal services, informal networks, and personal strategies. NICE guidelines advocate stepped-care strategies, such as CBT and medication, but their availability is patchy because of long waiting lists, regional disparities, and ineffective early-identification measures, especially in the non-urban younger generation. These loopholes provide a disjuncture between policy expectations and actual service provision. Due to this, most young </w:t>
      </w:r>
      <w:proofErr w:type="gramStart"/>
      <w:r>
        <w:rPr>
          <w:rFonts w:ascii="Arial" w:eastAsia="Arial" w:hAnsi="Arial" w:cs="Arial"/>
        </w:rPr>
        <w:t>adults</w:t>
      </w:r>
      <w:proofErr w:type="gramEnd"/>
      <w:r>
        <w:rPr>
          <w:rFonts w:ascii="Arial" w:eastAsia="Arial" w:hAnsi="Arial" w:cs="Arial"/>
        </w:rPr>
        <w:t xml:space="preserve"> resort to self-help means, peer networks or online communities. The informal support is usually preferred by students due to stigma, distrust towards institutional services or lack of youth-friendly care. Sexual minority groups also encounter other problems, such as discrimination and lack of culturally competent services, and this further limits formal help-seeking. </w:t>
      </w:r>
      <w:proofErr w:type="gramStart"/>
      <w:r>
        <w:rPr>
          <w:rFonts w:ascii="Arial" w:eastAsia="Arial" w:hAnsi="Arial" w:cs="Arial"/>
        </w:rPr>
        <w:t>In spite of</w:t>
      </w:r>
      <w:proofErr w:type="gramEnd"/>
      <w:r>
        <w:rPr>
          <w:rFonts w:ascii="Arial" w:eastAsia="Arial" w:hAnsi="Arial" w:cs="Arial"/>
        </w:rPr>
        <w:t xml:space="preserve"> these obstacles, other </w:t>
      </w:r>
      <w:r>
        <w:rPr>
          <w:rFonts w:ascii="Arial" w:eastAsia="Arial" w:hAnsi="Arial" w:cs="Arial"/>
        </w:rPr>
        <w:lastRenderedPageBreak/>
        <w:t>studies indicate that there is a beneficial effect of good family involvement and ongoing professional contact on enhancing the coping outcomes especially among young individuals with chronic or persistent conditions. Altogether, the data shows that individual resilience is not the only determinant of coping, but structural and cultural obstacles also matter, and more inclusive, accessible, and youth-responsive mental health systems should be established.</w:t>
      </w:r>
    </w:p>
    <w:p w14:paraId="2F82DE0A" w14:textId="77777777" w:rsidR="00E93BD8" w:rsidRDefault="00000000">
      <w:pPr>
        <w:pStyle w:val="Heading1"/>
        <w:spacing w:line="360" w:lineRule="auto"/>
        <w:rPr>
          <w:rFonts w:ascii="Arial" w:eastAsia="Arial" w:hAnsi="Arial" w:cs="Arial"/>
          <w:b/>
          <w:bCs/>
          <w:color w:val="000000"/>
          <w:sz w:val="24"/>
          <w:szCs w:val="24"/>
        </w:rPr>
      </w:pPr>
      <w:bookmarkStart w:id="57" w:name="_heading=h.hn5uc6989sw7" w:colFirst="0" w:colLast="0"/>
      <w:bookmarkEnd w:id="57"/>
      <w:r>
        <w:rPr>
          <w:rFonts w:ascii="Arial" w:eastAsia="Arial" w:hAnsi="Arial" w:cs="Arial"/>
          <w:b/>
          <w:bCs/>
          <w:color w:val="000000"/>
          <w:sz w:val="24"/>
          <w:szCs w:val="24"/>
        </w:rPr>
        <w:t>4.5 Chapter Summary</w:t>
      </w:r>
    </w:p>
    <w:p w14:paraId="4A8CE65F" w14:textId="77777777" w:rsidR="00E93BD8" w:rsidRDefault="00000000">
      <w:pPr>
        <w:spacing w:before="240" w:line="360" w:lineRule="auto"/>
        <w:jc w:val="both"/>
        <w:rPr>
          <w:rFonts w:ascii="Arial" w:eastAsia="Arial" w:hAnsi="Arial" w:cs="Arial"/>
        </w:rPr>
      </w:pPr>
      <w:r>
        <w:rPr>
          <w:rFonts w:ascii="Arial" w:eastAsia="Arial" w:hAnsi="Arial" w:cs="Arial"/>
        </w:rPr>
        <w:t>This chapter summed up the results of the systematic review on the three themes of depression prevalence and severity, academic, occupational, and social consequences of depression, and the coping strategies and support resources of young adults. It also identified uniform trends and gaps in the evidence, which were the foundation of critical implications of research, policy, and practice in the subsequent chapter.</w:t>
      </w:r>
    </w:p>
    <w:p w14:paraId="1A6EA1F5" w14:textId="77777777" w:rsidR="00E93BD8" w:rsidRDefault="00E93BD8">
      <w:pPr>
        <w:spacing w:line="360" w:lineRule="auto"/>
        <w:jc w:val="both"/>
        <w:rPr>
          <w:rFonts w:ascii="Arial" w:eastAsia="Arial" w:hAnsi="Arial" w:cs="Arial"/>
        </w:rPr>
      </w:pPr>
    </w:p>
    <w:p w14:paraId="2147E682" w14:textId="77777777" w:rsidR="00E93BD8" w:rsidRDefault="00E93BD8">
      <w:pPr>
        <w:spacing w:line="360" w:lineRule="auto"/>
        <w:jc w:val="both"/>
        <w:rPr>
          <w:rFonts w:ascii="Arial" w:eastAsia="Arial" w:hAnsi="Arial" w:cs="Arial"/>
        </w:rPr>
      </w:pPr>
    </w:p>
    <w:p w14:paraId="5E62CD09" w14:textId="77777777" w:rsidR="00E93BD8" w:rsidRDefault="00E93BD8">
      <w:pPr>
        <w:spacing w:line="360" w:lineRule="auto"/>
        <w:jc w:val="both"/>
        <w:rPr>
          <w:rFonts w:ascii="Arial" w:eastAsia="Arial" w:hAnsi="Arial" w:cs="Arial"/>
        </w:rPr>
      </w:pPr>
    </w:p>
    <w:p w14:paraId="0F60BADF" w14:textId="77777777" w:rsidR="00E93BD8" w:rsidRDefault="00E93BD8">
      <w:pPr>
        <w:spacing w:line="360" w:lineRule="auto"/>
        <w:jc w:val="both"/>
        <w:rPr>
          <w:rFonts w:ascii="Arial" w:eastAsia="Arial" w:hAnsi="Arial" w:cs="Arial"/>
        </w:rPr>
      </w:pPr>
    </w:p>
    <w:p w14:paraId="0CEDC65F" w14:textId="77777777" w:rsidR="00E93BD8" w:rsidRDefault="00E93BD8">
      <w:pPr>
        <w:spacing w:line="360" w:lineRule="auto"/>
        <w:jc w:val="both"/>
        <w:rPr>
          <w:rFonts w:ascii="Arial" w:eastAsia="Arial" w:hAnsi="Arial" w:cs="Arial"/>
        </w:rPr>
      </w:pPr>
    </w:p>
    <w:p w14:paraId="18DFD752" w14:textId="77777777" w:rsidR="00E93BD8" w:rsidRDefault="00E93BD8">
      <w:pPr>
        <w:spacing w:line="360" w:lineRule="auto"/>
        <w:jc w:val="both"/>
        <w:rPr>
          <w:rFonts w:ascii="Arial" w:eastAsia="Arial" w:hAnsi="Arial" w:cs="Arial"/>
        </w:rPr>
        <w:sectPr w:rsidR="00E93BD8">
          <w:pgSz w:w="12240" w:h="15840"/>
          <w:pgMar w:top="1440" w:right="1440" w:bottom="1440" w:left="1440" w:header="708" w:footer="708" w:gutter="0"/>
          <w:cols w:space="720"/>
        </w:sectPr>
      </w:pPr>
    </w:p>
    <w:p w14:paraId="5E543017" w14:textId="77777777" w:rsidR="00E93BD8" w:rsidRDefault="00000000">
      <w:pPr>
        <w:pStyle w:val="Heading1"/>
        <w:spacing w:line="360" w:lineRule="auto"/>
        <w:jc w:val="center"/>
        <w:rPr>
          <w:rFonts w:ascii="Arial" w:eastAsia="Arial" w:hAnsi="Arial" w:cs="Arial"/>
          <w:b/>
          <w:bCs/>
          <w:color w:val="000000"/>
          <w:sz w:val="24"/>
          <w:szCs w:val="24"/>
        </w:rPr>
      </w:pPr>
      <w:bookmarkStart w:id="58" w:name="_heading=h.mzpahd1hs7x4" w:colFirst="0" w:colLast="0"/>
      <w:bookmarkEnd w:id="58"/>
      <w:r>
        <w:rPr>
          <w:rFonts w:ascii="Arial" w:eastAsia="Arial" w:hAnsi="Arial" w:cs="Arial"/>
          <w:b/>
          <w:bCs/>
          <w:color w:val="000000"/>
          <w:sz w:val="24"/>
          <w:szCs w:val="24"/>
        </w:rPr>
        <w:lastRenderedPageBreak/>
        <w:t>CHAPTER FIVE- RECOMMENDATION AND CONCLUSION</w:t>
      </w:r>
    </w:p>
    <w:p w14:paraId="5EC5D13F" w14:textId="77777777" w:rsidR="00E93BD8" w:rsidRDefault="00000000">
      <w:pPr>
        <w:pStyle w:val="Heading1"/>
        <w:spacing w:line="360" w:lineRule="auto"/>
        <w:rPr>
          <w:rFonts w:ascii="Arial" w:eastAsia="Arial" w:hAnsi="Arial" w:cs="Arial"/>
          <w:b/>
          <w:bCs/>
          <w:color w:val="000000"/>
          <w:sz w:val="24"/>
          <w:szCs w:val="24"/>
        </w:rPr>
      </w:pPr>
      <w:bookmarkStart w:id="59" w:name="_heading=h.wi7eryvxzif8" w:colFirst="0" w:colLast="0"/>
      <w:bookmarkEnd w:id="59"/>
      <w:r>
        <w:rPr>
          <w:rFonts w:ascii="Arial" w:eastAsia="Arial" w:hAnsi="Arial" w:cs="Arial"/>
          <w:b/>
          <w:bCs/>
          <w:color w:val="000000"/>
          <w:sz w:val="24"/>
          <w:szCs w:val="24"/>
        </w:rPr>
        <w:t>5.1 Conclusion</w:t>
      </w:r>
    </w:p>
    <w:p w14:paraId="65F9577E" w14:textId="77777777" w:rsidR="00E93BD8" w:rsidRDefault="00000000">
      <w:pPr>
        <w:spacing w:before="240" w:line="360" w:lineRule="auto"/>
        <w:jc w:val="both"/>
        <w:rPr>
          <w:rFonts w:ascii="Arial" w:eastAsia="Arial" w:hAnsi="Arial" w:cs="Arial"/>
        </w:rPr>
      </w:pPr>
      <w:r>
        <w:rPr>
          <w:rFonts w:ascii="Arial" w:eastAsia="Arial" w:hAnsi="Arial" w:cs="Arial"/>
        </w:rPr>
        <w:t>The research paper was a synthesis of thirteen evidence-based studies to investigate the prevalence, the effect and coping of depression among young adults in the UK. The review demonstrates that depression is a common and complicated issue of public health, and it is affected by biological, psychological, and social-environmental factors. Students, sexual minorities, and young adults with life-limiting illnesses have a greater symptom severity and length of stay. There is also a tendency of underreporting in clinical settings, which means that numerous cases are not identified.</w:t>
      </w:r>
    </w:p>
    <w:p w14:paraId="299E7569" w14:textId="77777777" w:rsidR="00E93BD8" w:rsidRDefault="00000000">
      <w:pPr>
        <w:spacing w:before="240" w:line="360" w:lineRule="auto"/>
        <w:jc w:val="both"/>
        <w:rPr>
          <w:rFonts w:ascii="Arial" w:eastAsia="Arial" w:hAnsi="Arial" w:cs="Arial"/>
        </w:rPr>
      </w:pPr>
      <w:r>
        <w:rPr>
          <w:rFonts w:ascii="Arial" w:eastAsia="Arial" w:hAnsi="Arial" w:cs="Arial"/>
        </w:rPr>
        <w:t>The results also show that depression has a great impact on academic performance, career stability, and social relations, which results in disengagement, job loss, and long-term disadvantage. These issues are increased by stigma, inequality in accessing therapy, and lack of awareness. Even though both formal and informal networks offer support, the effectiveness of both is differing; clinical interventions are limited by the long waiting times, inequalities across the regions, and a lack of youth-centred care, but peer and family support can close the important gaps.</w:t>
      </w:r>
    </w:p>
    <w:p w14:paraId="3F0B018E" w14:textId="77777777" w:rsidR="00E93BD8" w:rsidRDefault="00000000">
      <w:pPr>
        <w:spacing w:before="240" w:line="360" w:lineRule="auto"/>
        <w:jc w:val="both"/>
        <w:rPr>
          <w:rFonts w:ascii="Arial" w:eastAsia="Arial" w:hAnsi="Arial" w:cs="Arial"/>
        </w:rPr>
      </w:pPr>
      <w:proofErr w:type="gramStart"/>
      <w:r>
        <w:rPr>
          <w:rFonts w:ascii="Arial" w:eastAsia="Arial" w:hAnsi="Arial" w:cs="Arial"/>
        </w:rPr>
        <w:t>On the whole</w:t>
      </w:r>
      <w:proofErr w:type="gramEnd"/>
      <w:r>
        <w:rPr>
          <w:rFonts w:ascii="Arial" w:eastAsia="Arial" w:hAnsi="Arial" w:cs="Arial"/>
        </w:rPr>
        <w:t xml:space="preserve">, the review has identified that integrated, youth-driven mental health approaches involving healthcare, education, and community resources are required. The cross-sectoral approach that is holistic. Focusing on early identification, providing services in a fair manner, and </w:t>
      </w:r>
      <w:proofErr w:type="spellStart"/>
      <w:r>
        <w:rPr>
          <w:rFonts w:ascii="Arial" w:eastAsia="Arial" w:hAnsi="Arial" w:cs="Arial"/>
        </w:rPr>
        <w:t>customising</w:t>
      </w:r>
      <w:proofErr w:type="spellEnd"/>
      <w:r>
        <w:rPr>
          <w:rFonts w:ascii="Arial" w:eastAsia="Arial" w:hAnsi="Arial" w:cs="Arial"/>
        </w:rPr>
        <w:t xml:space="preserve"> interventions is critical to alleviating the load of depression and ensuring the young adults have positive mental health outcomes across the UK.</w:t>
      </w:r>
    </w:p>
    <w:p w14:paraId="24477835" w14:textId="77777777" w:rsidR="00E93BD8" w:rsidRDefault="00000000">
      <w:pPr>
        <w:pStyle w:val="Heading1"/>
        <w:spacing w:line="360" w:lineRule="auto"/>
        <w:rPr>
          <w:rFonts w:ascii="Arial" w:eastAsia="Arial" w:hAnsi="Arial" w:cs="Arial"/>
          <w:b/>
          <w:bCs/>
          <w:color w:val="000000"/>
          <w:sz w:val="24"/>
          <w:szCs w:val="24"/>
        </w:rPr>
      </w:pPr>
      <w:bookmarkStart w:id="60" w:name="_heading=h.u7dvvajnuvr6" w:colFirst="0" w:colLast="0"/>
      <w:bookmarkEnd w:id="60"/>
      <w:r>
        <w:rPr>
          <w:rFonts w:ascii="Arial" w:eastAsia="Arial" w:hAnsi="Arial" w:cs="Arial"/>
          <w:b/>
          <w:bCs/>
          <w:color w:val="000000"/>
          <w:sz w:val="24"/>
          <w:szCs w:val="24"/>
        </w:rPr>
        <w:t>5.2 Recommendations</w:t>
      </w:r>
    </w:p>
    <w:p w14:paraId="64DB5800" w14:textId="77777777" w:rsidR="00E93BD8" w:rsidRDefault="00000000">
      <w:pPr>
        <w:spacing w:before="240" w:line="360" w:lineRule="auto"/>
        <w:jc w:val="both"/>
        <w:rPr>
          <w:rFonts w:ascii="Arial" w:eastAsia="Arial" w:hAnsi="Arial" w:cs="Arial"/>
        </w:rPr>
      </w:pPr>
      <w:r>
        <w:rPr>
          <w:rFonts w:ascii="Arial" w:eastAsia="Arial" w:hAnsi="Arial" w:cs="Arial"/>
        </w:rPr>
        <w:t xml:space="preserve">This paper delved into the prevalence, effects and coping strategies of depression, among the young adults in the United Kingdom. The results showed that depression is very high and does have significant academic, occupational and social impacts. </w:t>
      </w:r>
      <w:proofErr w:type="spellStart"/>
      <w:r>
        <w:rPr>
          <w:rFonts w:ascii="Arial" w:eastAsia="Arial" w:hAnsi="Arial" w:cs="Arial"/>
        </w:rPr>
        <w:t>Stigmatisation</w:t>
      </w:r>
      <w:proofErr w:type="spellEnd"/>
      <w:r>
        <w:rPr>
          <w:rFonts w:ascii="Arial" w:eastAsia="Arial" w:hAnsi="Arial" w:cs="Arial"/>
        </w:rPr>
        <w:t xml:space="preserve">, disjointed care, and inaccessibility are also barriers to care, even with </w:t>
      </w:r>
      <w:r>
        <w:rPr>
          <w:rFonts w:ascii="Arial" w:eastAsia="Arial" w:hAnsi="Arial" w:cs="Arial"/>
        </w:rPr>
        <w:lastRenderedPageBreak/>
        <w:t xml:space="preserve">formal and informal support structures. </w:t>
      </w:r>
      <w:proofErr w:type="gramStart"/>
      <w:r>
        <w:rPr>
          <w:rFonts w:ascii="Arial" w:eastAsia="Arial" w:hAnsi="Arial" w:cs="Arial"/>
        </w:rPr>
        <w:t>On the basis of</w:t>
      </w:r>
      <w:proofErr w:type="gramEnd"/>
      <w:r>
        <w:rPr>
          <w:rFonts w:ascii="Arial" w:eastAsia="Arial" w:hAnsi="Arial" w:cs="Arial"/>
        </w:rPr>
        <w:t xml:space="preserve"> these findings, the following recommendations are offered to inform healthcare practice, the policy of education, community interventions, and national strategies.</w:t>
      </w:r>
    </w:p>
    <w:p w14:paraId="4DCBF488" w14:textId="77777777" w:rsidR="00E93BD8" w:rsidRDefault="00000000">
      <w:pPr>
        <w:pStyle w:val="Heading3"/>
        <w:spacing w:line="360" w:lineRule="auto"/>
        <w:rPr>
          <w:rFonts w:ascii="Arial" w:eastAsia="Arial" w:hAnsi="Arial" w:cs="Arial"/>
          <w:b/>
          <w:bCs/>
          <w:color w:val="000000"/>
          <w:sz w:val="24"/>
          <w:szCs w:val="24"/>
        </w:rPr>
      </w:pPr>
      <w:bookmarkStart w:id="61" w:name="_heading=h.io0fmotn0rj9" w:colFirst="0" w:colLast="0"/>
      <w:bookmarkEnd w:id="61"/>
      <w:r>
        <w:rPr>
          <w:rFonts w:ascii="Arial" w:eastAsia="Arial" w:hAnsi="Arial" w:cs="Arial"/>
          <w:b/>
          <w:bCs/>
          <w:color w:val="000000"/>
          <w:sz w:val="24"/>
          <w:szCs w:val="24"/>
        </w:rPr>
        <w:t>5.2.1 Healthcare System Improvements</w:t>
      </w:r>
    </w:p>
    <w:p w14:paraId="2470DAE7" w14:textId="77777777" w:rsidR="00E93BD8" w:rsidRDefault="00000000">
      <w:pPr>
        <w:spacing w:before="240" w:line="360" w:lineRule="auto"/>
        <w:jc w:val="both"/>
        <w:rPr>
          <w:rFonts w:ascii="Arial" w:eastAsia="Arial" w:hAnsi="Arial" w:cs="Arial"/>
        </w:rPr>
      </w:pPr>
      <w:r>
        <w:rPr>
          <w:rFonts w:ascii="Arial" w:eastAsia="Arial" w:hAnsi="Arial" w:cs="Arial"/>
        </w:rPr>
        <w:t>Since young adults underreport as well as delay the diagnosis of depression, the emphasis should be on early diagnosis by incorporating digital screening and predictive tests into the primary care. It is also important to expand youth-focused services in the NHS and university counselling networks as a solution to the excessive waiting times and responsiveness of the services. The continuity and holistic care should be encouraged in a collaborative model of care, where the involvement of general practitioners, psychologists, and community-based professionals is adopted. Moreover, continuous professional improvement in youth mental health must become a compulsory requirement of healthcare professionals with an emphasis on empathy, stigma reduction, and cultural competence.</w:t>
      </w:r>
    </w:p>
    <w:p w14:paraId="188A8D10" w14:textId="77777777" w:rsidR="00E93BD8" w:rsidRDefault="00000000">
      <w:pPr>
        <w:pStyle w:val="Heading3"/>
        <w:spacing w:line="360" w:lineRule="auto"/>
        <w:rPr>
          <w:rFonts w:ascii="Arial" w:eastAsia="Arial" w:hAnsi="Arial" w:cs="Arial"/>
          <w:b/>
          <w:bCs/>
          <w:color w:val="000000"/>
          <w:sz w:val="24"/>
          <w:szCs w:val="24"/>
        </w:rPr>
      </w:pPr>
      <w:bookmarkStart w:id="62" w:name="_heading=h.aat8h1w9ofk2" w:colFirst="0" w:colLast="0"/>
      <w:bookmarkEnd w:id="62"/>
      <w:r>
        <w:rPr>
          <w:rFonts w:ascii="Arial" w:eastAsia="Arial" w:hAnsi="Arial" w:cs="Arial"/>
          <w:b/>
          <w:bCs/>
          <w:color w:val="000000"/>
          <w:sz w:val="24"/>
          <w:szCs w:val="24"/>
        </w:rPr>
        <w:t>5.2.2 Community and Social Support</w:t>
      </w:r>
    </w:p>
    <w:p w14:paraId="16525AAF" w14:textId="77777777" w:rsidR="00E93BD8" w:rsidRDefault="00000000">
      <w:pPr>
        <w:spacing w:before="240" w:line="360" w:lineRule="auto"/>
        <w:jc w:val="both"/>
        <w:rPr>
          <w:rFonts w:ascii="Arial" w:eastAsia="Arial" w:hAnsi="Arial" w:cs="Arial"/>
        </w:rPr>
      </w:pPr>
      <w:r>
        <w:rPr>
          <w:rFonts w:ascii="Arial" w:eastAsia="Arial" w:hAnsi="Arial" w:cs="Arial"/>
        </w:rPr>
        <w:t xml:space="preserve">Peers, families, and online communities are informal networks that are crucial to emotional and help-seeking behavior among young adults. Mental health discussions can be </w:t>
      </w:r>
      <w:proofErr w:type="gramStart"/>
      <w:r>
        <w:rPr>
          <w:rFonts w:ascii="Arial" w:eastAsia="Arial" w:hAnsi="Arial" w:cs="Arial"/>
        </w:rPr>
        <w:t>normalised</w:t>
      </w:r>
      <w:proofErr w:type="gramEnd"/>
      <w:r>
        <w:rPr>
          <w:rFonts w:ascii="Arial" w:eastAsia="Arial" w:hAnsi="Arial" w:cs="Arial"/>
        </w:rPr>
        <w:t xml:space="preserve"> and stigma can be decreased by strengthening these systems with organised peer-support programmes and youth-led advocacy programmes. Mental health literacy campaigns need to be initiated nationwide as well to increase community awareness, so that families and caregivers will be able to identify depressive symptoms and respond in a compassionate way. The partnership with youth centres, religious organisations and non-governmental organisations can also increase non-clinical spaces of safe discussions and social bonding.</w:t>
      </w:r>
    </w:p>
    <w:p w14:paraId="706DA411" w14:textId="77777777" w:rsidR="00E93BD8" w:rsidRDefault="00000000">
      <w:pPr>
        <w:pStyle w:val="Heading3"/>
        <w:spacing w:line="360" w:lineRule="auto"/>
        <w:rPr>
          <w:rFonts w:ascii="Arial" w:eastAsia="Arial" w:hAnsi="Arial" w:cs="Arial"/>
          <w:b/>
          <w:bCs/>
          <w:color w:val="000000"/>
          <w:sz w:val="24"/>
          <w:szCs w:val="24"/>
        </w:rPr>
      </w:pPr>
      <w:bookmarkStart w:id="63" w:name="_heading=h.tpg13u16sz2o" w:colFirst="0" w:colLast="0"/>
      <w:bookmarkEnd w:id="63"/>
      <w:r>
        <w:rPr>
          <w:rFonts w:ascii="Arial" w:eastAsia="Arial" w:hAnsi="Arial" w:cs="Arial"/>
          <w:b/>
          <w:bCs/>
          <w:color w:val="000000"/>
          <w:sz w:val="24"/>
          <w:szCs w:val="24"/>
        </w:rPr>
        <w:t>5.2.3 Educational Institutions</w:t>
      </w:r>
    </w:p>
    <w:p w14:paraId="393C1EBB" w14:textId="77777777" w:rsidR="00E93BD8" w:rsidRDefault="00000000">
      <w:pPr>
        <w:spacing w:before="240" w:line="360" w:lineRule="auto"/>
        <w:jc w:val="both"/>
        <w:rPr>
          <w:rFonts w:ascii="Arial" w:eastAsia="Arial" w:hAnsi="Arial" w:cs="Arial"/>
        </w:rPr>
      </w:pPr>
      <w:r>
        <w:rPr>
          <w:rFonts w:ascii="Arial" w:eastAsia="Arial" w:hAnsi="Arial" w:cs="Arial"/>
        </w:rPr>
        <w:t xml:space="preserve">The researchers found out that depression has negative impacts on academic performance and academic engagement. Mental health support should thus be incorporated in academic systems through the training of academic advisors on mental </w:t>
      </w:r>
      <w:r>
        <w:rPr>
          <w:rFonts w:ascii="Arial" w:eastAsia="Arial" w:hAnsi="Arial" w:cs="Arial"/>
        </w:rPr>
        <w:lastRenderedPageBreak/>
        <w:t>health first aid and provision of counselling services in departments. There should be preventive education, such as wellbeing and resilience training during induction, to provide students with coping and selfcare skills, and it should create a culture of early intervention and emotional resilience.</w:t>
      </w:r>
    </w:p>
    <w:p w14:paraId="5273BDD4" w14:textId="77777777" w:rsidR="00E93BD8" w:rsidRDefault="00000000">
      <w:pPr>
        <w:pStyle w:val="Heading3"/>
        <w:spacing w:line="360" w:lineRule="auto"/>
        <w:rPr>
          <w:rFonts w:ascii="Arial" w:eastAsia="Arial" w:hAnsi="Arial" w:cs="Arial"/>
          <w:b/>
          <w:bCs/>
          <w:color w:val="000000"/>
          <w:sz w:val="24"/>
          <w:szCs w:val="24"/>
        </w:rPr>
      </w:pPr>
      <w:bookmarkStart w:id="64" w:name="_heading=h.8t2tasrxjw1i" w:colFirst="0" w:colLast="0"/>
      <w:bookmarkEnd w:id="64"/>
      <w:r>
        <w:rPr>
          <w:rFonts w:ascii="Arial" w:eastAsia="Arial" w:hAnsi="Arial" w:cs="Arial"/>
          <w:b/>
          <w:bCs/>
          <w:color w:val="000000"/>
          <w:sz w:val="24"/>
          <w:szCs w:val="24"/>
        </w:rPr>
        <w:t>5.2.4 Policy and Innovation</w:t>
      </w:r>
    </w:p>
    <w:p w14:paraId="3D465C50" w14:textId="77777777" w:rsidR="00E93BD8" w:rsidRDefault="00000000">
      <w:pPr>
        <w:spacing w:before="240" w:line="360" w:lineRule="auto"/>
        <w:jc w:val="both"/>
        <w:rPr>
          <w:rFonts w:ascii="Arial" w:eastAsia="Arial" w:hAnsi="Arial" w:cs="Arial"/>
        </w:rPr>
      </w:pPr>
      <w:r>
        <w:rPr>
          <w:rFonts w:ascii="Arial" w:eastAsia="Arial" w:hAnsi="Arial" w:cs="Arial"/>
        </w:rPr>
        <w:t>Lastly, policymakers need to tackle regional variations in access to services by providing equal funding and access to youth mental health resources. Digital wellbeing and mental health education need to be made part of the national curricula to facilitate awareness since adolescence. Funding of evidence-based digital interventions, including online therapies and self-help applications, should be encouraged, and participatory policy development, which engages young adults in the development of future strategies to make them relevant and inclusive, should be promoted.</w:t>
      </w:r>
    </w:p>
    <w:p w14:paraId="4F502AED" w14:textId="77777777" w:rsidR="00E93BD8" w:rsidRDefault="00000000">
      <w:pPr>
        <w:pStyle w:val="Heading1"/>
        <w:spacing w:line="360" w:lineRule="auto"/>
        <w:rPr>
          <w:rFonts w:ascii="Arial" w:eastAsia="Arial" w:hAnsi="Arial" w:cs="Arial"/>
          <w:b/>
          <w:bCs/>
          <w:color w:val="000000"/>
          <w:sz w:val="24"/>
          <w:szCs w:val="24"/>
        </w:rPr>
      </w:pPr>
      <w:bookmarkStart w:id="65" w:name="_heading=h.68hbm92r0f4" w:colFirst="0" w:colLast="0"/>
      <w:bookmarkEnd w:id="65"/>
      <w:r>
        <w:rPr>
          <w:rFonts w:ascii="Arial" w:eastAsia="Arial" w:hAnsi="Arial" w:cs="Arial"/>
          <w:b/>
          <w:bCs/>
          <w:color w:val="000000"/>
          <w:sz w:val="24"/>
          <w:szCs w:val="24"/>
        </w:rPr>
        <w:t>5.3 Limitations of the Study</w:t>
      </w:r>
    </w:p>
    <w:p w14:paraId="518B92F9" w14:textId="77777777" w:rsidR="00E93BD8" w:rsidRDefault="00000000">
      <w:pPr>
        <w:spacing w:before="240" w:line="360" w:lineRule="auto"/>
        <w:jc w:val="both"/>
        <w:rPr>
          <w:rFonts w:ascii="Arial" w:eastAsia="Arial" w:hAnsi="Arial" w:cs="Arial"/>
        </w:rPr>
      </w:pPr>
      <w:r>
        <w:rPr>
          <w:rFonts w:ascii="Arial" w:eastAsia="Arial" w:hAnsi="Arial" w:cs="Arial"/>
        </w:rPr>
        <w:t xml:space="preserve">This systematic review article is limited in </w:t>
      </w:r>
      <w:proofErr w:type="gramStart"/>
      <w:r>
        <w:rPr>
          <w:rFonts w:ascii="Arial" w:eastAsia="Arial" w:hAnsi="Arial" w:cs="Arial"/>
        </w:rPr>
        <w:t>a number of</w:t>
      </w:r>
      <w:proofErr w:type="gramEnd"/>
      <w:r>
        <w:rPr>
          <w:rFonts w:ascii="Arial" w:eastAsia="Arial" w:hAnsi="Arial" w:cs="Arial"/>
        </w:rPr>
        <w:t xml:space="preserve"> ways because it relies on a systematic review of 13 peer-reviewed articles. The limited number of the included studies and the use of secondary data limited the level of analysis, whereas differences in the research designs and measurement tools made the comparison less meaningful. Publication bias may have been introduced by most of the studies which were limited to England, did not represent the </w:t>
      </w:r>
      <w:proofErr w:type="gramStart"/>
      <w:r>
        <w:rPr>
          <w:rFonts w:ascii="Arial" w:eastAsia="Arial" w:hAnsi="Arial" w:cs="Arial"/>
        </w:rPr>
        <w:t>UK as a whole, and</w:t>
      </w:r>
      <w:proofErr w:type="gramEnd"/>
      <w:r>
        <w:rPr>
          <w:rFonts w:ascii="Arial" w:eastAsia="Arial" w:hAnsi="Arial" w:cs="Arial"/>
        </w:rPr>
        <w:t xml:space="preserve"> omission of grey literature.</w:t>
      </w:r>
    </w:p>
    <w:p w14:paraId="7292423B" w14:textId="77777777" w:rsidR="00E93BD8" w:rsidRDefault="00000000">
      <w:pPr>
        <w:pStyle w:val="Heading1"/>
        <w:spacing w:line="360" w:lineRule="auto"/>
        <w:rPr>
          <w:rFonts w:ascii="Arial" w:eastAsia="Arial" w:hAnsi="Arial" w:cs="Arial"/>
          <w:b/>
          <w:bCs/>
          <w:color w:val="000000"/>
          <w:sz w:val="24"/>
          <w:szCs w:val="24"/>
        </w:rPr>
      </w:pPr>
      <w:bookmarkStart w:id="66" w:name="_heading=h.np4hsu897xxv" w:colFirst="0" w:colLast="0"/>
      <w:bookmarkEnd w:id="66"/>
      <w:r>
        <w:rPr>
          <w:rFonts w:ascii="Arial" w:eastAsia="Arial" w:hAnsi="Arial" w:cs="Arial"/>
          <w:b/>
          <w:bCs/>
          <w:color w:val="000000"/>
          <w:sz w:val="24"/>
          <w:szCs w:val="24"/>
        </w:rPr>
        <w:t>5.4 Suggestions for Future Studies</w:t>
      </w:r>
    </w:p>
    <w:p w14:paraId="7003C139" w14:textId="77777777" w:rsidR="00E93BD8" w:rsidRDefault="00000000">
      <w:pPr>
        <w:spacing w:before="240" w:line="360" w:lineRule="auto"/>
        <w:jc w:val="both"/>
        <w:rPr>
          <w:rFonts w:ascii="Arial" w:eastAsia="Arial" w:hAnsi="Arial" w:cs="Arial"/>
        </w:rPr>
      </w:pPr>
      <w:r>
        <w:rPr>
          <w:rFonts w:ascii="Arial" w:eastAsia="Arial" w:hAnsi="Arial" w:cs="Arial"/>
        </w:rPr>
        <w:t xml:space="preserve">Longitudinal or mixed-method primary studies should be part of the future research </w:t>
      </w:r>
      <w:proofErr w:type="gramStart"/>
      <w:r>
        <w:rPr>
          <w:rFonts w:ascii="Arial" w:eastAsia="Arial" w:hAnsi="Arial" w:cs="Arial"/>
        </w:rPr>
        <w:t>in order to</w:t>
      </w:r>
      <w:proofErr w:type="gramEnd"/>
      <w:r>
        <w:rPr>
          <w:rFonts w:ascii="Arial" w:eastAsia="Arial" w:hAnsi="Arial" w:cs="Arial"/>
        </w:rPr>
        <w:t xml:space="preserve"> reflect the lived experiences and the long-term outcomes of young adults. Intersectional studies of gender, ethnicity, socioeconomic status, sexual orientation and digital behaviour are necessary. The underrepresented UK regions and access to services should also be the subject of studies. It is proposed to conduct collaborative research on youth organisations and practitioners and check digital tools, peer-support </w:t>
      </w:r>
      <w:r>
        <w:rPr>
          <w:rFonts w:ascii="Arial" w:eastAsia="Arial" w:hAnsi="Arial" w:cs="Arial"/>
        </w:rPr>
        <w:lastRenderedPageBreak/>
        <w:t>models, and community-based interventions to base evidence-based, youth-focused, and mental health strategies.</w:t>
      </w:r>
    </w:p>
    <w:p w14:paraId="5B18A835" w14:textId="77777777" w:rsidR="00E93BD8" w:rsidRDefault="00E93BD8">
      <w:pPr>
        <w:spacing w:before="240" w:line="360" w:lineRule="auto"/>
        <w:jc w:val="both"/>
        <w:rPr>
          <w:rFonts w:ascii="Arial" w:eastAsia="Arial" w:hAnsi="Arial" w:cs="Arial"/>
        </w:rPr>
      </w:pPr>
    </w:p>
    <w:p w14:paraId="5BF9E6DF" w14:textId="77777777" w:rsidR="00E93BD8" w:rsidRDefault="00E93BD8">
      <w:pPr>
        <w:spacing w:before="240" w:line="360" w:lineRule="auto"/>
        <w:jc w:val="both"/>
        <w:rPr>
          <w:rFonts w:ascii="Arial" w:eastAsia="Arial" w:hAnsi="Arial" w:cs="Arial"/>
        </w:rPr>
        <w:sectPr w:rsidR="00E93BD8">
          <w:pgSz w:w="12240" w:h="15840"/>
          <w:pgMar w:top="1440" w:right="1440" w:bottom="1440" w:left="1440" w:header="708" w:footer="708" w:gutter="0"/>
          <w:cols w:space="720"/>
        </w:sectPr>
      </w:pPr>
    </w:p>
    <w:p w14:paraId="1D1AEF40" w14:textId="77777777" w:rsidR="00E93BD8" w:rsidRDefault="00000000">
      <w:pPr>
        <w:pStyle w:val="Heading1"/>
        <w:spacing w:line="360" w:lineRule="auto"/>
        <w:jc w:val="center"/>
        <w:rPr>
          <w:rFonts w:ascii="Arial" w:eastAsia="Arial" w:hAnsi="Arial" w:cs="Arial"/>
          <w:b/>
          <w:bCs/>
          <w:color w:val="000000"/>
          <w:sz w:val="24"/>
          <w:szCs w:val="24"/>
        </w:rPr>
      </w:pPr>
      <w:bookmarkStart w:id="67" w:name="_heading=h.1vwr0hf4l5c6" w:colFirst="0" w:colLast="0"/>
      <w:bookmarkEnd w:id="67"/>
      <w:r>
        <w:rPr>
          <w:rFonts w:ascii="Arial" w:eastAsia="Arial" w:hAnsi="Arial" w:cs="Arial"/>
          <w:b/>
          <w:bCs/>
          <w:color w:val="000000"/>
          <w:sz w:val="24"/>
          <w:szCs w:val="24"/>
        </w:rPr>
        <w:lastRenderedPageBreak/>
        <w:t>References</w:t>
      </w:r>
    </w:p>
    <w:p w14:paraId="2D5935DB" w14:textId="77777777" w:rsidR="00E93BD8" w:rsidRDefault="00000000">
      <w:pPr>
        <w:spacing w:line="360" w:lineRule="auto"/>
        <w:jc w:val="both"/>
        <w:rPr>
          <w:rFonts w:ascii="Arial" w:eastAsia="Arial" w:hAnsi="Arial" w:cs="Arial"/>
        </w:rPr>
      </w:pPr>
      <w:r>
        <w:rPr>
          <w:rFonts w:ascii="Arial" w:eastAsia="Arial" w:hAnsi="Arial" w:cs="Arial"/>
        </w:rPr>
        <w:t xml:space="preserve">Adams, S. H., Schaub, J. P., Nagata, J. M., Park, M.J., Brindis, C. D. and Irwin, C. E. (2022) Young adult anxiety or depressive symptoms and mental health service utilization during the COVID-19 pandemic. </w:t>
      </w:r>
      <w:r>
        <w:rPr>
          <w:rFonts w:ascii="Arial" w:eastAsia="Arial" w:hAnsi="Arial" w:cs="Arial"/>
          <w:i/>
          <w:iCs/>
        </w:rPr>
        <w:t xml:space="preserve">Journal of Adolescent Health, </w:t>
      </w:r>
      <w:r>
        <w:rPr>
          <w:rFonts w:ascii="Arial" w:eastAsia="Arial" w:hAnsi="Arial" w:cs="Arial"/>
        </w:rPr>
        <w:t xml:space="preserve">70(6), 989-988. </w:t>
      </w:r>
      <w:hyperlink r:id="rId14">
        <w:r w:rsidR="00E93BD8">
          <w:rPr>
            <w:rFonts w:ascii="Arial" w:eastAsia="Arial" w:hAnsi="Arial" w:cs="Arial"/>
            <w:color w:val="0563C1"/>
            <w:u w:val="single"/>
          </w:rPr>
          <w:t>https://doi.org/10.1016/j.jadohealth.2022.02.023</w:t>
        </w:r>
      </w:hyperlink>
      <w:r>
        <w:rPr>
          <w:rFonts w:ascii="Arial" w:eastAsia="Arial" w:hAnsi="Arial" w:cs="Arial"/>
        </w:rPr>
        <w:t xml:space="preserve"> </w:t>
      </w:r>
    </w:p>
    <w:p w14:paraId="5273D099" w14:textId="77777777" w:rsidR="00E93BD8" w:rsidRDefault="00000000">
      <w:pPr>
        <w:spacing w:line="360" w:lineRule="auto"/>
        <w:jc w:val="both"/>
        <w:rPr>
          <w:rFonts w:ascii="Arial" w:eastAsia="Arial" w:hAnsi="Arial" w:cs="Arial"/>
        </w:rPr>
      </w:pPr>
      <w:r>
        <w:rPr>
          <w:rFonts w:ascii="Arial" w:eastAsia="Arial" w:hAnsi="Arial" w:cs="Arial"/>
        </w:rPr>
        <w:t xml:space="preserve">Al Balawi, M. M., Faraj, F., Al Anazi, B. D. and Al Balawi, D. M. (2019) Prevalence of depression and its associated risk factors among young adult patients attending the primary health centers in Tabuk, Saudi Arabia. </w:t>
      </w:r>
      <w:r>
        <w:rPr>
          <w:rFonts w:ascii="Arial" w:eastAsia="Arial" w:hAnsi="Arial" w:cs="Arial"/>
          <w:i/>
          <w:iCs/>
        </w:rPr>
        <w:t xml:space="preserve">Open Access Macedonian Journal of Medical Sciences, </w:t>
      </w:r>
      <w:r>
        <w:rPr>
          <w:rFonts w:ascii="Arial" w:eastAsia="Arial" w:hAnsi="Arial" w:cs="Arial"/>
        </w:rPr>
        <w:t xml:space="preserve">7(17), 2908-2916. </w:t>
      </w:r>
      <w:hyperlink r:id="rId15">
        <w:r w:rsidR="00E93BD8">
          <w:rPr>
            <w:rFonts w:ascii="Arial" w:eastAsia="Arial" w:hAnsi="Arial" w:cs="Arial"/>
            <w:color w:val="0563C1"/>
            <w:u w:val="single"/>
          </w:rPr>
          <w:t>https://doi.org/10.3889/oamjms.2019.789</w:t>
        </w:r>
      </w:hyperlink>
      <w:r>
        <w:rPr>
          <w:rFonts w:ascii="Arial" w:eastAsia="Arial" w:hAnsi="Arial" w:cs="Arial"/>
        </w:rPr>
        <w:t xml:space="preserve"> </w:t>
      </w:r>
    </w:p>
    <w:p w14:paraId="401666B5" w14:textId="77777777" w:rsidR="00E93BD8" w:rsidRDefault="00000000">
      <w:pPr>
        <w:spacing w:line="360" w:lineRule="auto"/>
        <w:jc w:val="both"/>
        <w:rPr>
          <w:rFonts w:ascii="Arial" w:eastAsia="Arial" w:hAnsi="Arial" w:cs="Arial"/>
        </w:rPr>
      </w:pPr>
      <w:r>
        <w:rPr>
          <w:rFonts w:ascii="Arial" w:eastAsia="Arial" w:hAnsi="Arial" w:cs="Arial"/>
        </w:rPr>
        <w:t xml:space="preserve">Barker, M. M., Beresford, B. and Fraser, L. K. (2023) Incidence of anxiety and depression in children and young people with life-limiting conditions. </w:t>
      </w:r>
      <w:r>
        <w:rPr>
          <w:rFonts w:ascii="Arial" w:eastAsia="Arial" w:hAnsi="Arial" w:cs="Arial"/>
          <w:i/>
          <w:iCs/>
        </w:rPr>
        <w:t>Pediatric Research,</w:t>
      </w:r>
      <w:r>
        <w:rPr>
          <w:rFonts w:ascii="Arial" w:eastAsia="Arial" w:hAnsi="Arial" w:cs="Arial"/>
        </w:rPr>
        <w:t xml:space="preserve"> 93, 2081–2090. </w:t>
      </w:r>
      <w:hyperlink r:id="rId16">
        <w:r w:rsidR="00E93BD8">
          <w:rPr>
            <w:rFonts w:ascii="Arial" w:eastAsia="Arial" w:hAnsi="Arial" w:cs="Arial"/>
            <w:color w:val="0563C1"/>
            <w:u w:val="single"/>
          </w:rPr>
          <w:t>https://doi.org/10.1038/s41390-022-02370-8</w:t>
        </w:r>
      </w:hyperlink>
      <w:r>
        <w:rPr>
          <w:rFonts w:ascii="Arial" w:eastAsia="Arial" w:hAnsi="Arial" w:cs="Arial"/>
        </w:rPr>
        <w:t xml:space="preserve"> </w:t>
      </w:r>
    </w:p>
    <w:p w14:paraId="366F0186" w14:textId="77777777" w:rsidR="00E93BD8" w:rsidRDefault="00000000">
      <w:pPr>
        <w:spacing w:line="360" w:lineRule="auto"/>
        <w:jc w:val="both"/>
        <w:rPr>
          <w:rFonts w:ascii="Arial" w:eastAsia="Arial" w:hAnsi="Arial" w:cs="Arial"/>
        </w:rPr>
      </w:pPr>
      <w:r>
        <w:rPr>
          <w:rFonts w:ascii="Arial" w:eastAsia="Arial" w:hAnsi="Arial" w:cs="Arial"/>
        </w:rPr>
        <w:t xml:space="preserve">Bazen, A., Barg, F. K. and Takeshita, J. (2021) Research techniques made simple: an introduction to qualitative research. </w:t>
      </w:r>
      <w:r>
        <w:rPr>
          <w:rFonts w:ascii="Arial" w:eastAsia="Arial" w:hAnsi="Arial" w:cs="Arial"/>
          <w:i/>
          <w:iCs/>
        </w:rPr>
        <w:t xml:space="preserve">Journal of Investigative Dermatology, </w:t>
      </w:r>
      <w:r>
        <w:rPr>
          <w:rFonts w:ascii="Arial" w:eastAsia="Arial" w:hAnsi="Arial" w:cs="Arial"/>
        </w:rPr>
        <w:t xml:space="preserve">141(2), 241-247. </w:t>
      </w:r>
      <w:hyperlink r:id="rId17">
        <w:r w:rsidR="00E93BD8">
          <w:rPr>
            <w:rFonts w:ascii="Arial" w:eastAsia="Arial" w:hAnsi="Arial" w:cs="Arial"/>
            <w:color w:val="0563C1"/>
            <w:u w:val="single"/>
          </w:rPr>
          <w:t>https://doi.org/10.1016/j.jid.2020.11.029</w:t>
        </w:r>
      </w:hyperlink>
      <w:r>
        <w:rPr>
          <w:rFonts w:ascii="Arial" w:eastAsia="Arial" w:hAnsi="Arial" w:cs="Arial"/>
        </w:rPr>
        <w:t xml:space="preserve"> </w:t>
      </w:r>
    </w:p>
    <w:p w14:paraId="5B9A4E5D" w14:textId="77777777" w:rsidR="00E93BD8" w:rsidRDefault="00000000">
      <w:pPr>
        <w:spacing w:line="360" w:lineRule="auto"/>
        <w:jc w:val="both"/>
        <w:rPr>
          <w:rFonts w:ascii="Arial" w:eastAsia="Arial" w:hAnsi="Arial" w:cs="Arial"/>
        </w:rPr>
      </w:pPr>
      <w:r>
        <w:rPr>
          <w:rFonts w:ascii="Arial" w:eastAsia="Arial" w:hAnsi="Arial" w:cs="Arial"/>
        </w:rPr>
        <w:t xml:space="preserve">Beames, J. R., Kikas, K. and Werner-Seidler, A. (2021) Prevention and early intervention of depression in young people: an integrated narrative review of affective awareness and ecological momentary assessment. </w:t>
      </w:r>
      <w:r>
        <w:rPr>
          <w:rFonts w:ascii="Arial" w:eastAsia="Arial" w:hAnsi="Arial" w:cs="Arial"/>
          <w:i/>
          <w:iCs/>
        </w:rPr>
        <w:t xml:space="preserve">BMC Psychology, </w:t>
      </w:r>
      <w:r>
        <w:rPr>
          <w:rFonts w:ascii="Arial" w:eastAsia="Arial" w:hAnsi="Arial" w:cs="Arial"/>
        </w:rPr>
        <w:t xml:space="preserve">9(113). </w:t>
      </w:r>
      <w:hyperlink r:id="rId18">
        <w:r w:rsidR="00E93BD8">
          <w:rPr>
            <w:rFonts w:ascii="Arial" w:eastAsia="Arial" w:hAnsi="Arial" w:cs="Arial"/>
            <w:color w:val="0563C1"/>
            <w:u w:val="single"/>
          </w:rPr>
          <w:t>https://doi.org/10.1186/s40359-021-00614-6</w:t>
        </w:r>
      </w:hyperlink>
      <w:r>
        <w:rPr>
          <w:rFonts w:ascii="Arial" w:eastAsia="Arial" w:hAnsi="Arial" w:cs="Arial"/>
        </w:rPr>
        <w:t xml:space="preserve"> </w:t>
      </w:r>
    </w:p>
    <w:p w14:paraId="49BD3A13" w14:textId="77777777" w:rsidR="00E93BD8" w:rsidRDefault="00000000">
      <w:pPr>
        <w:spacing w:line="360" w:lineRule="auto"/>
        <w:jc w:val="both"/>
        <w:rPr>
          <w:rFonts w:ascii="Arial" w:eastAsia="Arial" w:hAnsi="Arial" w:cs="Arial"/>
        </w:rPr>
      </w:pPr>
      <w:r>
        <w:rPr>
          <w:rFonts w:ascii="Arial" w:eastAsia="Arial" w:hAnsi="Arial" w:cs="Arial"/>
        </w:rPr>
        <w:t xml:space="preserve">Booth, A., Sutton, A. and Papaioannou, D. (2016) </w:t>
      </w:r>
      <w:r>
        <w:rPr>
          <w:rFonts w:ascii="Arial" w:eastAsia="Arial" w:hAnsi="Arial" w:cs="Arial"/>
          <w:i/>
          <w:iCs/>
        </w:rPr>
        <w:t xml:space="preserve">Systematic approaches to a successful literature review. </w:t>
      </w:r>
      <w:r>
        <w:rPr>
          <w:rFonts w:ascii="Arial" w:eastAsia="Arial" w:hAnsi="Arial" w:cs="Arial"/>
        </w:rPr>
        <w:t>Sage Publications</w:t>
      </w:r>
    </w:p>
    <w:p w14:paraId="7B69C124" w14:textId="77777777" w:rsidR="00E93BD8" w:rsidRDefault="00000000">
      <w:pPr>
        <w:spacing w:line="360" w:lineRule="auto"/>
        <w:jc w:val="both"/>
        <w:rPr>
          <w:rFonts w:ascii="Arial" w:eastAsia="Arial" w:hAnsi="Arial" w:cs="Arial"/>
        </w:rPr>
      </w:pPr>
      <w:r>
        <w:rPr>
          <w:rFonts w:ascii="Arial" w:eastAsia="Arial" w:hAnsi="Arial" w:cs="Arial"/>
        </w:rPr>
        <w:t xml:space="preserve">Braun, V. and Clarke, V. (2006) Using thematic analysis in psychology. </w:t>
      </w:r>
      <w:r>
        <w:rPr>
          <w:rFonts w:ascii="Arial" w:eastAsia="Arial" w:hAnsi="Arial" w:cs="Arial"/>
          <w:i/>
          <w:iCs/>
        </w:rPr>
        <w:t xml:space="preserve">Qualitative Research in Psychology, </w:t>
      </w:r>
      <w:r>
        <w:rPr>
          <w:rFonts w:ascii="Arial" w:eastAsia="Arial" w:hAnsi="Arial" w:cs="Arial"/>
        </w:rPr>
        <w:t xml:space="preserve">3(2), 77-101. </w:t>
      </w:r>
      <w:hyperlink r:id="rId19">
        <w:r w:rsidR="00E93BD8">
          <w:rPr>
            <w:rFonts w:ascii="Arial" w:eastAsia="Arial" w:hAnsi="Arial" w:cs="Arial"/>
            <w:color w:val="0563C1"/>
            <w:u w:val="single"/>
          </w:rPr>
          <w:t>http://dx.doi.org/10.1191/1478088706qp063oa</w:t>
        </w:r>
      </w:hyperlink>
      <w:r>
        <w:rPr>
          <w:rFonts w:ascii="Arial" w:eastAsia="Arial" w:hAnsi="Arial" w:cs="Arial"/>
        </w:rPr>
        <w:t xml:space="preserve"> </w:t>
      </w:r>
    </w:p>
    <w:p w14:paraId="232384E8" w14:textId="77777777" w:rsidR="00E93BD8" w:rsidRDefault="00000000">
      <w:pPr>
        <w:spacing w:line="360" w:lineRule="auto"/>
        <w:jc w:val="both"/>
        <w:rPr>
          <w:rFonts w:ascii="Arial" w:eastAsia="Arial" w:hAnsi="Arial" w:cs="Arial"/>
        </w:rPr>
      </w:pPr>
      <w:r>
        <w:rPr>
          <w:rFonts w:ascii="Arial" w:eastAsia="Arial" w:hAnsi="Arial" w:cs="Arial"/>
        </w:rPr>
        <w:t xml:space="preserve">Bryman, A. (2016) </w:t>
      </w:r>
      <w:r>
        <w:rPr>
          <w:rFonts w:ascii="Arial" w:eastAsia="Arial" w:hAnsi="Arial" w:cs="Arial"/>
          <w:i/>
          <w:iCs/>
        </w:rPr>
        <w:t>Social research methods</w:t>
      </w:r>
      <w:r>
        <w:rPr>
          <w:rFonts w:ascii="Arial" w:eastAsia="Arial" w:hAnsi="Arial" w:cs="Arial"/>
        </w:rPr>
        <w:t>. 5th Edition, London: Oxford University Press.</w:t>
      </w:r>
    </w:p>
    <w:p w14:paraId="24AE7174" w14:textId="77777777" w:rsidR="00E93BD8" w:rsidRDefault="00000000">
      <w:pPr>
        <w:spacing w:line="360" w:lineRule="auto"/>
        <w:jc w:val="both"/>
        <w:rPr>
          <w:rFonts w:ascii="Arial" w:eastAsia="Arial" w:hAnsi="Arial" w:cs="Arial"/>
        </w:rPr>
      </w:pPr>
      <w:r>
        <w:rPr>
          <w:rFonts w:ascii="Arial" w:eastAsia="Arial" w:hAnsi="Arial" w:cs="Arial"/>
        </w:rPr>
        <w:t xml:space="preserve">Creswell, J. W. and Creswell, J. D. (2018) </w:t>
      </w:r>
      <w:r>
        <w:rPr>
          <w:rFonts w:ascii="Arial" w:eastAsia="Arial" w:hAnsi="Arial" w:cs="Arial"/>
          <w:i/>
          <w:iCs/>
        </w:rPr>
        <w:t>Research Design: Qualitative, Quantitative, and Mixed Methods Approaches</w:t>
      </w:r>
      <w:r>
        <w:rPr>
          <w:rFonts w:ascii="Arial" w:eastAsia="Arial" w:hAnsi="Arial" w:cs="Arial"/>
        </w:rPr>
        <w:t>. 5th Edition. SAGE.</w:t>
      </w:r>
    </w:p>
    <w:p w14:paraId="53433952" w14:textId="77777777" w:rsidR="00E93BD8" w:rsidRDefault="00000000">
      <w:pPr>
        <w:spacing w:line="360" w:lineRule="auto"/>
        <w:jc w:val="both"/>
        <w:rPr>
          <w:rFonts w:ascii="Arial" w:eastAsia="Arial" w:hAnsi="Arial" w:cs="Arial"/>
        </w:rPr>
      </w:pPr>
      <w:r>
        <w:rPr>
          <w:rFonts w:ascii="Arial" w:eastAsia="Arial" w:hAnsi="Arial" w:cs="Arial"/>
        </w:rPr>
        <w:lastRenderedPageBreak/>
        <w:t xml:space="preserve">Das, T., Das, P., Kundu, P. K. and Roy, T. B. (2022) Individual and parental factors on depressive disorder and its detrimental effects among adolescents and young adults: a study from Bihar State, India. </w:t>
      </w:r>
      <w:r>
        <w:rPr>
          <w:rFonts w:ascii="Arial" w:eastAsia="Arial" w:hAnsi="Arial" w:cs="Arial"/>
          <w:i/>
          <w:iCs/>
        </w:rPr>
        <w:t xml:space="preserve">Clinical Epidemiology and Global Health, </w:t>
      </w:r>
      <w:r>
        <w:rPr>
          <w:rFonts w:ascii="Arial" w:eastAsia="Arial" w:hAnsi="Arial" w:cs="Arial"/>
        </w:rPr>
        <w:t xml:space="preserve">13. </w:t>
      </w:r>
      <w:hyperlink r:id="rId20">
        <w:r w:rsidR="00E93BD8">
          <w:rPr>
            <w:rFonts w:ascii="Arial" w:eastAsia="Arial" w:hAnsi="Arial" w:cs="Arial"/>
            <w:color w:val="0563C1"/>
            <w:u w:val="single"/>
          </w:rPr>
          <w:t>https://doi.org/10.1016/j.cegh.2022.100962</w:t>
        </w:r>
      </w:hyperlink>
      <w:r>
        <w:rPr>
          <w:rFonts w:ascii="Arial" w:eastAsia="Arial" w:hAnsi="Arial" w:cs="Arial"/>
        </w:rPr>
        <w:t xml:space="preserve"> </w:t>
      </w:r>
    </w:p>
    <w:p w14:paraId="54FAD1E2" w14:textId="77777777" w:rsidR="00E93BD8" w:rsidRDefault="00000000">
      <w:pPr>
        <w:spacing w:line="360" w:lineRule="auto"/>
        <w:jc w:val="both"/>
        <w:rPr>
          <w:rFonts w:ascii="Arial" w:eastAsia="Arial" w:hAnsi="Arial" w:cs="Arial"/>
        </w:rPr>
      </w:pPr>
      <w:r>
        <w:rPr>
          <w:rFonts w:ascii="Arial" w:eastAsia="Arial" w:hAnsi="Arial" w:cs="Arial"/>
        </w:rPr>
        <w:t xml:space="preserve">Gawrych, M., Cichon, E. and </w:t>
      </w:r>
      <w:proofErr w:type="spellStart"/>
      <w:r>
        <w:rPr>
          <w:rFonts w:ascii="Arial" w:eastAsia="Arial" w:hAnsi="Arial" w:cs="Arial"/>
        </w:rPr>
        <w:t>Kiejna</w:t>
      </w:r>
      <w:proofErr w:type="spellEnd"/>
      <w:r>
        <w:rPr>
          <w:rFonts w:ascii="Arial" w:eastAsia="Arial" w:hAnsi="Arial" w:cs="Arial"/>
        </w:rPr>
        <w:t xml:space="preserve">, A. (2022) Depression among young adults – risks and protective factors in the COVID-19 pandemic. </w:t>
      </w:r>
      <w:proofErr w:type="spellStart"/>
      <w:r>
        <w:rPr>
          <w:rFonts w:ascii="Arial" w:eastAsia="Arial" w:hAnsi="Arial" w:cs="Arial"/>
          <w:i/>
          <w:iCs/>
        </w:rPr>
        <w:t>Postepy</w:t>
      </w:r>
      <w:proofErr w:type="spellEnd"/>
      <w:r>
        <w:rPr>
          <w:rFonts w:ascii="Arial" w:eastAsia="Arial" w:hAnsi="Arial" w:cs="Arial"/>
          <w:i/>
          <w:iCs/>
        </w:rPr>
        <w:t xml:space="preserve"> Psychiatry and Neurology, </w:t>
      </w:r>
      <w:r>
        <w:rPr>
          <w:rFonts w:ascii="Arial" w:eastAsia="Arial" w:hAnsi="Arial" w:cs="Arial"/>
        </w:rPr>
        <w:t xml:space="preserve">31(2), 52-61. </w:t>
      </w:r>
      <w:hyperlink r:id="rId21">
        <w:r w:rsidR="00E93BD8">
          <w:rPr>
            <w:rFonts w:ascii="Arial" w:eastAsia="Arial" w:hAnsi="Arial" w:cs="Arial"/>
            <w:color w:val="0563C1"/>
            <w:u w:val="single"/>
          </w:rPr>
          <w:t>https://doi.org/10.5114/ppn.2022.118265</w:t>
        </w:r>
      </w:hyperlink>
      <w:r>
        <w:rPr>
          <w:rFonts w:ascii="Arial" w:eastAsia="Arial" w:hAnsi="Arial" w:cs="Arial"/>
        </w:rPr>
        <w:t xml:space="preserve"> </w:t>
      </w:r>
    </w:p>
    <w:p w14:paraId="3552B5CD" w14:textId="77777777" w:rsidR="00E93BD8" w:rsidRDefault="00000000">
      <w:pPr>
        <w:spacing w:line="360" w:lineRule="auto"/>
        <w:jc w:val="both"/>
        <w:rPr>
          <w:rFonts w:ascii="Arial" w:eastAsia="Arial" w:hAnsi="Arial" w:cs="Arial"/>
        </w:rPr>
      </w:pPr>
      <w:r>
        <w:rPr>
          <w:rFonts w:ascii="Arial" w:eastAsia="Arial" w:hAnsi="Arial" w:cs="Arial"/>
        </w:rPr>
        <w:t xml:space="preserve">Hennink, M., Hutter, I. and Bailey, A. (2020) </w:t>
      </w:r>
      <w:r>
        <w:rPr>
          <w:rFonts w:ascii="Arial" w:eastAsia="Arial" w:hAnsi="Arial" w:cs="Arial"/>
          <w:i/>
          <w:iCs/>
        </w:rPr>
        <w:t>Qualitative Research Methods</w:t>
      </w:r>
      <w:r>
        <w:rPr>
          <w:rFonts w:ascii="Arial" w:eastAsia="Arial" w:hAnsi="Arial" w:cs="Arial"/>
        </w:rPr>
        <w:t>. Sage Publications</w:t>
      </w:r>
    </w:p>
    <w:p w14:paraId="41154620" w14:textId="77777777" w:rsidR="00E93BD8" w:rsidRDefault="00000000">
      <w:pPr>
        <w:spacing w:line="360" w:lineRule="auto"/>
        <w:jc w:val="both"/>
        <w:rPr>
          <w:rFonts w:ascii="Arial" w:eastAsia="Arial" w:hAnsi="Arial" w:cs="Arial"/>
        </w:rPr>
      </w:pPr>
      <w:r>
        <w:rPr>
          <w:rFonts w:ascii="Arial" w:eastAsia="Arial" w:hAnsi="Arial" w:cs="Arial"/>
        </w:rPr>
        <w:t xml:space="preserve">Hopkins, K., Crosland, P., Elliot, N. and Bewley, S. (2015) Diagnosis and management of depression in children and young people: summary of updated NICE guidance. </w:t>
      </w:r>
      <w:r>
        <w:rPr>
          <w:rFonts w:ascii="Arial" w:eastAsia="Arial" w:hAnsi="Arial" w:cs="Arial"/>
          <w:i/>
          <w:iCs/>
        </w:rPr>
        <w:t xml:space="preserve">BMJ, </w:t>
      </w:r>
      <w:r>
        <w:rPr>
          <w:rFonts w:ascii="Arial" w:eastAsia="Arial" w:hAnsi="Arial" w:cs="Arial"/>
        </w:rPr>
        <w:t xml:space="preserve">350. </w:t>
      </w:r>
      <w:hyperlink r:id="rId22">
        <w:r w:rsidR="00E93BD8">
          <w:rPr>
            <w:rFonts w:ascii="Arial" w:eastAsia="Arial" w:hAnsi="Arial" w:cs="Arial"/>
            <w:color w:val="0563C1"/>
            <w:u w:val="single"/>
          </w:rPr>
          <w:t>https://doi.org/10.1136/bmj.h824</w:t>
        </w:r>
      </w:hyperlink>
      <w:r>
        <w:rPr>
          <w:rFonts w:ascii="Arial" w:eastAsia="Arial" w:hAnsi="Arial" w:cs="Arial"/>
        </w:rPr>
        <w:t xml:space="preserve"> </w:t>
      </w:r>
    </w:p>
    <w:p w14:paraId="68300C7E" w14:textId="77777777" w:rsidR="00E93BD8" w:rsidRDefault="00000000">
      <w:pPr>
        <w:spacing w:line="360" w:lineRule="auto"/>
        <w:jc w:val="both"/>
        <w:rPr>
          <w:rFonts w:ascii="Arial" w:eastAsia="Arial" w:hAnsi="Arial" w:cs="Arial"/>
        </w:rPr>
      </w:pPr>
      <w:r>
        <w:rPr>
          <w:rFonts w:ascii="Arial" w:eastAsia="Arial" w:hAnsi="Arial" w:cs="Arial"/>
        </w:rPr>
        <w:t xml:space="preserve">Husky, M. M., Leon, C., </w:t>
      </w:r>
      <w:proofErr w:type="spellStart"/>
      <w:r>
        <w:rPr>
          <w:rFonts w:ascii="Arial" w:eastAsia="Arial" w:hAnsi="Arial" w:cs="Arial"/>
        </w:rPr>
        <w:t>Roscoat</w:t>
      </w:r>
      <w:proofErr w:type="spellEnd"/>
      <w:r>
        <w:rPr>
          <w:rFonts w:ascii="Arial" w:eastAsia="Arial" w:hAnsi="Arial" w:cs="Arial"/>
        </w:rPr>
        <w:t xml:space="preserve">, E. and Vasiliadis, H.M. (2023) Prevalence of past-year major depressive episode among young adults between 2005 and 2021: results from four nations representative surveys in France. </w:t>
      </w:r>
      <w:r>
        <w:rPr>
          <w:rFonts w:ascii="Arial" w:eastAsia="Arial" w:hAnsi="Arial" w:cs="Arial"/>
          <w:i/>
          <w:iCs/>
        </w:rPr>
        <w:t xml:space="preserve">Journal of Affective Disorders, </w:t>
      </w:r>
      <w:r>
        <w:rPr>
          <w:rFonts w:ascii="Arial" w:eastAsia="Arial" w:hAnsi="Arial" w:cs="Arial"/>
        </w:rPr>
        <w:t xml:space="preserve">342, 192-200. </w:t>
      </w:r>
      <w:hyperlink r:id="rId23">
        <w:r w:rsidR="00E93BD8">
          <w:rPr>
            <w:rFonts w:ascii="Arial" w:eastAsia="Arial" w:hAnsi="Arial" w:cs="Arial"/>
            <w:color w:val="0563C1"/>
            <w:u w:val="single"/>
          </w:rPr>
          <w:t>https://doi.org/10.1016/j.jad.2023.09.019</w:t>
        </w:r>
      </w:hyperlink>
      <w:r>
        <w:rPr>
          <w:rFonts w:ascii="Arial" w:eastAsia="Arial" w:hAnsi="Arial" w:cs="Arial"/>
        </w:rPr>
        <w:t xml:space="preserve"> </w:t>
      </w:r>
    </w:p>
    <w:p w14:paraId="165C39EF" w14:textId="77777777" w:rsidR="00E93BD8" w:rsidRDefault="00000000">
      <w:pPr>
        <w:spacing w:line="360" w:lineRule="auto"/>
        <w:jc w:val="both"/>
        <w:rPr>
          <w:rFonts w:ascii="Arial" w:eastAsia="Arial" w:hAnsi="Arial" w:cs="Arial"/>
        </w:rPr>
      </w:pPr>
      <w:r>
        <w:rPr>
          <w:rFonts w:ascii="Arial" w:eastAsia="Arial" w:hAnsi="Arial" w:cs="Arial"/>
        </w:rPr>
        <w:t xml:space="preserve">Irish, M., Solmi, F., Mars, B., King, M., Lewis, G., Pearson, R. M., Pitman, A., Rowe, S., Srinivasan, R. and Lewis, G. (2019) Depression and self-harm from adolescence to young adulthood in sexual minorities compared with heterosexuals in the UK: a population-based cohort study. </w:t>
      </w:r>
      <w:r>
        <w:rPr>
          <w:rFonts w:ascii="Arial" w:eastAsia="Arial" w:hAnsi="Arial" w:cs="Arial"/>
          <w:i/>
          <w:iCs/>
        </w:rPr>
        <w:t xml:space="preserve">The Lancet: Child and Adolescent Health, </w:t>
      </w:r>
      <w:r>
        <w:rPr>
          <w:rFonts w:ascii="Arial" w:eastAsia="Arial" w:hAnsi="Arial" w:cs="Arial"/>
        </w:rPr>
        <w:t xml:space="preserve">3(2), 91-98. </w:t>
      </w:r>
    </w:p>
    <w:p w14:paraId="6B273879" w14:textId="77777777" w:rsidR="00E93BD8" w:rsidRDefault="00000000">
      <w:pPr>
        <w:spacing w:line="360" w:lineRule="auto"/>
        <w:jc w:val="both"/>
        <w:rPr>
          <w:rFonts w:ascii="Arial" w:eastAsia="Arial" w:hAnsi="Arial" w:cs="Arial"/>
        </w:rPr>
      </w:pPr>
      <w:r>
        <w:rPr>
          <w:rFonts w:ascii="Arial" w:eastAsia="Arial" w:hAnsi="Arial" w:cs="Arial"/>
        </w:rPr>
        <w:t xml:space="preserve">Jenkins, P. E., Ducker, I., Gooding, R., James, M. and Rutter-Eley, E. (2021) Anxiety and depression in a sample of UK college students: a study of prevalence, comorbidity, and quality of life. </w:t>
      </w:r>
      <w:r>
        <w:rPr>
          <w:rFonts w:ascii="Arial" w:eastAsia="Arial" w:hAnsi="Arial" w:cs="Arial"/>
          <w:i/>
          <w:iCs/>
        </w:rPr>
        <w:t xml:space="preserve">Journal of American College Health, </w:t>
      </w:r>
      <w:r>
        <w:rPr>
          <w:rFonts w:ascii="Arial" w:eastAsia="Arial" w:hAnsi="Arial" w:cs="Arial"/>
        </w:rPr>
        <w:t xml:space="preserve">69(8). </w:t>
      </w:r>
      <w:hyperlink r:id="rId24">
        <w:r w:rsidR="00E93BD8">
          <w:rPr>
            <w:rFonts w:ascii="Arial" w:eastAsia="Arial" w:hAnsi="Arial" w:cs="Arial"/>
            <w:color w:val="0563C1"/>
            <w:u w:val="single"/>
          </w:rPr>
          <w:t>https://doi.org/10.1080/07448481.2019.1709474</w:t>
        </w:r>
      </w:hyperlink>
      <w:r>
        <w:rPr>
          <w:rFonts w:ascii="Arial" w:eastAsia="Arial" w:hAnsi="Arial" w:cs="Arial"/>
        </w:rPr>
        <w:t xml:space="preserve"> </w:t>
      </w:r>
    </w:p>
    <w:p w14:paraId="5AAE7211" w14:textId="77777777" w:rsidR="00E93BD8" w:rsidRDefault="00000000">
      <w:pPr>
        <w:spacing w:line="360" w:lineRule="auto"/>
        <w:jc w:val="both"/>
        <w:rPr>
          <w:rFonts w:ascii="Arial" w:eastAsia="Arial" w:hAnsi="Arial" w:cs="Arial"/>
        </w:rPr>
      </w:pPr>
      <w:r>
        <w:rPr>
          <w:rFonts w:ascii="Arial" w:eastAsia="Arial" w:hAnsi="Arial" w:cs="Arial"/>
        </w:rPr>
        <w:t xml:space="preserve">Johnson, A. R., Hanspal, I. and Fathima, F. (2022) Prevalence of depression among young adults: evidence from a cross-sectional study in a college in peri-urban South India. </w:t>
      </w:r>
      <w:r>
        <w:rPr>
          <w:rFonts w:ascii="Arial" w:eastAsia="Arial" w:hAnsi="Arial" w:cs="Arial"/>
          <w:i/>
          <w:iCs/>
        </w:rPr>
        <w:t xml:space="preserve">Journal of Fundamentals of Mental Health, </w:t>
      </w:r>
      <w:r>
        <w:rPr>
          <w:rFonts w:ascii="Arial" w:eastAsia="Arial" w:hAnsi="Arial" w:cs="Arial"/>
        </w:rPr>
        <w:t xml:space="preserve">24(2). 83-91. </w:t>
      </w:r>
    </w:p>
    <w:p w14:paraId="715AD69B" w14:textId="77777777" w:rsidR="00E93BD8" w:rsidRDefault="00000000">
      <w:pPr>
        <w:spacing w:line="360" w:lineRule="auto"/>
        <w:jc w:val="both"/>
        <w:rPr>
          <w:rFonts w:ascii="Arial" w:eastAsia="Arial" w:hAnsi="Arial" w:cs="Arial"/>
        </w:rPr>
      </w:pPr>
      <w:r>
        <w:rPr>
          <w:rFonts w:ascii="Arial" w:eastAsia="Arial" w:hAnsi="Arial" w:cs="Arial"/>
        </w:rPr>
        <w:lastRenderedPageBreak/>
        <w:t xml:space="preserve">Kelvin, R. (2016) Depression in children and young people. </w:t>
      </w:r>
      <w:r>
        <w:rPr>
          <w:rFonts w:ascii="Arial" w:eastAsia="Arial" w:hAnsi="Arial" w:cs="Arial"/>
          <w:i/>
          <w:iCs/>
        </w:rPr>
        <w:t xml:space="preserve">Paediatrics and Child Health, </w:t>
      </w:r>
      <w:r>
        <w:rPr>
          <w:rFonts w:ascii="Arial" w:eastAsia="Arial" w:hAnsi="Arial" w:cs="Arial"/>
        </w:rPr>
        <w:t xml:space="preserve">26(2), 540-547. </w:t>
      </w:r>
      <w:hyperlink r:id="rId25">
        <w:r w:rsidR="00E93BD8">
          <w:rPr>
            <w:rFonts w:ascii="Arial" w:eastAsia="Arial" w:hAnsi="Arial" w:cs="Arial"/>
            <w:color w:val="0563C1"/>
            <w:u w:val="single"/>
          </w:rPr>
          <w:t>https://doi.org/10.1016/j.paed.2016.08.008</w:t>
        </w:r>
      </w:hyperlink>
      <w:r>
        <w:rPr>
          <w:rFonts w:ascii="Arial" w:eastAsia="Arial" w:hAnsi="Arial" w:cs="Arial"/>
        </w:rPr>
        <w:t xml:space="preserve"> </w:t>
      </w:r>
    </w:p>
    <w:p w14:paraId="44E7EFBF" w14:textId="77777777" w:rsidR="00E93BD8" w:rsidRDefault="00000000">
      <w:pPr>
        <w:spacing w:line="360" w:lineRule="auto"/>
        <w:jc w:val="both"/>
        <w:rPr>
          <w:rFonts w:ascii="Arial" w:eastAsia="Arial" w:hAnsi="Arial" w:cs="Arial"/>
        </w:rPr>
      </w:pPr>
      <w:r>
        <w:rPr>
          <w:rFonts w:ascii="Arial" w:eastAsia="Arial" w:hAnsi="Arial" w:cs="Arial"/>
        </w:rPr>
        <w:t xml:space="preserve">Keyes, K. M., Kreski, N. T. and Patrick, M. E. (2024) Depressive symptoms in adolescence and young adulthood. </w:t>
      </w:r>
      <w:r>
        <w:rPr>
          <w:rFonts w:ascii="Arial" w:eastAsia="Arial" w:hAnsi="Arial" w:cs="Arial"/>
          <w:i/>
          <w:iCs/>
        </w:rPr>
        <w:t xml:space="preserve">JAMA Network Open, </w:t>
      </w:r>
      <w:r>
        <w:rPr>
          <w:rFonts w:ascii="Arial" w:eastAsia="Arial" w:hAnsi="Arial" w:cs="Arial"/>
        </w:rPr>
        <w:t xml:space="preserve">7(8), e2427748. doi:10.1001/jamanetworkopen.2024.27748 </w:t>
      </w:r>
    </w:p>
    <w:p w14:paraId="10E53A8C" w14:textId="77777777" w:rsidR="00E93BD8" w:rsidRDefault="00000000">
      <w:pPr>
        <w:spacing w:line="360" w:lineRule="auto"/>
        <w:jc w:val="both"/>
        <w:rPr>
          <w:rFonts w:ascii="Arial" w:eastAsia="Arial" w:hAnsi="Arial" w:cs="Arial"/>
          <w:color w:val="222222"/>
          <w:highlight w:val="white"/>
        </w:rPr>
      </w:pPr>
      <w:r>
        <w:rPr>
          <w:rFonts w:ascii="Arial" w:eastAsia="Arial" w:hAnsi="Arial" w:cs="Arial"/>
        </w:rPr>
        <w:t xml:space="preserve">Khouja, J. N., Munafo, M. R., Tilling, K., Wiles, N. J., </w:t>
      </w:r>
      <w:proofErr w:type="spellStart"/>
      <w:r>
        <w:rPr>
          <w:rFonts w:ascii="Arial" w:eastAsia="Arial" w:hAnsi="Arial" w:cs="Arial"/>
        </w:rPr>
        <w:t>Joinson</w:t>
      </w:r>
      <w:proofErr w:type="spellEnd"/>
      <w:r>
        <w:rPr>
          <w:rFonts w:ascii="Arial" w:eastAsia="Arial" w:hAnsi="Arial" w:cs="Arial"/>
        </w:rPr>
        <w:t xml:space="preserve">, C., Etchells, P. J., John, A., Hayes, F. M., Gage, S. H. and Rosie, P. (2019) Is screen time associated with anxiety or depression in young people? Results from a UK birth cohort. </w:t>
      </w:r>
      <w:r>
        <w:rPr>
          <w:rFonts w:ascii="Arial" w:eastAsia="Arial" w:hAnsi="Arial" w:cs="Arial"/>
          <w:i/>
          <w:iCs/>
        </w:rPr>
        <w:t xml:space="preserve">BMC Public Health, </w:t>
      </w:r>
      <w:r>
        <w:rPr>
          <w:rFonts w:ascii="Arial" w:eastAsia="Arial" w:hAnsi="Arial" w:cs="Arial"/>
        </w:rPr>
        <w:t xml:space="preserve">19(82). </w:t>
      </w:r>
      <w:hyperlink r:id="rId26">
        <w:r w:rsidR="00E93BD8">
          <w:rPr>
            <w:rFonts w:ascii="Arial" w:eastAsia="Arial" w:hAnsi="Arial" w:cs="Arial"/>
            <w:color w:val="0563C1"/>
            <w:highlight w:val="white"/>
            <w:u w:val="single"/>
          </w:rPr>
          <w:t>https://doi.org/10.1186/s12889-018-6321-9</w:t>
        </w:r>
      </w:hyperlink>
      <w:r>
        <w:rPr>
          <w:rFonts w:ascii="Arial" w:eastAsia="Arial" w:hAnsi="Arial" w:cs="Arial"/>
          <w:color w:val="222222"/>
          <w:highlight w:val="white"/>
        </w:rPr>
        <w:t xml:space="preserve"> </w:t>
      </w:r>
    </w:p>
    <w:p w14:paraId="4503BD43" w14:textId="77777777" w:rsidR="00E93BD8" w:rsidRDefault="00000000">
      <w:pPr>
        <w:spacing w:line="360" w:lineRule="auto"/>
        <w:jc w:val="both"/>
        <w:rPr>
          <w:rFonts w:ascii="Arial" w:eastAsia="Arial" w:hAnsi="Arial" w:cs="Arial"/>
        </w:rPr>
      </w:pPr>
      <w:r>
        <w:rPr>
          <w:rFonts w:ascii="Arial" w:eastAsia="Arial" w:hAnsi="Arial" w:cs="Arial"/>
        </w:rPr>
        <w:t xml:space="preserve">Lakasing, E. and Mirza, Z. (2020) Anxiety and depression in young adults and adolescents. </w:t>
      </w:r>
      <w:r>
        <w:rPr>
          <w:rFonts w:ascii="Arial" w:eastAsia="Arial" w:hAnsi="Arial" w:cs="Arial"/>
          <w:i/>
          <w:iCs/>
        </w:rPr>
        <w:t xml:space="preserve">British Journal of General Practice, </w:t>
      </w:r>
      <w:r>
        <w:rPr>
          <w:rFonts w:ascii="Arial" w:eastAsia="Arial" w:hAnsi="Arial" w:cs="Arial"/>
        </w:rPr>
        <w:t xml:space="preserve">70(691), 56-57. </w:t>
      </w:r>
      <w:hyperlink r:id="rId27">
        <w:r w:rsidR="00E93BD8">
          <w:rPr>
            <w:rFonts w:ascii="Arial" w:eastAsia="Arial" w:hAnsi="Arial" w:cs="Arial"/>
            <w:color w:val="0563C1"/>
            <w:u w:val="single"/>
          </w:rPr>
          <w:t>https://doi.org/10.3399/bjgp20X707765</w:t>
        </w:r>
      </w:hyperlink>
      <w:r>
        <w:rPr>
          <w:rFonts w:ascii="Arial" w:eastAsia="Arial" w:hAnsi="Arial" w:cs="Arial"/>
        </w:rPr>
        <w:t xml:space="preserve"> </w:t>
      </w:r>
    </w:p>
    <w:p w14:paraId="3B809A38" w14:textId="77777777" w:rsidR="00E93BD8" w:rsidRDefault="00000000">
      <w:pPr>
        <w:spacing w:line="360" w:lineRule="auto"/>
        <w:jc w:val="both"/>
        <w:rPr>
          <w:rFonts w:ascii="Arial" w:eastAsia="Arial" w:hAnsi="Arial" w:cs="Arial"/>
        </w:rPr>
      </w:pPr>
      <w:r>
        <w:rPr>
          <w:rFonts w:ascii="Arial" w:eastAsia="Arial" w:hAnsi="Arial" w:cs="Arial"/>
        </w:rPr>
        <w:t xml:space="preserve">Lincoln, Y. S. and Guba, E. G. (1985) </w:t>
      </w:r>
      <w:r>
        <w:rPr>
          <w:rFonts w:ascii="Arial" w:eastAsia="Arial" w:hAnsi="Arial" w:cs="Arial"/>
          <w:i/>
          <w:iCs/>
        </w:rPr>
        <w:t>Naturalistic Inquiry</w:t>
      </w:r>
      <w:r>
        <w:rPr>
          <w:rFonts w:ascii="Arial" w:eastAsia="Arial" w:hAnsi="Arial" w:cs="Arial"/>
        </w:rPr>
        <w:t>. Newbury Park, CA: Sage Publications.</w:t>
      </w:r>
    </w:p>
    <w:p w14:paraId="4FA918E1" w14:textId="77777777" w:rsidR="00E93BD8" w:rsidRDefault="00000000">
      <w:pPr>
        <w:spacing w:line="360" w:lineRule="auto"/>
        <w:jc w:val="both"/>
        <w:rPr>
          <w:rFonts w:ascii="Arial" w:eastAsia="Arial" w:hAnsi="Arial" w:cs="Arial"/>
        </w:rPr>
      </w:pPr>
      <w:r>
        <w:rPr>
          <w:rFonts w:ascii="Arial" w:eastAsia="Arial" w:hAnsi="Arial" w:cs="Arial"/>
        </w:rPr>
        <w:t xml:space="preserve">Martin, D. and Atkinson, C. (2020) University student’s account of living with depression. </w:t>
      </w:r>
      <w:r>
        <w:rPr>
          <w:rFonts w:ascii="Arial" w:eastAsia="Arial" w:hAnsi="Arial" w:cs="Arial"/>
          <w:i/>
          <w:iCs/>
        </w:rPr>
        <w:t xml:space="preserve">Research in Post-Compulsory Education, </w:t>
      </w:r>
      <w:r>
        <w:rPr>
          <w:rFonts w:ascii="Arial" w:eastAsia="Arial" w:hAnsi="Arial" w:cs="Arial"/>
        </w:rPr>
        <w:t xml:space="preserve">25(2), 127-148. </w:t>
      </w:r>
      <w:hyperlink r:id="rId28">
        <w:r w:rsidR="00E93BD8">
          <w:rPr>
            <w:rFonts w:ascii="Arial" w:eastAsia="Arial" w:hAnsi="Arial" w:cs="Arial"/>
            <w:color w:val="0563C1"/>
            <w:u w:val="single"/>
          </w:rPr>
          <w:t>https://doi.org/10.1080/13596748.2020.1742976</w:t>
        </w:r>
      </w:hyperlink>
      <w:r>
        <w:rPr>
          <w:rFonts w:ascii="Arial" w:eastAsia="Arial" w:hAnsi="Arial" w:cs="Arial"/>
        </w:rPr>
        <w:t xml:space="preserve"> </w:t>
      </w:r>
    </w:p>
    <w:p w14:paraId="252C54F8" w14:textId="77777777" w:rsidR="00E93BD8" w:rsidRDefault="00000000">
      <w:pPr>
        <w:spacing w:line="360" w:lineRule="auto"/>
        <w:jc w:val="both"/>
        <w:rPr>
          <w:rFonts w:ascii="Arial" w:eastAsia="Arial" w:hAnsi="Arial" w:cs="Arial"/>
        </w:rPr>
      </w:pPr>
      <w:proofErr w:type="spellStart"/>
      <w:r>
        <w:rPr>
          <w:rFonts w:ascii="Arial" w:eastAsia="Arial" w:hAnsi="Arial" w:cs="Arial"/>
        </w:rPr>
        <w:t>Mojtabai</w:t>
      </w:r>
      <w:proofErr w:type="spellEnd"/>
      <w:r>
        <w:rPr>
          <w:rFonts w:ascii="Arial" w:eastAsia="Arial" w:hAnsi="Arial" w:cs="Arial"/>
        </w:rPr>
        <w:t xml:space="preserve">, R., Olfson, M. and Han, B. (2016) National trends in the prevalence and treatment of depression in adolescents and young adults. </w:t>
      </w:r>
      <w:r>
        <w:rPr>
          <w:rFonts w:ascii="Arial" w:eastAsia="Arial" w:hAnsi="Arial" w:cs="Arial"/>
          <w:i/>
          <w:iCs/>
        </w:rPr>
        <w:t xml:space="preserve">Pediatrics, </w:t>
      </w:r>
      <w:r>
        <w:rPr>
          <w:rFonts w:ascii="Arial" w:eastAsia="Arial" w:hAnsi="Arial" w:cs="Arial"/>
        </w:rPr>
        <w:t xml:space="preserve">138(6), e20161878. </w:t>
      </w:r>
      <w:hyperlink r:id="rId29">
        <w:r w:rsidR="00E93BD8">
          <w:rPr>
            <w:rFonts w:ascii="Arial" w:eastAsia="Arial" w:hAnsi="Arial" w:cs="Arial"/>
            <w:color w:val="0563C1"/>
            <w:u w:val="single"/>
          </w:rPr>
          <w:t>https://doi.org/10.1542/peds.2016-1878</w:t>
        </w:r>
      </w:hyperlink>
      <w:r>
        <w:rPr>
          <w:rFonts w:ascii="Arial" w:eastAsia="Arial" w:hAnsi="Arial" w:cs="Arial"/>
        </w:rPr>
        <w:t xml:space="preserve"> </w:t>
      </w:r>
    </w:p>
    <w:p w14:paraId="30C470C8" w14:textId="77777777" w:rsidR="00E93BD8" w:rsidRDefault="00000000">
      <w:pPr>
        <w:spacing w:line="360" w:lineRule="auto"/>
        <w:jc w:val="both"/>
        <w:rPr>
          <w:rFonts w:ascii="Arial" w:eastAsia="Arial" w:hAnsi="Arial" w:cs="Arial"/>
        </w:rPr>
      </w:pPr>
      <w:r>
        <w:rPr>
          <w:rFonts w:ascii="Arial" w:eastAsia="Arial" w:hAnsi="Arial" w:cs="Arial"/>
        </w:rPr>
        <w:t xml:space="preserve">Morales-Munoz, I., Mallikarjun, P.K., Chandan, J. S., </w:t>
      </w:r>
      <w:proofErr w:type="spellStart"/>
      <w:r>
        <w:rPr>
          <w:rFonts w:ascii="Arial" w:eastAsia="Arial" w:hAnsi="Arial" w:cs="Arial"/>
        </w:rPr>
        <w:t>Thayakaran</w:t>
      </w:r>
      <w:proofErr w:type="spellEnd"/>
      <w:r>
        <w:rPr>
          <w:rFonts w:ascii="Arial" w:eastAsia="Arial" w:hAnsi="Arial" w:cs="Arial"/>
        </w:rPr>
        <w:t xml:space="preserve">, R., Upthegrove, R. and Marwaha, S. (2023) Impact of anxiety and depression across childhood and adolescence on adverse outcomes in young adulthood: UK birth cohort study. </w:t>
      </w:r>
      <w:r>
        <w:rPr>
          <w:rFonts w:ascii="Arial" w:eastAsia="Arial" w:hAnsi="Arial" w:cs="Arial"/>
          <w:i/>
          <w:iCs/>
        </w:rPr>
        <w:t xml:space="preserve">The British Journal of Psychiatry, </w:t>
      </w:r>
      <w:r>
        <w:rPr>
          <w:rFonts w:ascii="Arial" w:eastAsia="Arial" w:hAnsi="Arial" w:cs="Arial"/>
        </w:rPr>
        <w:t xml:space="preserve">222(5), 212-220. </w:t>
      </w:r>
      <w:hyperlink r:id="rId30">
        <w:r w:rsidR="00E93BD8">
          <w:rPr>
            <w:rFonts w:ascii="Arial" w:eastAsia="Arial" w:hAnsi="Arial" w:cs="Arial"/>
            <w:color w:val="0563C1"/>
            <w:u w:val="single"/>
          </w:rPr>
          <w:t>https://doi.org/10.1192/bjp.2023.23</w:t>
        </w:r>
      </w:hyperlink>
      <w:r>
        <w:rPr>
          <w:rFonts w:ascii="Arial" w:eastAsia="Arial" w:hAnsi="Arial" w:cs="Arial"/>
        </w:rPr>
        <w:t xml:space="preserve"> </w:t>
      </w:r>
    </w:p>
    <w:p w14:paraId="7B277574" w14:textId="77777777" w:rsidR="00E93BD8" w:rsidRDefault="00000000">
      <w:pPr>
        <w:spacing w:line="360" w:lineRule="auto"/>
        <w:jc w:val="both"/>
        <w:rPr>
          <w:rFonts w:ascii="Arial" w:eastAsia="Arial" w:hAnsi="Arial" w:cs="Arial"/>
        </w:rPr>
      </w:pPr>
      <w:r>
        <w:rPr>
          <w:rFonts w:ascii="Arial" w:eastAsia="Arial" w:hAnsi="Arial" w:cs="Arial"/>
        </w:rPr>
        <w:t xml:space="preserve">Nichols, L., Ryan, R., Connor, C., Birchwood, M. and Marshall, T. (2016) Derivation of a prediction model for a diagnosis of depression in young adults: a matched case-control study using electronic primary care records. </w:t>
      </w:r>
      <w:r>
        <w:rPr>
          <w:rFonts w:ascii="Arial" w:eastAsia="Arial" w:hAnsi="Arial" w:cs="Arial"/>
          <w:i/>
          <w:iCs/>
        </w:rPr>
        <w:t xml:space="preserve">Early Intervention in </w:t>
      </w:r>
      <w:proofErr w:type="spellStart"/>
      <w:r>
        <w:rPr>
          <w:rFonts w:ascii="Arial" w:eastAsia="Arial" w:hAnsi="Arial" w:cs="Arial"/>
          <w:i/>
          <w:iCs/>
        </w:rPr>
        <w:t>Pyschiatry</w:t>
      </w:r>
      <w:proofErr w:type="spellEnd"/>
      <w:r>
        <w:rPr>
          <w:rFonts w:ascii="Arial" w:eastAsia="Arial" w:hAnsi="Arial" w:cs="Arial"/>
          <w:i/>
          <w:iCs/>
        </w:rPr>
        <w:t xml:space="preserve">, </w:t>
      </w:r>
      <w:r>
        <w:rPr>
          <w:rFonts w:ascii="Arial" w:eastAsia="Arial" w:hAnsi="Arial" w:cs="Arial"/>
        </w:rPr>
        <w:t xml:space="preserve">12(3), 444-455. </w:t>
      </w:r>
      <w:hyperlink r:id="rId31">
        <w:r w:rsidR="00E93BD8">
          <w:rPr>
            <w:rFonts w:ascii="Arial" w:eastAsia="Arial" w:hAnsi="Arial" w:cs="Arial"/>
            <w:color w:val="0563C1"/>
            <w:u w:val="single"/>
          </w:rPr>
          <w:t>https://doi.org/10.1111/eip.12332</w:t>
        </w:r>
      </w:hyperlink>
      <w:r>
        <w:rPr>
          <w:rFonts w:ascii="Arial" w:eastAsia="Arial" w:hAnsi="Arial" w:cs="Arial"/>
        </w:rPr>
        <w:t xml:space="preserve"> </w:t>
      </w:r>
    </w:p>
    <w:p w14:paraId="33D1EA50" w14:textId="77777777" w:rsidR="00E93BD8" w:rsidRDefault="00000000">
      <w:pPr>
        <w:spacing w:line="360" w:lineRule="auto"/>
        <w:jc w:val="both"/>
        <w:rPr>
          <w:rFonts w:ascii="Arial" w:eastAsia="Arial" w:hAnsi="Arial" w:cs="Arial"/>
        </w:rPr>
      </w:pPr>
      <w:r>
        <w:rPr>
          <w:rFonts w:ascii="Arial" w:eastAsia="Arial" w:hAnsi="Arial" w:cs="Arial"/>
        </w:rPr>
        <w:lastRenderedPageBreak/>
        <w:t xml:space="preserve">Olisaeloka, L., </w:t>
      </w:r>
      <w:proofErr w:type="spellStart"/>
      <w:r>
        <w:rPr>
          <w:rFonts w:ascii="Arial" w:eastAsia="Arial" w:hAnsi="Arial" w:cs="Arial"/>
        </w:rPr>
        <w:t>Udokanma</w:t>
      </w:r>
      <w:proofErr w:type="spellEnd"/>
      <w:r>
        <w:rPr>
          <w:rFonts w:ascii="Arial" w:eastAsia="Arial" w:hAnsi="Arial" w:cs="Arial"/>
        </w:rPr>
        <w:t xml:space="preserve">, E. and Ashraf, A. (2024) Psychosocial interventions for depression among young people in Sub-Saharan Africa: a systematic review and meta-analysis. </w:t>
      </w:r>
      <w:r>
        <w:rPr>
          <w:rFonts w:ascii="Arial" w:eastAsia="Arial" w:hAnsi="Arial" w:cs="Arial"/>
          <w:i/>
          <w:iCs/>
        </w:rPr>
        <w:t>International Journal of Mental Health Systems</w:t>
      </w:r>
      <w:r>
        <w:rPr>
          <w:rFonts w:ascii="Arial" w:eastAsia="Arial" w:hAnsi="Arial" w:cs="Arial"/>
        </w:rPr>
        <w:t xml:space="preserve"> 18(24). </w:t>
      </w:r>
      <w:hyperlink r:id="rId32">
        <w:r w:rsidR="00E93BD8">
          <w:rPr>
            <w:rFonts w:ascii="Arial" w:eastAsia="Arial" w:hAnsi="Arial" w:cs="Arial"/>
            <w:color w:val="0563C1"/>
            <w:u w:val="single"/>
          </w:rPr>
          <w:t>https://doi.org/10.1186/s13033-024-00642-w</w:t>
        </w:r>
      </w:hyperlink>
      <w:r>
        <w:rPr>
          <w:rFonts w:ascii="Arial" w:eastAsia="Arial" w:hAnsi="Arial" w:cs="Arial"/>
        </w:rPr>
        <w:t xml:space="preserve"> </w:t>
      </w:r>
    </w:p>
    <w:p w14:paraId="1716CC9E" w14:textId="77777777" w:rsidR="00E93BD8" w:rsidRDefault="00000000">
      <w:pPr>
        <w:spacing w:line="360" w:lineRule="auto"/>
        <w:jc w:val="both"/>
        <w:rPr>
          <w:rFonts w:ascii="Arial" w:eastAsia="Arial" w:hAnsi="Arial" w:cs="Arial"/>
        </w:rPr>
      </w:pPr>
      <w:r>
        <w:rPr>
          <w:rFonts w:ascii="Arial" w:eastAsia="Arial" w:hAnsi="Arial" w:cs="Arial"/>
        </w:rPr>
        <w:t xml:space="preserve">Petito, A., Pop, T. L., Namazova-Baranova, L., Giardino, I., Ferrara, P. and </w:t>
      </w:r>
      <w:proofErr w:type="spellStart"/>
      <w:r>
        <w:rPr>
          <w:rFonts w:ascii="Arial" w:eastAsia="Arial" w:hAnsi="Arial" w:cs="Arial"/>
        </w:rPr>
        <w:t>Pettoello</w:t>
      </w:r>
      <w:proofErr w:type="spellEnd"/>
      <w:r>
        <w:rPr>
          <w:rFonts w:ascii="Arial" w:eastAsia="Arial" w:hAnsi="Arial" w:cs="Arial"/>
        </w:rPr>
        <w:t xml:space="preserve">-Mantovani, M. (2020) The burden of depression in adolescents and the importance of early recognition. </w:t>
      </w:r>
      <w:r>
        <w:rPr>
          <w:rFonts w:ascii="Arial" w:eastAsia="Arial" w:hAnsi="Arial" w:cs="Arial"/>
          <w:i/>
          <w:iCs/>
        </w:rPr>
        <w:t xml:space="preserve">European </w:t>
      </w:r>
      <w:proofErr w:type="spellStart"/>
      <w:r>
        <w:rPr>
          <w:rFonts w:ascii="Arial" w:eastAsia="Arial" w:hAnsi="Arial" w:cs="Arial"/>
          <w:i/>
          <w:iCs/>
        </w:rPr>
        <w:t>Paediatric</w:t>
      </w:r>
      <w:proofErr w:type="spellEnd"/>
      <w:r>
        <w:rPr>
          <w:rFonts w:ascii="Arial" w:eastAsia="Arial" w:hAnsi="Arial" w:cs="Arial"/>
          <w:i/>
          <w:iCs/>
        </w:rPr>
        <w:t xml:space="preserve"> Association, </w:t>
      </w:r>
      <w:r>
        <w:rPr>
          <w:rFonts w:ascii="Arial" w:eastAsia="Arial" w:hAnsi="Arial" w:cs="Arial"/>
        </w:rPr>
        <w:t xml:space="preserve">218, p.265-267. </w:t>
      </w:r>
    </w:p>
    <w:p w14:paraId="60B47CCC" w14:textId="77777777" w:rsidR="00E93BD8" w:rsidRDefault="00000000">
      <w:pPr>
        <w:spacing w:line="360" w:lineRule="auto"/>
        <w:jc w:val="both"/>
        <w:rPr>
          <w:rFonts w:ascii="Arial" w:eastAsia="Arial" w:hAnsi="Arial" w:cs="Arial"/>
        </w:rPr>
      </w:pPr>
      <w:r>
        <w:rPr>
          <w:rFonts w:ascii="Arial" w:eastAsia="Arial" w:hAnsi="Arial" w:cs="Arial"/>
        </w:rPr>
        <w:t xml:space="preserve">Pile, V., Shammas, D. and Smith, P. (2019) Assessment and treatment of depression in children and young people in the United Kingdom: comparison of access to services and provision at two time points. </w:t>
      </w:r>
      <w:r>
        <w:rPr>
          <w:rFonts w:ascii="Arial" w:eastAsia="Arial" w:hAnsi="Arial" w:cs="Arial"/>
          <w:i/>
          <w:iCs/>
        </w:rPr>
        <w:t xml:space="preserve">Clinical Child Psychology and Psychiatry, </w:t>
      </w:r>
      <w:r>
        <w:rPr>
          <w:rFonts w:ascii="Arial" w:eastAsia="Arial" w:hAnsi="Arial" w:cs="Arial"/>
        </w:rPr>
        <w:t xml:space="preserve">25(1). </w:t>
      </w:r>
      <w:hyperlink r:id="rId33">
        <w:r w:rsidR="00E93BD8">
          <w:rPr>
            <w:rFonts w:ascii="Arial" w:eastAsia="Arial" w:hAnsi="Arial" w:cs="Arial"/>
            <w:color w:val="0563C1"/>
            <w:u w:val="single"/>
          </w:rPr>
          <w:t>https://doi.org/10.1177/1359104519858112</w:t>
        </w:r>
      </w:hyperlink>
      <w:r>
        <w:rPr>
          <w:rFonts w:ascii="Arial" w:eastAsia="Arial" w:hAnsi="Arial" w:cs="Arial"/>
        </w:rPr>
        <w:t xml:space="preserve"> </w:t>
      </w:r>
    </w:p>
    <w:p w14:paraId="07248F2E" w14:textId="77777777" w:rsidR="00E93BD8" w:rsidRDefault="00000000">
      <w:pPr>
        <w:spacing w:line="360" w:lineRule="auto"/>
        <w:jc w:val="both"/>
        <w:rPr>
          <w:rFonts w:ascii="Arial" w:eastAsia="Arial" w:hAnsi="Arial" w:cs="Arial"/>
        </w:rPr>
      </w:pPr>
      <w:r>
        <w:rPr>
          <w:rFonts w:ascii="Arial" w:eastAsia="Arial" w:hAnsi="Arial" w:cs="Arial"/>
        </w:rPr>
        <w:t xml:space="preserve">Saunders, M. N., Lewis, P. and Thornhill, A. (2019) </w:t>
      </w:r>
      <w:r>
        <w:rPr>
          <w:rFonts w:ascii="Arial" w:eastAsia="Arial" w:hAnsi="Arial" w:cs="Arial"/>
          <w:i/>
          <w:iCs/>
        </w:rPr>
        <w:t>Research methods for business students.</w:t>
      </w:r>
      <w:r>
        <w:rPr>
          <w:rFonts w:ascii="Arial" w:eastAsia="Arial" w:hAnsi="Arial" w:cs="Arial"/>
        </w:rPr>
        <w:t xml:space="preserve"> 8th Edition, New York: Pearson.</w:t>
      </w:r>
    </w:p>
    <w:p w14:paraId="20958EDC" w14:textId="77777777" w:rsidR="00E93BD8" w:rsidRDefault="00000000">
      <w:pPr>
        <w:spacing w:line="360" w:lineRule="auto"/>
        <w:jc w:val="both"/>
        <w:rPr>
          <w:rFonts w:ascii="Arial" w:eastAsia="Arial" w:hAnsi="Arial" w:cs="Arial"/>
        </w:rPr>
      </w:pPr>
      <w:proofErr w:type="spellStart"/>
      <w:r>
        <w:rPr>
          <w:rFonts w:ascii="Arial" w:eastAsia="Arial" w:hAnsi="Arial" w:cs="Arial"/>
        </w:rPr>
        <w:t>Sikstrom</w:t>
      </w:r>
      <w:proofErr w:type="spellEnd"/>
      <w:r>
        <w:rPr>
          <w:rFonts w:ascii="Arial" w:eastAsia="Arial" w:hAnsi="Arial" w:cs="Arial"/>
        </w:rPr>
        <w:t xml:space="preserve">, S., Kelmendi, B. and Persson, N. (2023) Assessment of depression and anxiety in young and old with a question-based computational language approach. </w:t>
      </w:r>
      <w:r>
        <w:rPr>
          <w:rFonts w:ascii="Arial" w:eastAsia="Arial" w:hAnsi="Arial" w:cs="Arial"/>
          <w:i/>
          <w:iCs/>
        </w:rPr>
        <w:t xml:space="preserve">Npj Mental health Research, </w:t>
      </w:r>
      <w:r>
        <w:rPr>
          <w:rFonts w:ascii="Arial" w:eastAsia="Arial" w:hAnsi="Arial" w:cs="Arial"/>
        </w:rPr>
        <w:t xml:space="preserve">2(11). </w:t>
      </w:r>
      <w:hyperlink r:id="rId34">
        <w:r w:rsidR="00E93BD8">
          <w:rPr>
            <w:rFonts w:ascii="Arial" w:eastAsia="Arial" w:hAnsi="Arial" w:cs="Arial"/>
            <w:color w:val="0563C1"/>
            <w:u w:val="single"/>
          </w:rPr>
          <w:t>https://doi.org/10.1038/s44184-023-00032-z</w:t>
        </w:r>
      </w:hyperlink>
    </w:p>
    <w:p w14:paraId="24965BC6" w14:textId="77777777" w:rsidR="00E93BD8" w:rsidRDefault="00000000">
      <w:pPr>
        <w:spacing w:line="360" w:lineRule="auto"/>
        <w:jc w:val="both"/>
        <w:rPr>
          <w:rFonts w:ascii="Arial" w:eastAsia="Arial" w:hAnsi="Arial" w:cs="Arial"/>
        </w:rPr>
      </w:pPr>
      <w:r>
        <w:rPr>
          <w:rFonts w:ascii="Arial" w:eastAsia="Arial" w:hAnsi="Arial" w:cs="Arial"/>
        </w:rPr>
        <w:t xml:space="preserve">Smith, D. J. and Blackwood, D. H. (2004) Depression in young adults. </w:t>
      </w:r>
      <w:r>
        <w:rPr>
          <w:rFonts w:ascii="Arial" w:eastAsia="Arial" w:hAnsi="Arial" w:cs="Arial"/>
          <w:i/>
          <w:iCs/>
        </w:rPr>
        <w:t xml:space="preserve">Advances in Psychiatric Treatment, </w:t>
      </w:r>
      <w:r>
        <w:rPr>
          <w:rFonts w:ascii="Arial" w:eastAsia="Arial" w:hAnsi="Arial" w:cs="Arial"/>
        </w:rPr>
        <w:t xml:space="preserve">10(1), 4-12. </w:t>
      </w:r>
      <w:hyperlink r:id="rId35">
        <w:r w:rsidR="00E93BD8">
          <w:rPr>
            <w:rFonts w:ascii="Arial" w:eastAsia="Arial" w:hAnsi="Arial" w:cs="Arial"/>
            <w:color w:val="0563C1"/>
            <w:u w:val="single"/>
          </w:rPr>
          <w:t>http://dx.doi.org/10.1192/apt.10.1.4</w:t>
        </w:r>
      </w:hyperlink>
      <w:r>
        <w:rPr>
          <w:rFonts w:ascii="Arial" w:eastAsia="Arial" w:hAnsi="Arial" w:cs="Arial"/>
        </w:rPr>
        <w:t xml:space="preserve"> </w:t>
      </w:r>
    </w:p>
    <w:p w14:paraId="374B8A34" w14:textId="77777777" w:rsidR="00E93BD8" w:rsidRDefault="00000000">
      <w:pPr>
        <w:spacing w:line="360" w:lineRule="auto"/>
        <w:jc w:val="both"/>
        <w:rPr>
          <w:rFonts w:ascii="Arial" w:eastAsia="Arial" w:hAnsi="Arial" w:cs="Arial"/>
        </w:rPr>
      </w:pPr>
      <w:r>
        <w:rPr>
          <w:rFonts w:ascii="Arial" w:eastAsia="Arial" w:hAnsi="Arial" w:cs="Arial"/>
        </w:rPr>
        <w:t xml:space="preserve">Snyder, H. (2019) Literature review as a research methodology: an overview and guidelines. </w:t>
      </w:r>
      <w:r>
        <w:rPr>
          <w:rFonts w:ascii="Arial" w:eastAsia="Arial" w:hAnsi="Arial" w:cs="Arial"/>
          <w:i/>
          <w:iCs/>
        </w:rPr>
        <w:t xml:space="preserve">Journal of Business Research, </w:t>
      </w:r>
      <w:r>
        <w:rPr>
          <w:rFonts w:ascii="Arial" w:eastAsia="Arial" w:hAnsi="Arial" w:cs="Arial"/>
        </w:rPr>
        <w:t xml:space="preserve">104, 333-339. </w:t>
      </w:r>
      <w:hyperlink r:id="rId36">
        <w:r w:rsidR="00E93BD8">
          <w:rPr>
            <w:rFonts w:ascii="Arial" w:eastAsia="Arial" w:hAnsi="Arial" w:cs="Arial"/>
            <w:color w:val="0563C1"/>
            <w:u w:val="single"/>
          </w:rPr>
          <w:t>https://doi.org/10.1016/j.jbusres.2019.07.039</w:t>
        </w:r>
      </w:hyperlink>
      <w:r>
        <w:rPr>
          <w:rFonts w:ascii="Arial" w:eastAsia="Arial" w:hAnsi="Arial" w:cs="Arial"/>
        </w:rPr>
        <w:t xml:space="preserve"> </w:t>
      </w:r>
    </w:p>
    <w:p w14:paraId="6801CD79" w14:textId="77777777" w:rsidR="00E93BD8" w:rsidRDefault="00000000">
      <w:pPr>
        <w:spacing w:line="360" w:lineRule="auto"/>
        <w:jc w:val="both"/>
        <w:rPr>
          <w:rFonts w:ascii="Arial" w:eastAsia="Arial" w:hAnsi="Arial" w:cs="Arial"/>
        </w:rPr>
      </w:pPr>
      <w:r>
        <w:rPr>
          <w:rFonts w:ascii="Arial" w:eastAsia="Arial" w:hAnsi="Arial" w:cs="Arial"/>
        </w:rPr>
        <w:t xml:space="preserve">Sohrabi, C., Franchi, T., Mattew, G., Kerwan, A., Nicola, M., Griffin, M., Agha, M. and Agha, R. (2021) PRISMA 2020 statement: what’s new and the importance of reporting guidelines. </w:t>
      </w:r>
      <w:r>
        <w:rPr>
          <w:rFonts w:ascii="Arial" w:eastAsia="Arial" w:hAnsi="Arial" w:cs="Arial"/>
          <w:i/>
          <w:iCs/>
        </w:rPr>
        <w:t xml:space="preserve">International Journal of Surgery, </w:t>
      </w:r>
      <w:r>
        <w:rPr>
          <w:rFonts w:ascii="Arial" w:eastAsia="Arial" w:hAnsi="Arial" w:cs="Arial"/>
        </w:rPr>
        <w:t xml:space="preserve">88. </w:t>
      </w:r>
      <w:hyperlink r:id="rId37">
        <w:r w:rsidR="00E93BD8">
          <w:rPr>
            <w:rFonts w:ascii="Arial" w:eastAsia="Arial" w:hAnsi="Arial" w:cs="Arial"/>
            <w:color w:val="0563C1"/>
            <w:u w:val="single"/>
          </w:rPr>
          <w:t>https://doi.org/10.1016/j.ijsu.2021.105918</w:t>
        </w:r>
      </w:hyperlink>
      <w:r>
        <w:rPr>
          <w:rFonts w:ascii="Arial" w:eastAsia="Arial" w:hAnsi="Arial" w:cs="Arial"/>
        </w:rPr>
        <w:t xml:space="preserve"> </w:t>
      </w:r>
    </w:p>
    <w:p w14:paraId="283479F8" w14:textId="77777777" w:rsidR="00E93BD8" w:rsidRDefault="00000000">
      <w:pPr>
        <w:spacing w:line="360" w:lineRule="auto"/>
        <w:jc w:val="both"/>
        <w:rPr>
          <w:rFonts w:ascii="Arial" w:eastAsia="Arial" w:hAnsi="Arial" w:cs="Arial"/>
        </w:rPr>
      </w:pPr>
      <w:r>
        <w:rPr>
          <w:rFonts w:ascii="Arial" w:eastAsia="Arial" w:hAnsi="Arial" w:cs="Arial"/>
        </w:rPr>
        <w:t xml:space="preserve">Statista (2022) Young people experiencing feelings of depression in the United Kingdom 2009-2021. Available at: </w:t>
      </w:r>
      <w:hyperlink r:id="rId38" w:anchor=":~:text=In%20the%20United%20Kingdom%20(UK,from%2015%20percent%20in%202010">
        <w:r w:rsidR="00E93BD8">
          <w:rPr>
            <w:rFonts w:ascii="Arial" w:eastAsia="Arial" w:hAnsi="Arial" w:cs="Arial"/>
            <w:color w:val="0563C1"/>
            <w:u w:val="single"/>
          </w:rPr>
          <w:t>https://www.statista.com/statistics/1199302/depression-among-young-people-in-the-united-</w:t>
        </w:r>
        <w:r w:rsidR="00E93BD8">
          <w:rPr>
            <w:rFonts w:ascii="Arial" w:eastAsia="Arial" w:hAnsi="Arial" w:cs="Arial"/>
            <w:color w:val="0563C1"/>
            <w:u w:val="single"/>
          </w:rPr>
          <w:lastRenderedPageBreak/>
          <w:t>kingdom/#:~:text=In%20the%20United%20Kingdom%20(UK,from%2015%20percent%20in%202010</w:t>
        </w:r>
      </w:hyperlink>
      <w:r>
        <w:rPr>
          <w:rFonts w:ascii="Arial" w:eastAsia="Arial" w:hAnsi="Arial" w:cs="Arial"/>
        </w:rPr>
        <w:t>. (Accessed 19</w:t>
      </w:r>
      <w:r>
        <w:rPr>
          <w:rFonts w:ascii="Arial" w:eastAsia="Arial" w:hAnsi="Arial" w:cs="Arial"/>
          <w:vertAlign w:val="superscript"/>
        </w:rPr>
        <w:t>th</w:t>
      </w:r>
      <w:r>
        <w:rPr>
          <w:rFonts w:ascii="Arial" w:eastAsia="Arial" w:hAnsi="Arial" w:cs="Arial"/>
        </w:rPr>
        <w:t xml:space="preserve"> June 2025).</w:t>
      </w:r>
    </w:p>
    <w:p w14:paraId="0037DEDD" w14:textId="77777777" w:rsidR="00E93BD8" w:rsidRDefault="00000000">
      <w:pPr>
        <w:spacing w:line="360" w:lineRule="auto"/>
        <w:jc w:val="both"/>
        <w:rPr>
          <w:rFonts w:ascii="Arial" w:eastAsia="Arial" w:hAnsi="Arial" w:cs="Arial"/>
        </w:rPr>
      </w:pPr>
      <w:r>
        <w:rPr>
          <w:rFonts w:ascii="Arial" w:eastAsia="Arial" w:hAnsi="Arial" w:cs="Arial"/>
        </w:rPr>
        <w:t xml:space="preserve">Tawfik, G. M., Dila, K. A., Mohamed, M. Y., Tam, D. N., Kien, N. D., Ahmed, A. M. and Huy, N. T. (2019) A step-by-step guide for conducting a systematic review and meta-analysis with simulation data. </w:t>
      </w:r>
      <w:r>
        <w:rPr>
          <w:rFonts w:ascii="Arial" w:eastAsia="Arial" w:hAnsi="Arial" w:cs="Arial"/>
          <w:i/>
          <w:iCs/>
        </w:rPr>
        <w:t xml:space="preserve">Tropical Medicine and Health, </w:t>
      </w:r>
      <w:r>
        <w:rPr>
          <w:rFonts w:ascii="Arial" w:eastAsia="Arial" w:hAnsi="Arial" w:cs="Arial"/>
        </w:rPr>
        <w:t xml:space="preserve">47(46). </w:t>
      </w:r>
      <w:hyperlink r:id="rId39">
        <w:r w:rsidR="00E93BD8">
          <w:rPr>
            <w:rFonts w:ascii="Arial" w:eastAsia="Arial" w:hAnsi="Arial" w:cs="Arial"/>
            <w:color w:val="0563C1"/>
            <w:u w:val="single"/>
          </w:rPr>
          <w:t>https://doi.org/10.1186/s41182-019-0165-6</w:t>
        </w:r>
      </w:hyperlink>
      <w:r>
        <w:rPr>
          <w:rFonts w:ascii="Arial" w:eastAsia="Arial" w:hAnsi="Arial" w:cs="Arial"/>
        </w:rPr>
        <w:t xml:space="preserve"> </w:t>
      </w:r>
    </w:p>
    <w:p w14:paraId="7A6D6780" w14:textId="77777777" w:rsidR="00E93BD8" w:rsidRDefault="00000000">
      <w:pPr>
        <w:spacing w:line="360" w:lineRule="auto"/>
        <w:jc w:val="both"/>
        <w:rPr>
          <w:rFonts w:ascii="Arial" w:eastAsia="Arial" w:hAnsi="Arial" w:cs="Arial"/>
        </w:rPr>
      </w:pPr>
      <w:r>
        <w:rPr>
          <w:rFonts w:ascii="Arial" w:eastAsia="Arial" w:hAnsi="Arial" w:cs="Arial"/>
        </w:rPr>
        <w:t xml:space="preserve">Thapar, A., Eyre, O., Patel, V. and Brent, D. (2022) Depression in young people. </w:t>
      </w:r>
      <w:r>
        <w:rPr>
          <w:rFonts w:ascii="Arial" w:eastAsia="Arial" w:hAnsi="Arial" w:cs="Arial"/>
          <w:i/>
          <w:iCs/>
        </w:rPr>
        <w:t xml:space="preserve">Lancet, </w:t>
      </w:r>
      <w:r>
        <w:rPr>
          <w:rFonts w:ascii="Arial" w:eastAsia="Arial" w:hAnsi="Arial" w:cs="Arial"/>
        </w:rPr>
        <w:t xml:space="preserve">400(10352), 617-631. </w:t>
      </w:r>
      <w:hyperlink r:id="rId40">
        <w:r w:rsidR="00E93BD8">
          <w:rPr>
            <w:rFonts w:ascii="Arial" w:eastAsia="Arial" w:hAnsi="Arial" w:cs="Arial"/>
            <w:color w:val="0563C1"/>
            <w:u w:val="single"/>
          </w:rPr>
          <w:t>https://doi.org/10.1016/s0140-6736(22)01012-1</w:t>
        </w:r>
      </w:hyperlink>
      <w:r>
        <w:rPr>
          <w:rFonts w:ascii="Arial" w:eastAsia="Arial" w:hAnsi="Arial" w:cs="Arial"/>
        </w:rPr>
        <w:t xml:space="preserve"> </w:t>
      </w:r>
    </w:p>
    <w:p w14:paraId="52288193" w14:textId="77777777" w:rsidR="00E93BD8" w:rsidRDefault="00000000">
      <w:pPr>
        <w:spacing w:line="360" w:lineRule="auto"/>
        <w:jc w:val="both"/>
        <w:rPr>
          <w:rFonts w:ascii="Arial" w:eastAsia="Arial" w:hAnsi="Arial" w:cs="Arial"/>
        </w:rPr>
      </w:pPr>
      <w:r>
        <w:rPr>
          <w:rFonts w:ascii="Arial" w:eastAsia="Arial" w:hAnsi="Arial" w:cs="Arial"/>
        </w:rPr>
        <w:t xml:space="preserve">Usman, L. S. (2011) Systematic reviews and meta-analyses. </w:t>
      </w:r>
      <w:r>
        <w:rPr>
          <w:rFonts w:ascii="Arial" w:eastAsia="Arial" w:hAnsi="Arial" w:cs="Arial"/>
          <w:i/>
          <w:iCs/>
        </w:rPr>
        <w:t xml:space="preserve">Journal of the Academy of Child and Adolescent Psychology, </w:t>
      </w:r>
      <w:r>
        <w:rPr>
          <w:rFonts w:ascii="Arial" w:eastAsia="Arial" w:hAnsi="Arial" w:cs="Arial"/>
        </w:rPr>
        <w:t>20(1), 57-59.</w:t>
      </w:r>
    </w:p>
    <w:p w14:paraId="76FFD82A" w14:textId="77777777" w:rsidR="00E93BD8" w:rsidRDefault="00000000">
      <w:pPr>
        <w:spacing w:line="360" w:lineRule="auto"/>
        <w:jc w:val="both"/>
        <w:rPr>
          <w:rFonts w:ascii="Arial" w:eastAsia="Arial" w:hAnsi="Arial" w:cs="Arial"/>
        </w:rPr>
      </w:pPr>
      <w:r>
        <w:rPr>
          <w:rFonts w:ascii="Arial" w:eastAsia="Arial" w:hAnsi="Arial" w:cs="Arial"/>
        </w:rPr>
        <w:t xml:space="preserve">Wang, G. and Sabran, K. (2024) Assessing depression and anxiety among young adults after epidemics and pandemics: a cross-sectional study in Anyang, China. </w:t>
      </w:r>
      <w:r>
        <w:rPr>
          <w:rFonts w:ascii="Arial" w:eastAsia="Arial" w:hAnsi="Arial" w:cs="Arial"/>
          <w:i/>
          <w:iCs/>
        </w:rPr>
        <w:t xml:space="preserve">Scientific Reports, </w:t>
      </w:r>
      <w:r>
        <w:rPr>
          <w:rFonts w:ascii="Arial" w:eastAsia="Arial" w:hAnsi="Arial" w:cs="Arial"/>
        </w:rPr>
        <w:t xml:space="preserve">14(2759). </w:t>
      </w:r>
      <w:hyperlink r:id="rId41">
        <w:r w:rsidR="00E93BD8">
          <w:rPr>
            <w:rFonts w:ascii="Arial" w:eastAsia="Arial" w:hAnsi="Arial" w:cs="Arial"/>
            <w:color w:val="0563C1"/>
            <w:u w:val="single"/>
          </w:rPr>
          <w:t>https://doi.org/10.1038/s41598-024-53292-w</w:t>
        </w:r>
      </w:hyperlink>
      <w:r>
        <w:rPr>
          <w:rFonts w:ascii="Arial" w:eastAsia="Arial" w:hAnsi="Arial" w:cs="Arial"/>
        </w:rPr>
        <w:t xml:space="preserve"> </w:t>
      </w:r>
    </w:p>
    <w:p w14:paraId="5014B573" w14:textId="77777777" w:rsidR="00E93BD8" w:rsidRDefault="00000000">
      <w:pPr>
        <w:spacing w:line="360" w:lineRule="auto"/>
        <w:jc w:val="both"/>
        <w:rPr>
          <w:rFonts w:ascii="Arial" w:eastAsia="Arial" w:hAnsi="Arial" w:cs="Arial"/>
        </w:rPr>
      </w:pPr>
      <w:r>
        <w:rPr>
          <w:rFonts w:ascii="Arial" w:eastAsia="Arial" w:hAnsi="Arial" w:cs="Arial"/>
        </w:rPr>
        <w:t xml:space="preserve">Xiang, A. H., Martinez, P. M., Chow, T., Carter, S. A., </w:t>
      </w:r>
      <w:proofErr w:type="spellStart"/>
      <w:r>
        <w:rPr>
          <w:rFonts w:ascii="Arial" w:eastAsia="Arial" w:hAnsi="Arial" w:cs="Arial"/>
        </w:rPr>
        <w:t>Negriff</w:t>
      </w:r>
      <w:proofErr w:type="spellEnd"/>
      <w:r>
        <w:rPr>
          <w:rFonts w:ascii="Arial" w:eastAsia="Arial" w:hAnsi="Arial" w:cs="Arial"/>
        </w:rPr>
        <w:t xml:space="preserve">, S., Velasquez, B., Spitzer, J., Zuberbuhler, C., Zuker, A. and Kumar, S. (2024) Depression and anxiety among US children and young adults. </w:t>
      </w:r>
      <w:r>
        <w:rPr>
          <w:rFonts w:ascii="Arial" w:eastAsia="Arial" w:hAnsi="Arial" w:cs="Arial"/>
          <w:i/>
          <w:iCs/>
        </w:rPr>
        <w:t xml:space="preserve">JAMA Network Open, </w:t>
      </w:r>
      <w:r>
        <w:rPr>
          <w:rFonts w:ascii="Arial" w:eastAsia="Arial" w:hAnsi="Arial" w:cs="Arial"/>
        </w:rPr>
        <w:t xml:space="preserve">7(10), e2436906. doi:10.1001/jamanetworkopen.2024.36906 </w:t>
      </w:r>
    </w:p>
    <w:p w14:paraId="4581CFB9" w14:textId="77777777" w:rsidR="00E93BD8" w:rsidRDefault="00000000">
      <w:pPr>
        <w:spacing w:line="360" w:lineRule="auto"/>
        <w:jc w:val="both"/>
        <w:rPr>
          <w:rFonts w:ascii="Arial" w:eastAsia="Arial" w:hAnsi="Arial" w:cs="Arial"/>
        </w:rPr>
      </w:pPr>
      <w:r>
        <w:rPr>
          <w:rFonts w:ascii="Arial" w:eastAsia="Arial" w:hAnsi="Arial" w:cs="Arial"/>
        </w:rPr>
        <w:t xml:space="preserve">Yang, C., </w:t>
      </w:r>
      <w:proofErr w:type="spellStart"/>
      <w:r>
        <w:rPr>
          <w:rFonts w:ascii="Arial" w:eastAsia="Arial" w:hAnsi="Arial" w:cs="Arial"/>
        </w:rPr>
        <w:t>Lv</w:t>
      </w:r>
      <w:proofErr w:type="spellEnd"/>
      <w:r>
        <w:rPr>
          <w:rFonts w:ascii="Arial" w:eastAsia="Arial" w:hAnsi="Arial" w:cs="Arial"/>
        </w:rPr>
        <w:t xml:space="preserve">, J., Kong, X., Chu, F., Li, Z., Lu, W. and Li, X. (2024) Global, regional and national burdens of depression in adolescents and young adults aged 10-24 years, from 1990 to 2019: findings from the 2019 global burden of disease study. </w:t>
      </w:r>
      <w:r>
        <w:rPr>
          <w:rFonts w:ascii="Arial" w:eastAsia="Arial" w:hAnsi="Arial" w:cs="Arial"/>
          <w:i/>
          <w:iCs/>
        </w:rPr>
        <w:t xml:space="preserve">The British Journal of Psychiatry, </w:t>
      </w:r>
      <w:r>
        <w:rPr>
          <w:rFonts w:ascii="Arial" w:eastAsia="Arial" w:hAnsi="Arial" w:cs="Arial"/>
        </w:rPr>
        <w:t xml:space="preserve">225(2), 311-320. </w:t>
      </w:r>
      <w:proofErr w:type="spellStart"/>
      <w:r>
        <w:rPr>
          <w:rFonts w:ascii="Arial" w:eastAsia="Arial" w:hAnsi="Arial" w:cs="Arial"/>
        </w:rPr>
        <w:t>doi</w:t>
      </w:r>
      <w:proofErr w:type="spellEnd"/>
      <w:r>
        <w:rPr>
          <w:rFonts w:ascii="Arial" w:eastAsia="Arial" w:hAnsi="Arial" w:cs="Arial"/>
        </w:rPr>
        <w:t xml:space="preserve">: 10.1192/bjp.2024.69 </w:t>
      </w:r>
    </w:p>
    <w:p w14:paraId="200AC8F8" w14:textId="77777777" w:rsidR="00E93BD8" w:rsidRDefault="00000000">
      <w:pPr>
        <w:spacing w:line="360" w:lineRule="auto"/>
        <w:jc w:val="both"/>
        <w:rPr>
          <w:rFonts w:ascii="Arial" w:eastAsia="Arial" w:hAnsi="Arial" w:cs="Arial"/>
        </w:rPr>
      </w:pPr>
      <w:r>
        <w:rPr>
          <w:rFonts w:ascii="Arial" w:eastAsia="Arial" w:hAnsi="Arial" w:cs="Arial"/>
        </w:rPr>
        <w:t xml:space="preserve">Zhang, J., Liu, D., Ding, L. and Du, G. (2023) Prevalence of depression in junior and senior adolescents. </w:t>
      </w:r>
      <w:r>
        <w:rPr>
          <w:rFonts w:ascii="Arial" w:eastAsia="Arial" w:hAnsi="Arial" w:cs="Arial"/>
          <w:i/>
          <w:iCs/>
        </w:rPr>
        <w:t xml:space="preserve">Frontiers in Psychiatry, </w:t>
      </w:r>
      <w:r>
        <w:rPr>
          <w:rFonts w:ascii="Arial" w:eastAsia="Arial" w:hAnsi="Arial" w:cs="Arial"/>
        </w:rPr>
        <w:t xml:space="preserve">14. </w:t>
      </w:r>
      <w:hyperlink r:id="rId42">
        <w:r w:rsidR="00E93BD8">
          <w:rPr>
            <w:rFonts w:ascii="Arial" w:eastAsia="Arial" w:hAnsi="Arial" w:cs="Arial"/>
            <w:color w:val="0563C1"/>
            <w:u w:val="single"/>
          </w:rPr>
          <w:t>https://doi.org/10.3389/fpsyt.2023.1182024</w:t>
        </w:r>
      </w:hyperlink>
      <w:r>
        <w:rPr>
          <w:rFonts w:ascii="Arial" w:eastAsia="Arial" w:hAnsi="Arial" w:cs="Arial"/>
        </w:rPr>
        <w:t xml:space="preserve"> </w:t>
      </w:r>
    </w:p>
    <w:p w14:paraId="58CCA6FC" w14:textId="77777777" w:rsidR="00E93BD8" w:rsidRDefault="00E93BD8">
      <w:pPr>
        <w:rPr>
          <w:rFonts w:ascii="Arial" w:eastAsia="Arial" w:hAnsi="Arial" w:cs="Arial"/>
        </w:rPr>
      </w:pPr>
    </w:p>
    <w:p w14:paraId="3E2F0A08" w14:textId="77777777" w:rsidR="00E93BD8" w:rsidRDefault="00E93BD8">
      <w:pPr>
        <w:spacing w:line="360" w:lineRule="auto"/>
        <w:jc w:val="both"/>
        <w:rPr>
          <w:rFonts w:ascii="Arial" w:eastAsia="Arial" w:hAnsi="Arial" w:cs="Arial"/>
        </w:rPr>
      </w:pPr>
    </w:p>
    <w:p w14:paraId="66F84F13" w14:textId="77777777" w:rsidR="00E93BD8" w:rsidRDefault="00E93BD8">
      <w:pPr>
        <w:spacing w:line="360" w:lineRule="auto"/>
        <w:jc w:val="both"/>
        <w:rPr>
          <w:rFonts w:ascii="Arial" w:eastAsia="Arial" w:hAnsi="Arial" w:cs="Arial"/>
        </w:rPr>
        <w:sectPr w:rsidR="00E93BD8">
          <w:pgSz w:w="12240" w:h="15840"/>
          <w:pgMar w:top="1440" w:right="1440" w:bottom="1440" w:left="1440" w:header="708" w:footer="708" w:gutter="0"/>
          <w:cols w:space="720"/>
        </w:sectPr>
      </w:pPr>
    </w:p>
    <w:p w14:paraId="5EFE78FF" w14:textId="77777777" w:rsidR="00E93BD8" w:rsidRDefault="00000000">
      <w:pPr>
        <w:pStyle w:val="Heading1"/>
        <w:jc w:val="center"/>
        <w:rPr>
          <w:rFonts w:ascii="Arial" w:eastAsia="Arial" w:hAnsi="Arial" w:cs="Arial"/>
          <w:b/>
          <w:bCs/>
          <w:color w:val="000000"/>
          <w:sz w:val="24"/>
          <w:szCs w:val="24"/>
        </w:rPr>
      </w:pPr>
      <w:bookmarkStart w:id="68" w:name="_heading=h.xbxlaaafhv4d" w:colFirst="0" w:colLast="0"/>
      <w:bookmarkEnd w:id="68"/>
      <w:r>
        <w:rPr>
          <w:rFonts w:ascii="Arial" w:eastAsia="Arial" w:hAnsi="Arial" w:cs="Arial"/>
          <w:b/>
          <w:bCs/>
          <w:color w:val="000000"/>
          <w:sz w:val="24"/>
          <w:szCs w:val="24"/>
        </w:rPr>
        <w:lastRenderedPageBreak/>
        <w:t>APPENDICES</w:t>
      </w:r>
    </w:p>
    <w:p w14:paraId="6374BA75" w14:textId="77777777" w:rsidR="00E93BD8" w:rsidRDefault="00000000">
      <w:pPr>
        <w:pStyle w:val="Heading3"/>
        <w:jc w:val="both"/>
        <w:rPr>
          <w:rFonts w:ascii="Arial" w:eastAsia="Arial" w:hAnsi="Arial" w:cs="Arial"/>
          <w:b/>
          <w:bCs/>
          <w:color w:val="000000"/>
          <w:sz w:val="24"/>
          <w:szCs w:val="24"/>
        </w:rPr>
      </w:pPr>
      <w:bookmarkStart w:id="69" w:name="_heading=h.ww50v3jctcac" w:colFirst="0" w:colLast="0"/>
      <w:bookmarkEnd w:id="69"/>
      <w:r>
        <w:rPr>
          <w:rFonts w:ascii="Arial" w:eastAsia="Arial" w:hAnsi="Arial" w:cs="Arial"/>
          <w:b/>
          <w:bCs/>
          <w:color w:val="000000"/>
          <w:sz w:val="24"/>
          <w:szCs w:val="24"/>
        </w:rPr>
        <w:t>Descriptive Overview of Studies</w:t>
      </w:r>
    </w:p>
    <w:tbl>
      <w:tblPr>
        <w:tblStyle w:val="a5"/>
        <w:tblW w:w="10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4"/>
        <w:gridCol w:w="1325"/>
        <w:gridCol w:w="1591"/>
        <w:gridCol w:w="1811"/>
        <w:gridCol w:w="1842"/>
        <w:gridCol w:w="2126"/>
      </w:tblGrid>
      <w:tr w:rsidR="00E93BD8" w14:paraId="2831C309" w14:textId="77777777">
        <w:tc>
          <w:tcPr>
            <w:tcW w:w="1364" w:type="dxa"/>
          </w:tcPr>
          <w:p w14:paraId="102202F5" w14:textId="77777777" w:rsidR="00E93BD8" w:rsidRDefault="00000000">
            <w:pPr>
              <w:spacing w:line="360" w:lineRule="auto"/>
              <w:jc w:val="both"/>
              <w:rPr>
                <w:rFonts w:ascii="Arial" w:eastAsia="Arial" w:hAnsi="Arial" w:cs="Arial"/>
              </w:rPr>
            </w:pPr>
            <w:r>
              <w:rPr>
                <w:rFonts w:ascii="Arial" w:eastAsia="Arial" w:hAnsi="Arial" w:cs="Arial"/>
                <w:b/>
                <w:bCs/>
              </w:rPr>
              <w:t>Author(s), Year</w:t>
            </w:r>
          </w:p>
        </w:tc>
        <w:tc>
          <w:tcPr>
            <w:tcW w:w="1325" w:type="dxa"/>
          </w:tcPr>
          <w:p w14:paraId="03D82C6D" w14:textId="77777777" w:rsidR="00E93BD8" w:rsidRDefault="00000000">
            <w:pPr>
              <w:spacing w:line="360" w:lineRule="auto"/>
              <w:jc w:val="both"/>
              <w:rPr>
                <w:rFonts w:ascii="Arial" w:eastAsia="Arial" w:hAnsi="Arial" w:cs="Arial"/>
              </w:rPr>
            </w:pPr>
            <w:r>
              <w:rPr>
                <w:rFonts w:ascii="Arial" w:eastAsia="Arial" w:hAnsi="Arial" w:cs="Arial"/>
                <w:b/>
                <w:bCs/>
              </w:rPr>
              <w:t>Location</w:t>
            </w:r>
          </w:p>
        </w:tc>
        <w:tc>
          <w:tcPr>
            <w:tcW w:w="1591" w:type="dxa"/>
          </w:tcPr>
          <w:p w14:paraId="172D06A6" w14:textId="77777777" w:rsidR="00E93BD8" w:rsidRDefault="00000000">
            <w:pPr>
              <w:spacing w:line="360" w:lineRule="auto"/>
              <w:jc w:val="both"/>
              <w:rPr>
                <w:rFonts w:ascii="Arial" w:eastAsia="Arial" w:hAnsi="Arial" w:cs="Arial"/>
              </w:rPr>
            </w:pPr>
            <w:r>
              <w:rPr>
                <w:rFonts w:ascii="Arial" w:eastAsia="Arial" w:hAnsi="Arial" w:cs="Arial"/>
                <w:b/>
                <w:bCs/>
              </w:rPr>
              <w:t>Participants</w:t>
            </w:r>
          </w:p>
        </w:tc>
        <w:tc>
          <w:tcPr>
            <w:tcW w:w="1811" w:type="dxa"/>
          </w:tcPr>
          <w:p w14:paraId="3564D8DC" w14:textId="77777777" w:rsidR="00E93BD8" w:rsidRDefault="00000000">
            <w:pPr>
              <w:spacing w:line="360" w:lineRule="auto"/>
              <w:jc w:val="both"/>
              <w:rPr>
                <w:rFonts w:ascii="Arial" w:eastAsia="Arial" w:hAnsi="Arial" w:cs="Arial"/>
              </w:rPr>
            </w:pPr>
            <w:r>
              <w:rPr>
                <w:rFonts w:ascii="Arial" w:eastAsia="Arial" w:hAnsi="Arial" w:cs="Arial"/>
                <w:b/>
                <w:bCs/>
              </w:rPr>
              <w:t>Methodology</w:t>
            </w:r>
          </w:p>
        </w:tc>
        <w:tc>
          <w:tcPr>
            <w:tcW w:w="1842" w:type="dxa"/>
          </w:tcPr>
          <w:p w14:paraId="78E03F7E" w14:textId="77777777" w:rsidR="00E93BD8" w:rsidRDefault="00000000">
            <w:pPr>
              <w:spacing w:line="360" w:lineRule="auto"/>
              <w:jc w:val="both"/>
              <w:rPr>
                <w:rFonts w:ascii="Arial" w:eastAsia="Arial" w:hAnsi="Arial" w:cs="Arial"/>
              </w:rPr>
            </w:pPr>
            <w:r>
              <w:rPr>
                <w:rFonts w:ascii="Arial" w:eastAsia="Arial" w:hAnsi="Arial" w:cs="Arial"/>
                <w:b/>
                <w:bCs/>
              </w:rPr>
              <w:t>Research Aim</w:t>
            </w:r>
          </w:p>
        </w:tc>
        <w:tc>
          <w:tcPr>
            <w:tcW w:w="2126" w:type="dxa"/>
          </w:tcPr>
          <w:p w14:paraId="4DF0C13B" w14:textId="77777777" w:rsidR="00E93BD8" w:rsidRDefault="00000000">
            <w:pPr>
              <w:spacing w:line="360" w:lineRule="auto"/>
              <w:jc w:val="both"/>
              <w:rPr>
                <w:rFonts w:ascii="Arial" w:eastAsia="Arial" w:hAnsi="Arial" w:cs="Arial"/>
              </w:rPr>
            </w:pPr>
            <w:r>
              <w:rPr>
                <w:rFonts w:ascii="Arial" w:eastAsia="Arial" w:hAnsi="Arial" w:cs="Arial"/>
                <w:b/>
                <w:bCs/>
              </w:rPr>
              <w:t>Key Findings</w:t>
            </w:r>
          </w:p>
        </w:tc>
      </w:tr>
      <w:tr w:rsidR="00E93BD8" w14:paraId="627E60AE" w14:textId="77777777">
        <w:tc>
          <w:tcPr>
            <w:tcW w:w="1364" w:type="dxa"/>
          </w:tcPr>
          <w:p w14:paraId="1813F881" w14:textId="77777777" w:rsidR="00E93BD8" w:rsidRDefault="00000000">
            <w:pPr>
              <w:spacing w:line="360" w:lineRule="auto"/>
              <w:jc w:val="both"/>
              <w:rPr>
                <w:rFonts w:ascii="Arial" w:eastAsia="Arial" w:hAnsi="Arial" w:cs="Arial"/>
              </w:rPr>
            </w:pPr>
            <w:r>
              <w:rPr>
                <w:rFonts w:ascii="Arial" w:eastAsia="Arial" w:hAnsi="Arial" w:cs="Arial"/>
              </w:rPr>
              <w:t xml:space="preserve">Morales-Munoz </w:t>
            </w:r>
            <w:r>
              <w:rPr>
                <w:rFonts w:ascii="Arial" w:eastAsia="Arial" w:hAnsi="Arial" w:cs="Arial"/>
                <w:i/>
                <w:iCs/>
              </w:rPr>
              <w:t>et al.</w:t>
            </w:r>
            <w:r>
              <w:rPr>
                <w:rFonts w:ascii="Arial" w:eastAsia="Arial" w:hAnsi="Arial" w:cs="Arial"/>
              </w:rPr>
              <w:t xml:space="preserve"> (2023)</w:t>
            </w:r>
          </w:p>
        </w:tc>
        <w:tc>
          <w:tcPr>
            <w:tcW w:w="1325" w:type="dxa"/>
          </w:tcPr>
          <w:p w14:paraId="5131243C" w14:textId="77777777" w:rsidR="00E93BD8" w:rsidRDefault="00000000">
            <w:pPr>
              <w:spacing w:line="360" w:lineRule="auto"/>
              <w:jc w:val="both"/>
              <w:rPr>
                <w:rFonts w:ascii="Arial" w:eastAsia="Arial" w:hAnsi="Arial" w:cs="Arial"/>
              </w:rPr>
            </w:pPr>
            <w:r>
              <w:rPr>
                <w:rFonts w:ascii="Arial" w:eastAsia="Arial" w:hAnsi="Arial" w:cs="Arial"/>
              </w:rPr>
              <w:t>UK (Birth cohort)</w:t>
            </w:r>
          </w:p>
        </w:tc>
        <w:tc>
          <w:tcPr>
            <w:tcW w:w="1591" w:type="dxa"/>
          </w:tcPr>
          <w:p w14:paraId="6547F48D" w14:textId="77777777" w:rsidR="00E93BD8" w:rsidRDefault="00000000">
            <w:pPr>
              <w:spacing w:line="360" w:lineRule="auto"/>
              <w:jc w:val="both"/>
              <w:rPr>
                <w:rFonts w:ascii="Arial" w:eastAsia="Arial" w:hAnsi="Arial" w:cs="Arial"/>
              </w:rPr>
            </w:pPr>
            <w:r>
              <w:rPr>
                <w:rFonts w:ascii="Arial" w:eastAsia="Arial" w:hAnsi="Arial" w:cs="Arial"/>
              </w:rPr>
              <w:t>Adolescents followed into young adulthood</w:t>
            </w:r>
          </w:p>
        </w:tc>
        <w:tc>
          <w:tcPr>
            <w:tcW w:w="1811" w:type="dxa"/>
          </w:tcPr>
          <w:p w14:paraId="147DAE80" w14:textId="77777777" w:rsidR="00E93BD8" w:rsidRDefault="00000000">
            <w:pPr>
              <w:spacing w:line="360" w:lineRule="auto"/>
              <w:jc w:val="both"/>
              <w:rPr>
                <w:rFonts w:ascii="Arial" w:eastAsia="Arial" w:hAnsi="Arial" w:cs="Arial"/>
              </w:rPr>
            </w:pPr>
            <w:r>
              <w:rPr>
                <w:rFonts w:ascii="Arial" w:eastAsia="Arial" w:hAnsi="Arial" w:cs="Arial"/>
              </w:rPr>
              <w:t>Quantitative (longitudinal)</w:t>
            </w:r>
          </w:p>
        </w:tc>
        <w:tc>
          <w:tcPr>
            <w:tcW w:w="1842" w:type="dxa"/>
          </w:tcPr>
          <w:p w14:paraId="349C1FD8" w14:textId="77777777" w:rsidR="00E93BD8" w:rsidRDefault="00000000">
            <w:pPr>
              <w:spacing w:line="360" w:lineRule="auto"/>
              <w:jc w:val="both"/>
              <w:rPr>
                <w:rFonts w:ascii="Arial" w:eastAsia="Arial" w:hAnsi="Arial" w:cs="Arial"/>
              </w:rPr>
            </w:pPr>
            <w:r>
              <w:rPr>
                <w:rFonts w:ascii="Arial" w:eastAsia="Arial" w:hAnsi="Arial" w:cs="Arial"/>
              </w:rPr>
              <w:t>To test effects of adolescent depression on adult outcomes</w:t>
            </w:r>
          </w:p>
        </w:tc>
        <w:tc>
          <w:tcPr>
            <w:tcW w:w="2126" w:type="dxa"/>
          </w:tcPr>
          <w:p w14:paraId="647E75E9" w14:textId="77777777" w:rsidR="00E93BD8" w:rsidRDefault="00000000">
            <w:pPr>
              <w:spacing w:line="360" w:lineRule="auto"/>
              <w:jc w:val="both"/>
              <w:rPr>
                <w:rFonts w:ascii="Arial" w:eastAsia="Arial" w:hAnsi="Arial" w:cs="Arial"/>
              </w:rPr>
            </w:pPr>
            <w:r>
              <w:rPr>
                <w:rFonts w:ascii="Arial" w:eastAsia="Arial" w:hAnsi="Arial" w:cs="Arial"/>
              </w:rPr>
              <w:t>Early depression predicted poor adult health, employment and social outcomes.</w:t>
            </w:r>
          </w:p>
        </w:tc>
      </w:tr>
      <w:tr w:rsidR="00E93BD8" w14:paraId="6EF757A9" w14:textId="77777777">
        <w:tc>
          <w:tcPr>
            <w:tcW w:w="1364" w:type="dxa"/>
          </w:tcPr>
          <w:p w14:paraId="254FE8C6" w14:textId="77777777" w:rsidR="00E93BD8" w:rsidRDefault="00000000">
            <w:pPr>
              <w:spacing w:line="360" w:lineRule="auto"/>
              <w:jc w:val="both"/>
              <w:rPr>
                <w:rFonts w:ascii="Arial" w:eastAsia="Arial" w:hAnsi="Arial" w:cs="Arial"/>
              </w:rPr>
            </w:pPr>
            <w:r>
              <w:rPr>
                <w:rFonts w:ascii="Arial" w:eastAsia="Arial" w:hAnsi="Arial" w:cs="Arial"/>
              </w:rPr>
              <w:t xml:space="preserve">Barker </w:t>
            </w:r>
            <w:r>
              <w:rPr>
                <w:rFonts w:ascii="Arial" w:eastAsia="Arial" w:hAnsi="Arial" w:cs="Arial"/>
                <w:i/>
                <w:iCs/>
              </w:rPr>
              <w:t>et al.</w:t>
            </w:r>
            <w:r>
              <w:rPr>
                <w:rFonts w:ascii="Arial" w:eastAsia="Arial" w:hAnsi="Arial" w:cs="Arial"/>
              </w:rPr>
              <w:t xml:space="preserve"> (2023)</w:t>
            </w:r>
          </w:p>
        </w:tc>
        <w:tc>
          <w:tcPr>
            <w:tcW w:w="1325" w:type="dxa"/>
          </w:tcPr>
          <w:p w14:paraId="05A1CD8C" w14:textId="77777777" w:rsidR="00E93BD8" w:rsidRDefault="00000000">
            <w:pPr>
              <w:spacing w:line="360" w:lineRule="auto"/>
              <w:jc w:val="both"/>
              <w:rPr>
                <w:rFonts w:ascii="Arial" w:eastAsia="Arial" w:hAnsi="Arial" w:cs="Arial"/>
              </w:rPr>
            </w:pPr>
            <w:r>
              <w:rPr>
                <w:rFonts w:ascii="Arial" w:eastAsia="Arial" w:hAnsi="Arial" w:cs="Arial"/>
              </w:rPr>
              <w:t>UK</w:t>
            </w:r>
          </w:p>
        </w:tc>
        <w:tc>
          <w:tcPr>
            <w:tcW w:w="1591" w:type="dxa"/>
          </w:tcPr>
          <w:p w14:paraId="2B5730A1" w14:textId="77777777" w:rsidR="00E93BD8" w:rsidRDefault="00000000">
            <w:pPr>
              <w:spacing w:line="360" w:lineRule="auto"/>
              <w:jc w:val="both"/>
              <w:rPr>
                <w:rFonts w:ascii="Arial" w:eastAsia="Arial" w:hAnsi="Arial" w:cs="Arial"/>
              </w:rPr>
            </w:pPr>
            <w:r>
              <w:rPr>
                <w:rFonts w:ascii="Arial" w:eastAsia="Arial" w:hAnsi="Arial" w:cs="Arial"/>
              </w:rPr>
              <w:t>Children and young people with life-limiting conditions</w:t>
            </w:r>
          </w:p>
        </w:tc>
        <w:tc>
          <w:tcPr>
            <w:tcW w:w="1811" w:type="dxa"/>
          </w:tcPr>
          <w:p w14:paraId="4AF14FE1" w14:textId="77777777" w:rsidR="00E93BD8" w:rsidRDefault="00000000">
            <w:pPr>
              <w:spacing w:line="360" w:lineRule="auto"/>
              <w:jc w:val="both"/>
              <w:rPr>
                <w:rFonts w:ascii="Arial" w:eastAsia="Arial" w:hAnsi="Arial" w:cs="Arial"/>
              </w:rPr>
            </w:pPr>
            <w:r>
              <w:rPr>
                <w:rFonts w:ascii="Arial" w:eastAsia="Arial" w:hAnsi="Arial" w:cs="Arial"/>
              </w:rPr>
              <w:t>Quantitative (registry study)</w:t>
            </w:r>
          </w:p>
        </w:tc>
        <w:tc>
          <w:tcPr>
            <w:tcW w:w="1842" w:type="dxa"/>
          </w:tcPr>
          <w:p w14:paraId="269237D7" w14:textId="77777777" w:rsidR="00E93BD8" w:rsidRDefault="00000000">
            <w:pPr>
              <w:spacing w:line="360" w:lineRule="auto"/>
              <w:jc w:val="both"/>
              <w:rPr>
                <w:rFonts w:ascii="Arial" w:eastAsia="Arial" w:hAnsi="Arial" w:cs="Arial"/>
              </w:rPr>
            </w:pPr>
            <w:r>
              <w:rPr>
                <w:rFonts w:ascii="Arial" w:eastAsia="Arial" w:hAnsi="Arial" w:cs="Arial"/>
              </w:rPr>
              <w:t>To estimate incidence of depression/anxiety in life-limiting conditions</w:t>
            </w:r>
          </w:p>
        </w:tc>
        <w:tc>
          <w:tcPr>
            <w:tcW w:w="2126" w:type="dxa"/>
          </w:tcPr>
          <w:p w14:paraId="5275096C" w14:textId="77777777" w:rsidR="00E93BD8" w:rsidRDefault="00000000">
            <w:pPr>
              <w:spacing w:line="360" w:lineRule="auto"/>
              <w:jc w:val="both"/>
              <w:rPr>
                <w:rFonts w:ascii="Arial" w:eastAsia="Arial" w:hAnsi="Arial" w:cs="Arial"/>
              </w:rPr>
            </w:pPr>
            <w:r>
              <w:rPr>
                <w:rFonts w:ascii="Arial" w:eastAsia="Arial" w:hAnsi="Arial" w:cs="Arial"/>
              </w:rPr>
              <w:t xml:space="preserve">High incidence rates; underscored need for integrated mental health care in </w:t>
            </w:r>
            <w:proofErr w:type="spellStart"/>
            <w:r>
              <w:rPr>
                <w:rFonts w:ascii="Arial" w:eastAsia="Arial" w:hAnsi="Arial" w:cs="Arial"/>
              </w:rPr>
              <w:t>paediatric</w:t>
            </w:r>
            <w:proofErr w:type="spellEnd"/>
            <w:r>
              <w:rPr>
                <w:rFonts w:ascii="Arial" w:eastAsia="Arial" w:hAnsi="Arial" w:cs="Arial"/>
              </w:rPr>
              <w:t xml:space="preserve"> services.</w:t>
            </w:r>
          </w:p>
        </w:tc>
      </w:tr>
      <w:tr w:rsidR="00E93BD8" w14:paraId="72746DEF" w14:textId="77777777">
        <w:tc>
          <w:tcPr>
            <w:tcW w:w="1364" w:type="dxa"/>
          </w:tcPr>
          <w:p w14:paraId="21EAF006" w14:textId="77777777" w:rsidR="00E93BD8" w:rsidRDefault="00000000">
            <w:pPr>
              <w:spacing w:line="360" w:lineRule="auto"/>
              <w:jc w:val="both"/>
              <w:rPr>
                <w:rFonts w:ascii="Arial" w:eastAsia="Arial" w:hAnsi="Arial" w:cs="Arial"/>
              </w:rPr>
            </w:pPr>
            <w:r>
              <w:rPr>
                <w:rFonts w:ascii="Arial" w:eastAsia="Arial" w:hAnsi="Arial" w:cs="Arial"/>
              </w:rPr>
              <w:t xml:space="preserve">Thapar </w:t>
            </w:r>
            <w:r>
              <w:rPr>
                <w:rFonts w:ascii="Arial" w:eastAsia="Arial" w:hAnsi="Arial" w:cs="Arial"/>
                <w:i/>
                <w:iCs/>
              </w:rPr>
              <w:t>et al.</w:t>
            </w:r>
            <w:r>
              <w:rPr>
                <w:rFonts w:ascii="Arial" w:eastAsia="Arial" w:hAnsi="Arial" w:cs="Arial"/>
              </w:rPr>
              <w:t xml:space="preserve"> (2022)</w:t>
            </w:r>
          </w:p>
        </w:tc>
        <w:tc>
          <w:tcPr>
            <w:tcW w:w="1325" w:type="dxa"/>
          </w:tcPr>
          <w:p w14:paraId="4D06D2F2" w14:textId="77777777" w:rsidR="00E93BD8" w:rsidRDefault="00000000">
            <w:pPr>
              <w:spacing w:line="360" w:lineRule="auto"/>
              <w:jc w:val="both"/>
              <w:rPr>
                <w:rFonts w:ascii="Arial" w:eastAsia="Arial" w:hAnsi="Arial" w:cs="Arial"/>
              </w:rPr>
            </w:pPr>
            <w:r>
              <w:rPr>
                <w:rFonts w:ascii="Arial" w:eastAsia="Arial" w:hAnsi="Arial" w:cs="Arial"/>
              </w:rPr>
              <w:t>UK/Global</w:t>
            </w:r>
          </w:p>
        </w:tc>
        <w:tc>
          <w:tcPr>
            <w:tcW w:w="1591" w:type="dxa"/>
          </w:tcPr>
          <w:p w14:paraId="19D773AB" w14:textId="77777777" w:rsidR="00E93BD8" w:rsidRDefault="00000000">
            <w:pPr>
              <w:spacing w:line="360" w:lineRule="auto"/>
              <w:jc w:val="both"/>
              <w:rPr>
                <w:rFonts w:ascii="Arial" w:eastAsia="Arial" w:hAnsi="Arial" w:cs="Arial"/>
              </w:rPr>
            </w:pPr>
            <w:r>
              <w:rPr>
                <w:rFonts w:ascii="Arial" w:eastAsia="Arial" w:hAnsi="Arial" w:cs="Arial"/>
              </w:rPr>
              <w:t>Review of multiple studies on young people</w:t>
            </w:r>
          </w:p>
        </w:tc>
        <w:tc>
          <w:tcPr>
            <w:tcW w:w="1811" w:type="dxa"/>
          </w:tcPr>
          <w:p w14:paraId="797D3438" w14:textId="77777777" w:rsidR="00E93BD8" w:rsidRDefault="00000000">
            <w:pPr>
              <w:spacing w:line="360" w:lineRule="auto"/>
              <w:jc w:val="both"/>
              <w:rPr>
                <w:rFonts w:ascii="Arial" w:eastAsia="Arial" w:hAnsi="Arial" w:cs="Arial"/>
              </w:rPr>
            </w:pPr>
            <w:r>
              <w:rPr>
                <w:rFonts w:ascii="Arial" w:eastAsia="Arial" w:hAnsi="Arial" w:cs="Arial"/>
              </w:rPr>
              <w:t>Narrative review (secondary analysis)</w:t>
            </w:r>
          </w:p>
        </w:tc>
        <w:tc>
          <w:tcPr>
            <w:tcW w:w="1842" w:type="dxa"/>
          </w:tcPr>
          <w:p w14:paraId="53494506" w14:textId="77777777" w:rsidR="00E93BD8" w:rsidRDefault="00000000">
            <w:pPr>
              <w:spacing w:line="360" w:lineRule="auto"/>
              <w:jc w:val="both"/>
              <w:rPr>
                <w:rFonts w:ascii="Arial" w:eastAsia="Arial" w:hAnsi="Arial" w:cs="Arial"/>
              </w:rPr>
            </w:pPr>
            <w:r>
              <w:rPr>
                <w:rFonts w:ascii="Arial" w:eastAsia="Arial" w:hAnsi="Arial" w:cs="Arial"/>
              </w:rPr>
              <w:t xml:space="preserve">To </w:t>
            </w:r>
            <w:proofErr w:type="spellStart"/>
            <w:r>
              <w:rPr>
                <w:rFonts w:ascii="Arial" w:eastAsia="Arial" w:hAnsi="Arial" w:cs="Arial"/>
              </w:rPr>
              <w:t>synthesise</w:t>
            </w:r>
            <w:proofErr w:type="spellEnd"/>
            <w:r>
              <w:rPr>
                <w:rFonts w:ascii="Arial" w:eastAsia="Arial" w:hAnsi="Arial" w:cs="Arial"/>
              </w:rPr>
              <w:t xml:space="preserve"> evidence on depression in young people globally</w:t>
            </w:r>
          </w:p>
        </w:tc>
        <w:tc>
          <w:tcPr>
            <w:tcW w:w="2126" w:type="dxa"/>
          </w:tcPr>
          <w:p w14:paraId="3CE9DA9C" w14:textId="77777777" w:rsidR="00E93BD8" w:rsidRDefault="00000000">
            <w:pPr>
              <w:spacing w:line="360" w:lineRule="auto"/>
              <w:jc w:val="both"/>
              <w:rPr>
                <w:rFonts w:ascii="Arial" w:eastAsia="Arial" w:hAnsi="Arial" w:cs="Arial"/>
              </w:rPr>
            </w:pPr>
            <w:r>
              <w:rPr>
                <w:rFonts w:ascii="Arial" w:eastAsia="Arial" w:hAnsi="Arial" w:cs="Arial"/>
              </w:rPr>
              <w:t>Reported rising prevalence; strong link with social/environmental stressors; highlighted treatment gaps.</w:t>
            </w:r>
          </w:p>
        </w:tc>
      </w:tr>
      <w:tr w:rsidR="00E93BD8" w14:paraId="48AD50D6" w14:textId="77777777">
        <w:tc>
          <w:tcPr>
            <w:tcW w:w="1364" w:type="dxa"/>
          </w:tcPr>
          <w:p w14:paraId="77AA4CCD" w14:textId="77777777" w:rsidR="00E93BD8" w:rsidRDefault="00000000">
            <w:pPr>
              <w:spacing w:line="360" w:lineRule="auto"/>
              <w:jc w:val="both"/>
              <w:rPr>
                <w:rFonts w:ascii="Arial" w:eastAsia="Arial" w:hAnsi="Arial" w:cs="Arial"/>
              </w:rPr>
            </w:pPr>
            <w:r>
              <w:rPr>
                <w:rFonts w:ascii="Arial" w:eastAsia="Arial" w:hAnsi="Arial" w:cs="Arial"/>
              </w:rPr>
              <w:t xml:space="preserve">Jenkins </w:t>
            </w:r>
            <w:r>
              <w:rPr>
                <w:rFonts w:ascii="Arial" w:eastAsia="Arial" w:hAnsi="Arial" w:cs="Arial"/>
                <w:i/>
                <w:iCs/>
              </w:rPr>
              <w:t>et al.</w:t>
            </w:r>
            <w:r>
              <w:rPr>
                <w:rFonts w:ascii="Arial" w:eastAsia="Arial" w:hAnsi="Arial" w:cs="Arial"/>
              </w:rPr>
              <w:t xml:space="preserve"> (2021)</w:t>
            </w:r>
          </w:p>
        </w:tc>
        <w:tc>
          <w:tcPr>
            <w:tcW w:w="1325" w:type="dxa"/>
          </w:tcPr>
          <w:p w14:paraId="5B5152BA" w14:textId="77777777" w:rsidR="00E93BD8" w:rsidRDefault="00000000">
            <w:pPr>
              <w:spacing w:line="360" w:lineRule="auto"/>
              <w:jc w:val="both"/>
              <w:rPr>
                <w:rFonts w:ascii="Arial" w:eastAsia="Arial" w:hAnsi="Arial" w:cs="Arial"/>
              </w:rPr>
            </w:pPr>
            <w:r>
              <w:rPr>
                <w:rFonts w:ascii="Arial" w:eastAsia="Arial" w:hAnsi="Arial" w:cs="Arial"/>
              </w:rPr>
              <w:t>UK (College)</w:t>
            </w:r>
          </w:p>
        </w:tc>
        <w:tc>
          <w:tcPr>
            <w:tcW w:w="1591" w:type="dxa"/>
          </w:tcPr>
          <w:p w14:paraId="59DF85F5" w14:textId="77777777" w:rsidR="00E93BD8" w:rsidRDefault="00000000">
            <w:pPr>
              <w:spacing w:line="360" w:lineRule="auto"/>
              <w:jc w:val="both"/>
              <w:rPr>
                <w:rFonts w:ascii="Arial" w:eastAsia="Arial" w:hAnsi="Arial" w:cs="Arial"/>
              </w:rPr>
            </w:pPr>
            <w:r>
              <w:rPr>
                <w:rFonts w:ascii="Arial" w:eastAsia="Arial" w:hAnsi="Arial" w:cs="Arial"/>
              </w:rPr>
              <w:t>UK college students</w:t>
            </w:r>
          </w:p>
        </w:tc>
        <w:tc>
          <w:tcPr>
            <w:tcW w:w="1811" w:type="dxa"/>
          </w:tcPr>
          <w:p w14:paraId="6F22E06B" w14:textId="77777777" w:rsidR="00E93BD8" w:rsidRDefault="00000000">
            <w:pPr>
              <w:spacing w:line="360" w:lineRule="auto"/>
              <w:jc w:val="both"/>
              <w:rPr>
                <w:rFonts w:ascii="Arial" w:eastAsia="Arial" w:hAnsi="Arial" w:cs="Arial"/>
              </w:rPr>
            </w:pPr>
            <w:r>
              <w:rPr>
                <w:rFonts w:ascii="Arial" w:eastAsia="Arial" w:hAnsi="Arial" w:cs="Arial"/>
              </w:rPr>
              <w:t>Quantitative survey</w:t>
            </w:r>
          </w:p>
        </w:tc>
        <w:tc>
          <w:tcPr>
            <w:tcW w:w="1842" w:type="dxa"/>
          </w:tcPr>
          <w:p w14:paraId="28084F99" w14:textId="77777777" w:rsidR="00E93BD8" w:rsidRDefault="00000000">
            <w:pPr>
              <w:spacing w:line="360" w:lineRule="auto"/>
              <w:jc w:val="both"/>
              <w:rPr>
                <w:rFonts w:ascii="Arial" w:eastAsia="Arial" w:hAnsi="Arial" w:cs="Arial"/>
              </w:rPr>
            </w:pPr>
            <w:r>
              <w:rPr>
                <w:rFonts w:ascii="Arial" w:eastAsia="Arial" w:hAnsi="Arial" w:cs="Arial"/>
              </w:rPr>
              <w:t>To examine prevalence and quality of life in depressed students</w:t>
            </w:r>
          </w:p>
        </w:tc>
        <w:tc>
          <w:tcPr>
            <w:tcW w:w="2126" w:type="dxa"/>
          </w:tcPr>
          <w:p w14:paraId="61E27B9E" w14:textId="77777777" w:rsidR="00E93BD8" w:rsidRDefault="00000000">
            <w:pPr>
              <w:spacing w:line="360" w:lineRule="auto"/>
              <w:jc w:val="both"/>
              <w:rPr>
                <w:rFonts w:ascii="Arial" w:eastAsia="Arial" w:hAnsi="Arial" w:cs="Arial"/>
              </w:rPr>
            </w:pPr>
            <w:r>
              <w:rPr>
                <w:rFonts w:ascii="Arial" w:eastAsia="Arial" w:hAnsi="Arial" w:cs="Arial"/>
              </w:rPr>
              <w:t>High rates of comorbidity with anxiety; depression strongly reduced quality of life.</w:t>
            </w:r>
          </w:p>
        </w:tc>
      </w:tr>
      <w:tr w:rsidR="00E93BD8" w14:paraId="3E221EFC" w14:textId="77777777">
        <w:tc>
          <w:tcPr>
            <w:tcW w:w="1364" w:type="dxa"/>
          </w:tcPr>
          <w:p w14:paraId="3C0305EC" w14:textId="77777777" w:rsidR="00E93BD8" w:rsidRDefault="00000000">
            <w:pPr>
              <w:spacing w:line="360" w:lineRule="auto"/>
              <w:jc w:val="both"/>
              <w:rPr>
                <w:rFonts w:ascii="Arial" w:eastAsia="Arial" w:hAnsi="Arial" w:cs="Arial"/>
              </w:rPr>
            </w:pPr>
            <w:r>
              <w:rPr>
                <w:rFonts w:ascii="Arial" w:eastAsia="Arial" w:hAnsi="Arial" w:cs="Arial"/>
              </w:rPr>
              <w:lastRenderedPageBreak/>
              <w:t>Lakasing and Mirza (2020)</w:t>
            </w:r>
          </w:p>
        </w:tc>
        <w:tc>
          <w:tcPr>
            <w:tcW w:w="1325" w:type="dxa"/>
          </w:tcPr>
          <w:p w14:paraId="5B0702F4" w14:textId="77777777" w:rsidR="00E93BD8" w:rsidRDefault="00000000">
            <w:pPr>
              <w:spacing w:line="360" w:lineRule="auto"/>
              <w:jc w:val="both"/>
              <w:rPr>
                <w:rFonts w:ascii="Arial" w:eastAsia="Arial" w:hAnsi="Arial" w:cs="Arial"/>
              </w:rPr>
            </w:pPr>
            <w:r>
              <w:rPr>
                <w:rFonts w:ascii="Arial" w:eastAsia="Arial" w:hAnsi="Arial" w:cs="Arial"/>
              </w:rPr>
              <w:t>UK (Primary care)</w:t>
            </w:r>
          </w:p>
        </w:tc>
        <w:tc>
          <w:tcPr>
            <w:tcW w:w="1591" w:type="dxa"/>
          </w:tcPr>
          <w:p w14:paraId="37092AC6" w14:textId="77777777" w:rsidR="00E93BD8" w:rsidRDefault="00000000">
            <w:pPr>
              <w:spacing w:line="360" w:lineRule="auto"/>
              <w:jc w:val="both"/>
              <w:rPr>
                <w:rFonts w:ascii="Arial" w:eastAsia="Arial" w:hAnsi="Arial" w:cs="Arial"/>
              </w:rPr>
            </w:pPr>
            <w:r>
              <w:rPr>
                <w:rFonts w:ascii="Arial" w:eastAsia="Arial" w:hAnsi="Arial" w:cs="Arial"/>
              </w:rPr>
              <w:t>Adolescents and young adults</w:t>
            </w:r>
          </w:p>
        </w:tc>
        <w:tc>
          <w:tcPr>
            <w:tcW w:w="1811" w:type="dxa"/>
          </w:tcPr>
          <w:p w14:paraId="75BAC97D" w14:textId="77777777" w:rsidR="00E93BD8" w:rsidRDefault="00000000">
            <w:pPr>
              <w:spacing w:line="360" w:lineRule="auto"/>
              <w:jc w:val="both"/>
              <w:rPr>
                <w:rFonts w:ascii="Arial" w:eastAsia="Arial" w:hAnsi="Arial" w:cs="Arial"/>
              </w:rPr>
            </w:pPr>
            <w:r>
              <w:rPr>
                <w:rFonts w:ascii="Arial" w:eastAsia="Arial" w:hAnsi="Arial" w:cs="Arial"/>
              </w:rPr>
              <w:t>Commentary/review</w:t>
            </w:r>
          </w:p>
        </w:tc>
        <w:tc>
          <w:tcPr>
            <w:tcW w:w="1842" w:type="dxa"/>
          </w:tcPr>
          <w:p w14:paraId="19D0BF44" w14:textId="77777777" w:rsidR="00E93BD8" w:rsidRDefault="00000000">
            <w:pPr>
              <w:spacing w:line="360" w:lineRule="auto"/>
              <w:jc w:val="both"/>
              <w:rPr>
                <w:rFonts w:ascii="Arial" w:eastAsia="Arial" w:hAnsi="Arial" w:cs="Arial"/>
              </w:rPr>
            </w:pPr>
            <w:r>
              <w:rPr>
                <w:rFonts w:ascii="Arial" w:eastAsia="Arial" w:hAnsi="Arial" w:cs="Arial"/>
              </w:rPr>
              <w:t>To discuss recognition of anxiety and depression in GP practice</w:t>
            </w:r>
          </w:p>
        </w:tc>
        <w:tc>
          <w:tcPr>
            <w:tcW w:w="2126" w:type="dxa"/>
          </w:tcPr>
          <w:p w14:paraId="78465B1B" w14:textId="77777777" w:rsidR="00E93BD8" w:rsidRDefault="00000000">
            <w:pPr>
              <w:spacing w:line="360" w:lineRule="auto"/>
              <w:jc w:val="both"/>
              <w:rPr>
                <w:rFonts w:ascii="Arial" w:eastAsia="Arial" w:hAnsi="Arial" w:cs="Arial"/>
              </w:rPr>
            </w:pPr>
            <w:r>
              <w:rPr>
                <w:rFonts w:ascii="Arial" w:eastAsia="Arial" w:hAnsi="Arial" w:cs="Arial"/>
              </w:rPr>
              <w:t>Stressed underdiagnosis in primary care; highlighted need for earlier GP interventions.</w:t>
            </w:r>
          </w:p>
        </w:tc>
      </w:tr>
      <w:tr w:rsidR="00E93BD8" w14:paraId="7FD11E93" w14:textId="77777777">
        <w:tc>
          <w:tcPr>
            <w:tcW w:w="1364" w:type="dxa"/>
          </w:tcPr>
          <w:p w14:paraId="3E0B6CE8" w14:textId="77777777" w:rsidR="00E93BD8" w:rsidRDefault="00000000">
            <w:pPr>
              <w:spacing w:line="360" w:lineRule="auto"/>
              <w:jc w:val="both"/>
              <w:rPr>
                <w:rFonts w:ascii="Arial" w:eastAsia="Arial" w:hAnsi="Arial" w:cs="Arial"/>
              </w:rPr>
            </w:pPr>
            <w:r>
              <w:rPr>
                <w:rFonts w:ascii="Arial" w:eastAsia="Arial" w:hAnsi="Arial" w:cs="Arial"/>
              </w:rPr>
              <w:t>Martin and Atkinson (2020)</w:t>
            </w:r>
          </w:p>
        </w:tc>
        <w:tc>
          <w:tcPr>
            <w:tcW w:w="1325" w:type="dxa"/>
          </w:tcPr>
          <w:p w14:paraId="575DE56F" w14:textId="77777777" w:rsidR="00E93BD8" w:rsidRDefault="00000000">
            <w:pPr>
              <w:spacing w:line="360" w:lineRule="auto"/>
              <w:jc w:val="both"/>
              <w:rPr>
                <w:rFonts w:ascii="Arial" w:eastAsia="Arial" w:hAnsi="Arial" w:cs="Arial"/>
              </w:rPr>
            </w:pPr>
            <w:r>
              <w:rPr>
                <w:rFonts w:ascii="Arial" w:eastAsia="Arial" w:hAnsi="Arial" w:cs="Arial"/>
              </w:rPr>
              <w:t>UK (University)</w:t>
            </w:r>
          </w:p>
        </w:tc>
        <w:tc>
          <w:tcPr>
            <w:tcW w:w="1591" w:type="dxa"/>
          </w:tcPr>
          <w:p w14:paraId="4837B568" w14:textId="77777777" w:rsidR="00E93BD8" w:rsidRDefault="00000000">
            <w:pPr>
              <w:spacing w:line="360" w:lineRule="auto"/>
              <w:jc w:val="both"/>
              <w:rPr>
                <w:rFonts w:ascii="Arial" w:eastAsia="Arial" w:hAnsi="Arial" w:cs="Arial"/>
              </w:rPr>
            </w:pPr>
            <w:r>
              <w:rPr>
                <w:rFonts w:ascii="Arial" w:eastAsia="Arial" w:hAnsi="Arial" w:cs="Arial"/>
              </w:rPr>
              <w:t>University students with lived experience</w:t>
            </w:r>
          </w:p>
        </w:tc>
        <w:tc>
          <w:tcPr>
            <w:tcW w:w="1811" w:type="dxa"/>
          </w:tcPr>
          <w:p w14:paraId="1C3727B5" w14:textId="77777777" w:rsidR="00E93BD8" w:rsidRDefault="00000000">
            <w:pPr>
              <w:spacing w:line="360" w:lineRule="auto"/>
              <w:jc w:val="both"/>
              <w:rPr>
                <w:rFonts w:ascii="Arial" w:eastAsia="Arial" w:hAnsi="Arial" w:cs="Arial"/>
              </w:rPr>
            </w:pPr>
            <w:r>
              <w:rPr>
                <w:rFonts w:ascii="Arial" w:eastAsia="Arial" w:hAnsi="Arial" w:cs="Arial"/>
              </w:rPr>
              <w:t>Qualitative (narratives)</w:t>
            </w:r>
          </w:p>
        </w:tc>
        <w:tc>
          <w:tcPr>
            <w:tcW w:w="1842" w:type="dxa"/>
          </w:tcPr>
          <w:p w14:paraId="0AFB04D4" w14:textId="77777777" w:rsidR="00E93BD8" w:rsidRDefault="00000000">
            <w:pPr>
              <w:spacing w:line="360" w:lineRule="auto"/>
              <w:jc w:val="both"/>
              <w:rPr>
                <w:rFonts w:ascii="Arial" w:eastAsia="Arial" w:hAnsi="Arial" w:cs="Arial"/>
              </w:rPr>
            </w:pPr>
            <w:r>
              <w:rPr>
                <w:rFonts w:ascii="Arial" w:eastAsia="Arial" w:hAnsi="Arial" w:cs="Arial"/>
              </w:rPr>
              <w:t>To explore lived experience of depression in higher education</w:t>
            </w:r>
          </w:p>
        </w:tc>
        <w:tc>
          <w:tcPr>
            <w:tcW w:w="2126" w:type="dxa"/>
          </w:tcPr>
          <w:p w14:paraId="5AF4E3B9" w14:textId="77777777" w:rsidR="00E93BD8" w:rsidRDefault="00000000">
            <w:pPr>
              <w:spacing w:line="360" w:lineRule="auto"/>
              <w:jc w:val="both"/>
              <w:rPr>
                <w:rFonts w:ascii="Arial" w:eastAsia="Arial" w:hAnsi="Arial" w:cs="Arial"/>
              </w:rPr>
            </w:pPr>
            <w:r>
              <w:rPr>
                <w:rFonts w:ascii="Arial" w:eastAsia="Arial" w:hAnsi="Arial" w:cs="Arial"/>
              </w:rPr>
              <w:t>Students described stigma, academic pressure, and resilience strategies.</w:t>
            </w:r>
          </w:p>
        </w:tc>
      </w:tr>
      <w:tr w:rsidR="00E93BD8" w14:paraId="20F6C953" w14:textId="77777777">
        <w:tc>
          <w:tcPr>
            <w:tcW w:w="1364" w:type="dxa"/>
          </w:tcPr>
          <w:p w14:paraId="148EDC99" w14:textId="77777777" w:rsidR="00E93BD8" w:rsidRDefault="00000000">
            <w:pPr>
              <w:spacing w:line="360" w:lineRule="auto"/>
              <w:jc w:val="both"/>
              <w:rPr>
                <w:rFonts w:ascii="Arial" w:eastAsia="Arial" w:hAnsi="Arial" w:cs="Arial"/>
              </w:rPr>
            </w:pPr>
            <w:r>
              <w:rPr>
                <w:rFonts w:ascii="Arial" w:eastAsia="Arial" w:hAnsi="Arial" w:cs="Arial"/>
              </w:rPr>
              <w:t xml:space="preserve">Barker </w:t>
            </w:r>
            <w:r>
              <w:rPr>
                <w:rFonts w:ascii="Arial" w:eastAsia="Arial" w:hAnsi="Arial" w:cs="Arial"/>
                <w:i/>
                <w:iCs/>
              </w:rPr>
              <w:t>et al.</w:t>
            </w:r>
            <w:r>
              <w:rPr>
                <w:rFonts w:ascii="Arial" w:eastAsia="Arial" w:hAnsi="Arial" w:cs="Arial"/>
              </w:rPr>
              <w:t xml:space="preserve"> (2019)</w:t>
            </w:r>
          </w:p>
        </w:tc>
        <w:tc>
          <w:tcPr>
            <w:tcW w:w="1325" w:type="dxa"/>
          </w:tcPr>
          <w:p w14:paraId="47B1A256" w14:textId="77777777" w:rsidR="00E93BD8" w:rsidRDefault="00000000">
            <w:pPr>
              <w:spacing w:line="360" w:lineRule="auto"/>
              <w:jc w:val="both"/>
              <w:rPr>
                <w:rFonts w:ascii="Arial" w:eastAsia="Arial" w:hAnsi="Arial" w:cs="Arial"/>
              </w:rPr>
            </w:pPr>
            <w:r>
              <w:rPr>
                <w:rFonts w:ascii="Arial" w:eastAsia="Arial" w:hAnsi="Arial" w:cs="Arial"/>
              </w:rPr>
              <w:t>UK/International</w:t>
            </w:r>
          </w:p>
        </w:tc>
        <w:tc>
          <w:tcPr>
            <w:tcW w:w="1591" w:type="dxa"/>
          </w:tcPr>
          <w:p w14:paraId="04ADA565" w14:textId="77777777" w:rsidR="00E93BD8" w:rsidRDefault="00000000">
            <w:pPr>
              <w:spacing w:line="360" w:lineRule="auto"/>
              <w:jc w:val="both"/>
              <w:rPr>
                <w:rFonts w:ascii="Arial" w:eastAsia="Arial" w:hAnsi="Arial" w:cs="Arial"/>
              </w:rPr>
            </w:pPr>
            <w:r>
              <w:rPr>
                <w:rFonts w:ascii="Arial" w:eastAsia="Arial" w:hAnsi="Arial" w:cs="Arial"/>
              </w:rPr>
              <w:t>Children, adolescents, young adults with life-limiting conditions</w:t>
            </w:r>
          </w:p>
        </w:tc>
        <w:tc>
          <w:tcPr>
            <w:tcW w:w="1811" w:type="dxa"/>
          </w:tcPr>
          <w:p w14:paraId="14AED99A" w14:textId="77777777" w:rsidR="00E93BD8" w:rsidRDefault="00000000">
            <w:pPr>
              <w:spacing w:line="360" w:lineRule="auto"/>
              <w:jc w:val="both"/>
              <w:rPr>
                <w:rFonts w:ascii="Arial" w:eastAsia="Arial" w:hAnsi="Arial" w:cs="Arial"/>
              </w:rPr>
            </w:pPr>
            <w:r>
              <w:rPr>
                <w:rFonts w:ascii="Arial" w:eastAsia="Arial" w:hAnsi="Arial" w:cs="Arial"/>
              </w:rPr>
              <w:t>Systematic review/meta-analysis</w:t>
            </w:r>
          </w:p>
        </w:tc>
        <w:tc>
          <w:tcPr>
            <w:tcW w:w="1842" w:type="dxa"/>
          </w:tcPr>
          <w:p w14:paraId="12DEAE7B" w14:textId="77777777" w:rsidR="00E93BD8" w:rsidRDefault="00000000">
            <w:pPr>
              <w:spacing w:line="360" w:lineRule="auto"/>
              <w:jc w:val="both"/>
              <w:rPr>
                <w:rFonts w:ascii="Arial" w:eastAsia="Arial" w:hAnsi="Arial" w:cs="Arial"/>
              </w:rPr>
            </w:pPr>
            <w:r>
              <w:rPr>
                <w:rFonts w:ascii="Arial" w:eastAsia="Arial" w:hAnsi="Arial" w:cs="Arial"/>
              </w:rPr>
              <w:t>To assess prevalence of depression in life-limiting conditions</w:t>
            </w:r>
          </w:p>
        </w:tc>
        <w:tc>
          <w:tcPr>
            <w:tcW w:w="2126" w:type="dxa"/>
          </w:tcPr>
          <w:p w14:paraId="03D86DBE" w14:textId="77777777" w:rsidR="00E93BD8" w:rsidRDefault="00000000">
            <w:pPr>
              <w:spacing w:line="360" w:lineRule="auto"/>
              <w:jc w:val="both"/>
              <w:rPr>
                <w:rFonts w:ascii="Arial" w:eastAsia="Arial" w:hAnsi="Arial" w:cs="Arial"/>
              </w:rPr>
            </w:pPr>
            <w:r>
              <w:rPr>
                <w:rFonts w:ascii="Arial" w:eastAsia="Arial" w:hAnsi="Arial" w:cs="Arial"/>
              </w:rPr>
              <w:t>Depression is more common in young people with chronic/life-limiting conditions than the general population.</w:t>
            </w:r>
          </w:p>
        </w:tc>
      </w:tr>
      <w:tr w:rsidR="00E93BD8" w14:paraId="694053FB" w14:textId="77777777">
        <w:tc>
          <w:tcPr>
            <w:tcW w:w="1364" w:type="dxa"/>
          </w:tcPr>
          <w:p w14:paraId="36962A94" w14:textId="77777777" w:rsidR="00E93BD8" w:rsidRDefault="00000000">
            <w:pPr>
              <w:spacing w:line="360" w:lineRule="auto"/>
              <w:jc w:val="both"/>
              <w:rPr>
                <w:rFonts w:ascii="Arial" w:eastAsia="Arial" w:hAnsi="Arial" w:cs="Arial"/>
              </w:rPr>
            </w:pPr>
            <w:r>
              <w:rPr>
                <w:rFonts w:ascii="Arial" w:eastAsia="Arial" w:hAnsi="Arial" w:cs="Arial"/>
              </w:rPr>
              <w:t xml:space="preserve">Khouja </w:t>
            </w:r>
            <w:r>
              <w:rPr>
                <w:rFonts w:ascii="Arial" w:eastAsia="Arial" w:hAnsi="Arial" w:cs="Arial"/>
                <w:i/>
                <w:iCs/>
              </w:rPr>
              <w:t>et al.</w:t>
            </w:r>
            <w:r>
              <w:rPr>
                <w:rFonts w:ascii="Arial" w:eastAsia="Arial" w:hAnsi="Arial" w:cs="Arial"/>
              </w:rPr>
              <w:t xml:space="preserve"> (2019)</w:t>
            </w:r>
          </w:p>
        </w:tc>
        <w:tc>
          <w:tcPr>
            <w:tcW w:w="1325" w:type="dxa"/>
          </w:tcPr>
          <w:p w14:paraId="39EC36CC" w14:textId="77777777" w:rsidR="00E93BD8" w:rsidRDefault="00000000">
            <w:pPr>
              <w:spacing w:line="360" w:lineRule="auto"/>
              <w:jc w:val="both"/>
              <w:rPr>
                <w:rFonts w:ascii="Arial" w:eastAsia="Arial" w:hAnsi="Arial" w:cs="Arial"/>
              </w:rPr>
            </w:pPr>
            <w:r>
              <w:rPr>
                <w:rFonts w:ascii="Arial" w:eastAsia="Arial" w:hAnsi="Arial" w:cs="Arial"/>
              </w:rPr>
              <w:t>UK (Birth cohort, ALSPAC)</w:t>
            </w:r>
          </w:p>
        </w:tc>
        <w:tc>
          <w:tcPr>
            <w:tcW w:w="1591" w:type="dxa"/>
          </w:tcPr>
          <w:p w14:paraId="35FF1171" w14:textId="77777777" w:rsidR="00E93BD8" w:rsidRDefault="00000000">
            <w:pPr>
              <w:spacing w:line="360" w:lineRule="auto"/>
              <w:jc w:val="both"/>
              <w:rPr>
                <w:rFonts w:ascii="Arial" w:eastAsia="Arial" w:hAnsi="Arial" w:cs="Arial"/>
              </w:rPr>
            </w:pPr>
            <w:r>
              <w:rPr>
                <w:rFonts w:ascii="Arial" w:eastAsia="Arial" w:hAnsi="Arial" w:cs="Arial"/>
              </w:rPr>
              <w:t>14–24 years olds</w:t>
            </w:r>
          </w:p>
        </w:tc>
        <w:tc>
          <w:tcPr>
            <w:tcW w:w="1811" w:type="dxa"/>
          </w:tcPr>
          <w:p w14:paraId="154CF405" w14:textId="77777777" w:rsidR="00E93BD8" w:rsidRDefault="00000000">
            <w:pPr>
              <w:spacing w:line="360" w:lineRule="auto"/>
              <w:jc w:val="both"/>
              <w:rPr>
                <w:rFonts w:ascii="Arial" w:eastAsia="Arial" w:hAnsi="Arial" w:cs="Arial"/>
              </w:rPr>
            </w:pPr>
            <w:r>
              <w:rPr>
                <w:rFonts w:ascii="Arial" w:eastAsia="Arial" w:hAnsi="Arial" w:cs="Arial"/>
              </w:rPr>
              <w:t>Quantitative (longitudinal cohort)</w:t>
            </w:r>
          </w:p>
        </w:tc>
        <w:tc>
          <w:tcPr>
            <w:tcW w:w="1842" w:type="dxa"/>
          </w:tcPr>
          <w:p w14:paraId="443A20BC" w14:textId="77777777" w:rsidR="00E93BD8" w:rsidRDefault="00000000">
            <w:pPr>
              <w:spacing w:line="360" w:lineRule="auto"/>
              <w:jc w:val="both"/>
              <w:rPr>
                <w:rFonts w:ascii="Arial" w:eastAsia="Arial" w:hAnsi="Arial" w:cs="Arial"/>
              </w:rPr>
            </w:pPr>
            <w:r>
              <w:rPr>
                <w:rFonts w:ascii="Arial" w:eastAsia="Arial" w:hAnsi="Arial" w:cs="Arial"/>
              </w:rPr>
              <w:t>To test association between screen time and depression/anxiety</w:t>
            </w:r>
          </w:p>
        </w:tc>
        <w:tc>
          <w:tcPr>
            <w:tcW w:w="2126" w:type="dxa"/>
          </w:tcPr>
          <w:p w14:paraId="050699A0" w14:textId="77777777" w:rsidR="00E93BD8" w:rsidRDefault="00000000">
            <w:pPr>
              <w:spacing w:line="360" w:lineRule="auto"/>
              <w:jc w:val="both"/>
              <w:rPr>
                <w:rFonts w:ascii="Arial" w:eastAsia="Arial" w:hAnsi="Arial" w:cs="Arial"/>
              </w:rPr>
            </w:pPr>
            <w:r>
              <w:rPr>
                <w:rFonts w:ascii="Arial" w:eastAsia="Arial" w:hAnsi="Arial" w:cs="Arial"/>
              </w:rPr>
              <w:t>Found weak but significant links between higher screen time and depressive symptoms.</w:t>
            </w:r>
          </w:p>
        </w:tc>
      </w:tr>
      <w:tr w:rsidR="00E93BD8" w14:paraId="4DFDA004" w14:textId="77777777">
        <w:tc>
          <w:tcPr>
            <w:tcW w:w="1364" w:type="dxa"/>
          </w:tcPr>
          <w:p w14:paraId="63E2C19D" w14:textId="77777777" w:rsidR="00E93BD8" w:rsidRDefault="00000000">
            <w:pPr>
              <w:spacing w:line="360" w:lineRule="auto"/>
              <w:jc w:val="both"/>
              <w:rPr>
                <w:rFonts w:ascii="Arial" w:eastAsia="Arial" w:hAnsi="Arial" w:cs="Arial"/>
              </w:rPr>
            </w:pPr>
            <w:r>
              <w:rPr>
                <w:rFonts w:ascii="Arial" w:eastAsia="Arial" w:hAnsi="Arial" w:cs="Arial"/>
              </w:rPr>
              <w:t xml:space="preserve">Irish </w:t>
            </w:r>
            <w:r>
              <w:rPr>
                <w:rFonts w:ascii="Arial" w:eastAsia="Arial" w:hAnsi="Arial" w:cs="Arial"/>
                <w:i/>
                <w:iCs/>
              </w:rPr>
              <w:t>et al.</w:t>
            </w:r>
            <w:r>
              <w:rPr>
                <w:rFonts w:ascii="Arial" w:eastAsia="Arial" w:hAnsi="Arial" w:cs="Arial"/>
              </w:rPr>
              <w:t xml:space="preserve"> (2019)</w:t>
            </w:r>
          </w:p>
        </w:tc>
        <w:tc>
          <w:tcPr>
            <w:tcW w:w="1325" w:type="dxa"/>
          </w:tcPr>
          <w:p w14:paraId="0D2A806D" w14:textId="77777777" w:rsidR="00E93BD8" w:rsidRDefault="00000000">
            <w:pPr>
              <w:spacing w:line="360" w:lineRule="auto"/>
              <w:jc w:val="both"/>
              <w:rPr>
                <w:rFonts w:ascii="Arial" w:eastAsia="Arial" w:hAnsi="Arial" w:cs="Arial"/>
              </w:rPr>
            </w:pPr>
            <w:r>
              <w:rPr>
                <w:rFonts w:ascii="Arial" w:eastAsia="Arial" w:hAnsi="Arial" w:cs="Arial"/>
              </w:rPr>
              <w:t>UK (Population cohort)</w:t>
            </w:r>
          </w:p>
        </w:tc>
        <w:tc>
          <w:tcPr>
            <w:tcW w:w="1591" w:type="dxa"/>
          </w:tcPr>
          <w:p w14:paraId="328D87A7" w14:textId="77777777" w:rsidR="00E93BD8" w:rsidRDefault="00000000">
            <w:pPr>
              <w:spacing w:line="360" w:lineRule="auto"/>
              <w:jc w:val="both"/>
              <w:rPr>
                <w:rFonts w:ascii="Arial" w:eastAsia="Arial" w:hAnsi="Arial" w:cs="Arial"/>
              </w:rPr>
            </w:pPr>
            <w:r>
              <w:rPr>
                <w:rFonts w:ascii="Arial" w:eastAsia="Arial" w:hAnsi="Arial" w:cs="Arial"/>
              </w:rPr>
              <w:t>Sexual minority vs heterosexual young adults</w:t>
            </w:r>
          </w:p>
        </w:tc>
        <w:tc>
          <w:tcPr>
            <w:tcW w:w="1811" w:type="dxa"/>
          </w:tcPr>
          <w:p w14:paraId="7A99D207" w14:textId="77777777" w:rsidR="00E93BD8" w:rsidRDefault="00000000">
            <w:pPr>
              <w:spacing w:line="360" w:lineRule="auto"/>
              <w:jc w:val="both"/>
              <w:rPr>
                <w:rFonts w:ascii="Arial" w:eastAsia="Arial" w:hAnsi="Arial" w:cs="Arial"/>
              </w:rPr>
            </w:pPr>
            <w:r>
              <w:rPr>
                <w:rFonts w:ascii="Arial" w:eastAsia="Arial" w:hAnsi="Arial" w:cs="Arial"/>
              </w:rPr>
              <w:t>Quantitative (cohort analysis)</w:t>
            </w:r>
          </w:p>
        </w:tc>
        <w:tc>
          <w:tcPr>
            <w:tcW w:w="1842" w:type="dxa"/>
          </w:tcPr>
          <w:p w14:paraId="7A1B57DE" w14:textId="77777777" w:rsidR="00E93BD8" w:rsidRDefault="00000000">
            <w:pPr>
              <w:spacing w:line="360" w:lineRule="auto"/>
              <w:jc w:val="both"/>
              <w:rPr>
                <w:rFonts w:ascii="Arial" w:eastAsia="Arial" w:hAnsi="Arial" w:cs="Arial"/>
              </w:rPr>
            </w:pPr>
            <w:r>
              <w:rPr>
                <w:rFonts w:ascii="Arial" w:eastAsia="Arial" w:hAnsi="Arial" w:cs="Arial"/>
              </w:rPr>
              <w:t>To examine depression/self-harm in sexual minorities</w:t>
            </w:r>
          </w:p>
        </w:tc>
        <w:tc>
          <w:tcPr>
            <w:tcW w:w="2126" w:type="dxa"/>
          </w:tcPr>
          <w:p w14:paraId="0606CD46" w14:textId="77777777" w:rsidR="00E93BD8" w:rsidRDefault="00000000">
            <w:pPr>
              <w:spacing w:line="360" w:lineRule="auto"/>
              <w:jc w:val="both"/>
              <w:rPr>
                <w:rFonts w:ascii="Arial" w:eastAsia="Arial" w:hAnsi="Arial" w:cs="Arial"/>
              </w:rPr>
            </w:pPr>
            <w:r>
              <w:rPr>
                <w:rFonts w:ascii="Arial" w:eastAsia="Arial" w:hAnsi="Arial" w:cs="Arial"/>
              </w:rPr>
              <w:t xml:space="preserve">Higher rates of depression and self-harm in sexual minority </w:t>
            </w:r>
            <w:r>
              <w:rPr>
                <w:rFonts w:ascii="Arial" w:eastAsia="Arial" w:hAnsi="Arial" w:cs="Arial"/>
              </w:rPr>
              <w:lastRenderedPageBreak/>
              <w:t>youth compared with peers.</w:t>
            </w:r>
          </w:p>
        </w:tc>
      </w:tr>
      <w:tr w:rsidR="00E93BD8" w14:paraId="6F188B96" w14:textId="77777777">
        <w:tc>
          <w:tcPr>
            <w:tcW w:w="1364" w:type="dxa"/>
          </w:tcPr>
          <w:p w14:paraId="15F08C07" w14:textId="77777777" w:rsidR="00E93BD8" w:rsidRDefault="00000000">
            <w:pPr>
              <w:spacing w:line="360" w:lineRule="auto"/>
              <w:jc w:val="both"/>
              <w:rPr>
                <w:rFonts w:ascii="Arial" w:eastAsia="Arial" w:hAnsi="Arial" w:cs="Arial"/>
              </w:rPr>
            </w:pPr>
            <w:r>
              <w:rPr>
                <w:rFonts w:ascii="Arial" w:eastAsia="Arial" w:hAnsi="Arial" w:cs="Arial"/>
              </w:rPr>
              <w:lastRenderedPageBreak/>
              <w:t xml:space="preserve">Pile </w:t>
            </w:r>
            <w:r>
              <w:rPr>
                <w:rFonts w:ascii="Arial" w:eastAsia="Arial" w:hAnsi="Arial" w:cs="Arial"/>
                <w:i/>
                <w:iCs/>
              </w:rPr>
              <w:t>et al.</w:t>
            </w:r>
            <w:r>
              <w:rPr>
                <w:rFonts w:ascii="Arial" w:eastAsia="Arial" w:hAnsi="Arial" w:cs="Arial"/>
              </w:rPr>
              <w:t xml:space="preserve"> (2019)</w:t>
            </w:r>
          </w:p>
        </w:tc>
        <w:tc>
          <w:tcPr>
            <w:tcW w:w="1325" w:type="dxa"/>
          </w:tcPr>
          <w:p w14:paraId="4838A276" w14:textId="77777777" w:rsidR="00E93BD8" w:rsidRDefault="00000000">
            <w:pPr>
              <w:spacing w:line="360" w:lineRule="auto"/>
              <w:jc w:val="both"/>
              <w:rPr>
                <w:rFonts w:ascii="Arial" w:eastAsia="Arial" w:hAnsi="Arial" w:cs="Arial"/>
              </w:rPr>
            </w:pPr>
            <w:r>
              <w:rPr>
                <w:rFonts w:ascii="Arial" w:eastAsia="Arial" w:hAnsi="Arial" w:cs="Arial"/>
              </w:rPr>
              <w:t>UK</w:t>
            </w:r>
          </w:p>
        </w:tc>
        <w:tc>
          <w:tcPr>
            <w:tcW w:w="1591" w:type="dxa"/>
          </w:tcPr>
          <w:p w14:paraId="3FBD725E" w14:textId="77777777" w:rsidR="00E93BD8" w:rsidRDefault="00000000">
            <w:pPr>
              <w:spacing w:line="360" w:lineRule="auto"/>
              <w:jc w:val="both"/>
              <w:rPr>
                <w:rFonts w:ascii="Arial" w:eastAsia="Arial" w:hAnsi="Arial" w:cs="Arial"/>
              </w:rPr>
            </w:pPr>
            <w:r>
              <w:rPr>
                <w:rFonts w:ascii="Arial" w:eastAsia="Arial" w:hAnsi="Arial" w:cs="Arial"/>
              </w:rPr>
              <w:t>Children and young people accessing services</w:t>
            </w:r>
          </w:p>
        </w:tc>
        <w:tc>
          <w:tcPr>
            <w:tcW w:w="1811" w:type="dxa"/>
          </w:tcPr>
          <w:p w14:paraId="61D95065" w14:textId="77777777" w:rsidR="00E93BD8" w:rsidRDefault="00000000">
            <w:pPr>
              <w:spacing w:line="360" w:lineRule="auto"/>
              <w:jc w:val="both"/>
              <w:rPr>
                <w:rFonts w:ascii="Arial" w:eastAsia="Arial" w:hAnsi="Arial" w:cs="Arial"/>
              </w:rPr>
            </w:pPr>
            <w:r>
              <w:rPr>
                <w:rFonts w:ascii="Arial" w:eastAsia="Arial" w:hAnsi="Arial" w:cs="Arial"/>
              </w:rPr>
              <w:t>Quantitative (service comparison)</w:t>
            </w:r>
          </w:p>
        </w:tc>
        <w:tc>
          <w:tcPr>
            <w:tcW w:w="1842" w:type="dxa"/>
          </w:tcPr>
          <w:p w14:paraId="68EE2122" w14:textId="77777777" w:rsidR="00E93BD8" w:rsidRDefault="00000000">
            <w:pPr>
              <w:spacing w:line="360" w:lineRule="auto"/>
              <w:jc w:val="both"/>
              <w:rPr>
                <w:rFonts w:ascii="Arial" w:eastAsia="Arial" w:hAnsi="Arial" w:cs="Arial"/>
              </w:rPr>
            </w:pPr>
            <w:r>
              <w:rPr>
                <w:rFonts w:ascii="Arial" w:eastAsia="Arial" w:hAnsi="Arial" w:cs="Arial"/>
              </w:rPr>
              <w:t>To compare access to depression services at two time points</w:t>
            </w:r>
          </w:p>
        </w:tc>
        <w:tc>
          <w:tcPr>
            <w:tcW w:w="2126" w:type="dxa"/>
          </w:tcPr>
          <w:p w14:paraId="127A0B84" w14:textId="77777777" w:rsidR="00E93BD8" w:rsidRDefault="00000000">
            <w:pPr>
              <w:spacing w:line="360" w:lineRule="auto"/>
              <w:jc w:val="both"/>
              <w:rPr>
                <w:rFonts w:ascii="Arial" w:eastAsia="Arial" w:hAnsi="Arial" w:cs="Arial"/>
              </w:rPr>
            </w:pPr>
            <w:r>
              <w:rPr>
                <w:rFonts w:ascii="Arial" w:eastAsia="Arial" w:hAnsi="Arial" w:cs="Arial"/>
              </w:rPr>
              <w:t>Found improved access but persisting regional disparities and service shortages.</w:t>
            </w:r>
          </w:p>
        </w:tc>
      </w:tr>
      <w:tr w:rsidR="00E93BD8" w14:paraId="47261CBA" w14:textId="77777777">
        <w:tc>
          <w:tcPr>
            <w:tcW w:w="1364" w:type="dxa"/>
          </w:tcPr>
          <w:p w14:paraId="1BAFE205" w14:textId="77777777" w:rsidR="00E93BD8" w:rsidRDefault="00000000">
            <w:pPr>
              <w:spacing w:line="360" w:lineRule="auto"/>
              <w:jc w:val="both"/>
              <w:rPr>
                <w:rFonts w:ascii="Arial" w:eastAsia="Arial" w:hAnsi="Arial" w:cs="Arial"/>
              </w:rPr>
            </w:pPr>
            <w:r>
              <w:rPr>
                <w:rFonts w:ascii="Arial" w:eastAsia="Arial" w:hAnsi="Arial" w:cs="Arial"/>
              </w:rPr>
              <w:t>Kelvin (2016)</w:t>
            </w:r>
          </w:p>
        </w:tc>
        <w:tc>
          <w:tcPr>
            <w:tcW w:w="1325" w:type="dxa"/>
          </w:tcPr>
          <w:p w14:paraId="457E9C47" w14:textId="77777777" w:rsidR="00E93BD8" w:rsidRDefault="00000000">
            <w:pPr>
              <w:spacing w:line="360" w:lineRule="auto"/>
              <w:jc w:val="both"/>
              <w:rPr>
                <w:rFonts w:ascii="Arial" w:eastAsia="Arial" w:hAnsi="Arial" w:cs="Arial"/>
              </w:rPr>
            </w:pPr>
            <w:r>
              <w:rPr>
                <w:rFonts w:ascii="Arial" w:eastAsia="Arial" w:hAnsi="Arial" w:cs="Arial"/>
              </w:rPr>
              <w:t>UK (Paediatrics)</w:t>
            </w:r>
          </w:p>
        </w:tc>
        <w:tc>
          <w:tcPr>
            <w:tcW w:w="1591" w:type="dxa"/>
          </w:tcPr>
          <w:p w14:paraId="253E2E0E" w14:textId="77777777" w:rsidR="00E93BD8" w:rsidRDefault="00000000">
            <w:pPr>
              <w:spacing w:line="360" w:lineRule="auto"/>
              <w:jc w:val="both"/>
              <w:rPr>
                <w:rFonts w:ascii="Arial" w:eastAsia="Arial" w:hAnsi="Arial" w:cs="Arial"/>
              </w:rPr>
            </w:pPr>
            <w:r>
              <w:rPr>
                <w:rFonts w:ascii="Arial" w:eastAsia="Arial" w:hAnsi="Arial" w:cs="Arial"/>
              </w:rPr>
              <w:t>Children and young people</w:t>
            </w:r>
          </w:p>
        </w:tc>
        <w:tc>
          <w:tcPr>
            <w:tcW w:w="1811" w:type="dxa"/>
          </w:tcPr>
          <w:p w14:paraId="5D7995E4" w14:textId="77777777" w:rsidR="00E93BD8" w:rsidRDefault="00000000">
            <w:pPr>
              <w:spacing w:line="360" w:lineRule="auto"/>
              <w:jc w:val="both"/>
              <w:rPr>
                <w:rFonts w:ascii="Arial" w:eastAsia="Arial" w:hAnsi="Arial" w:cs="Arial"/>
              </w:rPr>
            </w:pPr>
            <w:r>
              <w:rPr>
                <w:rFonts w:ascii="Arial" w:eastAsia="Arial" w:hAnsi="Arial" w:cs="Arial"/>
              </w:rPr>
              <w:t>Narrative review</w:t>
            </w:r>
          </w:p>
        </w:tc>
        <w:tc>
          <w:tcPr>
            <w:tcW w:w="1842" w:type="dxa"/>
          </w:tcPr>
          <w:p w14:paraId="1C783E9F" w14:textId="77777777" w:rsidR="00E93BD8" w:rsidRDefault="00000000">
            <w:pPr>
              <w:spacing w:line="360" w:lineRule="auto"/>
              <w:jc w:val="both"/>
              <w:rPr>
                <w:rFonts w:ascii="Arial" w:eastAsia="Arial" w:hAnsi="Arial" w:cs="Arial"/>
              </w:rPr>
            </w:pPr>
            <w:r>
              <w:rPr>
                <w:rFonts w:ascii="Arial" w:eastAsia="Arial" w:hAnsi="Arial" w:cs="Arial"/>
              </w:rPr>
              <w:t xml:space="preserve">To discuss depression in young people from a </w:t>
            </w:r>
            <w:proofErr w:type="spellStart"/>
            <w:r>
              <w:rPr>
                <w:rFonts w:ascii="Arial" w:eastAsia="Arial" w:hAnsi="Arial" w:cs="Arial"/>
              </w:rPr>
              <w:t>paediatric</w:t>
            </w:r>
            <w:proofErr w:type="spellEnd"/>
            <w:r>
              <w:rPr>
                <w:rFonts w:ascii="Arial" w:eastAsia="Arial" w:hAnsi="Arial" w:cs="Arial"/>
              </w:rPr>
              <w:t xml:space="preserve"> perspective</w:t>
            </w:r>
          </w:p>
        </w:tc>
        <w:tc>
          <w:tcPr>
            <w:tcW w:w="2126" w:type="dxa"/>
          </w:tcPr>
          <w:p w14:paraId="4C0717BA" w14:textId="77777777" w:rsidR="00E93BD8" w:rsidRDefault="00000000">
            <w:pPr>
              <w:spacing w:line="360" w:lineRule="auto"/>
              <w:jc w:val="both"/>
              <w:rPr>
                <w:rFonts w:ascii="Arial" w:eastAsia="Arial" w:hAnsi="Arial" w:cs="Arial"/>
              </w:rPr>
            </w:pPr>
            <w:proofErr w:type="spellStart"/>
            <w:r>
              <w:rPr>
                <w:rFonts w:ascii="Arial" w:eastAsia="Arial" w:hAnsi="Arial" w:cs="Arial"/>
              </w:rPr>
              <w:t>Emphasised</w:t>
            </w:r>
            <w:proofErr w:type="spellEnd"/>
            <w:r>
              <w:rPr>
                <w:rFonts w:ascii="Arial" w:eastAsia="Arial" w:hAnsi="Arial" w:cs="Arial"/>
              </w:rPr>
              <w:t xml:space="preserve"> challenges in early detection and comorbidity with physical illness.</w:t>
            </w:r>
          </w:p>
        </w:tc>
      </w:tr>
      <w:tr w:rsidR="00E93BD8" w14:paraId="01A8527E" w14:textId="77777777">
        <w:tc>
          <w:tcPr>
            <w:tcW w:w="1364" w:type="dxa"/>
            <w:vAlign w:val="center"/>
          </w:tcPr>
          <w:p w14:paraId="1C28E377" w14:textId="77777777" w:rsidR="00E93BD8" w:rsidRDefault="00000000">
            <w:pPr>
              <w:spacing w:line="360" w:lineRule="auto"/>
              <w:jc w:val="both"/>
              <w:rPr>
                <w:rFonts w:ascii="Arial" w:eastAsia="Arial" w:hAnsi="Arial" w:cs="Arial"/>
              </w:rPr>
            </w:pPr>
            <w:r>
              <w:rPr>
                <w:rFonts w:ascii="Arial" w:eastAsia="Arial" w:hAnsi="Arial" w:cs="Arial"/>
              </w:rPr>
              <w:t xml:space="preserve">Nichols </w:t>
            </w:r>
            <w:r>
              <w:rPr>
                <w:rFonts w:ascii="Arial" w:eastAsia="Arial" w:hAnsi="Arial" w:cs="Arial"/>
                <w:i/>
                <w:iCs/>
              </w:rPr>
              <w:t>et al.</w:t>
            </w:r>
            <w:r>
              <w:rPr>
                <w:rFonts w:ascii="Arial" w:eastAsia="Arial" w:hAnsi="Arial" w:cs="Arial"/>
              </w:rPr>
              <w:t xml:space="preserve"> (2016)</w:t>
            </w:r>
          </w:p>
        </w:tc>
        <w:tc>
          <w:tcPr>
            <w:tcW w:w="1325" w:type="dxa"/>
            <w:vAlign w:val="center"/>
          </w:tcPr>
          <w:p w14:paraId="67AB022D" w14:textId="77777777" w:rsidR="00E93BD8" w:rsidRDefault="00000000">
            <w:pPr>
              <w:spacing w:line="360" w:lineRule="auto"/>
              <w:jc w:val="both"/>
              <w:rPr>
                <w:rFonts w:ascii="Arial" w:eastAsia="Arial" w:hAnsi="Arial" w:cs="Arial"/>
              </w:rPr>
            </w:pPr>
            <w:r>
              <w:rPr>
                <w:rFonts w:ascii="Arial" w:eastAsia="Arial" w:hAnsi="Arial" w:cs="Arial"/>
              </w:rPr>
              <w:t>UK (Primary care)</w:t>
            </w:r>
          </w:p>
        </w:tc>
        <w:tc>
          <w:tcPr>
            <w:tcW w:w="1591" w:type="dxa"/>
            <w:vAlign w:val="center"/>
          </w:tcPr>
          <w:p w14:paraId="267F7029" w14:textId="77777777" w:rsidR="00E93BD8" w:rsidRDefault="00000000">
            <w:pPr>
              <w:spacing w:line="360" w:lineRule="auto"/>
              <w:jc w:val="both"/>
              <w:rPr>
                <w:rFonts w:ascii="Arial" w:eastAsia="Arial" w:hAnsi="Arial" w:cs="Arial"/>
              </w:rPr>
            </w:pPr>
            <w:r>
              <w:rPr>
                <w:rFonts w:ascii="Arial" w:eastAsia="Arial" w:hAnsi="Arial" w:cs="Arial"/>
              </w:rPr>
              <w:t>Electronic health records, young adults</w:t>
            </w:r>
          </w:p>
        </w:tc>
        <w:tc>
          <w:tcPr>
            <w:tcW w:w="1811" w:type="dxa"/>
            <w:vAlign w:val="center"/>
          </w:tcPr>
          <w:p w14:paraId="01FE9962" w14:textId="77777777" w:rsidR="00E93BD8" w:rsidRDefault="00000000">
            <w:pPr>
              <w:spacing w:line="360" w:lineRule="auto"/>
              <w:jc w:val="both"/>
              <w:rPr>
                <w:rFonts w:ascii="Arial" w:eastAsia="Arial" w:hAnsi="Arial" w:cs="Arial"/>
              </w:rPr>
            </w:pPr>
            <w:r>
              <w:rPr>
                <w:rFonts w:ascii="Arial" w:eastAsia="Arial" w:hAnsi="Arial" w:cs="Arial"/>
              </w:rPr>
              <w:t>Quantitative (case-control)</w:t>
            </w:r>
          </w:p>
        </w:tc>
        <w:tc>
          <w:tcPr>
            <w:tcW w:w="1842" w:type="dxa"/>
            <w:vAlign w:val="center"/>
          </w:tcPr>
          <w:p w14:paraId="1F4EF8D4" w14:textId="77777777" w:rsidR="00E93BD8" w:rsidRDefault="00000000">
            <w:pPr>
              <w:spacing w:line="360" w:lineRule="auto"/>
              <w:jc w:val="both"/>
              <w:rPr>
                <w:rFonts w:ascii="Arial" w:eastAsia="Arial" w:hAnsi="Arial" w:cs="Arial"/>
              </w:rPr>
            </w:pPr>
            <w:r>
              <w:rPr>
                <w:rFonts w:ascii="Arial" w:eastAsia="Arial" w:hAnsi="Arial" w:cs="Arial"/>
              </w:rPr>
              <w:t>To develop prediction model for depression diagnosis</w:t>
            </w:r>
          </w:p>
        </w:tc>
        <w:tc>
          <w:tcPr>
            <w:tcW w:w="2126" w:type="dxa"/>
            <w:vAlign w:val="center"/>
          </w:tcPr>
          <w:p w14:paraId="33ACA7A6" w14:textId="77777777" w:rsidR="00E93BD8" w:rsidRDefault="00000000">
            <w:pPr>
              <w:spacing w:line="360" w:lineRule="auto"/>
              <w:jc w:val="both"/>
              <w:rPr>
                <w:rFonts w:ascii="Arial" w:eastAsia="Arial" w:hAnsi="Arial" w:cs="Arial"/>
              </w:rPr>
            </w:pPr>
            <w:r>
              <w:rPr>
                <w:rFonts w:ascii="Arial" w:eastAsia="Arial" w:hAnsi="Arial" w:cs="Arial"/>
              </w:rPr>
              <w:t>Developed predictive model using health records; effective in early detection.</w:t>
            </w:r>
          </w:p>
        </w:tc>
      </w:tr>
      <w:tr w:rsidR="00E93BD8" w14:paraId="2C51DDB4" w14:textId="77777777">
        <w:tc>
          <w:tcPr>
            <w:tcW w:w="1364" w:type="dxa"/>
          </w:tcPr>
          <w:p w14:paraId="31714E51" w14:textId="77777777" w:rsidR="00E93BD8" w:rsidRDefault="00000000">
            <w:pPr>
              <w:spacing w:line="360" w:lineRule="auto"/>
              <w:jc w:val="both"/>
              <w:rPr>
                <w:rFonts w:ascii="Arial" w:eastAsia="Arial" w:hAnsi="Arial" w:cs="Arial"/>
              </w:rPr>
            </w:pPr>
            <w:r>
              <w:rPr>
                <w:rFonts w:ascii="Arial" w:eastAsia="Arial" w:hAnsi="Arial" w:cs="Arial"/>
              </w:rPr>
              <w:t xml:space="preserve">Hopkins </w:t>
            </w:r>
            <w:r>
              <w:rPr>
                <w:rFonts w:ascii="Arial" w:eastAsia="Arial" w:hAnsi="Arial" w:cs="Arial"/>
                <w:i/>
                <w:iCs/>
              </w:rPr>
              <w:t>et al.</w:t>
            </w:r>
            <w:r>
              <w:rPr>
                <w:rFonts w:ascii="Arial" w:eastAsia="Arial" w:hAnsi="Arial" w:cs="Arial"/>
              </w:rPr>
              <w:t xml:space="preserve"> (2015)</w:t>
            </w:r>
          </w:p>
        </w:tc>
        <w:tc>
          <w:tcPr>
            <w:tcW w:w="1325" w:type="dxa"/>
          </w:tcPr>
          <w:p w14:paraId="62D64926" w14:textId="77777777" w:rsidR="00E93BD8" w:rsidRDefault="00000000">
            <w:pPr>
              <w:spacing w:line="360" w:lineRule="auto"/>
              <w:jc w:val="both"/>
              <w:rPr>
                <w:rFonts w:ascii="Arial" w:eastAsia="Arial" w:hAnsi="Arial" w:cs="Arial"/>
              </w:rPr>
            </w:pPr>
            <w:r>
              <w:rPr>
                <w:rFonts w:ascii="Arial" w:eastAsia="Arial" w:hAnsi="Arial" w:cs="Arial"/>
              </w:rPr>
              <w:t>UK</w:t>
            </w:r>
          </w:p>
        </w:tc>
        <w:tc>
          <w:tcPr>
            <w:tcW w:w="1591" w:type="dxa"/>
          </w:tcPr>
          <w:p w14:paraId="51C12656" w14:textId="77777777" w:rsidR="00E93BD8" w:rsidRDefault="00000000">
            <w:pPr>
              <w:spacing w:line="360" w:lineRule="auto"/>
              <w:jc w:val="both"/>
              <w:rPr>
                <w:rFonts w:ascii="Arial" w:eastAsia="Arial" w:hAnsi="Arial" w:cs="Arial"/>
              </w:rPr>
            </w:pPr>
            <w:r>
              <w:rPr>
                <w:rFonts w:ascii="Arial" w:eastAsia="Arial" w:hAnsi="Arial" w:cs="Arial"/>
              </w:rPr>
              <w:t>Children and young people</w:t>
            </w:r>
          </w:p>
        </w:tc>
        <w:tc>
          <w:tcPr>
            <w:tcW w:w="1811" w:type="dxa"/>
          </w:tcPr>
          <w:p w14:paraId="79E88635" w14:textId="77777777" w:rsidR="00E93BD8" w:rsidRDefault="00000000">
            <w:pPr>
              <w:spacing w:line="360" w:lineRule="auto"/>
              <w:jc w:val="both"/>
              <w:rPr>
                <w:rFonts w:ascii="Arial" w:eastAsia="Arial" w:hAnsi="Arial" w:cs="Arial"/>
              </w:rPr>
            </w:pPr>
            <w:r>
              <w:rPr>
                <w:rFonts w:ascii="Arial" w:eastAsia="Arial" w:hAnsi="Arial" w:cs="Arial"/>
              </w:rPr>
              <w:t>Clinical guideline summary</w:t>
            </w:r>
          </w:p>
        </w:tc>
        <w:tc>
          <w:tcPr>
            <w:tcW w:w="1842" w:type="dxa"/>
          </w:tcPr>
          <w:p w14:paraId="68719EB4" w14:textId="77777777" w:rsidR="00E93BD8" w:rsidRDefault="00000000">
            <w:pPr>
              <w:spacing w:line="360" w:lineRule="auto"/>
              <w:jc w:val="both"/>
              <w:rPr>
                <w:rFonts w:ascii="Arial" w:eastAsia="Arial" w:hAnsi="Arial" w:cs="Arial"/>
              </w:rPr>
            </w:pPr>
            <w:r>
              <w:rPr>
                <w:rFonts w:ascii="Arial" w:eastAsia="Arial" w:hAnsi="Arial" w:cs="Arial"/>
              </w:rPr>
              <w:t>To present NICE guidance on diagnosis/management of depression</w:t>
            </w:r>
          </w:p>
        </w:tc>
        <w:tc>
          <w:tcPr>
            <w:tcW w:w="2126" w:type="dxa"/>
          </w:tcPr>
          <w:p w14:paraId="69E25E8B" w14:textId="77777777" w:rsidR="00E93BD8" w:rsidRDefault="00000000">
            <w:pPr>
              <w:spacing w:line="360" w:lineRule="auto"/>
              <w:jc w:val="both"/>
              <w:rPr>
                <w:rFonts w:ascii="Arial" w:eastAsia="Arial" w:hAnsi="Arial" w:cs="Arial"/>
              </w:rPr>
            </w:pPr>
            <w:r>
              <w:rPr>
                <w:rFonts w:ascii="Arial" w:eastAsia="Arial" w:hAnsi="Arial" w:cs="Arial"/>
              </w:rPr>
              <w:t>Outlined updated NICE protocols; stressed holistic, evidence-based management.</w:t>
            </w:r>
          </w:p>
        </w:tc>
      </w:tr>
    </w:tbl>
    <w:p w14:paraId="5BB308BF" w14:textId="77777777" w:rsidR="00E93BD8" w:rsidRDefault="00000000">
      <w:pPr>
        <w:spacing w:line="360" w:lineRule="auto"/>
        <w:jc w:val="both"/>
        <w:rPr>
          <w:rFonts w:ascii="Arial" w:eastAsia="Arial" w:hAnsi="Arial" w:cs="Arial"/>
        </w:rPr>
      </w:pPr>
      <w:r>
        <w:rPr>
          <w:rFonts w:ascii="Arial" w:eastAsia="Arial" w:hAnsi="Arial" w:cs="Arial"/>
        </w:rPr>
        <w:t xml:space="preserve">(Source: </w:t>
      </w:r>
      <w:r>
        <w:rPr>
          <w:rFonts w:ascii="Arial" w:eastAsia="Arial" w:hAnsi="Arial" w:cs="Arial"/>
          <w:i/>
          <w:iCs/>
        </w:rPr>
        <w:t>Thapar et al., 2022; Lakasing and Mirza, 2020; Pile et al., 2019; Kelvin, 2016; Khouja et al., 2019; Jenkins et al., 2021; Barker et al., 2019; Hopkins et al., 2015; Nichols et al., 2016; Morales-Munoz et al., 2023; Martin and Atkinson, 2020; Irish et al., 2019; Barker et al., 2023</w:t>
      </w:r>
      <w:r>
        <w:rPr>
          <w:rFonts w:ascii="Arial" w:eastAsia="Arial" w:hAnsi="Arial" w:cs="Arial"/>
        </w:rPr>
        <w:t>)</w:t>
      </w:r>
    </w:p>
    <w:p w14:paraId="7E6376BA" w14:textId="77777777" w:rsidR="00E93BD8" w:rsidRDefault="00E93BD8">
      <w:pPr>
        <w:spacing w:line="360" w:lineRule="auto"/>
        <w:jc w:val="both"/>
        <w:rPr>
          <w:rFonts w:ascii="Arial" w:eastAsia="Arial" w:hAnsi="Arial" w:cs="Arial"/>
        </w:rPr>
      </w:pPr>
    </w:p>
    <w:p w14:paraId="48CEBAA0" w14:textId="77777777" w:rsidR="00E93BD8" w:rsidRDefault="00E93BD8">
      <w:pPr>
        <w:spacing w:line="360" w:lineRule="auto"/>
        <w:rPr>
          <w:rFonts w:ascii="Arial" w:eastAsia="Arial" w:hAnsi="Arial" w:cs="Arial"/>
        </w:rPr>
      </w:pPr>
    </w:p>
    <w:p w14:paraId="3DDA6C1C" w14:textId="77777777" w:rsidR="00E93BD8" w:rsidRDefault="00E93BD8">
      <w:pPr>
        <w:spacing w:line="360" w:lineRule="auto"/>
        <w:jc w:val="both"/>
        <w:rPr>
          <w:rFonts w:ascii="Arial" w:eastAsia="Arial" w:hAnsi="Arial" w:cs="Arial"/>
        </w:rPr>
      </w:pPr>
    </w:p>
    <w:p w14:paraId="7F723BCB" w14:textId="77777777" w:rsidR="00E93BD8" w:rsidRDefault="00E93BD8">
      <w:pPr>
        <w:spacing w:line="360" w:lineRule="auto"/>
        <w:jc w:val="both"/>
        <w:rPr>
          <w:rFonts w:ascii="Arial" w:eastAsia="Arial" w:hAnsi="Arial" w:cs="Arial"/>
        </w:rPr>
      </w:pPr>
    </w:p>
    <w:p w14:paraId="5C6CE1D7" w14:textId="77777777" w:rsidR="00E93BD8" w:rsidRDefault="00E93BD8">
      <w:pPr>
        <w:spacing w:line="360" w:lineRule="auto"/>
        <w:jc w:val="both"/>
        <w:rPr>
          <w:rFonts w:ascii="Arial" w:eastAsia="Arial" w:hAnsi="Arial" w:cs="Arial"/>
        </w:rPr>
      </w:pPr>
    </w:p>
    <w:p w14:paraId="5820E220" w14:textId="77777777" w:rsidR="00E93BD8" w:rsidRDefault="00E93BD8">
      <w:pPr>
        <w:spacing w:line="360" w:lineRule="auto"/>
        <w:jc w:val="both"/>
        <w:rPr>
          <w:rFonts w:ascii="Arial" w:eastAsia="Arial" w:hAnsi="Arial" w:cs="Arial"/>
        </w:rPr>
      </w:pPr>
    </w:p>
    <w:p w14:paraId="008FCA7C" w14:textId="77777777" w:rsidR="00E93BD8" w:rsidRDefault="00E93BD8">
      <w:pPr>
        <w:spacing w:line="360" w:lineRule="auto"/>
        <w:jc w:val="both"/>
        <w:rPr>
          <w:rFonts w:ascii="Arial" w:eastAsia="Arial" w:hAnsi="Arial" w:cs="Arial"/>
        </w:rPr>
      </w:pPr>
    </w:p>
    <w:p w14:paraId="275796E5" w14:textId="77777777" w:rsidR="00E93BD8" w:rsidRDefault="00E93BD8">
      <w:pPr>
        <w:spacing w:line="360" w:lineRule="auto"/>
        <w:jc w:val="both"/>
        <w:rPr>
          <w:rFonts w:ascii="Arial" w:eastAsia="Arial" w:hAnsi="Arial" w:cs="Arial"/>
        </w:rPr>
      </w:pPr>
    </w:p>
    <w:p w14:paraId="66448A3C" w14:textId="77777777" w:rsidR="00E93BD8" w:rsidRDefault="00E93BD8">
      <w:pPr>
        <w:spacing w:line="360" w:lineRule="auto"/>
        <w:jc w:val="both"/>
        <w:rPr>
          <w:rFonts w:ascii="Arial" w:eastAsia="Arial" w:hAnsi="Arial" w:cs="Arial"/>
        </w:rPr>
      </w:pPr>
    </w:p>
    <w:p w14:paraId="6E780A3B" w14:textId="77777777" w:rsidR="00E93BD8" w:rsidRDefault="00E93BD8">
      <w:pPr>
        <w:spacing w:line="360" w:lineRule="auto"/>
        <w:jc w:val="both"/>
        <w:rPr>
          <w:rFonts w:ascii="Arial" w:eastAsia="Arial" w:hAnsi="Arial" w:cs="Arial"/>
        </w:rPr>
      </w:pPr>
    </w:p>
    <w:p w14:paraId="0E2D6748" w14:textId="77777777" w:rsidR="00E93BD8" w:rsidRDefault="00E93BD8">
      <w:pPr>
        <w:spacing w:line="360" w:lineRule="auto"/>
        <w:jc w:val="both"/>
        <w:rPr>
          <w:rFonts w:ascii="Arial" w:eastAsia="Arial" w:hAnsi="Arial" w:cs="Arial"/>
        </w:rPr>
      </w:pPr>
    </w:p>
    <w:p w14:paraId="7EDFF3B8" w14:textId="77777777" w:rsidR="00E93BD8" w:rsidRDefault="00E93BD8">
      <w:pPr>
        <w:spacing w:line="360" w:lineRule="auto"/>
        <w:jc w:val="both"/>
        <w:rPr>
          <w:rFonts w:ascii="Arial" w:eastAsia="Arial" w:hAnsi="Arial" w:cs="Arial"/>
        </w:rPr>
      </w:pPr>
    </w:p>
    <w:p w14:paraId="7095CD61" w14:textId="77777777" w:rsidR="00E93BD8" w:rsidRDefault="00E93BD8">
      <w:pPr>
        <w:spacing w:line="360" w:lineRule="auto"/>
        <w:jc w:val="both"/>
        <w:rPr>
          <w:rFonts w:ascii="Arial" w:eastAsia="Arial" w:hAnsi="Arial" w:cs="Arial"/>
        </w:rPr>
      </w:pPr>
    </w:p>
    <w:p w14:paraId="3DF5060A" w14:textId="77777777" w:rsidR="00E93BD8" w:rsidRDefault="00E93BD8">
      <w:pPr>
        <w:spacing w:line="360" w:lineRule="auto"/>
        <w:jc w:val="both"/>
        <w:rPr>
          <w:rFonts w:ascii="Arial" w:eastAsia="Arial" w:hAnsi="Arial" w:cs="Arial"/>
        </w:rPr>
      </w:pPr>
    </w:p>
    <w:p w14:paraId="7BF57496" w14:textId="77777777" w:rsidR="00E93BD8" w:rsidRDefault="00E93BD8">
      <w:pPr>
        <w:spacing w:line="360" w:lineRule="auto"/>
        <w:jc w:val="both"/>
        <w:rPr>
          <w:rFonts w:ascii="Arial" w:eastAsia="Arial" w:hAnsi="Arial" w:cs="Arial"/>
        </w:rPr>
      </w:pPr>
    </w:p>
    <w:p w14:paraId="12869F39" w14:textId="77777777" w:rsidR="00E93BD8" w:rsidRDefault="00E93BD8">
      <w:pPr>
        <w:spacing w:line="360" w:lineRule="auto"/>
        <w:jc w:val="both"/>
        <w:rPr>
          <w:rFonts w:ascii="Arial" w:eastAsia="Arial" w:hAnsi="Arial" w:cs="Arial"/>
        </w:rPr>
      </w:pPr>
    </w:p>
    <w:sectPr w:rsidR="00E93BD8">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B92BF" w14:textId="77777777" w:rsidR="003D72E1" w:rsidRDefault="003D72E1">
      <w:pPr>
        <w:spacing w:after="0" w:line="240" w:lineRule="auto"/>
      </w:pPr>
      <w:r>
        <w:separator/>
      </w:r>
    </w:p>
  </w:endnote>
  <w:endnote w:type="continuationSeparator" w:id="0">
    <w:p w14:paraId="2A51DFA3" w14:textId="77777777" w:rsidR="003D72E1" w:rsidRDefault="003D7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BB8AD892-BDBF-914F-9E4A-23A9CF19A8E3}"/>
  </w:font>
  <w:font w:name="Calibri">
    <w:panose1 w:val="020F0502020204030204"/>
    <w:charset w:val="00"/>
    <w:family w:val="swiss"/>
    <w:pitch w:val="variable"/>
    <w:sig w:usb0="E4002EFF" w:usb1="C200247B" w:usb2="00000009" w:usb3="00000000" w:csb0="000001FF" w:csb1="00000000"/>
    <w:embedRegular r:id="rId3" w:fontKey="{6F206DB9-B675-CB42-A124-96477B3E137E}"/>
    <w:embedBold r:id="rId4" w:fontKey="{8DF915D6-C366-F741-BCD8-CCE933A7ABA2}"/>
    <w:embedItalic r:id="rId5" w:fontKey="{7BF5E8BA-101A-8348-A9D2-1F5AB16A5379}"/>
  </w:font>
  <w:font w:name="Times New Roman">
    <w:panose1 w:val="02020603050405020304"/>
    <w:charset w:val="00"/>
    <w:family w:val="roman"/>
    <w:pitch w:val="variable"/>
    <w:sig w:usb0="E0002EFF" w:usb1="C000785B" w:usb2="00000009" w:usb3="00000000" w:csb0="000001FF" w:csb1="00000000"/>
    <w:embedRegular r:id="rId6" w:fontKey="{E7455280-0648-2246-9235-6693FA6826FC}"/>
    <w:embedBold r:id="rId7" w:fontKey="{CBEB2B41-FB31-3C44-B8BD-B0D260DF51FD}"/>
    <w:embedItalic r:id="rId8" w:fontKey="{3FCD7EB4-0C27-1D4B-B37E-88A08089F343}"/>
  </w:font>
  <w:font w:name="Calibri Light">
    <w:panose1 w:val="020F0302020204030204"/>
    <w:charset w:val="00"/>
    <w:family w:val="swiss"/>
    <w:pitch w:val="variable"/>
    <w:sig w:usb0="E4002EFF" w:usb1="C000247B" w:usb2="00000009" w:usb3="00000000" w:csb0="000001FF" w:csb1="00000000"/>
    <w:embedRegular r:id="rId9" w:fontKey="{1C4D8F28-6EEC-CF45-8F99-BD9018D8CCCC}"/>
  </w:font>
  <w:font w:name="Arial">
    <w:panose1 w:val="020B0604020202020204"/>
    <w:charset w:val="00"/>
    <w:family w:val="swiss"/>
    <w:pitch w:val="variable"/>
    <w:sig w:usb0="E0002EFF" w:usb1="C000785B" w:usb2="00000009" w:usb3="00000000" w:csb0="000001FF" w:csb1="00000000"/>
    <w:embedRegular r:id="rId10" w:fontKey="{5B9D5B56-D3C6-4540-99E6-112414831002}"/>
    <w:embedBold r:id="rId11" w:fontKey="{5C1E45A5-9451-4C43-B705-1CB8CA496DD5}"/>
    <w:embedItalic r:id="rId12" w:fontKey="{888C844A-16B2-0D41-AA56-B7237CB062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37458" w14:textId="77777777" w:rsidR="00E93BD8"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A4751">
      <w:rPr>
        <w:noProof/>
        <w:color w:val="000000"/>
      </w:rPr>
      <w:t>1</w:t>
    </w:r>
    <w:r>
      <w:rPr>
        <w:color w:val="000000"/>
      </w:rPr>
      <w:fldChar w:fldCharType="end"/>
    </w:r>
  </w:p>
  <w:p w14:paraId="453311C9" w14:textId="77777777" w:rsidR="00E93BD8" w:rsidRDefault="00E93BD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F2E3C" w14:textId="77777777" w:rsidR="003D72E1" w:rsidRDefault="003D72E1">
      <w:pPr>
        <w:spacing w:after="0" w:line="240" w:lineRule="auto"/>
      </w:pPr>
      <w:r>
        <w:separator/>
      </w:r>
    </w:p>
  </w:footnote>
  <w:footnote w:type="continuationSeparator" w:id="0">
    <w:p w14:paraId="220718AB" w14:textId="77777777" w:rsidR="003D72E1" w:rsidRDefault="003D72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87371"/>
    <w:multiLevelType w:val="multilevel"/>
    <w:tmpl w:val="0ED8CD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FF74F3"/>
    <w:multiLevelType w:val="multilevel"/>
    <w:tmpl w:val="A50C49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8203FD"/>
    <w:multiLevelType w:val="multilevel"/>
    <w:tmpl w:val="83FCF01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62C45759"/>
    <w:multiLevelType w:val="multilevel"/>
    <w:tmpl w:val="59989B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DEC5872"/>
    <w:multiLevelType w:val="multilevel"/>
    <w:tmpl w:val="CE2AA5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78596334">
    <w:abstractNumId w:val="0"/>
  </w:num>
  <w:num w:numId="2" w16cid:durableId="312225467">
    <w:abstractNumId w:val="2"/>
  </w:num>
  <w:num w:numId="3" w16cid:durableId="451482580">
    <w:abstractNumId w:val="3"/>
  </w:num>
  <w:num w:numId="4" w16cid:durableId="1679306083">
    <w:abstractNumId w:val="4"/>
  </w:num>
  <w:num w:numId="5" w16cid:durableId="795374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LS0tLAwMTM0NzIwM7VQ0lEKTi0uzszPAykwqgUA5pqFNSwAAAA="/>
  </w:docVars>
  <w:rsids>
    <w:rsidRoot w:val="00E93BD8"/>
    <w:rsid w:val="001A5B50"/>
    <w:rsid w:val="003D72E1"/>
    <w:rsid w:val="00411EE9"/>
    <w:rsid w:val="004D001A"/>
    <w:rsid w:val="007534E8"/>
    <w:rsid w:val="00951FA2"/>
    <w:rsid w:val="009A4751"/>
    <w:rsid w:val="00C06D9C"/>
    <w:rsid w:val="00CE7E59"/>
    <w:rsid w:val="00DB383A"/>
    <w:rsid w:val="00E93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F2D55"/>
  <w15:docId w15:val="{6450F649-430B-4D32-836B-2F01C92E1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color w:val="2E75B5"/>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color w:val="2E75B5"/>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color w:val="2E75B5"/>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E75B5"/>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E75B5"/>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6B10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0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0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6B104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6B104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B104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B104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B104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B10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0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0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04D"/>
    <w:rPr>
      <w:rFonts w:eastAsiaTheme="majorEastAsia" w:cstheme="majorBidi"/>
      <w:color w:val="272727" w:themeColor="text1" w:themeTint="D8"/>
    </w:rPr>
  </w:style>
  <w:style w:type="character" w:customStyle="1" w:styleId="TitleChar">
    <w:name w:val="Title Char"/>
    <w:basedOn w:val="DefaultParagraphFont"/>
    <w:link w:val="Title"/>
    <w:uiPriority w:val="10"/>
    <w:rsid w:val="006B104D"/>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B10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04D"/>
    <w:pPr>
      <w:spacing w:before="160"/>
      <w:jc w:val="center"/>
    </w:pPr>
    <w:rPr>
      <w:i/>
      <w:iCs/>
      <w:color w:val="404040" w:themeColor="text1" w:themeTint="BF"/>
    </w:rPr>
  </w:style>
  <w:style w:type="character" w:customStyle="1" w:styleId="QuoteChar">
    <w:name w:val="Quote Char"/>
    <w:basedOn w:val="DefaultParagraphFont"/>
    <w:link w:val="Quote"/>
    <w:uiPriority w:val="29"/>
    <w:rsid w:val="006B104D"/>
    <w:rPr>
      <w:i/>
      <w:iCs/>
      <w:color w:val="404040" w:themeColor="text1" w:themeTint="BF"/>
    </w:rPr>
  </w:style>
  <w:style w:type="paragraph" w:styleId="ListParagraph">
    <w:name w:val="List Paragraph"/>
    <w:basedOn w:val="Normal"/>
    <w:uiPriority w:val="34"/>
    <w:qFormat/>
    <w:rsid w:val="006B104D"/>
    <w:pPr>
      <w:ind w:left="720"/>
      <w:contextualSpacing/>
    </w:pPr>
  </w:style>
  <w:style w:type="character" w:styleId="IntenseEmphasis">
    <w:name w:val="Intense Emphasis"/>
    <w:basedOn w:val="DefaultParagraphFont"/>
    <w:uiPriority w:val="21"/>
    <w:qFormat/>
    <w:rsid w:val="006B104D"/>
    <w:rPr>
      <w:i/>
      <w:iCs/>
      <w:color w:val="2E74B5" w:themeColor="accent1" w:themeShade="BF"/>
    </w:rPr>
  </w:style>
  <w:style w:type="paragraph" w:styleId="IntenseQuote">
    <w:name w:val="Intense Quote"/>
    <w:basedOn w:val="Normal"/>
    <w:next w:val="Normal"/>
    <w:link w:val="IntenseQuoteChar"/>
    <w:uiPriority w:val="30"/>
    <w:qFormat/>
    <w:rsid w:val="006B104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B104D"/>
    <w:rPr>
      <w:i/>
      <w:iCs/>
      <w:color w:val="2E74B5" w:themeColor="accent1" w:themeShade="BF"/>
    </w:rPr>
  </w:style>
  <w:style w:type="character" w:styleId="IntenseReference">
    <w:name w:val="Intense Reference"/>
    <w:basedOn w:val="DefaultParagraphFont"/>
    <w:uiPriority w:val="32"/>
    <w:qFormat/>
    <w:rsid w:val="006B104D"/>
    <w:rPr>
      <w:b/>
      <w:bCs/>
      <w:smallCaps/>
      <w:color w:val="2E74B5" w:themeColor="accent1" w:themeShade="BF"/>
      <w:spacing w:val="5"/>
    </w:rPr>
  </w:style>
  <w:style w:type="table" w:styleId="TableGrid">
    <w:name w:val="Table Grid"/>
    <w:basedOn w:val="TableNormal"/>
    <w:rsid w:val="006B1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3D1B"/>
    <w:rPr>
      <w:color w:val="0563C1" w:themeColor="hyperlink"/>
      <w:u w:val="single"/>
    </w:rPr>
  </w:style>
  <w:style w:type="paragraph" w:styleId="Header">
    <w:name w:val="header"/>
    <w:basedOn w:val="Normal"/>
    <w:link w:val="HeaderChar"/>
    <w:uiPriority w:val="99"/>
    <w:unhideWhenUsed/>
    <w:rsid w:val="00E26B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BFF"/>
  </w:style>
  <w:style w:type="paragraph" w:styleId="Footer">
    <w:name w:val="footer"/>
    <w:basedOn w:val="Normal"/>
    <w:link w:val="FooterChar"/>
    <w:uiPriority w:val="99"/>
    <w:unhideWhenUsed/>
    <w:rsid w:val="00E26B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BFF"/>
  </w:style>
  <w:style w:type="paragraph" w:styleId="TOCHeading">
    <w:name w:val="TOC Heading"/>
    <w:basedOn w:val="Heading1"/>
    <w:next w:val="Normal"/>
    <w:uiPriority w:val="39"/>
    <w:unhideWhenUsed/>
    <w:qFormat/>
    <w:rsid w:val="00E26BFF"/>
    <w:pPr>
      <w:spacing w:before="240" w:after="0" w:line="259" w:lineRule="auto"/>
      <w:outlineLvl w:val="9"/>
    </w:pPr>
    <w:rPr>
      <w:sz w:val="32"/>
      <w:szCs w:val="32"/>
    </w:rPr>
  </w:style>
  <w:style w:type="paragraph" w:styleId="TOC2">
    <w:name w:val="toc 2"/>
    <w:basedOn w:val="Normal"/>
    <w:next w:val="Normal"/>
    <w:autoRedefine/>
    <w:uiPriority w:val="39"/>
    <w:unhideWhenUsed/>
    <w:rsid w:val="00E26BFF"/>
    <w:pPr>
      <w:spacing w:after="100"/>
      <w:ind w:left="240"/>
    </w:pPr>
  </w:style>
  <w:style w:type="paragraph" w:styleId="TOC1">
    <w:name w:val="toc 1"/>
    <w:basedOn w:val="Normal"/>
    <w:next w:val="Normal"/>
    <w:autoRedefine/>
    <w:uiPriority w:val="39"/>
    <w:unhideWhenUsed/>
    <w:rsid w:val="00E26BFF"/>
    <w:pPr>
      <w:spacing w:after="100"/>
    </w:pPr>
  </w:style>
  <w:style w:type="paragraph" w:styleId="TOC3">
    <w:name w:val="toc 3"/>
    <w:basedOn w:val="Normal"/>
    <w:next w:val="Normal"/>
    <w:autoRedefine/>
    <w:uiPriority w:val="39"/>
    <w:unhideWhenUsed/>
    <w:rsid w:val="00E26BFF"/>
    <w:pPr>
      <w:spacing w:after="100"/>
      <w:ind w:left="480"/>
    </w:p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doi.org/10.1186/s40359-021-00614-6" TargetMode="External"/><Relationship Id="rId26" Type="http://schemas.openxmlformats.org/officeDocument/2006/relationships/hyperlink" Target="https://doi.org/10.1186/s12889-018-6321-9" TargetMode="External"/><Relationship Id="rId39" Type="http://schemas.openxmlformats.org/officeDocument/2006/relationships/hyperlink" Target="https://doi.org/10.1186/s41182-019-0165-6" TargetMode="External"/><Relationship Id="rId21" Type="http://schemas.openxmlformats.org/officeDocument/2006/relationships/hyperlink" Target="https://doi.org/10.5114/ppn.2022.118265" TargetMode="External"/><Relationship Id="rId34" Type="http://schemas.openxmlformats.org/officeDocument/2006/relationships/hyperlink" Target="https://doi.org/10.1038/s44184-023-00032-z" TargetMode="External"/><Relationship Id="rId42" Type="http://schemas.openxmlformats.org/officeDocument/2006/relationships/hyperlink" Target="https://doi.org/10.3389/fpsyt.2023.118202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38/s41390-022-02370-8" TargetMode="External"/><Relationship Id="rId20" Type="http://schemas.openxmlformats.org/officeDocument/2006/relationships/hyperlink" Target="https://doi.org/10.1016/j.cegh.2022.100962" TargetMode="External"/><Relationship Id="rId29" Type="http://schemas.openxmlformats.org/officeDocument/2006/relationships/hyperlink" Target="https://doi.org/10.1542/peds.2016-1878" TargetMode="External"/><Relationship Id="rId41" Type="http://schemas.openxmlformats.org/officeDocument/2006/relationships/hyperlink" Target="https://doi.org/10.1038/s41598-024-53292-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doi.org/10.1080/07448481.2019.1709474" TargetMode="External"/><Relationship Id="rId32" Type="http://schemas.openxmlformats.org/officeDocument/2006/relationships/hyperlink" Target="https://doi.org/10.1186/s13033-024-00642-w" TargetMode="External"/><Relationship Id="rId37" Type="http://schemas.openxmlformats.org/officeDocument/2006/relationships/hyperlink" Target="https://doi.org/10.1016/j.ijsu.2021.105918" TargetMode="External"/><Relationship Id="rId40" Type="http://schemas.openxmlformats.org/officeDocument/2006/relationships/hyperlink" Target="https://doi.org/10.1016/s0140-6736(22)01012-1" TargetMode="External"/><Relationship Id="rId5" Type="http://schemas.openxmlformats.org/officeDocument/2006/relationships/webSettings" Target="webSettings.xml"/><Relationship Id="rId15" Type="http://schemas.openxmlformats.org/officeDocument/2006/relationships/hyperlink" Target="https://doi.org/10.3889/oamjms.2019.789" TargetMode="External"/><Relationship Id="rId23" Type="http://schemas.openxmlformats.org/officeDocument/2006/relationships/hyperlink" Target="https://doi.org/10.1016/j.jad.2023.09.019" TargetMode="External"/><Relationship Id="rId28" Type="http://schemas.openxmlformats.org/officeDocument/2006/relationships/hyperlink" Target="https://doi.org/10.1080/13596748.2020.1742976" TargetMode="External"/><Relationship Id="rId36" Type="http://schemas.openxmlformats.org/officeDocument/2006/relationships/hyperlink" Target="https://doi.org/10.1016/j.jbusres.2019.07.039" TargetMode="External"/><Relationship Id="rId10" Type="http://schemas.openxmlformats.org/officeDocument/2006/relationships/chart" Target="charts/chart2.xml"/><Relationship Id="rId19" Type="http://schemas.openxmlformats.org/officeDocument/2006/relationships/hyperlink" Target="http://dx.doi.org/10.1191/1478088706qp063oa" TargetMode="External"/><Relationship Id="rId31" Type="http://schemas.openxmlformats.org/officeDocument/2006/relationships/hyperlink" Target="https://doi.org/10.1111/eip.12332"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oi.org/10.1016/j.jadohealth.2022.02.023" TargetMode="External"/><Relationship Id="rId22" Type="http://schemas.openxmlformats.org/officeDocument/2006/relationships/hyperlink" Target="https://doi.org/10.1136/bmj.h824" TargetMode="External"/><Relationship Id="rId27" Type="http://schemas.openxmlformats.org/officeDocument/2006/relationships/hyperlink" Target="https://doi.org/10.3399/bjgp20X707765" TargetMode="External"/><Relationship Id="rId30" Type="http://schemas.openxmlformats.org/officeDocument/2006/relationships/hyperlink" Target="https://doi.org/10.1192/bjp.2023.23" TargetMode="External"/><Relationship Id="rId35" Type="http://schemas.openxmlformats.org/officeDocument/2006/relationships/hyperlink" Target="http://dx.doi.org/10.1192/apt.10.1.4" TargetMode="External"/><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doi.org/10.1016/j.jid.2020.11.029" TargetMode="External"/><Relationship Id="rId25" Type="http://schemas.openxmlformats.org/officeDocument/2006/relationships/hyperlink" Target="https://doi.org/10.1016/j.paed.2016.08.008" TargetMode="External"/><Relationship Id="rId33" Type="http://schemas.openxmlformats.org/officeDocument/2006/relationships/hyperlink" Target="https://doi.org/10.1177/1359104519858112" TargetMode="External"/><Relationship Id="rId38" Type="http://schemas.openxmlformats.org/officeDocument/2006/relationships/hyperlink" Target="https://www.statista.com/statistics/1199302/depression-among-young-people-in-the-united-kingd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Journal</a:t>
            </a:r>
            <a:r>
              <a:rPr lang="en-US" baseline="0"/>
              <a:t> Category</a:t>
            </a:r>
            <a:endParaRPr lang="en-US"/>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95A7-4F0C-8F36-E089CCDAC4F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95A7-4F0C-8F36-E089CCDAC4FC}"/>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95A7-4F0C-8F36-E089CCDAC4FC}"/>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95A7-4F0C-8F36-E089CCDAC4FC}"/>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95A7-4F0C-8F36-E089CCDAC4F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95A7-4F0C-8F36-E089CCDAC4FC}"/>
                </c:ext>
              </c:extLst>
            </c:dLbl>
            <c:dLbl>
              <c:idx val="1"/>
              <c:layout>
                <c:manualLayout>
                  <c:x val="7.4198975059159122E-2"/>
                  <c:y val="-1.324887209657826E-1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5A7-4F0C-8F36-E089CCDAC4FC}"/>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95A7-4F0C-8F36-E089CCDAC4FC}"/>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95A7-4F0C-8F36-E089CCDAC4FC}"/>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9-95A7-4F0C-8F36-E089CCDAC4FC}"/>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Sheet1!$A$3:$A$7</c:f>
              <c:strCache>
                <c:ptCount val="5"/>
                <c:pt idx="0">
                  <c:v>Psychiatry and Mental Health</c:v>
                </c:pt>
                <c:pt idx="1">
                  <c:v>Public Health and General Practice</c:v>
                </c:pt>
                <c:pt idx="2">
                  <c:v>Psychology, Child and Adolescent</c:v>
                </c:pt>
                <c:pt idx="3">
                  <c:v>Education and Social Science</c:v>
                </c:pt>
                <c:pt idx="4">
                  <c:v>Clinical Policy and Practice</c:v>
                </c:pt>
              </c:strCache>
            </c:strRef>
          </c:cat>
          <c:val>
            <c:numRef>
              <c:f>Sheet1!$B$3:$B$7</c:f>
              <c:numCache>
                <c:formatCode>General</c:formatCode>
                <c:ptCount val="5"/>
                <c:pt idx="0">
                  <c:v>38.46</c:v>
                </c:pt>
                <c:pt idx="1">
                  <c:v>15.39</c:v>
                </c:pt>
                <c:pt idx="2">
                  <c:v>23.08</c:v>
                </c:pt>
                <c:pt idx="3">
                  <c:v>15.39</c:v>
                </c:pt>
                <c:pt idx="4">
                  <c:v>7.68</c:v>
                </c:pt>
              </c:numCache>
            </c:numRef>
          </c:val>
          <c:extLst>
            <c:ext xmlns:c16="http://schemas.microsoft.com/office/drawing/2014/chart" uri="{C3380CC4-5D6E-409C-BE32-E72D297353CC}">
              <c16:uniqueId val="{0000000A-95A7-4F0C-8F36-E089CCDAC4FC}"/>
            </c:ext>
          </c:extLst>
        </c:ser>
        <c:ser>
          <c:idx val="1"/>
          <c:order val="1"/>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C-95A7-4F0C-8F36-E089CCDAC4F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E-95A7-4F0C-8F36-E089CCDAC4FC}"/>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0-95A7-4F0C-8F36-E089CCDAC4FC}"/>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2-95A7-4F0C-8F36-E089CCDAC4FC}"/>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4-95A7-4F0C-8F36-E089CCDAC4F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C-95A7-4F0C-8F36-E089CCDAC4F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E-95A7-4F0C-8F36-E089CCDAC4FC}"/>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10-95A7-4F0C-8F36-E089CCDAC4FC}"/>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12-95A7-4F0C-8F36-E089CCDAC4FC}"/>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14-95A7-4F0C-8F36-E089CCDAC4FC}"/>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Sheet1!$A$3:$A$7</c:f>
              <c:strCache>
                <c:ptCount val="5"/>
                <c:pt idx="0">
                  <c:v>Psychiatry and Mental Health</c:v>
                </c:pt>
                <c:pt idx="1">
                  <c:v>Public Health and General Practice</c:v>
                </c:pt>
                <c:pt idx="2">
                  <c:v>Psychology, Child and Adolescent</c:v>
                </c:pt>
                <c:pt idx="3">
                  <c:v>Education and Social Science</c:v>
                </c:pt>
                <c:pt idx="4">
                  <c:v>Clinical Policy and Practice</c:v>
                </c:pt>
              </c:strCache>
            </c:strRef>
          </c:cat>
          <c:val>
            <c:numRef>
              <c:f>Sheet1!$C$3:$C$7</c:f>
              <c:numCache>
                <c:formatCode>General</c:formatCode>
                <c:ptCount val="5"/>
                <c:pt idx="0">
                  <c:v>38.46</c:v>
                </c:pt>
                <c:pt idx="1">
                  <c:v>15.39</c:v>
                </c:pt>
                <c:pt idx="2">
                  <c:v>23.08</c:v>
                </c:pt>
                <c:pt idx="3">
                  <c:v>15.39</c:v>
                </c:pt>
                <c:pt idx="4">
                  <c:v>7.68</c:v>
                </c:pt>
              </c:numCache>
            </c:numRef>
          </c:val>
          <c:extLst>
            <c:ext xmlns:c16="http://schemas.microsoft.com/office/drawing/2014/chart" uri="{C3380CC4-5D6E-409C-BE32-E72D297353CC}">
              <c16:uniqueId val="{00000015-95A7-4F0C-8F36-E089CCDAC4FC}"/>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Citation Count</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fld id="{FE84D338-EC46-4C80-AAD1-EFB5363D1056}" type="VALUE">
                      <a:rPr lang="en-US">
                        <a:solidFill>
                          <a:schemeClr val="tx1"/>
                        </a:solidFill>
                      </a:rPr>
                      <a:pPr/>
                      <a:t>[VALUE]</a:t>
                    </a:fld>
                    <a:endParaRPr lang="en-GB"/>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BDA5-4E9D-B0C1-90705547F592}"/>
                </c:ext>
              </c:extLst>
            </c:dLbl>
            <c:dLbl>
              <c:idx val="1"/>
              <c:tx>
                <c:rich>
                  <a:bodyPr/>
                  <a:lstStyle/>
                  <a:p>
                    <a:fld id="{3FB3F7AC-31F9-4BB4-A25A-5A43D9D398EB}" type="VALUE">
                      <a:rPr lang="en-US">
                        <a:solidFill>
                          <a:schemeClr val="tx1"/>
                        </a:solidFill>
                      </a:rPr>
                      <a:pPr/>
                      <a:t>[VALUE]</a:t>
                    </a:fld>
                    <a:endParaRPr lang="en-GB"/>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DA5-4E9D-B0C1-90705547F592}"/>
                </c:ext>
              </c:extLst>
            </c:dLbl>
            <c:dLbl>
              <c:idx val="2"/>
              <c:tx>
                <c:rich>
                  <a:bodyPr/>
                  <a:lstStyle/>
                  <a:p>
                    <a:fld id="{A6E47293-A904-428E-ADC0-DCC0A49BFDBF}" type="VALUE">
                      <a:rPr lang="en-US">
                        <a:solidFill>
                          <a:schemeClr val="tx1"/>
                        </a:solidFill>
                      </a:rPr>
                      <a:pPr/>
                      <a:t>[VALUE]</a:t>
                    </a:fld>
                    <a:endParaRPr lang="en-GB"/>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BDA5-4E9D-B0C1-90705547F592}"/>
                </c:ext>
              </c:extLst>
            </c:dLbl>
            <c:dLbl>
              <c:idx val="3"/>
              <c:tx>
                <c:rich>
                  <a:bodyPr/>
                  <a:lstStyle/>
                  <a:p>
                    <a:fld id="{FA9C2113-34D6-4509-8D88-9FEFEAB4FE5F}" type="VALUE">
                      <a:rPr lang="en-US">
                        <a:solidFill>
                          <a:schemeClr val="tx1"/>
                        </a:solidFill>
                      </a:rPr>
                      <a:pPr/>
                      <a:t>[VALUE]</a:t>
                    </a:fld>
                    <a:endParaRPr lang="en-GB"/>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DA5-4E9D-B0C1-90705547F592}"/>
                </c:ext>
              </c:extLst>
            </c:dLbl>
            <c:dLbl>
              <c:idx val="4"/>
              <c:tx>
                <c:rich>
                  <a:bodyPr/>
                  <a:lstStyle/>
                  <a:p>
                    <a:fld id="{895B55C2-FE8C-41E6-92BC-54D23CAEF15C}" type="VALUE">
                      <a:rPr lang="en-US">
                        <a:solidFill>
                          <a:schemeClr val="tx1"/>
                        </a:solidFill>
                      </a:rPr>
                      <a:pPr/>
                      <a:t>[VALUE]</a:t>
                    </a:fld>
                    <a:endParaRPr lang="en-GB"/>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BDA5-4E9D-B0C1-90705547F592}"/>
                </c:ext>
              </c:extLst>
            </c:dLbl>
            <c:dLbl>
              <c:idx val="5"/>
              <c:tx>
                <c:rich>
                  <a:bodyPr/>
                  <a:lstStyle/>
                  <a:p>
                    <a:fld id="{55FFDD77-E3BC-4C92-BE11-3C90AE8E0355}" type="VALUE">
                      <a:rPr lang="en-US">
                        <a:solidFill>
                          <a:schemeClr val="tx1"/>
                        </a:solidFill>
                      </a:rPr>
                      <a:pPr/>
                      <a:t>[VALUE]</a:t>
                    </a:fld>
                    <a:endParaRPr lang="en-GB"/>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BDA5-4E9D-B0C1-90705547F59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Sheet1!$A$13:$A$18</c:f>
              <c:strCache>
                <c:ptCount val="6"/>
                <c:pt idx="0">
                  <c:v>Zero Citation</c:v>
                </c:pt>
                <c:pt idx="1">
                  <c:v>Jan-30</c:v>
                </c:pt>
                <c:pt idx="2">
                  <c:v>31-60</c:v>
                </c:pt>
                <c:pt idx="3">
                  <c:v>61-80</c:v>
                </c:pt>
                <c:pt idx="4">
                  <c:v>81-100</c:v>
                </c:pt>
                <c:pt idx="5">
                  <c:v>101 and above</c:v>
                </c:pt>
              </c:strCache>
            </c:strRef>
          </c:cat>
          <c:val>
            <c:numRef>
              <c:f>Sheet1!$B$13:$B$18</c:f>
              <c:numCache>
                <c:formatCode>General</c:formatCode>
                <c:ptCount val="6"/>
                <c:pt idx="0">
                  <c:v>0</c:v>
                </c:pt>
                <c:pt idx="1">
                  <c:v>6</c:v>
                </c:pt>
                <c:pt idx="2">
                  <c:v>3</c:v>
                </c:pt>
                <c:pt idx="3">
                  <c:v>2</c:v>
                </c:pt>
                <c:pt idx="4">
                  <c:v>0</c:v>
                </c:pt>
                <c:pt idx="5">
                  <c:v>2</c:v>
                </c:pt>
              </c:numCache>
            </c:numRef>
          </c:val>
          <c:extLst>
            <c:ext xmlns:c16="http://schemas.microsoft.com/office/drawing/2014/chart" uri="{C3380CC4-5D6E-409C-BE32-E72D297353CC}">
              <c16:uniqueId val="{00000006-BDA5-4E9D-B0C1-90705547F592}"/>
            </c:ext>
          </c:extLst>
        </c:ser>
        <c:dLbls>
          <c:dLblPos val="inEnd"/>
          <c:showLegendKey val="0"/>
          <c:showVal val="1"/>
          <c:showCatName val="0"/>
          <c:showSerName val="0"/>
          <c:showPercent val="0"/>
          <c:showBubbleSize val="0"/>
        </c:dLbls>
        <c:gapWidth val="41"/>
        <c:axId val="155852735"/>
        <c:axId val="155832575"/>
      </c:barChart>
      <c:catAx>
        <c:axId val="15585273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55832575"/>
        <c:crosses val="autoZero"/>
        <c:auto val="1"/>
        <c:lblAlgn val="ctr"/>
        <c:lblOffset val="100"/>
        <c:noMultiLvlLbl val="0"/>
      </c:catAx>
      <c:valAx>
        <c:axId val="155832575"/>
        <c:scaling>
          <c:orientation val="minMax"/>
        </c:scaling>
        <c:delete val="1"/>
        <c:axPos val="l"/>
        <c:numFmt formatCode="General" sourceLinked="1"/>
        <c:majorTickMark val="none"/>
        <c:minorTickMark val="none"/>
        <c:tickLblPos val="nextTo"/>
        <c:crossAx val="1558527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[Book1]Sheet1!PivotTable3</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Year Published</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Sheet1!$H$24</c:f>
              <c:strCache>
                <c:ptCount val="1"/>
                <c:pt idx="0">
                  <c:v>Total</c:v>
                </c:pt>
              </c:strCache>
            </c:strRef>
          </c:tx>
          <c:spPr>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Sheet1!$G$25:$G$36</c:f>
              <c:strCache>
                <c:ptCount val="11"/>
                <c:pt idx="0">
                  <c:v>2025</c:v>
                </c:pt>
                <c:pt idx="1">
                  <c:v>2024</c:v>
                </c:pt>
                <c:pt idx="2">
                  <c:v>2023</c:v>
                </c:pt>
                <c:pt idx="3">
                  <c:v>2022</c:v>
                </c:pt>
                <c:pt idx="4">
                  <c:v>2021</c:v>
                </c:pt>
                <c:pt idx="5">
                  <c:v>2020</c:v>
                </c:pt>
                <c:pt idx="6">
                  <c:v>2019</c:v>
                </c:pt>
                <c:pt idx="7">
                  <c:v>2018</c:v>
                </c:pt>
                <c:pt idx="8">
                  <c:v>2017</c:v>
                </c:pt>
                <c:pt idx="9">
                  <c:v>2016</c:v>
                </c:pt>
                <c:pt idx="10">
                  <c:v>2015</c:v>
                </c:pt>
              </c:strCache>
            </c:strRef>
          </c:cat>
          <c:val>
            <c:numRef>
              <c:f>Sheet1!$H$25:$H$36</c:f>
              <c:numCache>
                <c:formatCode>General</c:formatCode>
                <c:ptCount val="11"/>
                <c:pt idx="0">
                  <c:v>0</c:v>
                </c:pt>
                <c:pt idx="1">
                  <c:v>0</c:v>
                </c:pt>
                <c:pt idx="2">
                  <c:v>2</c:v>
                </c:pt>
                <c:pt idx="3">
                  <c:v>1</c:v>
                </c:pt>
                <c:pt idx="4">
                  <c:v>1</c:v>
                </c:pt>
                <c:pt idx="5">
                  <c:v>2</c:v>
                </c:pt>
                <c:pt idx="6">
                  <c:v>4</c:v>
                </c:pt>
                <c:pt idx="7">
                  <c:v>0</c:v>
                </c:pt>
                <c:pt idx="8">
                  <c:v>0</c:v>
                </c:pt>
                <c:pt idx="9">
                  <c:v>2</c:v>
                </c:pt>
                <c:pt idx="10">
                  <c:v>1</c:v>
                </c:pt>
              </c:numCache>
            </c:numRef>
          </c:val>
          <c:smooth val="0"/>
          <c:extLst>
            <c:ext xmlns:c16="http://schemas.microsoft.com/office/drawing/2014/chart" uri="{C3380CC4-5D6E-409C-BE32-E72D297353CC}">
              <c16:uniqueId val="{00000000-B7FF-46F3-AC42-1FA7AE50E328}"/>
            </c:ext>
          </c:extLst>
        </c:ser>
        <c:dLbls>
          <c:dLblPos val="ctr"/>
          <c:showLegendKey val="0"/>
          <c:showVal val="1"/>
          <c:showCatName val="0"/>
          <c:showSerName val="0"/>
          <c:showPercent val="0"/>
          <c:showBubbleSize val="0"/>
        </c:dLbls>
        <c:marker val="1"/>
        <c:smooth val="0"/>
        <c:axId val="155822015"/>
        <c:axId val="155819615"/>
      </c:lineChart>
      <c:catAx>
        <c:axId val="155822015"/>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5819615"/>
        <c:crosses val="autoZero"/>
        <c:auto val="1"/>
        <c:lblAlgn val="ctr"/>
        <c:lblOffset val="100"/>
        <c:noMultiLvlLbl val="0"/>
      </c:catAx>
      <c:valAx>
        <c:axId val="155819615"/>
        <c:scaling>
          <c:orientation val="minMax"/>
        </c:scaling>
        <c:delete val="1"/>
        <c:axPos val="l"/>
        <c:numFmt formatCode="General" sourceLinked="1"/>
        <c:majorTickMark val="none"/>
        <c:minorTickMark val="none"/>
        <c:tickLblPos val="nextTo"/>
        <c:crossAx val="1558220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Research</a:t>
            </a:r>
            <a:r>
              <a:rPr lang="en-US" baseline="0"/>
              <a:t> Methods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3.9605424321959758E-2"/>
          <c:y val="0.13969868173258004"/>
          <c:w val="0.92983902012248465"/>
          <c:h val="0.52971514153951094"/>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Sheet1!$A$41:$A$45</c:f>
              <c:strCache>
                <c:ptCount val="5"/>
                <c:pt idx="0">
                  <c:v>Quantitative</c:v>
                </c:pt>
                <c:pt idx="1">
                  <c:v>Qualitative (Narrative)</c:v>
                </c:pt>
                <c:pt idx="2">
                  <c:v>Systematic Reviews</c:v>
                </c:pt>
                <c:pt idx="3">
                  <c:v>Clinical guideline summary</c:v>
                </c:pt>
                <c:pt idx="4">
                  <c:v>Review/ Commentary Paper</c:v>
                </c:pt>
              </c:strCache>
            </c:strRef>
          </c:cat>
          <c:val>
            <c:numRef>
              <c:f>Sheet1!$B$41:$B$45</c:f>
              <c:numCache>
                <c:formatCode>General</c:formatCode>
                <c:ptCount val="5"/>
                <c:pt idx="0">
                  <c:v>7</c:v>
                </c:pt>
                <c:pt idx="1">
                  <c:v>3</c:v>
                </c:pt>
                <c:pt idx="2">
                  <c:v>1</c:v>
                </c:pt>
                <c:pt idx="3">
                  <c:v>1</c:v>
                </c:pt>
                <c:pt idx="4">
                  <c:v>1</c:v>
                </c:pt>
              </c:numCache>
            </c:numRef>
          </c:val>
          <c:extLst>
            <c:ext xmlns:c16="http://schemas.microsoft.com/office/drawing/2014/chart" uri="{C3380CC4-5D6E-409C-BE32-E72D297353CC}">
              <c16:uniqueId val="{00000000-DE00-4E9F-B86A-B28620F0B733}"/>
            </c:ext>
          </c:extLst>
        </c:ser>
        <c:dLbls>
          <c:dLblPos val="outEnd"/>
          <c:showLegendKey val="0"/>
          <c:showVal val="1"/>
          <c:showCatName val="0"/>
          <c:showSerName val="0"/>
          <c:showPercent val="0"/>
          <c:showBubbleSize val="0"/>
        </c:dLbls>
        <c:gapWidth val="219"/>
        <c:overlap val="-27"/>
        <c:axId val="318231119"/>
        <c:axId val="318241199"/>
      </c:barChart>
      <c:catAx>
        <c:axId val="318231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241199"/>
        <c:crosses val="autoZero"/>
        <c:auto val="1"/>
        <c:lblAlgn val="ctr"/>
        <c:lblOffset val="100"/>
        <c:noMultiLvlLbl val="0"/>
      </c:catAx>
      <c:valAx>
        <c:axId val="318241199"/>
        <c:scaling>
          <c:orientation val="minMax"/>
        </c:scaling>
        <c:delete val="1"/>
        <c:axPos val="l"/>
        <c:numFmt formatCode="General" sourceLinked="1"/>
        <c:majorTickMark val="none"/>
        <c:minorTickMark val="none"/>
        <c:tickLblPos val="nextTo"/>
        <c:crossAx val="31823111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Participant</a:t>
            </a:r>
            <a:r>
              <a:rPr lang="en-US" baseline="0"/>
              <a:t> Groups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0F3-43B4-99CD-BE294A174A0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0F3-43B4-99CD-BE294A174A0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0F3-43B4-99CD-BE294A174A0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0F3-43B4-99CD-BE294A174A0B}"/>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E0F3-43B4-99CD-BE294A174A0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Sheet1!$A$52:$A$56</c:f>
              <c:strCache>
                <c:ptCount val="5"/>
                <c:pt idx="0">
                  <c:v>Young Adults</c:v>
                </c:pt>
                <c:pt idx="1">
                  <c:v>Young Adults and Adolescents</c:v>
                </c:pt>
                <c:pt idx="2">
                  <c:v>Young Adults and Children</c:v>
                </c:pt>
                <c:pt idx="3">
                  <c:v>College Students (Young Adults)</c:v>
                </c:pt>
                <c:pt idx="4">
                  <c:v>Young Adults, Adolescents and Children</c:v>
                </c:pt>
              </c:strCache>
            </c:strRef>
          </c:cat>
          <c:val>
            <c:numRef>
              <c:f>Sheet1!$B$52:$B$56</c:f>
              <c:numCache>
                <c:formatCode>General</c:formatCode>
                <c:ptCount val="5"/>
                <c:pt idx="0">
                  <c:v>23.07</c:v>
                </c:pt>
                <c:pt idx="1">
                  <c:v>15.39</c:v>
                </c:pt>
                <c:pt idx="2">
                  <c:v>30.76</c:v>
                </c:pt>
                <c:pt idx="3">
                  <c:v>15.39</c:v>
                </c:pt>
                <c:pt idx="4">
                  <c:v>15.39</c:v>
                </c:pt>
              </c:numCache>
            </c:numRef>
          </c:val>
          <c:extLst>
            <c:ext xmlns:c16="http://schemas.microsoft.com/office/drawing/2014/chart" uri="{C3380CC4-5D6E-409C-BE32-E72D297353CC}">
              <c16:uniqueId val="{0000000A-E0F3-43B4-99CD-BE294A174A0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91r/rZjMV2YaNWrylIZGKI6Ofw==">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54</Pages>
  <Words>13501</Words>
  <Characters>80331</Characters>
  <Application>Microsoft Office Word</Application>
  <DocSecurity>0</DocSecurity>
  <Lines>1912</Lines>
  <Paragraphs>670</Paragraphs>
  <ScaleCrop>false</ScaleCrop>
  <Company/>
  <LinksUpToDate>false</LinksUpToDate>
  <CharactersWithSpaces>93162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Patience Solomon (2233993)</cp:lastModifiedBy>
  <cp:revision>2</cp:revision>
  <dcterms:created xsi:type="dcterms:W3CDTF">2025-12-17T17:04:00Z</dcterms:created>
  <dcterms:modified xsi:type="dcterms:W3CDTF">2025-12-17T17:04:00Z</dcterms:modified>
</cp:coreProperties>
</file>