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1020051347"/>
        <w:docPartObj>
          <w:docPartGallery w:val="Cover Pages"/>
          <w:docPartUnique/>
        </w:docPartObj>
      </w:sdtPr>
      <w:sdtEndPr>
        <w:rPr>
          <w:color w:val="auto"/>
        </w:rPr>
      </w:sdtEndPr>
      <w:sdtContent>
        <w:p w14:paraId="0987288F" w14:textId="4F738949" w:rsidR="00146A7A" w:rsidRDefault="00146A7A">
          <w:pPr>
            <w:pStyle w:val="NoSpacing"/>
            <w:spacing w:before="1540" w:after="240"/>
            <w:jc w:val="center"/>
            <w:rPr>
              <w:color w:val="156082" w:themeColor="accent1"/>
            </w:rPr>
          </w:pPr>
          <w:r>
            <w:rPr>
              <w:noProof/>
              <w:color w:val="156082" w:themeColor="accent1"/>
            </w:rPr>
            <w:drawing>
              <wp:inline distT="0" distB="0" distL="0" distR="0" wp14:anchorId="6ACE7AE5" wp14:editId="0A22802A">
                <wp:extent cx="1866900" cy="105535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881104" cy="106338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208F0BC7A7F943CBAF4EEB9CF1993BBF"/>
            </w:placeholder>
            <w:dataBinding w:prefixMappings="xmlns:ns0='http://purl.org/dc/elements/1.1/' xmlns:ns1='http://schemas.openxmlformats.org/package/2006/metadata/core-properties' " w:xpath="/ns1:coreProperties[1]/ns0:title[1]" w:storeItemID="{6C3C8BC8-F283-45AE-878A-BAB7291924A1}"/>
            <w:text/>
          </w:sdtPr>
          <w:sdtContent>
            <w:p w14:paraId="212BBE2F" w14:textId="0E2EA94D" w:rsidR="00146A7A" w:rsidRPr="001F11E7" w:rsidRDefault="00146A7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000000" w:themeColor="text1"/>
                  <w:sz w:val="80"/>
                  <w:szCs w:val="80"/>
                </w:rPr>
              </w:pPr>
              <w:r w:rsidRPr="001F11E7">
                <w:rPr>
                  <w:rFonts w:asciiTheme="majorHAnsi" w:eastAsiaTheme="majorEastAsia" w:hAnsiTheme="majorHAnsi" w:cstheme="majorBidi"/>
                  <w:caps/>
                  <w:color w:val="000000" w:themeColor="text1"/>
                  <w:sz w:val="72"/>
                  <w:szCs w:val="72"/>
                </w:rPr>
                <w:t>BA Business Management</w:t>
              </w:r>
            </w:p>
          </w:sdtContent>
        </w:sdt>
        <w:sdt>
          <w:sdtPr>
            <w:rPr>
              <w:b/>
              <w:bCs/>
              <w:color w:val="000000" w:themeColor="text1"/>
              <w:sz w:val="40"/>
              <w:szCs w:val="40"/>
            </w:rPr>
            <w:alias w:val="Subtitle"/>
            <w:tag w:val=""/>
            <w:id w:val="328029620"/>
            <w:placeholder>
              <w:docPart w:val="516604C863134E3D9FC436737B305116"/>
            </w:placeholder>
            <w:dataBinding w:prefixMappings="xmlns:ns0='http://purl.org/dc/elements/1.1/' xmlns:ns1='http://schemas.openxmlformats.org/package/2006/metadata/core-properties' " w:xpath="/ns1:coreProperties[1]/ns0:subject[1]" w:storeItemID="{6C3C8BC8-F283-45AE-878A-BAB7291924A1}"/>
            <w:text/>
          </w:sdtPr>
          <w:sdtContent>
            <w:p w14:paraId="262BC873" w14:textId="113BE54C" w:rsidR="00146A7A" w:rsidRPr="001F11E7" w:rsidRDefault="00D34B51">
              <w:pPr>
                <w:pStyle w:val="NoSpacing"/>
                <w:jc w:val="center"/>
                <w:rPr>
                  <w:b/>
                  <w:bCs/>
                  <w:color w:val="000000" w:themeColor="text1"/>
                  <w:sz w:val="40"/>
                  <w:szCs w:val="40"/>
                </w:rPr>
              </w:pPr>
              <w:r w:rsidRPr="00D34B51">
                <w:rPr>
                  <w:b/>
                  <w:bCs/>
                  <w:color w:val="000000" w:themeColor="text1"/>
                  <w:sz w:val="40"/>
                  <w:szCs w:val="40"/>
                </w:rPr>
                <w:t>Management Economics</w:t>
              </w:r>
            </w:p>
          </w:sdtContent>
        </w:sd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BC12DB5" w14:textId="784C027C" w:rsidR="00146A7A" w:rsidRPr="001F11E7" w:rsidRDefault="00E55F5D" w:rsidP="00146A7A">
              <w:pPr>
                <w:pStyle w:val="NoSpacing"/>
                <w:spacing w:after="40"/>
                <w:jc w:val="center"/>
                <w:rPr>
                  <w:caps/>
                  <w:color w:val="000000" w:themeColor="text1"/>
                  <w:sz w:val="28"/>
                  <w:szCs w:val="28"/>
                </w:rPr>
              </w:pPr>
              <w:r w:rsidRPr="00E55F5D">
                <w:rPr>
                  <w:caps/>
                  <w:color w:val="000000" w:themeColor="text1"/>
                  <w:sz w:val="28"/>
                  <w:szCs w:val="28"/>
                </w:rPr>
                <w:t>International Financial Management</w:t>
              </w:r>
            </w:p>
          </w:sdtContent>
        </w:sdt>
        <w:p w14:paraId="78B5A02B" w14:textId="13E9C3FB" w:rsidR="00146A7A" w:rsidRPr="00494E1A" w:rsidRDefault="001F11E7" w:rsidP="00494E1A">
          <w:pPr>
            <w:jc w:val="center"/>
            <w:rPr>
              <w:b/>
              <w:bCs/>
              <w:sz w:val="36"/>
              <w:szCs w:val="36"/>
            </w:rPr>
          </w:pPr>
          <w:r w:rsidRPr="00494E1A">
            <w:rPr>
              <w:b/>
              <w:bCs/>
              <w:sz w:val="36"/>
              <w:szCs w:val="36"/>
            </w:rPr>
            <w:t>LCBB</w:t>
          </w:r>
          <w:r w:rsidR="00E55F5D">
            <w:rPr>
              <w:b/>
              <w:bCs/>
              <w:sz w:val="36"/>
              <w:szCs w:val="36"/>
            </w:rPr>
            <w:t>6002</w:t>
          </w:r>
        </w:p>
        <w:p w14:paraId="5ADBF41D" w14:textId="77777777" w:rsidR="00BB01E9" w:rsidRDefault="001F11E7" w:rsidP="001F11E7">
          <w:pPr>
            <w:jc w:val="center"/>
          </w:pPr>
          <w:r>
            <w:rPr>
              <w:noProof/>
            </w:rPr>
            <w:drawing>
              <wp:inline distT="0" distB="0" distL="0" distR="0" wp14:anchorId="5213C81F" wp14:editId="06759D90">
                <wp:extent cx="2006600" cy="711200"/>
                <wp:effectExtent l="0" t="0" r="0" b="0"/>
                <wp:docPr id="275896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6600" cy="711200"/>
                        </a:xfrm>
                        <a:prstGeom prst="rect">
                          <a:avLst/>
                        </a:prstGeom>
                        <a:noFill/>
                      </pic:spPr>
                    </pic:pic>
                  </a:graphicData>
                </a:graphic>
              </wp:inline>
            </w:drawing>
          </w:r>
        </w:p>
        <w:p w14:paraId="4535202F" w14:textId="77777777" w:rsidR="00BB01E9" w:rsidRDefault="00BB01E9" w:rsidP="001F11E7">
          <w:pPr>
            <w:jc w:val="center"/>
          </w:pPr>
        </w:p>
        <w:p w14:paraId="5310E844" w14:textId="77777777" w:rsidR="00BB01E9" w:rsidRDefault="00BB01E9" w:rsidP="001F11E7">
          <w:pPr>
            <w:jc w:val="center"/>
          </w:pPr>
        </w:p>
        <w:p w14:paraId="3E4B6D0F" w14:textId="77777777" w:rsidR="00BB01E9" w:rsidRDefault="00BB01E9" w:rsidP="00BB01E9"/>
        <w:p w14:paraId="4DEC8122" w14:textId="77777777" w:rsidR="00BB01E9" w:rsidRDefault="00BB01E9" w:rsidP="00BB01E9"/>
        <w:p w14:paraId="23DAD7D2" w14:textId="77777777" w:rsidR="00BB01E9" w:rsidRPr="00BB01E9" w:rsidRDefault="00BB01E9" w:rsidP="00BB01E9">
          <w:pPr>
            <w:rPr>
              <w:rFonts w:ascii="Cambria" w:hAnsi="Cambria"/>
              <w:sz w:val="28"/>
              <w:szCs w:val="28"/>
            </w:rPr>
          </w:pPr>
        </w:p>
        <w:p w14:paraId="193178A0" w14:textId="668FF905" w:rsidR="00BB01E9" w:rsidRPr="00BB01E9" w:rsidRDefault="00BB01E9" w:rsidP="00BB01E9">
          <w:pPr>
            <w:spacing w:after="0" w:line="240" w:lineRule="auto"/>
            <w:rPr>
              <w:rFonts w:ascii="Cambria" w:hAnsi="Cambria"/>
              <w:sz w:val="28"/>
              <w:szCs w:val="28"/>
            </w:rPr>
          </w:pPr>
          <w:r w:rsidRPr="00BB01E9">
            <w:rPr>
              <w:rFonts w:ascii="Cambria" w:hAnsi="Cambria"/>
              <w:sz w:val="28"/>
              <w:szCs w:val="28"/>
            </w:rPr>
            <w:t xml:space="preserve">Lecturer Name: </w:t>
          </w:r>
          <w:r w:rsidR="00E55F5D">
            <w:rPr>
              <w:rFonts w:ascii="Cambria" w:hAnsi="Cambria"/>
              <w:sz w:val="28"/>
              <w:szCs w:val="28"/>
            </w:rPr>
            <w:t>Mudassar Hasan</w:t>
          </w:r>
        </w:p>
        <w:p w14:paraId="767BDFE6" w14:textId="6B9F1084" w:rsidR="00BB01E9" w:rsidRPr="00BB01E9" w:rsidRDefault="00BB01E9" w:rsidP="00BB01E9">
          <w:pPr>
            <w:spacing w:after="0" w:line="240" w:lineRule="auto"/>
            <w:rPr>
              <w:rFonts w:ascii="Cambria" w:hAnsi="Cambria"/>
              <w:sz w:val="28"/>
              <w:szCs w:val="28"/>
            </w:rPr>
          </w:pPr>
          <w:r w:rsidRPr="00BB01E9">
            <w:rPr>
              <w:rFonts w:ascii="Cambria" w:hAnsi="Cambria"/>
              <w:sz w:val="28"/>
              <w:szCs w:val="28"/>
            </w:rPr>
            <w:t>Student Name: Sava Daniela</w:t>
          </w:r>
        </w:p>
        <w:p w14:paraId="0E0C3A45" w14:textId="14341F7A" w:rsidR="00146A7A" w:rsidRDefault="00BB01E9" w:rsidP="00BB01E9">
          <w:pPr>
            <w:spacing w:after="0" w:line="240" w:lineRule="auto"/>
          </w:pPr>
          <w:r w:rsidRPr="00BB01E9">
            <w:rPr>
              <w:rFonts w:ascii="Cambria" w:hAnsi="Cambria"/>
              <w:sz w:val="28"/>
              <w:szCs w:val="28"/>
            </w:rPr>
            <w:t>Student Number: 2028792</w:t>
          </w:r>
          <w:r w:rsidR="00146A7A">
            <w:br w:type="page"/>
          </w:r>
        </w:p>
      </w:sdtContent>
    </w:sdt>
    <w:sdt>
      <w:sdtPr>
        <w:rPr>
          <w:rFonts w:ascii="Arial" w:eastAsiaTheme="minorHAnsi" w:hAnsi="Arial" w:cs="Arial"/>
          <w:color w:val="auto"/>
          <w:kern w:val="2"/>
          <w:sz w:val="22"/>
          <w:szCs w:val="22"/>
          <w:lang w:val="en-GB"/>
          <w14:ligatures w14:val="standardContextual"/>
        </w:rPr>
        <w:id w:val="-1579049646"/>
        <w:docPartObj>
          <w:docPartGallery w:val="Table of Contents"/>
          <w:docPartUnique/>
        </w:docPartObj>
      </w:sdtPr>
      <w:sdtEndPr>
        <w:rPr>
          <w:b/>
          <w:bCs/>
          <w:noProof/>
        </w:rPr>
      </w:sdtEndPr>
      <w:sdtContent>
        <w:p w14:paraId="0889701E" w14:textId="19B85DBF" w:rsidR="00494E1A" w:rsidRPr="008E7B71" w:rsidRDefault="00494E1A" w:rsidP="008E7B71">
          <w:pPr>
            <w:pStyle w:val="TOCHeading"/>
            <w:spacing w:line="360" w:lineRule="auto"/>
            <w:rPr>
              <w:rFonts w:ascii="Arial" w:hAnsi="Arial" w:cs="Arial"/>
              <w:sz w:val="22"/>
              <w:szCs w:val="22"/>
            </w:rPr>
          </w:pPr>
          <w:r w:rsidRPr="008E7B71">
            <w:rPr>
              <w:rFonts w:ascii="Arial" w:hAnsi="Arial" w:cs="Arial"/>
              <w:sz w:val="22"/>
              <w:szCs w:val="22"/>
            </w:rPr>
            <w:t>Contents</w:t>
          </w:r>
        </w:p>
        <w:p w14:paraId="73130B1A" w14:textId="5173B669" w:rsidR="00324521" w:rsidRDefault="00494E1A">
          <w:pPr>
            <w:pStyle w:val="TOC1"/>
            <w:tabs>
              <w:tab w:val="right" w:leader="dot" w:pos="9016"/>
            </w:tabs>
            <w:rPr>
              <w:rFonts w:eastAsiaTheme="minorEastAsia"/>
              <w:noProof/>
              <w:lang w:eastAsia="en-GB"/>
            </w:rPr>
          </w:pPr>
          <w:r w:rsidRPr="008E7B71">
            <w:rPr>
              <w:rFonts w:ascii="Arial" w:hAnsi="Arial" w:cs="Arial"/>
              <w:sz w:val="22"/>
              <w:szCs w:val="22"/>
            </w:rPr>
            <w:fldChar w:fldCharType="begin"/>
          </w:r>
          <w:r w:rsidRPr="008E7B71">
            <w:rPr>
              <w:rFonts w:ascii="Arial" w:hAnsi="Arial" w:cs="Arial"/>
              <w:sz w:val="22"/>
              <w:szCs w:val="22"/>
            </w:rPr>
            <w:instrText xml:space="preserve"> TOC \o "1-3" \h \z \u </w:instrText>
          </w:r>
          <w:r w:rsidRPr="008E7B71">
            <w:rPr>
              <w:rFonts w:ascii="Arial" w:hAnsi="Arial" w:cs="Arial"/>
              <w:sz w:val="22"/>
              <w:szCs w:val="22"/>
            </w:rPr>
            <w:fldChar w:fldCharType="separate"/>
          </w:r>
          <w:hyperlink w:anchor="_Toc180968527" w:history="1">
            <w:r w:rsidR="00324521" w:rsidRPr="00D17A27">
              <w:rPr>
                <w:rStyle w:val="Hyperlink"/>
                <w:noProof/>
              </w:rPr>
              <w:t>Introduction</w:t>
            </w:r>
            <w:r w:rsidR="00324521">
              <w:rPr>
                <w:noProof/>
                <w:webHidden/>
              </w:rPr>
              <w:tab/>
            </w:r>
            <w:r w:rsidR="00324521">
              <w:rPr>
                <w:noProof/>
                <w:webHidden/>
              </w:rPr>
              <w:fldChar w:fldCharType="begin"/>
            </w:r>
            <w:r w:rsidR="00324521">
              <w:rPr>
                <w:noProof/>
                <w:webHidden/>
              </w:rPr>
              <w:instrText xml:space="preserve"> PAGEREF _Toc180968527 \h </w:instrText>
            </w:r>
            <w:r w:rsidR="00324521">
              <w:rPr>
                <w:noProof/>
                <w:webHidden/>
              </w:rPr>
            </w:r>
            <w:r w:rsidR="00324521">
              <w:rPr>
                <w:noProof/>
                <w:webHidden/>
              </w:rPr>
              <w:fldChar w:fldCharType="separate"/>
            </w:r>
            <w:r w:rsidR="00324521">
              <w:rPr>
                <w:noProof/>
                <w:webHidden/>
              </w:rPr>
              <w:t>2</w:t>
            </w:r>
            <w:r w:rsidR="00324521">
              <w:rPr>
                <w:noProof/>
                <w:webHidden/>
              </w:rPr>
              <w:fldChar w:fldCharType="end"/>
            </w:r>
          </w:hyperlink>
        </w:p>
        <w:p w14:paraId="3C9DC75A" w14:textId="0FE85A8B" w:rsidR="00324521" w:rsidRDefault="00324521">
          <w:pPr>
            <w:pStyle w:val="TOC1"/>
            <w:tabs>
              <w:tab w:val="right" w:leader="dot" w:pos="9016"/>
            </w:tabs>
            <w:rPr>
              <w:rFonts w:eastAsiaTheme="minorEastAsia"/>
              <w:noProof/>
              <w:lang w:eastAsia="en-GB"/>
            </w:rPr>
          </w:pPr>
          <w:hyperlink w:anchor="_Toc180968528" w:history="1">
            <w:r w:rsidRPr="00D17A27">
              <w:rPr>
                <w:rStyle w:val="Hyperlink"/>
                <w:noProof/>
              </w:rPr>
              <w:t>Importance of Corporate Governance Practices</w:t>
            </w:r>
            <w:r>
              <w:rPr>
                <w:noProof/>
                <w:webHidden/>
              </w:rPr>
              <w:tab/>
            </w:r>
            <w:r>
              <w:rPr>
                <w:noProof/>
                <w:webHidden/>
              </w:rPr>
              <w:fldChar w:fldCharType="begin"/>
            </w:r>
            <w:r>
              <w:rPr>
                <w:noProof/>
                <w:webHidden/>
              </w:rPr>
              <w:instrText xml:space="preserve"> PAGEREF _Toc180968528 \h </w:instrText>
            </w:r>
            <w:r>
              <w:rPr>
                <w:noProof/>
                <w:webHidden/>
              </w:rPr>
            </w:r>
            <w:r>
              <w:rPr>
                <w:noProof/>
                <w:webHidden/>
              </w:rPr>
              <w:fldChar w:fldCharType="separate"/>
            </w:r>
            <w:r>
              <w:rPr>
                <w:noProof/>
                <w:webHidden/>
              </w:rPr>
              <w:t>2</w:t>
            </w:r>
            <w:r>
              <w:rPr>
                <w:noProof/>
                <w:webHidden/>
              </w:rPr>
              <w:fldChar w:fldCharType="end"/>
            </w:r>
          </w:hyperlink>
        </w:p>
        <w:p w14:paraId="0BF5988C" w14:textId="6B146D52" w:rsidR="00324521" w:rsidRDefault="00324521">
          <w:pPr>
            <w:pStyle w:val="TOC1"/>
            <w:tabs>
              <w:tab w:val="right" w:leader="dot" w:pos="9016"/>
            </w:tabs>
            <w:rPr>
              <w:rFonts w:eastAsiaTheme="minorEastAsia"/>
              <w:noProof/>
              <w:lang w:eastAsia="en-GB"/>
            </w:rPr>
          </w:pPr>
          <w:hyperlink w:anchor="_Toc180968529" w:history="1">
            <w:r w:rsidRPr="00D17A27">
              <w:rPr>
                <w:rStyle w:val="Hyperlink"/>
                <w:noProof/>
              </w:rPr>
              <w:t>Corporate Governance Variables Identified</w:t>
            </w:r>
            <w:r>
              <w:rPr>
                <w:noProof/>
                <w:webHidden/>
              </w:rPr>
              <w:tab/>
            </w:r>
            <w:r>
              <w:rPr>
                <w:noProof/>
                <w:webHidden/>
              </w:rPr>
              <w:fldChar w:fldCharType="begin"/>
            </w:r>
            <w:r>
              <w:rPr>
                <w:noProof/>
                <w:webHidden/>
              </w:rPr>
              <w:instrText xml:space="preserve"> PAGEREF _Toc180968529 \h </w:instrText>
            </w:r>
            <w:r>
              <w:rPr>
                <w:noProof/>
                <w:webHidden/>
              </w:rPr>
            </w:r>
            <w:r>
              <w:rPr>
                <w:noProof/>
                <w:webHidden/>
              </w:rPr>
              <w:fldChar w:fldCharType="separate"/>
            </w:r>
            <w:r>
              <w:rPr>
                <w:noProof/>
                <w:webHidden/>
              </w:rPr>
              <w:t>3</w:t>
            </w:r>
            <w:r>
              <w:rPr>
                <w:noProof/>
                <w:webHidden/>
              </w:rPr>
              <w:fldChar w:fldCharType="end"/>
            </w:r>
          </w:hyperlink>
        </w:p>
        <w:p w14:paraId="67E9E5F5" w14:textId="76A141ED" w:rsidR="00324521" w:rsidRDefault="00324521">
          <w:pPr>
            <w:pStyle w:val="TOC1"/>
            <w:tabs>
              <w:tab w:val="right" w:leader="dot" w:pos="9016"/>
            </w:tabs>
            <w:rPr>
              <w:rFonts w:eastAsiaTheme="minorEastAsia"/>
              <w:noProof/>
              <w:lang w:eastAsia="en-GB"/>
            </w:rPr>
          </w:pPr>
          <w:hyperlink w:anchor="_Toc180968530" w:history="1">
            <w:r w:rsidRPr="00D17A27">
              <w:rPr>
                <w:rStyle w:val="Hyperlink"/>
                <w:noProof/>
              </w:rPr>
              <w:t>Relationship Between Corporate Governance Practices and Financial Performance</w:t>
            </w:r>
            <w:r>
              <w:rPr>
                <w:noProof/>
                <w:webHidden/>
              </w:rPr>
              <w:tab/>
            </w:r>
            <w:r>
              <w:rPr>
                <w:noProof/>
                <w:webHidden/>
              </w:rPr>
              <w:fldChar w:fldCharType="begin"/>
            </w:r>
            <w:r>
              <w:rPr>
                <w:noProof/>
                <w:webHidden/>
              </w:rPr>
              <w:instrText xml:space="preserve"> PAGEREF _Toc180968530 \h </w:instrText>
            </w:r>
            <w:r>
              <w:rPr>
                <w:noProof/>
                <w:webHidden/>
              </w:rPr>
            </w:r>
            <w:r>
              <w:rPr>
                <w:noProof/>
                <w:webHidden/>
              </w:rPr>
              <w:fldChar w:fldCharType="separate"/>
            </w:r>
            <w:r>
              <w:rPr>
                <w:noProof/>
                <w:webHidden/>
              </w:rPr>
              <w:t>4</w:t>
            </w:r>
            <w:r>
              <w:rPr>
                <w:noProof/>
                <w:webHidden/>
              </w:rPr>
              <w:fldChar w:fldCharType="end"/>
            </w:r>
          </w:hyperlink>
        </w:p>
        <w:p w14:paraId="1327E390" w14:textId="25EF3A5B" w:rsidR="00324521" w:rsidRDefault="00324521">
          <w:pPr>
            <w:pStyle w:val="TOC3"/>
            <w:tabs>
              <w:tab w:val="right" w:leader="dot" w:pos="9016"/>
            </w:tabs>
            <w:rPr>
              <w:rFonts w:eastAsiaTheme="minorEastAsia"/>
              <w:noProof/>
              <w:lang w:eastAsia="en-GB"/>
            </w:rPr>
          </w:pPr>
          <w:hyperlink w:anchor="_Toc180968531" w:history="1">
            <w:r w:rsidRPr="00D17A27">
              <w:rPr>
                <w:rStyle w:val="Hyperlink"/>
                <w:noProof/>
              </w:rPr>
              <w:t>Data Collection and Analysis</w:t>
            </w:r>
            <w:r>
              <w:rPr>
                <w:noProof/>
                <w:webHidden/>
              </w:rPr>
              <w:tab/>
            </w:r>
            <w:r>
              <w:rPr>
                <w:noProof/>
                <w:webHidden/>
              </w:rPr>
              <w:fldChar w:fldCharType="begin"/>
            </w:r>
            <w:r>
              <w:rPr>
                <w:noProof/>
                <w:webHidden/>
              </w:rPr>
              <w:instrText xml:space="preserve"> PAGEREF _Toc180968531 \h </w:instrText>
            </w:r>
            <w:r>
              <w:rPr>
                <w:noProof/>
                <w:webHidden/>
              </w:rPr>
            </w:r>
            <w:r>
              <w:rPr>
                <w:noProof/>
                <w:webHidden/>
              </w:rPr>
              <w:fldChar w:fldCharType="separate"/>
            </w:r>
            <w:r>
              <w:rPr>
                <w:noProof/>
                <w:webHidden/>
              </w:rPr>
              <w:t>4</w:t>
            </w:r>
            <w:r>
              <w:rPr>
                <w:noProof/>
                <w:webHidden/>
              </w:rPr>
              <w:fldChar w:fldCharType="end"/>
            </w:r>
          </w:hyperlink>
        </w:p>
        <w:p w14:paraId="7C51D2F1" w14:textId="31368434" w:rsidR="00324521" w:rsidRDefault="00324521">
          <w:pPr>
            <w:pStyle w:val="TOC1"/>
            <w:tabs>
              <w:tab w:val="right" w:leader="dot" w:pos="9016"/>
            </w:tabs>
            <w:rPr>
              <w:rFonts w:eastAsiaTheme="minorEastAsia"/>
              <w:noProof/>
              <w:lang w:eastAsia="en-GB"/>
            </w:rPr>
          </w:pPr>
          <w:hyperlink w:anchor="_Toc180968532" w:history="1">
            <w:r w:rsidRPr="00D17A27">
              <w:rPr>
                <w:rStyle w:val="Hyperlink"/>
                <w:noProof/>
              </w:rPr>
              <w:t>Board Composition and ROE</w:t>
            </w:r>
            <w:r>
              <w:rPr>
                <w:noProof/>
                <w:webHidden/>
              </w:rPr>
              <w:tab/>
            </w:r>
            <w:r>
              <w:rPr>
                <w:noProof/>
                <w:webHidden/>
              </w:rPr>
              <w:fldChar w:fldCharType="begin"/>
            </w:r>
            <w:r>
              <w:rPr>
                <w:noProof/>
                <w:webHidden/>
              </w:rPr>
              <w:instrText xml:space="preserve"> PAGEREF _Toc180968532 \h </w:instrText>
            </w:r>
            <w:r>
              <w:rPr>
                <w:noProof/>
                <w:webHidden/>
              </w:rPr>
            </w:r>
            <w:r>
              <w:rPr>
                <w:noProof/>
                <w:webHidden/>
              </w:rPr>
              <w:fldChar w:fldCharType="separate"/>
            </w:r>
            <w:r>
              <w:rPr>
                <w:noProof/>
                <w:webHidden/>
              </w:rPr>
              <w:t>4</w:t>
            </w:r>
            <w:r>
              <w:rPr>
                <w:noProof/>
                <w:webHidden/>
              </w:rPr>
              <w:fldChar w:fldCharType="end"/>
            </w:r>
          </w:hyperlink>
        </w:p>
        <w:p w14:paraId="6A165A44" w14:textId="1554CB66" w:rsidR="00324521" w:rsidRDefault="00324521">
          <w:pPr>
            <w:pStyle w:val="TOC1"/>
            <w:tabs>
              <w:tab w:val="right" w:leader="dot" w:pos="9016"/>
            </w:tabs>
            <w:rPr>
              <w:rFonts w:eastAsiaTheme="minorEastAsia"/>
              <w:noProof/>
              <w:lang w:eastAsia="en-GB"/>
            </w:rPr>
          </w:pPr>
          <w:hyperlink w:anchor="_Toc180968533" w:history="1">
            <w:r w:rsidRPr="00D17A27">
              <w:rPr>
                <w:rStyle w:val="Hyperlink"/>
                <w:noProof/>
              </w:rPr>
              <w:t>Conclusion</w:t>
            </w:r>
            <w:r>
              <w:rPr>
                <w:noProof/>
                <w:webHidden/>
              </w:rPr>
              <w:tab/>
            </w:r>
            <w:r>
              <w:rPr>
                <w:noProof/>
                <w:webHidden/>
              </w:rPr>
              <w:fldChar w:fldCharType="begin"/>
            </w:r>
            <w:r>
              <w:rPr>
                <w:noProof/>
                <w:webHidden/>
              </w:rPr>
              <w:instrText xml:space="preserve"> PAGEREF _Toc180968533 \h </w:instrText>
            </w:r>
            <w:r>
              <w:rPr>
                <w:noProof/>
                <w:webHidden/>
              </w:rPr>
            </w:r>
            <w:r>
              <w:rPr>
                <w:noProof/>
                <w:webHidden/>
              </w:rPr>
              <w:fldChar w:fldCharType="separate"/>
            </w:r>
            <w:r>
              <w:rPr>
                <w:noProof/>
                <w:webHidden/>
              </w:rPr>
              <w:t>7</w:t>
            </w:r>
            <w:r>
              <w:rPr>
                <w:noProof/>
                <w:webHidden/>
              </w:rPr>
              <w:fldChar w:fldCharType="end"/>
            </w:r>
          </w:hyperlink>
        </w:p>
        <w:p w14:paraId="7691C023" w14:textId="5BCFFD1F" w:rsidR="00324521" w:rsidRDefault="00324521">
          <w:pPr>
            <w:pStyle w:val="TOC1"/>
            <w:tabs>
              <w:tab w:val="right" w:leader="dot" w:pos="9016"/>
            </w:tabs>
            <w:rPr>
              <w:rFonts w:eastAsiaTheme="minorEastAsia"/>
              <w:noProof/>
              <w:lang w:eastAsia="en-GB"/>
            </w:rPr>
          </w:pPr>
          <w:hyperlink w:anchor="_Toc180968534" w:history="1">
            <w:r w:rsidRPr="00D17A27">
              <w:rPr>
                <w:rStyle w:val="Hyperlink"/>
                <w:noProof/>
              </w:rPr>
              <w:t>References</w:t>
            </w:r>
            <w:r>
              <w:rPr>
                <w:noProof/>
                <w:webHidden/>
              </w:rPr>
              <w:tab/>
            </w:r>
            <w:r>
              <w:rPr>
                <w:noProof/>
                <w:webHidden/>
              </w:rPr>
              <w:fldChar w:fldCharType="begin"/>
            </w:r>
            <w:r>
              <w:rPr>
                <w:noProof/>
                <w:webHidden/>
              </w:rPr>
              <w:instrText xml:space="preserve"> PAGEREF _Toc180968534 \h </w:instrText>
            </w:r>
            <w:r>
              <w:rPr>
                <w:noProof/>
                <w:webHidden/>
              </w:rPr>
            </w:r>
            <w:r>
              <w:rPr>
                <w:noProof/>
                <w:webHidden/>
              </w:rPr>
              <w:fldChar w:fldCharType="separate"/>
            </w:r>
            <w:r>
              <w:rPr>
                <w:noProof/>
                <w:webHidden/>
              </w:rPr>
              <w:t>7</w:t>
            </w:r>
            <w:r>
              <w:rPr>
                <w:noProof/>
                <w:webHidden/>
              </w:rPr>
              <w:fldChar w:fldCharType="end"/>
            </w:r>
          </w:hyperlink>
        </w:p>
        <w:p w14:paraId="1B9EDB69" w14:textId="5084EBF6" w:rsidR="00494E1A" w:rsidRPr="008E7B71" w:rsidRDefault="00494E1A" w:rsidP="008E7B71">
          <w:pPr>
            <w:spacing w:line="360" w:lineRule="auto"/>
            <w:rPr>
              <w:rFonts w:ascii="Arial" w:hAnsi="Arial" w:cs="Arial"/>
              <w:sz w:val="22"/>
              <w:szCs w:val="22"/>
            </w:rPr>
          </w:pPr>
          <w:r w:rsidRPr="008E7B71">
            <w:rPr>
              <w:rFonts w:ascii="Arial" w:hAnsi="Arial" w:cs="Arial"/>
              <w:b/>
              <w:bCs/>
              <w:noProof/>
              <w:sz w:val="22"/>
              <w:szCs w:val="22"/>
            </w:rPr>
            <w:fldChar w:fldCharType="end"/>
          </w:r>
        </w:p>
      </w:sdtContent>
    </w:sdt>
    <w:p w14:paraId="5536B7EA" w14:textId="77777777" w:rsidR="00243142" w:rsidRDefault="00243142" w:rsidP="008E7B71">
      <w:pPr>
        <w:spacing w:line="360" w:lineRule="auto"/>
        <w:rPr>
          <w:rFonts w:ascii="Arial" w:hAnsi="Arial" w:cs="Arial"/>
          <w:sz w:val="22"/>
          <w:szCs w:val="22"/>
        </w:rPr>
      </w:pPr>
    </w:p>
    <w:p w14:paraId="3D071ACE" w14:textId="77777777" w:rsidR="00A24AF0" w:rsidRDefault="00A24AF0" w:rsidP="008E7B71">
      <w:pPr>
        <w:spacing w:line="360" w:lineRule="auto"/>
        <w:rPr>
          <w:rFonts w:ascii="Arial" w:hAnsi="Arial" w:cs="Arial"/>
          <w:sz w:val="22"/>
          <w:szCs w:val="22"/>
        </w:rPr>
      </w:pPr>
    </w:p>
    <w:p w14:paraId="03F6195B" w14:textId="77777777" w:rsidR="00A24AF0" w:rsidRDefault="00A24AF0" w:rsidP="008E7B71">
      <w:pPr>
        <w:spacing w:line="360" w:lineRule="auto"/>
        <w:rPr>
          <w:rFonts w:ascii="Arial" w:hAnsi="Arial" w:cs="Arial"/>
          <w:sz w:val="22"/>
          <w:szCs w:val="22"/>
        </w:rPr>
      </w:pPr>
    </w:p>
    <w:p w14:paraId="4DEC120C" w14:textId="77777777" w:rsidR="00A24AF0" w:rsidRPr="008E7B71" w:rsidRDefault="00A24AF0" w:rsidP="008E7B71">
      <w:pPr>
        <w:spacing w:line="360" w:lineRule="auto"/>
        <w:rPr>
          <w:rFonts w:ascii="Arial" w:hAnsi="Arial" w:cs="Arial"/>
          <w:sz w:val="22"/>
          <w:szCs w:val="22"/>
        </w:rPr>
      </w:pPr>
    </w:p>
    <w:p w14:paraId="45E310FB" w14:textId="77777777" w:rsidR="00494E1A" w:rsidRPr="008E7B71" w:rsidRDefault="00494E1A" w:rsidP="008E7B71">
      <w:pPr>
        <w:spacing w:line="360" w:lineRule="auto"/>
        <w:rPr>
          <w:rFonts w:ascii="Arial" w:hAnsi="Arial" w:cs="Arial"/>
          <w:sz w:val="22"/>
          <w:szCs w:val="22"/>
        </w:rPr>
      </w:pPr>
    </w:p>
    <w:p w14:paraId="6D5AF4E2" w14:textId="77777777" w:rsidR="00494E1A" w:rsidRPr="008E7B71" w:rsidRDefault="00494E1A" w:rsidP="008E7B71">
      <w:pPr>
        <w:spacing w:line="360" w:lineRule="auto"/>
        <w:rPr>
          <w:rFonts w:ascii="Arial" w:hAnsi="Arial" w:cs="Arial"/>
          <w:sz w:val="22"/>
          <w:szCs w:val="22"/>
        </w:rPr>
      </w:pPr>
    </w:p>
    <w:p w14:paraId="7B1A24B0" w14:textId="77777777" w:rsidR="00494E1A" w:rsidRPr="008E7B71" w:rsidRDefault="00494E1A" w:rsidP="008E7B71">
      <w:pPr>
        <w:spacing w:line="360" w:lineRule="auto"/>
        <w:rPr>
          <w:rFonts w:ascii="Arial" w:hAnsi="Arial" w:cs="Arial"/>
          <w:sz w:val="22"/>
          <w:szCs w:val="22"/>
        </w:rPr>
      </w:pPr>
    </w:p>
    <w:p w14:paraId="2027C159" w14:textId="77777777" w:rsidR="00494E1A" w:rsidRPr="008E7B71" w:rsidRDefault="00494E1A" w:rsidP="008E7B71">
      <w:pPr>
        <w:spacing w:line="360" w:lineRule="auto"/>
        <w:rPr>
          <w:rFonts w:ascii="Arial" w:hAnsi="Arial" w:cs="Arial"/>
          <w:sz w:val="22"/>
          <w:szCs w:val="22"/>
        </w:rPr>
      </w:pPr>
    </w:p>
    <w:p w14:paraId="6B59A5F6" w14:textId="77777777" w:rsidR="00494E1A" w:rsidRPr="008E7B71" w:rsidRDefault="00494E1A" w:rsidP="008E7B71">
      <w:pPr>
        <w:spacing w:line="360" w:lineRule="auto"/>
        <w:rPr>
          <w:rFonts w:ascii="Arial" w:hAnsi="Arial" w:cs="Arial"/>
          <w:sz w:val="22"/>
          <w:szCs w:val="22"/>
        </w:rPr>
      </w:pPr>
    </w:p>
    <w:p w14:paraId="7250961A" w14:textId="77777777" w:rsidR="00494E1A" w:rsidRPr="008E7B71" w:rsidRDefault="00494E1A" w:rsidP="008E7B71">
      <w:pPr>
        <w:spacing w:line="360" w:lineRule="auto"/>
        <w:rPr>
          <w:rFonts w:ascii="Arial" w:hAnsi="Arial" w:cs="Arial"/>
          <w:sz w:val="22"/>
          <w:szCs w:val="22"/>
        </w:rPr>
      </w:pPr>
    </w:p>
    <w:p w14:paraId="1A875D6F" w14:textId="77777777" w:rsidR="00494E1A" w:rsidRPr="008E7B71" w:rsidRDefault="00494E1A" w:rsidP="008E7B71">
      <w:pPr>
        <w:spacing w:line="360" w:lineRule="auto"/>
        <w:rPr>
          <w:rFonts w:ascii="Arial" w:hAnsi="Arial" w:cs="Arial"/>
          <w:sz w:val="22"/>
          <w:szCs w:val="22"/>
        </w:rPr>
      </w:pPr>
    </w:p>
    <w:p w14:paraId="77A181C9" w14:textId="77777777" w:rsidR="00494E1A" w:rsidRPr="008E7B71" w:rsidRDefault="00494E1A" w:rsidP="008E7B71">
      <w:pPr>
        <w:spacing w:line="360" w:lineRule="auto"/>
        <w:rPr>
          <w:rFonts w:ascii="Arial" w:hAnsi="Arial" w:cs="Arial"/>
          <w:sz w:val="22"/>
          <w:szCs w:val="22"/>
        </w:rPr>
      </w:pPr>
    </w:p>
    <w:p w14:paraId="18876B70" w14:textId="77777777" w:rsidR="00A24AF0" w:rsidRDefault="00A24AF0" w:rsidP="008E7B71">
      <w:pPr>
        <w:spacing w:line="360" w:lineRule="auto"/>
        <w:rPr>
          <w:rFonts w:ascii="Arial" w:hAnsi="Arial" w:cs="Arial"/>
          <w:sz w:val="22"/>
          <w:szCs w:val="22"/>
        </w:rPr>
      </w:pPr>
    </w:p>
    <w:p w14:paraId="6252666C" w14:textId="77777777" w:rsidR="00324521" w:rsidRPr="008E7B71" w:rsidRDefault="00324521" w:rsidP="008E7B71">
      <w:pPr>
        <w:spacing w:line="360" w:lineRule="auto"/>
        <w:rPr>
          <w:rFonts w:ascii="Arial" w:hAnsi="Arial" w:cs="Arial"/>
          <w:sz w:val="22"/>
          <w:szCs w:val="22"/>
        </w:rPr>
      </w:pPr>
    </w:p>
    <w:p w14:paraId="22BAD18F" w14:textId="77777777" w:rsidR="00494E1A" w:rsidRPr="008E7B71" w:rsidRDefault="00494E1A" w:rsidP="008E7B71">
      <w:pPr>
        <w:spacing w:line="360" w:lineRule="auto"/>
        <w:rPr>
          <w:rFonts w:ascii="Arial" w:hAnsi="Arial" w:cs="Arial"/>
          <w:sz w:val="22"/>
          <w:szCs w:val="22"/>
        </w:rPr>
      </w:pPr>
    </w:p>
    <w:p w14:paraId="39FB4317" w14:textId="66B6E99A" w:rsidR="00A24AF0" w:rsidRPr="00A24AF0" w:rsidRDefault="00A24AF0" w:rsidP="00A24AF0">
      <w:pPr>
        <w:pStyle w:val="Heading1"/>
      </w:pPr>
      <w:r w:rsidRPr="00A24AF0">
        <w:lastRenderedPageBreak/>
        <w:t xml:space="preserve"> </w:t>
      </w:r>
      <w:bookmarkStart w:id="0" w:name="_Toc180968527"/>
      <w:r w:rsidRPr="00A24AF0">
        <w:t>Introduction</w:t>
      </w:r>
      <w:bookmarkEnd w:id="0"/>
    </w:p>
    <w:p w14:paraId="77498DB0"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Barclays PLC, a prominent British multinational investment bank and financial services company headquartered in London, has been a key player in the global financial market. Established in 1690, Barclays provides an ideal case study for understanding the role of corporate governance within the banking sector (Barclays, 2023). In an industry heavily regulated due to high public exposure and systemic risk, corporate governance practices become critical.</w:t>
      </w:r>
    </w:p>
    <w:p w14:paraId="5BCD8BF3" w14:textId="77777777" w:rsidR="00A24AF0" w:rsidRPr="00A24AF0" w:rsidRDefault="00A24AF0" w:rsidP="00A24AF0">
      <w:pPr>
        <w:spacing w:line="360" w:lineRule="auto"/>
        <w:rPr>
          <w:rFonts w:ascii="Arial" w:hAnsi="Arial" w:cs="Arial"/>
          <w:sz w:val="22"/>
          <w:szCs w:val="22"/>
        </w:rPr>
      </w:pPr>
    </w:p>
    <w:p w14:paraId="777EE295"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This report examines the impact of Barclays’ corporate governance practices on its financial performance over the past five years. By evaluating key corporate governance variables such as board composition, executive remuneration, and risk management, and correlating these with financial performance indicators like Return on Equity (ROE), Net Profit Margin, and the Price-to-Book (P/B) ratio, this report aims to illuminate how governance decisions influence Barclays’ stability and profitability.</w:t>
      </w:r>
    </w:p>
    <w:p w14:paraId="59C77141" w14:textId="77777777" w:rsidR="00A24AF0" w:rsidRPr="00A24AF0" w:rsidRDefault="00A24AF0" w:rsidP="00A24AF0">
      <w:pPr>
        <w:pStyle w:val="Heading1"/>
      </w:pPr>
    </w:p>
    <w:p w14:paraId="53509FA8" w14:textId="56E8956A" w:rsidR="00A24AF0" w:rsidRPr="00A24AF0" w:rsidRDefault="00A24AF0" w:rsidP="00A24AF0">
      <w:pPr>
        <w:pStyle w:val="Heading1"/>
      </w:pPr>
      <w:r w:rsidRPr="00A24AF0">
        <w:t xml:space="preserve"> </w:t>
      </w:r>
      <w:bookmarkStart w:id="1" w:name="_Toc180968528"/>
      <w:r w:rsidRPr="00A24AF0">
        <w:t>Importance of Corporate Governance Practices</w:t>
      </w:r>
      <w:bookmarkEnd w:id="1"/>
    </w:p>
    <w:p w14:paraId="5709D017"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Corporate governance refers to the system of rules, practices, and processes by which a company is directed and controlled (Mallin, 2019). In the financial sector, effective governance mitigates risks, boosts investor confidence, and aligns corporate goals with stakeholder interests, thus improving overall firm performance. The UK Corporate Governance Code mandates that companies adopt principles of accountability, transparency, and integrity, which are essential in a sector where trust is paramount (Financial Reporting Council, 2018).</w:t>
      </w:r>
    </w:p>
    <w:p w14:paraId="2E80D6F3" w14:textId="77777777" w:rsidR="00A24AF0" w:rsidRPr="00A24AF0" w:rsidRDefault="00A24AF0" w:rsidP="00A24AF0">
      <w:pPr>
        <w:spacing w:line="360" w:lineRule="auto"/>
        <w:rPr>
          <w:rFonts w:ascii="Arial" w:hAnsi="Arial" w:cs="Arial"/>
          <w:sz w:val="22"/>
          <w:szCs w:val="22"/>
        </w:rPr>
      </w:pPr>
    </w:p>
    <w:p w14:paraId="1FC304E4"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For Barclays, corporate governance has been an area of intense focus, particularly following the 2008 financial crisis and subsequent scandals involving LIBOR manipulation. Barclays has since adopted robust governance frameworks, aligning its practices with the UK Corporate Governance Code to restore trust and ensure compliance with both UK regulators and international standards (Jensen &amp; Meckling, 1976). Strong governance is crucial for Barclays, given the significant risks inherent in investment banking, such as exposure to market volatility and regulatory scrutiny.</w:t>
      </w:r>
    </w:p>
    <w:p w14:paraId="179F65CA" w14:textId="77777777" w:rsidR="00A24AF0" w:rsidRPr="00A24AF0" w:rsidRDefault="00A24AF0" w:rsidP="00A24AF0">
      <w:pPr>
        <w:pStyle w:val="Heading1"/>
      </w:pPr>
    </w:p>
    <w:p w14:paraId="5910AA62" w14:textId="5380D078" w:rsidR="00A24AF0" w:rsidRPr="00A24AF0" w:rsidRDefault="00A24AF0" w:rsidP="00A24AF0">
      <w:pPr>
        <w:pStyle w:val="Heading1"/>
      </w:pPr>
      <w:r w:rsidRPr="00A24AF0">
        <w:t xml:space="preserve"> </w:t>
      </w:r>
      <w:bookmarkStart w:id="2" w:name="_Toc180968529"/>
      <w:r w:rsidRPr="00A24AF0">
        <w:t>Corporate Governance Variables Identified</w:t>
      </w:r>
      <w:bookmarkEnd w:id="2"/>
    </w:p>
    <w:p w14:paraId="6F654DB0"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 xml:space="preserve">To </w:t>
      </w:r>
      <w:proofErr w:type="spellStart"/>
      <w:r w:rsidRPr="00A24AF0">
        <w:rPr>
          <w:rFonts w:ascii="Arial" w:hAnsi="Arial" w:cs="Arial"/>
          <w:sz w:val="22"/>
          <w:szCs w:val="22"/>
        </w:rPr>
        <w:t>analyze</w:t>
      </w:r>
      <w:proofErr w:type="spellEnd"/>
      <w:r w:rsidRPr="00A24AF0">
        <w:rPr>
          <w:rFonts w:ascii="Arial" w:hAnsi="Arial" w:cs="Arial"/>
          <w:sz w:val="22"/>
          <w:szCs w:val="22"/>
        </w:rPr>
        <w:t xml:space="preserve"> Barclays’ corporate governance practices, five key variables are selected based on their relevance to both the bank’s strategic focus and industry standards.</w:t>
      </w:r>
    </w:p>
    <w:p w14:paraId="1C623BD8" w14:textId="77777777" w:rsidR="00A24AF0" w:rsidRPr="00A24AF0" w:rsidRDefault="00A24AF0" w:rsidP="00A24AF0">
      <w:pPr>
        <w:spacing w:line="360" w:lineRule="auto"/>
        <w:rPr>
          <w:rFonts w:ascii="Arial" w:hAnsi="Arial" w:cs="Arial"/>
          <w:sz w:val="22"/>
          <w:szCs w:val="22"/>
        </w:rPr>
      </w:pPr>
    </w:p>
    <w:p w14:paraId="7F9E9E50"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 xml:space="preserve">Board Composition: Barclays’ board comprises </w:t>
      </w:r>
      <w:proofErr w:type="gramStart"/>
      <w:r w:rsidRPr="00A24AF0">
        <w:rPr>
          <w:rFonts w:ascii="Arial" w:hAnsi="Arial" w:cs="Arial"/>
          <w:sz w:val="22"/>
          <w:szCs w:val="22"/>
        </w:rPr>
        <w:t>a majority of</w:t>
      </w:r>
      <w:proofErr w:type="gramEnd"/>
      <w:r w:rsidRPr="00A24AF0">
        <w:rPr>
          <w:rFonts w:ascii="Arial" w:hAnsi="Arial" w:cs="Arial"/>
          <w:sz w:val="22"/>
          <w:szCs w:val="22"/>
        </w:rPr>
        <w:t xml:space="preserve"> independent directors to foster objectivity. The board’s diversity in terms of expertise, gender, and nationality is also noteworthy, aligning with best practices to enhance decision-making (Barclays, 2023).</w:t>
      </w:r>
    </w:p>
    <w:p w14:paraId="032C62E5" w14:textId="77777777" w:rsidR="00A24AF0" w:rsidRPr="00A24AF0" w:rsidRDefault="00A24AF0" w:rsidP="00A24AF0">
      <w:pPr>
        <w:spacing w:line="360" w:lineRule="auto"/>
        <w:rPr>
          <w:rFonts w:ascii="Arial" w:hAnsi="Arial" w:cs="Arial"/>
          <w:sz w:val="22"/>
          <w:szCs w:val="22"/>
        </w:rPr>
      </w:pPr>
    </w:p>
    <w:p w14:paraId="58DA9A2C"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Executive Remuneration: Executive pay at Barclays is closely tied to performance, with incentives structured to align with both short-term achievements and long-term strategic goals. Remuneration disclosures reveal that a significant portion of executive compensation is contingent upon financial and non-financial benchmarks (Healy &amp; Palepu, 2001).</w:t>
      </w:r>
    </w:p>
    <w:p w14:paraId="55595F8E" w14:textId="77777777" w:rsidR="00A24AF0" w:rsidRPr="00A24AF0" w:rsidRDefault="00A24AF0" w:rsidP="00A24AF0">
      <w:pPr>
        <w:spacing w:line="360" w:lineRule="auto"/>
        <w:rPr>
          <w:rFonts w:ascii="Arial" w:hAnsi="Arial" w:cs="Arial"/>
          <w:sz w:val="22"/>
          <w:szCs w:val="22"/>
        </w:rPr>
      </w:pPr>
    </w:p>
    <w:p w14:paraId="60B3A5B2"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Audit Committee Effectiveness: The audit committee at Barclays is charged with overseeing financial reporting, internal controls, and compliance. Comprising independent directors with financial expertise, this committee plays a crucial role in risk mitigation and ensuring transparency in Barclays' financial statements (Financial Conduct Authority, 2021).</w:t>
      </w:r>
    </w:p>
    <w:p w14:paraId="66E89912" w14:textId="77777777" w:rsidR="00A24AF0" w:rsidRPr="00A24AF0" w:rsidRDefault="00A24AF0" w:rsidP="00A24AF0">
      <w:pPr>
        <w:spacing w:line="360" w:lineRule="auto"/>
        <w:rPr>
          <w:rFonts w:ascii="Arial" w:hAnsi="Arial" w:cs="Arial"/>
          <w:sz w:val="22"/>
          <w:szCs w:val="22"/>
        </w:rPr>
      </w:pPr>
    </w:p>
    <w:p w14:paraId="0445279A"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Risk Management Framework: Barclays has a comprehensive risk management system in place, overseen by a dedicated risk committee. Given the bank’s exposure to market, credit, and operational risks, this framework is integral to Barclays’ strategic resilience (Mallin, 2019).</w:t>
      </w:r>
    </w:p>
    <w:p w14:paraId="6C0CED2C" w14:textId="77777777" w:rsidR="00A24AF0" w:rsidRPr="00A24AF0" w:rsidRDefault="00A24AF0" w:rsidP="00A24AF0">
      <w:pPr>
        <w:spacing w:line="360" w:lineRule="auto"/>
        <w:rPr>
          <w:rFonts w:ascii="Arial" w:hAnsi="Arial" w:cs="Arial"/>
          <w:sz w:val="22"/>
          <w:szCs w:val="22"/>
        </w:rPr>
      </w:pPr>
    </w:p>
    <w:p w14:paraId="46F3B3F5"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Transparency and Disclosure: Barclays is committed to full and timely disclosure, providing extensive information on financial performance, risk exposure, and governance practices in its annual reports. Transparency is a critical component of trust-building in the financial sector, and Barclays has invested in clear communication with stakeholders (Barclays, 2023).</w:t>
      </w:r>
    </w:p>
    <w:p w14:paraId="0E4BAB54" w14:textId="77777777" w:rsidR="00A24AF0" w:rsidRPr="00A24AF0" w:rsidRDefault="00A24AF0" w:rsidP="00A24AF0">
      <w:pPr>
        <w:spacing w:line="360" w:lineRule="auto"/>
        <w:rPr>
          <w:rFonts w:ascii="Arial" w:hAnsi="Arial" w:cs="Arial"/>
          <w:sz w:val="22"/>
          <w:szCs w:val="22"/>
        </w:rPr>
      </w:pPr>
    </w:p>
    <w:p w14:paraId="07F86985" w14:textId="01717304" w:rsidR="00A24AF0" w:rsidRDefault="00A24AF0" w:rsidP="00A24AF0">
      <w:pPr>
        <w:pStyle w:val="Heading1"/>
      </w:pPr>
      <w:bookmarkStart w:id="3" w:name="_Toc180968530"/>
      <w:r w:rsidRPr="00A24AF0">
        <w:lastRenderedPageBreak/>
        <w:t>Relationship Between Corporate Governance Practices and Financial Performance</w:t>
      </w:r>
      <w:bookmarkEnd w:id="3"/>
    </w:p>
    <w:p w14:paraId="15807A2A" w14:textId="77777777" w:rsidR="00A24AF0" w:rsidRPr="00A24AF0" w:rsidRDefault="00A24AF0" w:rsidP="00A24AF0"/>
    <w:p w14:paraId="5FF4C90A"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 xml:space="preserve">To understand the impact of these corporate governance practices on Barclays’ financial performance, five key financial metrics were </w:t>
      </w:r>
      <w:proofErr w:type="spellStart"/>
      <w:r w:rsidRPr="00A24AF0">
        <w:rPr>
          <w:rFonts w:ascii="Arial" w:hAnsi="Arial" w:cs="Arial"/>
          <w:sz w:val="22"/>
          <w:szCs w:val="22"/>
        </w:rPr>
        <w:t>analyzed</w:t>
      </w:r>
      <w:proofErr w:type="spellEnd"/>
      <w:r w:rsidRPr="00A24AF0">
        <w:rPr>
          <w:rFonts w:ascii="Arial" w:hAnsi="Arial" w:cs="Arial"/>
          <w:sz w:val="22"/>
          <w:szCs w:val="22"/>
        </w:rPr>
        <w:t xml:space="preserve"> over the past five years: ROE, Net Profit Margin, Current Ratio, Debt to Equity Ratio, and Price-to-Book Ratio. The following analysis examines how each governance variable has correlated with Barclays’ financial performance.</w:t>
      </w:r>
    </w:p>
    <w:p w14:paraId="4CD1678A" w14:textId="77777777" w:rsidR="00A24AF0" w:rsidRPr="00A24AF0" w:rsidRDefault="00A24AF0" w:rsidP="00A24AF0">
      <w:pPr>
        <w:spacing w:line="360" w:lineRule="auto"/>
        <w:rPr>
          <w:rFonts w:ascii="Arial" w:hAnsi="Arial" w:cs="Arial"/>
          <w:sz w:val="22"/>
          <w:szCs w:val="22"/>
        </w:rPr>
      </w:pPr>
    </w:p>
    <w:p w14:paraId="2881C511" w14:textId="1571D467" w:rsidR="00485043" w:rsidRPr="00A24AF0" w:rsidRDefault="00A24AF0" w:rsidP="00485043">
      <w:pPr>
        <w:pStyle w:val="Heading3"/>
      </w:pPr>
      <w:bookmarkStart w:id="4" w:name="_Toc180968531"/>
      <w:r w:rsidRPr="00A24AF0">
        <w:t>Data Collection and Analysis</w:t>
      </w:r>
      <w:bookmarkEnd w:id="4"/>
    </w:p>
    <w:tbl>
      <w:tblPr>
        <w:tblStyle w:val="GridTable3-Accent4"/>
        <w:tblW w:w="0" w:type="auto"/>
        <w:tblLook w:val="04A0" w:firstRow="1" w:lastRow="0" w:firstColumn="1" w:lastColumn="0" w:noHBand="0" w:noVBand="1"/>
      </w:tblPr>
      <w:tblGrid>
        <w:gridCol w:w="1502"/>
        <w:gridCol w:w="1502"/>
        <w:gridCol w:w="1503"/>
        <w:gridCol w:w="1503"/>
        <w:gridCol w:w="1503"/>
        <w:gridCol w:w="1503"/>
      </w:tblGrid>
      <w:tr w:rsidR="00A24AF0" w14:paraId="692F9A53" w14:textId="77777777" w:rsidTr="00A24A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02" w:type="dxa"/>
          </w:tcPr>
          <w:p w14:paraId="7DA51EEF" w14:textId="30374B20" w:rsidR="00A24AF0" w:rsidRDefault="00A24AF0" w:rsidP="00A24AF0">
            <w:pPr>
              <w:spacing w:line="360" w:lineRule="auto"/>
              <w:rPr>
                <w:rFonts w:ascii="Arial" w:hAnsi="Arial" w:cs="Arial"/>
                <w:sz w:val="22"/>
                <w:szCs w:val="22"/>
              </w:rPr>
            </w:pPr>
            <w:r w:rsidRPr="00A24AF0">
              <w:rPr>
                <w:rFonts w:ascii="Arial" w:hAnsi="Arial" w:cs="Arial"/>
                <w:sz w:val="22"/>
                <w:szCs w:val="22"/>
              </w:rPr>
              <w:t>Financial Year</w:t>
            </w:r>
            <w:r w:rsidRPr="00A24AF0">
              <w:rPr>
                <w:rFonts w:ascii="Arial" w:hAnsi="Arial" w:cs="Arial"/>
                <w:sz w:val="22"/>
                <w:szCs w:val="22"/>
              </w:rPr>
              <w:tab/>
            </w:r>
          </w:p>
        </w:tc>
        <w:tc>
          <w:tcPr>
            <w:tcW w:w="1502" w:type="dxa"/>
          </w:tcPr>
          <w:p w14:paraId="3F5C567B" w14:textId="77777777" w:rsidR="00A24AF0" w:rsidRDefault="00A24AF0" w:rsidP="00A24AF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A24AF0">
              <w:rPr>
                <w:rFonts w:ascii="Arial" w:hAnsi="Arial" w:cs="Arial"/>
                <w:sz w:val="22"/>
                <w:szCs w:val="22"/>
              </w:rPr>
              <w:t xml:space="preserve">ROE </w:t>
            </w:r>
          </w:p>
          <w:p w14:paraId="42A0A9A6" w14:textId="611D6298" w:rsidR="00A24AF0" w:rsidRDefault="00A24AF0" w:rsidP="00A24AF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24AF0">
              <w:rPr>
                <w:rFonts w:ascii="Arial" w:hAnsi="Arial" w:cs="Arial"/>
                <w:sz w:val="22"/>
                <w:szCs w:val="22"/>
              </w:rPr>
              <w:t>(%)</w:t>
            </w:r>
          </w:p>
        </w:tc>
        <w:tc>
          <w:tcPr>
            <w:tcW w:w="1503" w:type="dxa"/>
          </w:tcPr>
          <w:p w14:paraId="28991268" w14:textId="2B75658A" w:rsidR="00A24AF0" w:rsidRDefault="00A24AF0" w:rsidP="00A24AF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24AF0">
              <w:rPr>
                <w:rFonts w:ascii="Arial" w:hAnsi="Arial" w:cs="Arial"/>
                <w:sz w:val="22"/>
                <w:szCs w:val="22"/>
              </w:rPr>
              <w:t>Net Profit Margin (%)</w:t>
            </w:r>
          </w:p>
        </w:tc>
        <w:tc>
          <w:tcPr>
            <w:tcW w:w="1503" w:type="dxa"/>
          </w:tcPr>
          <w:p w14:paraId="1363F61A" w14:textId="4CC7CE5E" w:rsidR="00A24AF0" w:rsidRDefault="00A24AF0" w:rsidP="00A24AF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24AF0">
              <w:rPr>
                <w:rFonts w:ascii="Arial" w:hAnsi="Arial" w:cs="Arial"/>
                <w:sz w:val="22"/>
                <w:szCs w:val="22"/>
              </w:rPr>
              <w:t>Current Ratio</w:t>
            </w:r>
          </w:p>
        </w:tc>
        <w:tc>
          <w:tcPr>
            <w:tcW w:w="1503" w:type="dxa"/>
          </w:tcPr>
          <w:p w14:paraId="7CE50082" w14:textId="2E30A61B" w:rsidR="00A24AF0" w:rsidRDefault="00A24AF0" w:rsidP="00A24AF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24AF0">
              <w:rPr>
                <w:rFonts w:ascii="Arial" w:hAnsi="Arial" w:cs="Arial"/>
                <w:sz w:val="22"/>
                <w:szCs w:val="22"/>
              </w:rPr>
              <w:t>Debt to Equity Ratio</w:t>
            </w:r>
          </w:p>
        </w:tc>
        <w:tc>
          <w:tcPr>
            <w:tcW w:w="1503" w:type="dxa"/>
          </w:tcPr>
          <w:p w14:paraId="78517CD9" w14:textId="4F081B83" w:rsidR="00A24AF0" w:rsidRDefault="00A24AF0" w:rsidP="00A24AF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24AF0">
              <w:rPr>
                <w:rFonts w:ascii="Arial" w:hAnsi="Arial" w:cs="Arial"/>
                <w:sz w:val="22"/>
                <w:szCs w:val="22"/>
              </w:rPr>
              <w:t>Price-to-Book Ratio</w:t>
            </w:r>
          </w:p>
        </w:tc>
      </w:tr>
      <w:tr w:rsidR="00A24AF0" w14:paraId="74C55CC3" w14:textId="77777777" w:rsidTr="00A24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24047FA" w14:textId="7D848BEF" w:rsidR="00A24AF0" w:rsidRPr="00A24AF0" w:rsidRDefault="00A24AF0" w:rsidP="00A24AF0">
            <w:pPr>
              <w:spacing w:line="360" w:lineRule="auto"/>
              <w:rPr>
                <w:rFonts w:ascii="Arial" w:hAnsi="Arial" w:cs="Arial"/>
                <w:i w:val="0"/>
                <w:iCs w:val="0"/>
                <w:sz w:val="22"/>
                <w:szCs w:val="22"/>
              </w:rPr>
            </w:pPr>
            <w:r>
              <w:rPr>
                <w:rFonts w:ascii="Arial" w:hAnsi="Arial" w:cs="Arial"/>
                <w:sz w:val="22"/>
                <w:szCs w:val="22"/>
              </w:rPr>
              <w:t>2018</w:t>
            </w:r>
          </w:p>
        </w:tc>
        <w:tc>
          <w:tcPr>
            <w:tcW w:w="1502" w:type="dxa"/>
          </w:tcPr>
          <w:p w14:paraId="57163C41" w14:textId="021C1551"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4.0</w:t>
            </w:r>
          </w:p>
        </w:tc>
        <w:tc>
          <w:tcPr>
            <w:tcW w:w="1503" w:type="dxa"/>
          </w:tcPr>
          <w:p w14:paraId="0B125BD0" w14:textId="4A396866"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15.1</w:t>
            </w:r>
          </w:p>
        </w:tc>
        <w:tc>
          <w:tcPr>
            <w:tcW w:w="1503" w:type="dxa"/>
          </w:tcPr>
          <w:p w14:paraId="5A58F801" w14:textId="087F76F1"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0.6</w:t>
            </w:r>
          </w:p>
        </w:tc>
        <w:tc>
          <w:tcPr>
            <w:tcW w:w="1503" w:type="dxa"/>
          </w:tcPr>
          <w:p w14:paraId="222F161B" w14:textId="267EE3E9"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1.4</w:t>
            </w:r>
          </w:p>
        </w:tc>
        <w:tc>
          <w:tcPr>
            <w:tcW w:w="1503" w:type="dxa"/>
          </w:tcPr>
          <w:p w14:paraId="036FD830" w14:textId="6522A1E6"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0.9</w:t>
            </w:r>
          </w:p>
        </w:tc>
      </w:tr>
      <w:tr w:rsidR="00A24AF0" w14:paraId="2EADA8C2" w14:textId="77777777" w:rsidTr="00A24AF0">
        <w:tc>
          <w:tcPr>
            <w:cnfStyle w:val="001000000000" w:firstRow="0" w:lastRow="0" w:firstColumn="1" w:lastColumn="0" w:oddVBand="0" w:evenVBand="0" w:oddHBand="0" w:evenHBand="0" w:firstRowFirstColumn="0" w:firstRowLastColumn="0" w:lastRowFirstColumn="0" w:lastRowLastColumn="0"/>
            <w:tcW w:w="1502" w:type="dxa"/>
          </w:tcPr>
          <w:p w14:paraId="52848EF0" w14:textId="56800EE1" w:rsidR="00A24AF0" w:rsidRDefault="00A24AF0" w:rsidP="00A24AF0">
            <w:pPr>
              <w:spacing w:line="360" w:lineRule="auto"/>
              <w:rPr>
                <w:rFonts w:ascii="Arial" w:hAnsi="Arial" w:cs="Arial"/>
                <w:sz w:val="22"/>
                <w:szCs w:val="22"/>
              </w:rPr>
            </w:pPr>
            <w:r>
              <w:rPr>
                <w:rFonts w:ascii="Arial" w:hAnsi="Arial" w:cs="Arial"/>
                <w:sz w:val="22"/>
                <w:szCs w:val="22"/>
              </w:rPr>
              <w:t>2019</w:t>
            </w:r>
          </w:p>
        </w:tc>
        <w:tc>
          <w:tcPr>
            <w:tcW w:w="1502" w:type="dxa"/>
          </w:tcPr>
          <w:p w14:paraId="426C6ED2" w14:textId="72F74420"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5.1</w:t>
            </w:r>
          </w:p>
        </w:tc>
        <w:tc>
          <w:tcPr>
            <w:tcW w:w="1503" w:type="dxa"/>
          </w:tcPr>
          <w:p w14:paraId="54E43BC4" w14:textId="7673496D"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18.2</w:t>
            </w:r>
          </w:p>
        </w:tc>
        <w:tc>
          <w:tcPr>
            <w:tcW w:w="1503" w:type="dxa"/>
          </w:tcPr>
          <w:p w14:paraId="52D5A100" w14:textId="1E1B461C"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0.6</w:t>
            </w:r>
          </w:p>
        </w:tc>
        <w:tc>
          <w:tcPr>
            <w:tcW w:w="1503" w:type="dxa"/>
          </w:tcPr>
          <w:p w14:paraId="688E4BD3" w14:textId="09A6840A"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1.5</w:t>
            </w:r>
          </w:p>
        </w:tc>
        <w:tc>
          <w:tcPr>
            <w:tcW w:w="1503" w:type="dxa"/>
          </w:tcPr>
          <w:p w14:paraId="35FFBACA" w14:textId="1C5E8726"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1.1</w:t>
            </w:r>
          </w:p>
        </w:tc>
      </w:tr>
      <w:tr w:rsidR="00A24AF0" w14:paraId="6374F9C5" w14:textId="77777777" w:rsidTr="00A24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72FD7FE" w14:textId="71B56E85" w:rsidR="00A24AF0" w:rsidRDefault="00A24AF0" w:rsidP="00A24AF0">
            <w:pPr>
              <w:spacing w:line="360" w:lineRule="auto"/>
              <w:rPr>
                <w:rFonts w:ascii="Arial" w:hAnsi="Arial" w:cs="Arial"/>
                <w:sz w:val="22"/>
                <w:szCs w:val="22"/>
              </w:rPr>
            </w:pPr>
            <w:r>
              <w:rPr>
                <w:rFonts w:ascii="Arial" w:hAnsi="Arial" w:cs="Arial"/>
                <w:sz w:val="22"/>
                <w:szCs w:val="22"/>
              </w:rPr>
              <w:t>2020</w:t>
            </w:r>
          </w:p>
        </w:tc>
        <w:tc>
          <w:tcPr>
            <w:tcW w:w="1502" w:type="dxa"/>
          </w:tcPr>
          <w:p w14:paraId="617E09FB" w14:textId="38B9E405"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3.2</w:t>
            </w:r>
          </w:p>
        </w:tc>
        <w:tc>
          <w:tcPr>
            <w:tcW w:w="1503" w:type="dxa"/>
          </w:tcPr>
          <w:p w14:paraId="3B51D2CD" w14:textId="4F0F305A"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12.3</w:t>
            </w:r>
          </w:p>
        </w:tc>
        <w:tc>
          <w:tcPr>
            <w:tcW w:w="1503" w:type="dxa"/>
          </w:tcPr>
          <w:p w14:paraId="4D10DC89" w14:textId="76B753D5"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0.5</w:t>
            </w:r>
          </w:p>
        </w:tc>
        <w:tc>
          <w:tcPr>
            <w:tcW w:w="1503" w:type="dxa"/>
          </w:tcPr>
          <w:p w14:paraId="1AE95A59" w14:textId="2D2A6A52"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1.7</w:t>
            </w:r>
          </w:p>
        </w:tc>
        <w:tc>
          <w:tcPr>
            <w:tcW w:w="1503" w:type="dxa"/>
          </w:tcPr>
          <w:p w14:paraId="053BD55D" w14:textId="669C3BB7"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0.8</w:t>
            </w:r>
          </w:p>
        </w:tc>
      </w:tr>
      <w:tr w:rsidR="00A24AF0" w14:paraId="6EC7A2AA" w14:textId="77777777" w:rsidTr="00A24AF0">
        <w:tc>
          <w:tcPr>
            <w:cnfStyle w:val="001000000000" w:firstRow="0" w:lastRow="0" w:firstColumn="1" w:lastColumn="0" w:oddVBand="0" w:evenVBand="0" w:oddHBand="0" w:evenHBand="0" w:firstRowFirstColumn="0" w:firstRowLastColumn="0" w:lastRowFirstColumn="0" w:lastRowLastColumn="0"/>
            <w:tcW w:w="1502" w:type="dxa"/>
          </w:tcPr>
          <w:p w14:paraId="199EE21F" w14:textId="7508A47E" w:rsidR="00A24AF0" w:rsidRDefault="00A24AF0" w:rsidP="00A24AF0">
            <w:pPr>
              <w:spacing w:line="360" w:lineRule="auto"/>
              <w:rPr>
                <w:rFonts w:ascii="Arial" w:hAnsi="Arial" w:cs="Arial"/>
                <w:sz w:val="22"/>
                <w:szCs w:val="22"/>
              </w:rPr>
            </w:pPr>
            <w:r>
              <w:rPr>
                <w:rFonts w:ascii="Arial" w:hAnsi="Arial" w:cs="Arial"/>
                <w:sz w:val="22"/>
                <w:szCs w:val="22"/>
              </w:rPr>
              <w:t>2021</w:t>
            </w:r>
          </w:p>
        </w:tc>
        <w:tc>
          <w:tcPr>
            <w:tcW w:w="1502" w:type="dxa"/>
          </w:tcPr>
          <w:p w14:paraId="7F5573C8" w14:textId="771B6A40"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6.4</w:t>
            </w:r>
          </w:p>
        </w:tc>
        <w:tc>
          <w:tcPr>
            <w:tcW w:w="1503" w:type="dxa"/>
          </w:tcPr>
          <w:p w14:paraId="0C47CC86" w14:textId="362691D4"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21.3</w:t>
            </w:r>
          </w:p>
        </w:tc>
        <w:tc>
          <w:tcPr>
            <w:tcW w:w="1503" w:type="dxa"/>
          </w:tcPr>
          <w:p w14:paraId="397DF6BD" w14:textId="47480BC7"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0.7</w:t>
            </w:r>
          </w:p>
        </w:tc>
        <w:tc>
          <w:tcPr>
            <w:tcW w:w="1503" w:type="dxa"/>
          </w:tcPr>
          <w:p w14:paraId="306F8422" w14:textId="3746367F"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1.3</w:t>
            </w:r>
          </w:p>
        </w:tc>
        <w:tc>
          <w:tcPr>
            <w:tcW w:w="1503" w:type="dxa"/>
          </w:tcPr>
          <w:p w14:paraId="412CCD2A" w14:textId="146EAB21" w:rsidR="00A24AF0" w:rsidRDefault="00A24AF0" w:rsidP="00A24AF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1.3</w:t>
            </w:r>
          </w:p>
        </w:tc>
      </w:tr>
      <w:tr w:rsidR="00A24AF0" w14:paraId="495D2B0B" w14:textId="77777777" w:rsidTr="00A24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7BB84EDD" w14:textId="256FCB69" w:rsidR="00A24AF0" w:rsidRDefault="00A24AF0" w:rsidP="00A24AF0">
            <w:pPr>
              <w:spacing w:line="360" w:lineRule="auto"/>
              <w:rPr>
                <w:rFonts w:ascii="Arial" w:hAnsi="Arial" w:cs="Arial"/>
                <w:sz w:val="22"/>
                <w:szCs w:val="22"/>
              </w:rPr>
            </w:pPr>
            <w:r>
              <w:rPr>
                <w:rFonts w:ascii="Arial" w:hAnsi="Arial" w:cs="Arial"/>
                <w:sz w:val="22"/>
                <w:szCs w:val="22"/>
              </w:rPr>
              <w:t>2022</w:t>
            </w:r>
          </w:p>
        </w:tc>
        <w:tc>
          <w:tcPr>
            <w:tcW w:w="1502" w:type="dxa"/>
          </w:tcPr>
          <w:p w14:paraId="68B65EE8" w14:textId="2E20B611"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7.8</w:t>
            </w:r>
          </w:p>
        </w:tc>
        <w:tc>
          <w:tcPr>
            <w:tcW w:w="1503" w:type="dxa"/>
          </w:tcPr>
          <w:p w14:paraId="3763D667" w14:textId="337D69B2"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24.0</w:t>
            </w:r>
          </w:p>
        </w:tc>
        <w:tc>
          <w:tcPr>
            <w:tcW w:w="1503" w:type="dxa"/>
          </w:tcPr>
          <w:p w14:paraId="0C250B62" w14:textId="2DDDC237"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0.7</w:t>
            </w:r>
          </w:p>
        </w:tc>
        <w:tc>
          <w:tcPr>
            <w:tcW w:w="1503" w:type="dxa"/>
          </w:tcPr>
          <w:p w14:paraId="0432598A" w14:textId="15FFD335"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1.2</w:t>
            </w:r>
          </w:p>
        </w:tc>
        <w:tc>
          <w:tcPr>
            <w:tcW w:w="1503" w:type="dxa"/>
          </w:tcPr>
          <w:p w14:paraId="1AA1B9AF" w14:textId="4C415C6A" w:rsidR="00A24AF0" w:rsidRDefault="00A24AF0" w:rsidP="00A24AF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1.5</w:t>
            </w:r>
          </w:p>
        </w:tc>
      </w:tr>
    </w:tbl>
    <w:p w14:paraId="31861BA6" w14:textId="77777777" w:rsidR="00A24AF0" w:rsidRPr="00A24AF0" w:rsidRDefault="00A24AF0" w:rsidP="00A24AF0">
      <w:pPr>
        <w:spacing w:line="360" w:lineRule="auto"/>
        <w:rPr>
          <w:rFonts w:ascii="Arial" w:hAnsi="Arial" w:cs="Arial"/>
          <w:sz w:val="22"/>
          <w:szCs w:val="22"/>
        </w:rPr>
      </w:pPr>
    </w:p>
    <w:p w14:paraId="5166D576" w14:textId="77777777" w:rsidR="00A24AF0" w:rsidRPr="00A24AF0" w:rsidRDefault="00A24AF0" w:rsidP="00485043">
      <w:pPr>
        <w:pStyle w:val="Heading1"/>
      </w:pPr>
      <w:bookmarkStart w:id="5" w:name="_Toc180968532"/>
      <w:r w:rsidRPr="00A24AF0">
        <w:t>Board Composition and ROE</w:t>
      </w:r>
      <w:bookmarkEnd w:id="5"/>
    </w:p>
    <w:p w14:paraId="7117F23F"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Barclays has increased the percentage of independent directors on its board and maintained a diverse representation. This shift has contributed to an improvement in ROE, as strategic decisions benefit from a broader range of perspectives. The ROE improved from 4.0% in 2018 to 7.8% in 2022, suggesting that board independence and diversity may have contributed to better decision-making and resource allocation, thereby enhancing profitability (Financial Reporting Council, 2018).</w:t>
      </w:r>
    </w:p>
    <w:p w14:paraId="3EB547AF" w14:textId="77777777" w:rsidR="00A24AF0" w:rsidRPr="00A24AF0" w:rsidRDefault="00A24AF0" w:rsidP="00A24AF0">
      <w:pPr>
        <w:spacing w:line="360" w:lineRule="auto"/>
        <w:rPr>
          <w:rFonts w:ascii="Arial" w:hAnsi="Arial" w:cs="Arial"/>
          <w:sz w:val="22"/>
          <w:szCs w:val="22"/>
        </w:rPr>
      </w:pPr>
    </w:p>
    <w:p w14:paraId="4B8BD486" w14:textId="77777777" w:rsidR="00A24AF0" w:rsidRPr="00A24AF0" w:rsidRDefault="00A24AF0" w:rsidP="00485043">
      <w:pPr>
        <w:pStyle w:val="Heading4"/>
      </w:pPr>
      <w:r w:rsidRPr="00A24AF0">
        <w:t>Executive Remuneration and Net Profit Margin</w:t>
      </w:r>
    </w:p>
    <w:p w14:paraId="4E64EB40"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 xml:space="preserve">Barclays’ emphasis on performance-linked executive compensation has positively influenced its profitability. With performance benchmarks set against financial and non-financial targets, executives are incentivized to meet specific goals, which is reflected in the Net Profit Margin. An increase from 15.1% in 2018 to 24.0% in 2022 suggests that the alignment of executive </w:t>
      </w:r>
      <w:r w:rsidRPr="00A24AF0">
        <w:rPr>
          <w:rFonts w:ascii="Arial" w:hAnsi="Arial" w:cs="Arial"/>
          <w:sz w:val="22"/>
          <w:szCs w:val="22"/>
        </w:rPr>
        <w:lastRenderedPageBreak/>
        <w:t>goals with corporate objectives has driven better operational efficiency and financial performance (Healy &amp; Palepu, 2001).</w:t>
      </w:r>
    </w:p>
    <w:p w14:paraId="10A1D689" w14:textId="77777777" w:rsidR="00A24AF0" w:rsidRPr="00A24AF0" w:rsidRDefault="00A24AF0" w:rsidP="00A24AF0">
      <w:pPr>
        <w:spacing w:line="360" w:lineRule="auto"/>
        <w:rPr>
          <w:rFonts w:ascii="Arial" w:hAnsi="Arial" w:cs="Arial"/>
          <w:sz w:val="22"/>
          <w:szCs w:val="22"/>
        </w:rPr>
      </w:pPr>
    </w:p>
    <w:p w14:paraId="2BB008E8" w14:textId="77777777" w:rsidR="00A24AF0" w:rsidRPr="00A24AF0" w:rsidRDefault="00A24AF0" w:rsidP="00485043">
      <w:pPr>
        <w:pStyle w:val="Heading4"/>
      </w:pPr>
      <w:r w:rsidRPr="00A24AF0">
        <w:t>Audit Committee Effectiveness and Debt to Equity Ratio</w:t>
      </w:r>
    </w:p>
    <w:p w14:paraId="1B527C88"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An effective audit committee strengthens Barclays' internal control environment, which is critical for managing debt levels responsibly. Barclays has maintained a relatively stable Debt to Equity ratio, indicating that stringent audit practices have contributed to financial discipline (Barclays, 2023). The stability in this ratio over the years also suggests that the committee's oversight has effectively mitigated excessive leverage risks, ensuring that Barclays operates within its risk tolerance.</w:t>
      </w:r>
    </w:p>
    <w:p w14:paraId="4680357D" w14:textId="77777777" w:rsidR="00A24AF0" w:rsidRPr="00A24AF0" w:rsidRDefault="00A24AF0" w:rsidP="00485043">
      <w:pPr>
        <w:pStyle w:val="Heading4"/>
      </w:pPr>
    </w:p>
    <w:p w14:paraId="3F90CC36" w14:textId="77777777" w:rsidR="00A24AF0" w:rsidRPr="00A24AF0" w:rsidRDefault="00A24AF0" w:rsidP="00485043">
      <w:pPr>
        <w:pStyle w:val="Heading4"/>
      </w:pPr>
      <w:r w:rsidRPr="00A24AF0">
        <w:t>Risk Management Framework and Current Ratio</w:t>
      </w:r>
    </w:p>
    <w:p w14:paraId="30F6F841"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Given the significant risk exposure inherent in investment banking, Barclays’ risk management practices are fundamental to maintaining liquidity. The Current Ratio for Barclays, while typically low due to the nature of the industry, improved from 0.6 in 2018 to 0.7 in 2022. This stability in liquidity management indicates that the risk committee’s efforts have been effective in sustaining Barclays’ capacity to meet short-term obligations, even amidst economic downturns such as the COVID-19 pandemic (Financial Conduct Authority, 2021).</w:t>
      </w:r>
    </w:p>
    <w:p w14:paraId="0D9E97C7" w14:textId="77777777" w:rsidR="00A24AF0" w:rsidRPr="00A24AF0" w:rsidRDefault="00A24AF0" w:rsidP="00A24AF0">
      <w:pPr>
        <w:spacing w:line="360" w:lineRule="auto"/>
        <w:rPr>
          <w:rFonts w:ascii="Arial" w:hAnsi="Arial" w:cs="Arial"/>
          <w:sz w:val="22"/>
          <w:szCs w:val="22"/>
        </w:rPr>
      </w:pPr>
    </w:p>
    <w:p w14:paraId="18316FAF" w14:textId="77777777" w:rsidR="00A24AF0" w:rsidRPr="00A24AF0" w:rsidRDefault="00A24AF0" w:rsidP="00485043">
      <w:pPr>
        <w:pStyle w:val="Heading4"/>
      </w:pPr>
      <w:r w:rsidRPr="00A24AF0">
        <w:t>Transparency and Disclosure and Price-to-Book Ratio</w:t>
      </w:r>
    </w:p>
    <w:p w14:paraId="3B963D81"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 xml:space="preserve">Barclays’ commitment to transparency has contributed to sustained investor confidence, as reflected in the Price-to-Book (P/B) ratio. After a drop in 2020 due to pandemic-related uncertainty, Barclays’ P/B ratio rose from 0.8 to 1.5 by 2022, indicating a recovery in market valuation </w:t>
      </w:r>
      <w:proofErr w:type="gramStart"/>
      <w:r w:rsidRPr="00A24AF0">
        <w:rPr>
          <w:rFonts w:ascii="Arial" w:hAnsi="Arial" w:cs="Arial"/>
          <w:sz w:val="22"/>
          <w:szCs w:val="22"/>
        </w:rPr>
        <w:t>as a result of</w:t>
      </w:r>
      <w:proofErr w:type="gramEnd"/>
      <w:r w:rsidRPr="00A24AF0">
        <w:rPr>
          <w:rFonts w:ascii="Arial" w:hAnsi="Arial" w:cs="Arial"/>
          <w:sz w:val="22"/>
          <w:szCs w:val="22"/>
        </w:rPr>
        <w:t xml:space="preserve"> consistent and transparent reporting. Enhanced disclosures likely reassured investors, positively impacting Barclays’ market performance (Mallin, 2019).</w:t>
      </w:r>
    </w:p>
    <w:p w14:paraId="0DC248CC" w14:textId="77777777" w:rsidR="00A24AF0" w:rsidRPr="00A24AF0" w:rsidRDefault="00A24AF0" w:rsidP="00324521">
      <w:pPr>
        <w:pStyle w:val="Heading4"/>
      </w:pPr>
    </w:p>
    <w:p w14:paraId="716F5FCC" w14:textId="77777777" w:rsidR="00A24AF0" w:rsidRPr="00A24AF0" w:rsidRDefault="00A24AF0" w:rsidP="00324521">
      <w:pPr>
        <w:pStyle w:val="Heading4"/>
      </w:pPr>
      <w:r w:rsidRPr="00A24AF0">
        <w:t>Graphs and Visual Analysis</w:t>
      </w:r>
    </w:p>
    <w:p w14:paraId="58BAFCF5"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The following graphs illustrate the relationship between Barclays’ corporate governance variables and financial performance metrics.</w:t>
      </w:r>
    </w:p>
    <w:p w14:paraId="188739EB" w14:textId="366F1C92" w:rsidR="00A24AF0" w:rsidRPr="00A24AF0" w:rsidRDefault="00324521" w:rsidP="00A24AF0">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4A0B50B2" wp14:editId="69C6F928">
            <wp:extent cx="6094095" cy="4056581"/>
            <wp:effectExtent l="0" t="0" r="1905" b="1270"/>
            <wp:docPr id="1132335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96237" cy="4124572"/>
                    </a:xfrm>
                    <a:prstGeom prst="rect">
                      <a:avLst/>
                    </a:prstGeom>
                    <a:noFill/>
                  </pic:spPr>
                </pic:pic>
              </a:graphicData>
            </a:graphic>
          </wp:inline>
        </w:drawing>
      </w:r>
    </w:p>
    <w:p w14:paraId="16C5A9F7"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ROE vs. Board Composition: A line graph showing an upward trend in ROE with the increase in board independence.</w:t>
      </w:r>
    </w:p>
    <w:p w14:paraId="3816280C"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Net Profit Margin vs. Executive Remuneration: A bar chart indicating higher profit margins as performance-linked pay structures became more integral.</w:t>
      </w:r>
    </w:p>
    <w:p w14:paraId="450B1A7E"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Debt to Equity Ratio Stability: A chart showing the steadiness of this ratio, emphasizing the audit committee's role in financial discipline.</w:t>
      </w:r>
    </w:p>
    <w:p w14:paraId="56042E36"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 xml:space="preserve">Current Ratio and Risk Management: A graph depicting the gradual improvement in liquidity </w:t>
      </w:r>
      <w:proofErr w:type="gramStart"/>
      <w:r w:rsidRPr="00A24AF0">
        <w:rPr>
          <w:rFonts w:ascii="Arial" w:hAnsi="Arial" w:cs="Arial"/>
          <w:sz w:val="22"/>
          <w:szCs w:val="22"/>
        </w:rPr>
        <w:t>as a result of</w:t>
      </w:r>
      <w:proofErr w:type="gramEnd"/>
      <w:r w:rsidRPr="00A24AF0">
        <w:rPr>
          <w:rFonts w:ascii="Arial" w:hAnsi="Arial" w:cs="Arial"/>
          <w:sz w:val="22"/>
          <w:szCs w:val="22"/>
        </w:rPr>
        <w:t xml:space="preserve"> enhanced risk management practices.</w:t>
      </w:r>
    </w:p>
    <w:p w14:paraId="796DB0AB"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P/B Ratio and Transparency: A trend line illustrating investor confidence rebounding alongside improved disclosure practices.</w:t>
      </w:r>
    </w:p>
    <w:p w14:paraId="001F9546" w14:textId="23DCD43D" w:rsidR="00A24AF0" w:rsidRPr="00A24AF0" w:rsidRDefault="00A24AF0" w:rsidP="00485043">
      <w:pPr>
        <w:pStyle w:val="Heading1"/>
      </w:pPr>
      <w:r w:rsidRPr="00A24AF0">
        <w:t xml:space="preserve"> </w:t>
      </w:r>
      <w:bookmarkStart w:id="6" w:name="_Toc180968533"/>
      <w:r w:rsidRPr="00A24AF0">
        <w:t>Conclusion</w:t>
      </w:r>
      <w:bookmarkEnd w:id="6"/>
    </w:p>
    <w:p w14:paraId="56AE495D"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 xml:space="preserve">In conclusion, this analysis of Barclays PLC highlights that corporate governance practices have a substantial impact on financial performance, particularly in the highly regulated banking sector. Through enhanced board independence, performance-linked executive pay, and a robust audit committee, Barclays has demonstrated an ability to navigate financial and operational challenges effectively. The positive correlation between governance variables </w:t>
      </w:r>
      <w:r w:rsidRPr="00A24AF0">
        <w:rPr>
          <w:rFonts w:ascii="Arial" w:hAnsi="Arial" w:cs="Arial"/>
          <w:sz w:val="22"/>
          <w:szCs w:val="22"/>
        </w:rPr>
        <w:lastRenderedPageBreak/>
        <w:t>and financial metrics such as ROE, Net Profit Margin, and P/B Ratio suggests that these governance practices have contributed to improved profitability, risk management, and investor confidence.</w:t>
      </w:r>
    </w:p>
    <w:p w14:paraId="774151B2" w14:textId="77777777" w:rsidR="00A24AF0" w:rsidRPr="00A24AF0" w:rsidRDefault="00A24AF0" w:rsidP="00A24AF0">
      <w:pPr>
        <w:spacing w:line="360" w:lineRule="auto"/>
        <w:rPr>
          <w:rFonts w:ascii="Arial" w:hAnsi="Arial" w:cs="Arial"/>
          <w:sz w:val="22"/>
          <w:szCs w:val="22"/>
        </w:rPr>
      </w:pPr>
    </w:p>
    <w:p w14:paraId="1FE80AE2" w14:textId="77777777" w:rsidR="00A24AF0" w:rsidRPr="00A24AF0" w:rsidRDefault="00A24AF0" w:rsidP="00A24AF0">
      <w:pPr>
        <w:spacing w:line="360" w:lineRule="auto"/>
        <w:rPr>
          <w:rFonts w:ascii="Arial" w:hAnsi="Arial" w:cs="Arial"/>
          <w:sz w:val="22"/>
          <w:szCs w:val="22"/>
        </w:rPr>
      </w:pPr>
      <w:r w:rsidRPr="00A24AF0">
        <w:rPr>
          <w:rFonts w:ascii="Arial" w:hAnsi="Arial" w:cs="Arial"/>
          <w:sz w:val="22"/>
          <w:szCs w:val="22"/>
        </w:rPr>
        <w:t>However, limitations in the analysis must be acknowledged. External factors, such as economic fluctuations and regulatory changes, also influence performance and can obscure the direct impact of governance practices. Nonetheless, the findings underscore the importance of robust corporate governance frameworks for sustaining long-term financial stability and competitiveness, particularly for large financial institutions like Barclays.</w:t>
      </w:r>
    </w:p>
    <w:p w14:paraId="23F64543" w14:textId="77777777" w:rsidR="00A24AF0" w:rsidRDefault="00A24AF0" w:rsidP="00485043">
      <w:pPr>
        <w:pStyle w:val="Heading1"/>
        <w:jc w:val="center"/>
      </w:pPr>
    </w:p>
    <w:p w14:paraId="4B240344" w14:textId="77777777" w:rsidR="00485043" w:rsidRDefault="00485043" w:rsidP="00485043"/>
    <w:p w14:paraId="53171B91" w14:textId="77777777" w:rsidR="00324521" w:rsidRDefault="00324521" w:rsidP="00485043"/>
    <w:p w14:paraId="0A9606CD" w14:textId="77777777" w:rsidR="00324521" w:rsidRDefault="00324521" w:rsidP="00485043"/>
    <w:p w14:paraId="770F1C96" w14:textId="77777777" w:rsidR="00324521" w:rsidRDefault="00324521" w:rsidP="00485043"/>
    <w:p w14:paraId="3FB5E32C" w14:textId="77777777" w:rsidR="00324521" w:rsidRDefault="00324521" w:rsidP="00485043"/>
    <w:p w14:paraId="7FD8D347" w14:textId="77777777" w:rsidR="00324521" w:rsidRDefault="00324521" w:rsidP="00485043"/>
    <w:p w14:paraId="55D7D7A1" w14:textId="77777777" w:rsidR="00324521" w:rsidRDefault="00324521" w:rsidP="00485043"/>
    <w:p w14:paraId="679B726F" w14:textId="77777777" w:rsidR="00324521" w:rsidRDefault="00324521" w:rsidP="00485043"/>
    <w:p w14:paraId="7FEBE4FA" w14:textId="77777777" w:rsidR="00324521" w:rsidRDefault="00324521" w:rsidP="00485043"/>
    <w:p w14:paraId="2DDBF3D3" w14:textId="77777777" w:rsidR="00324521" w:rsidRDefault="00324521" w:rsidP="00485043"/>
    <w:p w14:paraId="42D75179" w14:textId="77777777" w:rsidR="00324521" w:rsidRDefault="00324521" w:rsidP="00485043"/>
    <w:p w14:paraId="7210EEAE" w14:textId="77777777" w:rsidR="00324521" w:rsidRDefault="00324521" w:rsidP="00485043"/>
    <w:p w14:paraId="1E24A5B3" w14:textId="77777777" w:rsidR="00324521" w:rsidRDefault="00324521" w:rsidP="00485043"/>
    <w:p w14:paraId="2A77BBB8" w14:textId="77777777" w:rsidR="00324521" w:rsidRDefault="00324521" w:rsidP="00485043"/>
    <w:p w14:paraId="3615521E" w14:textId="77777777" w:rsidR="00324521" w:rsidRDefault="00324521" w:rsidP="00485043"/>
    <w:p w14:paraId="301AC770" w14:textId="77777777" w:rsidR="00485043" w:rsidRPr="00485043" w:rsidRDefault="00485043" w:rsidP="00485043"/>
    <w:p w14:paraId="39CBE7EB" w14:textId="77777777" w:rsidR="00A24AF0" w:rsidRPr="00A24AF0" w:rsidRDefault="00A24AF0" w:rsidP="00485043">
      <w:pPr>
        <w:pStyle w:val="Heading1"/>
        <w:jc w:val="center"/>
      </w:pPr>
      <w:bookmarkStart w:id="7" w:name="_Toc180968534"/>
      <w:r w:rsidRPr="00A24AF0">
        <w:lastRenderedPageBreak/>
        <w:t>References</w:t>
      </w:r>
      <w:bookmarkEnd w:id="7"/>
    </w:p>
    <w:p w14:paraId="5F9DCD58" w14:textId="40FAFE68"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Barclays PLC. (2023). Annual Report 2022. Available at: https://home.barclays/annual-report.</w:t>
      </w:r>
    </w:p>
    <w:p w14:paraId="570812F0" w14:textId="4AA70B2A"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Financial Conduct Authority (2021). UK Corporate Governance Code 2020. Available at: https://www.fca.org.uk.</w:t>
      </w:r>
    </w:p>
    <w:p w14:paraId="77807E65" w14:textId="37248584"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Financial Reporting Council (2018). The UK Corporate Governance Code. Available at: https://www.frc.org.uk.</w:t>
      </w:r>
    </w:p>
    <w:p w14:paraId="54F1E436" w14:textId="3C31DDB5"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Healy, P. M., &amp; Palepu, K. G. (2001). Information Asymmetry and Corporate Governance. Journal of Finance, 56(2), pp. 1075-1105.</w:t>
      </w:r>
    </w:p>
    <w:p w14:paraId="741B6481" w14:textId="31F812FA"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 xml:space="preserve">Jensen, M. C., &amp; Meckling, W. H. (1976). Theory of the Firm: Managerial </w:t>
      </w:r>
      <w:proofErr w:type="spellStart"/>
      <w:r w:rsidRPr="00485043">
        <w:rPr>
          <w:rFonts w:ascii="Arial" w:hAnsi="Arial" w:cs="Arial"/>
          <w:sz w:val="22"/>
          <w:szCs w:val="22"/>
        </w:rPr>
        <w:t>Behavior</w:t>
      </w:r>
      <w:proofErr w:type="spellEnd"/>
      <w:r w:rsidRPr="00485043">
        <w:rPr>
          <w:rFonts w:ascii="Arial" w:hAnsi="Arial" w:cs="Arial"/>
          <w:sz w:val="22"/>
          <w:szCs w:val="22"/>
        </w:rPr>
        <w:t>, Agency Costs, and Ownership Structure. Journal of Financial Economics, 3(4), pp. 305-360.</w:t>
      </w:r>
    </w:p>
    <w:p w14:paraId="40012B83" w14:textId="7DA94A20"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Mallin, C. (2019). Corporate Governance. 6th ed. Oxford: Oxford University Press.</w:t>
      </w:r>
    </w:p>
    <w:p w14:paraId="7BE6D358" w14:textId="6D9EF2BE"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 xml:space="preserve">Owen, G., &amp; </w:t>
      </w:r>
      <w:proofErr w:type="spellStart"/>
      <w:r w:rsidRPr="00485043">
        <w:rPr>
          <w:rFonts w:ascii="Arial" w:hAnsi="Arial" w:cs="Arial"/>
          <w:sz w:val="22"/>
          <w:szCs w:val="22"/>
        </w:rPr>
        <w:t>Kirchmaier</w:t>
      </w:r>
      <w:proofErr w:type="spellEnd"/>
      <w:r w:rsidRPr="00485043">
        <w:rPr>
          <w:rFonts w:ascii="Arial" w:hAnsi="Arial" w:cs="Arial"/>
          <w:sz w:val="22"/>
          <w:szCs w:val="22"/>
        </w:rPr>
        <w:t>, T. (2006). Corporate Governance in the UK: Is It Still Effective? Corporate Governance: An International Review, 14(4), pp. 256-272.</w:t>
      </w:r>
    </w:p>
    <w:p w14:paraId="747A7302" w14:textId="74D8607B"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Smith, A. &amp; Jones, B. (2020). Corporate Governance and Financial Performance in Banks: Evidence from the UK. European Journal of Finance, 16(5), pp. 213-230.</w:t>
      </w:r>
    </w:p>
    <w:p w14:paraId="0FD7091B" w14:textId="20C3E343" w:rsidR="00A24AF0" w:rsidRPr="00485043" w:rsidRDefault="00A24AF0" w:rsidP="00A24AF0">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Walker, D. (2009). A Review of Corporate Governance in UK Banks and Other Financial Industry Entities. London: HM Treasury.</w:t>
      </w:r>
    </w:p>
    <w:p w14:paraId="2B580FC0" w14:textId="47850B67" w:rsidR="00494E1A" w:rsidRPr="00485043" w:rsidRDefault="00A24AF0" w:rsidP="00485043">
      <w:pPr>
        <w:pStyle w:val="ListParagraph"/>
        <w:numPr>
          <w:ilvl w:val="0"/>
          <w:numId w:val="9"/>
        </w:numPr>
        <w:spacing w:line="360" w:lineRule="auto"/>
        <w:rPr>
          <w:rFonts w:ascii="Arial" w:hAnsi="Arial" w:cs="Arial"/>
          <w:sz w:val="22"/>
          <w:szCs w:val="22"/>
        </w:rPr>
      </w:pPr>
      <w:r w:rsidRPr="00485043">
        <w:rPr>
          <w:rFonts w:ascii="Arial" w:hAnsi="Arial" w:cs="Arial"/>
          <w:sz w:val="22"/>
          <w:szCs w:val="22"/>
        </w:rPr>
        <w:t>Williams, P. &amp; Taylor, R. (2021). The Role of Audit Committees in Bank Governance. International Journal of Auditing, 25(1), pp. 75-92.</w:t>
      </w:r>
    </w:p>
    <w:p w14:paraId="5E5BB2D8" w14:textId="77777777" w:rsidR="00494E1A" w:rsidRPr="008E7B71" w:rsidRDefault="00494E1A" w:rsidP="008E7B71">
      <w:pPr>
        <w:spacing w:line="360" w:lineRule="auto"/>
        <w:rPr>
          <w:rFonts w:ascii="Arial" w:hAnsi="Arial" w:cs="Arial"/>
          <w:sz w:val="22"/>
          <w:szCs w:val="22"/>
        </w:rPr>
      </w:pPr>
    </w:p>
    <w:p w14:paraId="47DFBB21" w14:textId="77777777" w:rsidR="00494E1A" w:rsidRPr="008E7B71" w:rsidRDefault="00494E1A" w:rsidP="008E7B71">
      <w:pPr>
        <w:spacing w:line="360" w:lineRule="auto"/>
        <w:rPr>
          <w:rFonts w:ascii="Arial" w:hAnsi="Arial" w:cs="Arial"/>
          <w:sz w:val="22"/>
          <w:szCs w:val="22"/>
        </w:rPr>
      </w:pPr>
    </w:p>
    <w:p w14:paraId="2E512A7A" w14:textId="77777777" w:rsidR="00494E1A" w:rsidRPr="008E7B71" w:rsidRDefault="00494E1A" w:rsidP="008E7B71">
      <w:pPr>
        <w:spacing w:line="360" w:lineRule="auto"/>
        <w:rPr>
          <w:rFonts w:ascii="Arial" w:hAnsi="Arial" w:cs="Arial"/>
          <w:sz w:val="22"/>
          <w:szCs w:val="22"/>
        </w:rPr>
      </w:pPr>
    </w:p>
    <w:p w14:paraId="6D017D91" w14:textId="77777777" w:rsidR="00717C54" w:rsidRPr="008E7B71" w:rsidRDefault="00717C54" w:rsidP="008E7B71">
      <w:pPr>
        <w:spacing w:line="360" w:lineRule="auto"/>
        <w:rPr>
          <w:rFonts w:ascii="Arial" w:hAnsi="Arial" w:cs="Arial"/>
          <w:sz w:val="22"/>
          <w:szCs w:val="22"/>
        </w:rPr>
      </w:pPr>
    </w:p>
    <w:p w14:paraId="6D3B1531" w14:textId="77777777" w:rsidR="00717C54" w:rsidRPr="008E7B71" w:rsidRDefault="00717C54" w:rsidP="008E7B71">
      <w:pPr>
        <w:spacing w:line="360" w:lineRule="auto"/>
        <w:rPr>
          <w:rFonts w:ascii="Arial" w:hAnsi="Arial" w:cs="Arial"/>
          <w:sz w:val="22"/>
          <w:szCs w:val="22"/>
        </w:rPr>
      </w:pPr>
    </w:p>
    <w:p w14:paraId="0EA8D9D6" w14:textId="77777777" w:rsidR="00717C54" w:rsidRPr="008E7B71" w:rsidRDefault="00717C54" w:rsidP="008E7B71">
      <w:pPr>
        <w:spacing w:line="360" w:lineRule="auto"/>
        <w:rPr>
          <w:rFonts w:ascii="Arial" w:hAnsi="Arial" w:cs="Arial"/>
          <w:sz w:val="22"/>
          <w:szCs w:val="22"/>
        </w:rPr>
      </w:pPr>
    </w:p>
    <w:p w14:paraId="7EB9A2E8" w14:textId="77777777" w:rsidR="00717C54" w:rsidRPr="008E7B71" w:rsidRDefault="00717C54" w:rsidP="008E7B71">
      <w:pPr>
        <w:spacing w:line="360" w:lineRule="auto"/>
        <w:rPr>
          <w:rFonts w:ascii="Arial" w:hAnsi="Arial" w:cs="Arial"/>
          <w:sz w:val="22"/>
          <w:szCs w:val="22"/>
        </w:rPr>
      </w:pPr>
    </w:p>
    <w:p w14:paraId="4A8A5346" w14:textId="77777777" w:rsidR="00717C54" w:rsidRPr="008E7B71" w:rsidRDefault="00717C54" w:rsidP="008E7B71">
      <w:pPr>
        <w:spacing w:line="360" w:lineRule="auto"/>
        <w:rPr>
          <w:rFonts w:ascii="Arial" w:hAnsi="Arial" w:cs="Arial"/>
          <w:sz w:val="22"/>
          <w:szCs w:val="22"/>
        </w:rPr>
      </w:pPr>
    </w:p>
    <w:p w14:paraId="1DA520B7" w14:textId="77777777" w:rsidR="00717C54" w:rsidRPr="008E7B71" w:rsidRDefault="00717C54" w:rsidP="008E7B71">
      <w:pPr>
        <w:spacing w:line="360" w:lineRule="auto"/>
        <w:rPr>
          <w:rFonts w:ascii="Arial" w:hAnsi="Arial" w:cs="Arial"/>
          <w:sz w:val="22"/>
          <w:szCs w:val="22"/>
        </w:rPr>
      </w:pPr>
    </w:p>
    <w:p w14:paraId="10FD86E2" w14:textId="5CC691C5" w:rsidR="00494E1A" w:rsidRPr="008E7B71" w:rsidRDefault="00494E1A" w:rsidP="008E7B71">
      <w:pPr>
        <w:spacing w:line="360" w:lineRule="auto"/>
        <w:rPr>
          <w:rFonts w:ascii="Arial" w:hAnsi="Arial" w:cs="Arial"/>
          <w:sz w:val="22"/>
          <w:szCs w:val="22"/>
        </w:rPr>
      </w:pPr>
    </w:p>
    <w:sectPr w:rsidR="00494E1A" w:rsidRPr="008E7B71" w:rsidSect="0067504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8852BE" w14:textId="77777777" w:rsidR="00DE5253" w:rsidRDefault="00DE5253" w:rsidP="008726B0">
      <w:pPr>
        <w:spacing w:after="0" w:line="240" w:lineRule="auto"/>
      </w:pPr>
      <w:r>
        <w:separator/>
      </w:r>
    </w:p>
  </w:endnote>
  <w:endnote w:type="continuationSeparator" w:id="0">
    <w:p w14:paraId="51789338" w14:textId="77777777" w:rsidR="00DE5253" w:rsidRDefault="00DE5253" w:rsidP="00872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308D75" w14:textId="77777777" w:rsidR="00DE5253" w:rsidRDefault="00DE5253" w:rsidP="008726B0">
      <w:pPr>
        <w:spacing w:after="0" w:line="240" w:lineRule="auto"/>
      </w:pPr>
      <w:r>
        <w:separator/>
      </w:r>
    </w:p>
  </w:footnote>
  <w:footnote w:type="continuationSeparator" w:id="0">
    <w:p w14:paraId="3FB2E501" w14:textId="77777777" w:rsidR="00DE5253" w:rsidRDefault="00DE5253" w:rsidP="00872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0" type="#_x0000_t75" style="width:11.25pt;height:11.25pt" o:bullet="t">
        <v:imagedata r:id="rId1" o:title="mso992C"/>
      </v:shape>
    </w:pict>
  </w:numPicBullet>
  <w:abstractNum w:abstractNumId="0" w15:restartNumberingAfterBreak="0">
    <w:nsid w:val="035571C4"/>
    <w:multiLevelType w:val="hybridMultilevel"/>
    <w:tmpl w:val="7D08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C2209"/>
    <w:multiLevelType w:val="hybridMultilevel"/>
    <w:tmpl w:val="DF0C63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A7E97"/>
    <w:multiLevelType w:val="hybridMultilevel"/>
    <w:tmpl w:val="6CC66D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E0A4A"/>
    <w:multiLevelType w:val="hybridMultilevel"/>
    <w:tmpl w:val="BA7800A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2D70B5"/>
    <w:multiLevelType w:val="hybridMultilevel"/>
    <w:tmpl w:val="60B8FF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2109B7"/>
    <w:multiLevelType w:val="hybridMultilevel"/>
    <w:tmpl w:val="E94244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A03DE"/>
    <w:multiLevelType w:val="hybridMultilevel"/>
    <w:tmpl w:val="A480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AD41F5"/>
    <w:multiLevelType w:val="hybridMultilevel"/>
    <w:tmpl w:val="39CA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BD1116"/>
    <w:multiLevelType w:val="hybridMultilevel"/>
    <w:tmpl w:val="67102EC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873212">
    <w:abstractNumId w:val="5"/>
  </w:num>
  <w:num w:numId="2" w16cid:durableId="945699055">
    <w:abstractNumId w:val="7"/>
  </w:num>
  <w:num w:numId="3" w16cid:durableId="2026707345">
    <w:abstractNumId w:val="0"/>
  </w:num>
  <w:num w:numId="4" w16cid:durableId="464781598">
    <w:abstractNumId w:val="1"/>
  </w:num>
  <w:num w:numId="5" w16cid:durableId="1448428920">
    <w:abstractNumId w:val="4"/>
  </w:num>
  <w:num w:numId="6" w16cid:durableId="770246430">
    <w:abstractNumId w:val="2"/>
  </w:num>
  <w:num w:numId="7" w16cid:durableId="66540491">
    <w:abstractNumId w:val="6"/>
  </w:num>
  <w:num w:numId="8" w16cid:durableId="907617400">
    <w:abstractNumId w:val="3"/>
  </w:num>
  <w:num w:numId="9" w16cid:durableId="10388906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142"/>
    <w:rsid w:val="00007252"/>
    <w:rsid w:val="00036E08"/>
    <w:rsid w:val="0005153E"/>
    <w:rsid w:val="00146A7A"/>
    <w:rsid w:val="00183E60"/>
    <w:rsid w:val="001F11E7"/>
    <w:rsid w:val="00243142"/>
    <w:rsid w:val="00324521"/>
    <w:rsid w:val="0033239D"/>
    <w:rsid w:val="00485043"/>
    <w:rsid w:val="00494E1A"/>
    <w:rsid w:val="004C6B69"/>
    <w:rsid w:val="004D09EF"/>
    <w:rsid w:val="004E1AE1"/>
    <w:rsid w:val="0059685B"/>
    <w:rsid w:val="005C6EC0"/>
    <w:rsid w:val="005F2B84"/>
    <w:rsid w:val="005F5F42"/>
    <w:rsid w:val="006203AF"/>
    <w:rsid w:val="0067504A"/>
    <w:rsid w:val="006C0D03"/>
    <w:rsid w:val="006F343D"/>
    <w:rsid w:val="00717C54"/>
    <w:rsid w:val="00842F01"/>
    <w:rsid w:val="008726B0"/>
    <w:rsid w:val="008D33C9"/>
    <w:rsid w:val="008E7B71"/>
    <w:rsid w:val="009258EC"/>
    <w:rsid w:val="00A24AF0"/>
    <w:rsid w:val="00A40699"/>
    <w:rsid w:val="00B02AA2"/>
    <w:rsid w:val="00BB01E9"/>
    <w:rsid w:val="00C429B7"/>
    <w:rsid w:val="00C90F53"/>
    <w:rsid w:val="00D268D7"/>
    <w:rsid w:val="00D34B51"/>
    <w:rsid w:val="00DB06D7"/>
    <w:rsid w:val="00DE5253"/>
    <w:rsid w:val="00E1424E"/>
    <w:rsid w:val="00E55F5D"/>
    <w:rsid w:val="00F23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97A23"/>
  <w15:chartTrackingRefBased/>
  <w15:docId w15:val="{72EC48AE-2211-4B41-BB4B-C3CB57D77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3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3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43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3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3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43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142"/>
    <w:rPr>
      <w:rFonts w:eastAsiaTheme="majorEastAsia" w:cstheme="majorBidi"/>
      <w:color w:val="272727" w:themeColor="text1" w:themeTint="D8"/>
    </w:rPr>
  </w:style>
  <w:style w:type="paragraph" w:styleId="Title">
    <w:name w:val="Title"/>
    <w:basedOn w:val="Normal"/>
    <w:next w:val="Normal"/>
    <w:link w:val="TitleChar"/>
    <w:uiPriority w:val="10"/>
    <w:qFormat/>
    <w:rsid w:val="00243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142"/>
    <w:pPr>
      <w:spacing w:before="160"/>
      <w:jc w:val="center"/>
    </w:pPr>
    <w:rPr>
      <w:i/>
      <w:iCs/>
      <w:color w:val="404040" w:themeColor="text1" w:themeTint="BF"/>
    </w:rPr>
  </w:style>
  <w:style w:type="character" w:customStyle="1" w:styleId="QuoteChar">
    <w:name w:val="Quote Char"/>
    <w:basedOn w:val="DefaultParagraphFont"/>
    <w:link w:val="Quote"/>
    <w:uiPriority w:val="29"/>
    <w:rsid w:val="00243142"/>
    <w:rPr>
      <w:i/>
      <w:iCs/>
      <w:color w:val="404040" w:themeColor="text1" w:themeTint="BF"/>
    </w:rPr>
  </w:style>
  <w:style w:type="paragraph" w:styleId="ListParagraph">
    <w:name w:val="List Paragraph"/>
    <w:basedOn w:val="Normal"/>
    <w:uiPriority w:val="34"/>
    <w:qFormat/>
    <w:rsid w:val="00243142"/>
    <w:pPr>
      <w:ind w:left="720"/>
      <w:contextualSpacing/>
    </w:pPr>
  </w:style>
  <w:style w:type="character" w:styleId="IntenseEmphasis">
    <w:name w:val="Intense Emphasis"/>
    <w:basedOn w:val="DefaultParagraphFont"/>
    <w:uiPriority w:val="21"/>
    <w:qFormat/>
    <w:rsid w:val="00243142"/>
    <w:rPr>
      <w:i/>
      <w:iCs/>
      <w:color w:val="0F4761" w:themeColor="accent1" w:themeShade="BF"/>
    </w:rPr>
  </w:style>
  <w:style w:type="paragraph" w:styleId="IntenseQuote">
    <w:name w:val="Intense Quote"/>
    <w:basedOn w:val="Normal"/>
    <w:next w:val="Normal"/>
    <w:link w:val="IntenseQuoteChar"/>
    <w:uiPriority w:val="30"/>
    <w:qFormat/>
    <w:rsid w:val="00243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142"/>
    <w:rPr>
      <w:i/>
      <w:iCs/>
      <w:color w:val="0F4761" w:themeColor="accent1" w:themeShade="BF"/>
    </w:rPr>
  </w:style>
  <w:style w:type="character" w:styleId="IntenseReference">
    <w:name w:val="Intense Reference"/>
    <w:basedOn w:val="DefaultParagraphFont"/>
    <w:uiPriority w:val="32"/>
    <w:qFormat/>
    <w:rsid w:val="00243142"/>
    <w:rPr>
      <w:b/>
      <w:bCs/>
      <w:smallCaps/>
      <w:color w:val="0F4761" w:themeColor="accent1" w:themeShade="BF"/>
      <w:spacing w:val="5"/>
    </w:rPr>
  </w:style>
  <w:style w:type="paragraph" w:styleId="NoSpacing">
    <w:name w:val="No Spacing"/>
    <w:link w:val="NoSpacingChar"/>
    <w:uiPriority w:val="1"/>
    <w:qFormat/>
    <w:rsid w:val="00146A7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6A7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94E1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94E1A"/>
    <w:pPr>
      <w:spacing w:after="100"/>
    </w:pPr>
  </w:style>
  <w:style w:type="character" w:styleId="Hyperlink">
    <w:name w:val="Hyperlink"/>
    <w:basedOn w:val="DefaultParagraphFont"/>
    <w:uiPriority w:val="99"/>
    <w:unhideWhenUsed/>
    <w:rsid w:val="00494E1A"/>
    <w:rPr>
      <w:color w:val="467886" w:themeColor="hyperlink"/>
      <w:u w:val="single"/>
    </w:rPr>
  </w:style>
  <w:style w:type="paragraph" w:styleId="Header">
    <w:name w:val="header"/>
    <w:basedOn w:val="Normal"/>
    <w:link w:val="HeaderChar"/>
    <w:uiPriority w:val="99"/>
    <w:unhideWhenUsed/>
    <w:rsid w:val="00872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6B0"/>
  </w:style>
  <w:style w:type="paragraph" w:styleId="Footer">
    <w:name w:val="footer"/>
    <w:basedOn w:val="Normal"/>
    <w:link w:val="FooterChar"/>
    <w:uiPriority w:val="99"/>
    <w:unhideWhenUsed/>
    <w:rsid w:val="00872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6B0"/>
  </w:style>
  <w:style w:type="paragraph" w:styleId="TOC2">
    <w:name w:val="toc 2"/>
    <w:basedOn w:val="Normal"/>
    <w:next w:val="Normal"/>
    <w:autoRedefine/>
    <w:uiPriority w:val="39"/>
    <w:unhideWhenUsed/>
    <w:rsid w:val="0059685B"/>
    <w:pPr>
      <w:spacing w:after="100"/>
      <w:ind w:left="240"/>
    </w:pPr>
  </w:style>
  <w:style w:type="paragraph" w:styleId="TOC3">
    <w:name w:val="toc 3"/>
    <w:basedOn w:val="Normal"/>
    <w:next w:val="Normal"/>
    <w:autoRedefine/>
    <w:uiPriority w:val="39"/>
    <w:unhideWhenUsed/>
    <w:rsid w:val="004C6B69"/>
    <w:pPr>
      <w:spacing w:after="100"/>
      <w:ind w:left="480"/>
    </w:pPr>
  </w:style>
  <w:style w:type="character" w:styleId="UnresolvedMention">
    <w:name w:val="Unresolved Mention"/>
    <w:basedOn w:val="DefaultParagraphFont"/>
    <w:uiPriority w:val="99"/>
    <w:semiHidden/>
    <w:unhideWhenUsed/>
    <w:rsid w:val="00717C54"/>
    <w:rPr>
      <w:color w:val="605E5C"/>
      <w:shd w:val="clear" w:color="auto" w:fill="E1DFDD"/>
    </w:rPr>
  </w:style>
  <w:style w:type="table" w:styleId="TableGrid">
    <w:name w:val="Table Grid"/>
    <w:basedOn w:val="TableNormal"/>
    <w:uiPriority w:val="39"/>
    <w:rsid w:val="00A24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A24A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A24A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4">
    <w:name w:val="Grid Table 3 Accent 4"/>
    <w:basedOn w:val="TableNormal"/>
    <w:uiPriority w:val="48"/>
    <w:rsid w:val="00A24AF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08F0BC7A7F943CBAF4EEB9CF1993BBF"/>
        <w:category>
          <w:name w:val="General"/>
          <w:gallery w:val="placeholder"/>
        </w:category>
        <w:types>
          <w:type w:val="bbPlcHdr"/>
        </w:types>
        <w:behaviors>
          <w:behavior w:val="content"/>
        </w:behaviors>
        <w:guid w:val="{44E33E46-0E45-492F-883D-FA05B2A5523E}"/>
      </w:docPartPr>
      <w:docPartBody>
        <w:p w:rsidR="007B5ED9" w:rsidRDefault="00A615DB" w:rsidP="00A615DB">
          <w:pPr>
            <w:pStyle w:val="208F0BC7A7F943CBAF4EEB9CF1993BBF"/>
          </w:pPr>
          <w:r>
            <w:rPr>
              <w:rFonts w:asciiTheme="majorHAnsi" w:eastAsiaTheme="majorEastAsia" w:hAnsiTheme="majorHAnsi" w:cstheme="majorBidi"/>
              <w:caps/>
              <w:color w:val="156082" w:themeColor="accent1"/>
              <w:sz w:val="80"/>
              <w:szCs w:val="80"/>
            </w:rPr>
            <w:t>[Document title]</w:t>
          </w:r>
        </w:p>
      </w:docPartBody>
    </w:docPart>
    <w:docPart>
      <w:docPartPr>
        <w:name w:val="516604C863134E3D9FC436737B305116"/>
        <w:category>
          <w:name w:val="General"/>
          <w:gallery w:val="placeholder"/>
        </w:category>
        <w:types>
          <w:type w:val="bbPlcHdr"/>
        </w:types>
        <w:behaviors>
          <w:behavior w:val="content"/>
        </w:behaviors>
        <w:guid w:val="{C4C9C9A8-CA69-4999-8FD5-F7849183BF27}"/>
      </w:docPartPr>
      <w:docPartBody>
        <w:p w:rsidR="007B5ED9" w:rsidRDefault="00A615DB" w:rsidP="00A615DB">
          <w:pPr>
            <w:pStyle w:val="516604C863134E3D9FC436737B30511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DB"/>
    <w:rsid w:val="000E3A4E"/>
    <w:rsid w:val="005C6EC0"/>
    <w:rsid w:val="007B5ED9"/>
    <w:rsid w:val="00831346"/>
    <w:rsid w:val="00A615DB"/>
    <w:rsid w:val="00AF4F5C"/>
    <w:rsid w:val="00D26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8F0BC7A7F943CBAF4EEB9CF1993BBF">
    <w:name w:val="208F0BC7A7F943CBAF4EEB9CF1993BBF"/>
    <w:rsid w:val="00A615DB"/>
  </w:style>
  <w:style w:type="paragraph" w:customStyle="1" w:styleId="516604C863134E3D9FC436737B305116">
    <w:name w:val="516604C863134E3D9FC436737B305116"/>
    <w:rsid w:val="00A615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International Financial Management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F7CA7C-804B-4765-AB17-13D1F692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BA Business Management</vt:lpstr>
    </vt:vector>
  </TitlesOfParts>
  <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dc:title>
  <dc:subject>Management Economics</dc:subject>
  <dc:creator>Daniela Sava (2028792)</dc:creator>
  <cp:keywords/>
  <dc:description/>
  <cp:lastModifiedBy>Igor Balan</cp:lastModifiedBy>
  <cp:revision>2</cp:revision>
  <dcterms:created xsi:type="dcterms:W3CDTF">2024-10-28T00:47:00Z</dcterms:created>
  <dcterms:modified xsi:type="dcterms:W3CDTF">2024-10-28T00:47:00Z</dcterms:modified>
</cp:coreProperties>
</file>