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3980289"/>
        <w:docPartObj>
          <w:docPartGallery w:val="Cover Pages"/>
          <w:docPartUnique/>
        </w:docPartObj>
      </w:sdtPr>
      <w:sdtEndPr/>
      <w:sdtContent>
        <w:p w14:paraId="2A09DD69" w14:textId="2FEB3252" w:rsidR="00926C4D" w:rsidRDefault="00926C4D">
          <w:r>
            <w:rPr>
              <w:noProof/>
            </w:rPr>
            <mc:AlternateContent>
              <mc:Choice Requires="wps">
                <w:drawing>
                  <wp:anchor distT="0" distB="0" distL="114300" distR="114300" simplePos="0" relativeHeight="251663360" behindDoc="1" locked="0" layoutInCell="1" allowOverlap="1" wp14:anchorId="451BCFB2" wp14:editId="5C102FF1">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B25DE7E" w14:textId="77777777" w:rsidR="00926C4D" w:rsidRDefault="00926C4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1BCFB2"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0B25DE7E" w14:textId="77777777" w:rsidR="00926C4D" w:rsidRDefault="00926C4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00012F2" wp14:editId="6DE391F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D648DC" w14:textId="455C18AE" w:rsidR="00926C4D" w:rsidRDefault="00926C4D">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00012F2" id="Rectangle 259"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7BD648DC" w14:textId="455C18AE" w:rsidR="00926C4D" w:rsidRDefault="00926C4D">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E62EE6B" wp14:editId="4461624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416E388"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704FF3C" wp14:editId="45C083C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E6CF794"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1166312D" w14:textId="6CF6368C" w:rsidR="00926C4D" w:rsidRDefault="00663238">
          <w:r>
            <w:rPr>
              <w:noProof/>
            </w:rPr>
            <mc:AlternateContent>
              <mc:Choice Requires="wps">
                <w:drawing>
                  <wp:anchor distT="0" distB="0" distL="114300" distR="114300" simplePos="0" relativeHeight="251664384" behindDoc="0" locked="0" layoutInCell="1" allowOverlap="1" wp14:anchorId="577FCF3F" wp14:editId="430E90BF">
                    <wp:simplePos x="0" y="0"/>
                    <wp:positionH relativeFrom="page">
                      <wp:posOffset>3451006</wp:posOffset>
                    </wp:positionH>
                    <wp:positionV relativeFrom="page">
                      <wp:posOffset>6201191</wp:posOffset>
                    </wp:positionV>
                    <wp:extent cx="2797810" cy="1134879"/>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1134879"/>
                            </a:xfrm>
                            <a:prstGeom prst="rect">
                              <a:avLst/>
                            </a:prstGeom>
                            <a:noFill/>
                            <a:ln w="6350">
                              <a:noFill/>
                            </a:ln>
                            <a:effectLst/>
                          </wps:spPr>
                          <wps:txbx>
                            <w:txbxContent>
                              <w:p w14:paraId="13DA011A" w14:textId="57D6DAAC" w:rsidR="00DB7382" w:rsidRDefault="00DB7382">
                                <w:pPr>
                                  <w:pStyle w:val="NoSpacing"/>
                                  <w:rPr>
                                    <w:noProof/>
                                    <w:color w:val="0E2841" w:themeColor="text2"/>
                                  </w:rPr>
                                </w:pPr>
                                <w:r>
                                  <w:rPr>
                                    <w:noProof/>
                                    <w:color w:val="0E2841" w:themeColor="text2"/>
                                  </w:rPr>
                                  <w:t xml:space="preserve">Module Name </w:t>
                                </w:r>
                                <w:r w:rsidR="006C5BC4">
                                  <w:rPr>
                                    <w:noProof/>
                                    <w:color w:val="0E2841" w:themeColor="text2"/>
                                  </w:rPr>
                                  <w:t xml:space="preserve">and Code: </w:t>
                                </w:r>
                                <w:r w:rsidR="003C67A4">
                                  <w:rPr>
                                    <w:noProof/>
                                    <w:color w:val="0E2841" w:themeColor="text2"/>
                                  </w:rPr>
                                  <w:t>Project Management</w:t>
                                </w:r>
                                <w:r w:rsidR="00FE14D5">
                                  <w:rPr>
                                    <w:noProof/>
                                    <w:color w:val="0E2841" w:themeColor="text2"/>
                                  </w:rPr>
                                  <w:t xml:space="preserve"> - </w:t>
                                </w:r>
                                <w:r w:rsidR="00682BFE">
                                  <w:rPr>
                                    <w:noProof/>
                                    <w:color w:val="0E2841" w:themeColor="text2"/>
                                  </w:rPr>
                                  <w:t>LCBB</w:t>
                                </w:r>
                                <w:r w:rsidR="00FE14D5">
                                  <w:rPr>
                                    <w:noProof/>
                                    <w:color w:val="0E2841" w:themeColor="text2"/>
                                  </w:rPr>
                                  <w:t>6006</w:t>
                                </w:r>
                              </w:p>
                              <w:p w14:paraId="034672CE" w14:textId="421085D7" w:rsidR="006C5BC4" w:rsidRDefault="006C5BC4">
                                <w:pPr>
                                  <w:pStyle w:val="NoSpacing"/>
                                  <w:rPr>
                                    <w:noProof/>
                                    <w:color w:val="0E2841" w:themeColor="text2"/>
                                  </w:rPr>
                                </w:pPr>
                                <w:r>
                                  <w:rPr>
                                    <w:noProof/>
                                    <w:color w:val="0E2841" w:themeColor="text2"/>
                                  </w:rPr>
                                  <w:t>Student Name and ID</w:t>
                                </w:r>
                                <w:r w:rsidR="00FE14D5">
                                  <w:rPr>
                                    <w:noProof/>
                                    <w:color w:val="0E2841" w:themeColor="text2"/>
                                  </w:rPr>
                                  <w:t xml:space="preserve">: Roland Mihai Baba </w:t>
                                </w:r>
                                <w:r w:rsidR="003E1E09">
                                  <w:rPr>
                                    <w:noProof/>
                                    <w:color w:val="0E2841" w:themeColor="text2"/>
                                  </w:rPr>
                                  <w:t>–</w:t>
                                </w:r>
                                <w:r w:rsidR="00FE14D5">
                                  <w:rPr>
                                    <w:noProof/>
                                    <w:color w:val="0E2841" w:themeColor="text2"/>
                                  </w:rPr>
                                  <w:t xml:space="preserve"> </w:t>
                                </w:r>
                                <w:r w:rsidR="003E1E09">
                                  <w:rPr>
                                    <w:noProof/>
                                    <w:color w:val="0E2841" w:themeColor="text2"/>
                                  </w:rPr>
                                  <w:t>2216968</w:t>
                                </w:r>
                              </w:p>
                              <w:p w14:paraId="13635D9A" w14:textId="77777777" w:rsidR="003E1E09" w:rsidRDefault="003E1E09">
                                <w:pPr>
                                  <w:pStyle w:val="NoSpacing"/>
                                  <w:rPr>
                                    <w:noProof/>
                                    <w:color w:val="0E2841" w:themeColor="text2"/>
                                  </w:rPr>
                                </w:pPr>
                              </w:p>
                              <w:p w14:paraId="787EC13A" w14:textId="77777777" w:rsidR="003E1E09" w:rsidRDefault="003E1E09">
                                <w:pPr>
                                  <w:pStyle w:val="NoSpacing"/>
                                  <w:rPr>
                                    <w:noProof/>
                                    <w:color w:val="0E2841"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577FCF3F" id="_x0000_t202" coordsize="21600,21600" o:spt="202" path="m,l,21600r21600,l21600,xe">
                    <v:stroke joinstyle="miter"/>
                    <v:path gradientshapeok="t" o:connecttype="rect"/>
                  </v:shapetype>
                  <v:shape id="Text Box 255" o:spid="_x0000_s1028" type="#_x0000_t202" style="position:absolute;margin-left:271.75pt;margin-top:488.3pt;width:220.3pt;height:89.3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" filled="f" stroked="f" strokeweight=".5pt">
                    <v:textbox>
                      <w:txbxContent>
                        <w:p w14:paraId="13DA011A" w14:textId="57D6DAAC" w:rsidR="00DB7382" w:rsidRDefault="00DB7382">
                          <w:pPr>
                            <w:pStyle w:val="NoSpacing"/>
                            <w:rPr>
                              <w:noProof/>
                              <w:color w:val="0E2841" w:themeColor="text2"/>
                            </w:rPr>
                          </w:pPr>
                          <w:r>
                            <w:rPr>
                              <w:noProof/>
                              <w:color w:val="0E2841" w:themeColor="text2"/>
                            </w:rPr>
                            <w:t xml:space="preserve">Module Name </w:t>
                          </w:r>
                          <w:r w:rsidR="006C5BC4">
                            <w:rPr>
                              <w:noProof/>
                              <w:color w:val="0E2841" w:themeColor="text2"/>
                            </w:rPr>
                            <w:t xml:space="preserve">and Code: </w:t>
                          </w:r>
                          <w:r w:rsidR="003C67A4">
                            <w:rPr>
                              <w:noProof/>
                              <w:color w:val="0E2841" w:themeColor="text2"/>
                            </w:rPr>
                            <w:t>Project Management</w:t>
                          </w:r>
                          <w:r w:rsidR="00FE14D5">
                            <w:rPr>
                              <w:noProof/>
                              <w:color w:val="0E2841" w:themeColor="text2"/>
                            </w:rPr>
                            <w:t xml:space="preserve"> - </w:t>
                          </w:r>
                          <w:r w:rsidR="00682BFE">
                            <w:rPr>
                              <w:noProof/>
                              <w:color w:val="0E2841" w:themeColor="text2"/>
                            </w:rPr>
                            <w:t>LCBB</w:t>
                          </w:r>
                          <w:r w:rsidR="00FE14D5">
                            <w:rPr>
                              <w:noProof/>
                              <w:color w:val="0E2841" w:themeColor="text2"/>
                            </w:rPr>
                            <w:t>6006</w:t>
                          </w:r>
                        </w:p>
                        <w:p w14:paraId="034672CE" w14:textId="421085D7" w:rsidR="006C5BC4" w:rsidRDefault="006C5BC4">
                          <w:pPr>
                            <w:pStyle w:val="NoSpacing"/>
                            <w:rPr>
                              <w:noProof/>
                              <w:color w:val="0E2841" w:themeColor="text2"/>
                            </w:rPr>
                          </w:pPr>
                          <w:r>
                            <w:rPr>
                              <w:noProof/>
                              <w:color w:val="0E2841" w:themeColor="text2"/>
                            </w:rPr>
                            <w:t>Student Name and ID</w:t>
                          </w:r>
                          <w:r w:rsidR="00FE14D5">
                            <w:rPr>
                              <w:noProof/>
                              <w:color w:val="0E2841" w:themeColor="text2"/>
                            </w:rPr>
                            <w:t xml:space="preserve">: Roland Mihai Baba </w:t>
                          </w:r>
                          <w:r w:rsidR="003E1E09">
                            <w:rPr>
                              <w:noProof/>
                              <w:color w:val="0E2841" w:themeColor="text2"/>
                            </w:rPr>
                            <w:t>–</w:t>
                          </w:r>
                          <w:r w:rsidR="00FE14D5">
                            <w:rPr>
                              <w:noProof/>
                              <w:color w:val="0E2841" w:themeColor="text2"/>
                            </w:rPr>
                            <w:t xml:space="preserve"> </w:t>
                          </w:r>
                          <w:r w:rsidR="003E1E09">
                            <w:rPr>
                              <w:noProof/>
                              <w:color w:val="0E2841" w:themeColor="text2"/>
                            </w:rPr>
                            <w:t>2216968</w:t>
                          </w:r>
                        </w:p>
                        <w:p w14:paraId="13635D9A" w14:textId="77777777" w:rsidR="003E1E09" w:rsidRDefault="003E1E09">
                          <w:pPr>
                            <w:pStyle w:val="NoSpacing"/>
                            <w:rPr>
                              <w:noProof/>
                              <w:color w:val="0E2841" w:themeColor="text2"/>
                            </w:rPr>
                          </w:pPr>
                        </w:p>
                        <w:p w14:paraId="787EC13A" w14:textId="77777777" w:rsidR="003E1E09" w:rsidRDefault="003E1E09">
                          <w:pPr>
                            <w:pStyle w:val="NoSpacing"/>
                            <w:rPr>
                              <w:noProof/>
                              <w:color w:val="0E2841" w:themeColor="text2"/>
                            </w:rPr>
                          </w:pPr>
                        </w:p>
                      </w:txbxContent>
                    </v:textbox>
                    <w10:wrap type="square" anchorx="page" anchory="page"/>
                  </v:shape>
                </w:pict>
              </mc:Fallback>
            </mc:AlternateContent>
          </w:r>
          <w:r w:rsidR="00FA6CC8">
            <w:rPr>
              <w:noProof/>
            </w:rPr>
            <mc:AlternateContent>
              <mc:Choice Requires="wps">
                <w:drawing>
                  <wp:anchor distT="0" distB="0" distL="114300" distR="114300" simplePos="0" relativeHeight="251661312" behindDoc="0" locked="0" layoutInCell="1" allowOverlap="1" wp14:anchorId="058C411D" wp14:editId="75B2958C">
                    <wp:simplePos x="0" y="0"/>
                    <wp:positionH relativeFrom="page">
                      <wp:posOffset>3286340</wp:posOffset>
                    </wp:positionH>
                    <wp:positionV relativeFrom="page">
                      <wp:posOffset>3740102</wp:posOffset>
                    </wp:positionV>
                    <wp:extent cx="3114164"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3114164" cy="2475230"/>
                            </a:xfrm>
                            <a:prstGeom prst="rect">
                              <a:avLst/>
                            </a:prstGeom>
                            <a:noFill/>
                            <a:ln w="6350">
                              <a:noFill/>
                            </a:ln>
                            <a:effectLst/>
                          </wps:spPr>
                          <wps:txbx>
                            <w:txbxContent>
                              <w:sdt>
                                <w:sdtPr>
                                  <w:rPr>
                                    <w:rFonts w:eastAsiaTheme="majorEastAsia"/>
                                    <w:noProof/>
                                    <w:color w:val="156082"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454596F" w14:textId="48E26663" w:rsidR="00926C4D" w:rsidRDefault="00FA6CC8">
                                    <w:pPr>
                                      <w:spacing w:line="240" w:lineRule="auto"/>
                                      <w:rPr>
                                        <w:rFonts w:asciiTheme="majorHAnsi" w:eastAsiaTheme="majorEastAsia" w:hAnsiTheme="majorHAnsi" w:cstheme="majorBidi"/>
                                        <w:noProof/>
                                        <w:color w:val="156082" w:themeColor="accent1"/>
                                        <w:sz w:val="72"/>
                                        <w:szCs w:val="144"/>
                                      </w:rPr>
                                    </w:pPr>
                                    <w:r w:rsidRPr="00FA6CC8">
                                      <w:rPr>
                                        <w:rFonts w:eastAsiaTheme="majorEastAsia"/>
                                        <w:noProof/>
                                        <w:color w:val="156082" w:themeColor="accent1"/>
                                        <w:sz w:val="36"/>
                                        <w:szCs w:val="36"/>
                                      </w:rPr>
                                      <w:t>Four Contracting Methods in Project Management: Their Advantages and Disadvantages</w:t>
                                    </w:r>
                                  </w:p>
                                </w:sdtContent>
                              </w:sdt>
                              <w:sdt>
                                <w:sdtPr>
                                  <w:rPr>
                                    <w:rFonts w:eastAsiaTheme="majorEastAsia"/>
                                    <w:noProof/>
                                    <w:color w:val="0E2841" w:themeColor="text2"/>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2F7F859" w14:textId="784E3055" w:rsidR="00926C4D" w:rsidRDefault="00FA6CC8">
                                    <w:pPr>
                                      <w:rPr>
                                        <w:rFonts w:asciiTheme="majorHAnsi" w:eastAsiaTheme="majorEastAsia" w:hAnsiTheme="majorHAnsi" w:cstheme="majorBidi"/>
                                        <w:noProof/>
                                        <w:color w:val="0E2841" w:themeColor="text2"/>
                                        <w:sz w:val="32"/>
                                        <w:szCs w:val="40"/>
                                      </w:rPr>
                                    </w:pPr>
                                    <w:r w:rsidRPr="00FA6CC8">
                                      <w:rPr>
                                        <w:rFonts w:eastAsiaTheme="majorEastAsia"/>
                                        <w:noProof/>
                                        <w:color w:val="0E2841" w:themeColor="text2"/>
                                        <w:sz w:val="44"/>
                                        <w:szCs w:val="44"/>
                                      </w:rPr>
                                      <w:t>Essay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058C411D" id="Text Box 265" o:spid="_x0000_s1029" type="#_x0000_t202" style="position:absolute;margin-left:258.75pt;margin-top:294.5pt;width:245.2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" filled="f" stroked="f" strokeweight=".5pt">
                    <v:textbox style="mso-fit-shape-to-text:t">
                      <w:txbxContent>
                        <w:sdt>
                          <w:sdtPr>
                            <w:rPr>
                              <w:rFonts w:eastAsiaTheme="majorEastAsia"/>
                              <w:noProof/>
                              <w:color w:val="156082"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454596F" w14:textId="48E26663" w:rsidR="00926C4D" w:rsidRDefault="00FA6CC8">
                              <w:pPr>
                                <w:spacing w:line="240" w:lineRule="auto"/>
                                <w:rPr>
                                  <w:rFonts w:asciiTheme="majorHAnsi" w:eastAsiaTheme="majorEastAsia" w:hAnsiTheme="majorHAnsi" w:cstheme="majorBidi"/>
                                  <w:noProof/>
                                  <w:color w:val="156082" w:themeColor="accent1"/>
                                  <w:sz w:val="72"/>
                                  <w:szCs w:val="144"/>
                                </w:rPr>
                              </w:pPr>
                              <w:r w:rsidRPr="00FA6CC8">
                                <w:rPr>
                                  <w:rFonts w:eastAsiaTheme="majorEastAsia"/>
                                  <w:noProof/>
                                  <w:color w:val="156082" w:themeColor="accent1"/>
                                  <w:sz w:val="36"/>
                                  <w:szCs w:val="36"/>
                                </w:rPr>
                                <w:t>Four Contracting Methods in Project Management: Their Advantages and Disadvantages</w:t>
                              </w:r>
                            </w:p>
                          </w:sdtContent>
                        </w:sdt>
                        <w:sdt>
                          <w:sdtPr>
                            <w:rPr>
                              <w:rFonts w:eastAsiaTheme="majorEastAsia"/>
                              <w:noProof/>
                              <w:color w:val="0E2841" w:themeColor="text2"/>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2F7F859" w14:textId="784E3055" w:rsidR="00926C4D" w:rsidRDefault="00FA6CC8">
                              <w:pPr>
                                <w:rPr>
                                  <w:rFonts w:asciiTheme="majorHAnsi" w:eastAsiaTheme="majorEastAsia" w:hAnsiTheme="majorHAnsi" w:cstheme="majorBidi"/>
                                  <w:noProof/>
                                  <w:color w:val="0E2841" w:themeColor="text2"/>
                                  <w:sz w:val="32"/>
                                  <w:szCs w:val="40"/>
                                </w:rPr>
                              </w:pPr>
                              <w:r w:rsidRPr="00FA6CC8">
                                <w:rPr>
                                  <w:rFonts w:eastAsiaTheme="majorEastAsia"/>
                                  <w:noProof/>
                                  <w:color w:val="0E2841" w:themeColor="text2"/>
                                  <w:sz w:val="44"/>
                                  <w:szCs w:val="44"/>
                                </w:rPr>
                                <w:t>Essay</w:t>
                              </w:r>
                            </w:p>
                          </w:sdtContent>
                        </w:sdt>
                      </w:txbxContent>
                    </v:textbox>
                    <w10:wrap type="square" anchorx="page" anchory="page"/>
                  </v:shape>
                </w:pict>
              </mc:Fallback>
            </mc:AlternateContent>
          </w:r>
          <w:r w:rsidR="00926C4D">
            <w:br w:type="page"/>
          </w:r>
        </w:p>
      </w:sdtContent>
    </w:sdt>
    <w:sdt>
      <w:sdtPr>
        <w:rPr>
          <w:rFonts w:ascii="Arial" w:eastAsiaTheme="minorHAnsi" w:hAnsi="Arial" w:cs="Arial"/>
          <w:color w:val="auto"/>
          <w:sz w:val="22"/>
          <w:szCs w:val="22"/>
          <w:lang w:val="en-GB"/>
        </w:rPr>
        <w:id w:val="1207914065"/>
        <w:docPartObj>
          <w:docPartGallery w:val="Table of Contents"/>
          <w:docPartUnique/>
        </w:docPartObj>
      </w:sdtPr>
      <w:sdtEndPr>
        <w:rPr>
          <w:b/>
          <w:bCs/>
          <w:noProof/>
        </w:rPr>
      </w:sdtEndPr>
      <w:sdtContent>
        <w:p w14:paraId="5772B8B7" w14:textId="09C34A23" w:rsidR="007C63EB" w:rsidRDefault="007C63EB">
          <w:pPr>
            <w:pStyle w:val="TOCHeading"/>
          </w:pPr>
          <w:r>
            <w:t>Table of Contents</w:t>
          </w:r>
        </w:p>
        <w:p w14:paraId="589F27C0" w14:textId="0EAB518E" w:rsidR="00020A5D" w:rsidRDefault="007C63E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4440911" w:history="1">
            <w:r w:rsidR="00020A5D" w:rsidRPr="00100A8B">
              <w:rPr>
                <w:rStyle w:val="Hyperlink"/>
                <w:noProof/>
              </w:rPr>
              <w:t>1.</w:t>
            </w:r>
            <w:r w:rsidR="00020A5D">
              <w:rPr>
                <w:rFonts w:asciiTheme="minorHAnsi" w:eastAsiaTheme="minorEastAsia" w:hAnsiTheme="minorHAnsi" w:cstheme="minorBidi"/>
                <w:noProof/>
                <w:kern w:val="2"/>
                <w:sz w:val="24"/>
                <w:szCs w:val="24"/>
                <w:lang w:eastAsia="en-GB"/>
                <w14:ligatures w14:val="standardContextual"/>
              </w:rPr>
              <w:tab/>
            </w:r>
            <w:r w:rsidR="00020A5D" w:rsidRPr="00100A8B">
              <w:rPr>
                <w:rStyle w:val="Hyperlink"/>
                <w:noProof/>
              </w:rPr>
              <w:t>Introduction</w:t>
            </w:r>
            <w:r w:rsidR="00020A5D">
              <w:rPr>
                <w:noProof/>
                <w:webHidden/>
              </w:rPr>
              <w:tab/>
            </w:r>
            <w:r w:rsidR="00020A5D">
              <w:rPr>
                <w:noProof/>
                <w:webHidden/>
              </w:rPr>
              <w:fldChar w:fldCharType="begin"/>
            </w:r>
            <w:r w:rsidR="00020A5D">
              <w:rPr>
                <w:noProof/>
                <w:webHidden/>
              </w:rPr>
              <w:instrText xml:space="preserve"> PAGEREF _Toc214440911 \h </w:instrText>
            </w:r>
            <w:r w:rsidR="00020A5D">
              <w:rPr>
                <w:noProof/>
                <w:webHidden/>
              </w:rPr>
            </w:r>
            <w:r w:rsidR="00020A5D">
              <w:rPr>
                <w:noProof/>
                <w:webHidden/>
              </w:rPr>
              <w:fldChar w:fldCharType="separate"/>
            </w:r>
            <w:r w:rsidR="00020A5D">
              <w:rPr>
                <w:noProof/>
                <w:webHidden/>
              </w:rPr>
              <w:t>2</w:t>
            </w:r>
            <w:r w:rsidR="00020A5D">
              <w:rPr>
                <w:noProof/>
                <w:webHidden/>
              </w:rPr>
              <w:fldChar w:fldCharType="end"/>
            </w:r>
          </w:hyperlink>
        </w:p>
        <w:p w14:paraId="6CC4DAB2" w14:textId="72B0A02F" w:rsidR="00020A5D" w:rsidRDefault="00020A5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12" w:history="1">
            <w:r w:rsidRPr="00100A8B">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Turnkey Contracting</w:t>
            </w:r>
            <w:r>
              <w:rPr>
                <w:noProof/>
                <w:webHidden/>
              </w:rPr>
              <w:tab/>
            </w:r>
            <w:r>
              <w:rPr>
                <w:noProof/>
                <w:webHidden/>
              </w:rPr>
              <w:fldChar w:fldCharType="begin"/>
            </w:r>
            <w:r>
              <w:rPr>
                <w:noProof/>
                <w:webHidden/>
              </w:rPr>
              <w:instrText xml:space="preserve"> PAGEREF _Toc214440912 \h </w:instrText>
            </w:r>
            <w:r>
              <w:rPr>
                <w:noProof/>
                <w:webHidden/>
              </w:rPr>
            </w:r>
            <w:r>
              <w:rPr>
                <w:noProof/>
                <w:webHidden/>
              </w:rPr>
              <w:fldChar w:fldCharType="separate"/>
            </w:r>
            <w:r>
              <w:rPr>
                <w:noProof/>
                <w:webHidden/>
              </w:rPr>
              <w:t>3</w:t>
            </w:r>
            <w:r>
              <w:rPr>
                <w:noProof/>
                <w:webHidden/>
              </w:rPr>
              <w:fldChar w:fldCharType="end"/>
            </w:r>
          </w:hyperlink>
        </w:p>
        <w:p w14:paraId="5706D8B9" w14:textId="3DC3950F" w:rsidR="00020A5D" w:rsidRDefault="00020A5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13" w:history="1">
            <w:r w:rsidRPr="00100A8B">
              <w:rPr>
                <w:rStyle w:val="Hyperlink"/>
                <w:noProof/>
              </w:rPr>
              <w:t>2.1.</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Advantages of Turnkey Contracting</w:t>
            </w:r>
            <w:r>
              <w:rPr>
                <w:noProof/>
                <w:webHidden/>
              </w:rPr>
              <w:tab/>
            </w:r>
            <w:r>
              <w:rPr>
                <w:noProof/>
                <w:webHidden/>
              </w:rPr>
              <w:fldChar w:fldCharType="begin"/>
            </w:r>
            <w:r>
              <w:rPr>
                <w:noProof/>
                <w:webHidden/>
              </w:rPr>
              <w:instrText xml:space="preserve"> PAGEREF _Toc214440913 \h </w:instrText>
            </w:r>
            <w:r>
              <w:rPr>
                <w:noProof/>
                <w:webHidden/>
              </w:rPr>
            </w:r>
            <w:r>
              <w:rPr>
                <w:noProof/>
                <w:webHidden/>
              </w:rPr>
              <w:fldChar w:fldCharType="separate"/>
            </w:r>
            <w:r>
              <w:rPr>
                <w:noProof/>
                <w:webHidden/>
              </w:rPr>
              <w:t>3</w:t>
            </w:r>
            <w:r>
              <w:rPr>
                <w:noProof/>
                <w:webHidden/>
              </w:rPr>
              <w:fldChar w:fldCharType="end"/>
            </w:r>
          </w:hyperlink>
        </w:p>
        <w:p w14:paraId="3CB50700" w14:textId="399094F0" w:rsidR="00020A5D" w:rsidRDefault="00020A5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14" w:history="1">
            <w:r w:rsidRPr="00100A8B">
              <w:rPr>
                <w:rStyle w:val="Hyperlink"/>
                <w:noProof/>
              </w:rPr>
              <w:t>2.2.</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Disadvantages of Turnkey Contracting</w:t>
            </w:r>
            <w:r>
              <w:rPr>
                <w:noProof/>
                <w:webHidden/>
              </w:rPr>
              <w:tab/>
            </w:r>
            <w:r>
              <w:rPr>
                <w:noProof/>
                <w:webHidden/>
              </w:rPr>
              <w:fldChar w:fldCharType="begin"/>
            </w:r>
            <w:r>
              <w:rPr>
                <w:noProof/>
                <w:webHidden/>
              </w:rPr>
              <w:instrText xml:space="preserve"> PAGEREF _Toc214440914 \h </w:instrText>
            </w:r>
            <w:r>
              <w:rPr>
                <w:noProof/>
                <w:webHidden/>
              </w:rPr>
            </w:r>
            <w:r>
              <w:rPr>
                <w:noProof/>
                <w:webHidden/>
              </w:rPr>
              <w:fldChar w:fldCharType="separate"/>
            </w:r>
            <w:r>
              <w:rPr>
                <w:noProof/>
                <w:webHidden/>
              </w:rPr>
              <w:t>3</w:t>
            </w:r>
            <w:r>
              <w:rPr>
                <w:noProof/>
                <w:webHidden/>
              </w:rPr>
              <w:fldChar w:fldCharType="end"/>
            </w:r>
          </w:hyperlink>
        </w:p>
        <w:p w14:paraId="07DA6405" w14:textId="160845AF" w:rsidR="00020A5D" w:rsidRDefault="00020A5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15" w:history="1">
            <w:r w:rsidRPr="00100A8B">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Multicontract Contracting</w:t>
            </w:r>
            <w:r>
              <w:rPr>
                <w:noProof/>
                <w:webHidden/>
              </w:rPr>
              <w:tab/>
            </w:r>
            <w:r>
              <w:rPr>
                <w:noProof/>
                <w:webHidden/>
              </w:rPr>
              <w:fldChar w:fldCharType="begin"/>
            </w:r>
            <w:r>
              <w:rPr>
                <w:noProof/>
                <w:webHidden/>
              </w:rPr>
              <w:instrText xml:space="preserve"> PAGEREF _Toc214440915 \h </w:instrText>
            </w:r>
            <w:r>
              <w:rPr>
                <w:noProof/>
                <w:webHidden/>
              </w:rPr>
            </w:r>
            <w:r>
              <w:rPr>
                <w:noProof/>
                <w:webHidden/>
              </w:rPr>
              <w:fldChar w:fldCharType="separate"/>
            </w:r>
            <w:r>
              <w:rPr>
                <w:noProof/>
                <w:webHidden/>
              </w:rPr>
              <w:t>4</w:t>
            </w:r>
            <w:r>
              <w:rPr>
                <w:noProof/>
                <w:webHidden/>
              </w:rPr>
              <w:fldChar w:fldCharType="end"/>
            </w:r>
          </w:hyperlink>
        </w:p>
        <w:p w14:paraId="603BBF33" w14:textId="23E0F29A" w:rsidR="00020A5D" w:rsidRDefault="00020A5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16" w:history="1">
            <w:r w:rsidRPr="00100A8B">
              <w:rPr>
                <w:rStyle w:val="Hyperlink"/>
                <w:noProof/>
              </w:rPr>
              <w:t>3.1.</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Advantages of Multicontract Contracting</w:t>
            </w:r>
            <w:r>
              <w:rPr>
                <w:noProof/>
                <w:webHidden/>
              </w:rPr>
              <w:tab/>
            </w:r>
            <w:r>
              <w:rPr>
                <w:noProof/>
                <w:webHidden/>
              </w:rPr>
              <w:fldChar w:fldCharType="begin"/>
            </w:r>
            <w:r>
              <w:rPr>
                <w:noProof/>
                <w:webHidden/>
              </w:rPr>
              <w:instrText xml:space="preserve"> PAGEREF _Toc214440916 \h </w:instrText>
            </w:r>
            <w:r>
              <w:rPr>
                <w:noProof/>
                <w:webHidden/>
              </w:rPr>
            </w:r>
            <w:r>
              <w:rPr>
                <w:noProof/>
                <w:webHidden/>
              </w:rPr>
              <w:fldChar w:fldCharType="separate"/>
            </w:r>
            <w:r>
              <w:rPr>
                <w:noProof/>
                <w:webHidden/>
              </w:rPr>
              <w:t>4</w:t>
            </w:r>
            <w:r>
              <w:rPr>
                <w:noProof/>
                <w:webHidden/>
              </w:rPr>
              <w:fldChar w:fldCharType="end"/>
            </w:r>
          </w:hyperlink>
        </w:p>
        <w:p w14:paraId="6F22E7E2" w14:textId="1435FF2B" w:rsidR="00020A5D" w:rsidRDefault="00020A5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17" w:history="1">
            <w:r w:rsidRPr="00100A8B">
              <w:rPr>
                <w:rStyle w:val="Hyperlink"/>
                <w:noProof/>
              </w:rPr>
              <w:t>3.2.</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Disadvantages of Multicontract Contracting</w:t>
            </w:r>
            <w:r>
              <w:rPr>
                <w:noProof/>
                <w:webHidden/>
              </w:rPr>
              <w:tab/>
            </w:r>
            <w:r>
              <w:rPr>
                <w:noProof/>
                <w:webHidden/>
              </w:rPr>
              <w:fldChar w:fldCharType="begin"/>
            </w:r>
            <w:r>
              <w:rPr>
                <w:noProof/>
                <w:webHidden/>
              </w:rPr>
              <w:instrText xml:space="preserve"> PAGEREF _Toc214440917 \h </w:instrText>
            </w:r>
            <w:r>
              <w:rPr>
                <w:noProof/>
                <w:webHidden/>
              </w:rPr>
            </w:r>
            <w:r>
              <w:rPr>
                <w:noProof/>
                <w:webHidden/>
              </w:rPr>
              <w:fldChar w:fldCharType="separate"/>
            </w:r>
            <w:r>
              <w:rPr>
                <w:noProof/>
                <w:webHidden/>
              </w:rPr>
              <w:t>4</w:t>
            </w:r>
            <w:r>
              <w:rPr>
                <w:noProof/>
                <w:webHidden/>
              </w:rPr>
              <w:fldChar w:fldCharType="end"/>
            </w:r>
          </w:hyperlink>
        </w:p>
        <w:p w14:paraId="2926B992" w14:textId="43AFC9D3" w:rsidR="00020A5D" w:rsidRDefault="00020A5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18" w:history="1">
            <w:r w:rsidRPr="00100A8B">
              <w:rPr>
                <w:rStyle w:val="Hyperlink"/>
                <w:noProof/>
              </w:rPr>
              <w:t>4.</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Do-It-Yourself Contracting</w:t>
            </w:r>
            <w:r>
              <w:rPr>
                <w:noProof/>
                <w:webHidden/>
              </w:rPr>
              <w:tab/>
            </w:r>
            <w:r>
              <w:rPr>
                <w:noProof/>
                <w:webHidden/>
              </w:rPr>
              <w:fldChar w:fldCharType="begin"/>
            </w:r>
            <w:r>
              <w:rPr>
                <w:noProof/>
                <w:webHidden/>
              </w:rPr>
              <w:instrText xml:space="preserve"> PAGEREF _Toc214440918 \h </w:instrText>
            </w:r>
            <w:r>
              <w:rPr>
                <w:noProof/>
                <w:webHidden/>
              </w:rPr>
            </w:r>
            <w:r>
              <w:rPr>
                <w:noProof/>
                <w:webHidden/>
              </w:rPr>
              <w:fldChar w:fldCharType="separate"/>
            </w:r>
            <w:r>
              <w:rPr>
                <w:noProof/>
                <w:webHidden/>
              </w:rPr>
              <w:t>5</w:t>
            </w:r>
            <w:r>
              <w:rPr>
                <w:noProof/>
                <w:webHidden/>
              </w:rPr>
              <w:fldChar w:fldCharType="end"/>
            </w:r>
          </w:hyperlink>
        </w:p>
        <w:p w14:paraId="4DA9E23E" w14:textId="787E1110" w:rsidR="00020A5D" w:rsidRDefault="00020A5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19" w:history="1">
            <w:r w:rsidRPr="00100A8B">
              <w:rPr>
                <w:rStyle w:val="Hyperlink"/>
                <w:noProof/>
              </w:rPr>
              <w:t>4.1.</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Advantages of DIY Contracting</w:t>
            </w:r>
            <w:r>
              <w:rPr>
                <w:noProof/>
                <w:webHidden/>
              </w:rPr>
              <w:tab/>
            </w:r>
            <w:r>
              <w:rPr>
                <w:noProof/>
                <w:webHidden/>
              </w:rPr>
              <w:fldChar w:fldCharType="begin"/>
            </w:r>
            <w:r>
              <w:rPr>
                <w:noProof/>
                <w:webHidden/>
              </w:rPr>
              <w:instrText xml:space="preserve"> PAGEREF _Toc214440919 \h </w:instrText>
            </w:r>
            <w:r>
              <w:rPr>
                <w:noProof/>
                <w:webHidden/>
              </w:rPr>
            </w:r>
            <w:r>
              <w:rPr>
                <w:noProof/>
                <w:webHidden/>
              </w:rPr>
              <w:fldChar w:fldCharType="separate"/>
            </w:r>
            <w:r>
              <w:rPr>
                <w:noProof/>
                <w:webHidden/>
              </w:rPr>
              <w:t>5</w:t>
            </w:r>
            <w:r>
              <w:rPr>
                <w:noProof/>
                <w:webHidden/>
              </w:rPr>
              <w:fldChar w:fldCharType="end"/>
            </w:r>
          </w:hyperlink>
        </w:p>
        <w:p w14:paraId="095933F3" w14:textId="12A5B0FC" w:rsidR="00020A5D" w:rsidRDefault="00020A5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20" w:history="1">
            <w:r w:rsidRPr="00100A8B">
              <w:rPr>
                <w:rStyle w:val="Hyperlink"/>
                <w:noProof/>
              </w:rPr>
              <w:t>4.2.</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Disadvantages of DIY Contracting</w:t>
            </w:r>
            <w:r>
              <w:rPr>
                <w:noProof/>
                <w:webHidden/>
              </w:rPr>
              <w:tab/>
            </w:r>
            <w:r>
              <w:rPr>
                <w:noProof/>
                <w:webHidden/>
              </w:rPr>
              <w:fldChar w:fldCharType="begin"/>
            </w:r>
            <w:r>
              <w:rPr>
                <w:noProof/>
                <w:webHidden/>
              </w:rPr>
              <w:instrText xml:space="preserve"> PAGEREF _Toc214440920 \h </w:instrText>
            </w:r>
            <w:r>
              <w:rPr>
                <w:noProof/>
                <w:webHidden/>
              </w:rPr>
            </w:r>
            <w:r>
              <w:rPr>
                <w:noProof/>
                <w:webHidden/>
              </w:rPr>
              <w:fldChar w:fldCharType="separate"/>
            </w:r>
            <w:r>
              <w:rPr>
                <w:noProof/>
                <w:webHidden/>
              </w:rPr>
              <w:t>5</w:t>
            </w:r>
            <w:r>
              <w:rPr>
                <w:noProof/>
                <w:webHidden/>
              </w:rPr>
              <w:fldChar w:fldCharType="end"/>
            </w:r>
          </w:hyperlink>
        </w:p>
        <w:p w14:paraId="3E2AB96F" w14:textId="3F901450" w:rsidR="00020A5D" w:rsidRDefault="00020A5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21" w:history="1">
            <w:r w:rsidRPr="00100A8B">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Multicontract + DIY Contracting</w:t>
            </w:r>
            <w:r>
              <w:rPr>
                <w:noProof/>
                <w:webHidden/>
              </w:rPr>
              <w:tab/>
            </w:r>
            <w:r>
              <w:rPr>
                <w:noProof/>
                <w:webHidden/>
              </w:rPr>
              <w:fldChar w:fldCharType="begin"/>
            </w:r>
            <w:r>
              <w:rPr>
                <w:noProof/>
                <w:webHidden/>
              </w:rPr>
              <w:instrText xml:space="preserve"> PAGEREF _Toc214440921 \h </w:instrText>
            </w:r>
            <w:r>
              <w:rPr>
                <w:noProof/>
                <w:webHidden/>
              </w:rPr>
            </w:r>
            <w:r>
              <w:rPr>
                <w:noProof/>
                <w:webHidden/>
              </w:rPr>
              <w:fldChar w:fldCharType="separate"/>
            </w:r>
            <w:r>
              <w:rPr>
                <w:noProof/>
                <w:webHidden/>
              </w:rPr>
              <w:t>6</w:t>
            </w:r>
            <w:r>
              <w:rPr>
                <w:noProof/>
                <w:webHidden/>
              </w:rPr>
              <w:fldChar w:fldCharType="end"/>
            </w:r>
          </w:hyperlink>
        </w:p>
        <w:p w14:paraId="0818AE18" w14:textId="52F18337" w:rsidR="00020A5D" w:rsidRDefault="00020A5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22" w:history="1">
            <w:r w:rsidRPr="00100A8B">
              <w:rPr>
                <w:rStyle w:val="Hyperlink"/>
                <w:noProof/>
              </w:rPr>
              <w:t>5.1.</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Advantages of Multicontract + DIY Contracting</w:t>
            </w:r>
            <w:r>
              <w:rPr>
                <w:noProof/>
                <w:webHidden/>
              </w:rPr>
              <w:tab/>
            </w:r>
            <w:r>
              <w:rPr>
                <w:noProof/>
                <w:webHidden/>
              </w:rPr>
              <w:fldChar w:fldCharType="begin"/>
            </w:r>
            <w:r>
              <w:rPr>
                <w:noProof/>
                <w:webHidden/>
              </w:rPr>
              <w:instrText xml:space="preserve"> PAGEREF _Toc214440922 \h </w:instrText>
            </w:r>
            <w:r>
              <w:rPr>
                <w:noProof/>
                <w:webHidden/>
              </w:rPr>
            </w:r>
            <w:r>
              <w:rPr>
                <w:noProof/>
                <w:webHidden/>
              </w:rPr>
              <w:fldChar w:fldCharType="separate"/>
            </w:r>
            <w:r>
              <w:rPr>
                <w:noProof/>
                <w:webHidden/>
              </w:rPr>
              <w:t>6</w:t>
            </w:r>
            <w:r>
              <w:rPr>
                <w:noProof/>
                <w:webHidden/>
              </w:rPr>
              <w:fldChar w:fldCharType="end"/>
            </w:r>
          </w:hyperlink>
        </w:p>
        <w:p w14:paraId="35DB8F3C" w14:textId="3D1DC565" w:rsidR="00020A5D" w:rsidRDefault="00020A5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23" w:history="1">
            <w:r w:rsidRPr="00100A8B">
              <w:rPr>
                <w:rStyle w:val="Hyperlink"/>
                <w:noProof/>
              </w:rPr>
              <w:t>5.2.</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Disadvantages of Multicontract + DIY Contractracting</w:t>
            </w:r>
            <w:r>
              <w:rPr>
                <w:noProof/>
                <w:webHidden/>
              </w:rPr>
              <w:tab/>
            </w:r>
            <w:r>
              <w:rPr>
                <w:noProof/>
                <w:webHidden/>
              </w:rPr>
              <w:fldChar w:fldCharType="begin"/>
            </w:r>
            <w:r>
              <w:rPr>
                <w:noProof/>
                <w:webHidden/>
              </w:rPr>
              <w:instrText xml:space="preserve"> PAGEREF _Toc214440923 \h </w:instrText>
            </w:r>
            <w:r>
              <w:rPr>
                <w:noProof/>
                <w:webHidden/>
              </w:rPr>
            </w:r>
            <w:r>
              <w:rPr>
                <w:noProof/>
                <w:webHidden/>
              </w:rPr>
              <w:fldChar w:fldCharType="separate"/>
            </w:r>
            <w:r>
              <w:rPr>
                <w:noProof/>
                <w:webHidden/>
              </w:rPr>
              <w:t>7</w:t>
            </w:r>
            <w:r>
              <w:rPr>
                <w:noProof/>
                <w:webHidden/>
              </w:rPr>
              <w:fldChar w:fldCharType="end"/>
            </w:r>
          </w:hyperlink>
        </w:p>
        <w:p w14:paraId="4312B355" w14:textId="0AA48D30" w:rsidR="00020A5D" w:rsidRDefault="00020A5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24" w:history="1">
            <w:r w:rsidRPr="00100A8B">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Critical Comparison of Contracting Approaches</w:t>
            </w:r>
            <w:r>
              <w:rPr>
                <w:noProof/>
                <w:webHidden/>
              </w:rPr>
              <w:tab/>
            </w:r>
            <w:r>
              <w:rPr>
                <w:noProof/>
                <w:webHidden/>
              </w:rPr>
              <w:fldChar w:fldCharType="begin"/>
            </w:r>
            <w:r>
              <w:rPr>
                <w:noProof/>
                <w:webHidden/>
              </w:rPr>
              <w:instrText xml:space="preserve"> PAGEREF _Toc214440924 \h </w:instrText>
            </w:r>
            <w:r>
              <w:rPr>
                <w:noProof/>
                <w:webHidden/>
              </w:rPr>
            </w:r>
            <w:r>
              <w:rPr>
                <w:noProof/>
                <w:webHidden/>
              </w:rPr>
              <w:fldChar w:fldCharType="separate"/>
            </w:r>
            <w:r>
              <w:rPr>
                <w:noProof/>
                <w:webHidden/>
              </w:rPr>
              <w:t>8</w:t>
            </w:r>
            <w:r>
              <w:rPr>
                <w:noProof/>
                <w:webHidden/>
              </w:rPr>
              <w:fldChar w:fldCharType="end"/>
            </w:r>
          </w:hyperlink>
        </w:p>
        <w:p w14:paraId="3F76A91B" w14:textId="725C0B58" w:rsidR="00020A5D" w:rsidRDefault="00020A5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25" w:history="1">
            <w:r w:rsidRPr="00100A8B">
              <w:rPr>
                <w:rStyle w:val="Hyperlink"/>
                <w:noProof/>
              </w:rPr>
              <w:t>6.1.</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Comparison Table of Contracting Methods</w:t>
            </w:r>
            <w:r>
              <w:rPr>
                <w:noProof/>
                <w:webHidden/>
              </w:rPr>
              <w:tab/>
            </w:r>
            <w:r>
              <w:rPr>
                <w:noProof/>
                <w:webHidden/>
              </w:rPr>
              <w:fldChar w:fldCharType="begin"/>
            </w:r>
            <w:r>
              <w:rPr>
                <w:noProof/>
                <w:webHidden/>
              </w:rPr>
              <w:instrText xml:space="preserve"> PAGEREF _Toc214440925 \h </w:instrText>
            </w:r>
            <w:r>
              <w:rPr>
                <w:noProof/>
                <w:webHidden/>
              </w:rPr>
            </w:r>
            <w:r>
              <w:rPr>
                <w:noProof/>
                <w:webHidden/>
              </w:rPr>
              <w:fldChar w:fldCharType="separate"/>
            </w:r>
            <w:r>
              <w:rPr>
                <w:noProof/>
                <w:webHidden/>
              </w:rPr>
              <w:t>8</w:t>
            </w:r>
            <w:r>
              <w:rPr>
                <w:noProof/>
                <w:webHidden/>
              </w:rPr>
              <w:fldChar w:fldCharType="end"/>
            </w:r>
          </w:hyperlink>
        </w:p>
        <w:p w14:paraId="464259DC" w14:textId="4ADDF3F0" w:rsidR="00020A5D" w:rsidRDefault="00020A5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26" w:history="1">
            <w:r w:rsidRPr="00100A8B">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Conclusion</w:t>
            </w:r>
            <w:r>
              <w:rPr>
                <w:noProof/>
                <w:webHidden/>
              </w:rPr>
              <w:tab/>
            </w:r>
            <w:r>
              <w:rPr>
                <w:noProof/>
                <w:webHidden/>
              </w:rPr>
              <w:fldChar w:fldCharType="begin"/>
            </w:r>
            <w:r>
              <w:rPr>
                <w:noProof/>
                <w:webHidden/>
              </w:rPr>
              <w:instrText xml:space="preserve"> PAGEREF _Toc214440926 \h </w:instrText>
            </w:r>
            <w:r>
              <w:rPr>
                <w:noProof/>
                <w:webHidden/>
              </w:rPr>
            </w:r>
            <w:r>
              <w:rPr>
                <w:noProof/>
                <w:webHidden/>
              </w:rPr>
              <w:fldChar w:fldCharType="separate"/>
            </w:r>
            <w:r>
              <w:rPr>
                <w:noProof/>
                <w:webHidden/>
              </w:rPr>
              <w:t>9</w:t>
            </w:r>
            <w:r>
              <w:rPr>
                <w:noProof/>
                <w:webHidden/>
              </w:rPr>
              <w:fldChar w:fldCharType="end"/>
            </w:r>
          </w:hyperlink>
        </w:p>
        <w:p w14:paraId="7A7E19B8" w14:textId="2BB43F24" w:rsidR="00020A5D" w:rsidRDefault="00020A5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440927" w:history="1">
            <w:r w:rsidRPr="00100A8B">
              <w:rPr>
                <w:rStyle w:val="Hyperlink"/>
                <w:noProof/>
              </w:rPr>
              <w:t>8.</w:t>
            </w:r>
            <w:r>
              <w:rPr>
                <w:rFonts w:asciiTheme="minorHAnsi" w:eastAsiaTheme="minorEastAsia" w:hAnsiTheme="minorHAnsi" w:cstheme="minorBidi"/>
                <w:noProof/>
                <w:kern w:val="2"/>
                <w:sz w:val="24"/>
                <w:szCs w:val="24"/>
                <w:lang w:eastAsia="en-GB"/>
                <w14:ligatures w14:val="standardContextual"/>
              </w:rPr>
              <w:tab/>
            </w:r>
            <w:r w:rsidRPr="00100A8B">
              <w:rPr>
                <w:rStyle w:val="Hyperlink"/>
                <w:noProof/>
              </w:rPr>
              <w:t>References</w:t>
            </w:r>
            <w:r>
              <w:rPr>
                <w:noProof/>
                <w:webHidden/>
              </w:rPr>
              <w:tab/>
            </w:r>
            <w:r>
              <w:rPr>
                <w:noProof/>
                <w:webHidden/>
              </w:rPr>
              <w:fldChar w:fldCharType="begin"/>
            </w:r>
            <w:r>
              <w:rPr>
                <w:noProof/>
                <w:webHidden/>
              </w:rPr>
              <w:instrText xml:space="preserve"> PAGEREF _Toc214440927 \h </w:instrText>
            </w:r>
            <w:r>
              <w:rPr>
                <w:noProof/>
                <w:webHidden/>
              </w:rPr>
            </w:r>
            <w:r>
              <w:rPr>
                <w:noProof/>
                <w:webHidden/>
              </w:rPr>
              <w:fldChar w:fldCharType="separate"/>
            </w:r>
            <w:r>
              <w:rPr>
                <w:noProof/>
                <w:webHidden/>
              </w:rPr>
              <w:t>10</w:t>
            </w:r>
            <w:r>
              <w:rPr>
                <w:noProof/>
                <w:webHidden/>
              </w:rPr>
              <w:fldChar w:fldCharType="end"/>
            </w:r>
          </w:hyperlink>
        </w:p>
        <w:p w14:paraId="6725310D" w14:textId="52ADAF03" w:rsidR="007C63EB" w:rsidRDefault="007C63EB">
          <w:r>
            <w:rPr>
              <w:b/>
              <w:bCs/>
              <w:noProof/>
            </w:rPr>
            <w:fldChar w:fldCharType="end"/>
          </w:r>
        </w:p>
      </w:sdtContent>
    </w:sdt>
    <w:p w14:paraId="1D14C93B" w14:textId="77777777" w:rsidR="00F0046F" w:rsidRDefault="00F0046F"/>
    <w:p w14:paraId="5846FE05" w14:textId="77777777" w:rsidR="00926C4D" w:rsidRDefault="00926C4D" w:rsidP="00020A5D">
      <w:pPr>
        <w:jc w:val="right"/>
      </w:pPr>
    </w:p>
    <w:p w14:paraId="30F00C1B" w14:textId="77777777" w:rsidR="00926C4D" w:rsidRDefault="00926C4D"/>
    <w:p w14:paraId="0BE42BBF" w14:textId="77777777" w:rsidR="00926C4D" w:rsidRDefault="00926C4D"/>
    <w:p w14:paraId="7BFF08E8" w14:textId="77777777" w:rsidR="00926C4D" w:rsidRDefault="00926C4D"/>
    <w:p w14:paraId="30A82C59" w14:textId="77777777" w:rsidR="00926C4D" w:rsidRDefault="00926C4D"/>
    <w:p w14:paraId="03D0C41C" w14:textId="77777777" w:rsidR="00926C4D" w:rsidRDefault="00926C4D"/>
    <w:p w14:paraId="4B1BE70D" w14:textId="77777777" w:rsidR="00926C4D" w:rsidRDefault="00926C4D"/>
    <w:p w14:paraId="0B21794D" w14:textId="77777777" w:rsidR="00926C4D" w:rsidRDefault="00926C4D"/>
    <w:p w14:paraId="47A56B4B" w14:textId="77777777" w:rsidR="00926C4D" w:rsidRDefault="00926C4D"/>
    <w:p w14:paraId="3B7982E8" w14:textId="77777777" w:rsidR="00926C4D" w:rsidRDefault="00926C4D"/>
    <w:p w14:paraId="7238AEAC" w14:textId="77777777" w:rsidR="00926C4D" w:rsidRDefault="00926C4D"/>
    <w:p w14:paraId="114A4CB0" w14:textId="77777777" w:rsidR="00926C4D" w:rsidRDefault="00926C4D"/>
    <w:p w14:paraId="6A32BD68" w14:textId="77777777" w:rsidR="00926C4D" w:rsidRDefault="00926C4D"/>
    <w:p w14:paraId="08FEAA2B" w14:textId="77777777" w:rsidR="00926C4D" w:rsidRDefault="00926C4D"/>
    <w:p w14:paraId="31DE9CEB" w14:textId="77777777" w:rsidR="00926C4D" w:rsidRDefault="00926C4D"/>
    <w:p w14:paraId="02C37545" w14:textId="77777777" w:rsidR="00926C4D" w:rsidRDefault="00926C4D"/>
    <w:p w14:paraId="1EB7E8FF" w14:textId="77777777" w:rsidR="00926C4D" w:rsidRDefault="00926C4D"/>
    <w:p w14:paraId="09F33D73" w14:textId="77777777" w:rsidR="00926C4D" w:rsidRDefault="00926C4D"/>
    <w:p w14:paraId="4DED01DA" w14:textId="77777777" w:rsidR="00926C4D" w:rsidRDefault="00926C4D"/>
    <w:p w14:paraId="26E5A563" w14:textId="77777777" w:rsidR="00926C4D" w:rsidRDefault="00926C4D"/>
    <w:p w14:paraId="3E7C0FC1" w14:textId="77777777" w:rsidR="00926C4D" w:rsidRPr="0073139F" w:rsidRDefault="00926C4D" w:rsidP="0073139F">
      <w:pPr>
        <w:spacing w:line="360" w:lineRule="auto"/>
        <w:jc w:val="both"/>
      </w:pPr>
    </w:p>
    <w:p w14:paraId="5A27875B" w14:textId="34AFE4E7" w:rsidR="00926C4D" w:rsidRPr="0073139F" w:rsidRDefault="00926C4D" w:rsidP="0073139F">
      <w:pPr>
        <w:pStyle w:val="Heading1"/>
        <w:numPr>
          <w:ilvl w:val="0"/>
          <w:numId w:val="1"/>
        </w:numPr>
        <w:spacing w:line="360" w:lineRule="auto"/>
        <w:jc w:val="both"/>
        <w:rPr>
          <w:rFonts w:ascii="Arial" w:hAnsi="Arial" w:cs="Arial"/>
          <w:sz w:val="22"/>
          <w:szCs w:val="22"/>
        </w:rPr>
      </w:pPr>
      <w:bookmarkStart w:id="0" w:name="_Toc214440911"/>
      <w:r w:rsidRPr="0073139F">
        <w:rPr>
          <w:rFonts w:ascii="Arial" w:hAnsi="Arial" w:cs="Arial"/>
          <w:sz w:val="22"/>
          <w:szCs w:val="22"/>
        </w:rPr>
        <w:t>Introduction</w:t>
      </w:r>
      <w:bookmarkEnd w:id="0"/>
    </w:p>
    <w:p w14:paraId="48F492BF" w14:textId="498C71A9" w:rsidR="00373EB1" w:rsidRPr="0073139F" w:rsidRDefault="00373EB1" w:rsidP="0073139F">
      <w:pPr>
        <w:spacing w:line="360" w:lineRule="auto"/>
        <w:jc w:val="both"/>
      </w:pPr>
      <w:r w:rsidRPr="0073139F">
        <w:t>Project management (PM) entails the utilisation of information, processes, skills, and technologies to execute a project within specified limitations, usually concerning time, cost, and quality (PMI, 2021).  when projects become more complicated, businesses frequently depend on contractual agreements to distribute duties, mitigate risks, and secure specialised talent when needed (APM, 2020).  Contracting is a vital mechanism in project environments, influencing work organisation and establishing the degree of control, flexibility, and accountability among stakeholders (Turner, 2014).</w:t>
      </w:r>
    </w:p>
    <w:p w14:paraId="681DCC08" w14:textId="2BF13CEF" w:rsidR="00373EB1" w:rsidRPr="0073139F" w:rsidRDefault="00373EB1" w:rsidP="0073139F">
      <w:pPr>
        <w:spacing w:line="360" w:lineRule="auto"/>
        <w:jc w:val="both"/>
      </w:pPr>
      <w:r w:rsidRPr="0073139F">
        <w:t xml:space="preserve"> This essay aims to analyse four principal contracting strategies frequently utilised in project management: Turnkey, </w:t>
      </w:r>
      <w:proofErr w:type="spellStart"/>
      <w:r w:rsidRPr="0073139F">
        <w:t>Multicontract</w:t>
      </w:r>
      <w:proofErr w:type="spellEnd"/>
      <w:r w:rsidRPr="0073139F">
        <w:t xml:space="preserve">, Do-It-Yourself (DIY), and </w:t>
      </w:r>
      <w:proofErr w:type="spellStart"/>
      <w:r w:rsidRPr="0073139F">
        <w:t>Multicontract</w:t>
      </w:r>
      <w:proofErr w:type="spellEnd"/>
      <w:r w:rsidRPr="0073139F">
        <w:t xml:space="preserve"> + DIY.  Each strategy offers a distinct equilibrium of control, cost predictability, risk distribution, and coordination effort.  Comprehending these distinctions is crucial for project managers in choosing a contracting method that corresponds with project scale, complexity, stakeholder expectations, and organisational skills (Kerzner, 2022).  Turnkey techniques may alleviate administrative responsibilities, whereas </w:t>
      </w:r>
      <w:proofErr w:type="spellStart"/>
      <w:r w:rsidRPr="0073139F">
        <w:t>multicontract</w:t>
      </w:r>
      <w:proofErr w:type="spellEnd"/>
      <w:r w:rsidRPr="0073139F">
        <w:t xml:space="preserve"> arrangements may provide enhanced flexibility and cost efficiency, albeit with increased supervision demands</w:t>
      </w:r>
      <w:r w:rsidR="00996E8B" w:rsidRPr="0073139F">
        <w:t>.</w:t>
      </w:r>
    </w:p>
    <w:p w14:paraId="3052DB74" w14:textId="5429E6F8" w:rsidR="00616A86" w:rsidRDefault="00373EB1" w:rsidP="0073139F">
      <w:pPr>
        <w:spacing w:line="360" w:lineRule="auto"/>
        <w:jc w:val="both"/>
      </w:pPr>
      <w:r w:rsidRPr="0073139F">
        <w:t xml:space="preserve"> The essay commences by delineating the theoretical framework of contracting in project management and elaborating on each approach comprehensively.  An analytical assessment will elucidate the merits and demerits of each methodology, substantiated by practical project instances and pertinent scholarly works.  The discourse incorporates essential project management instruments, such the Work Breakdown Structure (WBS), Stakeholder Matrix, Risk Register, and Gantt Chart, to illustrate the practical ramifications of contracting decisions on project planning and oversight.  The essay finishes by outlining the relative appropriateness of the four techniques in various project contexts.</w:t>
      </w:r>
    </w:p>
    <w:p w14:paraId="09F6A7AB" w14:textId="77777777" w:rsidR="0073139F" w:rsidRPr="0073139F" w:rsidRDefault="0073139F" w:rsidP="0073139F">
      <w:pPr>
        <w:spacing w:line="360" w:lineRule="auto"/>
        <w:jc w:val="both"/>
      </w:pPr>
    </w:p>
    <w:p w14:paraId="772B3FEE" w14:textId="45C80F54" w:rsidR="00EC344A" w:rsidRPr="0073139F" w:rsidRDefault="00EC344A" w:rsidP="0073139F">
      <w:pPr>
        <w:pStyle w:val="Heading1"/>
        <w:numPr>
          <w:ilvl w:val="0"/>
          <w:numId w:val="1"/>
        </w:numPr>
        <w:spacing w:line="360" w:lineRule="auto"/>
        <w:jc w:val="both"/>
        <w:rPr>
          <w:rFonts w:ascii="Arial" w:hAnsi="Arial" w:cs="Arial"/>
          <w:sz w:val="22"/>
          <w:szCs w:val="22"/>
        </w:rPr>
      </w:pPr>
      <w:bookmarkStart w:id="1" w:name="_Toc214440912"/>
      <w:r w:rsidRPr="0073139F">
        <w:rPr>
          <w:rFonts w:ascii="Arial" w:hAnsi="Arial" w:cs="Arial"/>
          <w:sz w:val="22"/>
          <w:szCs w:val="22"/>
        </w:rPr>
        <w:lastRenderedPageBreak/>
        <w:t>Turnkey Contracting</w:t>
      </w:r>
      <w:bookmarkEnd w:id="1"/>
    </w:p>
    <w:p w14:paraId="20AB2D3E" w14:textId="6F0BBF98" w:rsidR="00870CB9" w:rsidRPr="0073139F" w:rsidRDefault="00870CB9" w:rsidP="0073139F">
      <w:pPr>
        <w:spacing w:line="360" w:lineRule="auto"/>
        <w:jc w:val="both"/>
      </w:pPr>
      <w:r w:rsidRPr="0073139F">
        <w:t>Turnkey contracting is a project delivery technique wherein a sole contractor is accountable for the design, engineering, construction, and provision of a fully operational facility that is available for immediate utilisation upon completion (Kerzner, 2022).  In this structure, the customer supplies the initial project specifications, while the contractor oversees all technical, managerial, and operational procedures, thereby significantly mitigating project risk for the client (Zuo et al., 2018).  In the context of establishing a community recycling centre for a medium-sized urban area, turnkey contracting provides an efficient method that reduces client engagement in daily coordination and technical issue resolution.  This is especially beneficial when the client lacks internal experience in specialist construction or environmental infrastructure execution (Turner, 2014).</w:t>
      </w:r>
    </w:p>
    <w:p w14:paraId="420B64AB" w14:textId="569FF005" w:rsidR="009C3352" w:rsidRPr="0073139F" w:rsidRDefault="001E1BA0" w:rsidP="0073139F">
      <w:pPr>
        <w:pStyle w:val="Heading2"/>
        <w:numPr>
          <w:ilvl w:val="1"/>
          <w:numId w:val="1"/>
        </w:numPr>
        <w:spacing w:line="360" w:lineRule="auto"/>
        <w:jc w:val="both"/>
        <w:rPr>
          <w:rFonts w:ascii="Arial" w:hAnsi="Arial" w:cs="Arial"/>
          <w:sz w:val="22"/>
          <w:szCs w:val="22"/>
        </w:rPr>
      </w:pPr>
      <w:bookmarkStart w:id="2" w:name="_Toc214440913"/>
      <w:r w:rsidRPr="0073139F">
        <w:rPr>
          <w:rFonts w:ascii="Arial" w:hAnsi="Arial" w:cs="Arial"/>
          <w:sz w:val="22"/>
          <w:szCs w:val="22"/>
        </w:rPr>
        <w:t>Advantages of Turnkey Contracting</w:t>
      </w:r>
      <w:bookmarkEnd w:id="2"/>
    </w:p>
    <w:p w14:paraId="1FCDD428" w14:textId="6C5FF282" w:rsidR="00870CB9" w:rsidRPr="0073139F" w:rsidRDefault="00870CB9" w:rsidP="0073139F">
      <w:pPr>
        <w:spacing w:line="360" w:lineRule="auto"/>
        <w:jc w:val="both"/>
      </w:pPr>
      <w:r w:rsidRPr="0073139F">
        <w:t xml:space="preserve"> The primary benefit of the turnkey approach is its singular point of accountability, which ensures that delays, cost overruns, and quality concerns are attributed to one contractor instead of several entities (Eriksson and Westerberg, 2011).  This streamlines communication channels and facilitates clearer accountability, hence improving project oversight from a governance standpoint.  In a recycling centre, where the integration of specialised machinery, waste-processing systems, and safety measures requires meticulous coordination, appointing a single contractor for the entire facility can mitigate interfaces that frequently introduce risks in multi-contract scenarios (APM, 2020).  Moreover, turnkey contracts frequently utilise fixed-price terms, enhancing cost certainty for public or community clients constrained by budgets (Mosey, 2019).</w:t>
      </w:r>
    </w:p>
    <w:p w14:paraId="05343DFC" w14:textId="59870674" w:rsidR="001E1BA0" w:rsidRPr="0073139F" w:rsidRDefault="00ED44DF" w:rsidP="0073139F">
      <w:pPr>
        <w:pStyle w:val="Heading2"/>
        <w:numPr>
          <w:ilvl w:val="1"/>
          <w:numId w:val="1"/>
        </w:numPr>
        <w:spacing w:line="360" w:lineRule="auto"/>
        <w:jc w:val="both"/>
        <w:rPr>
          <w:rFonts w:ascii="Arial" w:hAnsi="Arial" w:cs="Arial"/>
          <w:sz w:val="22"/>
          <w:szCs w:val="22"/>
        </w:rPr>
      </w:pPr>
      <w:bookmarkStart w:id="3" w:name="_Toc214440914"/>
      <w:r w:rsidRPr="0073139F">
        <w:rPr>
          <w:rFonts w:ascii="Arial" w:hAnsi="Arial" w:cs="Arial"/>
          <w:sz w:val="22"/>
          <w:szCs w:val="22"/>
        </w:rPr>
        <w:t>Disadvantages of Turnkey Contracting</w:t>
      </w:r>
      <w:bookmarkEnd w:id="3"/>
    </w:p>
    <w:p w14:paraId="7D63A2BA" w14:textId="242871A2" w:rsidR="0073139F" w:rsidRPr="0073139F" w:rsidRDefault="00870CB9" w:rsidP="0073139F">
      <w:pPr>
        <w:spacing w:line="360" w:lineRule="auto"/>
        <w:jc w:val="both"/>
      </w:pPr>
      <w:r w:rsidRPr="0073139F">
        <w:t xml:space="preserve"> Notwithstanding these advantages, turnkey contracting also presents considerable drawbacks.  The contractor predominantly dictates design decisions, hence restricting the client's influence over technical specifications post-contract award (Ochieng and Price, 2010).  This may diminish adaptability if community requirements evolve during the project.  Moreover, the fixed-price structure of numerous turnkey contracts may compel contractors to compromise on quality or choose for less expensive materials to safeguard profit margins, unless effective monitoring systems are implemented (Love et al., 2016).  The diminished customer involvement may foster dependency and restrict organisational learning, as the client does not actively participate in the project's technical procedures (Davies et al., 2016).  The constraints underscore the necessity of a meticulously established Work Breakdown Structure (WBS) and explicit performance parameters prior to contract award, guaranteeing that the delivered recycling centre fulfils operational requirement</w:t>
      </w:r>
      <w:r w:rsidR="0073139F">
        <w:t>.</w:t>
      </w:r>
    </w:p>
    <w:p w14:paraId="7B173AC7" w14:textId="4E6B23EF" w:rsidR="00870CB9" w:rsidRPr="0073139F" w:rsidRDefault="00A670E8" w:rsidP="0073139F">
      <w:pPr>
        <w:pStyle w:val="Heading1"/>
        <w:numPr>
          <w:ilvl w:val="0"/>
          <w:numId w:val="1"/>
        </w:numPr>
        <w:spacing w:line="360" w:lineRule="auto"/>
        <w:jc w:val="both"/>
        <w:rPr>
          <w:rFonts w:ascii="Arial" w:hAnsi="Arial" w:cs="Arial"/>
          <w:sz w:val="22"/>
          <w:szCs w:val="22"/>
        </w:rPr>
      </w:pPr>
      <w:bookmarkStart w:id="4" w:name="_Toc214440915"/>
      <w:proofErr w:type="spellStart"/>
      <w:r w:rsidRPr="0073139F">
        <w:rPr>
          <w:rFonts w:ascii="Arial" w:hAnsi="Arial" w:cs="Arial"/>
          <w:sz w:val="22"/>
          <w:szCs w:val="22"/>
        </w:rPr>
        <w:lastRenderedPageBreak/>
        <w:t>Multicontract</w:t>
      </w:r>
      <w:proofErr w:type="spellEnd"/>
      <w:r w:rsidRPr="0073139F">
        <w:rPr>
          <w:rFonts w:ascii="Arial" w:hAnsi="Arial" w:cs="Arial"/>
          <w:sz w:val="22"/>
          <w:szCs w:val="22"/>
        </w:rPr>
        <w:t xml:space="preserve"> Contracting</w:t>
      </w:r>
      <w:bookmarkEnd w:id="4"/>
    </w:p>
    <w:p w14:paraId="01251027" w14:textId="217E2B45" w:rsidR="00737683" w:rsidRPr="0073139F" w:rsidRDefault="00737683" w:rsidP="0073139F">
      <w:pPr>
        <w:spacing w:line="360" w:lineRule="auto"/>
        <w:jc w:val="both"/>
      </w:pPr>
      <w:proofErr w:type="spellStart"/>
      <w:r w:rsidRPr="0073139F">
        <w:t>Multicontract</w:t>
      </w:r>
      <w:proofErr w:type="spellEnd"/>
      <w:r w:rsidRPr="0073139F">
        <w:t xml:space="preserve"> contracting involves the client dividing a project into several separate work packages and awarding each package to a different specialist contractor (Winch, 2010). Unlike turnkey arrangements, responsibility is not centralised; instead, the client (or a contracted project manager) must coordinate the interfaces between contractors, manage scheduling, and ensure that all components integrate successfully (Mosey, 2019). For a construction project such as a community recycling centre, the work may be split into civil engineering, structural works, electrical systems, waste</w:t>
      </w:r>
      <w:r w:rsidRPr="0073139F">
        <w:rPr>
          <w:rFonts w:ascii="Cambria Math" w:hAnsi="Cambria Math" w:cs="Cambria Math"/>
        </w:rPr>
        <w:t>‐</w:t>
      </w:r>
      <w:r w:rsidRPr="0073139F">
        <w:t>processing installation, and mechanical fit-out. This approach allows the client to directly select the most qualified specialists for each aspect of the facility, which can be particularly advantageous when the project includes technical components such as sorting machinery, conveyor systems, or environmental monitoring technologies (Kerzner, 2022).</w:t>
      </w:r>
    </w:p>
    <w:p w14:paraId="6D2EBDEF" w14:textId="23588429" w:rsidR="00ED44DF" w:rsidRPr="0073139F" w:rsidRDefault="00B214E5" w:rsidP="0073139F">
      <w:pPr>
        <w:pStyle w:val="Heading2"/>
        <w:numPr>
          <w:ilvl w:val="1"/>
          <w:numId w:val="1"/>
        </w:numPr>
        <w:spacing w:line="360" w:lineRule="auto"/>
        <w:jc w:val="both"/>
        <w:rPr>
          <w:rFonts w:ascii="Arial" w:hAnsi="Arial" w:cs="Arial"/>
          <w:sz w:val="22"/>
          <w:szCs w:val="22"/>
        </w:rPr>
      </w:pPr>
      <w:bookmarkStart w:id="5" w:name="_Toc214440916"/>
      <w:r w:rsidRPr="0073139F">
        <w:rPr>
          <w:rFonts w:ascii="Arial" w:hAnsi="Arial" w:cs="Arial"/>
          <w:sz w:val="22"/>
          <w:szCs w:val="22"/>
        </w:rPr>
        <w:t xml:space="preserve">Advantages of </w:t>
      </w:r>
      <w:proofErr w:type="spellStart"/>
      <w:r w:rsidRPr="0073139F">
        <w:rPr>
          <w:rFonts w:ascii="Arial" w:hAnsi="Arial" w:cs="Arial"/>
          <w:sz w:val="22"/>
          <w:szCs w:val="22"/>
        </w:rPr>
        <w:t>Multicontract</w:t>
      </w:r>
      <w:proofErr w:type="spellEnd"/>
      <w:r w:rsidRPr="0073139F">
        <w:rPr>
          <w:rFonts w:ascii="Arial" w:hAnsi="Arial" w:cs="Arial"/>
          <w:sz w:val="22"/>
          <w:szCs w:val="22"/>
        </w:rPr>
        <w:t xml:space="preserve"> Contracting</w:t>
      </w:r>
      <w:bookmarkEnd w:id="5"/>
    </w:p>
    <w:p w14:paraId="66422588" w14:textId="30888455" w:rsidR="00737683" w:rsidRPr="0073139F" w:rsidRDefault="00737683" w:rsidP="0073139F">
      <w:pPr>
        <w:spacing w:line="360" w:lineRule="auto"/>
        <w:jc w:val="both"/>
      </w:pPr>
      <w:r w:rsidRPr="0073139F">
        <w:t xml:space="preserve">One major advantage of the </w:t>
      </w:r>
      <w:proofErr w:type="spellStart"/>
      <w:r w:rsidRPr="0073139F">
        <w:t>multicontract</w:t>
      </w:r>
      <w:proofErr w:type="spellEnd"/>
      <w:r w:rsidRPr="0073139F">
        <w:t xml:space="preserve"> method is its potential for cost efficiency. By procuring each package separately, the client may avoid the price mark-up typically added by a single main contractor under turnkey arrangements (Eriksson and Westerberg, 2011). Additionally, specialist contractors may deliver higher quality due to their expertise in niche areas such as waste-processing technologies or renewable energy integration within the centre (APM, 2020). This approach also offers greater flexibility, allowing the client to adjust scope, specifications, or sequencing of different packages as community needs evolve (Turner, 2014). From a project management perspective, the </w:t>
      </w:r>
      <w:proofErr w:type="spellStart"/>
      <w:r w:rsidRPr="0073139F">
        <w:t>multicontract</w:t>
      </w:r>
      <w:proofErr w:type="spellEnd"/>
      <w:r w:rsidRPr="0073139F">
        <w:t xml:space="preserve"> method encourages a more detailed Work Breakdown Structure (WBS), a comprehensive Risk Register, and increased stakeholder engagement, which can strengthen the alignment between project outputs and community expectations (Merrow, 2011).</w:t>
      </w:r>
    </w:p>
    <w:p w14:paraId="667F391E" w14:textId="55F5912F" w:rsidR="001331C9" w:rsidRPr="0073139F" w:rsidRDefault="001331C9" w:rsidP="0073139F">
      <w:pPr>
        <w:pStyle w:val="Heading2"/>
        <w:numPr>
          <w:ilvl w:val="1"/>
          <w:numId w:val="1"/>
        </w:numPr>
        <w:spacing w:line="360" w:lineRule="auto"/>
        <w:jc w:val="both"/>
        <w:rPr>
          <w:rFonts w:ascii="Arial" w:hAnsi="Arial" w:cs="Arial"/>
          <w:sz w:val="22"/>
          <w:szCs w:val="22"/>
        </w:rPr>
      </w:pPr>
      <w:bookmarkStart w:id="6" w:name="_Toc214440917"/>
      <w:r w:rsidRPr="0073139F">
        <w:rPr>
          <w:rFonts w:ascii="Arial" w:hAnsi="Arial" w:cs="Arial"/>
          <w:sz w:val="22"/>
          <w:szCs w:val="22"/>
        </w:rPr>
        <w:t xml:space="preserve">Disadvantages of </w:t>
      </w:r>
      <w:proofErr w:type="spellStart"/>
      <w:r w:rsidRPr="0073139F">
        <w:rPr>
          <w:rFonts w:ascii="Arial" w:hAnsi="Arial" w:cs="Arial"/>
          <w:sz w:val="22"/>
          <w:szCs w:val="22"/>
        </w:rPr>
        <w:t>Multicontract</w:t>
      </w:r>
      <w:proofErr w:type="spellEnd"/>
      <w:r w:rsidRPr="0073139F">
        <w:rPr>
          <w:rFonts w:ascii="Arial" w:hAnsi="Arial" w:cs="Arial"/>
          <w:sz w:val="22"/>
          <w:szCs w:val="22"/>
        </w:rPr>
        <w:t xml:space="preserve"> Contracti</w:t>
      </w:r>
      <w:r w:rsidR="00995C7E" w:rsidRPr="0073139F">
        <w:rPr>
          <w:rFonts w:ascii="Arial" w:hAnsi="Arial" w:cs="Arial"/>
          <w:sz w:val="22"/>
          <w:szCs w:val="22"/>
        </w:rPr>
        <w:t>ng</w:t>
      </w:r>
      <w:bookmarkEnd w:id="6"/>
    </w:p>
    <w:p w14:paraId="1E9A63B6" w14:textId="64B117D1" w:rsidR="00616A86" w:rsidRPr="0073139F" w:rsidRDefault="00737683" w:rsidP="0073139F">
      <w:pPr>
        <w:spacing w:line="360" w:lineRule="auto"/>
        <w:jc w:val="both"/>
      </w:pPr>
      <w:r w:rsidRPr="0073139F">
        <w:t xml:space="preserve">However, </w:t>
      </w:r>
      <w:proofErr w:type="spellStart"/>
      <w:r w:rsidRPr="0073139F">
        <w:t>multicontract</w:t>
      </w:r>
      <w:proofErr w:type="spellEnd"/>
      <w:r w:rsidRPr="0073139F">
        <w:t xml:space="preserve"> contracting also introduces substantial coordination challenges. Managing multiple contractors increases interface risks, particularly where timing, technical specifications, and safety requirements overlap (Love et al., 2016). For a recycling centre, poor coordination between the civil works contractor and the waste</w:t>
      </w:r>
      <w:r w:rsidRPr="0073139F">
        <w:rPr>
          <w:rFonts w:ascii="Cambria Math" w:hAnsi="Cambria Math" w:cs="Cambria Math"/>
        </w:rPr>
        <w:t>‐</w:t>
      </w:r>
      <w:r w:rsidRPr="0073139F">
        <w:t xml:space="preserve">processing equipment contractor could lead to misalignments in foundations, utility connections or equipment layout, resulting in delays and cost escalation. </w:t>
      </w:r>
      <w:proofErr w:type="spellStart"/>
      <w:r w:rsidRPr="0073139F">
        <w:t>Multicontract</w:t>
      </w:r>
      <w:proofErr w:type="spellEnd"/>
      <w:r w:rsidRPr="0073139F">
        <w:t xml:space="preserve"> projects typically require strong project management capability, including robust scheduling tools such as Gantt Charts and proactive communication structures (PMI, 2021). If the client lacks this expertise, the risk of disputes, integration failures and fragmented accountability becomes significant (Ochieng and Price, </w:t>
      </w:r>
      <w:r w:rsidRPr="0073139F">
        <w:lastRenderedPageBreak/>
        <w:t xml:space="preserve">2010). Consequently, while the </w:t>
      </w:r>
      <w:proofErr w:type="spellStart"/>
      <w:r w:rsidRPr="0073139F">
        <w:t>multicontract</w:t>
      </w:r>
      <w:proofErr w:type="spellEnd"/>
      <w:r w:rsidRPr="0073139F">
        <w:t xml:space="preserve"> method can enhance quality and reduce costs, it demands high managerial competence to deliver a fully operational facility.</w:t>
      </w:r>
    </w:p>
    <w:p w14:paraId="66467A18" w14:textId="7327A943" w:rsidR="00737683" w:rsidRPr="0073139F" w:rsidRDefault="00BB3C0E" w:rsidP="0073139F">
      <w:pPr>
        <w:pStyle w:val="Heading1"/>
        <w:numPr>
          <w:ilvl w:val="0"/>
          <w:numId w:val="1"/>
        </w:numPr>
        <w:spacing w:line="360" w:lineRule="auto"/>
        <w:jc w:val="both"/>
        <w:rPr>
          <w:rFonts w:ascii="Arial" w:hAnsi="Arial" w:cs="Arial"/>
          <w:sz w:val="22"/>
          <w:szCs w:val="22"/>
        </w:rPr>
      </w:pPr>
      <w:bookmarkStart w:id="7" w:name="_Toc214440918"/>
      <w:r w:rsidRPr="0073139F">
        <w:rPr>
          <w:rFonts w:ascii="Arial" w:hAnsi="Arial" w:cs="Arial"/>
          <w:sz w:val="22"/>
          <w:szCs w:val="22"/>
        </w:rPr>
        <w:t>Do-It-Yourself Contracting</w:t>
      </w:r>
      <w:bookmarkEnd w:id="7"/>
    </w:p>
    <w:p w14:paraId="529B1127" w14:textId="0B3DF15B" w:rsidR="002E0DA5" w:rsidRPr="0073139F" w:rsidRDefault="002E0DA5" w:rsidP="0073139F">
      <w:pPr>
        <w:spacing w:line="360" w:lineRule="auto"/>
        <w:jc w:val="both"/>
      </w:pPr>
      <w:r w:rsidRPr="0073139F">
        <w:t xml:space="preserve">The Do-It-Yourself (DIY) contracting method denotes a project delivery strategy wherein the client organisation executes </w:t>
      </w:r>
      <w:proofErr w:type="gramStart"/>
      <w:r w:rsidRPr="0073139F">
        <w:t>the majority of</w:t>
      </w:r>
      <w:proofErr w:type="gramEnd"/>
      <w:r w:rsidRPr="0073139F">
        <w:t xml:space="preserve"> project activities internally, predominantly utilising its own labour, experience, equipment, and managerial competencies (Turner, 2014).  External contractors may continue to be employed for specific jobs; nevertheless, </w:t>
      </w:r>
      <w:proofErr w:type="gramStart"/>
      <w:r w:rsidRPr="0073139F">
        <w:t>the majority of</w:t>
      </w:r>
      <w:proofErr w:type="gramEnd"/>
      <w:r w:rsidRPr="0073139F">
        <w:t xml:space="preserve"> planning, design, and construction duties are maintained internally (Meredith and Mantel, 2021).  In the context of establishing a community recycling centre, a DIY method entails the client—typically a local authority or municipal agency—directly managing design creation, material procurement, site preparation, and the installation of specific facility components.  This strategy is especially relevant when the client has pertinent technical competence, such as a recognised public-works department or internal engineering teams experienced with small-scale infrastructure projects (Kerzner, 2022).</w:t>
      </w:r>
    </w:p>
    <w:p w14:paraId="32140482" w14:textId="3E1E8813" w:rsidR="00995C7E" w:rsidRPr="0073139F" w:rsidRDefault="00995C7E" w:rsidP="0073139F">
      <w:pPr>
        <w:pStyle w:val="Heading2"/>
        <w:numPr>
          <w:ilvl w:val="1"/>
          <w:numId w:val="1"/>
        </w:numPr>
        <w:spacing w:line="360" w:lineRule="auto"/>
        <w:jc w:val="both"/>
        <w:rPr>
          <w:rFonts w:ascii="Arial" w:hAnsi="Arial" w:cs="Arial"/>
          <w:sz w:val="22"/>
          <w:szCs w:val="22"/>
        </w:rPr>
      </w:pPr>
      <w:bookmarkStart w:id="8" w:name="_Toc214440919"/>
      <w:r w:rsidRPr="0073139F">
        <w:rPr>
          <w:rFonts w:ascii="Arial" w:hAnsi="Arial" w:cs="Arial"/>
          <w:sz w:val="22"/>
          <w:szCs w:val="22"/>
        </w:rPr>
        <w:t xml:space="preserve">Advantages of </w:t>
      </w:r>
      <w:r w:rsidR="00DE13C8" w:rsidRPr="0073139F">
        <w:rPr>
          <w:rFonts w:ascii="Arial" w:hAnsi="Arial" w:cs="Arial"/>
          <w:sz w:val="22"/>
          <w:szCs w:val="22"/>
        </w:rPr>
        <w:t>DIY Contracting</w:t>
      </w:r>
      <w:bookmarkEnd w:id="8"/>
    </w:p>
    <w:p w14:paraId="416B150A" w14:textId="1770E87C" w:rsidR="002E0DA5" w:rsidRPr="0073139F" w:rsidRDefault="002E0DA5" w:rsidP="0073139F">
      <w:pPr>
        <w:spacing w:line="360" w:lineRule="auto"/>
        <w:jc w:val="both"/>
      </w:pPr>
      <w:r w:rsidRPr="0073139F">
        <w:t xml:space="preserve"> The principal benefit of DIY contracting is the significant control maintained by the client.  Design, material, equipment selection, and workflow decisions can be determined independently of contractor limitations or commercial interests (APM, 2020).  This is beneficial for community-oriented initiatives where sustainability, local employment, or long-term operational factors affect design decisions.  Self-managed delivery can potentially lower expenses by eliminating contractor overheads and profit margins, especially if the customer possesses existing personnel and equipment that can be assigned to the project (Winch, 2010).  Furthermore, internal project management enhances organisational learning: teams acquire project management expertise, technical knowledge, and insights that bolster future infrastructure capabilities (Davies et al., 2016).  In DIY environments, tools like the Work Breakdown Structure (WBS) and Stakeholder Matrix are crucial, as internal teams must meticulously plan and manage all aspects of the recycling centre's development.</w:t>
      </w:r>
    </w:p>
    <w:p w14:paraId="5DF7B5A1" w14:textId="76CE82D7" w:rsidR="00DE13C8" w:rsidRPr="0073139F" w:rsidRDefault="00DE13C8" w:rsidP="0073139F">
      <w:pPr>
        <w:pStyle w:val="Heading2"/>
        <w:numPr>
          <w:ilvl w:val="1"/>
          <w:numId w:val="1"/>
        </w:numPr>
        <w:spacing w:line="360" w:lineRule="auto"/>
        <w:jc w:val="both"/>
        <w:rPr>
          <w:rFonts w:ascii="Arial" w:hAnsi="Arial" w:cs="Arial"/>
          <w:sz w:val="22"/>
          <w:szCs w:val="22"/>
        </w:rPr>
      </w:pPr>
      <w:bookmarkStart w:id="9" w:name="_Toc214440920"/>
      <w:r w:rsidRPr="0073139F">
        <w:rPr>
          <w:rFonts w:ascii="Arial" w:hAnsi="Arial" w:cs="Arial"/>
          <w:sz w:val="22"/>
          <w:szCs w:val="22"/>
        </w:rPr>
        <w:t>Disadvantages of DIY Contracting</w:t>
      </w:r>
      <w:bookmarkEnd w:id="9"/>
    </w:p>
    <w:p w14:paraId="00941159" w14:textId="08E94014" w:rsidR="00616A86" w:rsidRDefault="002E0DA5" w:rsidP="0073139F">
      <w:pPr>
        <w:spacing w:line="360" w:lineRule="auto"/>
        <w:jc w:val="both"/>
      </w:pPr>
      <w:r w:rsidRPr="0073139F">
        <w:t xml:space="preserve"> Nonetheless, DIY methods include considerable dangers and constraints.  Clients may lack the requisite technical expertise or specialised knowledge necessary for intricate components such as waste-sorting machines or environmental control systems (Ochieng and Price, 2010).  This may result in design inaccuracies, postponements, or increased expenses.  Moreover, conducting internal construction reallocates staff resources from other operational responsibilities, thereby overburdening municipal teams (Merrow, 2011).  DIY initiatives are </w:t>
      </w:r>
      <w:r w:rsidRPr="0073139F">
        <w:lastRenderedPageBreak/>
        <w:t>significantly susceptible to internal capacity limitations; in the absence of proficient project managers, meticulous scheduling, and an exhaustive Risk Register, the probability of coordination failures escalates (PMI, 2021).  Consequently, although DIY contracting can improve oversight and decrease expenses, it is only suitable when the client has robust technical, administrative, and resource competencies.</w:t>
      </w:r>
    </w:p>
    <w:p w14:paraId="3A135905" w14:textId="77777777" w:rsidR="0073139F" w:rsidRPr="0073139F" w:rsidRDefault="0073139F" w:rsidP="0073139F">
      <w:pPr>
        <w:spacing w:line="360" w:lineRule="auto"/>
        <w:jc w:val="both"/>
      </w:pPr>
    </w:p>
    <w:p w14:paraId="2A31ACF9" w14:textId="0FC8FE29" w:rsidR="006C6596" w:rsidRPr="0073139F" w:rsidRDefault="006C6596" w:rsidP="0073139F">
      <w:pPr>
        <w:pStyle w:val="Heading1"/>
        <w:numPr>
          <w:ilvl w:val="0"/>
          <w:numId w:val="1"/>
        </w:numPr>
        <w:spacing w:line="360" w:lineRule="auto"/>
        <w:jc w:val="both"/>
        <w:rPr>
          <w:rFonts w:ascii="Arial" w:hAnsi="Arial" w:cs="Arial"/>
          <w:sz w:val="22"/>
          <w:szCs w:val="22"/>
        </w:rPr>
      </w:pPr>
      <w:bookmarkStart w:id="10" w:name="_Toc214440921"/>
      <w:proofErr w:type="spellStart"/>
      <w:r w:rsidRPr="0073139F">
        <w:rPr>
          <w:rFonts w:ascii="Arial" w:hAnsi="Arial" w:cs="Arial"/>
          <w:sz w:val="22"/>
          <w:szCs w:val="22"/>
        </w:rPr>
        <w:t>Multicontract</w:t>
      </w:r>
      <w:proofErr w:type="spellEnd"/>
      <w:r w:rsidR="00D10F58" w:rsidRPr="0073139F">
        <w:rPr>
          <w:rFonts w:ascii="Arial" w:hAnsi="Arial" w:cs="Arial"/>
          <w:sz w:val="22"/>
          <w:szCs w:val="22"/>
        </w:rPr>
        <w:t xml:space="preserve"> + DIY Contracting</w:t>
      </w:r>
      <w:bookmarkEnd w:id="10"/>
      <w:r w:rsidR="00D10F58" w:rsidRPr="0073139F">
        <w:rPr>
          <w:rFonts w:ascii="Arial" w:hAnsi="Arial" w:cs="Arial"/>
          <w:sz w:val="22"/>
          <w:szCs w:val="22"/>
        </w:rPr>
        <w:t xml:space="preserve"> </w:t>
      </w:r>
    </w:p>
    <w:p w14:paraId="200400E5" w14:textId="13D0B4AE" w:rsidR="00587B64" w:rsidRPr="0073139F" w:rsidRDefault="00587B64" w:rsidP="0073139F">
      <w:pPr>
        <w:spacing w:line="360" w:lineRule="auto"/>
        <w:jc w:val="both"/>
      </w:pPr>
      <w:r w:rsidRPr="0073139F">
        <w:t xml:space="preserve">The </w:t>
      </w:r>
      <w:proofErr w:type="spellStart"/>
      <w:r w:rsidRPr="0073139F">
        <w:t>Multicontract</w:t>
      </w:r>
      <w:proofErr w:type="spellEnd"/>
      <w:r w:rsidRPr="0073139F">
        <w:t xml:space="preserve"> + DIY contracting method is a hybrid project delivery strategy where the client executes specific project tasks internally while delegating specialised packages to several external contractors (Mosey, 2019).  This framework integrates the independence and self-regulation of the DIY technique with the technical proficiency and market effectiveness of the </w:t>
      </w:r>
      <w:proofErr w:type="spellStart"/>
      <w:r w:rsidRPr="0073139F">
        <w:t>multicontract</w:t>
      </w:r>
      <w:proofErr w:type="spellEnd"/>
      <w:r w:rsidRPr="0073139F">
        <w:t xml:space="preserve"> strategy (APM, 2020).  The establishment of a community recycling centre in a medium-sized urban area may utilise this hybrid model, wherein the client's internal teams perform preliminary site clearance, minor construction activities, or procurement management, while external contractors provide specialised components such as mechanical sorting systems, electrical installations, or waste-processing machinery (Kerzner, 2022).  This method is especially appropriate when the client has limited capability yet necessitates advanced proficiency in intricate technical domains.</w:t>
      </w:r>
    </w:p>
    <w:p w14:paraId="26DB4375" w14:textId="41EA762B" w:rsidR="00DE13C8" w:rsidRPr="0073139F" w:rsidRDefault="00DE13C8" w:rsidP="0073139F">
      <w:pPr>
        <w:pStyle w:val="Heading2"/>
        <w:numPr>
          <w:ilvl w:val="1"/>
          <w:numId w:val="1"/>
        </w:numPr>
        <w:spacing w:line="360" w:lineRule="auto"/>
        <w:jc w:val="both"/>
        <w:rPr>
          <w:rFonts w:ascii="Arial" w:hAnsi="Arial" w:cs="Arial"/>
          <w:sz w:val="22"/>
          <w:szCs w:val="22"/>
        </w:rPr>
      </w:pPr>
      <w:bookmarkStart w:id="11" w:name="_Toc214440922"/>
      <w:r w:rsidRPr="0073139F">
        <w:rPr>
          <w:rFonts w:ascii="Arial" w:hAnsi="Arial" w:cs="Arial"/>
          <w:sz w:val="22"/>
          <w:szCs w:val="22"/>
        </w:rPr>
        <w:t xml:space="preserve">Advantages of </w:t>
      </w:r>
      <w:proofErr w:type="spellStart"/>
      <w:r w:rsidRPr="0073139F">
        <w:rPr>
          <w:rFonts w:ascii="Arial" w:hAnsi="Arial" w:cs="Arial"/>
          <w:sz w:val="22"/>
          <w:szCs w:val="22"/>
        </w:rPr>
        <w:t>Multicontract</w:t>
      </w:r>
      <w:proofErr w:type="spellEnd"/>
      <w:r w:rsidR="00030ABA" w:rsidRPr="0073139F">
        <w:rPr>
          <w:rFonts w:ascii="Arial" w:hAnsi="Arial" w:cs="Arial"/>
          <w:sz w:val="22"/>
          <w:szCs w:val="22"/>
        </w:rPr>
        <w:t xml:space="preserve"> + DIY Contracting</w:t>
      </w:r>
      <w:bookmarkEnd w:id="11"/>
    </w:p>
    <w:p w14:paraId="0FB174C2" w14:textId="6F855EA3" w:rsidR="00587B64" w:rsidRPr="0073139F" w:rsidRDefault="00587B64" w:rsidP="0073139F">
      <w:pPr>
        <w:spacing w:line="360" w:lineRule="auto"/>
        <w:jc w:val="both"/>
      </w:pPr>
      <w:r w:rsidRPr="0073139F">
        <w:t xml:space="preserve"> A notable benefit of the </w:t>
      </w:r>
      <w:proofErr w:type="spellStart"/>
      <w:r w:rsidRPr="0073139F">
        <w:t>multicontract</w:t>
      </w:r>
      <w:proofErr w:type="spellEnd"/>
      <w:r w:rsidRPr="0073139F">
        <w:t xml:space="preserve"> + DIY approach is the efficient distribution of resources.  Internal teams can do tasks that correspond with their current competencies, hence minimising expenses related to outsourcing fundamental activities (Winch, 2010).  Specialist contractors guarantee quality and compliance for intricate components of the recycling centre, such as the incorporation of odour-control systems or automated sorting technologies (Love et al., 2016).  This combination of internal engagement and external contracting improves flexibility and responsiveness, allowing the client to modify internal workloads or alter specific task packages without the need to renegotiate a comprehensive contract (Turner, 2014).  Furthermore, participation in essential project tasks facilitates the client's organisational learning, hence enhancing future project capabilities (Davies et al., 2016).  Project management instruments, such the Work Breakdown Structure (WBS), Risk Register, and Gantt Chart, are essential in this framework, especially for managing interfaces across internal teams and other contractors.</w:t>
      </w:r>
    </w:p>
    <w:p w14:paraId="7C56FE02" w14:textId="02F366A7" w:rsidR="00030ABA" w:rsidRPr="0073139F" w:rsidRDefault="00030ABA" w:rsidP="0073139F">
      <w:pPr>
        <w:pStyle w:val="Heading2"/>
        <w:numPr>
          <w:ilvl w:val="1"/>
          <w:numId w:val="1"/>
        </w:numPr>
        <w:spacing w:line="360" w:lineRule="auto"/>
        <w:jc w:val="both"/>
        <w:rPr>
          <w:rFonts w:ascii="Arial" w:hAnsi="Arial" w:cs="Arial"/>
          <w:sz w:val="22"/>
          <w:szCs w:val="22"/>
        </w:rPr>
      </w:pPr>
      <w:bookmarkStart w:id="12" w:name="_Toc214440923"/>
      <w:r w:rsidRPr="0073139F">
        <w:rPr>
          <w:rFonts w:ascii="Arial" w:hAnsi="Arial" w:cs="Arial"/>
          <w:sz w:val="22"/>
          <w:szCs w:val="22"/>
        </w:rPr>
        <w:lastRenderedPageBreak/>
        <w:t xml:space="preserve">Disadvantages of </w:t>
      </w:r>
      <w:proofErr w:type="spellStart"/>
      <w:r w:rsidRPr="0073139F">
        <w:rPr>
          <w:rFonts w:ascii="Arial" w:hAnsi="Arial" w:cs="Arial"/>
          <w:sz w:val="22"/>
          <w:szCs w:val="22"/>
        </w:rPr>
        <w:t>Multicontract</w:t>
      </w:r>
      <w:proofErr w:type="spellEnd"/>
      <w:r w:rsidRPr="0073139F">
        <w:rPr>
          <w:rFonts w:ascii="Arial" w:hAnsi="Arial" w:cs="Arial"/>
          <w:sz w:val="22"/>
          <w:szCs w:val="22"/>
        </w:rPr>
        <w:t xml:space="preserve"> + DIY </w:t>
      </w:r>
      <w:proofErr w:type="spellStart"/>
      <w:r w:rsidRPr="0073139F">
        <w:rPr>
          <w:rFonts w:ascii="Arial" w:hAnsi="Arial" w:cs="Arial"/>
          <w:sz w:val="22"/>
          <w:szCs w:val="22"/>
        </w:rPr>
        <w:t>Contractracting</w:t>
      </w:r>
      <w:bookmarkEnd w:id="12"/>
      <w:proofErr w:type="spellEnd"/>
    </w:p>
    <w:p w14:paraId="0C51C06B" w14:textId="25D8E0BD" w:rsidR="00D10F58" w:rsidRPr="0073139F" w:rsidRDefault="00587B64" w:rsidP="0073139F">
      <w:pPr>
        <w:spacing w:line="360" w:lineRule="auto"/>
        <w:jc w:val="both"/>
      </w:pPr>
      <w:r w:rsidRPr="0073139F">
        <w:t xml:space="preserve"> Nonetheless, the hybrid approach also presents coordination and capacity issues.  Allocating responsibilities among internal teams and many external contractors heightens the risk of misunderstanding, ambiguous accountability, and interface conflicts (Merrow, 2011).  If internal personnel execute civil works improperly, external equipment installers may encounter delays or technical complications that increase project expenses.  The client must possess robust project management capabilities to oversee contractors, mitigate risks, and ensure integration across work packages (PMI, 2021).  Moreover, depending on internal personnel for certain tasks may strain municipal teams, resulting in diminished productivity in other community services (Ochieng and Price, 2010).  Ultimately, split responsibilities might hinder dispute resolution, as both internal and external entities may cause delays or deficiencies.  Thus, although the </w:t>
      </w:r>
      <w:proofErr w:type="spellStart"/>
      <w:r w:rsidRPr="0073139F">
        <w:t>multicontract</w:t>
      </w:r>
      <w:proofErr w:type="spellEnd"/>
      <w:r w:rsidRPr="0073139F">
        <w:t xml:space="preserve"> + DIY approach provides a balanced and adaptable contracting strategy, its efficacy is contingent upon the client's adequate administrative competence to coordinate many stakeholders and uphold technical supervision.</w:t>
      </w:r>
    </w:p>
    <w:p w14:paraId="43752401" w14:textId="77777777" w:rsidR="00616A86" w:rsidRPr="0073139F" w:rsidRDefault="00616A86" w:rsidP="0073139F">
      <w:pPr>
        <w:spacing w:line="360" w:lineRule="auto"/>
        <w:jc w:val="both"/>
      </w:pPr>
    </w:p>
    <w:p w14:paraId="2A862A22" w14:textId="77777777" w:rsidR="00616A86" w:rsidRDefault="00616A86" w:rsidP="0073139F">
      <w:pPr>
        <w:spacing w:line="360" w:lineRule="auto"/>
        <w:jc w:val="both"/>
      </w:pPr>
    </w:p>
    <w:p w14:paraId="3CB274B4" w14:textId="77777777" w:rsidR="0073139F" w:rsidRDefault="0073139F" w:rsidP="0073139F">
      <w:pPr>
        <w:spacing w:line="360" w:lineRule="auto"/>
        <w:jc w:val="both"/>
      </w:pPr>
    </w:p>
    <w:p w14:paraId="6383E97A" w14:textId="77777777" w:rsidR="009157E1" w:rsidRDefault="009157E1" w:rsidP="0073139F">
      <w:pPr>
        <w:spacing w:line="360" w:lineRule="auto"/>
        <w:jc w:val="both"/>
      </w:pPr>
    </w:p>
    <w:p w14:paraId="1BB5BDD0" w14:textId="77777777" w:rsidR="009157E1" w:rsidRDefault="009157E1" w:rsidP="0073139F">
      <w:pPr>
        <w:spacing w:line="360" w:lineRule="auto"/>
        <w:jc w:val="both"/>
      </w:pPr>
    </w:p>
    <w:p w14:paraId="6DF10933" w14:textId="77777777" w:rsidR="009157E1" w:rsidRDefault="009157E1" w:rsidP="0073139F">
      <w:pPr>
        <w:spacing w:line="360" w:lineRule="auto"/>
        <w:jc w:val="both"/>
      </w:pPr>
    </w:p>
    <w:p w14:paraId="7F068B3A" w14:textId="77777777" w:rsidR="009157E1" w:rsidRDefault="009157E1" w:rsidP="0073139F">
      <w:pPr>
        <w:spacing w:line="360" w:lineRule="auto"/>
        <w:jc w:val="both"/>
      </w:pPr>
    </w:p>
    <w:p w14:paraId="70261D6B" w14:textId="77777777" w:rsidR="009157E1" w:rsidRDefault="009157E1" w:rsidP="0073139F">
      <w:pPr>
        <w:spacing w:line="360" w:lineRule="auto"/>
        <w:jc w:val="both"/>
      </w:pPr>
    </w:p>
    <w:p w14:paraId="15EEEFC2" w14:textId="77777777" w:rsidR="009157E1" w:rsidRDefault="009157E1" w:rsidP="0073139F">
      <w:pPr>
        <w:spacing w:line="360" w:lineRule="auto"/>
        <w:jc w:val="both"/>
      </w:pPr>
    </w:p>
    <w:p w14:paraId="1B8652E1" w14:textId="77777777" w:rsidR="009157E1" w:rsidRDefault="009157E1" w:rsidP="0073139F">
      <w:pPr>
        <w:spacing w:line="360" w:lineRule="auto"/>
        <w:jc w:val="both"/>
      </w:pPr>
    </w:p>
    <w:p w14:paraId="5517B21A" w14:textId="77777777" w:rsidR="009157E1" w:rsidRDefault="009157E1" w:rsidP="0073139F">
      <w:pPr>
        <w:spacing w:line="360" w:lineRule="auto"/>
        <w:jc w:val="both"/>
      </w:pPr>
    </w:p>
    <w:p w14:paraId="0ADD7C74" w14:textId="77777777" w:rsidR="009157E1" w:rsidRDefault="009157E1" w:rsidP="0073139F">
      <w:pPr>
        <w:spacing w:line="360" w:lineRule="auto"/>
        <w:jc w:val="both"/>
      </w:pPr>
    </w:p>
    <w:p w14:paraId="7AFECEF3" w14:textId="77777777" w:rsidR="009157E1" w:rsidRDefault="009157E1" w:rsidP="0073139F">
      <w:pPr>
        <w:spacing w:line="360" w:lineRule="auto"/>
        <w:jc w:val="both"/>
      </w:pPr>
    </w:p>
    <w:p w14:paraId="32119629" w14:textId="77777777" w:rsidR="009157E1" w:rsidRDefault="009157E1" w:rsidP="0073139F">
      <w:pPr>
        <w:spacing w:line="360" w:lineRule="auto"/>
        <w:jc w:val="both"/>
      </w:pPr>
    </w:p>
    <w:p w14:paraId="73CF5DD3" w14:textId="77777777" w:rsidR="009157E1" w:rsidRDefault="009157E1" w:rsidP="0073139F">
      <w:pPr>
        <w:spacing w:line="360" w:lineRule="auto"/>
        <w:jc w:val="both"/>
      </w:pPr>
    </w:p>
    <w:p w14:paraId="55EAFB4D" w14:textId="77777777" w:rsidR="009157E1" w:rsidRDefault="009157E1" w:rsidP="0073139F">
      <w:pPr>
        <w:spacing w:line="360" w:lineRule="auto"/>
        <w:jc w:val="both"/>
      </w:pPr>
    </w:p>
    <w:p w14:paraId="094A10FB" w14:textId="2B5FB080" w:rsidR="009157E1" w:rsidRDefault="009157E1" w:rsidP="009157E1">
      <w:pPr>
        <w:pStyle w:val="Heading1"/>
        <w:numPr>
          <w:ilvl w:val="0"/>
          <w:numId w:val="1"/>
        </w:numPr>
        <w:rPr>
          <w:rFonts w:ascii="Arial" w:hAnsi="Arial" w:cs="Arial"/>
          <w:sz w:val="28"/>
          <w:szCs w:val="28"/>
        </w:rPr>
      </w:pPr>
      <w:bookmarkStart w:id="13" w:name="_Toc214440924"/>
      <w:r w:rsidRPr="009157E1">
        <w:rPr>
          <w:rFonts w:ascii="Arial" w:hAnsi="Arial" w:cs="Arial"/>
          <w:sz w:val="28"/>
          <w:szCs w:val="28"/>
        </w:rPr>
        <w:lastRenderedPageBreak/>
        <w:t>Critical Comparison of Contracting Approaches</w:t>
      </w:r>
      <w:bookmarkEnd w:id="13"/>
    </w:p>
    <w:p w14:paraId="7884F1BA" w14:textId="5C46D619" w:rsidR="003A7124" w:rsidRDefault="00991494" w:rsidP="00991494">
      <w:pPr>
        <w:spacing w:line="360" w:lineRule="auto"/>
        <w:jc w:val="both"/>
      </w:pPr>
      <w:r w:rsidRPr="00991494">
        <w:t xml:space="preserve">Choosing a suitable contracting method is essential for project execution, as each approach allocates responsibility, risk, technical oversight, and decision-making power differently, thereby influencing cost efficiency, design adaptability, and the extent of client engagement throughout the project lifecycle.  These contrasts hold special importance in public-sector infrastructure projects, where transparency, value for money, and community expectations must be reconciled with technical complexity and long-term operating factors (Flyvbjerg, 2021).  Turnkey, </w:t>
      </w:r>
      <w:proofErr w:type="spellStart"/>
      <w:r w:rsidRPr="00991494">
        <w:t>multicontract</w:t>
      </w:r>
      <w:proofErr w:type="spellEnd"/>
      <w:r w:rsidRPr="00991494">
        <w:t>, DIY, and hybrid contracting each offer unique benefits and drawbacks including coordination requirements, dependence on specialised knowledge, and the degree to which the client can affect ongoing design and construction choices.  A critical comparison of these approaches is essential for understanding how contracting strategy influences project outcomes and for identifying the method that best aligns with the client's organisational capabilities, the facility's technical requirements, and the project's overarching strategic objectives (Morris, 2013).</w:t>
      </w:r>
    </w:p>
    <w:p w14:paraId="7707D89C" w14:textId="20CF1F91" w:rsidR="00862267" w:rsidRDefault="00694525" w:rsidP="006967DF">
      <w:pPr>
        <w:pStyle w:val="Heading2"/>
        <w:numPr>
          <w:ilvl w:val="1"/>
          <w:numId w:val="1"/>
        </w:numPr>
        <w:rPr>
          <w:rFonts w:ascii="Arial" w:hAnsi="Arial" w:cs="Arial"/>
          <w:sz w:val="28"/>
          <w:szCs w:val="28"/>
        </w:rPr>
      </w:pPr>
      <w:bookmarkStart w:id="14" w:name="_Toc214440925"/>
      <w:r w:rsidRPr="006967DF">
        <w:rPr>
          <w:rFonts w:ascii="Arial" w:hAnsi="Arial" w:cs="Arial"/>
          <w:sz w:val="28"/>
          <w:szCs w:val="28"/>
        </w:rPr>
        <w:t>Comparison</w:t>
      </w:r>
      <w:r w:rsidR="00C23A82" w:rsidRPr="006967DF">
        <w:rPr>
          <w:rFonts w:ascii="Arial" w:hAnsi="Arial" w:cs="Arial"/>
          <w:sz w:val="28"/>
          <w:szCs w:val="28"/>
        </w:rPr>
        <w:t xml:space="preserve"> Table of </w:t>
      </w:r>
      <w:r w:rsidR="00FE2C95" w:rsidRPr="006967DF">
        <w:rPr>
          <w:rFonts w:ascii="Arial" w:hAnsi="Arial" w:cs="Arial"/>
          <w:sz w:val="28"/>
          <w:szCs w:val="28"/>
        </w:rPr>
        <w:t>Contracting Methods</w:t>
      </w:r>
      <w:bookmarkEnd w:id="14"/>
    </w:p>
    <w:p w14:paraId="226CCBC1" w14:textId="77777777" w:rsidR="003A7124" w:rsidRPr="003A7124" w:rsidRDefault="003A7124" w:rsidP="003A7124"/>
    <w:tbl>
      <w:tblPr>
        <w:tblStyle w:val="GridTable5Dark"/>
        <w:tblW w:w="9436" w:type="dxa"/>
        <w:tblLook w:val="04A0" w:firstRow="1" w:lastRow="0" w:firstColumn="1" w:lastColumn="0" w:noHBand="0" w:noVBand="1"/>
      </w:tblPr>
      <w:tblGrid>
        <w:gridCol w:w="2359"/>
        <w:gridCol w:w="2359"/>
        <w:gridCol w:w="2359"/>
        <w:gridCol w:w="2359"/>
      </w:tblGrid>
      <w:tr w:rsidR="000728C4" w14:paraId="05F521FD" w14:textId="77777777" w:rsidTr="003A7124">
        <w:trPr>
          <w:cnfStyle w:val="100000000000" w:firstRow="1" w:lastRow="0" w:firstColumn="0" w:lastColumn="0" w:oddVBand="0" w:evenVBand="0" w:oddHBand="0"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2359" w:type="dxa"/>
          </w:tcPr>
          <w:p w14:paraId="46C08886" w14:textId="0ECD0A8A" w:rsidR="000728C4" w:rsidRDefault="00DB2635" w:rsidP="00CB388A">
            <w:pPr>
              <w:jc w:val="center"/>
            </w:pPr>
            <w:r w:rsidRPr="00DB2635">
              <w:t>Contracting Method</w:t>
            </w:r>
          </w:p>
        </w:tc>
        <w:tc>
          <w:tcPr>
            <w:tcW w:w="2359" w:type="dxa"/>
          </w:tcPr>
          <w:p w14:paraId="63425B9D" w14:textId="6B19FB37" w:rsidR="000728C4" w:rsidRDefault="00702250" w:rsidP="00CB388A">
            <w:pPr>
              <w:jc w:val="center"/>
              <w:cnfStyle w:val="100000000000" w:firstRow="1" w:lastRow="0" w:firstColumn="0" w:lastColumn="0" w:oddVBand="0" w:evenVBand="0" w:oddHBand="0" w:evenHBand="0" w:firstRowFirstColumn="0" w:firstRowLastColumn="0" w:lastRowFirstColumn="0" w:lastRowLastColumn="0"/>
            </w:pPr>
            <w:r>
              <w:t>Key Advantages</w:t>
            </w:r>
          </w:p>
        </w:tc>
        <w:tc>
          <w:tcPr>
            <w:tcW w:w="2359" w:type="dxa"/>
          </w:tcPr>
          <w:p w14:paraId="03C17533" w14:textId="15B848DB" w:rsidR="000728C4" w:rsidRDefault="007966C8" w:rsidP="00CB388A">
            <w:pPr>
              <w:jc w:val="center"/>
              <w:cnfStyle w:val="100000000000" w:firstRow="1" w:lastRow="0" w:firstColumn="0" w:lastColumn="0" w:oddVBand="0" w:evenVBand="0" w:oddHBand="0" w:evenHBand="0" w:firstRowFirstColumn="0" w:firstRowLastColumn="0" w:lastRowFirstColumn="0" w:lastRowLastColumn="0"/>
            </w:pPr>
            <w:r>
              <w:t>Key Disadvantages</w:t>
            </w:r>
          </w:p>
        </w:tc>
        <w:tc>
          <w:tcPr>
            <w:tcW w:w="2359" w:type="dxa"/>
          </w:tcPr>
          <w:p w14:paraId="2FB9CCDE" w14:textId="01EBA623" w:rsidR="000728C4" w:rsidRDefault="00F42E1E" w:rsidP="00CB388A">
            <w:pPr>
              <w:jc w:val="center"/>
              <w:cnfStyle w:val="100000000000" w:firstRow="1" w:lastRow="0" w:firstColumn="0" w:lastColumn="0" w:oddVBand="0" w:evenVBand="0" w:oddHBand="0" w:evenHBand="0" w:firstRowFirstColumn="0" w:firstRowLastColumn="0" w:lastRowFirstColumn="0" w:lastRowLastColumn="0"/>
            </w:pPr>
            <w:r>
              <w:t xml:space="preserve">Best Suited </w:t>
            </w:r>
            <w:r w:rsidR="00D02F69">
              <w:t>For</w:t>
            </w:r>
          </w:p>
        </w:tc>
      </w:tr>
      <w:tr w:rsidR="000728C4" w14:paraId="7BAD7051" w14:textId="77777777" w:rsidTr="003A7124">
        <w:trPr>
          <w:cnfStyle w:val="000000100000" w:firstRow="0" w:lastRow="0" w:firstColumn="0" w:lastColumn="0" w:oddVBand="0" w:evenVBand="0" w:oddHBand="1" w:evenHBand="0" w:firstRowFirstColumn="0" w:firstRowLastColumn="0" w:lastRowFirstColumn="0" w:lastRowLastColumn="0"/>
          <w:trHeight w:val="1084"/>
        </w:trPr>
        <w:tc>
          <w:tcPr>
            <w:cnfStyle w:val="001000000000" w:firstRow="0" w:lastRow="0" w:firstColumn="1" w:lastColumn="0" w:oddVBand="0" w:evenVBand="0" w:oddHBand="0" w:evenHBand="0" w:firstRowFirstColumn="0" w:firstRowLastColumn="0" w:lastRowFirstColumn="0" w:lastRowLastColumn="0"/>
            <w:tcW w:w="2359" w:type="dxa"/>
          </w:tcPr>
          <w:p w14:paraId="757C5826" w14:textId="77777777" w:rsidR="00EE1229" w:rsidRDefault="00EE1229" w:rsidP="001A587B">
            <w:pPr>
              <w:jc w:val="center"/>
              <w:rPr>
                <w:b w:val="0"/>
                <w:bCs w:val="0"/>
              </w:rPr>
            </w:pPr>
          </w:p>
          <w:p w14:paraId="2825A960" w14:textId="36083F97" w:rsidR="000728C4" w:rsidRDefault="001A587B" w:rsidP="001A587B">
            <w:pPr>
              <w:jc w:val="center"/>
            </w:pPr>
            <w:r>
              <w:t>Turnkey</w:t>
            </w:r>
          </w:p>
        </w:tc>
        <w:tc>
          <w:tcPr>
            <w:tcW w:w="2359" w:type="dxa"/>
          </w:tcPr>
          <w:p w14:paraId="47DF7FC5" w14:textId="2C87C13A" w:rsidR="000728C4" w:rsidRDefault="009A6E46" w:rsidP="00FA2DA4">
            <w:pPr>
              <w:cnfStyle w:val="000000100000" w:firstRow="0" w:lastRow="0" w:firstColumn="0" w:lastColumn="0" w:oddVBand="0" w:evenVBand="0" w:oddHBand="1" w:evenHBand="0" w:firstRowFirstColumn="0" w:firstRowLastColumn="0" w:lastRowFirstColumn="0" w:lastRowLastColumn="0"/>
            </w:pPr>
            <w:r w:rsidRPr="009A6E46">
              <w:t>Single responsibility; predictable costs; reduced client workload</w:t>
            </w:r>
          </w:p>
        </w:tc>
        <w:tc>
          <w:tcPr>
            <w:tcW w:w="2359" w:type="dxa"/>
          </w:tcPr>
          <w:p w14:paraId="643595BC" w14:textId="1C47E81E" w:rsidR="000728C4" w:rsidRDefault="00A53955" w:rsidP="00FA2DA4">
            <w:pPr>
              <w:cnfStyle w:val="000000100000" w:firstRow="0" w:lastRow="0" w:firstColumn="0" w:lastColumn="0" w:oddVBand="0" w:evenVBand="0" w:oddHBand="1" w:evenHBand="0" w:firstRowFirstColumn="0" w:firstRowLastColumn="0" w:lastRowFirstColumn="0" w:lastRowLastColumn="0"/>
            </w:pPr>
            <w:r w:rsidRPr="00A53955">
              <w:t>Low flexibility; limited client control; risk of reduced quality</w:t>
            </w:r>
          </w:p>
        </w:tc>
        <w:tc>
          <w:tcPr>
            <w:tcW w:w="2359" w:type="dxa"/>
          </w:tcPr>
          <w:p w14:paraId="76BE4016" w14:textId="54084436" w:rsidR="000728C4" w:rsidRDefault="00A53955" w:rsidP="00FA2DA4">
            <w:pPr>
              <w:cnfStyle w:val="000000100000" w:firstRow="0" w:lastRow="0" w:firstColumn="0" w:lastColumn="0" w:oddVBand="0" w:evenVBand="0" w:oddHBand="1" w:evenHBand="0" w:firstRowFirstColumn="0" w:firstRowLastColumn="0" w:lastRowFirstColumn="0" w:lastRowLastColumn="0"/>
            </w:pPr>
            <w:r w:rsidRPr="00A53955">
              <w:t>Technically complex, highly integrated facilities</w:t>
            </w:r>
          </w:p>
        </w:tc>
      </w:tr>
      <w:tr w:rsidR="000728C4" w14:paraId="214B65AC" w14:textId="77777777" w:rsidTr="003A7124">
        <w:trPr>
          <w:trHeight w:val="1038"/>
        </w:trPr>
        <w:tc>
          <w:tcPr>
            <w:cnfStyle w:val="001000000000" w:firstRow="0" w:lastRow="0" w:firstColumn="1" w:lastColumn="0" w:oddVBand="0" w:evenVBand="0" w:oddHBand="0" w:evenHBand="0" w:firstRowFirstColumn="0" w:firstRowLastColumn="0" w:lastRowFirstColumn="0" w:lastRowLastColumn="0"/>
            <w:tcW w:w="2359" w:type="dxa"/>
          </w:tcPr>
          <w:p w14:paraId="6719EBB8" w14:textId="77777777" w:rsidR="00EE1229" w:rsidRDefault="00EE1229" w:rsidP="002707FC">
            <w:pPr>
              <w:jc w:val="center"/>
              <w:rPr>
                <w:b w:val="0"/>
                <w:bCs w:val="0"/>
              </w:rPr>
            </w:pPr>
          </w:p>
          <w:p w14:paraId="47BADC05" w14:textId="6874F112" w:rsidR="000728C4" w:rsidRDefault="000D33B9" w:rsidP="00EE1229">
            <w:pPr>
              <w:jc w:val="center"/>
            </w:pPr>
            <w:proofErr w:type="spellStart"/>
            <w:r>
              <w:t>Multicontract</w:t>
            </w:r>
            <w:proofErr w:type="spellEnd"/>
          </w:p>
        </w:tc>
        <w:tc>
          <w:tcPr>
            <w:tcW w:w="2359" w:type="dxa"/>
          </w:tcPr>
          <w:p w14:paraId="66978AC0" w14:textId="7DC1E8F3" w:rsidR="000728C4" w:rsidRDefault="00A53955" w:rsidP="00FA2DA4">
            <w:pPr>
              <w:cnfStyle w:val="000000000000" w:firstRow="0" w:lastRow="0" w:firstColumn="0" w:lastColumn="0" w:oddVBand="0" w:evenVBand="0" w:oddHBand="0" w:evenHBand="0" w:firstRowFirstColumn="0" w:firstRowLastColumn="0" w:lastRowFirstColumn="0" w:lastRowLastColumn="0"/>
            </w:pPr>
            <w:r w:rsidRPr="00A53955">
              <w:t>Access to specialists; high flexibility; competitive pricing</w:t>
            </w:r>
          </w:p>
        </w:tc>
        <w:tc>
          <w:tcPr>
            <w:tcW w:w="2359" w:type="dxa"/>
          </w:tcPr>
          <w:p w14:paraId="5EB2C6E8" w14:textId="4EB16717" w:rsidR="000728C4" w:rsidRDefault="00F848F9" w:rsidP="00FA2DA4">
            <w:pPr>
              <w:cnfStyle w:val="000000000000" w:firstRow="0" w:lastRow="0" w:firstColumn="0" w:lastColumn="0" w:oddVBand="0" w:evenVBand="0" w:oddHBand="0" w:evenHBand="0" w:firstRowFirstColumn="0" w:firstRowLastColumn="0" w:lastRowFirstColumn="0" w:lastRowLastColumn="0"/>
            </w:pPr>
            <w:r w:rsidRPr="00F848F9">
              <w:t>High coordination effort; interface and scheduling risks</w:t>
            </w:r>
          </w:p>
        </w:tc>
        <w:tc>
          <w:tcPr>
            <w:tcW w:w="2359" w:type="dxa"/>
          </w:tcPr>
          <w:p w14:paraId="0B85A659" w14:textId="7F8BD007" w:rsidR="000728C4" w:rsidRDefault="00F848F9" w:rsidP="00FA2DA4">
            <w:pPr>
              <w:cnfStyle w:val="000000000000" w:firstRow="0" w:lastRow="0" w:firstColumn="0" w:lastColumn="0" w:oddVBand="0" w:evenVBand="0" w:oddHBand="0" w:evenHBand="0" w:firstRowFirstColumn="0" w:firstRowLastColumn="0" w:lastRowFirstColumn="0" w:lastRowLastColumn="0"/>
            </w:pPr>
            <w:r w:rsidRPr="00F848F9">
              <w:t>Projects requiring multiple experts and strong oversight</w:t>
            </w:r>
          </w:p>
        </w:tc>
      </w:tr>
      <w:tr w:rsidR="000728C4" w14:paraId="14309D56" w14:textId="77777777" w:rsidTr="003A7124">
        <w:trPr>
          <w:cnfStyle w:val="000000100000" w:firstRow="0" w:lastRow="0" w:firstColumn="0" w:lastColumn="0" w:oddVBand="0" w:evenVBand="0" w:oddHBand="1" w:evenHBand="0" w:firstRowFirstColumn="0" w:firstRowLastColumn="0" w:lastRowFirstColumn="0" w:lastRowLastColumn="0"/>
          <w:trHeight w:val="1038"/>
        </w:trPr>
        <w:tc>
          <w:tcPr>
            <w:cnfStyle w:val="001000000000" w:firstRow="0" w:lastRow="0" w:firstColumn="1" w:lastColumn="0" w:oddVBand="0" w:evenVBand="0" w:oddHBand="0" w:evenHBand="0" w:firstRowFirstColumn="0" w:firstRowLastColumn="0" w:lastRowFirstColumn="0" w:lastRowLastColumn="0"/>
            <w:tcW w:w="2359" w:type="dxa"/>
          </w:tcPr>
          <w:p w14:paraId="56577454" w14:textId="77777777" w:rsidR="00EE1229" w:rsidRDefault="00EE1229" w:rsidP="002707FC">
            <w:pPr>
              <w:jc w:val="center"/>
              <w:rPr>
                <w:b w:val="0"/>
                <w:bCs w:val="0"/>
              </w:rPr>
            </w:pPr>
          </w:p>
          <w:p w14:paraId="648839F2" w14:textId="0685CEB4" w:rsidR="000728C4" w:rsidRDefault="00810BA9" w:rsidP="002707FC">
            <w:pPr>
              <w:jc w:val="center"/>
            </w:pPr>
            <w:r>
              <w:t>DIY</w:t>
            </w:r>
          </w:p>
        </w:tc>
        <w:tc>
          <w:tcPr>
            <w:tcW w:w="2359" w:type="dxa"/>
          </w:tcPr>
          <w:p w14:paraId="5923D72C" w14:textId="2FDA1D4E" w:rsidR="000728C4" w:rsidRDefault="00F848F9" w:rsidP="00FA2DA4">
            <w:pPr>
              <w:cnfStyle w:val="000000100000" w:firstRow="0" w:lastRow="0" w:firstColumn="0" w:lastColumn="0" w:oddVBand="0" w:evenVBand="0" w:oddHBand="1" w:evenHBand="0" w:firstRowFirstColumn="0" w:firstRowLastColumn="0" w:lastRowFirstColumn="0" w:lastRowLastColumn="0"/>
            </w:pPr>
            <w:r w:rsidRPr="00F848F9">
              <w:t>Maximum control; cost-saving potential; supports local skills</w:t>
            </w:r>
          </w:p>
        </w:tc>
        <w:tc>
          <w:tcPr>
            <w:tcW w:w="2359" w:type="dxa"/>
          </w:tcPr>
          <w:p w14:paraId="4F02A028" w14:textId="620CB131" w:rsidR="000728C4" w:rsidRDefault="00F848F9" w:rsidP="00FA2DA4">
            <w:pPr>
              <w:cnfStyle w:val="000000100000" w:firstRow="0" w:lastRow="0" w:firstColumn="0" w:lastColumn="0" w:oddVBand="0" w:evenVBand="0" w:oddHBand="1" w:evenHBand="0" w:firstRowFirstColumn="0" w:firstRowLastColumn="0" w:lastRowFirstColumn="0" w:lastRowLastColumn="0"/>
            </w:pPr>
            <w:r w:rsidRPr="00F848F9">
              <w:t>Lack of specialist expertise; delays; overburdened staff</w:t>
            </w:r>
          </w:p>
        </w:tc>
        <w:tc>
          <w:tcPr>
            <w:tcW w:w="2359" w:type="dxa"/>
          </w:tcPr>
          <w:p w14:paraId="32C6EAF6" w14:textId="530DD038" w:rsidR="000728C4" w:rsidRDefault="00065F07" w:rsidP="00FA2DA4">
            <w:pPr>
              <w:cnfStyle w:val="000000100000" w:firstRow="0" w:lastRow="0" w:firstColumn="0" w:lastColumn="0" w:oddVBand="0" w:evenVBand="0" w:oddHBand="1" w:evenHBand="0" w:firstRowFirstColumn="0" w:firstRowLastColumn="0" w:lastRowFirstColumn="0" w:lastRowLastColumn="0"/>
            </w:pPr>
            <w:r w:rsidRPr="00065F07">
              <w:t>Small/medium projects with strong internal capability</w:t>
            </w:r>
          </w:p>
        </w:tc>
      </w:tr>
      <w:tr w:rsidR="000728C4" w14:paraId="78E71DDF" w14:textId="77777777" w:rsidTr="003A7124">
        <w:trPr>
          <w:trHeight w:val="1038"/>
        </w:trPr>
        <w:tc>
          <w:tcPr>
            <w:cnfStyle w:val="001000000000" w:firstRow="0" w:lastRow="0" w:firstColumn="1" w:lastColumn="0" w:oddVBand="0" w:evenVBand="0" w:oddHBand="0" w:evenHBand="0" w:firstRowFirstColumn="0" w:firstRowLastColumn="0" w:lastRowFirstColumn="0" w:lastRowLastColumn="0"/>
            <w:tcW w:w="2359" w:type="dxa"/>
          </w:tcPr>
          <w:p w14:paraId="246DF464" w14:textId="77777777" w:rsidR="00EE1229" w:rsidRDefault="00EE1229" w:rsidP="002707FC">
            <w:pPr>
              <w:jc w:val="center"/>
              <w:rPr>
                <w:b w:val="0"/>
                <w:bCs w:val="0"/>
              </w:rPr>
            </w:pPr>
          </w:p>
          <w:p w14:paraId="2810A809" w14:textId="7416A968" w:rsidR="000728C4" w:rsidRDefault="002707FC" w:rsidP="002707FC">
            <w:pPr>
              <w:jc w:val="center"/>
            </w:pPr>
            <w:r>
              <w:t>Hybrid (</w:t>
            </w:r>
            <w:proofErr w:type="spellStart"/>
            <w:r>
              <w:t>Multicontract+DIY</w:t>
            </w:r>
            <w:proofErr w:type="spellEnd"/>
            <w:r>
              <w:t>)</w:t>
            </w:r>
          </w:p>
        </w:tc>
        <w:tc>
          <w:tcPr>
            <w:tcW w:w="2359" w:type="dxa"/>
          </w:tcPr>
          <w:p w14:paraId="220B392A" w14:textId="2DC833F5" w:rsidR="000728C4" w:rsidRDefault="00065F07" w:rsidP="00FA2DA4">
            <w:pPr>
              <w:cnfStyle w:val="000000000000" w:firstRow="0" w:lastRow="0" w:firstColumn="0" w:lastColumn="0" w:oddVBand="0" w:evenVBand="0" w:oddHBand="0" w:evenHBand="0" w:firstRowFirstColumn="0" w:firstRowLastColumn="0" w:lastRowFirstColumn="0" w:lastRowLastColumn="0"/>
            </w:pPr>
            <w:r w:rsidRPr="00065F07">
              <w:t>Balanced resource use; flexible; combines internal and external strengths</w:t>
            </w:r>
          </w:p>
        </w:tc>
        <w:tc>
          <w:tcPr>
            <w:tcW w:w="2359" w:type="dxa"/>
          </w:tcPr>
          <w:p w14:paraId="239CB635" w14:textId="2597CDF7" w:rsidR="000728C4" w:rsidRDefault="00F24B09" w:rsidP="00FA2DA4">
            <w:pPr>
              <w:cnfStyle w:val="000000000000" w:firstRow="0" w:lastRow="0" w:firstColumn="0" w:lastColumn="0" w:oddVBand="0" w:evenVBand="0" w:oddHBand="0" w:evenHBand="0" w:firstRowFirstColumn="0" w:firstRowLastColumn="0" w:lastRowFirstColumn="0" w:lastRowLastColumn="0"/>
            </w:pPr>
            <w:r w:rsidRPr="00F24B09">
              <w:t>Complex governance; risk of miscommunication; fragmented accountability</w:t>
            </w:r>
          </w:p>
        </w:tc>
        <w:tc>
          <w:tcPr>
            <w:tcW w:w="2359" w:type="dxa"/>
          </w:tcPr>
          <w:p w14:paraId="4E06E0B3" w14:textId="436EA05E" w:rsidR="000728C4" w:rsidRDefault="003A7124" w:rsidP="00FA2DA4">
            <w:pPr>
              <w:cnfStyle w:val="000000000000" w:firstRow="0" w:lastRow="0" w:firstColumn="0" w:lastColumn="0" w:oddVBand="0" w:evenVBand="0" w:oddHBand="0" w:evenHBand="0" w:firstRowFirstColumn="0" w:firstRowLastColumn="0" w:lastRowFirstColumn="0" w:lastRowLastColumn="0"/>
            </w:pPr>
            <w:r w:rsidRPr="003A7124">
              <w:t>Projects where clients have partial capability but require specialists</w:t>
            </w:r>
          </w:p>
        </w:tc>
      </w:tr>
    </w:tbl>
    <w:p w14:paraId="608A02D7" w14:textId="77777777" w:rsidR="00FA2DA4" w:rsidRDefault="00FA2DA4" w:rsidP="00FA2DA4"/>
    <w:p w14:paraId="140AD456" w14:textId="77777777" w:rsidR="00ED335A" w:rsidRPr="00ED335A" w:rsidRDefault="00ED335A" w:rsidP="00ED335A"/>
    <w:p w14:paraId="45393D1D" w14:textId="77777777" w:rsidR="0073139F" w:rsidRDefault="0073139F" w:rsidP="0073139F">
      <w:pPr>
        <w:spacing w:line="360" w:lineRule="auto"/>
        <w:jc w:val="both"/>
      </w:pPr>
    </w:p>
    <w:p w14:paraId="62CA0342" w14:textId="77777777" w:rsidR="0073139F" w:rsidRDefault="0073139F" w:rsidP="0073139F">
      <w:pPr>
        <w:spacing w:line="360" w:lineRule="auto"/>
        <w:jc w:val="both"/>
      </w:pPr>
    </w:p>
    <w:p w14:paraId="5731A9D9" w14:textId="77777777" w:rsidR="00124EDF" w:rsidRPr="0073139F" w:rsidRDefault="00124EDF" w:rsidP="0073139F">
      <w:pPr>
        <w:spacing w:line="360" w:lineRule="auto"/>
        <w:jc w:val="both"/>
      </w:pPr>
    </w:p>
    <w:p w14:paraId="6082119C" w14:textId="77777777" w:rsidR="00616A86" w:rsidRPr="0073139F" w:rsidRDefault="00616A86" w:rsidP="0073139F">
      <w:pPr>
        <w:spacing w:line="360" w:lineRule="auto"/>
        <w:jc w:val="both"/>
      </w:pPr>
    </w:p>
    <w:p w14:paraId="414B386C" w14:textId="7F3103C0" w:rsidR="005E5051" w:rsidRPr="0073139F" w:rsidRDefault="005E5051" w:rsidP="0073139F">
      <w:pPr>
        <w:pStyle w:val="Heading1"/>
        <w:numPr>
          <w:ilvl w:val="0"/>
          <w:numId w:val="1"/>
        </w:numPr>
        <w:spacing w:line="360" w:lineRule="auto"/>
        <w:jc w:val="both"/>
        <w:rPr>
          <w:rFonts w:ascii="Arial" w:hAnsi="Arial" w:cs="Arial"/>
          <w:sz w:val="22"/>
          <w:szCs w:val="22"/>
        </w:rPr>
      </w:pPr>
      <w:bookmarkStart w:id="15" w:name="_Toc214440926"/>
      <w:r w:rsidRPr="0073139F">
        <w:rPr>
          <w:rFonts w:ascii="Arial" w:hAnsi="Arial" w:cs="Arial"/>
          <w:sz w:val="22"/>
          <w:szCs w:val="22"/>
        </w:rPr>
        <w:t>Conclusion</w:t>
      </w:r>
      <w:bookmarkEnd w:id="15"/>
    </w:p>
    <w:p w14:paraId="200C9A38" w14:textId="63906613" w:rsidR="005E5051" w:rsidRPr="0073139F" w:rsidRDefault="005E5051" w:rsidP="0073139F">
      <w:pPr>
        <w:spacing w:line="360" w:lineRule="auto"/>
        <w:jc w:val="both"/>
      </w:pPr>
      <w:r w:rsidRPr="0073139F">
        <w:t xml:space="preserve">The choice of an appropriate contracting technique is a pivotal decision in project management, influencing the allocation of risk, control, expertise, and accountability throughout the project lifecycle.  This essay has analysed four contracting methods—Turnkey, </w:t>
      </w:r>
      <w:proofErr w:type="spellStart"/>
      <w:r w:rsidRPr="0073139F">
        <w:t>Multicontract</w:t>
      </w:r>
      <w:proofErr w:type="spellEnd"/>
      <w:r w:rsidRPr="0073139F">
        <w:t xml:space="preserve">, DIY, and </w:t>
      </w:r>
      <w:proofErr w:type="spellStart"/>
      <w:r w:rsidRPr="0073139F">
        <w:t>Multicontract</w:t>
      </w:r>
      <w:proofErr w:type="spellEnd"/>
      <w:r w:rsidRPr="0073139F">
        <w:t xml:space="preserve"> + DIY—and assessed their appropriateness for constructing a community recycling centre in a medium-sized urban area.  Each strategy offers unique advantages and disadvantages that affect project performance.</w:t>
      </w:r>
    </w:p>
    <w:p w14:paraId="74F85F5E" w14:textId="3285D937" w:rsidR="005E5051" w:rsidRPr="0073139F" w:rsidRDefault="005E5051" w:rsidP="0073139F">
      <w:pPr>
        <w:spacing w:line="360" w:lineRule="auto"/>
        <w:jc w:val="both"/>
      </w:pPr>
      <w:r w:rsidRPr="0073139F">
        <w:t xml:space="preserve"> Turnkey contracting provides simplicity, centralised accountability, and diminished customer engagement, rendering it suitable for clients without technical proficiency.  Nonetheless, these benefits entail diminished flexibility and restricted control over design modifications.  The </w:t>
      </w:r>
      <w:proofErr w:type="spellStart"/>
      <w:r w:rsidRPr="0073139F">
        <w:t>multicontract</w:t>
      </w:r>
      <w:proofErr w:type="spellEnd"/>
      <w:r w:rsidRPr="0073139F">
        <w:t xml:space="preserve"> strategy decentralises tasks among various specialised contractors, improving quality and perhaps lowering prices, while also raising coordination complexity and interface hazards.  The DIY approach offers optimal control and organisational learning for the customer, but it also subjects the project to capacity restrictions and technical limitations.  The hybrid </w:t>
      </w:r>
      <w:proofErr w:type="spellStart"/>
      <w:r w:rsidRPr="0073139F">
        <w:t>multicontract</w:t>
      </w:r>
      <w:proofErr w:type="spellEnd"/>
      <w:r w:rsidRPr="0073139F">
        <w:t xml:space="preserve"> + DIY model presents a balanced solution by integrating internal participation with the proficiency of external contractors; nonetheless, it necessitates robust managerial skills to coordinate various stakeholders and prevent fragmented accountability.</w:t>
      </w:r>
    </w:p>
    <w:p w14:paraId="0EC25949" w14:textId="776F8485" w:rsidR="005E5051" w:rsidRPr="0073139F" w:rsidRDefault="005E5051" w:rsidP="0073139F">
      <w:pPr>
        <w:spacing w:line="360" w:lineRule="auto"/>
        <w:jc w:val="both"/>
      </w:pPr>
      <w:r w:rsidRPr="0073139F">
        <w:t xml:space="preserve"> Ultimately, no contracting approach is generally superior; rather, appropriateness is contingent upon the client's internal capabilities, the project's technical complexity, budget limitations, and the desired degree of control.  A hybrid strategy may provide the most equitable option for a community recycling centre, allowing the customer to maintain strategic control while utilising specialised skills for intricate components.  The proficient application of project management tools—namely the Work Breakdown Structure, Risk Register, Gantt Chart, and Stakeholder Matrix—is crucial across all contracting methodologies to assure integration, mitigate risks, and attain effective project outcomes.</w:t>
      </w:r>
    </w:p>
    <w:p w14:paraId="2C126A46" w14:textId="77777777" w:rsidR="00C67770" w:rsidRDefault="00C67770" w:rsidP="005E5051"/>
    <w:p w14:paraId="2F13E1B1" w14:textId="77777777" w:rsidR="00C67770" w:rsidRDefault="00C67770" w:rsidP="005E5051"/>
    <w:p w14:paraId="527E4994" w14:textId="77777777" w:rsidR="00C67770" w:rsidRDefault="00C67770" w:rsidP="005E5051"/>
    <w:p w14:paraId="0B497032" w14:textId="77777777" w:rsidR="00C67770" w:rsidRDefault="00C67770" w:rsidP="005E5051"/>
    <w:p w14:paraId="04B48BB7" w14:textId="77777777" w:rsidR="00EF3668" w:rsidRDefault="00EF3668" w:rsidP="005E5051"/>
    <w:p w14:paraId="17B7E41F" w14:textId="77777777" w:rsidR="00C67770" w:rsidRDefault="00C67770" w:rsidP="005E5051"/>
    <w:p w14:paraId="01FFC30D" w14:textId="7E43DF23" w:rsidR="00C67770" w:rsidRDefault="006A11F8" w:rsidP="00B357DE">
      <w:pPr>
        <w:pStyle w:val="Heading1"/>
        <w:numPr>
          <w:ilvl w:val="0"/>
          <w:numId w:val="1"/>
        </w:numPr>
      </w:pPr>
      <w:bookmarkStart w:id="16" w:name="_Toc214440927"/>
      <w:r>
        <w:lastRenderedPageBreak/>
        <w:t>References</w:t>
      </w:r>
      <w:bookmarkEnd w:id="16"/>
    </w:p>
    <w:p w14:paraId="32D2178F" w14:textId="2531904B" w:rsidR="009656B5" w:rsidRDefault="009656B5" w:rsidP="00EF3668">
      <w:pPr>
        <w:spacing w:line="360" w:lineRule="auto"/>
        <w:jc w:val="both"/>
      </w:pPr>
      <w:r>
        <w:t xml:space="preserve">APM (2020) APM Body of Knowledge. 7th </w:t>
      </w:r>
      <w:proofErr w:type="spellStart"/>
      <w:r>
        <w:t>edn</w:t>
      </w:r>
      <w:proofErr w:type="spellEnd"/>
      <w:r>
        <w:t>. Buckinghamshire: Association for Project Management.</w:t>
      </w:r>
    </w:p>
    <w:p w14:paraId="38E13F01" w14:textId="0E5BC9FA" w:rsidR="009656B5" w:rsidRDefault="009656B5" w:rsidP="00EF3668">
      <w:pPr>
        <w:spacing w:line="360" w:lineRule="auto"/>
        <w:jc w:val="both"/>
      </w:pPr>
      <w:r>
        <w:t>Davies, A., MacAulay, S.C., DeBarro, T. and Thurston, M. (2016) ‘Managing the innovation process in project-based firms’, Research Policy, 45(1), pp. 219–232.</w:t>
      </w:r>
    </w:p>
    <w:p w14:paraId="5381242C" w14:textId="658A0E63" w:rsidR="009656B5" w:rsidRDefault="009656B5" w:rsidP="00EF3668">
      <w:pPr>
        <w:spacing w:line="360" w:lineRule="auto"/>
        <w:jc w:val="both"/>
      </w:pPr>
      <w:r>
        <w:t>Eriksson, P.E. and Westerberg, M. (2011) ‘Effects of cooperative procurement procedures on construction project performance: A conceptual framework’, International Journal of Project Management, 29(8), pp. 197–208.</w:t>
      </w:r>
    </w:p>
    <w:p w14:paraId="4DE33E03" w14:textId="419EF16D" w:rsidR="006358A0" w:rsidRDefault="006358A0" w:rsidP="00EF3668">
      <w:pPr>
        <w:spacing w:line="360" w:lineRule="auto"/>
        <w:jc w:val="both"/>
      </w:pPr>
      <w:r w:rsidRPr="006358A0">
        <w:t>Flyvbjerg, B. (2021) How Big Things Get Done. London: Penguin.</w:t>
      </w:r>
    </w:p>
    <w:p w14:paraId="192993BF" w14:textId="77DDB586" w:rsidR="009656B5" w:rsidRDefault="009656B5" w:rsidP="00EF3668">
      <w:pPr>
        <w:spacing w:line="360" w:lineRule="auto"/>
        <w:jc w:val="both"/>
      </w:pPr>
      <w:r>
        <w:t xml:space="preserve">Kerzner, H. (2022) Project Management: A Systems Approach to Planning, Scheduling, and Controlling. 13th </w:t>
      </w:r>
      <w:proofErr w:type="spellStart"/>
      <w:r>
        <w:t>edn</w:t>
      </w:r>
      <w:proofErr w:type="spellEnd"/>
      <w:r>
        <w:t>. Hoboken, NJ: Wiley.</w:t>
      </w:r>
    </w:p>
    <w:p w14:paraId="3F9B9603" w14:textId="68732271" w:rsidR="009656B5" w:rsidRDefault="009656B5" w:rsidP="00EF3668">
      <w:pPr>
        <w:spacing w:line="360" w:lineRule="auto"/>
        <w:jc w:val="both"/>
      </w:pPr>
      <w:r>
        <w:t>Love, P.E.D., Edwards, D.J. and Smith, J. (2016) ‘Rework in infrastructure projects: Importance of communication’, Engineering, Construction and Architectural Management, 23(7), pp. 924–939.</w:t>
      </w:r>
    </w:p>
    <w:p w14:paraId="212E1E65" w14:textId="7A59B145" w:rsidR="009656B5" w:rsidRDefault="009656B5" w:rsidP="00EF3668">
      <w:pPr>
        <w:spacing w:line="360" w:lineRule="auto"/>
        <w:jc w:val="both"/>
      </w:pPr>
      <w:r>
        <w:t xml:space="preserve">Meredith, J.R. and Mantel, S.J. (2021) Project Management: A Managerial Approach. 11th </w:t>
      </w:r>
      <w:proofErr w:type="spellStart"/>
      <w:r>
        <w:t>edn</w:t>
      </w:r>
      <w:proofErr w:type="spellEnd"/>
      <w:r>
        <w:t>. Hoboken, NJ: Wiley.</w:t>
      </w:r>
    </w:p>
    <w:p w14:paraId="127A81D9" w14:textId="579F9AD0" w:rsidR="009656B5" w:rsidRDefault="009656B5" w:rsidP="00EF3668">
      <w:pPr>
        <w:spacing w:line="360" w:lineRule="auto"/>
        <w:jc w:val="both"/>
      </w:pPr>
      <w:r>
        <w:t>Merrow, E.W. (2011) Industrial Megaprojects: Concepts, Strategies and Practices for Success. Hoboken, NJ: Wiley.</w:t>
      </w:r>
    </w:p>
    <w:p w14:paraId="7DD0CD76" w14:textId="5028AAE6" w:rsidR="00783C9B" w:rsidRDefault="00783C9B" w:rsidP="00EF3668">
      <w:pPr>
        <w:spacing w:line="360" w:lineRule="auto"/>
        <w:jc w:val="both"/>
      </w:pPr>
      <w:r w:rsidRPr="00783C9B">
        <w:t>Morris, P.W.G. (2013) Reconstructing Project Management. Chichester: Wiley-Blackwel</w:t>
      </w:r>
    </w:p>
    <w:p w14:paraId="62342107" w14:textId="49F255B4" w:rsidR="009656B5" w:rsidRDefault="009656B5" w:rsidP="00EF3668">
      <w:pPr>
        <w:spacing w:line="360" w:lineRule="auto"/>
        <w:jc w:val="both"/>
      </w:pPr>
      <w:r>
        <w:t xml:space="preserve">Mosey, D. (2019) Collaborative Construction Procurement and Improved Value. 2nd </w:t>
      </w:r>
      <w:proofErr w:type="spellStart"/>
      <w:r>
        <w:t>edn</w:t>
      </w:r>
      <w:proofErr w:type="spellEnd"/>
      <w:r>
        <w:t>. London: ICE Publishing.</w:t>
      </w:r>
    </w:p>
    <w:p w14:paraId="384774CD" w14:textId="2394DF76" w:rsidR="009656B5" w:rsidRDefault="009656B5" w:rsidP="00EF3668">
      <w:pPr>
        <w:spacing w:line="360" w:lineRule="auto"/>
        <w:jc w:val="both"/>
      </w:pPr>
      <w:r>
        <w:t>Ochieng, E.G. and Price, A.D.F. (2010) ‘Managing cross-cultural communication in multicultural construction project teams: The case of Kenya and UK’, International Journal of Project Management, 28(5), pp. 449–460.</w:t>
      </w:r>
    </w:p>
    <w:p w14:paraId="6F28C34A" w14:textId="481815E1" w:rsidR="009656B5" w:rsidRDefault="009656B5" w:rsidP="00EF3668">
      <w:pPr>
        <w:spacing w:line="360" w:lineRule="auto"/>
        <w:jc w:val="both"/>
      </w:pPr>
      <w:r>
        <w:t xml:space="preserve">PMI (2021) A Guide to the Project Management Body of Knowledge (PMBOK Guide). 7th </w:t>
      </w:r>
      <w:proofErr w:type="spellStart"/>
      <w:r>
        <w:t>edn</w:t>
      </w:r>
      <w:proofErr w:type="spellEnd"/>
      <w:r>
        <w:t>. Newtown Square, PA: Project Management Institute.</w:t>
      </w:r>
    </w:p>
    <w:p w14:paraId="630A2A1D" w14:textId="0600572B" w:rsidR="009656B5" w:rsidRDefault="009656B5" w:rsidP="00EF3668">
      <w:pPr>
        <w:spacing w:line="360" w:lineRule="auto"/>
        <w:jc w:val="both"/>
      </w:pPr>
      <w:r>
        <w:t xml:space="preserve">Turner, J.R. (2014) Handbook of Project-Based Management: Leading Strategic Change in Organizations. 4th </w:t>
      </w:r>
      <w:proofErr w:type="spellStart"/>
      <w:r>
        <w:t>edn</w:t>
      </w:r>
      <w:proofErr w:type="spellEnd"/>
      <w:r>
        <w:t>. New York: McGraw-Hill.</w:t>
      </w:r>
    </w:p>
    <w:p w14:paraId="19756505" w14:textId="34020C25" w:rsidR="009656B5" w:rsidRDefault="009656B5" w:rsidP="00EF3668">
      <w:pPr>
        <w:spacing w:line="360" w:lineRule="auto"/>
        <w:jc w:val="both"/>
      </w:pPr>
      <w:r>
        <w:t xml:space="preserve">Winch, G. (2010) Managing Construction Projects: An Information Processing Approach. 2nd </w:t>
      </w:r>
      <w:proofErr w:type="spellStart"/>
      <w:r>
        <w:t>edn</w:t>
      </w:r>
      <w:proofErr w:type="spellEnd"/>
      <w:r>
        <w:t>. Chichester: Wiley-Blackwell.</w:t>
      </w:r>
    </w:p>
    <w:p w14:paraId="7633D017" w14:textId="5784A382" w:rsidR="009656B5" w:rsidRDefault="009656B5" w:rsidP="00EF3668">
      <w:pPr>
        <w:spacing w:line="360" w:lineRule="auto"/>
        <w:jc w:val="both"/>
      </w:pPr>
      <w:r>
        <w:lastRenderedPageBreak/>
        <w:t>Zuo, J., Zhao, Z., Nguyen, Q.B.M., Ma, T. and Gao, S. (2018) ‘Soft skills of construction project management professionals and project success factors’, Engineering, Construction and Architectural Management, 25(3), pp. 425–442</w:t>
      </w:r>
      <w:r w:rsidR="00616A86">
        <w:t>.</w:t>
      </w:r>
    </w:p>
    <w:p w14:paraId="1EF5A8E8" w14:textId="5C352FF4" w:rsidR="009656B5" w:rsidRDefault="009656B5" w:rsidP="00EF3668">
      <w:pPr>
        <w:spacing w:line="360" w:lineRule="auto"/>
        <w:jc w:val="both"/>
      </w:pPr>
      <w:r>
        <w:t>Eriksson, P.E. (2017) ‘Procurement strategies for enhancing innovation in construction’, Construction Management and Economics, 35(7), pp. 404–417</w:t>
      </w:r>
      <w:r w:rsidR="00616A86">
        <w:t>.</w:t>
      </w:r>
    </w:p>
    <w:p w14:paraId="008CBA88" w14:textId="515D7CAF" w:rsidR="009656B5" w:rsidRPr="009656B5" w:rsidRDefault="009656B5" w:rsidP="00EF3668">
      <w:pPr>
        <w:spacing w:line="360" w:lineRule="auto"/>
        <w:jc w:val="both"/>
      </w:pPr>
      <w:r>
        <w:t>Hobbs, B. and Aubry, M. (2010) The Project Management Office (PMO): A Quest for Understanding. Newton Square, PA: Project Management Institute.</w:t>
      </w:r>
    </w:p>
    <w:sectPr w:rsidR="009656B5" w:rsidRPr="009656B5" w:rsidSect="00926C4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2A133" w14:textId="77777777" w:rsidR="006A553E" w:rsidRDefault="006A553E" w:rsidP="00926C4D">
      <w:pPr>
        <w:spacing w:after="0" w:line="240" w:lineRule="auto"/>
      </w:pPr>
      <w:r>
        <w:separator/>
      </w:r>
    </w:p>
  </w:endnote>
  <w:endnote w:type="continuationSeparator" w:id="0">
    <w:p w14:paraId="28C618F3" w14:textId="77777777" w:rsidR="006A553E" w:rsidRDefault="006A553E" w:rsidP="00926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966857"/>
      <w:docPartObj>
        <w:docPartGallery w:val="Page Numbers (Bottom of Page)"/>
        <w:docPartUnique/>
      </w:docPartObj>
    </w:sdtPr>
    <w:sdtEndPr>
      <w:rPr>
        <w:noProof/>
      </w:rPr>
    </w:sdtEndPr>
    <w:sdtContent>
      <w:p w14:paraId="4617AB2A" w14:textId="6242A321" w:rsidR="00926C4D" w:rsidRDefault="00926C4D">
        <w:pPr>
          <w:pStyle w:val="Footer"/>
        </w:pPr>
        <w:r>
          <w:fldChar w:fldCharType="begin"/>
        </w:r>
        <w:r>
          <w:instrText xml:space="preserve"> PAGE   \* MERGEFORMAT </w:instrText>
        </w:r>
        <w:r>
          <w:fldChar w:fldCharType="separate"/>
        </w:r>
        <w:r>
          <w:rPr>
            <w:noProof/>
          </w:rPr>
          <w:t>2</w:t>
        </w:r>
        <w:r>
          <w:rPr>
            <w:noProof/>
          </w:rPr>
          <w:fldChar w:fldCharType="end"/>
        </w:r>
      </w:p>
    </w:sdtContent>
  </w:sdt>
  <w:p w14:paraId="32CCD39F" w14:textId="77777777" w:rsidR="00926C4D" w:rsidRDefault="00926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10B88" w14:textId="77777777" w:rsidR="006A553E" w:rsidRDefault="006A553E" w:rsidP="00926C4D">
      <w:pPr>
        <w:spacing w:after="0" w:line="240" w:lineRule="auto"/>
      </w:pPr>
      <w:r>
        <w:separator/>
      </w:r>
    </w:p>
  </w:footnote>
  <w:footnote w:type="continuationSeparator" w:id="0">
    <w:p w14:paraId="5E0D6B82" w14:textId="77777777" w:rsidR="006A553E" w:rsidRDefault="006A553E" w:rsidP="00926C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EC5B20"/>
    <w:multiLevelType w:val="multilevel"/>
    <w:tmpl w:val="D51C4F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908266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D75"/>
    <w:rsid w:val="00020A5D"/>
    <w:rsid w:val="00030ABA"/>
    <w:rsid w:val="00065F07"/>
    <w:rsid w:val="000728C4"/>
    <w:rsid w:val="000D33B9"/>
    <w:rsid w:val="00124EDF"/>
    <w:rsid w:val="001331C9"/>
    <w:rsid w:val="00196609"/>
    <w:rsid w:val="001A587B"/>
    <w:rsid w:val="001B280D"/>
    <w:rsid w:val="001E1BA0"/>
    <w:rsid w:val="002707FC"/>
    <w:rsid w:val="002E0DA5"/>
    <w:rsid w:val="002E28D3"/>
    <w:rsid w:val="002F7720"/>
    <w:rsid w:val="00373EB1"/>
    <w:rsid w:val="00377926"/>
    <w:rsid w:val="003A7124"/>
    <w:rsid w:val="003C67A4"/>
    <w:rsid w:val="003E1E09"/>
    <w:rsid w:val="003E5A11"/>
    <w:rsid w:val="0046204D"/>
    <w:rsid w:val="004E2895"/>
    <w:rsid w:val="00587B64"/>
    <w:rsid w:val="005E5051"/>
    <w:rsid w:val="005F4A1C"/>
    <w:rsid w:val="00616A86"/>
    <w:rsid w:val="00624D75"/>
    <w:rsid w:val="006358A0"/>
    <w:rsid w:val="00663238"/>
    <w:rsid w:val="00682BFE"/>
    <w:rsid w:val="00694525"/>
    <w:rsid w:val="006967DF"/>
    <w:rsid w:val="006A11F8"/>
    <w:rsid w:val="006A553E"/>
    <w:rsid w:val="006C5BC4"/>
    <w:rsid w:val="006C6596"/>
    <w:rsid w:val="00702250"/>
    <w:rsid w:val="0073139F"/>
    <w:rsid w:val="00737683"/>
    <w:rsid w:val="00783C9B"/>
    <w:rsid w:val="007966C8"/>
    <w:rsid w:val="007C63EB"/>
    <w:rsid w:val="00800FED"/>
    <w:rsid w:val="00810BA9"/>
    <w:rsid w:val="00862267"/>
    <w:rsid w:val="00870CB9"/>
    <w:rsid w:val="008D7F2E"/>
    <w:rsid w:val="009157E1"/>
    <w:rsid w:val="00926C4D"/>
    <w:rsid w:val="009367D8"/>
    <w:rsid w:val="009656B5"/>
    <w:rsid w:val="0099104D"/>
    <w:rsid w:val="00991494"/>
    <w:rsid w:val="00995C7E"/>
    <w:rsid w:val="00996E8B"/>
    <w:rsid w:val="009A6E46"/>
    <w:rsid w:val="009C3352"/>
    <w:rsid w:val="009D78B4"/>
    <w:rsid w:val="00A53955"/>
    <w:rsid w:val="00A670E8"/>
    <w:rsid w:val="00B214E5"/>
    <w:rsid w:val="00B357DE"/>
    <w:rsid w:val="00B537B1"/>
    <w:rsid w:val="00B93634"/>
    <w:rsid w:val="00B95180"/>
    <w:rsid w:val="00BB3C0E"/>
    <w:rsid w:val="00BE5D79"/>
    <w:rsid w:val="00BF53E1"/>
    <w:rsid w:val="00C23A82"/>
    <w:rsid w:val="00C67770"/>
    <w:rsid w:val="00CB388A"/>
    <w:rsid w:val="00D02F69"/>
    <w:rsid w:val="00D10F58"/>
    <w:rsid w:val="00DB2635"/>
    <w:rsid w:val="00DB7382"/>
    <w:rsid w:val="00DE13C8"/>
    <w:rsid w:val="00DF0A4A"/>
    <w:rsid w:val="00E615BA"/>
    <w:rsid w:val="00EC344A"/>
    <w:rsid w:val="00ED335A"/>
    <w:rsid w:val="00ED44DF"/>
    <w:rsid w:val="00EE1229"/>
    <w:rsid w:val="00EF3668"/>
    <w:rsid w:val="00F0046F"/>
    <w:rsid w:val="00F24B09"/>
    <w:rsid w:val="00F42E1E"/>
    <w:rsid w:val="00F848F9"/>
    <w:rsid w:val="00F95848"/>
    <w:rsid w:val="00FA2DA4"/>
    <w:rsid w:val="00FA6CC8"/>
    <w:rsid w:val="00FE14D5"/>
    <w:rsid w:val="00FE2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F6C95"/>
  <w15:chartTrackingRefBased/>
  <w15:docId w15:val="{79F92113-0A52-445F-8E7C-AE790635C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D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4D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4D7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4D7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24D7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24D7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4D7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4D7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4D7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D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4D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4D7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4D7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24D7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24D7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24D7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24D7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24D7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24D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D7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D7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24D75"/>
    <w:pPr>
      <w:spacing w:before="160"/>
      <w:jc w:val="center"/>
    </w:pPr>
    <w:rPr>
      <w:i/>
      <w:iCs/>
      <w:color w:val="404040" w:themeColor="text1" w:themeTint="BF"/>
    </w:rPr>
  </w:style>
  <w:style w:type="character" w:customStyle="1" w:styleId="QuoteChar">
    <w:name w:val="Quote Char"/>
    <w:basedOn w:val="DefaultParagraphFont"/>
    <w:link w:val="Quote"/>
    <w:uiPriority w:val="29"/>
    <w:rsid w:val="00624D75"/>
    <w:rPr>
      <w:i/>
      <w:iCs/>
      <w:color w:val="404040" w:themeColor="text1" w:themeTint="BF"/>
    </w:rPr>
  </w:style>
  <w:style w:type="paragraph" w:styleId="ListParagraph">
    <w:name w:val="List Paragraph"/>
    <w:basedOn w:val="Normal"/>
    <w:uiPriority w:val="34"/>
    <w:qFormat/>
    <w:rsid w:val="00624D75"/>
    <w:pPr>
      <w:ind w:left="720"/>
      <w:contextualSpacing/>
    </w:pPr>
  </w:style>
  <w:style w:type="character" w:styleId="IntenseEmphasis">
    <w:name w:val="Intense Emphasis"/>
    <w:basedOn w:val="DefaultParagraphFont"/>
    <w:uiPriority w:val="21"/>
    <w:qFormat/>
    <w:rsid w:val="00624D75"/>
    <w:rPr>
      <w:i/>
      <w:iCs/>
      <w:color w:val="0F4761" w:themeColor="accent1" w:themeShade="BF"/>
    </w:rPr>
  </w:style>
  <w:style w:type="paragraph" w:styleId="IntenseQuote">
    <w:name w:val="Intense Quote"/>
    <w:basedOn w:val="Normal"/>
    <w:next w:val="Normal"/>
    <w:link w:val="IntenseQuoteChar"/>
    <w:uiPriority w:val="30"/>
    <w:qFormat/>
    <w:rsid w:val="00624D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D75"/>
    <w:rPr>
      <w:i/>
      <w:iCs/>
      <w:color w:val="0F4761" w:themeColor="accent1" w:themeShade="BF"/>
    </w:rPr>
  </w:style>
  <w:style w:type="character" w:styleId="IntenseReference">
    <w:name w:val="Intense Reference"/>
    <w:basedOn w:val="DefaultParagraphFont"/>
    <w:uiPriority w:val="32"/>
    <w:qFormat/>
    <w:rsid w:val="00624D75"/>
    <w:rPr>
      <w:b/>
      <w:bCs/>
      <w:smallCaps/>
      <w:color w:val="0F4761" w:themeColor="accent1" w:themeShade="BF"/>
      <w:spacing w:val="5"/>
    </w:rPr>
  </w:style>
  <w:style w:type="paragraph" w:styleId="NoSpacing">
    <w:name w:val="No Spacing"/>
    <w:link w:val="NoSpacingChar"/>
    <w:uiPriority w:val="1"/>
    <w:qFormat/>
    <w:rsid w:val="00926C4D"/>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926C4D"/>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926C4D"/>
    <w:pPr>
      <w:spacing w:before="240" w:after="0"/>
      <w:outlineLvl w:val="9"/>
    </w:pPr>
    <w:rPr>
      <w:sz w:val="32"/>
      <w:szCs w:val="32"/>
      <w:lang w:val="en-US"/>
    </w:rPr>
  </w:style>
  <w:style w:type="paragraph" w:styleId="Header">
    <w:name w:val="header"/>
    <w:basedOn w:val="Normal"/>
    <w:link w:val="HeaderChar"/>
    <w:uiPriority w:val="99"/>
    <w:unhideWhenUsed/>
    <w:rsid w:val="00926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C4D"/>
  </w:style>
  <w:style w:type="paragraph" w:styleId="Footer">
    <w:name w:val="footer"/>
    <w:basedOn w:val="Normal"/>
    <w:link w:val="FooterChar"/>
    <w:uiPriority w:val="99"/>
    <w:unhideWhenUsed/>
    <w:rsid w:val="00926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C4D"/>
  </w:style>
  <w:style w:type="paragraph" w:styleId="TOC1">
    <w:name w:val="toc 1"/>
    <w:basedOn w:val="Normal"/>
    <w:next w:val="Normal"/>
    <w:autoRedefine/>
    <w:uiPriority w:val="39"/>
    <w:unhideWhenUsed/>
    <w:rsid w:val="00616A86"/>
    <w:pPr>
      <w:spacing w:after="100"/>
    </w:pPr>
  </w:style>
  <w:style w:type="character" w:styleId="Hyperlink">
    <w:name w:val="Hyperlink"/>
    <w:basedOn w:val="DefaultParagraphFont"/>
    <w:uiPriority w:val="99"/>
    <w:unhideWhenUsed/>
    <w:rsid w:val="00616A86"/>
    <w:rPr>
      <w:color w:val="467886" w:themeColor="hyperlink"/>
      <w:u w:val="single"/>
    </w:rPr>
  </w:style>
  <w:style w:type="paragraph" w:styleId="TOC2">
    <w:name w:val="toc 2"/>
    <w:basedOn w:val="Normal"/>
    <w:next w:val="Normal"/>
    <w:autoRedefine/>
    <w:uiPriority w:val="39"/>
    <w:unhideWhenUsed/>
    <w:rsid w:val="00B357DE"/>
    <w:pPr>
      <w:spacing w:after="100"/>
      <w:ind w:left="220"/>
    </w:pPr>
  </w:style>
  <w:style w:type="table" w:styleId="TableGrid">
    <w:name w:val="Table Grid"/>
    <w:basedOn w:val="TableNormal"/>
    <w:uiPriority w:val="39"/>
    <w:rsid w:val="000728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3A71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092a7895cd20f5d9ee07d643acd71b45">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9604bec86eb08bceda847352f860e54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DFCDA6-580E-4B39-BC08-6F3A312566CA}">
  <ds:schemaRefs>
    <ds:schemaRef ds:uri="0338428b-3fc8-4989-9d03-78e16c931d9f"/>
    <ds:schemaRef ds:uri="http://schemas.microsoft.com/office/infopath/2007/PartnerControls"/>
    <ds:schemaRef ds:uri="http://purl.org/dc/dcmitype/"/>
    <ds:schemaRef ds:uri="http://purl.org/dc/terms/"/>
    <ds:schemaRef ds:uri="http://schemas.microsoft.com/office/2006/documentManagement/types"/>
    <ds:schemaRef ds:uri="http://www.w3.org/XML/1998/namespace"/>
    <ds:schemaRef ds:uri="http://purl.org/dc/elements/1.1/"/>
    <ds:schemaRef ds:uri="http://schemas.openxmlformats.org/package/2006/metadata/core-properties"/>
    <ds:schemaRef ds:uri="4055ddc6-ee7b-4b5b-b8fb-52871646f80e"/>
    <ds:schemaRef ds:uri="http://schemas.microsoft.com/office/2006/metadata/properties"/>
  </ds:schemaRefs>
</ds:datastoreItem>
</file>

<file path=customXml/itemProps2.xml><?xml version="1.0" encoding="utf-8"?>
<ds:datastoreItem xmlns:ds="http://schemas.openxmlformats.org/officeDocument/2006/customXml" ds:itemID="{3E1BF8E8-96C7-4E5B-844F-32F220A6675C}">
  <ds:schemaRefs>
    <ds:schemaRef ds:uri="http://schemas.microsoft.com/sharepoint/v3/contenttype/forms"/>
  </ds:schemaRefs>
</ds:datastoreItem>
</file>

<file path=customXml/itemProps3.xml><?xml version="1.0" encoding="utf-8"?>
<ds:datastoreItem xmlns:ds="http://schemas.openxmlformats.org/officeDocument/2006/customXml" ds:itemID="{480D078F-C8EB-4BAC-B059-020E2C5EA4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22BFA9-B319-4BE5-B0C7-03509A43A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12</Pages>
  <Words>2932</Words>
  <Characters>19968</Characters>
  <Application>Microsoft Office Word</Application>
  <DocSecurity>0</DocSecurity>
  <Lines>376</Lines>
  <Paragraphs>67</Paragraphs>
  <ScaleCrop>false</ScaleCrop>
  <Company/>
  <LinksUpToDate>false</LinksUpToDate>
  <CharactersWithSpaces>22833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Four Contracting Methods in Project Management: Their Advantages and Disadvantages</dc:title>
  <dc:subject>Essay</dc:subject>
  <dc:creator>Rolnd Mih</dc:creator>
  <cp:keywords/>
  <dc:description/>
  <cp:lastModifiedBy>Roland Mihai</cp:lastModifiedBy>
  <cp:revision>82</cp:revision>
  <dcterms:created xsi:type="dcterms:W3CDTF">2025-11-14T14:09:00Z</dcterms:created>
  <dcterms:modified xsi:type="dcterms:W3CDTF">2025-11-19T10:35:00Z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