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7CE9" w:rsidRDefault="00AB7CE9">
      <w:r>
        <w:rPr>
          <w:noProof/>
          <w:lang w:eastAsia="en-GB"/>
        </w:rPr>
        <mc:AlternateContent>
          <mc:Choice Requires="wps">
            <w:drawing>
              <wp:anchor distT="0" distB="0" distL="114300" distR="114300" simplePos="0" relativeHeight="251659264" behindDoc="0" locked="0" layoutInCell="1" allowOverlap="1" wp14:anchorId="5280C9A0" wp14:editId="31C3EE8B">
                <wp:simplePos x="0" y="0"/>
                <wp:positionH relativeFrom="column">
                  <wp:posOffset>409575</wp:posOffset>
                </wp:positionH>
                <wp:positionV relativeFrom="paragraph">
                  <wp:posOffset>5553075</wp:posOffset>
                </wp:positionV>
                <wp:extent cx="5219700" cy="2895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219700" cy="2895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B7CE9" w:rsidRDefault="00AB7CE9" w:rsidP="00AB7CE9">
                            <w:pPr>
                              <w:jc w:val="center"/>
                              <w:rPr>
                                <w:b/>
                              </w:rPr>
                            </w:pPr>
                          </w:p>
                          <w:p w:rsidR="00AB7CE9" w:rsidRDefault="00AB7CE9" w:rsidP="00AB7CE9">
                            <w:pPr>
                              <w:jc w:val="center"/>
                              <w:rPr>
                                <w:b/>
                              </w:rPr>
                            </w:pPr>
                          </w:p>
                          <w:p w:rsidR="00AB7CE9" w:rsidRPr="00AB7CE9" w:rsidRDefault="00AB7CE9" w:rsidP="00AB7CE9">
                            <w:pPr>
                              <w:jc w:val="center"/>
                              <w:rPr>
                                <w:b/>
                              </w:rPr>
                            </w:pPr>
                            <w:r w:rsidRPr="00AB7CE9">
                              <w:rPr>
                                <w:b/>
                              </w:rPr>
                              <w:t>Claire Mann</w:t>
                            </w:r>
                          </w:p>
                          <w:p w:rsidR="00AB7CE9" w:rsidRPr="00AB7CE9" w:rsidRDefault="00AB7CE9" w:rsidP="00AB7CE9">
                            <w:pPr>
                              <w:jc w:val="center"/>
                              <w:rPr>
                                <w:b/>
                              </w:rPr>
                            </w:pPr>
                          </w:p>
                          <w:p w:rsidR="00AB7CE9" w:rsidRPr="00AB7CE9" w:rsidRDefault="00AB7CE9" w:rsidP="00AB7CE9">
                            <w:pPr>
                              <w:jc w:val="center"/>
                              <w:rPr>
                                <w:b/>
                              </w:rPr>
                            </w:pPr>
                            <w:r w:rsidRPr="00AB7CE9">
                              <w:rPr>
                                <w:b/>
                              </w:rPr>
                              <w:t>1602593</w:t>
                            </w:r>
                          </w:p>
                          <w:p w:rsidR="00AB7CE9" w:rsidRPr="00AB7CE9" w:rsidRDefault="00AB7CE9" w:rsidP="00AB7CE9">
                            <w:pPr>
                              <w:jc w:val="center"/>
                              <w:rPr>
                                <w:b/>
                              </w:rPr>
                            </w:pPr>
                          </w:p>
                          <w:p w:rsidR="00AB7CE9" w:rsidRPr="00AB7CE9" w:rsidRDefault="00AB7CE9" w:rsidP="00AB7CE9">
                            <w:pPr>
                              <w:jc w:val="center"/>
                              <w:rPr>
                                <w:b/>
                              </w:rPr>
                            </w:pPr>
                            <w:r w:rsidRPr="00AB7CE9">
                              <w:rPr>
                                <w:b/>
                              </w:rPr>
                              <w:t>Routes and Roots of the Black Atlantic: Cultural Histories of the African Diaspora.</w:t>
                            </w:r>
                          </w:p>
                          <w:p w:rsidR="00AB7CE9" w:rsidRPr="00AB7CE9" w:rsidRDefault="00AB7CE9" w:rsidP="00AB7CE9">
                            <w:pPr>
                              <w:jc w:val="center"/>
                              <w:rPr>
                                <w:b/>
                              </w:rPr>
                            </w:pPr>
                          </w:p>
                          <w:p w:rsidR="00AB7CE9" w:rsidRPr="00AB7CE9" w:rsidRDefault="00AB7CE9" w:rsidP="00AB7CE9">
                            <w:pPr>
                              <w:jc w:val="center"/>
                              <w:rPr>
                                <w:b/>
                              </w:rPr>
                            </w:pPr>
                            <w:r w:rsidRPr="00AB7CE9">
                              <w:rPr>
                                <w:b/>
                              </w:rPr>
                              <w:t>HPHI5006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25pt;margin-top:437.25pt;width:411pt;height:22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" fillcolor="white [3201]" stroked="f" strokeweight=".5pt">
                <v:textbox>
                  <w:txbxContent>
                    <w:p w:rsidR="00AB7CE9" w:rsidRDefault="00AB7CE9" w:rsidP="00AB7CE9">
                      <w:pPr>
                        <w:jc w:val="center"/>
                        <w:rPr>
                          <w:b/>
                        </w:rPr>
                      </w:pPr>
                    </w:p>
                    <w:p w:rsidR="00AB7CE9" w:rsidRDefault="00AB7CE9" w:rsidP="00AB7CE9">
                      <w:pPr>
                        <w:jc w:val="center"/>
                        <w:rPr>
                          <w:b/>
                        </w:rPr>
                      </w:pPr>
                    </w:p>
                    <w:p w:rsidR="00AB7CE9" w:rsidRPr="00AB7CE9" w:rsidRDefault="00AB7CE9" w:rsidP="00AB7CE9">
                      <w:pPr>
                        <w:jc w:val="center"/>
                        <w:rPr>
                          <w:b/>
                        </w:rPr>
                      </w:pPr>
                      <w:r w:rsidRPr="00AB7CE9">
                        <w:rPr>
                          <w:b/>
                        </w:rPr>
                        <w:t>Claire Mann</w:t>
                      </w:r>
                    </w:p>
                    <w:p w:rsidR="00AB7CE9" w:rsidRPr="00AB7CE9" w:rsidRDefault="00AB7CE9" w:rsidP="00AB7CE9">
                      <w:pPr>
                        <w:jc w:val="center"/>
                        <w:rPr>
                          <w:b/>
                        </w:rPr>
                      </w:pPr>
                    </w:p>
                    <w:p w:rsidR="00AB7CE9" w:rsidRPr="00AB7CE9" w:rsidRDefault="00AB7CE9" w:rsidP="00AB7CE9">
                      <w:pPr>
                        <w:jc w:val="center"/>
                        <w:rPr>
                          <w:b/>
                        </w:rPr>
                      </w:pPr>
                      <w:r w:rsidRPr="00AB7CE9">
                        <w:rPr>
                          <w:b/>
                        </w:rPr>
                        <w:t>1602593</w:t>
                      </w:r>
                    </w:p>
                    <w:p w:rsidR="00AB7CE9" w:rsidRPr="00AB7CE9" w:rsidRDefault="00AB7CE9" w:rsidP="00AB7CE9">
                      <w:pPr>
                        <w:jc w:val="center"/>
                        <w:rPr>
                          <w:b/>
                        </w:rPr>
                      </w:pPr>
                    </w:p>
                    <w:p w:rsidR="00AB7CE9" w:rsidRPr="00AB7CE9" w:rsidRDefault="00AB7CE9" w:rsidP="00AB7CE9">
                      <w:pPr>
                        <w:jc w:val="center"/>
                        <w:rPr>
                          <w:b/>
                        </w:rPr>
                      </w:pPr>
                      <w:r w:rsidRPr="00AB7CE9">
                        <w:rPr>
                          <w:b/>
                        </w:rPr>
                        <w:t>Routes and Roots of the Black Atlantic: Cultural Histories of the African Diaspora.</w:t>
                      </w:r>
                    </w:p>
                    <w:p w:rsidR="00AB7CE9" w:rsidRPr="00AB7CE9" w:rsidRDefault="00AB7CE9" w:rsidP="00AB7CE9">
                      <w:pPr>
                        <w:jc w:val="center"/>
                        <w:rPr>
                          <w:b/>
                        </w:rPr>
                      </w:pPr>
                    </w:p>
                    <w:p w:rsidR="00AB7CE9" w:rsidRPr="00AB7CE9" w:rsidRDefault="00AB7CE9" w:rsidP="00AB7CE9">
                      <w:pPr>
                        <w:jc w:val="center"/>
                        <w:rPr>
                          <w:b/>
                        </w:rPr>
                      </w:pPr>
                      <w:r w:rsidRPr="00AB7CE9">
                        <w:rPr>
                          <w:b/>
                        </w:rPr>
                        <w:t>HPHI5006</w:t>
                      </w:r>
                    </w:p>
                  </w:txbxContent>
                </v:textbox>
              </v:shape>
            </w:pict>
          </mc:Fallback>
        </mc:AlternateContent>
      </w:r>
      <w:r w:rsidRPr="00AB7CE9">
        <w:drawing>
          <wp:anchor distT="0" distB="0" distL="114300" distR="114300" simplePos="0" relativeHeight="251658240" behindDoc="0" locked="0" layoutInCell="1" allowOverlap="1" wp14:anchorId="3CCBF4E4" wp14:editId="777EB208">
            <wp:simplePos x="0" y="0"/>
            <wp:positionH relativeFrom="column">
              <wp:posOffset>1256665</wp:posOffset>
            </wp:positionH>
            <wp:positionV relativeFrom="paragraph">
              <wp:posOffset>190500</wp:posOffset>
            </wp:positionV>
            <wp:extent cx="3495675" cy="5424170"/>
            <wp:effectExtent l="0" t="0" r="9525" b="5080"/>
            <wp:wrapSquare wrapText="bothSides"/>
            <wp:docPr id="1" name="Picture 1" descr="https://i.gr-assets.com/images/S/compressed.photo.goodreads.com/books/1386919409l/1904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r-assets.com/images/S/compressed.photo.goodreads.com/books/1386919409l/190464.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675" cy="54241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Pr="00AB7CE9" w:rsidRDefault="00AB7CE9" w:rsidP="00AB7CE9"/>
    <w:p w:rsidR="00AB7CE9" w:rsidRDefault="00AB7CE9" w:rsidP="00AB7CE9"/>
    <w:p w:rsidR="00F917B9" w:rsidRDefault="00F917B9" w:rsidP="00AB7CE9">
      <w:pPr>
        <w:jc w:val="center"/>
      </w:pPr>
    </w:p>
    <w:p w:rsidR="00FF3A55" w:rsidRDefault="0069277B" w:rsidP="002B5E46">
      <w:pPr>
        <w:spacing w:line="480" w:lineRule="auto"/>
      </w:pPr>
      <w:r>
        <w:lastRenderedPageBreak/>
        <w:t>The Black Atlantic is one of many books written by the prolific author Paul Gilroy.</w:t>
      </w:r>
      <w:r w:rsidR="00FF3A55">
        <w:t xml:space="preserve">  Gilroy is a British born historian, writer and academic. He has a broad span of intellectual interests from literature, art, philosophy, cultural history and sociology, though possibly </w:t>
      </w:r>
      <w:r w:rsidR="00E82E6A">
        <w:t xml:space="preserve">he is </w:t>
      </w:r>
      <w:r w:rsidR="00FF3A55">
        <w:t>best known for his work on racism, nationalism and black identity.  The Black Atlantic was published in 1993 and is not just the title of the book but the approach Gilroy takes to the study of the African Diaspora.</w:t>
      </w:r>
    </w:p>
    <w:p w:rsidR="00246C6A" w:rsidRDefault="00246C6A" w:rsidP="002B5E46">
      <w:pPr>
        <w:spacing w:line="480" w:lineRule="auto"/>
      </w:pPr>
      <w:r>
        <w:t>In the preface Gilroy states that ‘there is nothing definitive’ in the book.  There are many other connections to ships throughout the book which I will examine later on however one explanation for the ship is to see his book as a journey’s beginning, and not as its end.</w:t>
      </w:r>
      <w:r>
        <w:rPr>
          <w:rStyle w:val="FootnoteReference"/>
        </w:rPr>
        <w:footnoteReference w:id="1"/>
      </w:r>
    </w:p>
    <w:p w:rsidR="00823386" w:rsidRDefault="00823386" w:rsidP="002B5E46">
      <w:pPr>
        <w:spacing w:line="480" w:lineRule="auto"/>
      </w:pPr>
      <w:r>
        <w:t xml:space="preserve">In the opening </w:t>
      </w:r>
      <w:r w:rsidR="00F86CBE">
        <w:t>chapter Gilroy</w:t>
      </w:r>
      <w:r>
        <w:t xml:space="preserve"> begins discussing a “double consciousness”</w:t>
      </w:r>
      <w:r w:rsidR="00703EE4">
        <w:t xml:space="preserve"> which is the concept W.E.B Du Bois first explored in “The Souls of Black Folk”</w:t>
      </w:r>
      <w:r w:rsidR="005F6260">
        <w:rPr>
          <w:rStyle w:val="FootnoteReference"/>
        </w:rPr>
        <w:footnoteReference w:id="2"/>
      </w:r>
      <w:r w:rsidR="00703EE4">
        <w:t xml:space="preserve"> published in 1903.  Du Bois</w:t>
      </w:r>
      <w:r w:rsidR="007E22FB">
        <w:t xml:space="preserve"> an American born sociologist, historian, civil rights activist, author, writer and editor, </w:t>
      </w:r>
      <w:r w:rsidR="00703EE4">
        <w:t xml:space="preserve">states that </w:t>
      </w:r>
      <w:r w:rsidR="00F86CBE" w:rsidRPr="00F86CBE">
        <w:t>Double consciousness describes the individual sensation of feeling as though your identity is divided into several parts, making it difficult or impossib</w:t>
      </w:r>
      <w:r w:rsidR="005F6260">
        <w:t>le to have one u</w:t>
      </w:r>
      <w:r w:rsidR="007E22FB">
        <w:t xml:space="preserve">nified identity.  </w:t>
      </w:r>
      <w:r w:rsidR="005F6260">
        <w:t xml:space="preserve">He describes it as a peculiar sensation to look at one’s self through the eyes of others.  The same characteristics are dramatized within Fredrick Douglas’s </w:t>
      </w:r>
      <w:r w:rsidR="005F6260" w:rsidRPr="005F6260">
        <w:t xml:space="preserve">Narrative of the Life </w:t>
      </w:r>
      <w:r w:rsidR="00E82E6A" w:rsidRPr="005F6260">
        <w:t>of</w:t>
      </w:r>
      <w:r w:rsidR="005F6260" w:rsidRPr="005F6260">
        <w:t xml:space="preserve"> Frederick Douglass, An American Slave, </w:t>
      </w:r>
      <w:r w:rsidR="00E82E6A" w:rsidRPr="005F6260">
        <w:t>and Written</w:t>
      </w:r>
      <w:r w:rsidR="005F6260" w:rsidRPr="005F6260">
        <w:t xml:space="preserve"> by Himself (1845)</w:t>
      </w:r>
      <w:r w:rsidR="005F6260">
        <w:t>.</w:t>
      </w:r>
      <w:r w:rsidR="00E82E6A">
        <w:t xml:space="preserve">  For Gilroy it is a culture, not specifically African, American, Caribbean or British but all at once, rather a hybrid mix.  He explains culture doesn’t go on hold when you board a slave ship and miraculously resume when you get to the other side.  Here the ideas of nation, national belonging and nationalism are paramount.</w:t>
      </w:r>
      <w:r w:rsidR="00E82E6A">
        <w:rPr>
          <w:rStyle w:val="FootnoteReference"/>
        </w:rPr>
        <w:footnoteReference w:id="3"/>
      </w:r>
    </w:p>
    <w:p w:rsidR="00E111EB" w:rsidRDefault="00E111EB" w:rsidP="002B5E46">
      <w:pPr>
        <w:spacing w:line="480" w:lineRule="auto"/>
      </w:pPr>
      <w:r>
        <w:t xml:space="preserve">I feel the book is very male dominant, with very little reference to woman throughout whether that </w:t>
      </w:r>
      <w:r w:rsidR="001A552C">
        <w:t>is</w:t>
      </w:r>
      <w:r>
        <w:t xml:space="preserve"> stories of female slaves or even works of female scholars.  Gilroy focuses a lot on the writings of Martin Robinson Delany to bring the black </w:t>
      </w:r>
      <w:proofErr w:type="spellStart"/>
      <w:proofErr w:type="gramStart"/>
      <w:r>
        <w:t>atlantic</w:t>
      </w:r>
      <w:proofErr w:type="spellEnd"/>
      <w:proofErr w:type="gramEnd"/>
      <w:r>
        <w:t xml:space="preserve"> as a ‘framework’ to life. </w:t>
      </w:r>
      <w:r w:rsidR="0054437A">
        <w:t xml:space="preserve"> Delany was an African-American abolitionist, journalist, soldier and writer. O</w:t>
      </w:r>
      <w:r w:rsidR="006B0D2A">
        <w:t>ne of his best known</w:t>
      </w:r>
      <w:r w:rsidR="0054437A">
        <w:t xml:space="preserve"> works ‘Blake’ or The Huts </w:t>
      </w:r>
      <w:r w:rsidR="0054437A">
        <w:lastRenderedPageBreak/>
        <w:t>of America focuses on the life of a West Indian Slave who in time becomes Delany’s hero.</w:t>
      </w:r>
      <w:r w:rsidR="007E22FB">
        <w:t xml:space="preserve">  </w:t>
      </w:r>
      <w:r w:rsidR="001A552C">
        <w:t xml:space="preserve">Blake is one of the most revealing novels of its period, within it ships occupy a primary symbolic and political place </w:t>
      </w:r>
      <w:r w:rsidR="00901653">
        <w:t>with chapters entitled</w:t>
      </w:r>
      <w:r w:rsidR="001A552C">
        <w:t xml:space="preserve"> ‘ Transatlantic’ and ‘The Middle Passage’ and includes a harrowing scene of a slaver throwing over-bo</w:t>
      </w:r>
      <w:r w:rsidR="00E2189E">
        <w:t>ard the dead and dying just as T</w:t>
      </w:r>
      <w:r w:rsidR="001A552C">
        <w:t>urner had depicted it.</w:t>
      </w:r>
      <w:r w:rsidR="001A552C">
        <w:rPr>
          <w:rStyle w:val="FootnoteReference"/>
        </w:rPr>
        <w:footnoteReference w:id="4"/>
      </w:r>
    </w:p>
    <w:p w:rsidR="001D0003" w:rsidRDefault="00AD65E7" w:rsidP="002B5E46">
      <w:pPr>
        <w:spacing w:line="480" w:lineRule="auto"/>
      </w:pPr>
      <w:r>
        <w:t>Slave Ship originally titled</w:t>
      </w:r>
      <w:r w:rsidR="00E2189E">
        <w:t xml:space="preserve"> Slavers Throwing overboard the Dead and Dying</w:t>
      </w:r>
      <w:r w:rsidR="006B0D2A">
        <w:t>-Typhoon Coming O</w:t>
      </w:r>
      <w:r>
        <w:t>n</w:t>
      </w:r>
      <w:r w:rsidR="00E2189E">
        <w:t xml:space="preserve"> is one of JMW Turners most celebrated works. </w:t>
      </w:r>
      <w:r>
        <w:t>Painted in 1840, and based on a poem though inspired by</w:t>
      </w:r>
      <w:r w:rsidR="00E2189E">
        <w:t xml:space="preserve"> the tr</w:t>
      </w:r>
      <w:r w:rsidR="00154CEC">
        <w:t xml:space="preserve">ue story of the slave ship Zong, which in 1781 ordered 133 slaves to be thrown overboard in what was known as the </w:t>
      </w:r>
      <w:proofErr w:type="spellStart"/>
      <w:r w:rsidR="00154CEC">
        <w:t>Zong</w:t>
      </w:r>
      <w:proofErr w:type="spellEnd"/>
      <w:r w:rsidR="00154CEC">
        <w:t xml:space="preserve"> Massacre.  </w:t>
      </w:r>
    </w:p>
    <w:p w:rsidR="00E2189E" w:rsidRDefault="00154CEC" w:rsidP="002B5E46">
      <w:pPr>
        <w:spacing w:line="480" w:lineRule="auto"/>
      </w:pPr>
      <w:r>
        <w:t>The slaves were thrown overboard in a bid to collect insuran</w:t>
      </w:r>
      <w:r w:rsidR="00901653">
        <w:t>ce payments for their loss</w:t>
      </w:r>
      <w:r>
        <w:t>.  Insurance payments were only payable for those who drowned at sea and not for the ones who died on-board.  With that in mind any slave ‘dead’ or dying’ were hurled into the ocean as a bid to increase profits.</w:t>
      </w:r>
      <w:r w:rsidR="00800BE5">
        <w:t xml:space="preserve">  The vessel was in joint ownership of James Gregson and a number of other slave-dealers from Liverpool and under the command of Luke Collingwood</w:t>
      </w:r>
      <w:r w:rsidR="001D0003">
        <w:t xml:space="preserve">.  Collingwood </w:t>
      </w:r>
      <w:r w:rsidR="00800BE5">
        <w:t>believed he was acting in the best interests of himself and the ship owners</w:t>
      </w:r>
      <w:r w:rsidR="00FB60F8">
        <w:t>.  This became a case that was heard in a court in London in March 1783.  Luke Collingwood and his crew were tried for the case of an insurance dispute rather than that of murder. The loss of human lives was not considered an issue.  The case did however symbolise the horrors of the Middle Passage and strengthened the abolition campaign.</w:t>
      </w:r>
      <w:r w:rsidR="00FB60F8">
        <w:rPr>
          <w:rStyle w:val="FootnoteReference"/>
        </w:rPr>
        <w:footnoteReference w:id="5"/>
      </w:r>
    </w:p>
    <w:p w:rsidR="00901653" w:rsidRDefault="00901653" w:rsidP="002B5E46">
      <w:pPr>
        <w:spacing w:line="480" w:lineRule="auto"/>
      </w:pPr>
      <w:r>
        <w:t>In the maritime painting Turner ca</w:t>
      </w:r>
      <w:r w:rsidR="00615ECF">
        <w:t>ptures the horror of the events, during that voyage</w:t>
      </w:r>
      <w:r>
        <w:t>.  It was exhibited</w:t>
      </w:r>
      <w:r w:rsidR="00615ECF">
        <w:t xml:space="preserve"> at the Royal Academy in 1840</w:t>
      </w:r>
      <w:r>
        <w:t xml:space="preserve"> during</w:t>
      </w:r>
      <w:r w:rsidR="00615ECF">
        <w:t xml:space="preserve"> the Anti-slavery conference. </w:t>
      </w:r>
      <w:r>
        <w:t xml:space="preserve">Turner like many other </w:t>
      </w:r>
      <w:r w:rsidR="00615ECF">
        <w:t>abolitionists believed</w:t>
      </w:r>
      <w:r>
        <w:t xml:space="preserve"> </w:t>
      </w:r>
      <w:r w:rsidR="00615ECF">
        <w:t>slavery should be banned.  He chose to pair the painting with the following extract from his unpublished poems ‘Fallacies of Hope’ (1812).</w:t>
      </w:r>
      <w:r w:rsidR="00615ECF">
        <w:rPr>
          <w:rStyle w:val="FootnoteReference"/>
        </w:rPr>
        <w:footnoteReference w:id="6"/>
      </w:r>
    </w:p>
    <w:p w:rsidR="00615ECF" w:rsidRDefault="00615ECF" w:rsidP="002B5E46">
      <w:pPr>
        <w:spacing w:line="480" w:lineRule="auto"/>
      </w:pPr>
    </w:p>
    <w:p w:rsidR="00615ECF" w:rsidRDefault="00615ECF" w:rsidP="002B5E46">
      <w:pPr>
        <w:spacing w:line="240" w:lineRule="auto"/>
        <w:jc w:val="center"/>
      </w:pPr>
      <w:r>
        <w:lastRenderedPageBreak/>
        <w:t>"Aloft all hands, strike the top-masts and belay;</w:t>
      </w:r>
    </w:p>
    <w:p w:rsidR="00615ECF" w:rsidRDefault="00615ECF" w:rsidP="002B5E46">
      <w:pPr>
        <w:spacing w:line="240" w:lineRule="auto"/>
        <w:jc w:val="center"/>
      </w:pPr>
      <w:r>
        <w:t>Yon angry setting sun and fierce-edged clouds</w:t>
      </w:r>
    </w:p>
    <w:p w:rsidR="00615ECF" w:rsidRDefault="00615ECF" w:rsidP="002B5E46">
      <w:pPr>
        <w:spacing w:line="240" w:lineRule="auto"/>
        <w:jc w:val="center"/>
      </w:pPr>
      <w:r>
        <w:t>Declare the Typhon's coming.</w:t>
      </w:r>
    </w:p>
    <w:p w:rsidR="00615ECF" w:rsidRDefault="00615ECF" w:rsidP="002B5E46">
      <w:pPr>
        <w:spacing w:line="240" w:lineRule="auto"/>
        <w:jc w:val="center"/>
      </w:pPr>
      <w:r>
        <w:t>Before it sweeps your decks, throw overboard</w:t>
      </w:r>
    </w:p>
    <w:p w:rsidR="00615ECF" w:rsidRDefault="00615ECF" w:rsidP="002B5E46">
      <w:pPr>
        <w:spacing w:line="240" w:lineRule="auto"/>
        <w:jc w:val="center"/>
      </w:pPr>
      <w:r>
        <w:t>The dead and dying - ne'er heed their chains</w:t>
      </w:r>
    </w:p>
    <w:p w:rsidR="00615ECF" w:rsidRDefault="00615ECF" w:rsidP="002B5E46">
      <w:pPr>
        <w:spacing w:line="240" w:lineRule="auto"/>
        <w:jc w:val="center"/>
      </w:pPr>
      <w:r>
        <w:t>Hope, Hope, fallacious Hope!</w:t>
      </w:r>
    </w:p>
    <w:p w:rsidR="00615ECF" w:rsidRDefault="00615ECF" w:rsidP="002B5E46">
      <w:pPr>
        <w:spacing w:line="240" w:lineRule="auto"/>
        <w:jc w:val="center"/>
      </w:pPr>
      <w:r>
        <w:t>Where is thy market now?"</w:t>
      </w:r>
    </w:p>
    <w:p w:rsidR="002B5E46" w:rsidRDefault="002B5E46" w:rsidP="002B5E46">
      <w:pPr>
        <w:spacing w:line="480" w:lineRule="auto"/>
        <w:jc w:val="center"/>
      </w:pPr>
    </w:p>
    <w:p w:rsidR="002B5E46" w:rsidRDefault="002B5E46" w:rsidP="002B5E46">
      <w:pPr>
        <w:spacing w:line="480" w:lineRule="auto"/>
      </w:pPr>
      <w:r>
        <w:t xml:space="preserve">The same terms and references are made within the works of Du Bois, Delany and those of Edouard </w:t>
      </w:r>
      <w:proofErr w:type="spellStart"/>
      <w:r>
        <w:t>Glissant</w:t>
      </w:r>
      <w:proofErr w:type="spellEnd"/>
      <w:r>
        <w:t>. Reinforcing Gilroy’s initial approach that the book is at its beginning and not at its end, possibly a little outdated now allowing for a new approach to the study of Th</w:t>
      </w:r>
      <w:r w:rsidR="006B0D2A">
        <w:t>e African Diaspora</w:t>
      </w:r>
      <w:r>
        <w:t>.</w:t>
      </w:r>
      <w:bookmarkStart w:id="0" w:name="_GoBack"/>
      <w:bookmarkEnd w:id="0"/>
    </w:p>
    <w:p w:rsidR="001D0003" w:rsidRDefault="001D0003" w:rsidP="00AB7CE9"/>
    <w:p w:rsidR="0054437A" w:rsidRDefault="0054437A" w:rsidP="00AB7CE9"/>
    <w:p w:rsidR="00AB7CE9" w:rsidRDefault="002B5E46" w:rsidP="00823386">
      <w:r>
        <w:t xml:space="preserve">  </w:t>
      </w:r>
    </w:p>
    <w:p w:rsidR="002B5E46" w:rsidRDefault="002B5E46" w:rsidP="00823386"/>
    <w:p w:rsidR="002B5E46" w:rsidRDefault="002B5E46" w:rsidP="00823386"/>
    <w:p w:rsidR="002B5E46" w:rsidRDefault="002B5E46" w:rsidP="00823386"/>
    <w:p w:rsidR="002B5E46" w:rsidRDefault="002B5E46" w:rsidP="00823386"/>
    <w:p w:rsidR="002B5E46" w:rsidRDefault="002B5E46" w:rsidP="00823386"/>
    <w:p w:rsidR="002B5E46" w:rsidRDefault="002B5E46" w:rsidP="00823386"/>
    <w:p w:rsidR="002B5E46" w:rsidRDefault="002B5E46" w:rsidP="00823386"/>
    <w:p w:rsidR="002B5E46" w:rsidRDefault="002B5E46" w:rsidP="002B5E46">
      <w:pPr>
        <w:jc w:val="center"/>
        <w:rPr>
          <w:u w:val="single"/>
        </w:rPr>
      </w:pPr>
    </w:p>
    <w:p w:rsidR="002B5E46" w:rsidRDefault="002B5E46" w:rsidP="002B5E46">
      <w:pPr>
        <w:jc w:val="center"/>
        <w:rPr>
          <w:u w:val="single"/>
        </w:rPr>
      </w:pPr>
    </w:p>
    <w:p w:rsidR="002B5E46" w:rsidRDefault="002B5E46" w:rsidP="002B5E46">
      <w:pPr>
        <w:jc w:val="center"/>
        <w:rPr>
          <w:u w:val="single"/>
        </w:rPr>
      </w:pPr>
    </w:p>
    <w:p w:rsidR="002B5E46" w:rsidRDefault="002B5E46" w:rsidP="002B5E46">
      <w:pPr>
        <w:jc w:val="center"/>
        <w:rPr>
          <w:u w:val="single"/>
        </w:rPr>
      </w:pPr>
    </w:p>
    <w:p w:rsidR="002B5E46" w:rsidRDefault="002B5E46" w:rsidP="002B5E46">
      <w:pPr>
        <w:jc w:val="center"/>
        <w:rPr>
          <w:u w:val="single"/>
        </w:rPr>
      </w:pPr>
    </w:p>
    <w:p w:rsidR="002B5E46" w:rsidRDefault="002B5E46" w:rsidP="002B5E46">
      <w:pPr>
        <w:jc w:val="center"/>
        <w:rPr>
          <w:u w:val="single"/>
        </w:rPr>
      </w:pPr>
    </w:p>
    <w:p w:rsidR="002B5E46" w:rsidRDefault="002B5E46" w:rsidP="002B5E46">
      <w:pPr>
        <w:jc w:val="center"/>
        <w:rPr>
          <w:u w:val="single"/>
        </w:rPr>
      </w:pPr>
      <w:proofErr w:type="gramStart"/>
      <w:r w:rsidRPr="002B5E46">
        <w:rPr>
          <w:u w:val="single"/>
        </w:rPr>
        <w:lastRenderedPageBreak/>
        <w:t>Bibliography.</w:t>
      </w:r>
      <w:proofErr w:type="gramEnd"/>
    </w:p>
    <w:p w:rsidR="002B5E46" w:rsidRPr="002B5E46" w:rsidRDefault="002B5E46" w:rsidP="002B5E46">
      <w:pPr>
        <w:rPr>
          <w:b/>
          <w:u w:val="single"/>
        </w:rPr>
      </w:pPr>
      <w:r w:rsidRPr="002B5E46">
        <w:rPr>
          <w:b/>
          <w:u w:val="single"/>
        </w:rPr>
        <w:t>Journals</w:t>
      </w:r>
    </w:p>
    <w:p w:rsidR="002B5E46" w:rsidRPr="002B5E46" w:rsidRDefault="002B5E46" w:rsidP="002B5E46">
      <w:pPr>
        <w:rPr>
          <w:u w:val="single"/>
        </w:rPr>
      </w:pPr>
      <w:proofErr w:type="spellStart"/>
      <w:r w:rsidRPr="002B5E46">
        <w:rPr>
          <w:u w:val="single"/>
        </w:rPr>
        <w:t>Madhavi</w:t>
      </w:r>
      <w:proofErr w:type="spellEnd"/>
      <w:r w:rsidRPr="002B5E46">
        <w:rPr>
          <w:u w:val="single"/>
        </w:rPr>
        <w:t xml:space="preserve"> Kale, '</w:t>
      </w:r>
      <w:proofErr w:type="gramStart"/>
      <w:r w:rsidRPr="002B5E46">
        <w:rPr>
          <w:u w:val="single"/>
        </w:rPr>
        <w:t>The</w:t>
      </w:r>
      <w:proofErr w:type="gramEnd"/>
      <w:r w:rsidRPr="002B5E46">
        <w:rPr>
          <w:u w:val="single"/>
        </w:rPr>
        <w:t xml:space="preserve"> Black Atlantic: Modernity and Double Consciousness ', Social History, 21.2, (1996), 252-256 (p. 256).</w:t>
      </w:r>
    </w:p>
    <w:p w:rsidR="002B5E46" w:rsidRPr="002B5E46" w:rsidRDefault="002B5E46" w:rsidP="002B5E46">
      <w:pPr>
        <w:rPr>
          <w:b/>
          <w:u w:val="single"/>
        </w:rPr>
      </w:pPr>
      <w:r w:rsidRPr="002B5E46">
        <w:rPr>
          <w:b/>
          <w:u w:val="single"/>
        </w:rPr>
        <w:t>Books</w:t>
      </w:r>
    </w:p>
    <w:p w:rsidR="002B5E46" w:rsidRPr="002B5E46" w:rsidRDefault="002B5E46" w:rsidP="002B5E46">
      <w:pPr>
        <w:rPr>
          <w:u w:val="single"/>
        </w:rPr>
      </w:pPr>
      <w:r w:rsidRPr="002B5E46">
        <w:rPr>
          <w:u w:val="single"/>
        </w:rPr>
        <w:t>Paul Gilroy, The Black Atlantic Modernity and Double Consciousness ([</w:t>
      </w:r>
      <w:proofErr w:type="spellStart"/>
      <w:r w:rsidRPr="002B5E46">
        <w:rPr>
          <w:u w:val="single"/>
        </w:rPr>
        <w:t>n.p</w:t>
      </w:r>
      <w:proofErr w:type="spellEnd"/>
      <w:r w:rsidRPr="002B5E46">
        <w:rPr>
          <w:u w:val="single"/>
        </w:rPr>
        <w:t>.]</w:t>
      </w:r>
      <w:proofErr w:type="gramStart"/>
      <w:r w:rsidRPr="002B5E46">
        <w:rPr>
          <w:u w:val="single"/>
        </w:rPr>
        <w:t>: ,</w:t>
      </w:r>
      <w:proofErr w:type="gramEnd"/>
      <w:r w:rsidRPr="002B5E46">
        <w:rPr>
          <w:u w:val="single"/>
        </w:rPr>
        <w:t xml:space="preserve"> 1993), p. 3.</w:t>
      </w:r>
    </w:p>
    <w:p w:rsidR="002B5E46" w:rsidRPr="002B5E46" w:rsidRDefault="002B5E46" w:rsidP="002B5E46">
      <w:pPr>
        <w:rPr>
          <w:b/>
          <w:u w:val="single"/>
        </w:rPr>
      </w:pPr>
      <w:r w:rsidRPr="002B5E46">
        <w:rPr>
          <w:b/>
          <w:u w:val="single"/>
        </w:rPr>
        <w:t>Websites</w:t>
      </w:r>
    </w:p>
    <w:p w:rsidR="002B5E46" w:rsidRPr="002B5E46" w:rsidRDefault="002B5E46" w:rsidP="002B5E46">
      <w:pPr>
        <w:rPr>
          <w:u w:val="single"/>
        </w:rPr>
      </w:pPr>
      <w:proofErr w:type="gramStart"/>
      <w:r w:rsidRPr="002B5E46">
        <w:rPr>
          <w:u w:val="single"/>
        </w:rPr>
        <w:t xml:space="preserve">Ian Bernard, The </w:t>
      </w:r>
      <w:proofErr w:type="spellStart"/>
      <w:r w:rsidRPr="002B5E46">
        <w:rPr>
          <w:u w:val="single"/>
        </w:rPr>
        <w:t>Zong</w:t>
      </w:r>
      <w:proofErr w:type="spellEnd"/>
      <w:r w:rsidRPr="002B5E46">
        <w:rPr>
          <w:u w:val="single"/>
        </w:rPr>
        <w:t xml:space="preserve"> Massacre (October 2011) &lt;https://www.blackpast.org/global-african-history/zong-massacre-1781/&gt; [accessed 11 January 2020].</w:t>
      </w:r>
      <w:proofErr w:type="gramEnd"/>
    </w:p>
    <w:p w:rsidR="002B5E46" w:rsidRPr="002B5E46" w:rsidRDefault="002B5E46" w:rsidP="002B5E46">
      <w:pPr>
        <w:rPr>
          <w:u w:val="single"/>
        </w:rPr>
      </w:pPr>
      <w:proofErr w:type="gramStart"/>
      <w:r w:rsidRPr="002B5E46">
        <w:rPr>
          <w:u w:val="single"/>
        </w:rPr>
        <w:t>Museum of Fine Arts Boston, Slave Ship (Slavers Throwing Overboard the Dead and Dying, Typhoon Coming On) () &lt;https://collections.mfa.org/objects/31102&gt; [accessed 11 January 2020].</w:t>
      </w:r>
      <w:proofErr w:type="gramEnd"/>
    </w:p>
    <w:p w:rsidR="002B5E46" w:rsidRPr="002B5E46" w:rsidRDefault="002B5E46" w:rsidP="002B5E46">
      <w:pPr>
        <w:rPr>
          <w:u w:val="single"/>
        </w:rPr>
      </w:pPr>
    </w:p>
    <w:sectPr w:rsidR="002B5E46" w:rsidRPr="002B5E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193A" w:rsidRDefault="00D1193A" w:rsidP="00246C6A">
      <w:pPr>
        <w:spacing w:after="0" w:line="240" w:lineRule="auto"/>
      </w:pPr>
      <w:r>
        <w:separator/>
      </w:r>
    </w:p>
  </w:endnote>
  <w:endnote w:type="continuationSeparator" w:id="0">
    <w:p w:rsidR="00D1193A" w:rsidRDefault="00D1193A" w:rsidP="00246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193A" w:rsidRDefault="00D1193A" w:rsidP="00246C6A">
      <w:pPr>
        <w:spacing w:after="0" w:line="240" w:lineRule="auto"/>
      </w:pPr>
      <w:r>
        <w:separator/>
      </w:r>
    </w:p>
  </w:footnote>
  <w:footnote w:type="continuationSeparator" w:id="0">
    <w:p w:rsidR="00D1193A" w:rsidRDefault="00D1193A" w:rsidP="00246C6A">
      <w:pPr>
        <w:spacing w:after="0" w:line="240" w:lineRule="auto"/>
      </w:pPr>
      <w:r>
        <w:continuationSeparator/>
      </w:r>
    </w:p>
  </w:footnote>
  <w:footnote w:id="1">
    <w:p w:rsidR="00246C6A" w:rsidRDefault="00246C6A">
      <w:pPr>
        <w:pStyle w:val="FootnoteText"/>
      </w:pPr>
      <w:r>
        <w:rPr>
          <w:rStyle w:val="FootnoteReference"/>
        </w:rPr>
        <w:footnoteRef/>
      </w:r>
      <w:r>
        <w:t xml:space="preserve"> </w:t>
      </w:r>
      <w:proofErr w:type="spellStart"/>
      <w:r w:rsidRPr="00246C6A">
        <w:t>Madhavi</w:t>
      </w:r>
      <w:proofErr w:type="spellEnd"/>
      <w:r w:rsidRPr="00246C6A">
        <w:t xml:space="preserve"> Kale, '</w:t>
      </w:r>
      <w:proofErr w:type="gramStart"/>
      <w:r w:rsidRPr="00246C6A">
        <w:t>The</w:t>
      </w:r>
      <w:proofErr w:type="gramEnd"/>
      <w:r w:rsidRPr="00246C6A">
        <w:t xml:space="preserve"> Black Atlantic: Modernity and Double Consciousness ', </w:t>
      </w:r>
      <w:r w:rsidRPr="00246C6A">
        <w:rPr>
          <w:i/>
          <w:iCs/>
        </w:rPr>
        <w:t>Social History</w:t>
      </w:r>
      <w:r w:rsidRPr="00246C6A">
        <w:t>, 21.2, (1996), 252-256 (p. 256).</w:t>
      </w:r>
    </w:p>
  </w:footnote>
  <w:footnote w:id="2">
    <w:p w:rsidR="005F6260" w:rsidRDefault="005F6260">
      <w:pPr>
        <w:pStyle w:val="FootnoteText"/>
      </w:pPr>
      <w:r>
        <w:rPr>
          <w:rStyle w:val="FootnoteReference"/>
        </w:rPr>
        <w:footnoteRef/>
      </w:r>
      <w:r>
        <w:t xml:space="preserve"> Ibid</w:t>
      </w:r>
      <w:proofErr w:type="gramStart"/>
      <w:r>
        <w:t>,253</w:t>
      </w:r>
      <w:proofErr w:type="gramEnd"/>
      <w:r>
        <w:t>.</w:t>
      </w:r>
    </w:p>
  </w:footnote>
  <w:footnote w:id="3">
    <w:p w:rsidR="00E82E6A" w:rsidRDefault="00E82E6A">
      <w:pPr>
        <w:pStyle w:val="FootnoteText"/>
      </w:pPr>
      <w:r>
        <w:rPr>
          <w:rStyle w:val="FootnoteReference"/>
        </w:rPr>
        <w:footnoteRef/>
      </w:r>
      <w:r>
        <w:t xml:space="preserve"> </w:t>
      </w:r>
      <w:r w:rsidRPr="00E82E6A">
        <w:t>Paul Gilroy, The Black Atlantic Modernity and Double Consciousness ([</w:t>
      </w:r>
      <w:proofErr w:type="spellStart"/>
      <w:r w:rsidRPr="00E82E6A">
        <w:t>n.p</w:t>
      </w:r>
      <w:proofErr w:type="spellEnd"/>
      <w:r w:rsidRPr="00E82E6A">
        <w:t>.]</w:t>
      </w:r>
      <w:proofErr w:type="gramStart"/>
      <w:r w:rsidRPr="00E82E6A">
        <w:t>: ,</w:t>
      </w:r>
      <w:proofErr w:type="gramEnd"/>
      <w:r w:rsidRPr="00E82E6A">
        <w:t xml:space="preserve"> 1993), p. 3.</w:t>
      </w:r>
    </w:p>
  </w:footnote>
  <w:footnote w:id="4">
    <w:p w:rsidR="001A552C" w:rsidRDefault="001A552C">
      <w:pPr>
        <w:pStyle w:val="FootnoteText"/>
      </w:pPr>
      <w:r>
        <w:rPr>
          <w:rStyle w:val="FootnoteReference"/>
        </w:rPr>
        <w:footnoteRef/>
      </w:r>
      <w:r>
        <w:t xml:space="preserve"> Ibid</w:t>
      </w:r>
      <w:proofErr w:type="gramStart"/>
      <w:r>
        <w:t>,27</w:t>
      </w:r>
      <w:proofErr w:type="gramEnd"/>
      <w:r>
        <w:t>.</w:t>
      </w:r>
    </w:p>
  </w:footnote>
  <w:footnote w:id="5">
    <w:p w:rsidR="00FB60F8" w:rsidRDefault="00FB60F8">
      <w:pPr>
        <w:pStyle w:val="FootnoteText"/>
      </w:pPr>
      <w:r>
        <w:rPr>
          <w:rStyle w:val="FootnoteReference"/>
        </w:rPr>
        <w:footnoteRef/>
      </w:r>
      <w:r>
        <w:t xml:space="preserve"> </w:t>
      </w:r>
      <w:r w:rsidR="001D0003">
        <w:t xml:space="preserve"> </w:t>
      </w:r>
      <w:proofErr w:type="gramStart"/>
      <w:r w:rsidR="001D0003" w:rsidRPr="001D0003">
        <w:t xml:space="preserve">Ian Bernard, The </w:t>
      </w:r>
      <w:proofErr w:type="spellStart"/>
      <w:r w:rsidR="001D0003" w:rsidRPr="001D0003">
        <w:t>Zong</w:t>
      </w:r>
      <w:proofErr w:type="spellEnd"/>
      <w:r w:rsidR="001D0003" w:rsidRPr="001D0003">
        <w:t xml:space="preserve"> Massacre (October 2011) &lt;https://www.blackpast.org/global-african-history/zong-massacre-1781/&gt; [accessed 11 January 2020].</w:t>
      </w:r>
      <w:proofErr w:type="gramEnd"/>
    </w:p>
  </w:footnote>
  <w:footnote w:id="6">
    <w:p w:rsidR="00615ECF" w:rsidRDefault="00615ECF">
      <w:pPr>
        <w:pStyle w:val="FootnoteText"/>
      </w:pPr>
      <w:r>
        <w:rPr>
          <w:rStyle w:val="FootnoteReference"/>
        </w:rPr>
        <w:footnoteRef/>
      </w:r>
      <w:r>
        <w:t xml:space="preserve"> </w:t>
      </w:r>
      <w:proofErr w:type="gramStart"/>
      <w:r w:rsidRPr="00615ECF">
        <w:t>Museum of Fine Arts Boston, Slave Ship (Slavers Throwing Overboard the Dead and Dying, Typhoon Coming On) () &lt;https://collections.mfa.org/objects/31102&gt; [accessed 11 January 2020].</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7CE9"/>
    <w:rsid w:val="00154CEC"/>
    <w:rsid w:val="001A552C"/>
    <w:rsid w:val="001D0003"/>
    <w:rsid w:val="00246C6A"/>
    <w:rsid w:val="002B5E46"/>
    <w:rsid w:val="0054437A"/>
    <w:rsid w:val="00551557"/>
    <w:rsid w:val="005F6260"/>
    <w:rsid w:val="00615ECF"/>
    <w:rsid w:val="0069277B"/>
    <w:rsid w:val="006B0D2A"/>
    <w:rsid w:val="00703EE4"/>
    <w:rsid w:val="007E22FB"/>
    <w:rsid w:val="00800BE5"/>
    <w:rsid w:val="00823386"/>
    <w:rsid w:val="008A4F00"/>
    <w:rsid w:val="00901653"/>
    <w:rsid w:val="00AB7CE9"/>
    <w:rsid w:val="00AD65E7"/>
    <w:rsid w:val="00BD3517"/>
    <w:rsid w:val="00D1193A"/>
    <w:rsid w:val="00E111EB"/>
    <w:rsid w:val="00E2189E"/>
    <w:rsid w:val="00E82E6A"/>
    <w:rsid w:val="00F86CBE"/>
    <w:rsid w:val="00F917B9"/>
    <w:rsid w:val="00FB60F8"/>
    <w:rsid w:val="00FF3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7C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CE9"/>
    <w:rPr>
      <w:rFonts w:ascii="Tahoma" w:hAnsi="Tahoma" w:cs="Tahoma"/>
      <w:sz w:val="16"/>
      <w:szCs w:val="16"/>
    </w:rPr>
  </w:style>
  <w:style w:type="paragraph" w:styleId="FootnoteText">
    <w:name w:val="footnote text"/>
    <w:basedOn w:val="Normal"/>
    <w:link w:val="FootnoteTextChar"/>
    <w:uiPriority w:val="99"/>
    <w:semiHidden/>
    <w:unhideWhenUsed/>
    <w:rsid w:val="00246C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6C6A"/>
    <w:rPr>
      <w:sz w:val="20"/>
      <w:szCs w:val="20"/>
    </w:rPr>
  </w:style>
  <w:style w:type="character" w:styleId="FootnoteReference">
    <w:name w:val="footnote reference"/>
    <w:basedOn w:val="DefaultParagraphFont"/>
    <w:uiPriority w:val="99"/>
    <w:semiHidden/>
    <w:unhideWhenUsed/>
    <w:rsid w:val="00246C6A"/>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7C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CE9"/>
    <w:rPr>
      <w:rFonts w:ascii="Tahoma" w:hAnsi="Tahoma" w:cs="Tahoma"/>
      <w:sz w:val="16"/>
      <w:szCs w:val="16"/>
    </w:rPr>
  </w:style>
  <w:style w:type="paragraph" w:styleId="FootnoteText">
    <w:name w:val="footnote text"/>
    <w:basedOn w:val="Normal"/>
    <w:link w:val="FootnoteTextChar"/>
    <w:uiPriority w:val="99"/>
    <w:semiHidden/>
    <w:unhideWhenUsed/>
    <w:rsid w:val="00246C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6C6A"/>
    <w:rPr>
      <w:sz w:val="20"/>
      <w:szCs w:val="20"/>
    </w:rPr>
  </w:style>
  <w:style w:type="character" w:styleId="FootnoteReference">
    <w:name w:val="footnote reference"/>
    <w:basedOn w:val="DefaultParagraphFont"/>
    <w:uiPriority w:val="99"/>
    <w:semiHidden/>
    <w:unhideWhenUsed/>
    <w:rsid w:val="00246C6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3A3F8C-7FFC-4707-984C-3A3357BC0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799</Words>
  <Characters>4559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2020-01-12T16:15:00Z</dcterms:created>
  <dcterms:modified xsi:type="dcterms:W3CDTF">2020-01-12T16:15:00Z</dcterms:modified>
</cp:coreProperties>
</file>