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7C84C" w14:textId="1B997A94" w:rsidR="00E460BB" w:rsidRPr="00C23787" w:rsidRDefault="00E460BB" w:rsidP="00C23787">
      <w:pPr>
        <w:jc w:val="center"/>
        <w:rPr>
          <w:rFonts w:ascii="Times New Roman" w:hAnsi="Times New Roman" w:cs="Times New Roman"/>
          <w:b/>
          <w:bCs/>
          <w:sz w:val="40"/>
          <w:szCs w:val="40"/>
        </w:rPr>
      </w:pPr>
      <w:r w:rsidRPr="00C23787">
        <w:rPr>
          <w:rFonts w:ascii="Times New Roman" w:hAnsi="Times New Roman" w:cs="Times New Roman"/>
          <w:b/>
          <w:bCs/>
          <w:sz w:val="40"/>
          <w:szCs w:val="40"/>
        </w:rPr>
        <w:t>Stakeholder Engagement</w:t>
      </w:r>
    </w:p>
    <w:p w14:paraId="24A9B260" w14:textId="77777777" w:rsidR="00181B16" w:rsidRDefault="00181B16" w:rsidP="00E460BB">
      <w:pPr>
        <w:pStyle w:val="NormalWeb"/>
        <w:shd w:val="clear" w:color="auto" w:fill="FFFFFF"/>
        <w:rPr>
          <w:rFonts w:ascii="Arial" w:hAnsi="Arial" w:cs="Arial"/>
          <w:b/>
          <w:bCs/>
          <w:sz w:val="22"/>
          <w:szCs w:val="22"/>
        </w:rPr>
      </w:pPr>
    </w:p>
    <w:p w14:paraId="37C7826F" w14:textId="77777777" w:rsidR="00181B16" w:rsidRDefault="00181B16" w:rsidP="00E460BB">
      <w:pPr>
        <w:pStyle w:val="NormalWeb"/>
        <w:shd w:val="clear" w:color="auto" w:fill="FFFFFF"/>
        <w:rPr>
          <w:rFonts w:ascii="Arial" w:hAnsi="Arial" w:cs="Arial"/>
          <w:b/>
          <w:bCs/>
          <w:sz w:val="22"/>
          <w:szCs w:val="22"/>
        </w:rPr>
      </w:pPr>
    </w:p>
    <w:p w14:paraId="6A74138E" w14:textId="77777777" w:rsidR="00181B16" w:rsidRDefault="00181B16" w:rsidP="00E460BB">
      <w:pPr>
        <w:pStyle w:val="NormalWeb"/>
        <w:shd w:val="clear" w:color="auto" w:fill="FFFFFF"/>
        <w:rPr>
          <w:rFonts w:ascii="Arial" w:hAnsi="Arial" w:cs="Arial"/>
          <w:b/>
          <w:bCs/>
          <w:sz w:val="22"/>
          <w:szCs w:val="22"/>
        </w:rPr>
      </w:pPr>
    </w:p>
    <w:p w14:paraId="008F55DA" w14:textId="77777777" w:rsidR="00181B16" w:rsidRDefault="00181B16" w:rsidP="00E460BB">
      <w:pPr>
        <w:pStyle w:val="NormalWeb"/>
        <w:shd w:val="clear" w:color="auto" w:fill="FFFFFF"/>
        <w:rPr>
          <w:rFonts w:ascii="Arial" w:hAnsi="Arial" w:cs="Arial"/>
          <w:b/>
          <w:bCs/>
          <w:sz w:val="22"/>
          <w:szCs w:val="22"/>
        </w:rPr>
      </w:pPr>
    </w:p>
    <w:p w14:paraId="658FBEC1" w14:textId="77777777" w:rsidR="00181B16" w:rsidRDefault="00181B16" w:rsidP="00E460BB">
      <w:pPr>
        <w:pStyle w:val="NormalWeb"/>
        <w:shd w:val="clear" w:color="auto" w:fill="FFFFFF"/>
        <w:rPr>
          <w:rFonts w:ascii="Arial" w:hAnsi="Arial" w:cs="Arial"/>
          <w:b/>
          <w:bCs/>
          <w:sz w:val="22"/>
          <w:szCs w:val="22"/>
        </w:rPr>
      </w:pPr>
    </w:p>
    <w:p w14:paraId="4C8C600D" w14:textId="77777777" w:rsidR="00181B16" w:rsidRDefault="00181B16" w:rsidP="00E460BB">
      <w:pPr>
        <w:pStyle w:val="NormalWeb"/>
        <w:shd w:val="clear" w:color="auto" w:fill="FFFFFF"/>
        <w:rPr>
          <w:rFonts w:ascii="Arial" w:hAnsi="Arial" w:cs="Arial"/>
          <w:b/>
          <w:bCs/>
          <w:sz w:val="22"/>
          <w:szCs w:val="22"/>
        </w:rPr>
      </w:pPr>
    </w:p>
    <w:p w14:paraId="00C1EC64" w14:textId="77777777" w:rsidR="00181B16" w:rsidRDefault="00181B16" w:rsidP="00E460BB">
      <w:pPr>
        <w:pStyle w:val="NormalWeb"/>
        <w:shd w:val="clear" w:color="auto" w:fill="FFFFFF"/>
        <w:rPr>
          <w:rFonts w:ascii="Arial" w:hAnsi="Arial" w:cs="Arial"/>
          <w:b/>
          <w:bCs/>
          <w:sz w:val="22"/>
          <w:szCs w:val="22"/>
        </w:rPr>
      </w:pPr>
    </w:p>
    <w:p w14:paraId="67FA6C46" w14:textId="77777777" w:rsidR="00181B16" w:rsidRDefault="00181B16" w:rsidP="00E460BB">
      <w:pPr>
        <w:pStyle w:val="NormalWeb"/>
        <w:shd w:val="clear" w:color="auto" w:fill="FFFFFF"/>
        <w:rPr>
          <w:rFonts w:ascii="Arial" w:hAnsi="Arial" w:cs="Arial"/>
          <w:b/>
          <w:bCs/>
          <w:sz w:val="22"/>
          <w:szCs w:val="22"/>
        </w:rPr>
      </w:pPr>
    </w:p>
    <w:p w14:paraId="064D57CF" w14:textId="77777777" w:rsidR="00181B16" w:rsidRDefault="00181B16" w:rsidP="00E460BB">
      <w:pPr>
        <w:pStyle w:val="NormalWeb"/>
        <w:shd w:val="clear" w:color="auto" w:fill="FFFFFF"/>
        <w:rPr>
          <w:rFonts w:ascii="Arial" w:hAnsi="Arial" w:cs="Arial"/>
          <w:b/>
          <w:bCs/>
          <w:sz w:val="22"/>
          <w:szCs w:val="22"/>
        </w:rPr>
      </w:pPr>
    </w:p>
    <w:p w14:paraId="6AE8758E" w14:textId="77777777" w:rsidR="00181B16" w:rsidRPr="00180C92" w:rsidRDefault="00181B16" w:rsidP="00E460BB">
      <w:pPr>
        <w:pStyle w:val="NormalWeb"/>
        <w:shd w:val="clear" w:color="auto" w:fill="FFFFFF"/>
        <w:rPr>
          <w:b/>
          <w:bCs/>
        </w:rPr>
      </w:pPr>
    </w:p>
    <w:p w14:paraId="63142CE9" w14:textId="77777777" w:rsidR="00181B16" w:rsidRPr="00180C92" w:rsidRDefault="00181B16" w:rsidP="00E460BB">
      <w:pPr>
        <w:pStyle w:val="NormalWeb"/>
        <w:shd w:val="clear" w:color="auto" w:fill="FFFFFF"/>
        <w:rPr>
          <w:b/>
          <w:bCs/>
        </w:rPr>
      </w:pPr>
    </w:p>
    <w:p w14:paraId="17095988" w14:textId="1AEE443C" w:rsidR="00181B16" w:rsidRPr="00180C92" w:rsidRDefault="00180C92" w:rsidP="00E460BB">
      <w:pPr>
        <w:pStyle w:val="NormalWeb"/>
        <w:shd w:val="clear" w:color="auto" w:fill="FFFFFF"/>
        <w:rPr>
          <w:b/>
          <w:bCs/>
        </w:rPr>
      </w:pPr>
      <w:r w:rsidRPr="00180C92">
        <w:rPr>
          <w:b/>
          <w:bCs/>
        </w:rPr>
        <w:t>Student name:</w:t>
      </w:r>
    </w:p>
    <w:p w14:paraId="75E484D0" w14:textId="77777777" w:rsidR="00180C92" w:rsidRPr="00180C92" w:rsidRDefault="00180C92" w:rsidP="00E460BB">
      <w:pPr>
        <w:pStyle w:val="NormalWeb"/>
        <w:shd w:val="clear" w:color="auto" w:fill="FFFFFF"/>
        <w:rPr>
          <w:b/>
          <w:bCs/>
        </w:rPr>
      </w:pPr>
    </w:p>
    <w:p w14:paraId="469200C0" w14:textId="3E4A65CB" w:rsidR="00180C92" w:rsidRPr="00180C92" w:rsidRDefault="00180C92" w:rsidP="00E460BB">
      <w:pPr>
        <w:pStyle w:val="NormalWeb"/>
        <w:shd w:val="clear" w:color="auto" w:fill="FFFFFF"/>
        <w:rPr>
          <w:b/>
          <w:bCs/>
        </w:rPr>
      </w:pPr>
      <w:r w:rsidRPr="00180C92">
        <w:rPr>
          <w:b/>
          <w:bCs/>
        </w:rPr>
        <w:t>Student ID:</w:t>
      </w:r>
    </w:p>
    <w:p w14:paraId="4364D2B4" w14:textId="77777777" w:rsidR="00181B16" w:rsidRDefault="00181B16" w:rsidP="00E460BB">
      <w:pPr>
        <w:pStyle w:val="NormalWeb"/>
        <w:shd w:val="clear" w:color="auto" w:fill="FFFFFF"/>
        <w:rPr>
          <w:rFonts w:ascii="Arial" w:hAnsi="Arial" w:cs="Arial"/>
          <w:b/>
          <w:bCs/>
          <w:sz w:val="22"/>
          <w:szCs w:val="22"/>
        </w:rPr>
      </w:pPr>
    </w:p>
    <w:p w14:paraId="6A9EE042" w14:textId="77777777" w:rsidR="00181B16" w:rsidRDefault="00181B16" w:rsidP="00E460BB">
      <w:pPr>
        <w:pStyle w:val="NormalWeb"/>
        <w:shd w:val="clear" w:color="auto" w:fill="FFFFFF"/>
        <w:rPr>
          <w:rFonts w:ascii="Arial" w:hAnsi="Arial" w:cs="Arial"/>
          <w:b/>
          <w:bCs/>
          <w:sz w:val="22"/>
          <w:szCs w:val="22"/>
        </w:rPr>
      </w:pPr>
    </w:p>
    <w:p w14:paraId="758C21BB" w14:textId="77777777" w:rsidR="00181B16" w:rsidRDefault="00181B16" w:rsidP="00E460BB">
      <w:pPr>
        <w:pStyle w:val="NormalWeb"/>
        <w:shd w:val="clear" w:color="auto" w:fill="FFFFFF"/>
        <w:rPr>
          <w:rFonts w:ascii="Arial" w:hAnsi="Arial" w:cs="Arial"/>
          <w:b/>
          <w:bCs/>
          <w:sz w:val="22"/>
          <w:szCs w:val="22"/>
        </w:rPr>
      </w:pPr>
    </w:p>
    <w:p w14:paraId="6E122987" w14:textId="77777777" w:rsidR="00181B16" w:rsidRDefault="00181B16" w:rsidP="00E460BB">
      <w:pPr>
        <w:pStyle w:val="NormalWeb"/>
        <w:shd w:val="clear" w:color="auto" w:fill="FFFFFF"/>
        <w:rPr>
          <w:rFonts w:ascii="Arial" w:hAnsi="Arial" w:cs="Arial"/>
          <w:b/>
          <w:bCs/>
          <w:sz w:val="22"/>
          <w:szCs w:val="22"/>
        </w:rPr>
      </w:pPr>
    </w:p>
    <w:p w14:paraId="4FCE0A14" w14:textId="77777777" w:rsidR="00181B16" w:rsidRDefault="00181B16" w:rsidP="00E460BB">
      <w:pPr>
        <w:pStyle w:val="NormalWeb"/>
        <w:shd w:val="clear" w:color="auto" w:fill="FFFFFF"/>
        <w:rPr>
          <w:rFonts w:ascii="Arial" w:hAnsi="Arial" w:cs="Arial"/>
          <w:b/>
          <w:bCs/>
          <w:sz w:val="22"/>
          <w:szCs w:val="22"/>
        </w:rPr>
      </w:pPr>
    </w:p>
    <w:p w14:paraId="08EB0D0F" w14:textId="77777777" w:rsidR="00181B16" w:rsidRDefault="00181B16" w:rsidP="00E460BB">
      <w:pPr>
        <w:pStyle w:val="NormalWeb"/>
        <w:shd w:val="clear" w:color="auto" w:fill="FFFFFF"/>
        <w:rPr>
          <w:rFonts w:ascii="Arial" w:hAnsi="Arial" w:cs="Arial"/>
          <w:b/>
          <w:bCs/>
          <w:sz w:val="22"/>
          <w:szCs w:val="22"/>
        </w:rPr>
      </w:pPr>
    </w:p>
    <w:p w14:paraId="6306DC66" w14:textId="77777777" w:rsidR="00181B16" w:rsidRDefault="00181B16" w:rsidP="00E460BB">
      <w:pPr>
        <w:pStyle w:val="NormalWeb"/>
        <w:shd w:val="clear" w:color="auto" w:fill="FFFFFF"/>
        <w:rPr>
          <w:rFonts w:ascii="Arial" w:hAnsi="Arial" w:cs="Arial"/>
          <w:b/>
          <w:bCs/>
          <w:sz w:val="22"/>
          <w:szCs w:val="22"/>
        </w:rPr>
      </w:pPr>
    </w:p>
    <w:p w14:paraId="18224345" w14:textId="77777777" w:rsidR="00181B16" w:rsidRDefault="00181B16" w:rsidP="00E460BB">
      <w:pPr>
        <w:pStyle w:val="NormalWeb"/>
        <w:shd w:val="clear" w:color="auto" w:fill="FFFFFF"/>
        <w:rPr>
          <w:rFonts w:ascii="Arial" w:hAnsi="Arial" w:cs="Arial"/>
          <w:b/>
          <w:bCs/>
          <w:sz w:val="22"/>
          <w:szCs w:val="22"/>
        </w:rPr>
      </w:pPr>
    </w:p>
    <w:p w14:paraId="19A1BFF0" w14:textId="77777777" w:rsidR="00181B16" w:rsidRDefault="00181B16" w:rsidP="00E460BB">
      <w:pPr>
        <w:pStyle w:val="NormalWeb"/>
        <w:shd w:val="clear" w:color="auto" w:fill="FFFFFF"/>
        <w:rPr>
          <w:rFonts w:ascii="Arial" w:hAnsi="Arial" w:cs="Arial"/>
          <w:b/>
          <w:bCs/>
          <w:sz w:val="22"/>
          <w:szCs w:val="22"/>
        </w:rPr>
      </w:pPr>
    </w:p>
    <w:p w14:paraId="41D27041" w14:textId="77777777" w:rsidR="00181B16" w:rsidRDefault="00181B16" w:rsidP="00E460BB">
      <w:pPr>
        <w:pStyle w:val="NormalWeb"/>
        <w:shd w:val="clear" w:color="auto" w:fill="FFFFFF"/>
        <w:rPr>
          <w:rFonts w:ascii="Arial" w:hAnsi="Arial" w:cs="Arial"/>
          <w:b/>
          <w:bCs/>
          <w:sz w:val="22"/>
          <w:szCs w:val="22"/>
        </w:rPr>
      </w:pPr>
    </w:p>
    <w:p w14:paraId="68FFEF4B" w14:textId="77777777" w:rsidR="00181B16" w:rsidRDefault="00181B16" w:rsidP="00E460BB">
      <w:pPr>
        <w:pStyle w:val="NormalWeb"/>
        <w:shd w:val="clear" w:color="auto" w:fill="FFFFFF"/>
        <w:rPr>
          <w:rFonts w:ascii="Arial" w:hAnsi="Arial" w:cs="Arial"/>
          <w:b/>
          <w:bCs/>
          <w:sz w:val="22"/>
          <w:szCs w:val="22"/>
        </w:rPr>
      </w:pPr>
    </w:p>
    <w:p w14:paraId="3C2FD933" w14:textId="77777777" w:rsidR="00181B16" w:rsidRDefault="00181B16" w:rsidP="00E460BB">
      <w:pPr>
        <w:pStyle w:val="NormalWeb"/>
        <w:shd w:val="clear" w:color="auto" w:fill="FFFFFF"/>
        <w:rPr>
          <w:rFonts w:ascii="Arial" w:hAnsi="Arial" w:cs="Arial"/>
          <w:b/>
          <w:bCs/>
          <w:sz w:val="22"/>
          <w:szCs w:val="22"/>
        </w:rPr>
      </w:pPr>
    </w:p>
    <w:p w14:paraId="75D3A82A" w14:textId="77777777" w:rsidR="00181B16" w:rsidRDefault="00181B16" w:rsidP="00E460BB">
      <w:pPr>
        <w:pStyle w:val="NormalWeb"/>
        <w:shd w:val="clear" w:color="auto" w:fill="FFFFFF"/>
        <w:rPr>
          <w:rFonts w:ascii="Arial" w:hAnsi="Arial" w:cs="Arial"/>
          <w:b/>
          <w:bCs/>
          <w:sz w:val="22"/>
          <w:szCs w:val="22"/>
        </w:rPr>
      </w:pPr>
    </w:p>
    <w:sdt>
      <w:sdtPr>
        <w:rPr>
          <w:rFonts w:asciiTheme="minorHAnsi" w:eastAsiaTheme="minorHAnsi" w:hAnsiTheme="minorHAnsi" w:cstheme="minorBidi"/>
          <w:b w:val="0"/>
          <w:bCs w:val="0"/>
          <w:color w:val="auto"/>
          <w:kern w:val="2"/>
          <w:sz w:val="24"/>
          <w:szCs w:val="24"/>
          <w:lang w:val="en-GB"/>
          <w14:ligatures w14:val="standardContextual"/>
        </w:rPr>
        <w:id w:val="891387285"/>
        <w:docPartObj>
          <w:docPartGallery w:val="Table of Contents"/>
          <w:docPartUnique/>
        </w:docPartObj>
      </w:sdtPr>
      <w:sdtEndPr>
        <w:rPr>
          <w:noProof/>
        </w:rPr>
      </w:sdtEndPr>
      <w:sdtContent>
        <w:p w14:paraId="3060CA6F" w14:textId="03818325" w:rsidR="00C23787" w:rsidRDefault="00C23787">
          <w:pPr>
            <w:pStyle w:val="TOCHeading"/>
          </w:pPr>
          <w:r>
            <w:t>Table of Contents</w:t>
          </w:r>
        </w:p>
        <w:p w14:paraId="498FC17A" w14:textId="7A6CE585" w:rsidR="00EF391E" w:rsidRDefault="00C2378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378058" w:history="1">
            <w:r w:rsidR="00EF391E" w:rsidRPr="00CC6EF8">
              <w:rPr>
                <w:rStyle w:val="Hyperlink"/>
                <w:rFonts w:eastAsia="Times New Roman"/>
                <w:noProof/>
                <w:lang w:eastAsia="en-GB"/>
              </w:rPr>
              <w:t>Element 1: Introduction</w:t>
            </w:r>
            <w:r w:rsidR="00EF391E">
              <w:rPr>
                <w:noProof/>
                <w:webHidden/>
              </w:rPr>
              <w:tab/>
            </w:r>
            <w:r w:rsidR="00EF391E">
              <w:rPr>
                <w:noProof/>
                <w:webHidden/>
              </w:rPr>
              <w:fldChar w:fldCharType="begin"/>
            </w:r>
            <w:r w:rsidR="00EF391E">
              <w:rPr>
                <w:noProof/>
                <w:webHidden/>
              </w:rPr>
              <w:instrText xml:space="preserve"> PAGEREF _Toc214378058 \h </w:instrText>
            </w:r>
            <w:r w:rsidR="00EF391E">
              <w:rPr>
                <w:noProof/>
                <w:webHidden/>
              </w:rPr>
            </w:r>
            <w:r w:rsidR="00EF391E">
              <w:rPr>
                <w:noProof/>
                <w:webHidden/>
              </w:rPr>
              <w:fldChar w:fldCharType="separate"/>
            </w:r>
            <w:r w:rsidR="00EF391E">
              <w:rPr>
                <w:noProof/>
                <w:webHidden/>
              </w:rPr>
              <w:t>3</w:t>
            </w:r>
            <w:r w:rsidR="00EF391E">
              <w:rPr>
                <w:noProof/>
                <w:webHidden/>
              </w:rPr>
              <w:fldChar w:fldCharType="end"/>
            </w:r>
          </w:hyperlink>
        </w:p>
        <w:p w14:paraId="2AFE4A2D" w14:textId="3904A2C0" w:rsidR="00EF391E" w:rsidRDefault="00EF391E">
          <w:pPr>
            <w:pStyle w:val="TOC2"/>
            <w:tabs>
              <w:tab w:val="right" w:leader="dot" w:pos="9016"/>
            </w:tabs>
            <w:rPr>
              <w:rFonts w:eastAsiaTheme="minorEastAsia"/>
              <w:b w:val="0"/>
              <w:bCs w:val="0"/>
              <w:noProof/>
              <w:sz w:val="24"/>
              <w:szCs w:val="24"/>
              <w:lang w:eastAsia="en-GB"/>
            </w:rPr>
          </w:pPr>
          <w:hyperlink w:anchor="_Toc214378059" w:history="1">
            <w:r w:rsidRPr="00CC6EF8">
              <w:rPr>
                <w:rStyle w:val="Hyperlink"/>
                <w:rFonts w:eastAsia="Times New Roman"/>
                <w:noProof/>
                <w:lang w:eastAsia="en-GB"/>
              </w:rPr>
              <w:t>1.1 Project Overview</w:t>
            </w:r>
            <w:r>
              <w:rPr>
                <w:noProof/>
                <w:webHidden/>
              </w:rPr>
              <w:tab/>
            </w:r>
            <w:r>
              <w:rPr>
                <w:noProof/>
                <w:webHidden/>
              </w:rPr>
              <w:fldChar w:fldCharType="begin"/>
            </w:r>
            <w:r>
              <w:rPr>
                <w:noProof/>
                <w:webHidden/>
              </w:rPr>
              <w:instrText xml:space="preserve"> PAGEREF _Toc214378059 \h </w:instrText>
            </w:r>
            <w:r>
              <w:rPr>
                <w:noProof/>
                <w:webHidden/>
              </w:rPr>
            </w:r>
            <w:r>
              <w:rPr>
                <w:noProof/>
                <w:webHidden/>
              </w:rPr>
              <w:fldChar w:fldCharType="separate"/>
            </w:r>
            <w:r>
              <w:rPr>
                <w:noProof/>
                <w:webHidden/>
              </w:rPr>
              <w:t>3</w:t>
            </w:r>
            <w:r>
              <w:rPr>
                <w:noProof/>
                <w:webHidden/>
              </w:rPr>
              <w:fldChar w:fldCharType="end"/>
            </w:r>
          </w:hyperlink>
        </w:p>
        <w:p w14:paraId="7870668D" w14:textId="35448597" w:rsidR="00EF391E" w:rsidRDefault="00EF391E">
          <w:pPr>
            <w:pStyle w:val="TOC2"/>
            <w:tabs>
              <w:tab w:val="right" w:leader="dot" w:pos="9016"/>
            </w:tabs>
            <w:rPr>
              <w:rFonts w:eastAsiaTheme="minorEastAsia"/>
              <w:b w:val="0"/>
              <w:bCs w:val="0"/>
              <w:noProof/>
              <w:sz w:val="24"/>
              <w:szCs w:val="24"/>
              <w:lang w:eastAsia="en-GB"/>
            </w:rPr>
          </w:pPr>
          <w:hyperlink w:anchor="_Toc214378060" w:history="1">
            <w:r w:rsidRPr="00CC6EF8">
              <w:rPr>
                <w:rStyle w:val="Hyperlink"/>
                <w:rFonts w:eastAsia="Times New Roman"/>
                <w:noProof/>
                <w:lang w:eastAsia="en-GB"/>
              </w:rPr>
              <w:t>1.2 Stakeholder Identification and Categorisation</w:t>
            </w:r>
            <w:r>
              <w:rPr>
                <w:noProof/>
                <w:webHidden/>
              </w:rPr>
              <w:tab/>
            </w:r>
            <w:r>
              <w:rPr>
                <w:noProof/>
                <w:webHidden/>
              </w:rPr>
              <w:fldChar w:fldCharType="begin"/>
            </w:r>
            <w:r>
              <w:rPr>
                <w:noProof/>
                <w:webHidden/>
              </w:rPr>
              <w:instrText xml:space="preserve"> PAGEREF _Toc214378060 \h </w:instrText>
            </w:r>
            <w:r>
              <w:rPr>
                <w:noProof/>
                <w:webHidden/>
              </w:rPr>
            </w:r>
            <w:r>
              <w:rPr>
                <w:noProof/>
                <w:webHidden/>
              </w:rPr>
              <w:fldChar w:fldCharType="separate"/>
            </w:r>
            <w:r>
              <w:rPr>
                <w:noProof/>
                <w:webHidden/>
              </w:rPr>
              <w:t>3</w:t>
            </w:r>
            <w:r>
              <w:rPr>
                <w:noProof/>
                <w:webHidden/>
              </w:rPr>
              <w:fldChar w:fldCharType="end"/>
            </w:r>
          </w:hyperlink>
        </w:p>
        <w:p w14:paraId="0B1B36FF" w14:textId="5B8F5D98" w:rsidR="00EF391E" w:rsidRDefault="00EF391E">
          <w:pPr>
            <w:pStyle w:val="TOC1"/>
            <w:tabs>
              <w:tab w:val="right" w:leader="dot" w:pos="9016"/>
            </w:tabs>
            <w:rPr>
              <w:rFonts w:eastAsiaTheme="minorEastAsia"/>
              <w:b w:val="0"/>
              <w:bCs w:val="0"/>
              <w:i w:val="0"/>
              <w:iCs w:val="0"/>
              <w:noProof/>
              <w:lang w:eastAsia="en-GB"/>
            </w:rPr>
          </w:pPr>
          <w:hyperlink w:anchor="_Toc214378061" w:history="1">
            <w:r w:rsidRPr="00CC6EF8">
              <w:rPr>
                <w:rStyle w:val="Hyperlink"/>
                <w:rFonts w:eastAsia="Times New Roman"/>
                <w:noProof/>
                <w:lang w:eastAsia="en-GB"/>
              </w:rPr>
              <w:t>Element 2: Stakeholder Engagement Strategy</w:t>
            </w:r>
            <w:r>
              <w:rPr>
                <w:noProof/>
                <w:webHidden/>
              </w:rPr>
              <w:tab/>
            </w:r>
            <w:r>
              <w:rPr>
                <w:noProof/>
                <w:webHidden/>
              </w:rPr>
              <w:fldChar w:fldCharType="begin"/>
            </w:r>
            <w:r>
              <w:rPr>
                <w:noProof/>
                <w:webHidden/>
              </w:rPr>
              <w:instrText xml:space="preserve"> PAGEREF _Toc214378061 \h </w:instrText>
            </w:r>
            <w:r>
              <w:rPr>
                <w:noProof/>
                <w:webHidden/>
              </w:rPr>
            </w:r>
            <w:r>
              <w:rPr>
                <w:noProof/>
                <w:webHidden/>
              </w:rPr>
              <w:fldChar w:fldCharType="separate"/>
            </w:r>
            <w:r>
              <w:rPr>
                <w:noProof/>
                <w:webHidden/>
              </w:rPr>
              <w:t>4</w:t>
            </w:r>
            <w:r>
              <w:rPr>
                <w:noProof/>
                <w:webHidden/>
              </w:rPr>
              <w:fldChar w:fldCharType="end"/>
            </w:r>
          </w:hyperlink>
        </w:p>
        <w:p w14:paraId="2E198D36" w14:textId="5F3C51D4" w:rsidR="00EF391E" w:rsidRDefault="00EF391E">
          <w:pPr>
            <w:pStyle w:val="TOC2"/>
            <w:tabs>
              <w:tab w:val="right" w:leader="dot" w:pos="9016"/>
            </w:tabs>
            <w:rPr>
              <w:rFonts w:eastAsiaTheme="minorEastAsia"/>
              <w:b w:val="0"/>
              <w:bCs w:val="0"/>
              <w:noProof/>
              <w:sz w:val="24"/>
              <w:szCs w:val="24"/>
              <w:lang w:eastAsia="en-GB"/>
            </w:rPr>
          </w:pPr>
          <w:hyperlink w:anchor="_Toc214378062" w:history="1">
            <w:r w:rsidRPr="00CC6EF8">
              <w:rPr>
                <w:rStyle w:val="Hyperlink"/>
                <w:rFonts w:eastAsia="Times New Roman"/>
                <w:noProof/>
                <w:lang w:eastAsia="en-GB"/>
              </w:rPr>
              <w:t>2.1 Power Grid</w:t>
            </w:r>
            <w:r>
              <w:rPr>
                <w:noProof/>
                <w:webHidden/>
              </w:rPr>
              <w:tab/>
            </w:r>
            <w:r>
              <w:rPr>
                <w:noProof/>
                <w:webHidden/>
              </w:rPr>
              <w:fldChar w:fldCharType="begin"/>
            </w:r>
            <w:r>
              <w:rPr>
                <w:noProof/>
                <w:webHidden/>
              </w:rPr>
              <w:instrText xml:space="preserve"> PAGEREF _Toc214378062 \h </w:instrText>
            </w:r>
            <w:r>
              <w:rPr>
                <w:noProof/>
                <w:webHidden/>
              </w:rPr>
            </w:r>
            <w:r>
              <w:rPr>
                <w:noProof/>
                <w:webHidden/>
              </w:rPr>
              <w:fldChar w:fldCharType="separate"/>
            </w:r>
            <w:r>
              <w:rPr>
                <w:noProof/>
                <w:webHidden/>
              </w:rPr>
              <w:t>4</w:t>
            </w:r>
            <w:r>
              <w:rPr>
                <w:noProof/>
                <w:webHidden/>
              </w:rPr>
              <w:fldChar w:fldCharType="end"/>
            </w:r>
          </w:hyperlink>
        </w:p>
        <w:p w14:paraId="254B096A" w14:textId="568127EB" w:rsidR="00EF391E" w:rsidRDefault="00EF391E">
          <w:pPr>
            <w:pStyle w:val="TOC2"/>
            <w:tabs>
              <w:tab w:val="right" w:leader="dot" w:pos="9016"/>
            </w:tabs>
            <w:rPr>
              <w:rFonts w:eastAsiaTheme="minorEastAsia"/>
              <w:b w:val="0"/>
              <w:bCs w:val="0"/>
              <w:noProof/>
              <w:sz w:val="24"/>
              <w:szCs w:val="24"/>
              <w:lang w:eastAsia="en-GB"/>
            </w:rPr>
          </w:pPr>
          <w:hyperlink w:anchor="_Toc214378063" w:history="1">
            <w:r w:rsidRPr="00CC6EF8">
              <w:rPr>
                <w:rStyle w:val="Hyperlink"/>
                <w:rFonts w:eastAsia="Times New Roman"/>
                <w:noProof/>
                <w:lang w:eastAsia="en-GB"/>
              </w:rPr>
              <w:t>2.2 Stakeholder Map</w:t>
            </w:r>
            <w:r>
              <w:rPr>
                <w:noProof/>
                <w:webHidden/>
              </w:rPr>
              <w:tab/>
            </w:r>
            <w:r>
              <w:rPr>
                <w:noProof/>
                <w:webHidden/>
              </w:rPr>
              <w:fldChar w:fldCharType="begin"/>
            </w:r>
            <w:r>
              <w:rPr>
                <w:noProof/>
                <w:webHidden/>
              </w:rPr>
              <w:instrText xml:space="preserve"> PAGEREF _Toc214378063 \h </w:instrText>
            </w:r>
            <w:r>
              <w:rPr>
                <w:noProof/>
                <w:webHidden/>
              </w:rPr>
            </w:r>
            <w:r>
              <w:rPr>
                <w:noProof/>
                <w:webHidden/>
              </w:rPr>
              <w:fldChar w:fldCharType="separate"/>
            </w:r>
            <w:r>
              <w:rPr>
                <w:noProof/>
                <w:webHidden/>
              </w:rPr>
              <w:t>5</w:t>
            </w:r>
            <w:r>
              <w:rPr>
                <w:noProof/>
                <w:webHidden/>
              </w:rPr>
              <w:fldChar w:fldCharType="end"/>
            </w:r>
          </w:hyperlink>
        </w:p>
        <w:p w14:paraId="4AB4F535" w14:textId="005FC5F6" w:rsidR="00EF391E" w:rsidRDefault="00EF391E">
          <w:pPr>
            <w:pStyle w:val="TOC2"/>
            <w:tabs>
              <w:tab w:val="right" w:leader="dot" w:pos="9016"/>
            </w:tabs>
            <w:rPr>
              <w:rFonts w:eastAsiaTheme="minorEastAsia"/>
              <w:b w:val="0"/>
              <w:bCs w:val="0"/>
              <w:noProof/>
              <w:sz w:val="24"/>
              <w:szCs w:val="24"/>
              <w:lang w:eastAsia="en-GB"/>
            </w:rPr>
          </w:pPr>
          <w:hyperlink w:anchor="_Toc214378064" w:history="1">
            <w:r w:rsidRPr="00CC6EF8">
              <w:rPr>
                <w:rStyle w:val="Hyperlink"/>
                <w:rFonts w:eastAsia="Times New Roman"/>
                <w:noProof/>
                <w:lang w:eastAsia="en-GB"/>
              </w:rPr>
              <w:t>2.3 Communication Plan</w:t>
            </w:r>
            <w:r>
              <w:rPr>
                <w:noProof/>
                <w:webHidden/>
              </w:rPr>
              <w:tab/>
            </w:r>
            <w:r>
              <w:rPr>
                <w:noProof/>
                <w:webHidden/>
              </w:rPr>
              <w:fldChar w:fldCharType="begin"/>
            </w:r>
            <w:r>
              <w:rPr>
                <w:noProof/>
                <w:webHidden/>
              </w:rPr>
              <w:instrText xml:space="preserve"> PAGEREF _Toc214378064 \h </w:instrText>
            </w:r>
            <w:r>
              <w:rPr>
                <w:noProof/>
                <w:webHidden/>
              </w:rPr>
            </w:r>
            <w:r>
              <w:rPr>
                <w:noProof/>
                <w:webHidden/>
              </w:rPr>
              <w:fldChar w:fldCharType="separate"/>
            </w:r>
            <w:r>
              <w:rPr>
                <w:noProof/>
                <w:webHidden/>
              </w:rPr>
              <w:t>6</w:t>
            </w:r>
            <w:r>
              <w:rPr>
                <w:noProof/>
                <w:webHidden/>
              </w:rPr>
              <w:fldChar w:fldCharType="end"/>
            </w:r>
          </w:hyperlink>
        </w:p>
        <w:p w14:paraId="1B2FD9F5" w14:textId="504E42DE" w:rsidR="00EF391E" w:rsidRDefault="00EF391E">
          <w:pPr>
            <w:pStyle w:val="TOC2"/>
            <w:tabs>
              <w:tab w:val="right" w:leader="dot" w:pos="9016"/>
            </w:tabs>
            <w:rPr>
              <w:rFonts w:eastAsiaTheme="minorEastAsia"/>
              <w:b w:val="0"/>
              <w:bCs w:val="0"/>
              <w:noProof/>
              <w:sz w:val="24"/>
              <w:szCs w:val="24"/>
              <w:lang w:eastAsia="en-GB"/>
            </w:rPr>
          </w:pPr>
          <w:hyperlink w:anchor="_Toc214378065" w:history="1">
            <w:r w:rsidRPr="00CC6EF8">
              <w:rPr>
                <w:rStyle w:val="Hyperlink"/>
                <w:rFonts w:eastAsia="Times New Roman"/>
                <w:noProof/>
                <w:lang w:eastAsia="en-GB"/>
              </w:rPr>
              <w:t>2.4 Consultation Strategy</w:t>
            </w:r>
            <w:r>
              <w:rPr>
                <w:noProof/>
                <w:webHidden/>
              </w:rPr>
              <w:tab/>
            </w:r>
            <w:r>
              <w:rPr>
                <w:noProof/>
                <w:webHidden/>
              </w:rPr>
              <w:fldChar w:fldCharType="begin"/>
            </w:r>
            <w:r>
              <w:rPr>
                <w:noProof/>
                <w:webHidden/>
              </w:rPr>
              <w:instrText xml:space="preserve"> PAGEREF _Toc214378065 \h </w:instrText>
            </w:r>
            <w:r>
              <w:rPr>
                <w:noProof/>
                <w:webHidden/>
              </w:rPr>
            </w:r>
            <w:r>
              <w:rPr>
                <w:noProof/>
                <w:webHidden/>
              </w:rPr>
              <w:fldChar w:fldCharType="separate"/>
            </w:r>
            <w:r>
              <w:rPr>
                <w:noProof/>
                <w:webHidden/>
              </w:rPr>
              <w:t>6</w:t>
            </w:r>
            <w:r>
              <w:rPr>
                <w:noProof/>
                <w:webHidden/>
              </w:rPr>
              <w:fldChar w:fldCharType="end"/>
            </w:r>
          </w:hyperlink>
        </w:p>
        <w:p w14:paraId="15C94E78" w14:textId="67DBE9EC" w:rsidR="00EF391E" w:rsidRDefault="00EF391E">
          <w:pPr>
            <w:pStyle w:val="TOC1"/>
            <w:tabs>
              <w:tab w:val="right" w:leader="dot" w:pos="9016"/>
            </w:tabs>
            <w:rPr>
              <w:rFonts w:eastAsiaTheme="minorEastAsia"/>
              <w:b w:val="0"/>
              <w:bCs w:val="0"/>
              <w:i w:val="0"/>
              <w:iCs w:val="0"/>
              <w:noProof/>
              <w:lang w:eastAsia="en-GB"/>
            </w:rPr>
          </w:pPr>
          <w:hyperlink w:anchor="_Toc214378066" w:history="1">
            <w:r w:rsidRPr="00CC6EF8">
              <w:rPr>
                <w:rStyle w:val="Hyperlink"/>
                <w:rFonts w:eastAsia="Times New Roman"/>
                <w:noProof/>
                <w:lang w:eastAsia="en-GB"/>
              </w:rPr>
              <w:t>Element 3: Ethical Considerations</w:t>
            </w:r>
            <w:r>
              <w:rPr>
                <w:noProof/>
                <w:webHidden/>
              </w:rPr>
              <w:tab/>
            </w:r>
            <w:r>
              <w:rPr>
                <w:noProof/>
                <w:webHidden/>
              </w:rPr>
              <w:fldChar w:fldCharType="begin"/>
            </w:r>
            <w:r>
              <w:rPr>
                <w:noProof/>
                <w:webHidden/>
              </w:rPr>
              <w:instrText xml:space="preserve"> PAGEREF _Toc214378066 \h </w:instrText>
            </w:r>
            <w:r>
              <w:rPr>
                <w:noProof/>
                <w:webHidden/>
              </w:rPr>
            </w:r>
            <w:r>
              <w:rPr>
                <w:noProof/>
                <w:webHidden/>
              </w:rPr>
              <w:fldChar w:fldCharType="separate"/>
            </w:r>
            <w:r>
              <w:rPr>
                <w:noProof/>
                <w:webHidden/>
              </w:rPr>
              <w:t>7</w:t>
            </w:r>
            <w:r>
              <w:rPr>
                <w:noProof/>
                <w:webHidden/>
              </w:rPr>
              <w:fldChar w:fldCharType="end"/>
            </w:r>
          </w:hyperlink>
        </w:p>
        <w:p w14:paraId="66D4097D" w14:textId="63F8289F" w:rsidR="00EF391E" w:rsidRDefault="00EF391E">
          <w:pPr>
            <w:pStyle w:val="TOC2"/>
            <w:tabs>
              <w:tab w:val="right" w:leader="dot" w:pos="9016"/>
            </w:tabs>
            <w:rPr>
              <w:rFonts w:eastAsiaTheme="minorEastAsia"/>
              <w:b w:val="0"/>
              <w:bCs w:val="0"/>
              <w:noProof/>
              <w:sz w:val="24"/>
              <w:szCs w:val="24"/>
              <w:lang w:eastAsia="en-GB"/>
            </w:rPr>
          </w:pPr>
          <w:hyperlink w:anchor="_Toc214378067" w:history="1">
            <w:r w:rsidRPr="00CC6EF8">
              <w:rPr>
                <w:rStyle w:val="Hyperlink"/>
                <w:rFonts w:eastAsia="Times New Roman"/>
                <w:noProof/>
                <w:lang w:eastAsia="en-GB"/>
              </w:rPr>
              <w:t>3.1 Consultation Methods and Inclusivity</w:t>
            </w:r>
            <w:r>
              <w:rPr>
                <w:noProof/>
                <w:webHidden/>
              </w:rPr>
              <w:tab/>
            </w:r>
            <w:r>
              <w:rPr>
                <w:noProof/>
                <w:webHidden/>
              </w:rPr>
              <w:fldChar w:fldCharType="begin"/>
            </w:r>
            <w:r>
              <w:rPr>
                <w:noProof/>
                <w:webHidden/>
              </w:rPr>
              <w:instrText xml:space="preserve"> PAGEREF _Toc214378067 \h </w:instrText>
            </w:r>
            <w:r>
              <w:rPr>
                <w:noProof/>
                <w:webHidden/>
              </w:rPr>
            </w:r>
            <w:r>
              <w:rPr>
                <w:noProof/>
                <w:webHidden/>
              </w:rPr>
              <w:fldChar w:fldCharType="separate"/>
            </w:r>
            <w:r>
              <w:rPr>
                <w:noProof/>
                <w:webHidden/>
              </w:rPr>
              <w:t>7</w:t>
            </w:r>
            <w:r>
              <w:rPr>
                <w:noProof/>
                <w:webHidden/>
              </w:rPr>
              <w:fldChar w:fldCharType="end"/>
            </w:r>
          </w:hyperlink>
        </w:p>
        <w:p w14:paraId="6F7CED94" w14:textId="76950ED1" w:rsidR="00EF391E" w:rsidRDefault="00EF391E">
          <w:pPr>
            <w:pStyle w:val="TOC2"/>
            <w:tabs>
              <w:tab w:val="right" w:leader="dot" w:pos="9016"/>
            </w:tabs>
            <w:rPr>
              <w:rFonts w:eastAsiaTheme="minorEastAsia"/>
              <w:b w:val="0"/>
              <w:bCs w:val="0"/>
              <w:noProof/>
              <w:sz w:val="24"/>
              <w:szCs w:val="24"/>
              <w:lang w:eastAsia="en-GB"/>
            </w:rPr>
          </w:pPr>
          <w:hyperlink w:anchor="_Toc214378068" w:history="1">
            <w:r w:rsidRPr="00CC6EF8">
              <w:rPr>
                <w:rStyle w:val="Hyperlink"/>
                <w:rFonts w:eastAsia="Times New Roman"/>
                <w:noProof/>
                <w:lang w:eastAsia="en-GB"/>
              </w:rPr>
              <w:t>3.2 Ethical Data Handling &amp; Feedback Loops</w:t>
            </w:r>
            <w:r>
              <w:rPr>
                <w:noProof/>
                <w:webHidden/>
              </w:rPr>
              <w:tab/>
            </w:r>
            <w:r>
              <w:rPr>
                <w:noProof/>
                <w:webHidden/>
              </w:rPr>
              <w:fldChar w:fldCharType="begin"/>
            </w:r>
            <w:r>
              <w:rPr>
                <w:noProof/>
                <w:webHidden/>
              </w:rPr>
              <w:instrText xml:space="preserve"> PAGEREF _Toc214378068 \h </w:instrText>
            </w:r>
            <w:r>
              <w:rPr>
                <w:noProof/>
                <w:webHidden/>
              </w:rPr>
            </w:r>
            <w:r>
              <w:rPr>
                <w:noProof/>
                <w:webHidden/>
              </w:rPr>
              <w:fldChar w:fldCharType="separate"/>
            </w:r>
            <w:r>
              <w:rPr>
                <w:noProof/>
                <w:webHidden/>
              </w:rPr>
              <w:t>8</w:t>
            </w:r>
            <w:r>
              <w:rPr>
                <w:noProof/>
                <w:webHidden/>
              </w:rPr>
              <w:fldChar w:fldCharType="end"/>
            </w:r>
          </w:hyperlink>
        </w:p>
        <w:p w14:paraId="26B3398F" w14:textId="27FD3CFE" w:rsidR="00EF391E" w:rsidRDefault="00EF391E">
          <w:pPr>
            <w:pStyle w:val="TOC2"/>
            <w:tabs>
              <w:tab w:val="right" w:leader="dot" w:pos="9016"/>
            </w:tabs>
            <w:rPr>
              <w:rFonts w:eastAsiaTheme="minorEastAsia"/>
              <w:b w:val="0"/>
              <w:bCs w:val="0"/>
              <w:noProof/>
              <w:sz w:val="24"/>
              <w:szCs w:val="24"/>
              <w:lang w:eastAsia="en-GB"/>
            </w:rPr>
          </w:pPr>
          <w:hyperlink w:anchor="_Toc214378069" w:history="1">
            <w:r w:rsidRPr="00CC6EF8">
              <w:rPr>
                <w:rStyle w:val="Hyperlink"/>
                <w:rFonts w:eastAsia="Times New Roman"/>
                <w:noProof/>
                <w:lang w:eastAsia="en-GB"/>
              </w:rPr>
              <w:t>3.3 DEI and Bias Awareness</w:t>
            </w:r>
            <w:r>
              <w:rPr>
                <w:noProof/>
                <w:webHidden/>
              </w:rPr>
              <w:tab/>
            </w:r>
            <w:r>
              <w:rPr>
                <w:noProof/>
                <w:webHidden/>
              </w:rPr>
              <w:fldChar w:fldCharType="begin"/>
            </w:r>
            <w:r>
              <w:rPr>
                <w:noProof/>
                <w:webHidden/>
              </w:rPr>
              <w:instrText xml:space="preserve"> PAGEREF _Toc214378069 \h </w:instrText>
            </w:r>
            <w:r>
              <w:rPr>
                <w:noProof/>
                <w:webHidden/>
              </w:rPr>
            </w:r>
            <w:r>
              <w:rPr>
                <w:noProof/>
                <w:webHidden/>
              </w:rPr>
              <w:fldChar w:fldCharType="separate"/>
            </w:r>
            <w:r>
              <w:rPr>
                <w:noProof/>
                <w:webHidden/>
              </w:rPr>
              <w:t>8</w:t>
            </w:r>
            <w:r>
              <w:rPr>
                <w:noProof/>
                <w:webHidden/>
              </w:rPr>
              <w:fldChar w:fldCharType="end"/>
            </w:r>
          </w:hyperlink>
        </w:p>
        <w:p w14:paraId="44B3E0EA" w14:textId="29FC2D41" w:rsidR="00EF391E" w:rsidRDefault="00EF391E">
          <w:pPr>
            <w:pStyle w:val="TOC1"/>
            <w:tabs>
              <w:tab w:val="right" w:leader="dot" w:pos="9016"/>
            </w:tabs>
            <w:rPr>
              <w:rFonts w:eastAsiaTheme="minorEastAsia"/>
              <w:b w:val="0"/>
              <w:bCs w:val="0"/>
              <w:i w:val="0"/>
              <w:iCs w:val="0"/>
              <w:noProof/>
              <w:lang w:eastAsia="en-GB"/>
            </w:rPr>
          </w:pPr>
          <w:hyperlink w:anchor="_Toc214378070" w:history="1">
            <w:r w:rsidRPr="00CC6EF8">
              <w:rPr>
                <w:rStyle w:val="Hyperlink"/>
                <w:rFonts w:eastAsia="Times New Roman"/>
                <w:noProof/>
                <w:lang w:eastAsia="en-GB"/>
              </w:rPr>
              <w:t>Element 4: Conclusion and CPD Reflection</w:t>
            </w:r>
            <w:r>
              <w:rPr>
                <w:noProof/>
                <w:webHidden/>
              </w:rPr>
              <w:tab/>
            </w:r>
            <w:r>
              <w:rPr>
                <w:noProof/>
                <w:webHidden/>
              </w:rPr>
              <w:fldChar w:fldCharType="begin"/>
            </w:r>
            <w:r>
              <w:rPr>
                <w:noProof/>
                <w:webHidden/>
              </w:rPr>
              <w:instrText xml:space="preserve"> PAGEREF _Toc214378070 \h </w:instrText>
            </w:r>
            <w:r>
              <w:rPr>
                <w:noProof/>
                <w:webHidden/>
              </w:rPr>
            </w:r>
            <w:r>
              <w:rPr>
                <w:noProof/>
                <w:webHidden/>
              </w:rPr>
              <w:fldChar w:fldCharType="separate"/>
            </w:r>
            <w:r>
              <w:rPr>
                <w:noProof/>
                <w:webHidden/>
              </w:rPr>
              <w:t>9</w:t>
            </w:r>
            <w:r>
              <w:rPr>
                <w:noProof/>
                <w:webHidden/>
              </w:rPr>
              <w:fldChar w:fldCharType="end"/>
            </w:r>
          </w:hyperlink>
        </w:p>
        <w:p w14:paraId="43C8532A" w14:textId="7F3B3A41" w:rsidR="00EF391E" w:rsidRDefault="00EF391E">
          <w:pPr>
            <w:pStyle w:val="TOC2"/>
            <w:tabs>
              <w:tab w:val="right" w:leader="dot" w:pos="9016"/>
            </w:tabs>
            <w:rPr>
              <w:rFonts w:eastAsiaTheme="minorEastAsia"/>
              <w:b w:val="0"/>
              <w:bCs w:val="0"/>
              <w:noProof/>
              <w:sz w:val="24"/>
              <w:szCs w:val="24"/>
              <w:lang w:eastAsia="en-GB"/>
            </w:rPr>
          </w:pPr>
          <w:hyperlink w:anchor="_Toc214378071" w:history="1">
            <w:r w:rsidRPr="00CC6EF8">
              <w:rPr>
                <w:rStyle w:val="Hyperlink"/>
                <w:rFonts w:eastAsia="Times New Roman"/>
                <w:noProof/>
                <w:lang w:eastAsia="en-GB"/>
              </w:rPr>
              <w:t>4.1 Conclusion: The Importance of Stakeholder Engagement</w:t>
            </w:r>
            <w:r>
              <w:rPr>
                <w:noProof/>
                <w:webHidden/>
              </w:rPr>
              <w:tab/>
            </w:r>
            <w:r>
              <w:rPr>
                <w:noProof/>
                <w:webHidden/>
              </w:rPr>
              <w:fldChar w:fldCharType="begin"/>
            </w:r>
            <w:r>
              <w:rPr>
                <w:noProof/>
                <w:webHidden/>
              </w:rPr>
              <w:instrText xml:space="preserve"> PAGEREF _Toc214378071 \h </w:instrText>
            </w:r>
            <w:r>
              <w:rPr>
                <w:noProof/>
                <w:webHidden/>
              </w:rPr>
            </w:r>
            <w:r>
              <w:rPr>
                <w:noProof/>
                <w:webHidden/>
              </w:rPr>
              <w:fldChar w:fldCharType="separate"/>
            </w:r>
            <w:r>
              <w:rPr>
                <w:noProof/>
                <w:webHidden/>
              </w:rPr>
              <w:t>9</w:t>
            </w:r>
            <w:r>
              <w:rPr>
                <w:noProof/>
                <w:webHidden/>
              </w:rPr>
              <w:fldChar w:fldCharType="end"/>
            </w:r>
          </w:hyperlink>
        </w:p>
        <w:p w14:paraId="772B4A25" w14:textId="3908A880" w:rsidR="00EF391E" w:rsidRDefault="00EF391E">
          <w:pPr>
            <w:pStyle w:val="TOC2"/>
            <w:tabs>
              <w:tab w:val="right" w:leader="dot" w:pos="9016"/>
            </w:tabs>
            <w:rPr>
              <w:rFonts w:eastAsiaTheme="minorEastAsia"/>
              <w:b w:val="0"/>
              <w:bCs w:val="0"/>
              <w:noProof/>
              <w:sz w:val="24"/>
              <w:szCs w:val="24"/>
              <w:lang w:eastAsia="en-GB"/>
            </w:rPr>
          </w:pPr>
          <w:hyperlink w:anchor="_Toc214378072" w:history="1">
            <w:r w:rsidRPr="00CC6EF8">
              <w:rPr>
                <w:rStyle w:val="Hyperlink"/>
                <w:rFonts w:eastAsia="Times New Roman"/>
                <w:noProof/>
                <w:lang w:eastAsia="en-GB"/>
              </w:rPr>
              <w:t>4.2 Reflective Account – Weekly Learning (CPD)</w:t>
            </w:r>
            <w:r>
              <w:rPr>
                <w:noProof/>
                <w:webHidden/>
              </w:rPr>
              <w:tab/>
            </w:r>
            <w:r>
              <w:rPr>
                <w:noProof/>
                <w:webHidden/>
              </w:rPr>
              <w:fldChar w:fldCharType="begin"/>
            </w:r>
            <w:r>
              <w:rPr>
                <w:noProof/>
                <w:webHidden/>
              </w:rPr>
              <w:instrText xml:space="preserve"> PAGEREF _Toc214378072 \h </w:instrText>
            </w:r>
            <w:r>
              <w:rPr>
                <w:noProof/>
                <w:webHidden/>
              </w:rPr>
            </w:r>
            <w:r>
              <w:rPr>
                <w:noProof/>
                <w:webHidden/>
              </w:rPr>
              <w:fldChar w:fldCharType="separate"/>
            </w:r>
            <w:r>
              <w:rPr>
                <w:noProof/>
                <w:webHidden/>
              </w:rPr>
              <w:t>10</w:t>
            </w:r>
            <w:r>
              <w:rPr>
                <w:noProof/>
                <w:webHidden/>
              </w:rPr>
              <w:fldChar w:fldCharType="end"/>
            </w:r>
          </w:hyperlink>
        </w:p>
        <w:p w14:paraId="52C8701E" w14:textId="3C5BB8C9" w:rsidR="00EF391E" w:rsidRDefault="00EF391E">
          <w:pPr>
            <w:pStyle w:val="TOC1"/>
            <w:tabs>
              <w:tab w:val="right" w:leader="dot" w:pos="9016"/>
            </w:tabs>
            <w:rPr>
              <w:rFonts w:eastAsiaTheme="minorEastAsia"/>
              <w:b w:val="0"/>
              <w:bCs w:val="0"/>
              <w:i w:val="0"/>
              <w:iCs w:val="0"/>
              <w:noProof/>
              <w:lang w:eastAsia="en-GB"/>
            </w:rPr>
          </w:pPr>
          <w:hyperlink w:anchor="_Toc214378073" w:history="1">
            <w:r w:rsidRPr="00CC6EF8">
              <w:rPr>
                <w:rStyle w:val="Hyperlink"/>
                <w:noProof/>
              </w:rPr>
              <w:t>References</w:t>
            </w:r>
            <w:r>
              <w:rPr>
                <w:noProof/>
                <w:webHidden/>
              </w:rPr>
              <w:tab/>
            </w:r>
            <w:r>
              <w:rPr>
                <w:noProof/>
                <w:webHidden/>
              </w:rPr>
              <w:fldChar w:fldCharType="begin"/>
            </w:r>
            <w:r>
              <w:rPr>
                <w:noProof/>
                <w:webHidden/>
              </w:rPr>
              <w:instrText xml:space="preserve"> PAGEREF _Toc214378073 \h </w:instrText>
            </w:r>
            <w:r>
              <w:rPr>
                <w:noProof/>
                <w:webHidden/>
              </w:rPr>
            </w:r>
            <w:r>
              <w:rPr>
                <w:noProof/>
                <w:webHidden/>
              </w:rPr>
              <w:fldChar w:fldCharType="separate"/>
            </w:r>
            <w:r>
              <w:rPr>
                <w:noProof/>
                <w:webHidden/>
              </w:rPr>
              <w:t>11</w:t>
            </w:r>
            <w:r>
              <w:rPr>
                <w:noProof/>
                <w:webHidden/>
              </w:rPr>
              <w:fldChar w:fldCharType="end"/>
            </w:r>
          </w:hyperlink>
        </w:p>
        <w:p w14:paraId="0C42C5E4" w14:textId="6E820058" w:rsidR="00C23787" w:rsidRDefault="00C23787">
          <w:r>
            <w:rPr>
              <w:b/>
              <w:bCs/>
              <w:noProof/>
            </w:rPr>
            <w:fldChar w:fldCharType="end"/>
          </w:r>
        </w:p>
      </w:sdtContent>
    </w:sdt>
    <w:p w14:paraId="6CB8E4C4" w14:textId="1A745A5C" w:rsidR="00181B16" w:rsidRDefault="00181B16" w:rsidP="00DF1F07">
      <w:pPr>
        <w:spacing w:line="360" w:lineRule="auto"/>
        <w:jc w:val="both"/>
        <w:rPr>
          <w:rFonts w:ascii="Times New Roman" w:hAnsi="Times New Roman" w:cs="Times New Roman"/>
        </w:rPr>
      </w:pPr>
    </w:p>
    <w:p w14:paraId="3619A72C" w14:textId="77777777" w:rsidR="00C23787" w:rsidRDefault="00C23787" w:rsidP="00DF1F07">
      <w:pPr>
        <w:spacing w:line="360" w:lineRule="auto"/>
        <w:jc w:val="both"/>
        <w:rPr>
          <w:rFonts w:ascii="Times New Roman" w:hAnsi="Times New Roman" w:cs="Times New Roman"/>
        </w:rPr>
      </w:pPr>
    </w:p>
    <w:p w14:paraId="577D1BCE" w14:textId="77777777" w:rsidR="00C23787" w:rsidRDefault="00C23787" w:rsidP="00DF1F07">
      <w:pPr>
        <w:spacing w:line="360" w:lineRule="auto"/>
        <w:jc w:val="both"/>
        <w:rPr>
          <w:rFonts w:ascii="Times New Roman" w:hAnsi="Times New Roman" w:cs="Times New Roman"/>
        </w:rPr>
      </w:pPr>
    </w:p>
    <w:p w14:paraId="2F6DDE0A" w14:textId="77777777" w:rsidR="00C23787" w:rsidRDefault="00C23787" w:rsidP="00DF1F07">
      <w:pPr>
        <w:spacing w:line="360" w:lineRule="auto"/>
        <w:jc w:val="both"/>
        <w:rPr>
          <w:rFonts w:ascii="Times New Roman" w:hAnsi="Times New Roman" w:cs="Times New Roman"/>
        </w:rPr>
      </w:pPr>
    </w:p>
    <w:p w14:paraId="7292268C" w14:textId="77777777" w:rsidR="00C23787" w:rsidRDefault="00C23787" w:rsidP="00DF1F07">
      <w:pPr>
        <w:spacing w:line="360" w:lineRule="auto"/>
        <w:jc w:val="both"/>
        <w:rPr>
          <w:rFonts w:ascii="Times New Roman" w:hAnsi="Times New Roman" w:cs="Times New Roman"/>
        </w:rPr>
      </w:pPr>
    </w:p>
    <w:p w14:paraId="2B6472EE" w14:textId="77777777" w:rsidR="00C23787" w:rsidRDefault="00C23787" w:rsidP="00DF1F07">
      <w:pPr>
        <w:spacing w:line="360" w:lineRule="auto"/>
        <w:jc w:val="both"/>
        <w:rPr>
          <w:rFonts w:ascii="Times New Roman" w:hAnsi="Times New Roman" w:cs="Times New Roman"/>
        </w:rPr>
      </w:pPr>
    </w:p>
    <w:p w14:paraId="3FB0C935" w14:textId="77777777" w:rsidR="00C23787" w:rsidRDefault="00C23787" w:rsidP="00DF1F07">
      <w:pPr>
        <w:spacing w:line="360" w:lineRule="auto"/>
        <w:jc w:val="both"/>
        <w:rPr>
          <w:rFonts w:ascii="Times New Roman" w:hAnsi="Times New Roman" w:cs="Times New Roman"/>
        </w:rPr>
      </w:pPr>
    </w:p>
    <w:p w14:paraId="5BF8B288" w14:textId="77777777" w:rsidR="00C23787" w:rsidRDefault="00C23787" w:rsidP="00DF1F07">
      <w:pPr>
        <w:spacing w:line="360" w:lineRule="auto"/>
        <w:jc w:val="both"/>
        <w:rPr>
          <w:rFonts w:ascii="Times New Roman" w:hAnsi="Times New Roman" w:cs="Times New Roman"/>
        </w:rPr>
      </w:pPr>
    </w:p>
    <w:p w14:paraId="56467FC7" w14:textId="77777777" w:rsidR="00C23787" w:rsidRPr="008E62FF" w:rsidRDefault="00C23787" w:rsidP="008E62FF">
      <w:pPr>
        <w:spacing w:line="360" w:lineRule="auto"/>
        <w:jc w:val="both"/>
        <w:rPr>
          <w:rFonts w:ascii="Times New Roman" w:hAnsi="Times New Roman" w:cs="Times New Roman"/>
        </w:rPr>
      </w:pPr>
    </w:p>
    <w:p w14:paraId="5F17575A" w14:textId="77777777" w:rsidR="00C23787" w:rsidRPr="008E62FF" w:rsidRDefault="00C23787" w:rsidP="008E62FF">
      <w:pPr>
        <w:spacing w:line="360" w:lineRule="auto"/>
        <w:jc w:val="both"/>
        <w:rPr>
          <w:rFonts w:ascii="Times New Roman" w:hAnsi="Times New Roman" w:cs="Times New Roman"/>
        </w:rPr>
      </w:pPr>
    </w:p>
    <w:p w14:paraId="6E97557F" w14:textId="77777777" w:rsidR="00C23787" w:rsidRPr="008E62FF" w:rsidRDefault="00C23787" w:rsidP="008E62FF">
      <w:pPr>
        <w:spacing w:line="360" w:lineRule="auto"/>
        <w:jc w:val="both"/>
        <w:rPr>
          <w:rFonts w:ascii="Times New Roman" w:hAnsi="Times New Roman" w:cs="Times New Roman"/>
        </w:rPr>
      </w:pPr>
    </w:p>
    <w:p w14:paraId="18162562" w14:textId="77777777" w:rsidR="008E62FF" w:rsidRPr="008E62FF" w:rsidRDefault="008E62FF" w:rsidP="008E62FF">
      <w:pPr>
        <w:pStyle w:val="Heading1"/>
        <w:rPr>
          <w:lang w:eastAsia="en-GB"/>
        </w:rPr>
      </w:pPr>
      <w:bookmarkStart w:id="0" w:name="_Toc214378061"/>
      <w:r w:rsidRPr="008E62FF">
        <w:rPr>
          <w:lang w:eastAsia="en-GB"/>
        </w:rPr>
        <w:lastRenderedPageBreak/>
        <w:t xml:space="preserve">Element 1: Introduction </w:t>
      </w:r>
    </w:p>
    <w:p w14:paraId="24A4DF8B" w14:textId="77777777" w:rsidR="008E62FF" w:rsidRPr="008E62FF" w:rsidRDefault="008E62FF" w:rsidP="008E62FF">
      <w:pPr>
        <w:pStyle w:val="Heading2"/>
        <w:rPr>
          <w:lang w:eastAsia="en-GB"/>
        </w:rPr>
      </w:pPr>
      <w:r w:rsidRPr="008E62FF">
        <w:rPr>
          <w:lang w:eastAsia="en-GB"/>
        </w:rPr>
        <w:t xml:space="preserve">1.1 Project Overview </w:t>
      </w:r>
    </w:p>
    <w:p w14:paraId="6420A126" w14:textId="77777777" w:rsidR="008E62FF" w:rsidRPr="008E62FF" w:rsidRDefault="008E62FF"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Larchwood Community Leisure Centre is located in an expanding suburban part of Birmingham and the proposed project would re-develop the same. It was initially constructed back in the early nineties, yet the centre is currently lagging behind in accessibility, energy conservation, and youth provision. The re-development would involve restructuring the old infrastructure, provision of youth wellness centre, and construction of pro-environment friendly building materials.</w:t>
      </w:r>
    </w:p>
    <w:p w14:paraId="52D31DD9" w14:textId="77777777" w:rsidR="008E62FF" w:rsidRPr="008E62FF" w:rsidRDefault="008E62FF"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According to Public Health England (2021), the project is based on the increased demand of inclusive, intergenerational spaces that address the physical, social, and mental well-being. According to Sport England (2023), the availability of modern leisure facilities enhances the health of the community, but it also makes people feel not so isolated, in particular, older adults and young people. The investment aligns with the strategy of the Birmingham City Council (Active Communities Strategy) as well, where the increase of sports and recreation to all people in the city regardless of their abilities and age is the goal (BCC, 2022).</w:t>
      </w:r>
    </w:p>
    <w:p w14:paraId="082CEF05" w14:textId="472C41BF" w:rsidR="008E62FF" w:rsidRPr="008E62FF" w:rsidRDefault="008E62FF" w:rsidP="008E62FF">
      <w:pPr>
        <w:pStyle w:val="Heading2"/>
        <w:rPr>
          <w:lang w:eastAsia="en-GB"/>
        </w:rPr>
      </w:pPr>
      <w:r w:rsidRPr="008E62FF">
        <w:rPr>
          <w:lang w:eastAsia="en-GB"/>
        </w:rPr>
        <w:t>1.2 Stakeholder Identification and Categorisation</w:t>
      </w:r>
    </w:p>
    <w:p w14:paraId="3EDA367C" w14:textId="77777777" w:rsidR="008E62FF" w:rsidRPr="008E62FF" w:rsidRDefault="008E62FF"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Freeman (1984) states that a stakeholder is anything or anybody that could affect or be affected by the project outcome. In the Larchwood Leisure Centre redevelopment, the stakeholders are individuals or organizations within and outside the project whose needs, expectations, and influence should be well handled within the project life.</w:t>
      </w:r>
    </w:p>
    <w:p w14:paraId="5468F834" w14:textId="77777777" w:rsidR="008E62FF" w:rsidRPr="008E62FF" w:rsidRDefault="008E62FF"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Planning, implementation, and monitoring of the project will be done by the project management team of the local council. They primarily aim at achieving good outputs within the scope of the project, the time-frame and the budget of the project, as well as accountable to the community. Another internal group is that of the leisure centre staff. Their lives are directly influenced by changes in infrastructure, working conditions, training needs, and job security as they are the ones who offer services on the front lines. They will be critical in the development of an environment that is not only physically improved, but that can be sustained in the long term.</w:t>
      </w:r>
    </w:p>
    <w:p w14:paraId="5A06D5D4" w14:textId="77777777" w:rsidR="008E62FF" w:rsidRPr="008E62FF" w:rsidRDefault="008E62FF"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 xml:space="preserve">The inhabitants around the centre are a heterogeneous group that has varying needs. There are other people who might be concerned about the noise, the traffic, or even having to relocate during the construction but most of them will be pleased with the improved facilities and a stronger </w:t>
      </w:r>
      <w:proofErr w:type="spellStart"/>
      <w:r w:rsidRPr="008E62FF">
        <w:rPr>
          <w:rFonts w:ascii="Times New Roman" w:hAnsi="Times New Roman" w:cs="Times New Roman"/>
          <w:lang w:eastAsia="en-GB"/>
        </w:rPr>
        <w:t>neighborhood</w:t>
      </w:r>
      <w:proofErr w:type="spellEnd"/>
      <w:r w:rsidRPr="008E62FF">
        <w:rPr>
          <w:rFonts w:ascii="Times New Roman" w:hAnsi="Times New Roman" w:cs="Times New Roman"/>
          <w:lang w:eastAsia="en-GB"/>
        </w:rPr>
        <w:t xml:space="preserve">. The centre is excellent among the youth and school classes since this </w:t>
      </w:r>
      <w:r w:rsidRPr="008E62FF">
        <w:rPr>
          <w:rFonts w:ascii="Times New Roman" w:hAnsi="Times New Roman" w:cs="Times New Roman"/>
          <w:lang w:eastAsia="en-GB"/>
        </w:rPr>
        <w:lastRenderedPageBreak/>
        <w:t>provides the youth with an opportunity to engage in after-school activities, physical development, and find friends in a secure setting. New design features, which are more user-friendly by older people and promote them to be physically active and social, will also benefit older people and people who want to make places more accessible. The facilities will be updated to serve the local sports clubs that require convenient-to-use areas to train and compete.</w:t>
      </w:r>
    </w:p>
    <w:p w14:paraId="08811736" w14:textId="53461848" w:rsidR="008E62FF" w:rsidRPr="008E62FF" w:rsidRDefault="008E62FF"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It is more equitable and transparent to all at an early stage, finding these stakeholders, and understanding what each group hopes to derive out of the process. It also ensures that the project aligns with a larger concept of community development rather than assisting the most vocal or the most powerful groups (Bryson, 2018).</w:t>
      </w:r>
    </w:p>
    <w:p w14:paraId="76B1D94A" w14:textId="37FD3904" w:rsidR="00181B16" w:rsidRPr="00DF1F07" w:rsidRDefault="00181B16" w:rsidP="00BB0D9F">
      <w:pPr>
        <w:pStyle w:val="Heading1"/>
        <w:rPr>
          <w:rFonts w:eastAsia="Times New Roman"/>
          <w:lang w:eastAsia="en-GB"/>
        </w:rPr>
      </w:pPr>
      <w:r w:rsidRPr="00DF1F07">
        <w:rPr>
          <w:rFonts w:eastAsia="Times New Roman"/>
          <w:lang w:eastAsia="en-GB"/>
        </w:rPr>
        <w:t>Element 2: Stakeholder Engagement Strategy</w:t>
      </w:r>
      <w:bookmarkEnd w:id="0"/>
      <w:r w:rsidRPr="00DF1F07">
        <w:rPr>
          <w:rFonts w:eastAsia="Times New Roman"/>
          <w:lang w:eastAsia="en-GB"/>
        </w:rPr>
        <w:t xml:space="preserve"> </w:t>
      </w:r>
    </w:p>
    <w:p w14:paraId="1E036564" w14:textId="57E8938D" w:rsidR="00895372" w:rsidRPr="00DF1F07" w:rsidRDefault="00895372" w:rsidP="00BB0D9F">
      <w:pPr>
        <w:pStyle w:val="Heading2"/>
        <w:rPr>
          <w:rFonts w:eastAsia="Times New Roman"/>
          <w:lang w:eastAsia="en-GB"/>
        </w:rPr>
      </w:pPr>
      <w:bookmarkStart w:id="1" w:name="_Toc214378062"/>
      <w:r w:rsidRPr="00DF1F07">
        <w:rPr>
          <w:rFonts w:eastAsia="Times New Roman"/>
          <w:lang w:eastAsia="en-GB"/>
        </w:rPr>
        <w:t>2.1 Power Grid</w:t>
      </w:r>
      <w:bookmarkEnd w:id="1"/>
      <w:r w:rsidRPr="00DF1F07">
        <w:rPr>
          <w:rFonts w:eastAsia="Times New Roman"/>
          <w:lang w:eastAsia="en-GB"/>
        </w:rPr>
        <w:t> </w:t>
      </w:r>
    </w:p>
    <w:p w14:paraId="03556647" w14:textId="3F95549F" w:rsidR="00895372" w:rsidRPr="00DF1F07" w:rsidRDefault="003F09D3" w:rsidP="00DF1F07">
      <w:pPr>
        <w:spacing w:line="360" w:lineRule="auto"/>
        <w:jc w:val="both"/>
        <w:rPr>
          <w:rFonts w:ascii="Times New Roman" w:eastAsia="Times New Roman" w:hAnsi="Times New Roman" w:cs="Times New Roman"/>
          <w:color w:val="000000"/>
          <w:kern w:val="0"/>
          <w:lang w:eastAsia="en-GB"/>
          <w14:ligatures w14:val="none"/>
        </w:rPr>
      </w:pPr>
      <w:r w:rsidRPr="00DF1F07">
        <w:rPr>
          <w:rFonts w:ascii="Times New Roman" w:hAnsi="Times New Roman" w:cs="Times New Roman"/>
          <w:color w:val="000000"/>
        </w:rPr>
        <w:t xml:space="preserve">It is important to look at the power, interest, and influence of stakeholders in the project </w:t>
      </w:r>
      <w:r w:rsidR="00BB0D9F" w:rsidRPr="00DF1F07">
        <w:rPr>
          <w:rFonts w:ascii="Times New Roman" w:hAnsi="Times New Roman" w:cs="Times New Roman"/>
          <w:color w:val="000000"/>
        </w:rPr>
        <w:t>to</w:t>
      </w:r>
      <w:r w:rsidRPr="00DF1F07">
        <w:rPr>
          <w:rFonts w:ascii="Times New Roman" w:hAnsi="Times New Roman" w:cs="Times New Roman"/>
          <w:color w:val="000000"/>
        </w:rPr>
        <w:t xml:space="preserve"> manage their relationships well. This enables customised engagement and guarantees that essential perspectives are not neglected (Eskerod and Jepsen, 2013). The following grid shows how important people are involved in the Larchwood Leisure Centre redevelopment:</w:t>
      </w:r>
    </w:p>
    <w:tbl>
      <w:tblPr>
        <w:tblStyle w:val="TableGrid"/>
        <w:tblW w:w="0" w:type="auto"/>
        <w:jc w:val="center"/>
        <w:tblLook w:val="04A0" w:firstRow="1" w:lastRow="0" w:firstColumn="1" w:lastColumn="0" w:noHBand="0" w:noVBand="1"/>
      </w:tblPr>
      <w:tblGrid>
        <w:gridCol w:w="3556"/>
        <w:gridCol w:w="1030"/>
        <w:gridCol w:w="1030"/>
        <w:gridCol w:w="1123"/>
      </w:tblGrid>
      <w:tr w:rsidR="00895372" w:rsidRPr="00DF1F07" w14:paraId="12625637" w14:textId="77777777" w:rsidTr="00BB0D9F">
        <w:trPr>
          <w:jc w:val="center"/>
        </w:trPr>
        <w:tc>
          <w:tcPr>
            <w:tcW w:w="0" w:type="auto"/>
            <w:hideMark/>
          </w:tcPr>
          <w:p w14:paraId="7E416710"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Stakeholder</w:t>
            </w:r>
          </w:p>
        </w:tc>
        <w:tc>
          <w:tcPr>
            <w:tcW w:w="0" w:type="auto"/>
            <w:hideMark/>
          </w:tcPr>
          <w:p w14:paraId="2E1BD6A3"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Power</w:t>
            </w:r>
          </w:p>
        </w:tc>
        <w:tc>
          <w:tcPr>
            <w:tcW w:w="0" w:type="auto"/>
            <w:hideMark/>
          </w:tcPr>
          <w:p w14:paraId="7D060580"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Interest</w:t>
            </w:r>
          </w:p>
        </w:tc>
        <w:tc>
          <w:tcPr>
            <w:tcW w:w="0" w:type="auto"/>
            <w:hideMark/>
          </w:tcPr>
          <w:p w14:paraId="6B0DFAFB"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Influence</w:t>
            </w:r>
          </w:p>
        </w:tc>
      </w:tr>
      <w:tr w:rsidR="00895372" w:rsidRPr="00DF1F07" w14:paraId="04FCCE77" w14:textId="77777777" w:rsidTr="00BB0D9F">
        <w:trPr>
          <w:jc w:val="center"/>
        </w:trPr>
        <w:tc>
          <w:tcPr>
            <w:tcW w:w="0" w:type="auto"/>
            <w:hideMark/>
          </w:tcPr>
          <w:p w14:paraId="6192262A"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Local Council Project Team</w:t>
            </w:r>
          </w:p>
        </w:tc>
        <w:tc>
          <w:tcPr>
            <w:tcW w:w="0" w:type="auto"/>
            <w:hideMark/>
          </w:tcPr>
          <w:p w14:paraId="3ECEFD36"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w:t>
            </w:r>
          </w:p>
        </w:tc>
        <w:tc>
          <w:tcPr>
            <w:tcW w:w="0" w:type="auto"/>
            <w:hideMark/>
          </w:tcPr>
          <w:p w14:paraId="25D4E64C"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w:t>
            </w:r>
          </w:p>
        </w:tc>
        <w:tc>
          <w:tcPr>
            <w:tcW w:w="0" w:type="auto"/>
            <w:hideMark/>
          </w:tcPr>
          <w:p w14:paraId="7393B7BD"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w:t>
            </w:r>
          </w:p>
        </w:tc>
      </w:tr>
      <w:tr w:rsidR="00895372" w:rsidRPr="00DF1F07" w14:paraId="522A9901" w14:textId="77777777" w:rsidTr="00BB0D9F">
        <w:trPr>
          <w:jc w:val="center"/>
        </w:trPr>
        <w:tc>
          <w:tcPr>
            <w:tcW w:w="0" w:type="auto"/>
            <w:hideMark/>
          </w:tcPr>
          <w:p w14:paraId="718967FF"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Leisure Centre Staff</w:t>
            </w:r>
          </w:p>
        </w:tc>
        <w:tc>
          <w:tcPr>
            <w:tcW w:w="0" w:type="auto"/>
            <w:hideMark/>
          </w:tcPr>
          <w:p w14:paraId="3F678764"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Medium</w:t>
            </w:r>
          </w:p>
        </w:tc>
        <w:tc>
          <w:tcPr>
            <w:tcW w:w="0" w:type="auto"/>
            <w:hideMark/>
          </w:tcPr>
          <w:p w14:paraId="01C1D495"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w:t>
            </w:r>
          </w:p>
        </w:tc>
        <w:tc>
          <w:tcPr>
            <w:tcW w:w="0" w:type="auto"/>
            <w:hideMark/>
          </w:tcPr>
          <w:p w14:paraId="04051606"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Medium</w:t>
            </w:r>
          </w:p>
        </w:tc>
      </w:tr>
      <w:tr w:rsidR="00895372" w:rsidRPr="00DF1F07" w14:paraId="2A5EDD03" w14:textId="77777777" w:rsidTr="00BB0D9F">
        <w:trPr>
          <w:jc w:val="center"/>
        </w:trPr>
        <w:tc>
          <w:tcPr>
            <w:tcW w:w="0" w:type="auto"/>
            <w:hideMark/>
          </w:tcPr>
          <w:p w14:paraId="473CAE5E" w14:textId="3F20015C" w:rsidR="00895372" w:rsidRPr="00DF1F07" w:rsidRDefault="00BB0D9F"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Residents</w:t>
            </w:r>
          </w:p>
        </w:tc>
        <w:tc>
          <w:tcPr>
            <w:tcW w:w="0" w:type="auto"/>
            <w:hideMark/>
          </w:tcPr>
          <w:p w14:paraId="7DFA3618"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Medium</w:t>
            </w:r>
          </w:p>
        </w:tc>
        <w:tc>
          <w:tcPr>
            <w:tcW w:w="0" w:type="auto"/>
            <w:hideMark/>
          </w:tcPr>
          <w:p w14:paraId="02FA30C8"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w:t>
            </w:r>
          </w:p>
        </w:tc>
        <w:tc>
          <w:tcPr>
            <w:tcW w:w="0" w:type="auto"/>
            <w:hideMark/>
          </w:tcPr>
          <w:p w14:paraId="532E1816"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Medium</w:t>
            </w:r>
          </w:p>
        </w:tc>
      </w:tr>
      <w:tr w:rsidR="00895372" w:rsidRPr="00DF1F07" w14:paraId="745B2581" w14:textId="77777777" w:rsidTr="00BB0D9F">
        <w:trPr>
          <w:jc w:val="center"/>
        </w:trPr>
        <w:tc>
          <w:tcPr>
            <w:tcW w:w="0" w:type="auto"/>
            <w:hideMark/>
          </w:tcPr>
          <w:p w14:paraId="14517E7B"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Youth Groups &amp; Schools</w:t>
            </w:r>
          </w:p>
        </w:tc>
        <w:tc>
          <w:tcPr>
            <w:tcW w:w="0" w:type="auto"/>
            <w:hideMark/>
          </w:tcPr>
          <w:p w14:paraId="156DE59D"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Low</w:t>
            </w:r>
          </w:p>
        </w:tc>
        <w:tc>
          <w:tcPr>
            <w:tcW w:w="0" w:type="auto"/>
            <w:hideMark/>
          </w:tcPr>
          <w:p w14:paraId="340E82F7"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w:t>
            </w:r>
          </w:p>
        </w:tc>
        <w:tc>
          <w:tcPr>
            <w:tcW w:w="0" w:type="auto"/>
            <w:hideMark/>
          </w:tcPr>
          <w:p w14:paraId="2BC309C9"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Low</w:t>
            </w:r>
          </w:p>
        </w:tc>
      </w:tr>
      <w:tr w:rsidR="00895372" w:rsidRPr="00DF1F07" w14:paraId="18434049" w14:textId="77777777" w:rsidTr="00BB0D9F">
        <w:trPr>
          <w:jc w:val="center"/>
        </w:trPr>
        <w:tc>
          <w:tcPr>
            <w:tcW w:w="0" w:type="auto"/>
            <w:hideMark/>
          </w:tcPr>
          <w:p w14:paraId="67BABC9F"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Elderly &amp; Accessibility Advocates</w:t>
            </w:r>
          </w:p>
        </w:tc>
        <w:tc>
          <w:tcPr>
            <w:tcW w:w="0" w:type="auto"/>
            <w:hideMark/>
          </w:tcPr>
          <w:p w14:paraId="01E31C39"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Low</w:t>
            </w:r>
          </w:p>
        </w:tc>
        <w:tc>
          <w:tcPr>
            <w:tcW w:w="0" w:type="auto"/>
            <w:hideMark/>
          </w:tcPr>
          <w:p w14:paraId="00BE5EDF"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w:t>
            </w:r>
          </w:p>
        </w:tc>
        <w:tc>
          <w:tcPr>
            <w:tcW w:w="0" w:type="auto"/>
            <w:hideMark/>
          </w:tcPr>
          <w:p w14:paraId="224A5247"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Low</w:t>
            </w:r>
          </w:p>
        </w:tc>
      </w:tr>
      <w:tr w:rsidR="00895372" w:rsidRPr="008E62FF" w14:paraId="40E37C3E" w14:textId="77777777" w:rsidTr="00BB0D9F">
        <w:trPr>
          <w:jc w:val="center"/>
        </w:trPr>
        <w:tc>
          <w:tcPr>
            <w:tcW w:w="0" w:type="auto"/>
            <w:hideMark/>
          </w:tcPr>
          <w:p w14:paraId="6705F6B0" w14:textId="77777777" w:rsidR="00895372" w:rsidRPr="008E62FF" w:rsidRDefault="00895372"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Local Sports Clubs</w:t>
            </w:r>
          </w:p>
        </w:tc>
        <w:tc>
          <w:tcPr>
            <w:tcW w:w="0" w:type="auto"/>
            <w:hideMark/>
          </w:tcPr>
          <w:p w14:paraId="6AD5AF0A" w14:textId="77777777" w:rsidR="00895372" w:rsidRPr="008E62FF" w:rsidRDefault="00895372"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Medium</w:t>
            </w:r>
          </w:p>
        </w:tc>
        <w:tc>
          <w:tcPr>
            <w:tcW w:w="0" w:type="auto"/>
            <w:hideMark/>
          </w:tcPr>
          <w:p w14:paraId="22A906C6" w14:textId="77777777" w:rsidR="00895372" w:rsidRPr="008E62FF" w:rsidRDefault="00895372"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Medium</w:t>
            </w:r>
          </w:p>
        </w:tc>
        <w:tc>
          <w:tcPr>
            <w:tcW w:w="0" w:type="auto"/>
            <w:hideMark/>
          </w:tcPr>
          <w:p w14:paraId="4975A263" w14:textId="77777777" w:rsidR="00895372" w:rsidRPr="008E62FF" w:rsidRDefault="00895372" w:rsidP="008E62FF">
            <w:pPr>
              <w:spacing w:line="360" w:lineRule="auto"/>
              <w:jc w:val="both"/>
              <w:rPr>
                <w:rFonts w:ascii="Times New Roman" w:hAnsi="Times New Roman" w:cs="Times New Roman"/>
                <w:lang w:eastAsia="en-GB"/>
              </w:rPr>
            </w:pPr>
            <w:r w:rsidRPr="008E62FF">
              <w:rPr>
                <w:rFonts w:ascii="Times New Roman" w:hAnsi="Times New Roman" w:cs="Times New Roman"/>
                <w:lang w:eastAsia="en-GB"/>
              </w:rPr>
              <w:t>Medium</w:t>
            </w:r>
          </w:p>
        </w:tc>
      </w:tr>
    </w:tbl>
    <w:p w14:paraId="615E305F" w14:textId="77777777" w:rsidR="008E62FF" w:rsidRPr="008E62FF" w:rsidRDefault="008E62FF" w:rsidP="008E62FF">
      <w:pPr>
        <w:spacing w:line="360" w:lineRule="auto"/>
        <w:jc w:val="both"/>
        <w:rPr>
          <w:rFonts w:ascii="Times New Roman" w:hAnsi="Times New Roman" w:cs="Times New Roman"/>
          <w:color w:val="000000"/>
        </w:rPr>
      </w:pPr>
      <w:bookmarkStart w:id="2" w:name="_Toc214378063"/>
      <w:r w:rsidRPr="008E62FF">
        <w:rPr>
          <w:rFonts w:ascii="Times New Roman" w:hAnsi="Times New Roman" w:cs="Times New Roman"/>
          <w:color w:val="000000"/>
        </w:rPr>
        <w:t>They can give money and make decisions which makes them hold a lot of power and influence since the local council is authorized to do so. They take interest in this automatically as they are able to view what is occurring in politics and they are able to hold the community responsible.</w:t>
      </w:r>
    </w:p>
    <w:p w14:paraId="75728898" w14:textId="77777777" w:rsidR="008E62FF" w:rsidRPr="008E62FF" w:rsidRDefault="008E62FF" w:rsidP="008E62FF">
      <w:pPr>
        <w:spacing w:line="360" w:lineRule="auto"/>
        <w:jc w:val="both"/>
        <w:rPr>
          <w:rFonts w:ascii="Times New Roman" w:hAnsi="Times New Roman" w:cs="Times New Roman"/>
          <w:color w:val="000000"/>
        </w:rPr>
      </w:pPr>
      <w:r w:rsidRPr="008E62FF">
        <w:rPr>
          <w:rFonts w:ascii="Times New Roman" w:hAnsi="Times New Roman" w:cs="Times New Roman"/>
          <w:color w:val="000000"/>
        </w:rPr>
        <w:t>The personnel at the recreational centre will be tasked with the running of the new centre as they are the ones who will be in close contact with its operations. Although they are not in authority to make decisions, they highly support success. Their middle authority is compensated with their powerful practical impact on the service delivery process and their usability.</w:t>
      </w:r>
    </w:p>
    <w:p w14:paraId="45EF387D" w14:textId="77777777" w:rsidR="008E62FF" w:rsidRPr="008E62FF" w:rsidRDefault="008E62FF" w:rsidP="008E62FF">
      <w:pPr>
        <w:spacing w:line="360" w:lineRule="auto"/>
        <w:jc w:val="both"/>
        <w:rPr>
          <w:rFonts w:ascii="Times New Roman" w:hAnsi="Times New Roman" w:cs="Times New Roman"/>
          <w:color w:val="000000"/>
        </w:rPr>
      </w:pPr>
      <w:r w:rsidRPr="008E62FF">
        <w:rPr>
          <w:rFonts w:ascii="Times New Roman" w:hAnsi="Times New Roman" w:cs="Times New Roman"/>
          <w:color w:val="000000"/>
        </w:rPr>
        <w:lastRenderedPageBreak/>
        <w:t>The residents do not possess any official power or even have power and influence; however, since the residents can voice their opinion or protest to certain matters such as planning applications, they do have some power. They have a great interest, in particular, noise, accessibility, and local pride (Eskerod and Jepsen, 2013).</w:t>
      </w:r>
    </w:p>
    <w:p w14:paraId="0556E443" w14:textId="77777777" w:rsidR="008E62FF" w:rsidRPr="008E62FF" w:rsidRDefault="008E62FF" w:rsidP="008E62FF">
      <w:pPr>
        <w:spacing w:line="360" w:lineRule="auto"/>
        <w:jc w:val="both"/>
        <w:rPr>
          <w:rFonts w:ascii="Times New Roman" w:hAnsi="Times New Roman" w:cs="Times New Roman"/>
          <w:color w:val="000000"/>
        </w:rPr>
      </w:pPr>
      <w:r w:rsidRPr="008E62FF">
        <w:rPr>
          <w:rFonts w:ascii="Times New Roman" w:hAnsi="Times New Roman" w:cs="Times New Roman"/>
          <w:color w:val="000000"/>
        </w:rPr>
        <w:t>There is also less institutional power held by youth groups, schools, and the elderly advocates, who are nonetheless very interested. They should be involved in the inclusion engagement process to ensure that their needs do not stay on the periphery. It might be possible to collaborate with vocal advocacy groups so that they have a more impact.</w:t>
      </w:r>
    </w:p>
    <w:p w14:paraId="743B1407" w14:textId="77777777" w:rsidR="008E62FF" w:rsidRPr="008E62FF" w:rsidRDefault="008E62FF" w:rsidP="008E62FF">
      <w:pPr>
        <w:spacing w:line="360" w:lineRule="auto"/>
        <w:jc w:val="both"/>
        <w:rPr>
          <w:rFonts w:ascii="Times New Roman" w:hAnsi="Times New Roman" w:cs="Times New Roman"/>
          <w:color w:val="000000"/>
        </w:rPr>
      </w:pPr>
      <w:r w:rsidRPr="008E62FF">
        <w:rPr>
          <w:rFonts w:ascii="Times New Roman" w:hAnsi="Times New Roman" w:cs="Times New Roman"/>
          <w:color w:val="000000"/>
        </w:rPr>
        <w:t>Finally, local sport clubs are not powerless and interested particularly when they have been using the facility over a long period of time. They tend to offer handy information regarding operational requirements and timeline which will make them more valuable at the design phases (Bourne, 2016)</w:t>
      </w:r>
    </w:p>
    <w:p w14:paraId="370BCA39" w14:textId="39FE84D8" w:rsidR="00895372" w:rsidRPr="00DF1F07" w:rsidRDefault="00895372" w:rsidP="008E62FF">
      <w:pPr>
        <w:pStyle w:val="Heading2"/>
        <w:rPr>
          <w:rFonts w:eastAsia="Times New Roman"/>
          <w:lang w:eastAsia="en-GB"/>
        </w:rPr>
      </w:pPr>
      <w:r w:rsidRPr="00DF1F07">
        <w:rPr>
          <w:rFonts w:eastAsia="Times New Roman"/>
          <w:lang w:eastAsia="en-GB"/>
        </w:rPr>
        <w:t>2.2 Stakeholder Map</w:t>
      </w:r>
      <w:bookmarkEnd w:id="2"/>
      <w:r w:rsidRPr="00DF1F07">
        <w:rPr>
          <w:rFonts w:eastAsia="Times New Roman"/>
          <w:lang w:eastAsia="en-GB"/>
        </w:rPr>
        <w:t> </w:t>
      </w:r>
    </w:p>
    <w:p w14:paraId="5A59C592" w14:textId="349F8BAC" w:rsidR="00895372" w:rsidRPr="00DF1F07" w:rsidRDefault="003F09D3" w:rsidP="00DF1F07">
      <w:pPr>
        <w:spacing w:line="360" w:lineRule="auto"/>
        <w:jc w:val="both"/>
        <w:rPr>
          <w:rFonts w:ascii="Times New Roman" w:hAnsi="Times New Roman" w:cs="Times New Roman"/>
          <w:color w:val="000000"/>
        </w:rPr>
      </w:pPr>
      <w:r w:rsidRPr="00DF1F07">
        <w:rPr>
          <w:rFonts w:ascii="Times New Roman" w:hAnsi="Times New Roman" w:cs="Times New Roman"/>
          <w:color w:val="000000"/>
        </w:rPr>
        <w:t>A stakeholder map helps you divide stakeholders into groups based on their power and interest, which makes it easier to plan communication and engagement (Mendelow, 1991). The classic Mendelow Matrix is used for this project.</w:t>
      </w:r>
    </w:p>
    <w:p w14:paraId="1D95A3BB" w14:textId="77777777" w:rsidR="003F09D3" w:rsidRPr="00DF1F07" w:rsidRDefault="003F09D3" w:rsidP="00DF1F07">
      <w:pPr>
        <w:spacing w:line="360" w:lineRule="auto"/>
        <w:jc w:val="both"/>
        <w:rPr>
          <w:rFonts w:ascii="Times New Roman" w:eastAsia="Times New Roman" w:hAnsi="Times New Roman" w:cs="Times New Roman"/>
          <w:color w:val="000000"/>
          <w:kern w:val="0"/>
          <w:lang w:eastAsia="en-GB"/>
          <w14:ligatures w14:val="none"/>
        </w:rPr>
      </w:pPr>
    </w:p>
    <w:tbl>
      <w:tblPr>
        <w:tblStyle w:val="TableGrid"/>
        <w:tblW w:w="0" w:type="auto"/>
        <w:tblLook w:val="04A0" w:firstRow="1" w:lastRow="0" w:firstColumn="1" w:lastColumn="0" w:noHBand="0" w:noVBand="1"/>
      </w:tblPr>
      <w:tblGrid>
        <w:gridCol w:w="1573"/>
        <w:gridCol w:w="4231"/>
        <w:gridCol w:w="3212"/>
      </w:tblGrid>
      <w:tr w:rsidR="00895372" w:rsidRPr="00DF1F07" w14:paraId="63D6CB32" w14:textId="77777777" w:rsidTr="003F09D3">
        <w:tc>
          <w:tcPr>
            <w:tcW w:w="0" w:type="auto"/>
            <w:hideMark/>
          </w:tcPr>
          <w:p w14:paraId="40FD5C36" w14:textId="1B6DC422" w:rsidR="00895372" w:rsidRPr="00DF1F07" w:rsidRDefault="00BB0D9F"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Power Interest</w:t>
            </w:r>
          </w:p>
        </w:tc>
        <w:tc>
          <w:tcPr>
            <w:tcW w:w="0" w:type="auto"/>
            <w:hideMark/>
          </w:tcPr>
          <w:p w14:paraId="52C76C37" w14:textId="77777777" w:rsidR="00895372" w:rsidRPr="00DF1F07" w:rsidRDefault="00895372"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Low Interest</w:t>
            </w:r>
          </w:p>
        </w:tc>
        <w:tc>
          <w:tcPr>
            <w:tcW w:w="0" w:type="auto"/>
            <w:hideMark/>
          </w:tcPr>
          <w:p w14:paraId="478F69B3" w14:textId="77777777" w:rsidR="00895372" w:rsidRPr="00DF1F07" w:rsidRDefault="00895372"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 Interest</w:t>
            </w:r>
          </w:p>
        </w:tc>
      </w:tr>
      <w:tr w:rsidR="00895372" w:rsidRPr="00DF1F07" w14:paraId="3DFB171A" w14:textId="77777777" w:rsidTr="003F09D3">
        <w:tc>
          <w:tcPr>
            <w:tcW w:w="0" w:type="auto"/>
            <w:hideMark/>
          </w:tcPr>
          <w:p w14:paraId="423E2ED5" w14:textId="77777777" w:rsidR="00895372" w:rsidRPr="00DF1F07" w:rsidRDefault="00895372"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High Power</w:t>
            </w:r>
          </w:p>
        </w:tc>
        <w:tc>
          <w:tcPr>
            <w:tcW w:w="0" w:type="auto"/>
            <w:hideMark/>
          </w:tcPr>
          <w:p w14:paraId="669769E8" w14:textId="77777777" w:rsidR="00895372" w:rsidRPr="00DF1F07" w:rsidRDefault="00895372"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Keep Satisfied: Local Sports Clubs</w:t>
            </w:r>
          </w:p>
        </w:tc>
        <w:tc>
          <w:tcPr>
            <w:tcW w:w="0" w:type="auto"/>
            <w:hideMark/>
          </w:tcPr>
          <w:p w14:paraId="59C6E2E3" w14:textId="77777777" w:rsidR="00895372" w:rsidRPr="00DF1F07" w:rsidRDefault="00895372"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Manage Closely: Local Council</w:t>
            </w:r>
          </w:p>
        </w:tc>
      </w:tr>
      <w:tr w:rsidR="00895372" w:rsidRPr="00DF1F07" w14:paraId="591A2D09" w14:textId="77777777" w:rsidTr="003F09D3">
        <w:tc>
          <w:tcPr>
            <w:tcW w:w="0" w:type="auto"/>
            <w:hideMark/>
          </w:tcPr>
          <w:p w14:paraId="64B204DA" w14:textId="77777777" w:rsidR="00895372" w:rsidRPr="00DF1F07" w:rsidRDefault="00895372"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Low Power</w:t>
            </w:r>
          </w:p>
        </w:tc>
        <w:tc>
          <w:tcPr>
            <w:tcW w:w="0" w:type="auto"/>
            <w:hideMark/>
          </w:tcPr>
          <w:p w14:paraId="1C71192E" w14:textId="77777777" w:rsidR="00895372" w:rsidRPr="00DF1F07" w:rsidRDefault="00895372"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Monitor: Youth Groups, Elderly Advocates</w:t>
            </w:r>
          </w:p>
        </w:tc>
        <w:tc>
          <w:tcPr>
            <w:tcW w:w="0" w:type="auto"/>
            <w:hideMark/>
          </w:tcPr>
          <w:p w14:paraId="39DFC876" w14:textId="77CA5182" w:rsidR="00895372" w:rsidRPr="00DF1F07" w:rsidRDefault="00895372" w:rsidP="00C23787">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 xml:space="preserve">Keep Informed: </w:t>
            </w:r>
            <w:r w:rsidR="00BB0D9F" w:rsidRPr="00DF1F07">
              <w:rPr>
                <w:rFonts w:ascii="Times New Roman" w:eastAsia="Times New Roman" w:hAnsi="Times New Roman" w:cs="Times New Roman"/>
                <w:kern w:val="0"/>
                <w:lang w:eastAsia="en-GB"/>
                <w14:ligatures w14:val="none"/>
              </w:rPr>
              <w:t>Residents</w:t>
            </w:r>
            <w:r w:rsidRPr="00DF1F07">
              <w:rPr>
                <w:rFonts w:ascii="Times New Roman" w:eastAsia="Times New Roman" w:hAnsi="Times New Roman" w:cs="Times New Roman"/>
                <w:kern w:val="0"/>
                <w:lang w:eastAsia="en-GB"/>
                <w14:ligatures w14:val="none"/>
              </w:rPr>
              <w:t>, Staff</w:t>
            </w:r>
          </w:p>
        </w:tc>
      </w:tr>
    </w:tbl>
    <w:p w14:paraId="078FE08D" w14:textId="77777777" w:rsidR="008E62FF" w:rsidRPr="008E62FF" w:rsidRDefault="008E62FF" w:rsidP="008E62FF">
      <w:pPr>
        <w:spacing w:line="360" w:lineRule="auto"/>
        <w:jc w:val="both"/>
        <w:rPr>
          <w:rFonts w:ascii="Times New Roman" w:hAnsi="Times New Roman" w:cs="Times New Roman"/>
        </w:rPr>
      </w:pPr>
      <w:bookmarkStart w:id="3" w:name="_Toc214378064"/>
      <w:r w:rsidRPr="008E62FF">
        <w:rPr>
          <w:rFonts w:ascii="Times New Roman" w:hAnsi="Times New Roman" w:cs="Times New Roman"/>
        </w:rPr>
        <w:t>Stakeholders who have high power and interest and interest such as the local council should be kept informed in terms of briefings, updates and formal reports. These stakeholders are also involved in the decision making process concerning funding and governance and therefore transparency is quite essential.</w:t>
      </w:r>
    </w:p>
    <w:p w14:paraId="35A64063"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Although there is no significant amount of formal power in the hands of the leisure centre staff and residents, they must be kept informed and consulted frequently since they are highly interested. This corresponds to the ethical concept of involvement and respect of the voice of the community (UNICEF, 2020).</w:t>
      </w:r>
    </w:p>
    <w:p w14:paraId="4600F486"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The sports clubs need to be retained satisfied despite their limited interest since they may be long-term consumers and community representatives.</w:t>
      </w:r>
    </w:p>
    <w:p w14:paraId="35F9C84F"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lastRenderedPageBreak/>
        <w:t>Although their power is not much, the youth groups and older stakeholders should not be overlooked. They are to be monitored and supported, particularly, with the help of engagement plans that ensure that their voices are heard and inclusivity and equity are centralized (Mitchell et al., 1997).</w:t>
      </w:r>
    </w:p>
    <w:p w14:paraId="2205125B" w14:textId="7CBB3C00" w:rsidR="00895372" w:rsidRPr="00DF1F07" w:rsidRDefault="00895372" w:rsidP="008E62FF">
      <w:pPr>
        <w:pStyle w:val="Heading2"/>
        <w:rPr>
          <w:rFonts w:eastAsia="Times New Roman"/>
          <w:lang w:eastAsia="en-GB"/>
        </w:rPr>
      </w:pPr>
      <w:r w:rsidRPr="00DF1F07">
        <w:rPr>
          <w:rFonts w:eastAsia="Times New Roman"/>
          <w:lang w:eastAsia="en-GB"/>
        </w:rPr>
        <w:t>2.3 Communication Plan</w:t>
      </w:r>
      <w:bookmarkEnd w:id="3"/>
      <w:r w:rsidRPr="00DF1F07">
        <w:rPr>
          <w:rFonts w:eastAsia="Times New Roman"/>
          <w:lang w:eastAsia="en-GB"/>
        </w:rPr>
        <w:t> </w:t>
      </w:r>
    </w:p>
    <w:p w14:paraId="379DEE06" w14:textId="77777777" w:rsidR="00895372" w:rsidRPr="00DF1F07" w:rsidRDefault="00895372" w:rsidP="00DF1F07">
      <w:pPr>
        <w:spacing w:line="360" w:lineRule="auto"/>
        <w:jc w:val="both"/>
        <w:rPr>
          <w:rFonts w:ascii="Times New Roman" w:eastAsia="Times New Roman" w:hAnsi="Times New Roman" w:cs="Times New Roman"/>
          <w:color w:val="000000"/>
          <w:kern w:val="0"/>
          <w:lang w:eastAsia="en-GB"/>
          <w14:ligatures w14:val="none"/>
        </w:rPr>
      </w:pPr>
      <w:r w:rsidRPr="00DF1F07">
        <w:rPr>
          <w:rFonts w:ascii="Times New Roman" w:eastAsia="Times New Roman" w:hAnsi="Times New Roman" w:cs="Times New Roman"/>
          <w:color w:val="000000"/>
          <w:kern w:val="0"/>
          <w:lang w:eastAsia="en-GB"/>
          <w14:ligatures w14:val="none"/>
        </w:rPr>
        <w:t>An effective communication plan ensures that stakeholders receive relevant, timely information through appropriate channels. The table below outlines the strategy:</w:t>
      </w:r>
    </w:p>
    <w:tbl>
      <w:tblPr>
        <w:tblStyle w:val="TableGrid"/>
        <w:tblW w:w="0" w:type="auto"/>
        <w:tblLook w:val="04A0" w:firstRow="1" w:lastRow="0" w:firstColumn="1" w:lastColumn="0" w:noHBand="0" w:noVBand="1"/>
      </w:tblPr>
      <w:tblGrid>
        <w:gridCol w:w="2535"/>
        <w:gridCol w:w="2845"/>
        <w:gridCol w:w="1310"/>
        <w:gridCol w:w="2326"/>
      </w:tblGrid>
      <w:tr w:rsidR="00895372" w:rsidRPr="00DF1F07" w14:paraId="196E7B00" w14:textId="77777777" w:rsidTr="003F09D3">
        <w:tc>
          <w:tcPr>
            <w:tcW w:w="0" w:type="auto"/>
            <w:hideMark/>
          </w:tcPr>
          <w:p w14:paraId="40C1222A"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Stakeholder</w:t>
            </w:r>
          </w:p>
        </w:tc>
        <w:tc>
          <w:tcPr>
            <w:tcW w:w="0" w:type="auto"/>
            <w:hideMark/>
          </w:tcPr>
          <w:p w14:paraId="4C4871C2"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Information Shared</w:t>
            </w:r>
          </w:p>
        </w:tc>
        <w:tc>
          <w:tcPr>
            <w:tcW w:w="0" w:type="auto"/>
            <w:hideMark/>
          </w:tcPr>
          <w:p w14:paraId="12410AC7"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Frequency</w:t>
            </w:r>
          </w:p>
        </w:tc>
        <w:tc>
          <w:tcPr>
            <w:tcW w:w="0" w:type="auto"/>
            <w:hideMark/>
          </w:tcPr>
          <w:p w14:paraId="64472BF6"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Medium</w:t>
            </w:r>
          </w:p>
        </w:tc>
      </w:tr>
      <w:tr w:rsidR="00895372" w:rsidRPr="00DF1F07" w14:paraId="58F90322" w14:textId="77777777" w:rsidTr="003F09D3">
        <w:tc>
          <w:tcPr>
            <w:tcW w:w="0" w:type="auto"/>
            <w:hideMark/>
          </w:tcPr>
          <w:p w14:paraId="3E71616D"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Local Council Project Team</w:t>
            </w:r>
          </w:p>
        </w:tc>
        <w:tc>
          <w:tcPr>
            <w:tcW w:w="0" w:type="auto"/>
            <w:hideMark/>
          </w:tcPr>
          <w:p w14:paraId="1EB375CE"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Progress updates, budget reports</w:t>
            </w:r>
          </w:p>
        </w:tc>
        <w:tc>
          <w:tcPr>
            <w:tcW w:w="0" w:type="auto"/>
            <w:hideMark/>
          </w:tcPr>
          <w:p w14:paraId="65BB2631"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Monthly</w:t>
            </w:r>
          </w:p>
        </w:tc>
        <w:tc>
          <w:tcPr>
            <w:tcW w:w="0" w:type="auto"/>
            <w:hideMark/>
          </w:tcPr>
          <w:p w14:paraId="57B51525"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Reports, In-person meetings</w:t>
            </w:r>
          </w:p>
        </w:tc>
      </w:tr>
      <w:tr w:rsidR="00895372" w:rsidRPr="00DF1F07" w14:paraId="48ACAB97" w14:textId="77777777" w:rsidTr="003F09D3">
        <w:tc>
          <w:tcPr>
            <w:tcW w:w="0" w:type="auto"/>
            <w:hideMark/>
          </w:tcPr>
          <w:p w14:paraId="63FA0F42"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Leisure Centre Staff</w:t>
            </w:r>
          </w:p>
        </w:tc>
        <w:tc>
          <w:tcPr>
            <w:tcW w:w="0" w:type="auto"/>
            <w:hideMark/>
          </w:tcPr>
          <w:p w14:paraId="0B284400"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Design changes, operational impacts</w:t>
            </w:r>
          </w:p>
        </w:tc>
        <w:tc>
          <w:tcPr>
            <w:tcW w:w="0" w:type="auto"/>
            <w:hideMark/>
          </w:tcPr>
          <w:p w14:paraId="22C5727E"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Fortnightly</w:t>
            </w:r>
          </w:p>
        </w:tc>
        <w:tc>
          <w:tcPr>
            <w:tcW w:w="0" w:type="auto"/>
            <w:hideMark/>
          </w:tcPr>
          <w:p w14:paraId="0BC611FC"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Team briefings, Email</w:t>
            </w:r>
          </w:p>
        </w:tc>
      </w:tr>
      <w:tr w:rsidR="00895372" w:rsidRPr="00DF1F07" w14:paraId="00109C1D" w14:textId="77777777" w:rsidTr="003F09D3">
        <w:tc>
          <w:tcPr>
            <w:tcW w:w="0" w:type="auto"/>
            <w:hideMark/>
          </w:tcPr>
          <w:p w14:paraId="233F9ECB" w14:textId="7AC92552" w:rsidR="00895372" w:rsidRPr="00DF1F07" w:rsidRDefault="003F09D3"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Residents</w:t>
            </w:r>
          </w:p>
        </w:tc>
        <w:tc>
          <w:tcPr>
            <w:tcW w:w="0" w:type="auto"/>
            <w:hideMark/>
          </w:tcPr>
          <w:p w14:paraId="5ABB8A8A"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Disruption notices, benefits, feedback</w:t>
            </w:r>
          </w:p>
        </w:tc>
        <w:tc>
          <w:tcPr>
            <w:tcW w:w="0" w:type="auto"/>
            <w:hideMark/>
          </w:tcPr>
          <w:p w14:paraId="67BEC432"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Monthly</w:t>
            </w:r>
          </w:p>
        </w:tc>
        <w:tc>
          <w:tcPr>
            <w:tcW w:w="0" w:type="auto"/>
            <w:hideMark/>
          </w:tcPr>
          <w:p w14:paraId="1C7999DE"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Newsletter, Online forums</w:t>
            </w:r>
          </w:p>
        </w:tc>
      </w:tr>
      <w:tr w:rsidR="00895372" w:rsidRPr="00DF1F07" w14:paraId="31968B86" w14:textId="77777777" w:rsidTr="003F09D3">
        <w:tc>
          <w:tcPr>
            <w:tcW w:w="0" w:type="auto"/>
            <w:hideMark/>
          </w:tcPr>
          <w:p w14:paraId="1841BC6F"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Youth Groups &amp; Schools</w:t>
            </w:r>
          </w:p>
        </w:tc>
        <w:tc>
          <w:tcPr>
            <w:tcW w:w="0" w:type="auto"/>
            <w:hideMark/>
          </w:tcPr>
          <w:p w14:paraId="2CE6B522"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Programme development, feedback calls</w:t>
            </w:r>
          </w:p>
        </w:tc>
        <w:tc>
          <w:tcPr>
            <w:tcW w:w="0" w:type="auto"/>
            <w:hideMark/>
          </w:tcPr>
          <w:p w14:paraId="29BFB370"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Monthly</w:t>
            </w:r>
          </w:p>
        </w:tc>
        <w:tc>
          <w:tcPr>
            <w:tcW w:w="0" w:type="auto"/>
            <w:hideMark/>
          </w:tcPr>
          <w:p w14:paraId="3A538809"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School visits, Workshops</w:t>
            </w:r>
          </w:p>
        </w:tc>
      </w:tr>
      <w:tr w:rsidR="00895372" w:rsidRPr="00DF1F07" w14:paraId="03EA2B48" w14:textId="77777777" w:rsidTr="003F09D3">
        <w:tc>
          <w:tcPr>
            <w:tcW w:w="0" w:type="auto"/>
            <w:hideMark/>
          </w:tcPr>
          <w:p w14:paraId="77736DBE"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Elderly &amp; Accessibility Advocates</w:t>
            </w:r>
          </w:p>
        </w:tc>
        <w:tc>
          <w:tcPr>
            <w:tcW w:w="0" w:type="auto"/>
            <w:hideMark/>
          </w:tcPr>
          <w:p w14:paraId="2245F89A"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Accessibility features, feedback loops</w:t>
            </w:r>
          </w:p>
        </w:tc>
        <w:tc>
          <w:tcPr>
            <w:tcW w:w="0" w:type="auto"/>
            <w:hideMark/>
          </w:tcPr>
          <w:p w14:paraId="715EF90B"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Bi-monthly</w:t>
            </w:r>
          </w:p>
        </w:tc>
        <w:tc>
          <w:tcPr>
            <w:tcW w:w="0" w:type="auto"/>
            <w:hideMark/>
          </w:tcPr>
          <w:p w14:paraId="638517AD"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Printed leaflets, Phone calls</w:t>
            </w:r>
          </w:p>
        </w:tc>
      </w:tr>
      <w:tr w:rsidR="00895372" w:rsidRPr="00DF1F07" w14:paraId="369BD90B" w14:textId="77777777" w:rsidTr="003F09D3">
        <w:tc>
          <w:tcPr>
            <w:tcW w:w="0" w:type="auto"/>
            <w:hideMark/>
          </w:tcPr>
          <w:p w14:paraId="498B1E0E"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Local Sports Clubs</w:t>
            </w:r>
          </w:p>
        </w:tc>
        <w:tc>
          <w:tcPr>
            <w:tcW w:w="0" w:type="auto"/>
            <w:hideMark/>
          </w:tcPr>
          <w:p w14:paraId="790CE210"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Facility specs, scheduling input</w:t>
            </w:r>
          </w:p>
        </w:tc>
        <w:tc>
          <w:tcPr>
            <w:tcW w:w="0" w:type="auto"/>
            <w:hideMark/>
          </w:tcPr>
          <w:p w14:paraId="7E497DFD"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Monthly</w:t>
            </w:r>
          </w:p>
        </w:tc>
        <w:tc>
          <w:tcPr>
            <w:tcW w:w="0" w:type="auto"/>
            <w:hideMark/>
          </w:tcPr>
          <w:p w14:paraId="64734E9D" w14:textId="77777777" w:rsidR="00895372" w:rsidRPr="00DF1F07" w:rsidRDefault="00895372" w:rsidP="00BB0D9F">
            <w:pPr>
              <w:spacing w:line="360" w:lineRule="auto"/>
              <w:jc w:val="center"/>
              <w:rPr>
                <w:rFonts w:ascii="Times New Roman" w:eastAsia="Times New Roman" w:hAnsi="Times New Roman" w:cs="Times New Roman"/>
                <w:kern w:val="0"/>
                <w:lang w:eastAsia="en-GB"/>
                <w14:ligatures w14:val="none"/>
              </w:rPr>
            </w:pPr>
            <w:r w:rsidRPr="00DF1F07">
              <w:rPr>
                <w:rFonts w:ascii="Times New Roman" w:eastAsia="Times New Roman" w:hAnsi="Times New Roman" w:cs="Times New Roman"/>
                <w:kern w:val="0"/>
                <w:lang w:eastAsia="en-GB"/>
                <w14:ligatures w14:val="none"/>
              </w:rPr>
              <w:t>Email, Sports network meetings</w:t>
            </w:r>
          </w:p>
        </w:tc>
      </w:tr>
    </w:tbl>
    <w:p w14:paraId="30947148" w14:textId="1D055517" w:rsidR="008E62FF" w:rsidRPr="008E62FF" w:rsidRDefault="008E62FF" w:rsidP="008E62FF">
      <w:pPr>
        <w:spacing w:line="360" w:lineRule="auto"/>
        <w:jc w:val="both"/>
        <w:rPr>
          <w:rFonts w:ascii="Times New Roman" w:hAnsi="Times New Roman" w:cs="Times New Roman"/>
        </w:rPr>
      </w:pPr>
      <w:bookmarkStart w:id="4" w:name="_Toc214378073"/>
      <w:r w:rsidRPr="008E62FF">
        <w:rPr>
          <w:rFonts w:ascii="Times New Roman" w:hAnsi="Times New Roman" w:cs="Times New Roman"/>
        </w:rPr>
        <w:t xml:space="preserve">Print and phone contact is extremely significant to older individuals since the issue of digital exclusion is familiar (Age UK, 2021). Direct school engagement and co-creation workshops are an advantage to the youth groups. The local council would like professional communication, which is data-driven and reporting standards. Digital communication is beneficial to sports clubs and residents, however, it must be accompanied by opportunities to speak </w:t>
      </w:r>
      <w:r w:rsidR="008278FF" w:rsidRPr="008E62FF">
        <w:rPr>
          <w:rFonts w:ascii="Times New Roman" w:hAnsi="Times New Roman" w:cs="Times New Roman"/>
        </w:rPr>
        <w:t>to</w:t>
      </w:r>
      <w:r w:rsidRPr="008E62FF">
        <w:rPr>
          <w:rFonts w:ascii="Times New Roman" w:hAnsi="Times New Roman" w:cs="Times New Roman"/>
        </w:rPr>
        <w:t xml:space="preserve"> ensure that all people understand and trust each other.</w:t>
      </w:r>
    </w:p>
    <w:p w14:paraId="49CAAE4C" w14:textId="7A89FEC3"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 xml:space="preserve">The frequency and format can be altered, and this will make it possible to establish trust with stakeholders and prevent the spread of fake news. This approach is in accordance with the SMCR model of Berlo (1960) that states that encoding </w:t>
      </w:r>
      <w:r w:rsidR="008278FF" w:rsidRPr="008E62FF">
        <w:rPr>
          <w:rFonts w:ascii="Times New Roman" w:hAnsi="Times New Roman" w:cs="Times New Roman"/>
        </w:rPr>
        <w:t>messages and</w:t>
      </w:r>
      <w:r w:rsidRPr="008E62FF">
        <w:rPr>
          <w:rFonts w:ascii="Times New Roman" w:hAnsi="Times New Roman" w:cs="Times New Roman"/>
        </w:rPr>
        <w:t xml:space="preserve"> understanding which channel an audience likes are two crucial elements of effective communication.</w:t>
      </w:r>
    </w:p>
    <w:p w14:paraId="7F8D7CF6" w14:textId="77777777" w:rsidR="008E62FF" w:rsidRPr="008E62FF" w:rsidRDefault="008E62FF" w:rsidP="008278FF">
      <w:pPr>
        <w:pStyle w:val="Heading2"/>
        <w:rPr>
          <w:rFonts w:eastAsiaTheme="minorHAnsi"/>
        </w:rPr>
      </w:pPr>
      <w:r w:rsidRPr="008E62FF">
        <w:rPr>
          <w:rFonts w:eastAsiaTheme="minorHAnsi"/>
        </w:rPr>
        <w:lastRenderedPageBreak/>
        <w:t xml:space="preserve">2.4 Consultation Strategy </w:t>
      </w:r>
    </w:p>
    <w:p w14:paraId="71FFE406" w14:textId="682D0F65"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 xml:space="preserve">An effective consultation plan ensures that the project accommodates the diverse voices of the community with those voices that are typically absent in the conventional planning. According to what we have learned during Week 3, it will be a combination of qualitative and creative tools to </w:t>
      </w:r>
      <w:r w:rsidR="008278FF" w:rsidRPr="008E62FF">
        <w:rPr>
          <w:rFonts w:ascii="Times New Roman" w:hAnsi="Times New Roman" w:cs="Times New Roman"/>
        </w:rPr>
        <w:t>fulfil</w:t>
      </w:r>
      <w:r w:rsidRPr="008E62FF">
        <w:rPr>
          <w:rFonts w:ascii="Times New Roman" w:hAnsi="Times New Roman" w:cs="Times New Roman"/>
        </w:rPr>
        <w:t xml:space="preserve"> various needs and cultural backgrounds (Blackadder, n.d.).</w:t>
      </w:r>
    </w:p>
    <w:p w14:paraId="00DBA15C"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During the planning process, early community mapping sessions will be conducted to seek the opinions of the residents on safety, parking and access points to the facility. This instrument allows individuals to consider space and provides them with the ability to assist in creating components of their environment. It also brings out issues that are mostly concealed in written feedback.</w:t>
      </w:r>
    </w:p>
    <w:p w14:paraId="04C9FE8C"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Local schools will be used to organize creative arts based workshops with the youths. In such sessions, children will be able to draw, create models or create a storyboard of what they want to do in their free time. This avoids any potential communication issues and makes people provide creative and open-minded feedback.</w:t>
      </w:r>
    </w:p>
    <w:p w14:paraId="5436F635"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Citizens will have panels of various people in the community including sports club representatives, older residents and campaigners of accessibility to provide a glance through plans and propose any modifications. Their opinions will be incorporated to make amendments to the designs before the final sign-off. These panels ensure that voices of the lay are incorporated in decision-making and thus more open and honest (Involve, 2021).</w:t>
      </w:r>
    </w:p>
    <w:p w14:paraId="5B90412D"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Online surveys will be used in platforms such as SurveyMonkey, which will offer a large sample of the general opinions of people. The questionnaire will be distributed both online and in real life (at libraries and community centres in particular) to ensure that no one is neglected.</w:t>
      </w:r>
    </w:p>
    <w:p w14:paraId="482147D8"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There will be translation services and formats which are user friendly by the people with disabilities to ensure that every person is able to contribute. The decision to publish feedback feedbacks will create trust and finalize the engagement process. This inclination towards fairness is consistent with the requirements of UNICEF (2020) in terms of engagement and compliant with ethical participatory design (Cooke and Kothari, 2001).</w:t>
      </w:r>
    </w:p>
    <w:p w14:paraId="3FCE03E8" w14:textId="12D70963" w:rsidR="008E62FF" w:rsidRPr="008E62FF" w:rsidRDefault="008E62FF" w:rsidP="008278FF">
      <w:pPr>
        <w:pStyle w:val="Heading1"/>
        <w:rPr>
          <w:rFonts w:eastAsiaTheme="minorHAnsi"/>
        </w:rPr>
      </w:pPr>
      <w:r w:rsidRPr="008E62FF">
        <w:rPr>
          <w:rFonts w:eastAsiaTheme="minorHAnsi"/>
        </w:rPr>
        <w:t>Element 3: Ethical Considerations</w:t>
      </w:r>
    </w:p>
    <w:p w14:paraId="5D78BE56" w14:textId="5DE03983" w:rsidR="008E62FF" w:rsidRPr="008E62FF" w:rsidRDefault="008E62FF" w:rsidP="008278FF">
      <w:pPr>
        <w:pStyle w:val="Heading2"/>
        <w:rPr>
          <w:rFonts w:eastAsiaTheme="minorHAnsi"/>
        </w:rPr>
      </w:pPr>
      <w:r w:rsidRPr="008E62FF">
        <w:rPr>
          <w:rFonts w:eastAsiaTheme="minorHAnsi"/>
        </w:rPr>
        <w:t xml:space="preserve">3.1 </w:t>
      </w:r>
      <w:r w:rsidR="008278FF" w:rsidRPr="008278FF">
        <w:t>Consultation Methods and Inclusivity</w:t>
      </w:r>
    </w:p>
    <w:p w14:paraId="7C2AC806"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 xml:space="preserve">Ensuring that all the stakeholders contribute is not only a good idea, but it is also the correct thing to do in infrastructure projects that are led by the community. Since the start, the consultation plan should cover all of them, in particular, those groups that have not been </w:t>
      </w:r>
      <w:r w:rsidRPr="008E62FF">
        <w:rPr>
          <w:rFonts w:ascii="Times New Roman" w:hAnsi="Times New Roman" w:cs="Times New Roman"/>
        </w:rPr>
        <w:lastRenderedPageBreak/>
        <w:t xml:space="preserve">effectively represented in civic planning in the previous </w:t>
      </w:r>
      <w:proofErr w:type="spellStart"/>
      <w:r w:rsidRPr="008E62FF">
        <w:rPr>
          <w:rFonts w:ascii="Times New Roman" w:hAnsi="Times New Roman" w:cs="Times New Roman"/>
        </w:rPr>
        <w:t>years</w:t>
      </w:r>
      <w:proofErr w:type="spellEnd"/>
      <w:r w:rsidRPr="008E62FF">
        <w:rPr>
          <w:rFonts w:ascii="Times New Roman" w:hAnsi="Times New Roman" w:cs="Times New Roman"/>
        </w:rPr>
        <w:t xml:space="preserve"> such as the elderly, individuals who do not speak English, and people with disabilities (UNICEF, 2020).</w:t>
      </w:r>
    </w:p>
    <w:p w14:paraId="104885C5"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In the Larchwood Leisure Centre redevelopment, conventional consultation approaches such as surveys and meetings with the population should also be used alongside more direct outreach. An example of this is the community partners assisting the ethnic minorities through establishing focus groups which are translated and people with visual impairments through audio support of the survey. Physical and language barriers should also be eliminated by using printed materials in large print, phone interview with older people and local language interpretation (Joseph Rowntree Foundation, 2021).</w:t>
      </w:r>
    </w:p>
    <w:p w14:paraId="49408625"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Moreover, the consultation time and location should be well-planned to ensure that the consultation is not carried out during working days and in locations that are difficult to access. The project should be based on the Scottish Government National Standards of Community Engagement (2016) and ensure that all people have an opportunity to influence the result. The project will have a higher chance of acceptance by the community and a lower probability of opposition in the case of meaningful involvement of stakeholders (Involve, 2021).</w:t>
      </w:r>
    </w:p>
    <w:p w14:paraId="4B672064" w14:textId="63CC8CA0" w:rsidR="008E62FF" w:rsidRPr="008E62FF" w:rsidRDefault="008E62FF" w:rsidP="008278FF">
      <w:pPr>
        <w:pStyle w:val="Heading2"/>
        <w:rPr>
          <w:rFonts w:eastAsiaTheme="minorHAnsi"/>
        </w:rPr>
      </w:pPr>
      <w:r w:rsidRPr="008E62FF">
        <w:rPr>
          <w:rFonts w:eastAsiaTheme="minorHAnsi"/>
        </w:rPr>
        <w:t xml:space="preserve">3.2 </w:t>
      </w:r>
      <w:r w:rsidR="008278FF" w:rsidRPr="008278FF">
        <w:t>Ethical Data Handling &amp; Feedback Loops</w:t>
      </w:r>
    </w:p>
    <w:p w14:paraId="4E528C32"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Stakeholder data should be addressed ethically in order to maintain trust and obey the law. According to the UK GDPR (2018), the rules must be adhered to any data that is received in the context of the consultation, including qualitative feedback, survey, or demographics. It implies that you have to seek express permission to access personal data, store them securely, where possible, anonymise, and use them only in the way you claimed it would be used (Information Commissioner's Office, 2022).</w:t>
      </w:r>
    </w:p>
    <w:p w14:paraId="4FD93B45"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Individuals interested on the project should be made aware of the precise data that is being gathered, necessity of the data, and the use of the data. Whenever you encounter a person or speak to them, you ought to provide them with a simple-to-understand information privacy policy. The practices are based on the ethical principle of transparency and allow participants to make informed decisions about their participation (Bannister and Connolly, 2020).</w:t>
      </w:r>
    </w:p>
    <w:p w14:paraId="5BC3AF7D"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 xml:space="preserve">It is equally important to put up feedback loops. Very often, the consultation among the people is unidirectional in that the community input is sought and neglected. This project will rather present summary reports in the way in which the contribution of the stakeholders was involved in decision making. To mention but a few, it will display how accessibility recommendations influenced the final design layout. The emails will be used to send out these reports, display </w:t>
      </w:r>
      <w:r w:rsidRPr="008E62FF">
        <w:rPr>
          <w:rFonts w:ascii="Times New Roman" w:hAnsi="Times New Roman" w:cs="Times New Roman"/>
        </w:rPr>
        <w:lastRenderedPageBreak/>
        <w:t>these reports at the community noticeboards and make them available on the webpage of the leisure centre so that all people can access the reports.</w:t>
      </w:r>
    </w:p>
    <w:p w14:paraId="7D303E0D"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Open feedback is based on mutual respect and accountability. They also increase the likelihood of stakeholders involvement into future projects, which contributes to community engagement remaining over time (Bryson, 2018).</w:t>
      </w:r>
    </w:p>
    <w:p w14:paraId="3EC96B4A" w14:textId="77777777" w:rsidR="008E62FF" w:rsidRPr="008E62FF" w:rsidRDefault="008E62FF" w:rsidP="008278FF">
      <w:pPr>
        <w:pStyle w:val="Heading2"/>
        <w:rPr>
          <w:rFonts w:eastAsiaTheme="minorHAnsi"/>
        </w:rPr>
      </w:pPr>
      <w:r w:rsidRPr="008E62FF">
        <w:rPr>
          <w:rFonts w:eastAsiaTheme="minorHAnsi"/>
        </w:rPr>
        <w:t xml:space="preserve">3.3 DEI and Bias Awareness </w:t>
      </w:r>
    </w:p>
    <w:p w14:paraId="5025C562"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 xml:space="preserve">Diversity, equity, and inclusion (DEI) are highly significant in the ethical stakeholder engagement. Biases are unconscious and are influenced by your age, race, or ability among others without even trying to do anything about it. During week 5, we were taught that some groups can be left aside even when </w:t>
      </w:r>
      <w:proofErr w:type="spellStart"/>
      <w:r w:rsidRPr="008E62FF">
        <w:rPr>
          <w:rFonts w:ascii="Times New Roman" w:hAnsi="Times New Roman" w:cs="Times New Roman"/>
        </w:rPr>
        <w:t>well intentioned</w:t>
      </w:r>
      <w:proofErr w:type="spellEnd"/>
      <w:r w:rsidRPr="008E62FF">
        <w:rPr>
          <w:rFonts w:ascii="Times New Roman" w:hAnsi="Times New Roman" w:cs="Times New Roman"/>
        </w:rPr>
        <w:t xml:space="preserve"> decisions are made unless standards are strictly adhered to.</w:t>
      </w:r>
    </w:p>
    <w:p w14:paraId="54120FBA"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In order to reduce this, the project team must be taught how to identify their own biases particularly when guiding discussions or interpreting feedback. Implicit Association Test (IAT) and other measures can be used to discover what the teams themselves are biased (Greenwald et al., 2009). More significantly, the applications of external frameworks such as the UNICEF Minimum Quality Standards and the Scottish National Standards ensure that the DEI concerns are addressed in a, rather, systematic manner rather than being addressed in a haphazard manner.</w:t>
      </w:r>
    </w:p>
    <w:p w14:paraId="53F22537"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These models place a lot of emphasis on the inclusion of people of all ages, disabilities, languages, genders, and socioeconomic statuses. As an example, inclusion criterion indicates that there should be no costs barrier. It may imply providing accessible participants with vouchers to go traveling or arranging meetings during off-hours (UNICEF, 2020).</w:t>
      </w:r>
    </w:p>
    <w:p w14:paraId="0B8A963C"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Culturally sensitive participation is also the ability to be aware of the situation on the ground, such as what the demographics of the area are, what the faith-based groups are like, or even how people of varying ages relate to one another. Not only does this ensure that everybody is treated in a fair manner, but it also results to better projects that are based on the values of the community. By incorporating DEI in all stages of the work, both in the planning and in the feedback, the project can be made more ethical, effective and lasting (Cooke and Kothari, 2001).</w:t>
      </w:r>
    </w:p>
    <w:p w14:paraId="5EB23ACF" w14:textId="27744BBC" w:rsidR="008E62FF" w:rsidRPr="008E62FF" w:rsidRDefault="008E62FF" w:rsidP="008278FF">
      <w:pPr>
        <w:pStyle w:val="Heading1"/>
        <w:rPr>
          <w:rFonts w:eastAsiaTheme="minorHAnsi"/>
        </w:rPr>
      </w:pPr>
      <w:r w:rsidRPr="008E62FF">
        <w:rPr>
          <w:rFonts w:eastAsiaTheme="minorHAnsi"/>
        </w:rPr>
        <w:lastRenderedPageBreak/>
        <w:t>Element 4: Conclusion and CPD Reflection</w:t>
      </w:r>
    </w:p>
    <w:p w14:paraId="14C41ED9" w14:textId="6CA70117" w:rsidR="008278FF" w:rsidRDefault="008278FF" w:rsidP="008278FF">
      <w:pPr>
        <w:pStyle w:val="Heading2"/>
      </w:pPr>
      <w:r>
        <w:t xml:space="preserve">4.1 </w:t>
      </w:r>
      <w:r w:rsidRPr="008278FF">
        <w:t xml:space="preserve">Conclusion: The Importance of Stakeholder Engagement </w:t>
      </w:r>
    </w:p>
    <w:p w14:paraId="36380BFF" w14:textId="3EDBC6A9"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 xml:space="preserve">Engagement of stakeholders in a project is highly crucial to project success. The redevelopment of the Larchwood Leisure Centre demonstrates that the inclusion of a broad spectrum of stakeholders will ensure that the project </w:t>
      </w:r>
      <w:r w:rsidR="008278FF" w:rsidRPr="008E62FF">
        <w:rPr>
          <w:rFonts w:ascii="Times New Roman" w:hAnsi="Times New Roman" w:cs="Times New Roman"/>
        </w:rPr>
        <w:t>fulfils</w:t>
      </w:r>
      <w:r w:rsidRPr="008E62FF">
        <w:rPr>
          <w:rFonts w:ascii="Times New Roman" w:hAnsi="Times New Roman" w:cs="Times New Roman"/>
        </w:rPr>
        <w:t xml:space="preserve"> both technical and operational objectives and that it is responsive to the needs, wants and realities of the community it serves. A proactive form of engagement that is open to all parties will create trust between project teams and people who are living in the </w:t>
      </w:r>
      <w:r w:rsidR="008278FF" w:rsidRPr="008E62FF">
        <w:rPr>
          <w:rFonts w:ascii="Times New Roman" w:hAnsi="Times New Roman" w:cs="Times New Roman"/>
        </w:rPr>
        <w:t>neighbourhood</w:t>
      </w:r>
      <w:r w:rsidRPr="008E62FF">
        <w:rPr>
          <w:rFonts w:ascii="Times New Roman" w:hAnsi="Times New Roman" w:cs="Times New Roman"/>
        </w:rPr>
        <w:t>. This reduces the conflict, makes things clearer, and can prolong projects (Bryson, 2018).</w:t>
      </w:r>
    </w:p>
    <w:p w14:paraId="1F311745" w14:textId="77140D5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 xml:space="preserve">With a diverse pool of voices, such as those usually excluded present, involved in the </w:t>
      </w:r>
      <w:r w:rsidR="008278FF" w:rsidRPr="008E62FF">
        <w:rPr>
          <w:rFonts w:ascii="Times New Roman" w:hAnsi="Times New Roman" w:cs="Times New Roman"/>
        </w:rPr>
        <w:t>decision-making</w:t>
      </w:r>
      <w:r w:rsidRPr="008E62FF">
        <w:rPr>
          <w:rFonts w:ascii="Times New Roman" w:hAnsi="Times New Roman" w:cs="Times New Roman"/>
        </w:rPr>
        <w:t xml:space="preserve"> process, including the voices of stakeholders makes the decision that will be made more legitimate. This directly impacts on how the populace views and approves the project. When trust is established due to open consultation and ethical behaviour, it results in increased support of the community and eventual success. Engagement also enhances the design outcomes based on the regional knowledge, promotion of new ideas, and early risk identification.</w:t>
      </w:r>
    </w:p>
    <w:p w14:paraId="39567F8B"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Finally, the stakeholder process is not a single event but a dynamic, continuous relationship between the project and the environment. It requires sensitivity, commitment, and firmness of ethics but when it is nailed down, it provides the foundations of actual change which is a community based one.</w:t>
      </w:r>
    </w:p>
    <w:p w14:paraId="4667CA4B" w14:textId="24B4E69D" w:rsidR="008E62FF" w:rsidRPr="008E62FF" w:rsidRDefault="008E62FF" w:rsidP="008278FF">
      <w:pPr>
        <w:pStyle w:val="Heading2"/>
        <w:rPr>
          <w:rFonts w:eastAsiaTheme="minorHAnsi"/>
        </w:rPr>
      </w:pPr>
      <w:r w:rsidRPr="008E62FF">
        <w:rPr>
          <w:rFonts w:eastAsiaTheme="minorHAnsi"/>
        </w:rPr>
        <w:t xml:space="preserve">4.2 </w:t>
      </w:r>
      <w:r w:rsidR="008278FF" w:rsidRPr="008278FF">
        <w:t>Reflective Account – Weekly Learning (CPD)</w:t>
      </w:r>
    </w:p>
    <w:p w14:paraId="16C86E13"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Applying Gibbs Reflective Cycle (1988).</w:t>
      </w:r>
    </w:p>
    <w:p w14:paraId="223385AD" w14:textId="77777777" w:rsidR="008E62FF" w:rsidRPr="008278FF" w:rsidRDefault="008E62FF" w:rsidP="008E62FF">
      <w:pPr>
        <w:spacing w:line="360" w:lineRule="auto"/>
        <w:jc w:val="both"/>
        <w:rPr>
          <w:rFonts w:ascii="Times New Roman" w:hAnsi="Times New Roman" w:cs="Times New Roman"/>
          <w:b/>
          <w:bCs/>
        </w:rPr>
      </w:pPr>
      <w:r w:rsidRPr="008278FF">
        <w:rPr>
          <w:rFonts w:ascii="Times New Roman" w:hAnsi="Times New Roman" w:cs="Times New Roman"/>
          <w:b/>
          <w:bCs/>
        </w:rPr>
        <w:t>Description</w:t>
      </w:r>
    </w:p>
    <w:p w14:paraId="2D9C0F39"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During the 10 weeks, I learnt more on how to involve people by considering theory, tools and ethical framework. During weekly meetings, we discussed various types of stakeholders and planning stages to the tools of engagement, reflection models, and communication methods.</w:t>
      </w:r>
    </w:p>
    <w:p w14:paraId="5700BB39" w14:textId="77777777" w:rsidR="008E62FF" w:rsidRPr="008278FF" w:rsidRDefault="008E62FF" w:rsidP="008E62FF">
      <w:pPr>
        <w:spacing w:line="360" w:lineRule="auto"/>
        <w:jc w:val="both"/>
        <w:rPr>
          <w:rFonts w:ascii="Times New Roman" w:hAnsi="Times New Roman" w:cs="Times New Roman"/>
          <w:b/>
          <w:bCs/>
        </w:rPr>
      </w:pPr>
      <w:r w:rsidRPr="008278FF">
        <w:rPr>
          <w:rFonts w:ascii="Times New Roman" w:hAnsi="Times New Roman" w:cs="Times New Roman"/>
          <w:b/>
          <w:bCs/>
        </w:rPr>
        <w:t>Feelings</w:t>
      </w:r>
    </w:p>
    <w:p w14:paraId="521B586A"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Initially, I did not know the connection between theory and real life involvement. The more weeks went by, the more I was confident about myself, particularly when I employed real-life instruments such as SMART goals and community mapping.</w:t>
      </w:r>
    </w:p>
    <w:p w14:paraId="7E1BCB1F" w14:textId="77777777" w:rsidR="008E62FF" w:rsidRPr="008278FF" w:rsidRDefault="008E62FF" w:rsidP="008E62FF">
      <w:pPr>
        <w:spacing w:line="360" w:lineRule="auto"/>
        <w:jc w:val="both"/>
        <w:rPr>
          <w:rFonts w:ascii="Times New Roman" w:hAnsi="Times New Roman" w:cs="Times New Roman"/>
          <w:b/>
          <w:bCs/>
        </w:rPr>
      </w:pPr>
      <w:r w:rsidRPr="008278FF">
        <w:rPr>
          <w:rFonts w:ascii="Times New Roman" w:hAnsi="Times New Roman" w:cs="Times New Roman"/>
          <w:b/>
          <w:bCs/>
        </w:rPr>
        <w:t>Evaluation</w:t>
      </w:r>
    </w:p>
    <w:p w14:paraId="0B4C64B1"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lastRenderedPageBreak/>
        <w:t>During Week 1, I studied how to locate and cluster the stakeholders. During week 2, we were introduced to the reflection model, and it allowed me to become more rational in my decisions. The third week was dedicated to such tools as focus groups and arts-based involvement. Project planning and SMART goals became clearer in week 4. Week 5 involved ethical engagement, which involved national standards and DEI. In Week 6, I also learned communication models and how to circumvent barriers. Weeks 7-10 elaborated on this and focused on models of empowerment, leadership, impact evaluation and how to implement changes.</w:t>
      </w:r>
    </w:p>
    <w:p w14:paraId="0CBF9AAB" w14:textId="77777777" w:rsidR="008E62FF" w:rsidRPr="008278FF" w:rsidRDefault="008E62FF" w:rsidP="008E62FF">
      <w:pPr>
        <w:spacing w:line="360" w:lineRule="auto"/>
        <w:jc w:val="both"/>
        <w:rPr>
          <w:rFonts w:ascii="Times New Roman" w:hAnsi="Times New Roman" w:cs="Times New Roman"/>
          <w:b/>
          <w:bCs/>
        </w:rPr>
      </w:pPr>
      <w:r w:rsidRPr="008278FF">
        <w:rPr>
          <w:rFonts w:ascii="Times New Roman" w:hAnsi="Times New Roman" w:cs="Times New Roman"/>
          <w:b/>
          <w:bCs/>
        </w:rPr>
        <w:t>Analysis</w:t>
      </w:r>
    </w:p>
    <w:p w14:paraId="2D9D46B9"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I came to learn that the good engagement is based on ethical and inclusive practices. New useful knowledge was delivered in every week, whether it was planning and chatting with each other or reflecting on what has worked and what has not. Organized reflection made me identify the areas where I needed to work on and address the gaps.</w:t>
      </w:r>
    </w:p>
    <w:p w14:paraId="05AEEE51" w14:textId="77777777" w:rsidR="008E62FF" w:rsidRPr="008278FF" w:rsidRDefault="008E62FF" w:rsidP="008E62FF">
      <w:pPr>
        <w:spacing w:line="360" w:lineRule="auto"/>
        <w:jc w:val="both"/>
        <w:rPr>
          <w:rFonts w:ascii="Times New Roman" w:hAnsi="Times New Roman" w:cs="Times New Roman"/>
          <w:b/>
          <w:bCs/>
        </w:rPr>
      </w:pPr>
      <w:r w:rsidRPr="008278FF">
        <w:rPr>
          <w:rFonts w:ascii="Times New Roman" w:hAnsi="Times New Roman" w:cs="Times New Roman"/>
          <w:b/>
          <w:bCs/>
        </w:rPr>
        <w:t>Conclusion</w:t>
      </w:r>
    </w:p>
    <w:p w14:paraId="22F95B5D"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I have also become better in planning, communicating with others, and thinking about my job, both individually and in teams. I have now understood that engagement is not merely regarding keeping the stakeholders informed; it is also regarding involving them in a significant manner.</w:t>
      </w:r>
    </w:p>
    <w:p w14:paraId="5332D2A1" w14:textId="77777777" w:rsidR="008E62FF" w:rsidRPr="008278FF" w:rsidRDefault="008E62FF" w:rsidP="008E62FF">
      <w:pPr>
        <w:spacing w:line="360" w:lineRule="auto"/>
        <w:jc w:val="both"/>
        <w:rPr>
          <w:rFonts w:ascii="Times New Roman" w:hAnsi="Times New Roman" w:cs="Times New Roman"/>
          <w:b/>
          <w:bCs/>
        </w:rPr>
      </w:pPr>
      <w:r w:rsidRPr="008278FF">
        <w:rPr>
          <w:rFonts w:ascii="Times New Roman" w:hAnsi="Times New Roman" w:cs="Times New Roman"/>
          <w:b/>
          <w:bCs/>
        </w:rPr>
        <w:t>Action Plan</w:t>
      </w:r>
    </w:p>
    <w:p w14:paraId="1F079EA9" w14:textId="77777777" w:rsidR="008E62FF" w:rsidRPr="008E62FF" w:rsidRDefault="008E62FF" w:rsidP="008E62FF">
      <w:pPr>
        <w:spacing w:line="360" w:lineRule="auto"/>
        <w:jc w:val="both"/>
        <w:rPr>
          <w:rFonts w:ascii="Times New Roman" w:hAnsi="Times New Roman" w:cs="Times New Roman"/>
        </w:rPr>
      </w:pPr>
      <w:r w:rsidRPr="008E62FF">
        <w:rPr>
          <w:rFonts w:ascii="Times New Roman" w:hAnsi="Times New Roman" w:cs="Times New Roman"/>
        </w:rPr>
        <w:t>In the future, I will implement the DEI principles, employ the tools of reflection such as Gibbs, and modify the communication and consultation practices by making them more comprehensive and inclusive of the harder-to-reach groups.</w:t>
      </w:r>
    </w:p>
    <w:p w14:paraId="3BFD5B42" w14:textId="3A671118" w:rsidR="00181B16" w:rsidRDefault="00BC4815" w:rsidP="008E62FF">
      <w:pPr>
        <w:pStyle w:val="Heading1"/>
      </w:pPr>
      <w:r>
        <w:t>References</w:t>
      </w:r>
      <w:bookmarkEnd w:id="4"/>
    </w:p>
    <w:p w14:paraId="1F88028C" w14:textId="77777777" w:rsidR="00AD3C9A" w:rsidRPr="00AD3C9A" w:rsidRDefault="00AD3C9A" w:rsidP="00AD3C9A">
      <w:pPr>
        <w:pStyle w:val="NormalWeb"/>
        <w:spacing w:line="360" w:lineRule="auto"/>
        <w:rPr>
          <w:color w:val="000000" w:themeColor="text1"/>
        </w:rPr>
      </w:pPr>
      <w:r w:rsidRPr="00AD3C9A">
        <w:rPr>
          <w:color w:val="000000" w:themeColor="text1"/>
        </w:rPr>
        <w:t>Age UK (2021).</w:t>
      </w:r>
      <w:r w:rsidRPr="00AD3C9A">
        <w:rPr>
          <w:rStyle w:val="apple-converted-space"/>
          <w:rFonts w:eastAsiaTheme="majorEastAsia"/>
          <w:color w:val="000000" w:themeColor="text1"/>
        </w:rPr>
        <w:t> </w:t>
      </w:r>
      <w:r w:rsidRPr="00AD3C9A">
        <w:rPr>
          <w:rStyle w:val="Emphasis"/>
          <w:rFonts w:eastAsiaTheme="majorEastAsia"/>
          <w:color w:val="000000" w:themeColor="text1"/>
        </w:rPr>
        <w:t>Digital Inclusion and Older People</w:t>
      </w:r>
      <w:r w:rsidRPr="00AD3C9A">
        <w:rPr>
          <w:color w:val="000000" w:themeColor="text1"/>
        </w:rPr>
        <w:t>. [online] Available at:</w:t>
      </w:r>
      <w:r w:rsidRPr="00AD3C9A">
        <w:rPr>
          <w:rStyle w:val="apple-converted-space"/>
          <w:rFonts w:eastAsiaTheme="majorEastAsia"/>
          <w:color w:val="000000" w:themeColor="text1"/>
        </w:rPr>
        <w:t> </w:t>
      </w:r>
      <w:r w:rsidRPr="00AD3C9A">
        <w:rPr>
          <w:color w:val="000000" w:themeColor="text1"/>
        </w:rPr>
        <w:t>https://www.ageuk.org.uk/information-advice/work-learning/technology-internet/digital-inclusion/</w:t>
      </w:r>
      <w:r w:rsidRPr="00AD3C9A">
        <w:rPr>
          <w:rStyle w:val="apple-converted-space"/>
          <w:rFonts w:eastAsiaTheme="majorEastAsia"/>
          <w:color w:val="000000" w:themeColor="text1"/>
        </w:rPr>
        <w:t> </w:t>
      </w:r>
      <w:r w:rsidRPr="00AD3C9A">
        <w:rPr>
          <w:color w:val="000000" w:themeColor="text1"/>
        </w:rPr>
        <w:t>[Accessed 7 Oct. 2025].</w:t>
      </w:r>
    </w:p>
    <w:p w14:paraId="3FD67719" w14:textId="77777777" w:rsidR="00AD3C9A" w:rsidRPr="00AD3C9A" w:rsidRDefault="00AD3C9A" w:rsidP="00AD3C9A">
      <w:pPr>
        <w:pStyle w:val="NormalWeb"/>
        <w:spacing w:line="360" w:lineRule="auto"/>
        <w:rPr>
          <w:color w:val="000000" w:themeColor="text1"/>
        </w:rPr>
      </w:pPr>
      <w:r w:rsidRPr="00AD3C9A">
        <w:rPr>
          <w:color w:val="000000" w:themeColor="text1"/>
        </w:rPr>
        <w:t>Arnstein, S.R. (1969).</w:t>
      </w:r>
      <w:r w:rsidRPr="00AD3C9A">
        <w:rPr>
          <w:rStyle w:val="apple-converted-space"/>
          <w:rFonts w:eastAsiaTheme="majorEastAsia"/>
          <w:color w:val="000000" w:themeColor="text1"/>
        </w:rPr>
        <w:t> </w:t>
      </w:r>
      <w:r w:rsidRPr="00AD3C9A">
        <w:rPr>
          <w:rStyle w:val="Emphasis"/>
          <w:rFonts w:eastAsiaTheme="majorEastAsia"/>
          <w:color w:val="000000" w:themeColor="text1"/>
        </w:rPr>
        <w:t>A Ladder of Citizen Participation</w:t>
      </w:r>
      <w:r w:rsidRPr="00AD3C9A">
        <w:rPr>
          <w:color w:val="000000" w:themeColor="text1"/>
        </w:rPr>
        <w:t>.</w:t>
      </w:r>
      <w:r w:rsidRPr="00AD3C9A">
        <w:rPr>
          <w:rStyle w:val="apple-converted-space"/>
          <w:rFonts w:eastAsiaTheme="majorEastAsia"/>
          <w:color w:val="000000" w:themeColor="text1"/>
        </w:rPr>
        <w:t> </w:t>
      </w:r>
      <w:r w:rsidRPr="00AD3C9A">
        <w:rPr>
          <w:rStyle w:val="Emphasis"/>
          <w:rFonts w:eastAsiaTheme="majorEastAsia"/>
          <w:color w:val="000000" w:themeColor="text1"/>
        </w:rPr>
        <w:t>Journal of the American Institute of Planners</w:t>
      </w:r>
      <w:r w:rsidRPr="00AD3C9A">
        <w:rPr>
          <w:color w:val="000000" w:themeColor="text1"/>
        </w:rPr>
        <w:t>, 35(4), pp.216–224.</w:t>
      </w:r>
    </w:p>
    <w:p w14:paraId="21A3C370" w14:textId="77777777" w:rsidR="00AD3C9A" w:rsidRPr="00AD3C9A" w:rsidRDefault="00AD3C9A" w:rsidP="00AD3C9A">
      <w:pPr>
        <w:pStyle w:val="NormalWeb"/>
        <w:spacing w:line="360" w:lineRule="auto"/>
        <w:rPr>
          <w:color w:val="000000" w:themeColor="text1"/>
        </w:rPr>
      </w:pPr>
      <w:r w:rsidRPr="00AD3C9A">
        <w:rPr>
          <w:color w:val="000000" w:themeColor="text1"/>
        </w:rPr>
        <w:t>Bannister, F. and Connolly, R. (2020). The Trouble with Transparency: A Critical Review of Openness in E-Government.</w:t>
      </w:r>
      <w:r w:rsidRPr="00AD3C9A">
        <w:rPr>
          <w:rStyle w:val="apple-converted-space"/>
          <w:rFonts w:eastAsiaTheme="majorEastAsia"/>
          <w:color w:val="000000" w:themeColor="text1"/>
        </w:rPr>
        <w:t> </w:t>
      </w:r>
      <w:r w:rsidRPr="00AD3C9A">
        <w:rPr>
          <w:rStyle w:val="Emphasis"/>
          <w:rFonts w:eastAsiaTheme="majorEastAsia"/>
          <w:color w:val="000000" w:themeColor="text1"/>
        </w:rPr>
        <w:t>Policy &amp; Internet</w:t>
      </w:r>
      <w:r w:rsidRPr="00AD3C9A">
        <w:rPr>
          <w:color w:val="000000" w:themeColor="text1"/>
        </w:rPr>
        <w:t>, 12(3), pp.300–320.</w:t>
      </w:r>
    </w:p>
    <w:p w14:paraId="228D72DC" w14:textId="77777777" w:rsidR="00AD3C9A" w:rsidRPr="00AD3C9A" w:rsidRDefault="00AD3C9A" w:rsidP="00AD3C9A">
      <w:pPr>
        <w:pStyle w:val="NormalWeb"/>
        <w:spacing w:line="360" w:lineRule="auto"/>
        <w:rPr>
          <w:color w:val="000000" w:themeColor="text1"/>
        </w:rPr>
      </w:pPr>
      <w:r w:rsidRPr="00AD3C9A">
        <w:rPr>
          <w:color w:val="000000" w:themeColor="text1"/>
        </w:rPr>
        <w:t>BCC (2022).</w:t>
      </w:r>
      <w:r w:rsidRPr="00AD3C9A">
        <w:rPr>
          <w:rStyle w:val="apple-converted-space"/>
          <w:rFonts w:eastAsiaTheme="majorEastAsia"/>
          <w:color w:val="000000" w:themeColor="text1"/>
        </w:rPr>
        <w:t> </w:t>
      </w:r>
      <w:r w:rsidRPr="00AD3C9A">
        <w:rPr>
          <w:rStyle w:val="Emphasis"/>
          <w:rFonts w:eastAsiaTheme="majorEastAsia"/>
          <w:color w:val="000000" w:themeColor="text1"/>
        </w:rPr>
        <w:t>Building Communities Together: Annual Stakeholder Report</w:t>
      </w:r>
      <w:r w:rsidRPr="00AD3C9A">
        <w:rPr>
          <w:color w:val="000000" w:themeColor="text1"/>
        </w:rPr>
        <w:t xml:space="preserve">. Birmingham City Council. [online] Available </w:t>
      </w:r>
      <w:r w:rsidRPr="00AD3C9A">
        <w:rPr>
          <w:color w:val="000000" w:themeColor="text1"/>
        </w:rPr>
        <w:lastRenderedPageBreak/>
        <w:t>at:</w:t>
      </w:r>
      <w:r w:rsidRPr="00AD3C9A">
        <w:rPr>
          <w:rStyle w:val="apple-converted-space"/>
          <w:rFonts w:eastAsiaTheme="majorEastAsia"/>
          <w:color w:val="000000" w:themeColor="text1"/>
        </w:rPr>
        <w:t> </w:t>
      </w:r>
      <w:r w:rsidRPr="00AD3C9A">
        <w:rPr>
          <w:color w:val="000000" w:themeColor="text1"/>
        </w:rPr>
        <w:t>https://www.birmingham.gov.uk/downloads/file/25473/building_communities_together_report</w:t>
      </w:r>
      <w:r w:rsidRPr="00AD3C9A">
        <w:rPr>
          <w:rStyle w:val="apple-converted-space"/>
          <w:rFonts w:eastAsiaTheme="majorEastAsia"/>
          <w:color w:val="000000" w:themeColor="text1"/>
        </w:rPr>
        <w:t> </w:t>
      </w:r>
      <w:r w:rsidRPr="00AD3C9A">
        <w:rPr>
          <w:color w:val="000000" w:themeColor="text1"/>
        </w:rPr>
        <w:t>[Accessed 6 Oct. 2025].</w:t>
      </w:r>
    </w:p>
    <w:p w14:paraId="277C2D3A" w14:textId="77777777" w:rsidR="00AD3C9A" w:rsidRPr="00AD3C9A" w:rsidRDefault="00AD3C9A" w:rsidP="00AD3C9A">
      <w:pPr>
        <w:pStyle w:val="NormalWeb"/>
        <w:spacing w:line="360" w:lineRule="auto"/>
        <w:rPr>
          <w:color w:val="000000" w:themeColor="text1"/>
        </w:rPr>
      </w:pPr>
      <w:r w:rsidRPr="00AD3C9A">
        <w:rPr>
          <w:color w:val="000000" w:themeColor="text1"/>
        </w:rPr>
        <w:t>Berlo, D.K. (1960).</w:t>
      </w:r>
      <w:r w:rsidRPr="00AD3C9A">
        <w:rPr>
          <w:rStyle w:val="apple-converted-space"/>
          <w:rFonts w:eastAsiaTheme="majorEastAsia"/>
          <w:color w:val="000000" w:themeColor="text1"/>
        </w:rPr>
        <w:t> </w:t>
      </w:r>
      <w:r w:rsidRPr="00AD3C9A">
        <w:rPr>
          <w:rStyle w:val="Emphasis"/>
          <w:rFonts w:eastAsiaTheme="majorEastAsia"/>
          <w:color w:val="000000" w:themeColor="text1"/>
        </w:rPr>
        <w:t>The Process of Communication</w:t>
      </w:r>
      <w:r w:rsidRPr="00AD3C9A">
        <w:rPr>
          <w:color w:val="000000" w:themeColor="text1"/>
        </w:rPr>
        <w:t>. New York: Holt, Rinehart and Winston.</w:t>
      </w:r>
    </w:p>
    <w:p w14:paraId="61DFD299" w14:textId="77777777" w:rsidR="00AD3C9A" w:rsidRPr="00AD3C9A" w:rsidRDefault="00AD3C9A" w:rsidP="00AD3C9A">
      <w:pPr>
        <w:pStyle w:val="NormalWeb"/>
        <w:spacing w:line="360" w:lineRule="auto"/>
        <w:rPr>
          <w:color w:val="000000" w:themeColor="text1"/>
        </w:rPr>
      </w:pPr>
      <w:r w:rsidRPr="00AD3C9A">
        <w:rPr>
          <w:color w:val="000000" w:themeColor="text1"/>
        </w:rPr>
        <w:t>Blackadder, L. (n.d.).</w:t>
      </w:r>
      <w:r w:rsidRPr="00AD3C9A">
        <w:rPr>
          <w:rStyle w:val="apple-converted-space"/>
          <w:rFonts w:eastAsiaTheme="majorEastAsia"/>
          <w:color w:val="000000" w:themeColor="text1"/>
        </w:rPr>
        <w:t> </w:t>
      </w:r>
      <w:r w:rsidRPr="00AD3C9A">
        <w:rPr>
          <w:rStyle w:val="Emphasis"/>
          <w:rFonts w:eastAsiaTheme="majorEastAsia"/>
          <w:color w:val="000000" w:themeColor="text1"/>
        </w:rPr>
        <w:t>Arts-Based Community Engagement</w:t>
      </w:r>
      <w:r w:rsidRPr="00AD3C9A">
        <w:rPr>
          <w:color w:val="000000" w:themeColor="text1"/>
        </w:rPr>
        <w:t>. [online] Available at:</w:t>
      </w:r>
      <w:r w:rsidRPr="00AD3C9A">
        <w:rPr>
          <w:rStyle w:val="apple-converted-space"/>
          <w:rFonts w:eastAsiaTheme="majorEastAsia"/>
          <w:color w:val="000000" w:themeColor="text1"/>
        </w:rPr>
        <w:t> </w:t>
      </w:r>
      <w:r w:rsidRPr="00AD3C9A">
        <w:rPr>
          <w:color w:val="000000" w:themeColor="text1"/>
        </w:rPr>
        <w:t>https://www.communityartsnetwork.org/resources/arts-engagement</w:t>
      </w:r>
      <w:r w:rsidRPr="00AD3C9A">
        <w:rPr>
          <w:rStyle w:val="apple-converted-space"/>
          <w:rFonts w:eastAsiaTheme="majorEastAsia"/>
          <w:color w:val="000000" w:themeColor="text1"/>
        </w:rPr>
        <w:t> </w:t>
      </w:r>
      <w:r w:rsidRPr="00AD3C9A">
        <w:rPr>
          <w:color w:val="000000" w:themeColor="text1"/>
        </w:rPr>
        <w:t>[Accessed 11 Oct. 2025].</w:t>
      </w:r>
    </w:p>
    <w:p w14:paraId="629F3130" w14:textId="77777777" w:rsidR="00AD3C9A" w:rsidRPr="00AD3C9A" w:rsidRDefault="00AD3C9A" w:rsidP="00AD3C9A">
      <w:pPr>
        <w:pStyle w:val="NormalWeb"/>
        <w:spacing w:line="360" w:lineRule="auto"/>
        <w:rPr>
          <w:color w:val="000000" w:themeColor="text1"/>
        </w:rPr>
      </w:pPr>
      <w:r w:rsidRPr="00AD3C9A">
        <w:rPr>
          <w:color w:val="000000" w:themeColor="text1"/>
        </w:rPr>
        <w:t>Bourne, L. (2016).</w:t>
      </w:r>
      <w:r w:rsidRPr="00AD3C9A">
        <w:rPr>
          <w:rStyle w:val="apple-converted-space"/>
          <w:rFonts w:eastAsiaTheme="majorEastAsia"/>
          <w:color w:val="000000" w:themeColor="text1"/>
        </w:rPr>
        <w:t> </w:t>
      </w:r>
      <w:r w:rsidRPr="00AD3C9A">
        <w:rPr>
          <w:rStyle w:val="Emphasis"/>
          <w:rFonts w:eastAsiaTheme="majorEastAsia"/>
          <w:color w:val="000000" w:themeColor="text1"/>
        </w:rPr>
        <w:t>Stakeholder Relationship Management: A Maturity Model for Organisational Implementation</w:t>
      </w:r>
      <w:r w:rsidRPr="00AD3C9A">
        <w:rPr>
          <w:color w:val="000000" w:themeColor="text1"/>
        </w:rPr>
        <w:t>. 2nd ed. Farnham: Gower.</w:t>
      </w:r>
    </w:p>
    <w:p w14:paraId="102EF713" w14:textId="77777777" w:rsidR="00AD3C9A" w:rsidRPr="00AD3C9A" w:rsidRDefault="00AD3C9A" w:rsidP="00AD3C9A">
      <w:pPr>
        <w:pStyle w:val="NormalWeb"/>
        <w:spacing w:line="360" w:lineRule="auto"/>
        <w:rPr>
          <w:color w:val="000000" w:themeColor="text1"/>
        </w:rPr>
      </w:pPr>
      <w:r w:rsidRPr="00AD3C9A">
        <w:rPr>
          <w:color w:val="000000" w:themeColor="text1"/>
        </w:rPr>
        <w:t>Bryson, J.M. (2018).</w:t>
      </w:r>
      <w:r w:rsidRPr="00AD3C9A">
        <w:rPr>
          <w:rStyle w:val="apple-converted-space"/>
          <w:rFonts w:eastAsiaTheme="majorEastAsia"/>
          <w:color w:val="000000" w:themeColor="text1"/>
        </w:rPr>
        <w:t> </w:t>
      </w:r>
      <w:r w:rsidRPr="00AD3C9A">
        <w:rPr>
          <w:rStyle w:val="Emphasis"/>
          <w:rFonts w:eastAsiaTheme="majorEastAsia"/>
          <w:color w:val="000000" w:themeColor="text1"/>
        </w:rPr>
        <w:t>Strategic Planning for Public and Nonprofit Organizations</w:t>
      </w:r>
      <w:r w:rsidRPr="00AD3C9A">
        <w:rPr>
          <w:color w:val="000000" w:themeColor="text1"/>
        </w:rPr>
        <w:t>. 5th ed. Hoboken: John Wiley &amp; Sons.</w:t>
      </w:r>
    </w:p>
    <w:p w14:paraId="74C9584F" w14:textId="77777777" w:rsidR="00AD3C9A" w:rsidRPr="00AD3C9A" w:rsidRDefault="00AD3C9A" w:rsidP="00AD3C9A">
      <w:pPr>
        <w:pStyle w:val="NormalWeb"/>
        <w:spacing w:line="360" w:lineRule="auto"/>
        <w:rPr>
          <w:color w:val="000000" w:themeColor="text1"/>
        </w:rPr>
      </w:pPr>
      <w:r w:rsidRPr="00AD3C9A">
        <w:rPr>
          <w:color w:val="000000" w:themeColor="text1"/>
        </w:rPr>
        <w:t>Cooke, B. and Kothari, U. (2001).</w:t>
      </w:r>
      <w:r w:rsidRPr="00AD3C9A">
        <w:rPr>
          <w:rStyle w:val="apple-converted-space"/>
          <w:rFonts w:eastAsiaTheme="majorEastAsia"/>
          <w:color w:val="000000" w:themeColor="text1"/>
        </w:rPr>
        <w:t> </w:t>
      </w:r>
      <w:r w:rsidRPr="00AD3C9A">
        <w:rPr>
          <w:rStyle w:val="Emphasis"/>
          <w:rFonts w:eastAsiaTheme="majorEastAsia"/>
          <w:color w:val="000000" w:themeColor="text1"/>
        </w:rPr>
        <w:t>Participation: The New Tyranny?</w:t>
      </w:r>
      <w:r w:rsidRPr="00AD3C9A">
        <w:rPr>
          <w:rStyle w:val="apple-converted-space"/>
          <w:rFonts w:eastAsiaTheme="majorEastAsia"/>
          <w:color w:val="000000" w:themeColor="text1"/>
        </w:rPr>
        <w:t> </w:t>
      </w:r>
      <w:r w:rsidRPr="00AD3C9A">
        <w:rPr>
          <w:color w:val="000000" w:themeColor="text1"/>
        </w:rPr>
        <w:t>London: Zed Books.</w:t>
      </w:r>
    </w:p>
    <w:p w14:paraId="6B4DC8AE" w14:textId="77777777" w:rsidR="00AD3C9A" w:rsidRPr="00AD3C9A" w:rsidRDefault="00AD3C9A" w:rsidP="00AD3C9A">
      <w:pPr>
        <w:pStyle w:val="NormalWeb"/>
        <w:spacing w:line="360" w:lineRule="auto"/>
        <w:rPr>
          <w:color w:val="000000" w:themeColor="text1"/>
        </w:rPr>
      </w:pPr>
      <w:r w:rsidRPr="00AD3C9A">
        <w:rPr>
          <w:color w:val="000000" w:themeColor="text1"/>
        </w:rPr>
        <w:t>Department for Digital, Culture, Media and Sport (2019).</w:t>
      </w:r>
      <w:r w:rsidRPr="00AD3C9A">
        <w:rPr>
          <w:rStyle w:val="apple-converted-space"/>
          <w:rFonts w:eastAsiaTheme="majorEastAsia"/>
          <w:color w:val="000000" w:themeColor="text1"/>
        </w:rPr>
        <w:t> </w:t>
      </w:r>
      <w:r w:rsidRPr="00AD3C9A">
        <w:rPr>
          <w:rStyle w:val="Emphasis"/>
          <w:rFonts w:eastAsiaTheme="majorEastAsia"/>
          <w:color w:val="000000" w:themeColor="text1"/>
        </w:rPr>
        <w:t>Community Engagement Framework</w:t>
      </w:r>
      <w:r w:rsidRPr="00AD3C9A">
        <w:rPr>
          <w:color w:val="000000" w:themeColor="text1"/>
        </w:rPr>
        <w:t>. [online] Available at:</w:t>
      </w:r>
      <w:r w:rsidRPr="00AD3C9A">
        <w:rPr>
          <w:rStyle w:val="apple-converted-space"/>
          <w:rFonts w:eastAsiaTheme="majorEastAsia"/>
          <w:color w:val="000000" w:themeColor="text1"/>
        </w:rPr>
        <w:t> </w:t>
      </w:r>
      <w:hyperlink r:id="rId8" w:tgtFrame="_new" w:history="1">
        <w:r w:rsidRPr="00AD3C9A">
          <w:rPr>
            <w:rStyle w:val="Hyperlink"/>
            <w:rFonts w:eastAsiaTheme="majorEastAsia"/>
            <w:color w:val="000000" w:themeColor="text1"/>
          </w:rPr>
          <w:t>https://www.gov.uk/government/publications/community-engagement-framework</w:t>
        </w:r>
      </w:hyperlink>
      <w:r w:rsidRPr="00AD3C9A">
        <w:rPr>
          <w:rStyle w:val="apple-converted-space"/>
          <w:rFonts w:eastAsiaTheme="majorEastAsia"/>
          <w:color w:val="000000" w:themeColor="text1"/>
        </w:rPr>
        <w:t> </w:t>
      </w:r>
      <w:r w:rsidRPr="00AD3C9A">
        <w:rPr>
          <w:color w:val="000000" w:themeColor="text1"/>
        </w:rPr>
        <w:t>[Accessed 9 Oct. 2025].</w:t>
      </w:r>
    </w:p>
    <w:p w14:paraId="2218B053" w14:textId="77777777" w:rsidR="00AD3C9A" w:rsidRPr="00AD3C9A" w:rsidRDefault="00AD3C9A" w:rsidP="00AD3C9A">
      <w:pPr>
        <w:pStyle w:val="NormalWeb"/>
        <w:spacing w:line="360" w:lineRule="auto"/>
        <w:rPr>
          <w:color w:val="000000" w:themeColor="text1"/>
        </w:rPr>
      </w:pPr>
      <w:r w:rsidRPr="00AD3C9A">
        <w:rPr>
          <w:color w:val="000000" w:themeColor="text1"/>
        </w:rPr>
        <w:t>Driscoll, J. (2007).</w:t>
      </w:r>
      <w:r w:rsidRPr="00AD3C9A">
        <w:rPr>
          <w:rStyle w:val="apple-converted-space"/>
          <w:rFonts w:eastAsiaTheme="majorEastAsia"/>
          <w:color w:val="000000" w:themeColor="text1"/>
        </w:rPr>
        <w:t> </w:t>
      </w:r>
      <w:r w:rsidRPr="00AD3C9A">
        <w:rPr>
          <w:rStyle w:val="Emphasis"/>
          <w:rFonts w:eastAsiaTheme="majorEastAsia"/>
          <w:color w:val="000000" w:themeColor="text1"/>
        </w:rPr>
        <w:t>Practising Clinical Supervision: A Reflective Approach for Healthcare Professionals</w:t>
      </w:r>
      <w:r w:rsidRPr="00AD3C9A">
        <w:rPr>
          <w:color w:val="000000" w:themeColor="text1"/>
        </w:rPr>
        <w:t xml:space="preserve">. 2nd ed. Edinburgh: </w:t>
      </w:r>
      <w:proofErr w:type="spellStart"/>
      <w:r w:rsidRPr="00AD3C9A">
        <w:rPr>
          <w:color w:val="000000" w:themeColor="text1"/>
        </w:rPr>
        <w:t>Baillière</w:t>
      </w:r>
      <w:proofErr w:type="spellEnd"/>
      <w:r w:rsidRPr="00AD3C9A">
        <w:rPr>
          <w:color w:val="000000" w:themeColor="text1"/>
        </w:rPr>
        <w:t xml:space="preserve"> Tindall Elsevier.</w:t>
      </w:r>
    </w:p>
    <w:p w14:paraId="28313666" w14:textId="77777777" w:rsidR="00AD3C9A" w:rsidRPr="00AD3C9A" w:rsidRDefault="00AD3C9A" w:rsidP="00AD3C9A">
      <w:pPr>
        <w:pStyle w:val="NormalWeb"/>
        <w:spacing w:line="360" w:lineRule="auto"/>
        <w:rPr>
          <w:color w:val="000000" w:themeColor="text1"/>
        </w:rPr>
      </w:pPr>
      <w:r w:rsidRPr="00AD3C9A">
        <w:rPr>
          <w:color w:val="000000" w:themeColor="text1"/>
        </w:rPr>
        <w:t>Eskerod, P. and Jepsen, A.L. (2013).</w:t>
      </w:r>
      <w:r w:rsidRPr="00AD3C9A">
        <w:rPr>
          <w:rStyle w:val="apple-converted-space"/>
          <w:rFonts w:eastAsiaTheme="majorEastAsia"/>
          <w:color w:val="000000" w:themeColor="text1"/>
        </w:rPr>
        <w:t> </w:t>
      </w:r>
      <w:r w:rsidRPr="00AD3C9A">
        <w:rPr>
          <w:rStyle w:val="Emphasis"/>
          <w:rFonts w:eastAsiaTheme="majorEastAsia"/>
          <w:color w:val="000000" w:themeColor="text1"/>
        </w:rPr>
        <w:t>Project Stakeholder Management</w:t>
      </w:r>
      <w:r w:rsidRPr="00AD3C9A">
        <w:rPr>
          <w:color w:val="000000" w:themeColor="text1"/>
        </w:rPr>
        <w:t>. Farnham: Gower.</w:t>
      </w:r>
    </w:p>
    <w:p w14:paraId="03009D28" w14:textId="77777777" w:rsidR="00AD3C9A" w:rsidRPr="00AD3C9A" w:rsidRDefault="00AD3C9A" w:rsidP="00AD3C9A">
      <w:pPr>
        <w:pStyle w:val="NormalWeb"/>
        <w:spacing w:line="360" w:lineRule="auto"/>
        <w:rPr>
          <w:color w:val="000000" w:themeColor="text1"/>
        </w:rPr>
      </w:pPr>
      <w:r w:rsidRPr="00AD3C9A">
        <w:rPr>
          <w:color w:val="000000" w:themeColor="text1"/>
        </w:rPr>
        <w:t>Freeman, R.E. (1984).</w:t>
      </w:r>
      <w:r w:rsidRPr="00AD3C9A">
        <w:rPr>
          <w:rStyle w:val="apple-converted-space"/>
          <w:rFonts w:eastAsiaTheme="majorEastAsia"/>
          <w:color w:val="000000" w:themeColor="text1"/>
        </w:rPr>
        <w:t> </w:t>
      </w:r>
      <w:r w:rsidRPr="00AD3C9A">
        <w:rPr>
          <w:rStyle w:val="Emphasis"/>
          <w:rFonts w:eastAsiaTheme="majorEastAsia"/>
          <w:color w:val="000000" w:themeColor="text1"/>
        </w:rPr>
        <w:t>Strategic Management: A Stakeholder Approach</w:t>
      </w:r>
      <w:r w:rsidRPr="00AD3C9A">
        <w:rPr>
          <w:color w:val="000000" w:themeColor="text1"/>
        </w:rPr>
        <w:t>. Boston: Pitman.</w:t>
      </w:r>
    </w:p>
    <w:p w14:paraId="4999C08D" w14:textId="77777777" w:rsidR="00AD3C9A" w:rsidRPr="00AD3C9A" w:rsidRDefault="00AD3C9A" w:rsidP="00AD3C9A">
      <w:pPr>
        <w:pStyle w:val="NormalWeb"/>
        <w:spacing w:line="360" w:lineRule="auto"/>
        <w:rPr>
          <w:color w:val="000000" w:themeColor="text1"/>
        </w:rPr>
      </w:pPr>
      <w:r w:rsidRPr="00AD3C9A">
        <w:rPr>
          <w:color w:val="000000" w:themeColor="text1"/>
        </w:rPr>
        <w:t>Freeman, R.E. (2010).</w:t>
      </w:r>
      <w:r w:rsidRPr="00AD3C9A">
        <w:rPr>
          <w:rStyle w:val="apple-converted-space"/>
          <w:rFonts w:eastAsiaTheme="majorEastAsia"/>
          <w:color w:val="000000" w:themeColor="text1"/>
        </w:rPr>
        <w:t> </w:t>
      </w:r>
      <w:r w:rsidRPr="00AD3C9A">
        <w:rPr>
          <w:rStyle w:val="Emphasis"/>
          <w:rFonts w:eastAsiaTheme="majorEastAsia"/>
          <w:color w:val="000000" w:themeColor="text1"/>
        </w:rPr>
        <w:t>Strategic Management: A Stakeholder Approach</w:t>
      </w:r>
      <w:r w:rsidRPr="00AD3C9A">
        <w:rPr>
          <w:color w:val="000000" w:themeColor="text1"/>
        </w:rPr>
        <w:t>. Cambridge: Cambridge University Press.</w:t>
      </w:r>
    </w:p>
    <w:p w14:paraId="2A7CC3D5" w14:textId="77777777" w:rsidR="00AD3C9A" w:rsidRPr="00AD3C9A" w:rsidRDefault="00AD3C9A" w:rsidP="00AD3C9A">
      <w:pPr>
        <w:pStyle w:val="NormalWeb"/>
        <w:spacing w:line="360" w:lineRule="auto"/>
        <w:rPr>
          <w:color w:val="000000" w:themeColor="text1"/>
        </w:rPr>
      </w:pPr>
      <w:r w:rsidRPr="00AD3C9A">
        <w:rPr>
          <w:color w:val="000000" w:themeColor="text1"/>
        </w:rPr>
        <w:t>Gibbs, G. (1988).</w:t>
      </w:r>
      <w:r w:rsidRPr="00AD3C9A">
        <w:rPr>
          <w:rStyle w:val="apple-converted-space"/>
          <w:rFonts w:eastAsiaTheme="majorEastAsia"/>
          <w:color w:val="000000" w:themeColor="text1"/>
        </w:rPr>
        <w:t> </w:t>
      </w:r>
      <w:r w:rsidRPr="00AD3C9A">
        <w:rPr>
          <w:rStyle w:val="Emphasis"/>
          <w:rFonts w:eastAsiaTheme="majorEastAsia"/>
          <w:color w:val="000000" w:themeColor="text1"/>
        </w:rPr>
        <w:t>Learning by Doing: A Guide to Teaching and Learning Methods</w:t>
      </w:r>
      <w:r w:rsidRPr="00AD3C9A">
        <w:rPr>
          <w:color w:val="000000" w:themeColor="text1"/>
        </w:rPr>
        <w:t>. Oxford: Oxford Polytechnic.</w:t>
      </w:r>
    </w:p>
    <w:p w14:paraId="0F718E5C" w14:textId="77777777" w:rsidR="00AD3C9A" w:rsidRPr="00AD3C9A" w:rsidRDefault="00AD3C9A" w:rsidP="00AD3C9A">
      <w:pPr>
        <w:pStyle w:val="NormalWeb"/>
        <w:spacing w:line="360" w:lineRule="auto"/>
        <w:rPr>
          <w:color w:val="000000" w:themeColor="text1"/>
        </w:rPr>
      </w:pPr>
      <w:r w:rsidRPr="00AD3C9A">
        <w:rPr>
          <w:color w:val="000000" w:themeColor="text1"/>
        </w:rPr>
        <w:t>Greenwald, A.G., McGhee, D.E. and Schwartz, J.L.K. (2009). Measuring Individual Differences in Implicit Cognition: The Implicit Association Test.</w:t>
      </w:r>
      <w:r w:rsidRPr="00AD3C9A">
        <w:rPr>
          <w:rStyle w:val="apple-converted-space"/>
          <w:rFonts w:eastAsiaTheme="majorEastAsia"/>
          <w:color w:val="000000" w:themeColor="text1"/>
        </w:rPr>
        <w:t> </w:t>
      </w:r>
      <w:r w:rsidRPr="00AD3C9A">
        <w:rPr>
          <w:rStyle w:val="Emphasis"/>
          <w:rFonts w:eastAsiaTheme="majorEastAsia"/>
          <w:color w:val="000000" w:themeColor="text1"/>
        </w:rPr>
        <w:t>Journal of Personality and Social Psychology</w:t>
      </w:r>
      <w:r w:rsidRPr="00AD3C9A">
        <w:rPr>
          <w:color w:val="000000" w:themeColor="text1"/>
        </w:rPr>
        <w:t>, 74(6), pp.1464–1480.</w:t>
      </w:r>
    </w:p>
    <w:p w14:paraId="126F19F2" w14:textId="77777777" w:rsidR="00AD3C9A" w:rsidRPr="00AD3C9A" w:rsidRDefault="00AD3C9A" w:rsidP="00AD3C9A">
      <w:pPr>
        <w:pStyle w:val="NormalWeb"/>
        <w:spacing w:line="360" w:lineRule="auto"/>
        <w:rPr>
          <w:color w:val="000000" w:themeColor="text1"/>
        </w:rPr>
      </w:pPr>
      <w:r w:rsidRPr="00AD3C9A">
        <w:rPr>
          <w:color w:val="000000" w:themeColor="text1"/>
        </w:rPr>
        <w:lastRenderedPageBreak/>
        <w:t>Information Commissioner’s Office (2022).</w:t>
      </w:r>
      <w:r w:rsidRPr="00AD3C9A">
        <w:rPr>
          <w:rStyle w:val="apple-converted-space"/>
          <w:rFonts w:eastAsiaTheme="majorEastAsia"/>
          <w:color w:val="000000" w:themeColor="text1"/>
        </w:rPr>
        <w:t> </w:t>
      </w:r>
      <w:r w:rsidRPr="00AD3C9A">
        <w:rPr>
          <w:rStyle w:val="Emphasis"/>
          <w:rFonts w:eastAsiaTheme="majorEastAsia"/>
          <w:color w:val="000000" w:themeColor="text1"/>
        </w:rPr>
        <w:t>Guide to the UK General Data Protection Regulation (UK GDPR)</w:t>
      </w:r>
      <w:r w:rsidRPr="00AD3C9A">
        <w:rPr>
          <w:color w:val="000000" w:themeColor="text1"/>
        </w:rPr>
        <w:t>. [online] Available at:</w:t>
      </w:r>
      <w:r w:rsidRPr="00AD3C9A">
        <w:rPr>
          <w:rStyle w:val="apple-converted-space"/>
          <w:rFonts w:eastAsiaTheme="majorEastAsia"/>
          <w:color w:val="000000" w:themeColor="text1"/>
        </w:rPr>
        <w:t> </w:t>
      </w:r>
      <w:r w:rsidRPr="00AD3C9A">
        <w:rPr>
          <w:color w:val="000000" w:themeColor="text1"/>
        </w:rPr>
        <w:t>https://ico.org.uk/for-organisations/uk-gdpr-guidance-and-resources/</w:t>
      </w:r>
      <w:r w:rsidRPr="00AD3C9A">
        <w:rPr>
          <w:rStyle w:val="apple-converted-space"/>
          <w:rFonts w:eastAsiaTheme="majorEastAsia"/>
          <w:color w:val="000000" w:themeColor="text1"/>
        </w:rPr>
        <w:t> </w:t>
      </w:r>
      <w:r w:rsidRPr="00AD3C9A">
        <w:rPr>
          <w:color w:val="000000" w:themeColor="text1"/>
        </w:rPr>
        <w:t>[Accessed 8 Oct. 2025].</w:t>
      </w:r>
    </w:p>
    <w:p w14:paraId="4B430712" w14:textId="77777777" w:rsidR="00AD3C9A" w:rsidRPr="00AD3C9A" w:rsidRDefault="00AD3C9A" w:rsidP="00AD3C9A">
      <w:pPr>
        <w:pStyle w:val="NormalWeb"/>
        <w:spacing w:line="360" w:lineRule="auto"/>
        <w:rPr>
          <w:color w:val="000000" w:themeColor="text1"/>
        </w:rPr>
      </w:pPr>
      <w:r w:rsidRPr="00AD3C9A">
        <w:rPr>
          <w:color w:val="000000" w:themeColor="text1"/>
        </w:rPr>
        <w:t>Involve (2021).</w:t>
      </w:r>
      <w:r w:rsidRPr="00AD3C9A">
        <w:rPr>
          <w:rStyle w:val="apple-converted-space"/>
          <w:rFonts w:eastAsiaTheme="majorEastAsia"/>
          <w:color w:val="000000" w:themeColor="text1"/>
        </w:rPr>
        <w:t> </w:t>
      </w:r>
      <w:r w:rsidRPr="00AD3C9A">
        <w:rPr>
          <w:rStyle w:val="Emphasis"/>
          <w:rFonts w:eastAsiaTheme="majorEastAsia"/>
          <w:color w:val="000000" w:themeColor="text1"/>
        </w:rPr>
        <w:t>Citizens' Panels and Deliberative Engagement</w:t>
      </w:r>
      <w:r w:rsidRPr="00AD3C9A">
        <w:rPr>
          <w:color w:val="000000" w:themeColor="text1"/>
        </w:rPr>
        <w:t>. [online] Available at:</w:t>
      </w:r>
      <w:r w:rsidRPr="00AD3C9A">
        <w:rPr>
          <w:rStyle w:val="apple-converted-space"/>
          <w:rFonts w:eastAsiaTheme="majorEastAsia"/>
          <w:color w:val="000000" w:themeColor="text1"/>
        </w:rPr>
        <w:t> </w:t>
      </w:r>
      <w:r w:rsidRPr="00AD3C9A">
        <w:rPr>
          <w:color w:val="000000" w:themeColor="text1"/>
        </w:rPr>
        <w:t>https://www.involve.org.uk/resources/methods/citizens-panels</w:t>
      </w:r>
      <w:r w:rsidRPr="00AD3C9A">
        <w:rPr>
          <w:rStyle w:val="apple-converted-space"/>
          <w:rFonts w:eastAsiaTheme="majorEastAsia"/>
          <w:color w:val="000000" w:themeColor="text1"/>
        </w:rPr>
        <w:t> </w:t>
      </w:r>
      <w:r w:rsidRPr="00AD3C9A">
        <w:rPr>
          <w:color w:val="000000" w:themeColor="text1"/>
        </w:rPr>
        <w:t>[Accessed 10 Oct. 2025].</w:t>
      </w:r>
    </w:p>
    <w:p w14:paraId="6573132E" w14:textId="77777777" w:rsidR="00AD3C9A" w:rsidRPr="00AD3C9A" w:rsidRDefault="00AD3C9A" w:rsidP="00AD3C9A">
      <w:pPr>
        <w:pStyle w:val="NormalWeb"/>
        <w:spacing w:line="360" w:lineRule="auto"/>
        <w:rPr>
          <w:color w:val="000000" w:themeColor="text1"/>
        </w:rPr>
      </w:pPr>
      <w:r w:rsidRPr="00AD3C9A">
        <w:rPr>
          <w:color w:val="000000" w:themeColor="text1"/>
        </w:rPr>
        <w:t>Joseph Rowntree Foundation (2021).</w:t>
      </w:r>
      <w:r w:rsidRPr="00AD3C9A">
        <w:rPr>
          <w:rStyle w:val="apple-converted-space"/>
          <w:rFonts w:eastAsiaTheme="majorEastAsia"/>
          <w:color w:val="000000" w:themeColor="text1"/>
        </w:rPr>
        <w:t> </w:t>
      </w:r>
      <w:r w:rsidRPr="00AD3C9A">
        <w:rPr>
          <w:rStyle w:val="Emphasis"/>
          <w:rFonts w:eastAsiaTheme="majorEastAsia"/>
          <w:color w:val="000000" w:themeColor="text1"/>
        </w:rPr>
        <w:t>Tackling Barriers to Participation in Community Consultation</w:t>
      </w:r>
      <w:r w:rsidRPr="00AD3C9A">
        <w:rPr>
          <w:color w:val="000000" w:themeColor="text1"/>
        </w:rPr>
        <w:t>. [online] Available at:</w:t>
      </w:r>
      <w:r w:rsidRPr="00AD3C9A">
        <w:rPr>
          <w:rStyle w:val="apple-converted-space"/>
          <w:rFonts w:eastAsiaTheme="majorEastAsia"/>
          <w:color w:val="000000" w:themeColor="text1"/>
        </w:rPr>
        <w:t> </w:t>
      </w:r>
      <w:r w:rsidRPr="00AD3C9A">
        <w:rPr>
          <w:color w:val="000000" w:themeColor="text1"/>
        </w:rPr>
        <w:t>https://www.jrf.org.uk/report/community-participation</w:t>
      </w:r>
      <w:r w:rsidRPr="00AD3C9A">
        <w:rPr>
          <w:rStyle w:val="apple-converted-space"/>
          <w:rFonts w:eastAsiaTheme="majorEastAsia"/>
          <w:color w:val="000000" w:themeColor="text1"/>
        </w:rPr>
        <w:t> </w:t>
      </w:r>
      <w:r w:rsidRPr="00AD3C9A">
        <w:rPr>
          <w:color w:val="000000" w:themeColor="text1"/>
        </w:rPr>
        <w:t>[Accessed 5 Oct. 2025].</w:t>
      </w:r>
    </w:p>
    <w:p w14:paraId="0AB3BD28" w14:textId="77777777" w:rsidR="00AD3C9A" w:rsidRPr="00AD3C9A" w:rsidRDefault="00AD3C9A" w:rsidP="00AD3C9A">
      <w:pPr>
        <w:pStyle w:val="NormalWeb"/>
        <w:spacing w:line="360" w:lineRule="auto"/>
        <w:rPr>
          <w:color w:val="000000" w:themeColor="text1"/>
        </w:rPr>
      </w:pPr>
      <w:r w:rsidRPr="00AD3C9A">
        <w:rPr>
          <w:color w:val="000000" w:themeColor="text1"/>
        </w:rPr>
        <w:t>Local Government Association (2020).</w:t>
      </w:r>
      <w:r w:rsidRPr="00AD3C9A">
        <w:rPr>
          <w:rStyle w:val="apple-converted-space"/>
          <w:rFonts w:eastAsiaTheme="majorEastAsia"/>
          <w:color w:val="000000" w:themeColor="text1"/>
        </w:rPr>
        <w:t> </w:t>
      </w:r>
      <w:r w:rsidRPr="00AD3C9A">
        <w:rPr>
          <w:rStyle w:val="Emphasis"/>
          <w:rFonts w:eastAsiaTheme="majorEastAsia"/>
          <w:color w:val="000000" w:themeColor="text1"/>
        </w:rPr>
        <w:t>New Conversations 2.0: LGA Guide to Engagement</w:t>
      </w:r>
      <w:r w:rsidRPr="00AD3C9A">
        <w:rPr>
          <w:color w:val="000000" w:themeColor="text1"/>
        </w:rPr>
        <w:t>. [online] Available at:</w:t>
      </w:r>
      <w:r w:rsidRPr="00AD3C9A">
        <w:rPr>
          <w:rStyle w:val="apple-converted-space"/>
          <w:rFonts w:eastAsiaTheme="majorEastAsia"/>
          <w:color w:val="000000" w:themeColor="text1"/>
        </w:rPr>
        <w:t> </w:t>
      </w:r>
      <w:hyperlink r:id="rId9" w:tgtFrame="_new" w:history="1">
        <w:r w:rsidRPr="00AD3C9A">
          <w:rPr>
            <w:rStyle w:val="Hyperlink"/>
            <w:rFonts w:eastAsiaTheme="majorEastAsia"/>
            <w:color w:val="000000" w:themeColor="text1"/>
          </w:rPr>
          <w:t>https://www.local.gov.uk/publications/new-conversations-20</w:t>
        </w:r>
      </w:hyperlink>
      <w:r w:rsidRPr="00AD3C9A">
        <w:rPr>
          <w:rStyle w:val="apple-converted-space"/>
          <w:rFonts w:eastAsiaTheme="majorEastAsia"/>
          <w:color w:val="000000" w:themeColor="text1"/>
        </w:rPr>
        <w:t> </w:t>
      </w:r>
      <w:r w:rsidRPr="00AD3C9A">
        <w:rPr>
          <w:color w:val="000000" w:themeColor="text1"/>
        </w:rPr>
        <w:t>[Accessed 12 Oct. 2025].</w:t>
      </w:r>
    </w:p>
    <w:p w14:paraId="2C6C5B29" w14:textId="77777777" w:rsidR="00AD3C9A" w:rsidRPr="00AD3C9A" w:rsidRDefault="00AD3C9A" w:rsidP="00AD3C9A">
      <w:pPr>
        <w:pStyle w:val="NormalWeb"/>
        <w:spacing w:line="360" w:lineRule="auto"/>
        <w:rPr>
          <w:color w:val="000000" w:themeColor="text1"/>
        </w:rPr>
      </w:pPr>
      <w:r w:rsidRPr="00AD3C9A">
        <w:rPr>
          <w:color w:val="000000" w:themeColor="text1"/>
        </w:rPr>
        <w:t>Mendelow, A.L. (1991). Environmental Scanning: The Impact of the Stakeholder Concept.</w:t>
      </w:r>
      <w:r w:rsidRPr="00AD3C9A">
        <w:rPr>
          <w:rStyle w:val="apple-converted-space"/>
          <w:rFonts w:eastAsiaTheme="majorEastAsia"/>
          <w:color w:val="000000" w:themeColor="text1"/>
        </w:rPr>
        <w:t> </w:t>
      </w:r>
      <w:r w:rsidRPr="00AD3C9A">
        <w:rPr>
          <w:rStyle w:val="Emphasis"/>
          <w:rFonts w:eastAsiaTheme="majorEastAsia"/>
          <w:color w:val="000000" w:themeColor="text1"/>
        </w:rPr>
        <w:t>Proceedings of the International Conference on Information Systems</w:t>
      </w:r>
      <w:r w:rsidRPr="00AD3C9A">
        <w:rPr>
          <w:color w:val="000000" w:themeColor="text1"/>
        </w:rPr>
        <w:t>, pp.407–418.</w:t>
      </w:r>
    </w:p>
    <w:p w14:paraId="53F1ED24" w14:textId="77777777" w:rsidR="00AD3C9A" w:rsidRPr="00AD3C9A" w:rsidRDefault="00AD3C9A" w:rsidP="00AD3C9A">
      <w:pPr>
        <w:pStyle w:val="NormalWeb"/>
        <w:spacing w:line="360" w:lineRule="auto"/>
        <w:rPr>
          <w:color w:val="000000" w:themeColor="text1"/>
        </w:rPr>
      </w:pPr>
      <w:r w:rsidRPr="00AD3C9A">
        <w:rPr>
          <w:color w:val="000000" w:themeColor="text1"/>
        </w:rPr>
        <w:t>Mitchell, R.K., Agle, B.R. and Wood, D.J. (1997). Toward a Theory of Stakeholder Identification and Salience.</w:t>
      </w:r>
      <w:r w:rsidRPr="00AD3C9A">
        <w:rPr>
          <w:rStyle w:val="apple-converted-space"/>
          <w:rFonts w:eastAsiaTheme="majorEastAsia"/>
          <w:color w:val="000000" w:themeColor="text1"/>
        </w:rPr>
        <w:t> </w:t>
      </w:r>
      <w:r w:rsidRPr="00AD3C9A">
        <w:rPr>
          <w:rStyle w:val="Emphasis"/>
          <w:rFonts w:eastAsiaTheme="majorEastAsia"/>
          <w:color w:val="000000" w:themeColor="text1"/>
        </w:rPr>
        <w:t>Academy of Management Review</w:t>
      </w:r>
      <w:r w:rsidRPr="00AD3C9A">
        <w:rPr>
          <w:color w:val="000000" w:themeColor="text1"/>
        </w:rPr>
        <w:t>, 22(4), pp.853–886.</w:t>
      </w:r>
    </w:p>
    <w:p w14:paraId="03234F3B" w14:textId="77777777" w:rsidR="00AD3C9A" w:rsidRPr="00AD3C9A" w:rsidRDefault="00AD3C9A" w:rsidP="00AD3C9A">
      <w:pPr>
        <w:pStyle w:val="NormalWeb"/>
        <w:spacing w:line="360" w:lineRule="auto"/>
        <w:rPr>
          <w:color w:val="000000" w:themeColor="text1"/>
        </w:rPr>
      </w:pPr>
      <w:r w:rsidRPr="00AD3C9A">
        <w:rPr>
          <w:color w:val="000000" w:themeColor="text1"/>
        </w:rPr>
        <w:t>Public Health England (2021).</w:t>
      </w:r>
      <w:r w:rsidRPr="00AD3C9A">
        <w:rPr>
          <w:rStyle w:val="apple-converted-space"/>
          <w:rFonts w:eastAsiaTheme="majorEastAsia"/>
          <w:color w:val="000000" w:themeColor="text1"/>
        </w:rPr>
        <w:t> </w:t>
      </w:r>
      <w:r w:rsidRPr="00AD3C9A">
        <w:rPr>
          <w:rStyle w:val="Emphasis"/>
          <w:rFonts w:eastAsiaTheme="majorEastAsia"/>
          <w:color w:val="000000" w:themeColor="text1"/>
        </w:rPr>
        <w:t>Community Health and Wellbeing Hubs: Evaluation Summary</w:t>
      </w:r>
      <w:r w:rsidRPr="00AD3C9A">
        <w:rPr>
          <w:color w:val="000000" w:themeColor="text1"/>
        </w:rPr>
        <w:t>. [online] Available at:</w:t>
      </w:r>
      <w:r w:rsidRPr="00AD3C9A">
        <w:rPr>
          <w:rStyle w:val="apple-converted-space"/>
          <w:rFonts w:eastAsiaTheme="majorEastAsia"/>
          <w:color w:val="000000" w:themeColor="text1"/>
        </w:rPr>
        <w:t> </w:t>
      </w:r>
      <w:r w:rsidRPr="00AD3C9A">
        <w:rPr>
          <w:color w:val="000000" w:themeColor="text1"/>
        </w:rPr>
        <w:t>https://www.gov.uk/government/publications/community-health-hubs</w:t>
      </w:r>
      <w:r w:rsidRPr="00AD3C9A">
        <w:rPr>
          <w:rStyle w:val="apple-converted-space"/>
          <w:rFonts w:eastAsiaTheme="majorEastAsia"/>
          <w:color w:val="000000" w:themeColor="text1"/>
        </w:rPr>
        <w:t> </w:t>
      </w:r>
      <w:r w:rsidRPr="00AD3C9A">
        <w:rPr>
          <w:color w:val="000000" w:themeColor="text1"/>
        </w:rPr>
        <w:t>[Accessed 6 Oct. 2025].</w:t>
      </w:r>
    </w:p>
    <w:p w14:paraId="7CA3330B" w14:textId="77777777" w:rsidR="00AD3C9A" w:rsidRPr="00AD3C9A" w:rsidRDefault="00AD3C9A" w:rsidP="00AD3C9A">
      <w:pPr>
        <w:pStyle w:val="NormalWeb"/>
        <w:spacing w:line="360" w:lineRule="auto"/>
        <w:rPr>
          <w:color w:val="000000" w:themeColor="text1"/>
        </w:rPr>
      </w:pPr>
      <w:r w:rsidRPr="00AD3C9A">
        <w:rPr>
          <w:color w:val="000000" w:themeColor="text1"/>
        </w:rPr>
        <w:t>Schramm, W. (1954). How Communication Works. In: Schramm, W. (ed.)</w:t>
      </w:r>
      <w:r w:rsidRPr="00AD3C9A">
        <w:rPr>
          <w:rStyle w:val="apple-converted-space"/>
          <w:rFonts w:eastAsiaTheme="majorEastAsia"/>
          <w:color w:val="000000" w:themeColor="text1"/>
        </w:rPr>
        <w:t> </w:t>
      </w:r>
      <w:r w:rsidRPr="00AD3C9A">
        <w:rPr>
          <w:rStyle w:val="Emphasis"/>
          <w:rFonts w:eastAsiaTheme="majorEastAsia"/>
          <w:color w:val="000000" w:themeColor="text1"/>
        </w:rPr>
        <w:t>The Process and Effects of Mass Communication</w:t>
      </w:r>
      <w:r w:rsidRPr="00AD3C9A">
        <w:rPr>
          <w:color w:val="000000" w:themeColor="text1"/>
        </w:rPr>
        <w:t>. Urbana: University of Illinois Press, pp.3–26.</w:t>
      </w:r>
    </w:p>
    <w:p w14:paraId="1BEA1813" w14:textId="77777777" w:rsidR="00AD3C9A" w:rsidRPr="00AD3C9A" w:rsidRDefault="00AD3C9A" w:rsidP="00AD3C9A">
      <w:pPr>
        <w:pStyle w:val="NormalWeb"/>
        <w:spacing w:line="360" w:lineRule="auto"/>
        <w:rPr>
          <w:color w:val="000000" w:themeColor="text1"/>
        </w:rPr>
      </w:pPr>
      <w:r w:rsidRPr="00AD3C9A">
        <w:rPr>
          <w:color w:val="000000" w:themeColor="text1"/>
        </w:rPr>
        <w:t>Scottish Government (2016).</w:t>
      </w:r>
      <w:r w:rsidRPr="00AD3C9A">
        <w:rPr>
          <w:rStyle w:val="apple-converted-space"/>
          <w:rFonts w:eastAsiaTheme="majorEastAsia"/>
          <w:color w:val="000000" w:themeColor="text1"/>
        </w:rPr>
        <w:t> </w:t>
      </w:r>
      <w:r w:rsidRPr="00AD3C9A">
        <w:rPr>
          <w:rStyle w:val="Emphasis"/>
          <w:rFonts w:eastAsiaTheme="majorEastAsia"/>
          <w:color w:val="000000" w:themeColor="text1"/>
        </w:rPr>
        <w:t>National Standards for Community Engagement</w:t>
      </w:r>
      <w:r w:rsidRPr="00AD3C9A">
        <w:rPr>
          <w:color w:val="000000" w:themeColor="text1"/>
        </w:rPr>
        <w:t>. [online] Available at:</w:t>
      </w:r>
      <w:r w:rsidRPr="00AD3C9A">
        <w:rPr>
          <w:rStyle w:val="apple-converted-space"/>
          <w:rFonts w:eastAsiaTheme="majorEastAsia"/>
          <w:color w:val="000000" w:themeColor="text1"/>
        </w:rPr>
        <w:t> </w:t>
      </w:r>
      <w:hyperlink r:id="rId10" w:tgtFrame="_new" w:history="1">
        <w:r w:rsidRPr="00AD3C9A">
          <w:rPr>
            <w:rStyle w:val="Hyperlink"/>
            <w:rFonts w:eastAsiaTheme="majorEastAsia"/>
            <w:color w:val="000000" w:themeColor="text1"/>
          </w:rPr>
          <w:t>https://www.gov.scot/publications/national-standards-for-community-engagement/</w:t>
        </w:r>
      </w:hyperlink>
      <w:r w:rsidRPr="00AD3C9A">
        <w:rPr>
          <w:rStyle w:val="apple-converted-space"/>
          <w:rFonts w:eastAsiaTheme="majorEastAsia"/>
          <w:color w:val="000000" w:themeColor="text1"/>
        </w:rPr>
        <w:t> </w:t>
      </w:r>
      <w:r w:rsidRPr="00AD3C9A">
        <w:rPr>
          <w:color w:val="000000" w:themeColor="text1"/>
        </w:rPr>
        <w:t>[Accessed 8 Oct. 2025].</w:t>
      </w:r>
    </w:p>
    <w:p w14:paraId="7EAA4AAB" w14:textId="77777777" w:rsidR="00AD3C9A" w:rsidRPr="00AD3C9A" w:rsidRDefault="00AD3C9A" w:rsidP="00AD3C9A">
      <w:pPr>
        <w:pStyle w:val="NormalWeb"/>
        <w:spacing w:line="360" w:lineRule="auto"/>
        <w:rPr>
          <w:color w:val="000000" w:themeColor="text1"/>
        </w:rPr>
      </w:pPr>
      <w:r w:rsidRPr="00AD3C9A">
        <w:rPr>
          <w:color w:val="000000" w:themeColor="text1"/>
        </w:rPr>
        <w:t>Sport England (2023).</w:t>
      </w:r>
      <w:r w:rsidRPr="00AD3C9A">
        <w:rPr>
          <w:rStyle w:val="apple-converted-space"/>
          <w:rFonts w:eastAsiaTheme="majorEastAsia"/>
          <w:color w:val="000000" w:themeColor="text1"/>
        </w:rPr>
        <w:t> </w:t>
      </w:r>
      <w:r w:rsidRPr="00AD3C9A">
        <w:rPr>
          <w:rStyle w:val="Emphasis"/>
          <w:rFonts w:eastAsiaTheme="majorEastAsia"/>
          <w:color w:val="000000" w:themeColor="text1"/>
        </w:rPr>
        <w:t>Active Lives Adult Survey: Data Tool</w:t>
      </w:r>
      <w:r w:rsidRPr="00AD3C9A">
        <w:rPr>
          <w:color w:val="000000" w:themeColor="text1"/>
        </w:rPr>
        <w:t>. [online] Available at:</w:t>
      </w:r>
      <w:r w:rsidRPr="00AD3C9A">
        <w:rPr>
          <w:rStyle w:val="apple-converted-space"/>
          <w:rFonts w:eastAsiaTheme="majorEastAsia"/>
          <w:color w:val="000000" w:themeColor="text1"/>
        </w:rPr>
        <w:t> </w:t>
      </w:r>
      <w:r w:rsidRPr="00AD3C9A">
        <w:rPr>
          <w:color w:val="000000" w:themeColor="text1"/>
        </w:rPr>
        <w:t>https://www.sportengland.org/know-your-audience/data/active-lives</w:t>
      </w:r>
      <w:r w:rsidRPr="00AD3C9A">
        <w:rPr>
          <w:rStyle w:val="apple-converted-space"/>
          <w:rFonts w:eastAsiaTheme="majorEastAsia"/>
          <w:color w:val="000000" w:themeColor="text1"/>
        </w:rPr>
        <w:t> </w:t>
      </w:r>
      <w:r w:rsidRPr="00AD3C9A">
        <w:rPr>
          <w:color w:val="000000" w:themeColor="text1"/>
        </w:rPr>
        <w:t>[Accessed 9 Oct. 2025].</w:t>
      </w:r>
    </w:p>
    <w:p w14:paraId="65FF840B" w14:textId="77777777" w:rsidR="00AD3C9A" w:rsidRPr="00AD3C9A" w:rsidRDefault="00AD3C9A" w:rsidP="00AD3C9A">
      <w:pPr>
        <w:pStyle w:val="NormalWeb"/>
        <w:spacing w:line="360" w:lineRule="auto"/>
        <w:rPr>
          <w:color w:val="000000" w:themeColor="text1"/>
        </w:rPr>
      </w:pPr>
      <w:r w:rsidRPr="00AD3C9A">
        <w:rPr>
          <w:color w:val="000000" w:themeColor="text1"/>
        </w:rPr>
        <w:lastRenderedPageBreak/>
        <w:t>UNICEF (2018).</w:t>
      </w:r>
      <w:r w:rsidRPr="00AD3C9A">
        <w:rPr>
          <w:rStyle w:val="apple-converted-space"/>
          <w:rFonts w:eastAsiaTheme="majorEastAsia"/>
          <w:color w:val="000000" w:themeColor="text1"/>
        </w:rPr>
        <w:t> </w:t>
      </w:r>
      <w:r w:rsidRPr="00AD3C9A">
        <w:rPr>
          <w:rStyle w:val="Emphasis"/>
          <w:rFonts w:eastAsiaTheme="majorEastAsia"/>
          <w:color w:val="000000" w:themeColor="text1"/>
        </w:rPr>
        <w:t>Minimum Standards for Consultation with Children</w:t>
      </w:r>
      <w:r w:rsidRPr="00AD3C9A">
        <w:rPr>
          <w:color w:val="000000" w:themeColor="text1"/>
        </w:rPr>
        <w:t>. [online] Available at:</w:t>
      </w:r>
      <w:r w:rsidRPr="00AD3C9A">
        <w:rPr>
          <w:rStyle w:val="apple-converted-space"/>
          <w:rFonts w:eastAsiaTheme="majorEastAsia"/>
          <w:color w:val="000000" w:themeColor="text1"/>
        </w:rPr>
        <w:t> </w:t>
      </w:r>
      <w:hyperlink r:id="rId11" w:tgtFrame="_new" w:history="1">
        <w:r w:rsidRPr="00AD3C9A">
          <w:rPr>
            <w:rStyle w:val="Hyperlink"/>
            <w:rFonts w:eastAsiaTheme="majorEastAsia"/>
            <w:color w:val="000000" w:themeColor="text1"/>
          </w:rPr>
          <w:t>https://www.unicef.org/documents/minimum-standards-consultation-children</w:t>
        </w:r>
      </w:hyperlink>
      <w:r w:rsidRPr="00AD3C9A">
        <w:rPr>
          <w:rStyle w:val="apple-converted-space"/>
          <w:rFonts w:eastAsiaTheme="majorEastAsia"/>
          <w:color w:val="000000" w:themeColor="text1"/>
        </w:rPr>
        <w:t> </w:t>
      </w:r>
      <w:r w:rsidRPr="00AD3C9A">
        <w:rPr>
          <w:color w:val="000000" w:themeColor="text1"/>
        </w:rPr>
        <w:t>[Accessed 7 Oct. 2025].</w:t>
      </w:r>
    </w:p>
    <w:p w14:paraId="16799901" w14:textId="77777777" w:rsidR="00AD3C9A" w:rsidRPr="00AD3C9A" w:rsidRDefault="00AD3C9A" w:rsidP="00AD3C9A">
      <w:pPr>
        <w:pStyle w:val="NormalWeb"/>
        <w:spacing w:line="360" w:lineRule="auto"/>
        <w:rPr>
          <w:color w:val="000000" w:themeColor="text1"/>
        </w:rPr>
      </w:pPr>
      <w:r w:rsidRPr="00AD3C9A">
        <w:rPr>
          <w:color w:val="000000" w:themeColor="text1"/>
        </w:rPr>
        <w:t>UNICEF (2020).</w:t>
      </w:r>
      <w:r w:rsidRPr="00AD3C9A">
        <w:rPr>
          <w:rStyle w:val="apple-converted-space"/>
          <w:rFonts w:eastAsiaTheme="majorEastAsia"/>
          <w:color w:val="000000" w:themeColor="text1"/>
        </w:rPr>
        <w:t> </w:t>
      </w:r>
      <w:r w:rsidRPr="00AD3C9A">
        <w:rPr>
          <w:rStyle w:val="Emphasis"/>
          <w:rFonts w:eastAsiaTheme="majorEastAsia"/>
          <w:color w:val="000000" w:themeColor="text1"/>
        </w:rPr>
        <w:t>Quality Framework for Participation</w:t>
      </w:r>
      <w:r w:rsidRPr="00AD3C9A">
        <w:rPr>
          <w:color w:val="000000" w:themeColor="text1"/>
        </w:rPr>
        <w:t>. [online] Available at:</w:t>
      </w:r>
      <w:r w:rsidRPr="00AD3C9A">
        <w:rPr>
          <w:rStyle w:val="apple-converted-space"/>
          <w:rFonts w:eastAsiaTheme="majorEastAsia"/>
          <w:color w:val="000000" w:themeColor="text1"/>
        </w:rPr>
        <w:t> </w:t>
      </w:r>
      <w:r w:rsidRPr="00AD3C9A">
        <w:rPr>
          <w:color w:val="000000" w:themeColor="text1"/>
        </w:rPr>
        <w:t>https://www.unicef.org/eca/reports/quality-framework-child-participation</w:t>
      </w:r>
      <w:r w:rsidRPr="00AD3C9A">
        <w:rPr>
          <w:rStyle w:val="apple-converted-space"/>
          <w:rFonts w:eastAsiaTheme="majorEastAsia"/>
          <w:color w:val="000000" w:themeColor="text1"/>
        </w:rPr>
        <w:t> </w:t>
      </w:r>
      <w:r w:rsidRPr="00AD3C9A">
        <w:rPr>
          <w:color w:val="000000" w:themeColor="text1"/>
        </w:rPr>
        <w:t>[Accessed 11 Oct. 2025].</w:t>
      </w:r>
    </w:p>
    <w:p w14:paraId="74697DB0" w14:textId="092FA7E1" w:rsidR="00BC4815" w:rsidRDefault="00BC4815" w:rsidP="00E460BB">
      <w:pPr>
        <w:pStyle w:val="NormalWeb"/>
        <w:shd w:val="clear" w:color="auto" w:fill="FFFFFF"/>
      </w:pPr>
    </w:p>
    <w:p w14:paraId="5E88B6A1" w14:textId="77777777" w:rsidR="00E54156" w:rsidRDefault="00E54156" w:rsidP="00E460BB">
      <w:pPr>
        <w:pStyle w:val="NormalWeb"/>
        <w:shd w:val="clear" w:color="auto" w:fill="FFFFFF"/>
      </w:pPr>
    </w:p>
    <w:p w14:paraId="6B5566C4" w14:textId="77777777" w:rsidR="00E54156" w:rsidRDefault="00E54156" w:rsidP="00E460BB">
      <w:pPr>
        <w:pStyle w:val="NormalWeb"/>
        <w:shd w:val="clear" w:color="auto" w:fill="FFFFFF"/>
      </w:pPr>
    </w:p>
    <w:p w14:paraId="2BE56F58" w14:textId="77777777" w:rsidR="00E54156" w:rsidRDefault="00E54156" w:rsidP="00E460BB">
      <w:pPr>
        <w:pStyle w:val="NormalWeb"/>
        <w:shd w:val="clear" w:color="auto" w:fill="FFFFFF"/>
      </w:pPr>
    </w:p>
    <w:sectPr w:rsidR="00E54156">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2D43D" w14:textId="77777777" w:rsidR="007309C2" w:rsidRDefault="007309C2" w:rsidP="00C23787">
      <w:r>
        <w:separator/>
      </w:r>
    </w:p>
  </w:endnote>
  <w:endnote w:type="continuationSeparator" w:id="0">
    <w:p w14:paraId="3CBD1F00" w14:textId="77777777" w:rsidR="007309C2" w:rsidRDefault="007309C2" w:rsidP="00C23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9245569"/>
      <w:docPartObj>
        <w:docPartGallery w:val="Page Numbers (Bottom of Page)"/>
        <w:docPartUnique/>
      </w:docPartObj>
    </w:sdtPr>
    <w:sdtContent>
      <w:p w14:paraId="5F0B198B" w14:textId="70E4EE6D" w:rsidR="00C23787" w:rsidRDefault="00C23787" w:rsidP="000D0E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67A3FD" w14:textId="77777777" w:rsidR="00C23787" w:rsidRDefault="00C23787" w:rsidP="00C237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8532191"/>
      <w:docPartObj>
        <w:docPartGallery w:val="Page Numbers (Bottom of Page)"/>
        <w:docPartUnique/>
      </w:docPartObj>
    </w:sdtPr>
    <w:sdtContent>
      <w:p w14:paraId="24D86F11" w14:textId="6ED191CF" w:rsidR="00C23787" w:rsidRDefault="00C23787" w:rsidP="000D0EC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C4F42E" w14:textId="77777777" w:rsidR="00C23787" w:rsidRDefault="00C23787" w:rsidP="00C237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EC697" w14:textId="77777777" w:rsidR="007309C2" w:rsidRDefault="007309C2" w:rsidP="00C23787">
      <w:r>
        <w:separator/>
      </w:r>
    </w:p>
  </w:footnote>
  <w:footnote w:type="continuationSeparator" w:id="0">
    <w:p w14:paraId="16EBC1E4" w14:textId="77777777" w:rsidR="007309C2" w:rsidRDefault="007309C2" w:rsidP="00C237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54DB9"/>
    <w:multiLevelType w:val="multilevel"/>
    <w:tmpl w:val="FD926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73433"/>
    <w:multiLevelType w:val="multilevel"/>
    <w:tmpl w:val="AAB42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BA0987"/>
    <w:multiLevelType w:val="multilevel"/>
    <w:tmpl w:val="7B5C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BA601C"/>
    <w:multiLevelType w:val="multilevel"/>
    <w:tmpl w:val="DF74E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09614E"/>
    <w:multiLevelType w:val="multilevel"/>
    <w:tmpl w:val="87BEF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836CA0"/>
    <w:multiLevelType w:val="multilevel"/>
    <w:tmpl w:val="09C06C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964E7B"/>
    <w:multiLevelType w:val="multilevel"/>
    <w:tmpl w:val="11F8BD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42286C"/>
    <w:multiLevelType w:val="multilevel"/>
    <w:tmpl w:val="C3CAB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D36045"/>
    <w:multiLevelType w:val="multilevel"/>
    <w:tmpl w:val="ED383E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1E7CA7"/>
    <w:multiLevelType w:val="multilevel"/>
    <w:tmpl w:val="B2F872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3090084">
    <w:abstractNumId w:val="2"/>
  </w:num>
  <w:num w:numId="2" w16cid:durableId="1479304562">
    <w:abstractNumId w:val="6"/>
  </w:num>
  <w:num w:numId="3" w16cid:durableId="978341886">
    <w:abstractNumId w:val="1"/>
  </w:num>
  <w:num w:numId="4" w16cid:durableId="401801357">
    <w:abstractNumId w:val="9"/>
  </w:num>
  <w:num w:numId="5" w16cid:durableId="1357077139">
    <w:abstractNumId w:val="4"/>
  </w:num>
  <w:num w:numId="6" w16cid:durableId="1554543888">
    <w:abstractNumId w:val="8"/>
  </w:num>
  <w:num w:numId="7" w16cid:durableId="1014763345">
    <w:abstractNumId w:val="3"/>
  </w:num>
  <w:num w:numId="8" w16cid:durableId="1298293126">
    <w:abstractNumId w:val="5"/>
  </w:num>
  <w:num w:numId="9" w16cid:durableId="160706191">
    <w:abstractNumId w:val="0"/>
  </w:num>
  <w:num w:numId="10" w16cid:durableId="2685097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0BB"/>
    <w:rsid w:val="00115C1A"/>
    <w:rsid w:val="00180C92"/>
    <w:rsid w:val="00181B16"/>
    <w:rsid w:val="00273E59"/>
    <w:rsid w:val="002A0585"/>
    <w:rsid w:val="003C1216"/>
    <w:rsid w:val="003F09D3"/>
    <w:rsid w:val="004F0397"/>
    <w:rsid w:val="00515FD9"/>
    <w:rsid w:val="005730FC"/>
    <w:rsid w:val="0067270B"/>
    <w:rsid w:val="00692B26"/>
    <w:rsid w:val="006B336C"/>
    <w:rsid w:val="007309C2"/>
    <w:rsid w:val="008278FF"/>
    <w:rsid w:val="008628F8"/>
    <w:rsid w:val="00886434"/>
    <w:rsid w:val="00895372"/>
    <w:rsid w:val="008E62FF"/>
    <w:rsid w:val="00AD3C9A"/>
    <w:rsid w:val="00B94EE0"/>
    <w:rsid w:val="00BB0D9F"/>
    <w:rsid w:val="00BC4815"/>
    <w:rsid w:val="00C23787"/>
    <w:rsid w:val="00D83B3F"/>
    <w:rsid w:val="00DF1F07"/>
    <w:rsid w:val="00E460BB"/>
    <w:rsid w:val="00E54156"/>
    <w:rsid w:val="00EF3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750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0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60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60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460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0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0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0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0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0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0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60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60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460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0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0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0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0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0BB"/>
    <w:rPr>
      <w:rFonts w:eastAsiaTheme="majorEastAsia" w:cstheme="majorBidi"/>
      <w:color w:val="272727" w:themeColor="text1" w:themeTint="D8"/>
    </w:rPr>
  </w:style>
  <w:style w:type="paragraph" w:styleId="Title">
    <w:name w:val="Title"/>
    <w:basedOn w:val="Normal"/>
    <w:next w:val="Normal"/>
    <w:link w:val="TitleChar"/>
    <w:uiPriority w:val="10"/>
    <w:qFormat/>
    <w:rsid w:val="00E460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0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0B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0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0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60BB"/>
    <w:rPr>
      <w:i/>
      <w:iCs/>
      <w:color w:val="404040" w:themeColor="text1" w:themeTint="BF"/>
    </w:rPr>
  </w:style>
  <w:style w:type="paragraph" w:styleId="ListParagraph">
    <w:name w:val="List Paragraph"/>
    <w:basedOn w:val="Normal"/>
    <w:uiPriority w:val="34"/>
    <w:qFormat/>
    <w:rsid w:val="00E460BB"/>
    <w:pPr>
      <w:ind w:left="720"/>
      <w:contextualSpacing/>
    </w:pPr>
  </w:style>
  <w:style w:type="character" w:styleId="IntenseEmphasis">
    <w:name w:val="Intense Emphasis"/>
    <w:basedOn w:val="DefaultParagraphFont"/>
    <w:uiPriority w:val="21"/>
    <w:qFormat/>
    <w:rsid w:val="00E460BB"/>
    <w:rPr>
      <w:i/>
      <w:iCs/>
      <w:color w:val="0F4761" w:themeColor="accent1" w:themeShade="BF"/>
    </w:rPr>
  </w:style>
  <w:style w:type="paragraph" w:styleId="IntenseQuote">
    <w:name w:val="Intense Quote"/>
    <w:basedOn w:val="Normal"/>
    <w:next w:val="Normal"/>
    <w:link w:val="IntenseQuoteChar"/>
    <w:uiPriority w:val="30"/>
    <w:qFormat/>
    <w:rsid w:val="00E460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0BB"/>
    <w:rPr>
      <w:i/>
      <w:iCs/>
      <w:color w:val="0F4761" w:themeColor="accent1" w:themeShade="BF"/>
    </w:rPr>
  </w:style>
  <w:style w:type="character" w:styleId="IntenseReference">
    <w:name w:val="Intense Reference"/>
    <w:basedOn w:val="DefaultParagraphFont"/>
    <w:uiPriority w:val="32"/>
    <w:qFormat/>
    <w:rsid w:val="00E460BB"/>
    <w:rPr>
      <w:b/>
      <w:bCs/>
      <w:smallCaps/>
      <w:color w:val="0F4761" w:themeColor="accent1" w:themeShade="BF"/>
      <w:spacing w:val="5"/>
    </w:rPr>
  </w:style>
  <w:style w:type="paragraph" w:styleId="NormalWeb">
    <w:name w:val="Normal (Web)"/>
    <w:basedOn w:val="Normal"/>
    <w:uiPriority w:val="99"/>
    <w:semiHidden/>
    <w:unhideWhenUsed/>
    <w:rsid w:val="00E460B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81B16"/>
    <w:rPr>
      <w:b/>
      <w:bCs/>
    </w:rPr>
  </w:style>
  <w:style w:type="character" w:customStyle="1" w:styleId="apple-converted-space">
    <w:name w:val="apple-converted-space"/>
    <w:basedOn w:val="DefaultParagraphFont"/>
    <w:rsid w:val="00181B16"/>
  </w:style>
  <w:style w:type="character" w:styleId="Emphasis">
    <w:name w:val="Emphasis"/>
    <w:basedOn w:val="DefaultParagraphFont"/>
    <w:uiPriority w:val="20"/>
    <w:qFormat/>
    <w:rsid w:val="003C1216"/>
    <w:rPr>
      <w:i/>
      <w:iCs/>
    </w:rPr>
  </w:style>
  <w:style w:type="table" w:styleId="TableGrid">
    <w:name w:val="Table Grid"/>
    <w:basedOn w:val="TableNormal"/>
    <w:uiPriority w:val="59"/>
    <w:rsid w:val="003F09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23787"/>
    <w:pPr>
      <w:tabs>
        <w:tab w:val="center" w:pos="4513"/>
        <w:tab w:val="right" w:pos="9026"/>
      </w:tabs>
    </w:pPr>
  </w:style>
  <w:style w:type="character" w:customStyle="1" w:styleId="FooterChar">
    <w:name w:val="Footer Char"/>
    <w:basedOn w:val="DefaultParagraphFont"/>
    <w:link w:val="Footer"/>
    <w:uiPriority w:val="99"/>
    <w:rsid w:val="00C23787"/>
  </w:style>
  <w:style w:type="character" w:styleId="PageNumber">
    <w:name w:val="page number"/>
    <w:basedOn w:val="DefaultParagraphFont"/>
    <w:uiPriority w:val="99"/>
    <w:semiHidden/>
    <w:unhideWhenUsed/>
    <w:rsid w:val="00C23787"/>
  </w:style>
  <w:style w:type="paragraph" w:styleId="TOCHeading">
    <w:name w:val="TOC Heading"/>
    <w:basedOn w:val="Heading1"/>
    <w:next w:val="Normal"/>
    <w:uiPriority w:val="39"/>
    <w:unhideWhenUsed/>
    <w:qFormat/>
    <w:rsid w:val="00C2378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23787"/>
    <w:pPr>
      <w:spacing w:before="120"/>
    </w:pPr>
    <w:rPr>
      <w:b/>
      <w:bCs/>
      <w:i/>
      <w:iCs/>
    </w:rPr>
  </w:style>
  <w:style w:type="paragraph" w:styleId="TOC2">
    <w:name w:val="toc 2"/>
    <w:basedOn w:val="Normal"/>
    <w:next w:val="Normal"/>
    <w:autoRedefine/>
    <w:uiPriority w:val="39"/>
    <w:unhideWhenUsed/>
    <w:rsid w:val="00C23787"/>
    <w:pPr>
      <w:spacing w:before="120"/>
      <w:ind w:left="240"/>
    </w:pPr>
    <w:rPr>
      <w:b/>
      <w:bCs/>
      <w:sz w:val="22"/>
      <w:szCs w:val="22"/>
    </w:rPr>
  </w:style>
  <w:style w:type="character" w:styleId="Hyperlink">
    <w:name w:val="Hyperlink"/>
    <w:basedOn w:val="DefaultParagraphFont"/>
    <w:uiPriority w:val="99"/>
    <w:unhideWhenUsed/>
    <w:rsid w:val="00C23787"/>
    <w:rPr>
      <w:color w:val="467886" w:themeColor="hyperlink"/>
      <w:u w:val="single"/>
    </w:rPr>
  </w:style>
  <w:style w:type="paragraph" w:styleId="TOC3">
    <w:name w:val="toc 3"/>
    <w:basedOn w:val="Normal"/>
    <w:next w:val="Normal"/>
    <w:autoRedefine/>
    <w:uiPriority w:val="39"/>
    <w:semiHidden/>
    <w:unhideWhenUsed/>
    <w:rsid w:val="00C23787"/>
    <w:pPr>
      <w:ind w:left="480"/>
    </w:pPr>
    <w:rPr>
      <w:sz w:val="20"/>
      <w:szCs w:val="20"/>
    </w:rPr>
  </w:style>
  <w:style w:type="paragraph" w:styleId="TOC4">
    <w:name w:val="toc 4"/>
    <w:basedOn w:val="Normal"/>
    <w:next w:val="Normal"/>
    <w:autoRedefine/>
    <w:uiPriority w:val="39"/>
    <w:semiHidden/>
    <w:unhideWhenUsed/>
    <w:rsid w:val="00C23787"/>
    <w:pPr>
      <w:ind w:left="720"/>
    </w:pPr>
    <w:rPr>
      <w:sz w:val="20"/>
      <w:szCs w:val="20"/>
    </w:rPr>
  </w:style>
  <w:style w:type="paragraph" w:styleId="TOC5">
    <w:name w:val="toc 5"/>
    <w:basedOn w:val="Normal"/>
    <w:next w:val="Normal"/>
    <w:autoRedefine/>
    <w:uiPriority w:val="39"/>
    <w:semiHidden/>
    <w:unhideWhenUsed/>
    <w:rsid w:val="00C23787"/>
    <w:pPr>
      <w:ind w:left="960"/>
    </w:pPr>
    <w:rPr>
      <w:sz w:val="20"/>
      <w:szCs w:val="20"/>
    </w:rPr>
  </w:style>
  <w:style w:type="paragraph" w:styleId="TOC6">
    <w:name w:val="toc 6"/>
    <w:basedOn w:val="Normal"/>
    <w:next w:val="Normal"/>
    <w:autoRedefine/>
    <w:uiPriority w:val="39"/>
    <w:semiHidden/>
    <w:unhideWhenUsed/>
    <w:rsid w:val="00C23787"/>
    <w:pPr>
      <w:ind w:left="1200"/>
    </w:pPr>
    <w:rPr>
      <w:sz w:val="20"/>
      <w:szCs w:val="20"/>
    </w:rPr>
  </w:style>
  <w:style w:type="paragraph" w:styleId="TOC7">
    <w:name w:val="toc 7"/>
    <w:basedOn w:val="Normal"/>
    <w:next w:val="Normal"/>
    <w:autoRedefine/>
    <w:uiPriority w:val="39"/>
    <w:semiHidden/>
    <w:unhideWhenUsed/>
    <w:rsid w:val="00C23787"/>
    <w:pPr>
      <w:ind w:left="1440"/>
    </w:pPr>
    <w:rPr>
      <w:sz w:val="20"/>
      <w:szCs w:val="20"/>
    </w:rPr>
  </w:style>
  <w:style w:type="paragraph" w:styleId="TOC8">
    <w:name w:val="toc 8"/>
    <w:basedOn w:val="Normal"/>
    <w:next w:val="Normal"/>
    <w:autoRedefine/>
    <w:uiPriority w:val="39"/>
    <w:semiHidden/>
    <w:unhideWhenUsed/>
    <w:rsid w:val="00C23787"/>
    <w:pPr>
      <w:ind w:left="1680"/>
    </w:pPr>
    <w:rPr>
      <w:sz w:val="20"/>
      <w:szCs w:val="20"/>
    </w:rPr>
  </w:style>
  <w:style w:type="paragraph" w:styleId="TOC9">
    <w:name w:val="toc 9"/>
    <w:basedOn w:val="Normal"/>
    <w:next w:val="Normal"/>
    <w:autoRedefine/>
    <w:uiPriority w:val="39"/>
    <w:semiHidden/>
    <w:unhideWhenUsed/>
    <w:rsid w:val="00C23787"/>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mmunity-engagement-framewor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documents/minimum-standards-consultation-childre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scot/publications/national-standards-for-community-engagement/" TargetMode="External"/><Relationship Id="rId4" Type="http://schemas.openxmlformats.org/officeDocument/2006/relationships/settings" Target="settings.xml"/><Relationship Id="rId9" Type="http://schemas.openxmlformats.org/officeDocument/2006/relationships/hyperlink" Target="https://www.local.gov.uk/publications/new-conversations-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B17D5-3DFC-2B49-AD87-11BABCEA9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14</Pages>
  <Words>3994</Words>
  <Characters>22772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Paulica Barbu</dc:creator>
  <cp:keywords/>
  <dc:description/>
  <cp:lastModifiedBy/>
  <cp:revision>11</cp:revision>
  <dcterms:created xsi:type="dcterms:W3CDTF">2025-10-08T20:00:00Z</dcterms:created>
  <dcterms:modified xsi:type="dcterms:W3CDTF">2025-11-18T17:25:00Z</dcterms:modified>
</cp:coreProperties>
</file>