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4F6" w14:textId="77777777" w:rsidR="00096BD5" w:rsidRPr="00096BD5" w:rsidRDefault="00096BD5" w:rsidP="00096BD5">
      <w:pPr>
        <w:spacing w:after="0" w:line="480" w:lineRule="auto"/>
        <w:jc w:val="center"/>
        <w:rPr>
          <w:rFonts w:ascii="Times New Roman" w:eastAsia="Calibri" w:hAnsi="Times New Roman" w:cs="Times New Roman"/>
          <w:b/>
          <w:sz w:val="24"/>
        </w:rPr>
      </w:pPr>
    </w:p>
    <w:p w14:paraId="53ECFDD4" w14:textId="77777777" w:rsidR="00096BD5" w:rsidRPr="00096BD5" w:rsidRDefault="00096BD5" w:rsidP="00096BD5">
      <w:pPr>
        <w:spacing w:after="0" w:line="480" w:lineRule="auto"/>
        <w:jc w:val="center"/>
        <w:rPr>
          <w:rFonts w:ascii="Times New Roman" w:eastAsia="Calibri" w:hAnsi="Times New Roman" w:cs="Times New Roman"/>
          <w:b/>
          <w:sz w:val="32"/>
          <w:szCs w:val="28"/>
        </w:rPr>
      </w:pPr>
    </w:p>
    <w:p w14:paraId="45D28D66" w14:textId="77777777" w:rsidR="00096BD5" w:rsidRPr="00096BD5" w:rsidRDefault="00096BD5" w:rsidP="00096BD5">
      <w:pPr>
        <w:spacing w:after="0" w:line="480" w:lineRule="auto"/>
        <w:jc w:val="center"/>
        <w:rPr>
          <w:rFonts w:ascii="Times New Roman" w:eastAsia="Calibri" w:hAnsi="Times New Roman" w:cs="Times New Roman"/>
          <w:b/>
          <w:sz w:val="40"/>
          <w:szCs w:val="36"/>
          <w:u w:val="single"/>
        </w:rPr>
      </w:pPr>
      <w:r w:rsidRPr="00096BD5">
        <w:rPr>
          <w:rFonts w:ascii="Times New Roman" w:eastAsia="Calibri" w:hAnsi="Times New Roman" w:cs="Times New Roman"/>
          <w:b/>
          <w:sz w:val="40"/>
          <w:szCs w:val="36"/>
          <w:u w:val="single"/>
        </w:rPr>
        <w:t>Importance of International Financial Management at Adidas</w:t>
      </w:r>
    </w:p>
    <w:p w14:paraId="7C71E5D3" w14:textId="39272211" w:rsidR="00096BD5" w:rsidRDefault="00096BD5" w:rsidP="00096BD5">
      <w:pPr>
        <w:spacing w:after="0" w:line="480" w:lineRule="auto"/>
        <w:jc w:val="center"/>
        <w:rPr>
          <w:rFonts w:ascii="Times New Roman" w:eastAsia="Calibri" w:hAnsi="Times New Roman" w:cs="Times New Roman"/>
          <w:b/>
          <w:sz w:val="24"/>
        </w:rPr>
      </w:pPr>
    </w:p>
    <w:p w14:paraId="2D52ADA9" w14:textId="57DCEACF" w:rsidR="00096BD5" w:rsidRDefault="00096BD5" w:rsidP="00096BD5">
      <w:pPr>
        <w:spacing w:after="0" w:line="480" w:lineRule="auto"/>
        <w:jc w:val="center"/>
        <w:rPr>
          <w:rFonts w:ascii="Times New Roman" w:eastAsia="Calibri" w:hAnsi="Times New Roman" w:cs="Times New Roman"/>
          <w:b/>
          <w:sz w:val="24"/>
        </w:rPr>
      </w:pPr>
    </w:p>
    <w:p w14:paraId="5128ECCD" w14:textId="2A115A01" w:rsidR="00096BD5" w:rsidRDefault="00096BD5" w:rsidP="00096BD5">
      <w:pPr>
        <w:spacing w:after="0" w:line="480" w:lineRule="auto"/>
        <w:jc w:val="center"/>
        <w:rPr>
          <w:rFonts w:ascii="Times New Roman" w:eastAsia="Calibri" w:hAnsi="Times New Roman" w:cs="Times New Roman"/>
          <w:b/>
          <w:sz w:val="24"/>
        </w:rPr>
      </w:pPr>
    </w:p>
    <w:p w14:paraId="76B6908E" w14:textId="77777777" w:rsidR="00096BD5" w:rsidRDefault="00096BD5" w:rsidP="00096BD5">
      <w:pPr>
        <w:spacing w:after="0" w:line="480" w:lineRule="auto"/>
        <w:jc w:val="center"/>
        <w:rPr>
          <w:rFonts w:ascii="Times New Roman" w:eastAsia="Calibri" w:hAnsi="Times New Roman" w:cs="Times New Roman"/>
          <w:b/>
          <w:sz w:val="24"/>
        </w:rPr>
      </w:pPr>
    </w:p>
    <w:p w14:paraId="0A6F492A" w14:textId="77777777" w:rsidR="00096BD5" w:rsidRPr="00096BD5" w:rsidRDefault="00096BD5" w:rsidP="00096BD5">
      <w:pPr>
        <w:spacing w:after="0" w:line="480" w:lineRule="auto"/>
        <w:jc w:val="center"/>
        <w:rPr>
          <w:rFonts w:ascii="Times New Roman" w:eastAsia="Calibri" w:hAnsi="Times New Roman" w:cs="Times New Roman"/>
          <w:b/>
          <w:sz w:val="24"/>
        </w:rPr>
      </w:pPr>
    </w:p>
    <w:p w14:paraId="3F29E3C1" w14:textId="5A1BDD75" w:rsidR="00096BD5" w:rsidRPr="00096BD5" w:rsidRDefault="00096BD5" w:rsidP="00096BD5">
      <w:pPr>
        <w:spacing w:after="0" w:line="480" w:lineRule="auto"/>
        <w:jc w:val="center"/>
        <w:rPr>
          <w:b/>
          <w:bCs/>
          <w:sz w:val="28"/>
          <w:szCs w:val="28"/>
          <w:u w:val="single"/>
        </w:rPr>
      </w:pPr>
      <w:r w:rsidRPr="00096BD5">
        <w:rPr>
          <w:b/>
          <w:bCs/>
          <w:sz w:val="28"/>
          <w:szCs w:val="28"/>
          <w:u w:val="single"/>
        </w:rPr>
        <w:t>Assessment 1</w:t>
      </w:r>
    </w:p>
    <w:p w14:paraId="7A0BB4A1" w14:textId="6A5697D0" w:rsidR="00096BD5" w:rsidRDefault="00096BD5" w:rsidP="00096BD5">
      <w:pPr>
        <w:spacing w:after="0" w:line="480" w:lineRule="auto"/>
        <w:jc w:val="center"/>
        <w:rPr>
          <w:rFonts w:ascii="Times New Roman" w:eastAsia="Calibri" w:hAnsi="Times New Roman" w:cs="Times New Roman"/>
          <w:b/>
          <w:bCs/>
          <w:sz w:val="28"/>
          <w:szCs w:val="24"/>
          <w:u w:val="single"/>
        </w:rPr>
      </w:pPr>
    </w:p>
    <w:p w14:paraId="170AF250" w14:textId="19FEA22F" w:rsidR="00096BD5" w:rsidRDefault="00096BD5" w:rsidP="00096BD5">
      <w:pPr>
        <w:spacing w:after="0" w:line="480" w:lineRule="auto"/>
        <w:jc w:val="center"/>
        <w:rPr>
          <w:rFonts w:ascii="Times New Roman" w:eastAsia="Calibri" w:hAnsi="Times New Roman" w:cs="Times New Roman"/>
          <w:b/>
          <w:bCs/>
          <w:sz w:val="28"/>
          <w:szCs w:val="24"/>
          <w:u w:val="single"/>
        </w:rPr>
      </w:pPr>
    </w:p>
    <w:p w14:paraId="58A0A49D" w14:textId="25D7F613" w:rsidR="00096BD5" w:rsidRDefault="00096BD5" w:rsidP="00096BD5">
      <w:pPr>
        <w:spacing w:after="0" w:line="480" w:lineRule="auto"/>
        <w:jc w:val="center"/>
        <w:rPr>
          <w:rFonts w:ascii="Times New Roman" w:eastAsia="Calibri" w:hAnsi="Times New Roman" w:cs="Times New Roman"/>
          <w:b/>
          <w:bCs/>
          <w:sz w:val="28"/>
          <w:szCs w:val="24"/>
          <w:u w:val="single"/>
        </w:rPr>
      </w:pPr>
    </w:p>
    <w:p w14:paraId="690804FA" w14:textId="73B3CEFF" w:rsidR="00096BD5" w:rsidRDefault="00096BD5" w:rsidP="00096BD5">
      <w:pPr>
        <w:spacing w:after="0" w:line="480" w:lineRule="auto"/>
        <w:jc w:val="center"/>
        <w:rPr>
          <w:rFonts w:ascii="Times New Roman" w:eastAsia="Calibri" w:hAnsi="Times New Roman" w:cs="Times New Roman"/>
          <w:b/>
          <w:bCs/>
          <w:sz w:val="28"/>
          <w:szCs w:val="24"/>
          <w:u w:val="single"/>
        </w:rPr>
      </w:pPr>
    </w:p>
    <w:p w14:paraId="54190738" w14:textId="5F36CF7A" w:rsidR="00096BD5" w:rsidRDefault="00096BD5" w:rsidP="00096BD5">
      <w:pPr>
        <w:spacing w:after="0" w:line="480" w:lineRule="auto"/>
        <w:jc w:val="center"/>
        <w:rPr>
          <w:rFonts w:ascii="Times New Roman" w:eastAsia="Calibri" w:hAnsi="Times New Roman" w:cs="Times New Roman"/>
          <w:b/>
          <w:bCs/>
          <w:sz w:val="28"/>
          <w:szCs w:val="24"/>
          <w:u w:val="single"/>
        </w:rPr>
      </w:pPr>
    </w:p>
    <w:p w14:paraId="54C256E2" w14:textId="3E8BF498" w:rsidR="00096BD5" w:rsidRDefault="00096BD5" w:rsidP="00096BD5">
      <w:pPr>
        <w:spacing w:after="0" w:line="480" w:lineRule="auto"/>
        <w:jc w:val="center"/>
        <w:rPr>
          <w:rFonts w:ascii="Times New Roman" w:eastAsia="Calibri" w:hAnsi="Times New Roman" w:cs="Times New Roman"/>
          <w:b/>
          <w:bCs/>
          <w:sz w:val="28"/>
          <w:szCs w:val="24"/>
          <w:u w:val="single"/>
        </w:rPr>
      </w:pPr>
    </w:p>
    <w:p w14:paraId="1A33328E" w14:textId="77777777" w:rsidR="00096BD5" w:rsidRPr="00096BD5" w:rsidRDefault="00096BD5" w:rsidP="00096BD5">
      <w:pPr>
        <w:spacing w:after="0" w:line="480" w:lineRule="auto"/>
        <w:jc w:val="center"/>
        <w:rPr>
          <w:rFonts w:ascii="Times New Roman" w:eastAsia="Calibri" w:hAnsi="Times New Roman" w:cs="Times New Roman"/>
          <w:b/>
          <w:bCs/>
          <w:sz w:val="28"/>
          <w:szCs w:val="24"/>
          <w:u w:val="single"/>
        </w:rPr>
      </w:pPr>
    </w:p>
    <w:p w14:paraId="45134A11" w14:textId="13390E95" w:rsidR="00096BD5" w:rsidRDefault="00096BD5" w:rsidP="00096BD5">
      <w:pPr>
        <w:spacing w:after="0" w:line="480" w:lineRule="auto"/>
        <w:jc w:val="center"/>
        <w:rPr>
          <w:rFonts w:ascii="Times New Roman" w:eastAsia="Calibri" w:hAnsi="Times New Roman" w:cs="Times New Roman"/>
          <w:b/>
          <w:sz w:val="24"/>
        </w:rPr>
      </w:pPr>
      <w:r w:rsidRPr="00096BD5">
        <w:rPr>
          <w:rFonts w:ascii="Times New Roman" w:eastAsia="Calibri" w:hAnsi="Times New Roman" w:cs="Times New Roman"/>
          <w:b/>
          <w:sz w:val="24"/>
        </w:rPr>
        <w:t>Student ID</w:t>
      </w:r>
      <w:r>
        <w:rPr>
          <w:rFonts w:ascii="Times New Roman" w:eastAsia="Calibri" w:hAnsi="Times New Roman" w:cs="Times New Roman"/>
          <w:b/>
          <w:sz w:val="24"/>
        </w:rPr>
        <w:t xml:space="preserve"> 1919082</w:t>
      </w:r>
    </w:p>
    <w:p w14:paraId="0EF12DF1" w14:textId="3D1F618B" w:rsidR="00096BD5" w:rsidRDefault="00096BD5" w:rsidP="00096BD5">
      <w:pPr>
        <w:spacing w:after="0" w:line="480" w:lineRule="auto"/>
        <w:jc w:val="center"/>
        <w:rPr>
          <w:rFonts w:ascii="Times New Roman" w:eastAsia="Calibri" w:hAnsi="Times New Roman" w:cs="Times New Roman"/>
          <w:b/>
          <w:sz w:val="24"/>
        </w:rPr>
      </w:pPr>
      <w:r>
        <w:rPr>
          <w:rFonts w:ascii="Times New Roman" w:eastAsia="Calibri" w:hAnsi="Times New Roman" w:cs="Times New Roman"/>
          <w:b/>
          <w:sz w:val="24"/>
        </w:rPr>
        <w:t>Student Name Georgiana Sima</w:t>
      </w:r>
    </w:p>
    <w:p w14:paraId="77EDDFA5" w14:textId="10BFEACA" w:rsidR="00096BD5" w:rsidRDefault="00096BD5" w:rsidP="00096BD5">
      <w:pPr>
        <w:spacing w:after="0" w:line="480" w:lineRule="auto"/>
        <w:jc w:val="center"/>
        <w:rPr>
          <w:rFonts w:ascii="Times New Roman" w:eastAsia="Calibri" w:hAnsi="Times New Roman" w:cs="Times New Roman"/>
          <w:b/>
          <w:sz w:val="24"/>
        </w:rPr>
      </w:pPr>
      <w:r>
        <w:rPr>
          <w:rFonts w:ascii="Times New Roman" w:eastAsia="Calibri" w:hAnsi="Times New Roman" w:cs="Times New Roman"/>
          <w:b/>
          <w:sz w:val="24"/>
        </w:rPr>
        <w:t xml:space="preserve">Module Code </w:t>
      </w:r>
      <w:r w:rsidRPr="00096BD5">
        <w:rPr>
          <w:rFonts w:ascii="Times New Roman" w:eastAsia="Calibri" w:hAnsi="Times New Roman" w:cs="Times New Roman"/>
          <w:b/>
          <w:sz w:val="24"/>
        </w:rPr>
        <w:t>LCBB6002</w:t>
      </w:r>
    </w:p>
    <w:p w14:paraId="2D9F08DF" w14:textId="77777777" w:rsidR="00096BD5" w:rsidRPr="00096BD5" w:rsidRDefault="00096BD5" w:rsidP="00096BD5">
      <w:pPr>
        <w:spacing w:after="0" w:line="480" w:lineRule="auto"/>
        <w:jc w:val="center"/>
        <w:rPr>
          <w:rFonts w:ascii="Times New Roman" w:eastAsia="Calibri" w:hAnsi="Times New Roman" w:cs="Times New Roman"/>
          <w:b/>
          <w:sz w:val="24"/>
        </w:rPr>
      </w:pPr>
    </w:p>
    <w:p w14:paraId="100D37AF" w14:textId="47630764" w:rsidR="00096BD5" w:rsidRPr="00096BD5" w:rsidRDefault="00096BD5" w:rsidP="00096BD5">
      <w:pPr>
        <w:spacing w:after="0" w:line="480" w:lineRule="auto"/>
        <w:rPr>
          <w:rFonts w:ascii="Times New Roman" w:eastAsia="Calibri" w:hAnsi="Times New Roman" w:cs="Times New Roman"/>
          <w:b/>
          <w:sz w:val="24"/>
        </w:rPr>
      </w:pPr>
      <w:r w:rsidRPr="00096BD5">
        <w:rPr>
          <w:rFonts w:ascii="Times New Roman" w:eastAsia="Calibri" w:hAnsi="Times New Roman" w:cs="Times New Roman"/>
          <w:b/>
          <w:sz w:val="24"/>
        </w:rPr>
        <w:br w:type="page"/>
      </w:r>
    </w:p>
    <w:p w14:paraId="661DEF51" w14:textId="77777777" w:rsidR="00096BD5" w:rsidRPr="00096BD5" w:rsidRDefault="00096BD5" w:rsidP="00096BD5">
      <w:pPr>
        <w:spacing w:after="0" w:line="480" w:lineRule="auto"/>
        <w:rPr>
          <w:rFonts w:ascii="Times New Roman" w:eastAsia="Calibri" w:hAnsi="Times New Roman" w:cs="Times New Roman"/>
          <w:b/>
          <w:sz w:val="24"/>
        </w:rPr>
      </w:pPr>
      <w:r w:rsidRPr="00096BD5">
        <w:rPr>
          <w:rFonts w:ascii="Times New Roman" w:eastAsia="Calibri" w:hAnsi="Times New Roman" w:cs="Times New Roman"/>
          <w:b/>
          <w:sz w:val="36"/>
          <w:szCs w:val="32"/>
        </w:rPr>
        <w:lastRenderedPageBreak/>
        <w:t>Introduction</w:t>
      </w:r>
      <w:r w:rsidRPr="00096BD5">
        <w:rPr>
          <w:rFonts w:ascii="Times New Roman" w:eastAsia="Calibri" w:hAnsi="Times New Roman" w:cs="Times New Roman"/>
          <w:b/>
          <w:sz w:val="24"/>
        </w:rPr>
        <w:t xml:space="preserve"> </w:t>
      </w:r>
    </w:p>
    <w:p w14:paraId="2572DFDA"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International financial management, or simply international finance, can be defined as the concept of accounting for the finances of an organization in a global corporation. There are numerous factors involved in financial management, such as fluctuating currencies, political unrest, inefficient markets, and numerous commercial prospects, that make it different from this strategy. Exchange rate changes have the potential to convert a transaction from profitable to losing. Any shift in the nation's corporate environment might be viewed as a political risk. These developments can be the result of any unforeseen legislative action. A country's government has the authority to change the game's rules at any time and in an unexpected fashion. Due to the interdependence of markets and products, the global economy must deal with a wide variety of variances in transportation costs and taxation policies between countries. Due to market flaws, financial managers are compelled to hunt for the best opportunities outside of national borders. When a corporation expands its operations beyond national borders, its chances of earning rewards with a distinctive flavour improve. The absolute risk of doing business is thereby distributed among multiple nations.</w:t>
      </w:r>
    </w:p>
    <w:p w14:paraId="4302777A"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After Nike, Adidas is the world's second-largest sportswear manufacturer. The headquarters of the international corporation are in Germany. The United States, Canada, Mexico, and Greater China forms the largest market for the company. Adidas annual sales were primarily derived from these locations. The majority of the company's sales are produced by its garment and footwear categories, which are measured by the products sold. Adidas has business operations in more than 160 nations, according to Forest500.org. The significance of IMF to Adidas, the challenges the company has faced in various financial markets, the policy used when distributing dividends, the applicability of the efficient market hypothesis to the operations at Adidas, and the methods the firm employs to evaluate projects are the main topics of this essay.</w:t>
      </w:r>
    </w:p>
    <w:p w14:paraId="50AE4F86" w14:textId="77777777" w:rsidR="00096BD5" w:rsidRPr="00096BD5" w:rsidRDefault="00096BD5" w:rsidP="00096BD5">
      <w:pPr>
        <w:spacing w:after="0" w:line="480" w:lineRule="auto"/>
        <w:rPr>
          <w:rFonts w:ascii="Times New Roman" w:eastAsia="Calibri" w:hAnsi="Times New Roman" w:cs="Times New Roman"/>
          <w:b/>
          <w:sz w:val="36"/>
          <w:szCs w:val="32"/>
        </w:rPr>
      </w:pPr>
      <w:r w:rsidRPr="00096BD5">
        <w:rPr>
          <w:rFonts w:ascii="Times New Roman" w:eastAsia="Calibri" w:hAnsi="Times New Roman" w:cs="Times New Roman"/>
          <w:b/>
          <w:sz w:val="36"/>
          <w:szCs w:val="32"/>
        </w:rPr>
        <w:lastRenderedPageBreak/>
        <w:t xml:space="preserve">Importance of International Monetary Fund to Adidas </w:t>
      </w:r>
    </w:p>
    <w:p w14:paraId="4A2D971A"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The acquisition of funds and the selection of investments are the objectives of international financial management. In order to acquire money, one must raise funds from both internal and external sources. The ultimate goal of international financial management is to obtain capital at the lowest possible cost. By making the best possible use of newly acquired funds, it seeks to increase the wealth of every individual party that is involved, including shareholders and stakeholders. When compared to domestic financial markets, international financial markets feature a unique set of metrics and characteristics. The company may be able to achieve the same level of efficiency and efficacy in all of its markets with the right management of international finances.</w:t>
      </w:r>
    </w:p>
    <w:p w14:paraId="520AAEF7" w14:textId="254DAC10"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 xml:space="preserve">For Adidas, international financial management is crucial. It aids in managing working capital, making financial decisions, coordinating various functional tasks, assessing performance, and determining the viability of the company. A variety of hedging strategies are available in international financial management to help control the risks involved with transactions involving foreign currencies. The concept of pricing is among the key strategies used to control currency volatility or the different invoicing rates. If businesses invoice their clients in the reporting currency of the organization, exchange risk can be reduced. To eliminate the risks of fluctuating foreign exchange rates, the settlement technique compels a company to forfeit the value of money over time. One of the most popular methods of hedging is foreclosure. Participants commit to buying or selling foreign money at a predetermined exchange rate during the next years. Since transactions are carried out at a defined rate, it reduces the company's exposure to changing exchange rates. This transaction combines the buying of a forward contract with currency exchange. To benefit from currency rate variance, the IMF may seek an effective, leading, compelling </w:t>
      </w:r>
      <w:r w:rsidR="001260BB">
        <w:rPr>
          <w:rFonts w:ascii="Times New Roman" w:eastAsia="Calibri" w:hAnsi="Times New Roman" w:cs="Times New Roman"/>
          <w:sz w:val="24"/>
        </w:rPr>
        <w:t>a</w:t>
      </w:r>
      <w:r w:rsidRPr="00096BD5">
        <w:rPr>
          <w:rFonts w:ascii="Times New Roman" w:eastAsia="Calibri" w:hAnsi="Times New Roman" w:cs="Times New Roman"/>
          <w:sz w:val="24"/>
        </w:rPr>
        <w:t xml:space="preserve">nd lagging strategy. </w:t>
      </w:r>
      <w:r w:rsidRPr="00096BD5">
        <w:rPr>
          <w:rFonts w:ascii="Times New Roman" w:eastAsia="Calibri" w:hAnsi="Times New Roman" w:cs="Times New Roman"/>
          <w:sz w:val="24"/>
        </w:rPr>
        <w:lastRenderedPageBreak/>
        <w:t>Notably, a trailing and leading strategy may also transfer funds from partners with ample cash to those with little cash, boosting liquidity.</w:t>
      </w:r>
    </w:p>
    <w:p w14:paraId="7EE7107E"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The administration of working capital relies heavily on international financial management. Management of working capital includes decisions regarding capital financing and short-term cash flow. These decisions require managing the association between a firm's short-term liabilities and assets. In this regard, investing in projects that produce a positive NPV by discounting with the right discount rate is a crucial part of international finance management's role in maximizing the value of the company. By focusing on suitable capital arrangements and funding mix, IFM also helps organizations make financial decisions. Finally, IFM uses financial information and ratio analysis to evaluate company performance. These evaluations illustrate the company's historical development.</w:t>
      </w:r>
    </w:p>
    <w:p w14:paraId="0170BF04" w14:textId="77777777" w:rsidR="00096BD5" w:rsidRPr="00096BD5" w:rsidRDefault="00096BD5" w:rsidP="00096BD5">
      <w:pPr>
        <w:spacing w:after="0" w:line="480" w:lineRule="auto"/>
        <w:rPr>
          <w:rFonts w:ascii="Times New Roman" w:eastAsia="Calibri" w:hAnsi="Times New Roman" w:cs="Times New Roman"/>
          <w:b/>
          <w:sz w:val="36"/>
          <w:szCs w:val="32"/>
        </w:rPr>
      </w:pPr>
      <w:r w:rsidRPr="00096BD5">
        <w:rPr>
          <w:rFonts w:ascii="Times New Roman" w:eastAsia="Calibri" w:hAnsi="Times New Roman" w:cs="Times New Roman"/>
          <w:b/>
          <w:sz w:val="36"/>
          <w:szCs w:val="32"/>
        </w:rPr>
        <w:t>Challenges in Different International Financial Markets</w:t>
      </w:r>
    </w:p>
    <w:p w14:paraId="5D5CBF10"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Adidas faces numerous difficulties because it is a global corporation. Poindexter (2021) stated in business filings that the 2021 revenue growth was cut by $693.5 million as a result of difficulties in the market especially in Greater China, significant restriction due to the COVID pandemic which led to lockdowns throughout Asia-Pacific, and greatly affecting the industry's supply chain. There was a huge output lag in Vietnam all summer long as a result of plant shutdowns and understaffing. Due to allegations of human rights violations against the Muslim Uyghur minority, cotton from Xinjiang was boycotted in China. The great majority of Adidas' products are manufactured under subcontract by independent or unrelated manufacturing partners, who are mostly based in China, Cambodia, and Vietnam, among other nations.</w:t>
      </w:r>
      <w:r w:rsidRPr="00096BD5">
        <w:rPr>
          <w:rFonts w:ascii="Times New Roman" w:eastAsia="Calibri" w:hAnsi="Times New Roman" w:cs="Times New Roman"/>
          <w:sz w:val="24"/>
          <w:lang w:val="en-US"/>
        </w:rPr>
        <w:t xml:space="preserve"> </w:t>
      </w:r>
      <w:r w:rsidRPr="00096BD5">
        <w:rPr>
          <w:rFonts w:ascii="Times New Roman" w:eastAsia="Calibri" w:hAnsi="Times New Roman" w:cs="Times New Roman"/>
          <w:sz w:val="24"/>
        </w:rPr>
        <w:t xml:space="preserve">Due to this choice, Adidas now runs the risk of being overly dependent on foreign suppliers. According to reports, North American manufacturers of mid-priced clothing are struggling to meet the rising demand for their goods. </w:t>
      </w:r>
    </w:p>
    <w:p w14:paraId="4A1AB503"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lastRenderedPageBreak/>
        <w:t>As a result, sales growth in the North American market decreased by 1-2 percent in 2019. Adidas Group is restricted to the sports footwear, apparel, and accessories industries because its portfolio has only two brands (the Adidas and Reebok brands). As a result, Adidas might suffer greatly from a decline in the market for sporting goods. Adidas has focused on developing a brand that is welcoming to individuals of all races. When allegations that the company's head of human resources, Karen Parkin, had improperly handled instances of racism at the company arose, a smear campaign was started against her. She was required to step down so that an investigation could be conducted. Finally, Adidas has neglected its market for a long time, allowing Nike to increase its market dominance. Sales of Nike surpassed those of Adidas in Germany for the first time in January 2020.</w:t>
      </w:r>
    </w:p>
    <w:p w14:paraId="7D9EFE1E"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Once a year, Adidas releases dividends. The payment month is May. This dividend policy is standard. Companies with a consistent dividend policy give money to shareholders each year. When a company makes more money than anticipated, the excess gains are sometimes not distributed to shareholders. The company will still pay dividends to shareholders even if it experiences a loss. The best companies for consistent dividend policy are those with steady cash flow and sufficient liquidity. According to the equilibrium Market Hypothesis (EMH), it is difficult for investors to acquire and sell cheap stocks since shares of stock consistently trade at their book value on stock exchanges.</w:t>
      </w:r>
      <w:r w:rsidRPr="00096BD5">
        <w:rPr>
          <w:rFonts w:ascii="Times New Roman" w:eastAsia="Calibri" w:hAnsi="Times New Roman" w:cs="Times New Roman"/>
          <w:sz w:val="24"/>
          <w:lang w:val="en-US"/>
        </w:rPr>
        <w:t xml:space="preserve"> </w:t>
      </w:r>
      <w:r w:rsidRPr="00096BD5">
        <w:rPr>
          <w:rFonts w:ascii="Times New Roman" w:eastAsia="Calibri" w:hAnsi="Times New Roman" w:cs="Times New Roman"/>
          <w:sz w:val="24"/>
        </w:rPr>
        <w:t xml:space="preserve">Additionally, it should be challenging to outperform the market as a whole through expert stock selection or swing trading, and the only way a trader can generate higher returns is by choosing riskier assets. Alternatively, in a totally efficient market, any information that is known to any dealer is already factored into the pricing, eliminating the possibility of outperforming the market. The market gets more efficient as information quality and quantity increase, reducing opportunities for arbitrage and above-market profits while simultaneously boosting overall rewards. Adidas is affected by the efficient market hypothesis because it makes it difficult to </w:t>
      </w:r>
      <w:r w:rsidRPr="00096BD5">
        <w:rPr>
          <w:rFonts w:ascii="Times New Roman" w:eastAsia="Calibri" w:hAnsi="Times New Roman" w:cs="Times New Roman"/>
          <w:sz w:val="24"/>
        </w:rPr>
        <w:lastRenderedPageBreak/>
        <w:t>"time" stock and bond issues using information that is readily available to the public and allows the company to sell as many stocks and bonds as it likes without lowering the price of such instruments.</w:t>
      </w:r>
    </w:p>
    <w:p w14:paraId="5787B06B"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Adidas confirmed in the yearly report of the year 2020 that they calculate the anticipated yield on new investments by applying the net present value method. Risk was taken into consideration by taking the cost of capital and adding the current risk premium and, when necessary, lowering predicted future profit flows. Planning scenarios was utilized to investigate how changes in basic assumptions would affect capital growth. For projects that require huge investment, the company ensures there is continuous monitoring of timetables and budget variances in the entire project's lifespan. We examine larger projects after they are finished and record lessons learned to apply in future capital spending decisions in addition to enhancing return on capital. Planning scenarios is making predictions about the future and how those changes will affect the company's environments throughout time. In scenario planning, or different "realities," a specific set of ambiguities or potential outcomes for the firm are established.</w:t>
      </w:r>
    </w:p>
    <w:p w14:paraId="0B87EBE4" w14:textId="77777777" w:rsidR="00096BD5" w:rsidRPr="00096BD5" w:rsidRDefault="00096BD5" w:rsidP="00096BD5">
      <w:pPr>
        <w:spacing w:after="0" w:line="480" w:lineRule="auto"/>
        <w:rPr>
          <w:rFonts w:ascii="Times New Roman" w:eastAsia="Calibri" w:hAnsi="Times New Roman" w:cs="Times New Roman"/>
          <w:b/>
          <w:sz w:val="36"/>
          <w:szCs w:val="32"/>
        </w:rPr>
      </w:pPr>
      <w:r w:rsidRPr="00096BD5">
        <w:rPr>
          <w:rFonts w:ascii="Times New Roman" w:eastAsia="Calibri" w:hAnsi="Times New Roman" w:cs="Times New Roman"/>
          <w:b/>
          <w:sz w:val="36"/>
          <w:szCs w:val="32"/>
        </w:rPr>
        <w:t xml:space="preserve">Conclusion </w:t>
      </w:r>
    </w:p>
    <w:p w14:paraId="78713655"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t>In order for Adidas to function, international financial management is crucial. Despite its size and solid global market share, Adidas still has to contend with issues like Nike competition and supply shortages. These issues need to be properly addressed in order to increase the company's profitability and efficiency. Adidas consistently distributes a dividend to its stockholders as payment. Once a year, in May, the dividend is paid. Net Present Value is a method Adidas uses to assess new and future investments.</w:t>
      </w:r>
    </w:p>
    <w:p w14:paraId="2A3E5709" w14:textId="77777777" w:rsidR="00096BD5" w:rsidRPr="00096BD5" w:rsidRDefault="00096BD5" w:rsidP="00096BD5">
      <w:pPr>
        <w:spacing w:after="0" w:line="480" w:lineRule="auto"/>
        <w:ind w:firstLine="720"/>
        <w:rPr>
          <w:rFonts w:ascii="Times New Roman" w:eastAsia="Calibri" w:hAnsi="Times New Roman" w:cs="Times New Roman"/>
          <w:sz w:val="24"/>
        </w:rPr>
      </w:pPr>
      <w:r w:rsidRPr="00096BD5">
        <w:rPr>
          <w:rFonts w:ascii="Times New Roman" w:eastAsia="Calibri" w:hAnsi="Times New Roman" w:cs="Times New Roman"/>
          <w:sz w:val="24"/>
        </w:rPr>
        <w:br w:type="page"/>
      </w:r>
    </w:p>
    <w:p w14:paraId="349DCD5C" w14:textId="77777777" w:rsidR="00096BD5" w:rsidRPr="00096BD5" w:rsidRDefault="00096BD5" w:rsidP="00096BD5">
      <w:pPr>
        <w:spacing w:after="0" w:line="480" w:lineRule="auto"/>
        <w:rPr>
          <w:rFonts w:ascii="Times New Roman" w:eastAsia="Calibri" w:hAnsi="Times New Roman" w:cs="Times New Roman"/>
          <w:b/>
          <w:bCs/>
          <w:sz w:val="36"/>
          <w:szCs w:val="32"/>
        </w:rPr>
      </w:pPr>
      <w:r w:rsidRPr="00096BD5">
        <w:rPr>
          <w:rFonts w:ascii="Times New Roman" w:eastAsia="Calibri" w:hAnsi="Times New Roman" w:cs="Times New Roman"/>
          <w:b/>
          <w:bCs/>
          <w:sz w:val="36"/>
          <w:szCs w:val="32"/>
        </w:rPr>
        <w:lastRenderedPageBreak/>
        <w:t xml:space="preserve">References </w:t>
      </w:r>
    </w:p>
    <w:p w14:paraId="24DC1B24" w14:textId="77777777" w:rsidR="00096BD5" w:rsidRPr="00DB4AA5" w:rsidRDefault="00096BD5" w:rsidP="00DB4AA5">
      <w:pPr>
        <w:pStyle w:val="ListParagraph"/>
        <w:numPr>
          <w:ilvl w:val="0"/>
          <w:numId w:val="1"/>
        </w:numPr>
        <w:spacing w:after="0" w:line="480" w:lineRule="auto"/>
        <w:rPr>
          <w:rFonts w:ascii="Times New Roman" w:eastAsia="Calibri" w:hAnsi="Times New Roman" w:cs="Times New Roman"/>
          <w:sz w:val="24"/>
          <w:lang w:val="en-US"/>
        </w:rPr>
      </w:pPr>
      <w:r w:rsidRPr="00DB4AA5">
        <w:rPr>
          <w:rFonts w:ascii="Times New Roman" w:eastAsia="Calibri" w:hAnsi="Times New Roman" w:cs="Times New Roman"/>
          <w:sz w:val="24"/>
          <w:lang w:val="en-US"/>
        </w:rPr>
        <w:t xml:space="preserve">Adidas, 2020. Internal Management System. Annual report 2020. Downey, L., 2021. </w:t>
      </w:r>
    </w:p>
    <w:p w14:paraId="2B09E9F4" w14:textId="6E9D92AF" w:rsidR="00096BD5" w:rsidRPr="00DB4AA5" w:rsidRDefault="00096BD5" w:rsidP="00DB4AA5">
      <w:pPr>
        <w:pStyle w:val="ListParagraph"/>
        <w:numPr>
          <w:ilvl w:val="0"/>
          <w:numId w:val="1"/>
        </w:numPr>
        <w:spacing w:after="0" w:line="480" w:lineRule="auto"/>
        <w:rPr>
          <w:rFonts w:ascii="Times New Roman" w:eastAsia="Calibri" w:hAnsi="Times New Roman" w:cs="Times New Roman"/>
          <w:sz w:val="24"/>
          <w:lang w:val="en-US"/>
        </w:rPr>
      </w:pPr>
      <w:r w:rsidRPr="00DB4AA5">
        <w:rPr>
          <w:rFonts w:ascii="Times New Roman" w:eastAsia="Calibri" w:hAnsi="Times New Roman" w:cs="Times New Roman"/>
          <w:sz w:val="24"/>
          <w:lang w:val="en-US"/>
        </w:rPr>
        <w:t xml:space="preserve">Gocardless, 2020. What are the different dividend policy </w:t>
      </w:r>
      <w:r w:rsidR="00C60C38" w:rsidRPr="00DB4AA5">
        <w:rPr>
          <w:rFonts w:ascii="Times New Roman" w:eastAsia="Calibri" w:hAnsi="Times New Roman" w:cs="Times New Roman"/>
          <w:sz w:val="24"/>
          <w:lang w:val="en-US"/>
        </w:rPr>
        <w:t>types.</w:t>
      </w:r>
      <w:r w:rsidRPr="00DB4AA5">
        <w:rPr>
          <w:rFonts w:ascii="Times New Roman" w:eastAsia="Calibri" w:hAnsi="Times New Roman" w:cs="Times New Roman"/>
          <w:sz w:val="24"/>
          <w:lang w:val="en-US"/>
        </w:rPr>
        <w:t xml:space="preserve"> Resources: Finance, December. </w:t>
      </w:r>
    </w:p>
    <w:p w14:paraId="3661001F" w14:textId="77777777" w:rsidR="00096BD5" w:rsidRPr="00DB4AA5" w:rsidRDefault="00096BD5" w:rsidP="00DB4AA5">
      <w:pPr>
        <w:pStyle w:val="ListParagraph"/>
        <w:numPr>
          <w:ilvl w:val="0"/>
          <w:numId w:val="1"/>
        </w:numPr>
        <w:spacing w:after="0" w:line="480" w:lineRule="auto"/>
        <w:rPr>
          <w:rFonts w:ascii="Times New Roman" w:eastAsia="Calibri" w:hAnsi="Times New Roman" w:cs="Times New Roman"/>
          <w:sz w:val="24"/>
          <w:lang w:val="en-US"/>
        </w:rPr>
      </w:pPr>
      <w:r w:rsidRPr="00DB4AA5">
        <w:rPr>
          <w:rFonts w:ascii="Times New Roman" w:eastAsia="Calibri" w:hAnsi="Times New Roman" w:cs="Times New Roman"/>
          <w:sz w:val="24"/>
          <w:lang w:val="en-US"/>
        </w:rPr>
        <w:t xml:space="preserve">Poindexter, O., 2021. Adidas Slows Its Pace Due to Supply Chain Disruptions. Front Office Sports, 10 November. </w:t>
      </w:r>
    </w:p>
    <w:p w14:paraId="424E6DDE" w14:textId="77777777" w:rsidR="00096BD5" w:rsidRPr="00DB4AA5" w:rsidRDefault="00096BD5" w:rsidP="00DB4AA5">
      <w:pPr>
        <w:pStyle w:val="ListParagraph"/>
        <w:numPr>
          <w:ilvl w:val="0"/>
          <w:numId w:val="1"/>
        </w:numPr>
        <w:spacing w:after="0" w:line="480" w:lineRule="auto"/>
        <w:rPr>
          <w:rFonts w:ascii="Times New Roman" w:eastAsia="Calibri" w:hAnsi="Times New Roman" w:cs="Times New Roman"/>
          <w:sz w:val="24"/>
        </w:rPr>
      </w:pPr>
      <w:r w:rsidRPr="00DB4AA5">
        <w:rPr>
          <w:rFonts w:ascii="Times New Roman" w:eastAsia="Calibri" w:hAnsi="Times New Roman" w:cs="Times New Roman"/>
          <w:sz w:val="24"/>
          <w:lang w:val="en-US"/>
        </w:rPr>
        <w:t>Tighe, D., 2022. Adidas - Statistics &amp; facts. Statista, 22 March. UKEssays, 2015. Importance Of International Financial Management Finance Essay. Finance, 1 January.</w:t>
      </w:r>
    </w:p>
    <w:p w14:paraId="46595FD0" w14:textId="77777777" w:rsidR="00DA5E60" w:rsidRDefault="00DA5E60"/>
    <w:sectPr w:rsidR="00DA5E60">
      <w:headerReference w:type="default" r:id="rId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841369"/>
      <w:docPartObj>
        <w:docPartGallery w:val="Page Numbers (Top of Page)"/>
        <w:docPartUnique/>
      </w:docPartObj>
    </w:sdtPr>
    <w:sdtEndPr>
      <w:rPr>
        <w:noProof/>
      </w:rPr>
    </w:sdtEndPr>
    <w:sdtContent>
      <w:p w14:paraId="55D9B7DC" w14:textId="77777777" w:rsidR="000206E4" w:rsidRDefault="00000000">
        <w:pPr>
          <w:pStyle w:val="Header"/>
          <w:jc w:val="right"/>
        </w:pPr>
        <w:r>
          <w:fldChar w:fldCharType="begin"/>
        </w:r>
        <w:r>
          <w:instrText xml:space="preserve"> PAGE   \* MERGEFORMAT </w:instrText>
        </w:r>
        <w:r>
          <w:fldChar w:fldCharType="separate"/>
        </w:r>
        <w:r>
          <w:rPr>
            <w:noProof/>
          </w:rPr>
          <w:t>6</w:t>
        </w:r>
        <w:r>
          <w:rPr>
            <w:noProof/>
          </w:rPr>
          <w:fldChar w:fldCharType="end"/>
        </w:r>
      </w:p>
    </w:sdtContent>
  </w:sdt>
  <w:p w14:paraId="1C6F6770" w14:textId="77777777" w:rsidR="000206E4"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26F8C"/>
    <w:multiLevelType w:val="hybridMultilevel"/>
    <w:tmpl w:val="1CBEE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570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BC4"/>
    <w:rsid w:val="00096BD5"/>
    <w:rsid w:val="001260BB"/>
    <w:rsid w:val="00823CBC"/>
    <w:rsid w:val="00BC1BC4"/>
    <w:rsid w:val="00C60C38"/>
    <w:rsid w:val="00DA5E60"/>
    <w:rsid w:val="00DB4AA5"/>
    <w:rsid w:val="00F51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6A10D"/>
  <w15:chartTrackingRefBased/>
  <w15:docId w15:val="{18C240C8-61CA-456F-8802-0CA229EB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BD5"/>
    <w:pPr>
      <w:tabs>
        <w:tab w:val="center" w:pos="4513"/>
        <w:tab w:val="right" w:pos="9026"/>
      </w:tabs>
      <w:spacing w:after="0" w:line="240" w:lineRule="auto"/>
      <w:ind w:firstLine="720"/>
    </w:pPr>
    <w:rPr>
      <w:rFonts w:ascii="Times New Roman" w:hAnsi="Times New Roman"/>
      <w:sz w:val="24"/>
      <w:lang w:val="en-US"/>
    </w:rPr>
  </w:style>
  <w:style w:type="character" w:customStyle="1" w:styleId="HeaderChar">
    <w:name w:val="Header Char"/>
    <w:basedOn w:val="DefaultParagraphFont"/>
    <w:link w:val="Header"/>
    <w:uiPriority w:val="99"/>
    <w:rsid w:val="00096BD5"/>
    <w:rPr>
      <w:rFonts w:ascii="Times New Roman" w:hAnsi="Times New Roman"/>
      <w:sz w:val="24"/>
      <w:lang w:val="en-US"/>
    </w:rPr>
  </w:style>
  <w:style w:type="paragraph" w:styleId="ListParagraph">
    <w:name w:val="List Paragraph"/>
    <w:basedOn w:val="Normal"/>
    <w:uiPriority w:val="34"/>
    <w:qFormat/>
    <w:rsid w:val="00DB4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Sima</dc:creator>
  <cp:keywords/>
  <dc:description/>
  <cp:lastModifiedBy>Georgiana Sima</cp:lastModifiedBy>
  <cp:revision>7</cp:revision>
  <dcterms:created xsi:type="dcterms:W3CDTF">2022-07-28T19:32:00Z</dcterms:created>
  <dcterms:modified xsi:type="dcterms:W3CDTF">2022-07-28T20:04:00Z</dcterms:modified>
</cp:coreProperties>
</file>