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B2584" w:rsidRDefault="006D1979">
      <w:pPr>
        <w:rPr>
          <w:b/>
          <w:sz w:val="24"/>
          <w:szCs w:val="24"/>
        </w:rPr>
      </w:pPr>
      <w:r>
        <w:rPr>
          <w:b/>
          <w:sz w:val="24"/>
          <w:szCs w:val="24"/>
        </w:rPr>
        <w:t>Name: Rikki Hall         ID:</w:t>
      </w:r>
      <w:r w:rsidRPr="006D1979">
        <w:t xml:space="preserve"> </w:t>
      </w:r>
      <w:r w:rsidRPr="006D1979">
        <w:rPr>
          <w:b/>
          <w:sz w:val="24"/>
          <w:szCs w:val="24"/>
        </w:rPr>
        <w:t>1815887</w:t>
      </w:r>
      <w:r>
        <w:rPr>
          <w:b/>
          <w:sz w:val="24"/>
          <w:szCs w:val="24"/>
        </w:rPr>
        <w:t xml:space="preserve">    Course: PCDA         BMPP4002D</w:t>
      </w:r>
    </w:p>
    <w:p w:rsidR="006D1979" w:rsidRDefault="006D1979">
      <w:pPr>
        <w:rPr>
          <w:b/>
          <w:sz w:val="24"/>
          <w:szCs w:val="24"/>
        </w:rPr>
      </w:pPr>
      <w:r>
        <w:rPr>
          <w:b/>
          <w:sz w:val="24"/>
          <w:szCs w:val="24"/>
        </w:rPr>
        <w:t>Assignment One</w:t>
      </w:r>
    </w:p>
    <w:p w:rsidR="006D1979" w:rsidRDefault="006D1979">
      <w:pPr>
        <w:rPr>
          <w:b/>
          <w:sz w:val="24"/>
          <w:szCs w:val="24"/>
        </w:rPr>
      </w:pPr>
    </w:p>
    <w:p w:rsidR="006D1979" w:rsidRDefault="006D1979">
      <w:pPr>
        <w:rPr>
          <w:b/>
          <w:sz w:val="24"/>
          <w:szCs w:val="24"/>
        </w:rPr>
      </w:pPr>
      <w:r>
        <w:rPr>
          <w:b/>
          <w:sz w:val="24"/>
          <w:szCs w:val="24"/>
        </w:rPr>
        <w:t xml:space="preserve">Q1. </w:t>
      </w:r>
    </w:p>
    <w:p w:rsidR="006D1979" w:rsidRDefault="006D1979" w:rsidP="006D1979">
      <w:r>
        <w:t xml:space="preserve">The following essay will analyse the links between organised crime and public protection issues and assess the role and impact of MAPPA (Multi Agency Public Protection Arrangements). It will also consider the use of community intelligence in managing offenders and evaluate the effectiveness of current public protection practices in investigating public protection incidents. It will also explore the effect of media coverage on public protection policing strategy. </w:t>
      </w:r>
    </w:p>
    <w:p w:rsidR="006D1979" w:rsidRDefault="006D1979" w:rsidP="006D1979">
      <w:r>
        <w:t xml:space="preserve">To understand how MAPPA (Multi Agency Public Protection Arrangements) impacts organised crime and public protection issues we first must understand what MAPPA is and how it is effectively used. </w:t>
      </w:r>
    </w:p>
    <w:p w:rsidR="006D1979" w:rsidRDefault="006D1979" w:rsidP="006D1979">
      <w:pPr>
        <w:rPr>
          <w:rFonts w:cstheme="minorHAnsi"/>
        </w:rPr>
      </w:pPr>
      <w:r>
        <w:t xml:space="preserve">MAPPA (Multi Agency Public Protection Arrangements) is a process whereby multiple agencies manage violent and sex offenders with the goal to protect the wider community.  “The Police, Probation, and the Prison Service in each area form a “Responsible Authority” for MAPPA (Multi Agency Public Protection Arrangements), and work together with other agencies such as social services, electronic monitoring providers, registered social landlords, youth offending teams, children’s services, local health services, local authorities, and  Jobcentre plus. MAPPA guidance identifies a framework with four core functions: identifying MAPPA offenders; ensuring relevant information is shared with appropriate agencies; assessing the risk of serious harm and managing risk.” </w:t>
      </w:r>
      <w:r>
        <w:rPr>
          <w:rFonts w:cstheme="minorHAnsi"/>
        </w:rPr>
        <w:t>(Bryant, R an</w:t>
      </w:r>
      <w:r w:rsidRPr="002062C9">
        <w:rPr>
          <w:rFonts w:cstheme="minorHAnsi"/>
        </w:rPr>
        <w:t>d Bryant, S-2018).</w:t>
      </w:r>
    </w:p>
    <w:p w:rsidR="006D1979" w:rsidRDefault="006D1979" w:rsidP="006D1979">
      <w:r>
        <w:t>MAPPA has three different levels of management. It is the responsibility of the police, prison and probation to determine what level the offender comes under. These different levels come with their own level of risk management and different resources.</w:t>
      </w:r>
    </w:p>
    <w:p w:rsidR="006D1979" w:rsidRPr="00A76A1E" w:rsidRDefault="006D1979" w:rsidP="006D1979">
      <w:pPr>
        <w:pStyle w:val="NormalWeb"/>
        <w:shd w:val="clear" w:color="auto" w:fill="FFFFFF"/>
        <w:spacing w:line="390" w:lineRule="atLeast"/>
        <w:rPr>
          <w:rFonts w:asciiTheme="minorHAnsi" w:hAnsiTheme="minorHAnsi" w:cstheme="minorHAnsi"/>
          <w:color w:val="000000" w:themeColor="text1"/>
          <w:sz w:val="22"/>
          <w:szCs w:val="22"/>
        </w:rPr>
      </w:pPr>
      <w:r w:rsidRPr="00A76A1E">
        <w:rPr>
          <w:rFonts w:asciiTheme="minorHAnsi" w:hAnsiTheme="minorHAnsi" w:cstheme="minorHAnsi"/>
          <w:color w:val="000000" w:themeColor="text1"/>
          <w:sz w:val="22"/>
          <w:szCs w:val="22"/>
        </w:rPr>
        <w:t>“Level One: Ordinary agency management</w:t>
      </w:r>
    </w:p>
    <w:p w:rsidR="006D1979" w:rsidRPr="00A76A1E" w:rsidRDefault="006D1979" w:rsidP="006D1979">
      <w:pPr>
        <w:pStyle w:val="NormalWeb"/>
        <w:numPr>
          <w:ilvl w:val="0"/>
          <w:numId w:val="1"/>
        </w:numPr>
        <w:shd w:val="clear" w:color="auto" w:fill="FFFFFF"/>
        <w:spacing w:line="390" w:lineRule="atLeast"/>
        <w:rPr>
          <w:rFonts w:asciiTheme="minorHAnsi" w:hAnsiTheme="minorHAnsi" w:cstheme="minorHAnsi"/>
          <w:color w:val="000000" w:themeColor="text1"/>
          <w:sz w:val="22"/>
          <w:szCs w:val="22"/>
        </w:rPr>
      </w:pPr>
      <w:r w:rsidRPr="00A76A1E">
        <w:rPr>
          <w:rFonts w:asciiTheme="minorHAnsi" w:hAnsiTheme="minorHAnsi" w:cstheme="minorHAnsi"/>
          <w:color w:val="000000" w:themeColor="text1"/>
          <w:sz w:val="22"/>
          <w:szCs w:val="22"/>
        </w:rPr>
        <w:t>Risk management at this level is for offenders assessed as posing a level of risk that can be effectively managed by the agency with primary responsibility for the offender, using standard resources. Typically the lead agency will be probation, youth offending teams, police, or the prison service; however, additional agencies may be involved as required. Home Office statistics suggest that around 71 per cent of MAPPA eligible offenders are managed under level one arrangements (Home Office, 2004).</w:t>
      </w:r>
    </w:p>
    <w:p w:rsidR="006D1979" w:rsidRPr="00A76A1E" w:rsidRDefault="006D1979" w:rsidP="006D1979">
      <w:pPr>
        <w:pStyle w:val="NormalWeb"/>
        <w:shd w:val="clear" w:color="auto" w:fill="FFFFFF"/>
        <w:spacing w:line="390" w:lineRule="atLeast"/>
        <w:rPr>
          <w:rFonts w:asciiTheme="minorHAnsi" w:hAnsiTheme="minorHAnsi" w:cstheme="minorHAnsi"/>
          <w:color w:val="000000" w:themeColor="text1"/>
          <w:sz w:val="22"/>
          <w:szCs w:val="22"/>
        </w:rPr>
      </w:pPr>
      <w:r w:rsidRPr="00A76A1E">
        <w:rPr>
          <w:rFonts w:asciiTheme="minorHAnsi" w:hAnsiTheme="minorHAnsi" w:cstheme="minorHAnsi"/>
          <w:color w:val="000000" w:themeColor="text1"/>
          <w:sz w:val="22"/>
          <w:szCs w:val="22"/>
        </w:rPr>
        <w:t>Level Two: Local risk management</w:t>
      </w:r>
    </w:p>
    <w:p w:rsidR="006D1979" w:rsidRPr="00A76A1E" w:rsidRDefault="006D1979" w:rsidP="006D1979">
      <w:pPr>
        <w:pStyle w:val="NormalWeb"/>
        <w:numPr>
          <w:ilvl w:val="0"/>
          <w:numId w:val="1"/>
        </w:numPr>
        <w:shd w:val="clear" w:color="auto" w:fill="FFFFFF"/>
        <w:spacing w:line="390" w:lineRule="atLeast"/>
        <w:rPr>
          <w:rFonts w:asciiTheme="minorHAnsi" w:hAnsiTheme="minorHAnsi" w:cstheme="minorHAnsi"/>
          <w:color w:val="000000" w:themeColor="text1"/>
          <w:sz w:val="22"/>
          <w:szCs w:val="22"/>
        </w:rPr>
      </w:pPr>
      <w:r w:rsidRPr="00A76A1E">
        <w:rPr>
          <w:rFonts w:asciiTheme="minorHAnsi" w:hAnsiTheme="minorHAnsi" w:cstheme="minorHAnsi"/>
          <w:color w:val="000000" w:themeColor="text1"/>
          <w:sz w:val="22"/>
          <w:szCs w:val="22"/>
        </w:rPr>
        <w:t xml:space="preserve">This level of management was identified for offenders who require the involvement of more than one agency, usually because they pose a high or very high risk of serious harm, but where the risk is not sufficiently high to require full multi-agency involvement. The MAPPA Guidance (2009b) suggests that the three lead agencies – police, probation and the prison </w:t>
      </w:r>
      <w:r w:rsidRPr="00A76A1E">
        <w:rPr>
          <w:rFonts w:asciiTheme="minorHAnsi" w:hAnsiTheme="minorHAnsi" w:cstheme="minorHAnsi"/>
          <w:color w:val="000000" w:themeColor="text1"/>
          <w:sz w:val="22"/>
          <w:szCs w:val="22"/>
        </w:rPr>
        <w:lastRenderedPageBreak/>
        <w:t>service – will be routinely involved in level two cases, with ‘duty to co-operate’ agencies being involved on an </w:t>
      </w:r>
      <w:r w:rsidRPr="00A76A1E">
        <w:rPr>
          <w:rFonts w:asciiTheme="minorHAnsi" w:hAnsiTheme="minorHAnsi" w:cstheme="minorHAnsi"/>
          <w:i/>
          <w:iCs/>
          <w:color w:val="000000" w:themeColor="text1"/>
          <w:sz w:val="22"/>
          <w:szCs w:val="22"/>
        </w:rPr>
        <w:t>ad hoc</w:t>
      </w:r>
      <w:r w:rsidRPr="00A76A1E">
        <w:rPr>
          <w:rFonts w:asciiTheme="minorHAnsi" w:hAnsiTheme="minorHAnsi" w:cstheme="minorHAnsi"/>
          <w:color w:val="000000" w:themeColor="text1"/>
          <w:sz w:val="22"/>
          <w:szCs w:val="22"/>
        </w:rPr>
        <w:t> basis according to the needs of each offender. Home Office statistics suggest around 26 per cent of MAPPA eligible offenders are managed under level two arrangements (Home Office, </w:t>
      </w:r>
      <w:hyperlink r:id="rId5" w:history="1">
        <w:r w:rsidRPr="00A76A1E">
          <w:rPr>
            <w:rStyle w:val="Hyperlink"/>
            <w:rFonts w:asciiTheme="minorHAnsi" w:hAnsiTheme="minorHAnsi" w:cstheme="minorHAnsi"/>
            <w:color w:val="000000" w:themeColor="text1"/>
            <w:sz w:val="22"/>
            <w:szCs w:val="22"/>
          </w:rPr>
          <w:t>2006</w:t>
        </w:r>
      </w:hyperlink>
      <w:r w:rsidRPr="00A76A1E">
        <w:rPr>
          <w:rFonts w:asciiTheme="minorHAnsi" w:hAnsiTheme="minorHAnsi" w:cstheme="minorHAnsi"/>
          <w:color w:val="000000" w:themeColor="text1"/>
          <w:sz w:val="22"/>
          <w:szCs w:val="22"/>
        </w:rPr>
        <w:t>).</w:t>
      </w:r>
    </w:p>
    <w:p w:rsidR="006D1979" w:rsidRPr="00A76A1E" w:rsidRDefault="006D1979" w:rsidP="006D1979">
      <w:pPr>
        <w:pStyle w:val="NormalWeb"/>
        <w:shd w:val="clear" w:color="auto" w:fill="FFFFFF"/>
        <w:spacing w:line="390" w:lineRule="atLeast"/>
        <w:rPr>
          <w:rFonts w:asciiTheme="minorHAnsi" w:hAnsiTheme="minorHAnsi" w:cstheme="minorHAnsi"/>
          <w:color w:val="000000" w:themeColor="text1"/>
          <w:sz w:val="22"/>
          <w:szCs w:val="22"/>
        </w:rPr>
      </w:pPr>
      <w:r w:rsidRPr="00A76A1E">
        <w:rPr>
          <w:rFonts w:asciiTheme="minorHAnsi" w:hAnsiTheme="minorHAnsi" w:cstheme="minorHAnsi"/>
          <w:color w:val="000000" w:themeColor="text1"/>
          <w:sz w:val="22"/>
          <w:szCs w:val="22"/>
        </w:rPr>
        <w:t>Level 3 – Multi-agency public protection panels (MAPPPs).</w:t>
      </w:r>
    </w:p>
    <w:p w:rsidR="006D1979" w:rsidRPr="00A76A1E" w:rsidRDefault="006D1979" w:rsidP="006D1979">
      <w:pPr>
        <w:pStyle w:val="NormalWeb"/>
        <w:numPr>
          <w:ilvl w:val="0"/>
          <w:numId w:val="1"/>
        </w:numPr>
        <w:shd w:val="clear" w:color="auto" w:fill="FFFFFF"/>
        <w:spacing w:line="390" w:lineRule="atLeast"/>
        <w:rPr>
          <w:rFonts w:asciiTheme="minorHAnsi" w:hAnsiTheme="minorHAnsi" w:cstheme="minorHAnsi"/>
          <w:color w:val="000000" w:themeColor="text1"/>
          <w:sz w:val="22"/>
          <w:szCs w:val="22"/>
        </w:rPr>
      </w:pPr>
      <w:r w:rsidRPr="00A76A1E">
        <w:rPr>
          <w:rFonts w:asciiTheme="minorHAnsi" w:hAnsiTheme="minorHAnsi" w:cstheme="minorHAnsi"/>
          <w:color w:val="000000" w:themeColor="text1"/>
          <w:sz w:val="22"/>
          <w:szCs w:val="22"/>
        </w:rPr>
        <w:t>The MAPPA Guidance (Home Office, 2009b) suggests that offenders requiring management at this level, whilst in the minority, require the maximum resources, in terms of the range of agencies and the senior representation required. In almost all cases, the offender will be assessed as high, or very high risk of serious harm, because of the imminent and significant danger or risk they potentially pose to the public. Home Office statistics indicate that only around 3 per cent of MAPPA eligible offenders are managed at level 3 (Home Office, </w:t>
      </w:r>
      <w:hyperlink r:id="rId6" w:history="1">
        <w:r w:rsidRPr="00A76A1E">
          <w:rPr>
            <w:rStyle w:val="Hyperlink"/>
            <w:rFonts w:asciiTheme="minorHAnsi" w:hAnsiTheme="minorHAnsi" w:cstheme="minorHAnsi"/>
            <w:color w:val="000000" w:themeColor="text1"/>
            <w:sz w:val="22"/>
            <w:szCs w:val="22"/>
          </w:rPr>
          <w:t>2006</w:t>
        </w:r>
      </w:hyperlink>
      <w:r w:rsidRPr="00A76A1E">
        <w:rPr>
          <w:rFonts w:asciiTheme="minorHAnsi" w:hAnsiTheme="minorHAnsi" w:cstheme="minorHAnsi"/>
          <w:color w:val="000000" w:themeColor="text1"/>
          <w:sz w:val="22"/>
          <w:szCs w:val="22"/>
        </w:rPr>
        <w:t>). Level 3 exists for those cases:</w:t>
      </w:r>
    </w:p>
    <w:p w:rsidR="006D1979" w:rsidRPr="00A76A1E" w:rsidRDefault="006D1979" w:rsidP="006D1979">
      <w:pPr>
        <w:pStyle w:val="NormalWeb"/>
        <w:numPr>
          <w:ilvl w:val="0"/>
          <w:numId w:val="1"/>
        </w:numPr>
        <w:shd w:val="clear" w:color="auto" w:fill="FFFFFF"/>
        <w:spacing w:line="390" w:lineRule="atLeast"/>
        <w:rPr>
          <w:rFonts w:asciiTheme="minorHAnsi" w:hAnsiTheme="minorHAnsi" w:cstheme="minorHAnsi"/>
          <w:color w:val="000000" w:themeColor="text1"/>
          <w:sz w:val="22"/>
          <w:szCs w:val="22"/>
        </w:rPr>
      </w:pPr>
      <w:r w:rsidRPr="00A76A1E">
        <w:rPr>
          <w:rFonts w:asciiTheme="minorHAnsi" w:hAnsiTheme="minorHAnsi" w:cstheme="minorHAnsi"/>
          <w:color w:val="000000" w:themeColor="text1"/>
          <w:sz w:val="22"/>
          <w:szCs w:val="22"/>
        </w:rPr>
        <w:t xml:space="preserve">Assessed using the </w:t>
      </w:r>
      <w:proofErr w:type="spellStart"/>
      <w:r w:rsidRPr="00A76A1E">
        <w:rPr>
          <w:rFonts w:asciiTheme="minorHAnsi" w:hAnsiTheme="minorHAnsi" w:cstheme="minorHAnsi"/>
          <w:color w:val="000000" w:themeColor="text1"/>
          <w:sz w:val="22"/>
          <w:szCs w:val="22"/>
        </w:rPr>
        <w:t>OASys</w:t>
      </w:r>
      <w:proofErr w:type="spellEnd"/>
      <w:r w:rsidRPr="00A76A1E">
        <w:rPr>
          <w:rFonts w:asciiTheme="minorHAnsi" w:hAnsiTheme="minorHAnsi" w:cstheme="minorHAnsi"/>
          <w:color w:val="000000" w:themeColor="text1"/>
          <w:sz w:val="22"/>
          <w:szCs w:val="22"/>
        </w:rPr>
        <w:t xml:space="preserve"> tool as being high or very high risk.</w:t>
      </w:r>
    </w:p>
    <w:p w:rsidR="006D1979" w:rsidRPr="00A76A1E" w:rsidRDefault="006D1979" w:rsidP="006D1979">
      <w:pPr>
        <w:pStyle w:val="NormalWeb"/>
        <w:shd w:val="clear" w:color="auto" w:fill="FFFFFF"/>
        <w:spacing w:line="390" w:lineRule="atLeast"/>
        <w:ind w:left="720"/>
        <w:rPr>
          <w:rFonts w:asciiTheme="minorHAnsi" w:hAnsiTheme="minorHAnsi" w:cstheme="minorHAnsi"/>
          <w:color w:val="000000" w:themeColor="text1"/>
          <w:sz w:val="22"/>
          <w:szCs w:val="22"/>
        </w:rPr>
      </w:pPr>
      <w:proofErr w:type="gramStart"/>
      <w:r w:rsidRPr="00A76A1E">
        <w:rPr>
          <w:rFonts w:asciiTheme="minorHAnsi" w:hAnsiTheme="minorHAnsi" w:cstheme="minorHAnsi"/>
          <w:color w:val="000000" w:themeColor="text1"/>
          <w:sz w:val="22"/>
          <w:szCs w:val="22"/>
        </w:rPr>
        <w:t>and</w:t>
      </w:r>
      <w:proofErr w:type="gramEnd"/>
    </w:p>
    <w:p w:rsidR="006D1979" w:rsidRPr="00A76A1E" w:rsidRDefault="006D1979" w:rsidP="006D1979">
      <w:pPr>
        <w:pStyle w:val="NormalWeb"/>
        <w:numPr>
          <w:ilvl w:val="0"/>
          <w:numId w:val="1"/>
        </w:numPr>
        <w:shd w:val="clear" w:color="auto" w:fill="FFFFFF"/>
        <w:spacing w:line="390" w:lineRule="atLeast"/>
        <w:rPr>
          <w:rFonts w:asciiTheme="minorHAnsi" w:hAnsiTheme="minorHAnsi" w:cstheme="minorHAnsi"/>
          <w:color w:val="000000" w:themeColor="text1"/>
          <w:sz w:val="22"/>
          <w:szCs w:val="22"/>
        </w:rPr>
      </w:pPr>
      <w:r w:rsidRPr="00A76A1E">
        <w:rPr>
          <w:rFonts w:asciiTheme="minorHAnsi" w:hAnsiTheme="minorHAnsi" w:cstheme="minorHAnsi"/>
          <w:color w:val="000000" w:themeColor="text1"/>
          <w:sz w:val="22"/>
          <w:szCs w:val="22"/>
        </w:rPr>
        <w:t>Who present risks that can only be managed by a plan which requires close co-operation at a senior level due to the complexity of the case and/or because of the unusual resource commitments it requires.</w:t>
      </w:r>
    </w:p>
    <w:p w:rsidR="006D1979" w:rsidRPr="00A76A1E" w:rsidRDefault="006D1979" w:rsidP="006D1979">
      <w:pPr>
        <w:pStyle w:val="NormalWeb"/>
        <w:shd w:val="clear" w:color="auto" w:fill="FFFFFF"/>
        <w:spacing w:line="390" w:lineRule="atLeast"/>
        <w:ind w:left="720"/>
        <w:rPr>
          <w:rFonts w:asciiTheme="minorHAnsi" w:hAnsiTheme="minorHAnsi" w:cstheme="minorHAnsi"/>
          <w:color w:val="000000" w:themeColor="text1"/>
          <w:sz w:val="22"/>
          <w:szCs w:val="22"/>
        </w:rPr>
      </w:pPr>
      <w:proofErr w:type="gramStart"/>
      <w:r w:rsidRPr="00A76A1E">
        <w:rPr>
          <w:rFonts w:asciiTheme="minorHAnsi" w:hAnsiTheme="minorHAnsi" w:cstheme="minorHAnsi"/>
          <w:color w:val="000000" w:themeColor="text1"/>
          <w:sz w:val="22"/>
          <w:szCs w:val="22"/>
        </w:rPr>
        <w:t>or</w:t>
      </w:r>
      <w:proofErr w:type="gramEnd"/>
    </w:p>
    <w:p w:rsidR="006D1979" w:rsidRPr="00A76A1E" w:rsidRDefault="006D1979" w:rsidP="006D1979">
      <w:pPr>
        <w:pStyle w:val="NormalWeb"/>
        <w:numPr>
          <w:ilvl w:val="0"/>
          <w:numId w:val="1"/>
        </w:numPr>
        <w:shd w:val="clear" w:color="auto" w:fill="FFFFFF"/>
        <w:spacing w:line="390" w:lineRule="atLeast"/>
        <w:rPr>
          <w:rFonts w:asciiTheme="minorHAnsi" w:hAnsiTheme="minorHAnsi" w:cstheme="minorHAnsi"/>
          <w:color w:val="000000" w:themeColor="text1"/>
          <w:sz w:val="22"/>
          <w:szCs w:val="22"/>
        </w:rPr>
      </w:pPr>
      <w:r w:rsidRPr="00A76A1E">
        <w:rPr>
          <w:rFonts w:asciiTheme="minorHAnsi" w:hAnsiTheme="minorHAnsi" w:cstheme="minorHAnsi"/>
          <w:color w:val="000000" w:themeColor="text1"/>
          <w:sz w:val="22"/>
          <w:szCs w:val="22"/>
        </w:rPr>
        <w:t>Who although not assessed as a high or very high risk, are exceptional because the likelihood of media scrutiny and/or public interest in the management of the case is very high and there is a need to ensure that public confidence in the criminal justice system is sustained.”(Wood-2012)</w:t>
      </w:r>
    </w:p>
    <w:p w:rsidR="006D1979" w:rsidRDefault="006D1979" w:rsidP="006D1979">
      <w:pPr>
        <w:rPr>
          <w:rFonts w:cstheme="minorHAnsi"/>
          <w:color w:val="000000" w:themeColor="text1"/>
          <w:shd w:val="clear" w:color="auto" w:fill="FFFFFF"/>
        </w:rPr>
      </w:pPr>
      <w:r>
        <w:t xml:space="preserve"> One of the main form of public protection MAPPA helps to protect the public against is paedophiles and paedophile rings. MAPPA can help share information amongst police, Prison service and probation services to make sure frequent and past offenders do not come into contact with children in their everyday lives. This can be done be informing employers and volunteer groups who require special screening such as a DBS (</w:t>
      </w:r>
      <w:r w:rsidRPr="00A76A1E">
        <w:rPr>
          <w:rFonts w:cstheme="minorHAnsi"/>
          <w:color w:val="000000" w:themeColor="text1"/>
          <w:shd w:val="clear" w:color="auto" w:fill="FFFFFF"/>
        </w:rPr>
        <w:t>Disclosure and Barring Service)</w:t>
      </w:r>
      <w:r w:rsidRPr="00A76A1E">
        <w:rPr>
          <w:rFonts w:cstheme="minorHAnsi"/>
          <w:color w:val="000000" w:themeColor="text1"/>
          <w:sz w:val="20"/>
          <w:szCs w:val="20"/>
          <w:shd w:val="clear" w:color="auto" w:fill="FFFFFF"/>
        </w:rPr>
        <w:t xml:space="preserve"> </w:t>
      </w:r>
      <w:r w:rsidRPr="00A76A1E">
        <w:rPr>
          <w:rFonts w:cstheme="minorHAnsi"/>
          <w:color w:val="000000" w:themeColor="text1"/>
          <w:shd w:val="clear" w:color="auto" w:fill="FFFFFF"/>
        </w:rPr>
        <w:t>check</w:t>
      </w:r>
      <w:r>
        <w:rPr>
          <w:rFonts w:cstheme="minorHAnsi"/>
          <w:color w:val="000000" w:themeColor="text1"/>
          <w:shd w:val="clear" w:color="auto" w:fill="FFFFFF"/>
        </w:rPr>
        <w:t xml:space="preserve"> for jobs working or volunteering with children or vulnerable adults.</w:t>
      </w:r>
    </w:p>
    <w:p w:rsidR="006D1979" w:rsidRDefault="006D1979" w:rsidP="006D1979">
      <w:pPr>
        <w:rPr>
          <w:rFonts w:cstheme="minorHAnsi"/>
          <w:color w:val="000000" w:themeColor="text1"/>
          <w:shd w:val="clear" w:color="auto" w:fill="FFFFFF"/>
        </w:rPr>
      </w:pPr>
      <w:r>
        <w:rPr>
          <w:rFonts w:cstheme="minorHAnsi"/>
          <w:color w:val="000000" w:themeColor="text1"/>
          <w:shd w:val="clear" w:color="auto" w:fill="FFFFFF"/>
        </w:rPr>
        <w:t xml:space="preserve">Community intelligence can also be a useful tool to manage offenders whereby gathering information from the public with Police Constables or Police Community Support Officers speaking to members of the public or the public reporting incidents themselves. This information could contain whether MAPPA managed offenders visit certain areas and what their behaviour is like whilst at these locations. This intelligence can help patrol strategies at these locations to help </w:t>
      </w:r>
      <w:r>
        <w:rPr>
          <w:rFonts w:cstheme="minorHAnsi"/>
          <w:color w:val="000000" w:themeColor="text1"/>
          <w:shd w:val="clear" w:color="auto" w:fill="FFFFFF"/>
        </w:rPr>
        <w:lastRenderedPageBreak/>
        <w:t>monitor offenders and to establish whether they are not breaking court orders or engaging in activity which they are prone to do.</w:t>
      </w:r>
    </w:p>
    <w:p w:rsidR="006D1979" w:rsidRDefault="006D1979" w:rsidP="006D1979">
      <w:pPr>
        <w:rPr>
          <w:rFonts w:cstheme="minorHAnsi"/>
          <w:color w:val="000000" w:themeColor="text1"/>
          <w:shd w:val="clear" w:color="auto" w:fill="FFFFFF"/>
        </w:rPr>
      </w:pPr>
      <w:r>
        <w:rPr>
          <w:rFonts w:cstheme="minorHAnsi"/>
          <w:color w:val="000000" w:themeColor="text1"/>
          <w:shd w:val="clear" w:color="auto" w:fill="FFFFFF"/>
        </w:rPr>
        <w:t>Media coverage can also help warn members of the public on prison releases of high risk offenders which are in Level two or three of MAPPA. Whether this be via social media or via my conventional media outlets warning members of the public can help prevent high risk offenders taking advantage of the more vulnerable members of society and being wary of the offender’s habits.</w:t>
      </w:r>
    </w:p>
    <w:p w:rsidR="006D1979" w:rsidRDefault="006D1979" w:rsidP="006D1979">
      <w:pPr>
        <w:rPr>
          <w:rFonts w:cstheme="minorHAnsi"/>
          <w:color w:val="000000" w:themeColor="text1"/>
          <w:shd w:val="clear" w:color="auto" w:fill="FFFFFF"/>
        </w:rPr>
      </w:pPr>
      <w:r>
        <w:rPr>
          <w:rFonts w:cstheme="minorHAnsi"/>
          <w:color w:val="000000" w:themeColor="text1"/>
          <w:shd w:val="clear" w:color="auto" w:fill="FFFFFF"/>
        </w:rPr>
        <w:t>In conclusion using multiple agencies to help managing violent and sexual offenders is effective in public protection. Information sharing is key across agencies to help managing offenders. Organised crime can cause multiple public protection issues such as cuckooing whereby organised gangs are taking advantage or vulnerable people using their homes as bases for drug dealing or using young people and children as drug mules to sell drugs in different cities. MAPPA helps agencies share information on these offenders to help these vulnerable members of society by alerting the appropriate authorities and making them aware of their level of risk. Using a multi-agency approach takes pressure off police resources whereby without them a lot of their time would be spent managing these offenders. MAPPA allows a balanced and proportionate approach in dealing with violent and sexual offenders based on their level of risk.</w:t>
      </w:r>
    </w:p>
    <w:p w:rsidR="006D1979" w:rsidRDefault="006D1979">
      <w:pPr>
        <w:rPr>
          <w:b/>
          <w:sz w:val="24"/>
          <w:szCs w:val="24"/>
        </w:rPr>
      </w:pPr>
      <w:r>
        <w:rPr>
          <w:b/>
          <w:sz w:val="24"/>
          <w:szCs w:val="24"/>
        </w:rPr>
        <w:t>1018 words</w:t>
      </w:r>
    </w:p>
    <w:p w:rsidR="006D1979" w:rsidRDefault="006D1979">
      <w:pPr>
        <w:rPr>
          <w:b/>
          <w:sz w:val="24"/>
          <w:szCs w:val="24"/>
        </w:rPr>
      </w:pPr>
      <w:r>
        <w:rPr>
          <w:b/>
          <w:sz w:val="24"/>
          <w:szCs w:val="24"/>
        </w:rPr>
        <w:t>References:</w:t>
      </w:r>
    </w:p>
    <w:p w:rsidR="006D1979" w:rsidRPr="00D138E2" w:rsidRDefault="006D1979" w:rsidP="006D1979">
      <w:pPr>
        <w:pStyle w:val="ListParagraph"/>
      </w:pPr>
      <w:r w:rsidRPr="00D138E2">
        <w:rPr>
          <w:rFonts w:cstheme="minorHAnsi"/>
        </w:rPr>
        <w:t xml:space="preserve">Bryant, R and Bryant, S (2018). </w:t>
      </w:r>
      <w:r w:rsidRPr="00D138E2">
        <w:rPr>
          <w:rFonts w:cstheme="minorHAnsi"/>
          <w:i/>
        </w:rPr>
        <w:t xml:space="preserve">Blackstone’s handbook for Policing Students. </w:t>
      </w:r>
      <w:r w:rsidRPr="00D138E2">
        <w:rPr>
          <w:rFonts w:cstheme="minorHAnsi"/>
        </w:rPr>
        <w:t>13</w:t>
      </w:r>
      <w:r w:rsidRPr="00D138E2">
        <w:rPr>
          <w:rFonts w:cstheme="minorHAnsi"/>
          <w:vertAlign w:val="superscript"/>
        </w:rPr>
        <w:t>th</w:t>
      </w:r>
      <w:r w:rsidRPr="00D138E2">
        <w:rPr>
          <w:rFonts w:cstheme="minorHAnsi"/>
        </w:rPr>
        <w:t xml:space="preserve"> ed. Oxford, UK: Oxford University Press</w:t>
      </w:r>
    </w:p>
    <w:p w:rsidR="006D1979" w:rsidRDefault="006D1979" w:rsidP="006D1979">
      <w:pPr>
        <w:pStyle w:val="ListParagraph"/>
      </w:pPr>
      <w:r>
        <w:rPr>
          <w:rFonts w:ascii="Verdana" w:hAnsi="Verdana"/>
          <w:color w:val="000000"/>
          <w:sz w:val="20"/>
          <w:szCs w:val="20"/>
        </w:rPr>
        <w:t>Joanne Wood. (2012). MAPPA Level 3 offenders: Reconviction as a measure of effectiveness. </w:t>
      </w:r>
      <w:r>
        <w:rPr>
          <w:rFonts w:ascii="Verdana" w:hAnsi="Verdana"/>
          <w:i/>
          <w:iCs/>
          <w:color w:val="000000"/>
          <w:sz w:val="20"/>
          <w:szCs w:val="20"/>
        </w:rPr>
        <w:t>Probation Journal</w:t>
      </w:r>
      <w:r>
        <w:rPr>
          <w:rFonts w:ascii="Verdana" w:hAnsi="Verdana"/>
          <w:color w:val="000000"/>
          <w:sz w:val="20"/>
          <w:szCs w:val="20"/>
        </w:rPr>
        <w:t>. 59(2) (2), 111-123.</w:t>
      </w:r>
    </w:p>
    <w:p w:rsidR="006D1979" w:rsidRDefault="006D1979">
      <w:pPr>
        <w:rPr>
          <w:sz w:val="24"/>
          <w:szCs w:val="24"/>
        </w:rPr>
      </w:pPr>
    </w:p>
    <w:p w:rsidR="006D1979" w:rsidRDefault="006D1979">
      <w:pPr>
        <w:rPr>
          <w:b/>
          <w:sz w:val="24"/>
          <w:szCs w:val="24"/>
        </w:rPr>
      </w:pPr>
      <w:r>
        <w:rPr>
          <w:b/>
          <w:sz w:val="24"/>
          <w:szCs w:val="24"/>
        </w:rPr>
        <w:t xml:space="preserve">Q2. </w:t>
      </w:r>
    </w:p>
    <w:p w:rsidR="00572BC8" w:rsidRDefault="00572BC8" w:rsidP="00572BC8">
      <w:r>
        <w:t>The following assignment will analyse the role of professional standards and independent bodies in holding the Police accountable to the public and the impact of malpractice and corruption on Policing.</w:t>
      </w:r>
    </w:p>
    <w:p w:rsidR="00572BC8" w:rsidRDefault="00572BC8" w:rsidP="00572BC8">
      <w:r>
        <w:t xml:space="preserve">Professional Standards is a body within the Police structure which investigates malpractice and corruption within its ranks. Professional Standards are guided primarily by the legislation that is Police Regulations 2020, Police (Conduct) Regulations 2020, Police (Complaints and Misconduct) Regulations 2020, Police (Performance) Regulations 2020, Police Appeals Tribunal Rules </w:t>
      </w:r>
      <w:proofErr w:type="gramStart"/>
      <w:r>
        <w:t>2020 ,</w:t>
      </w:r>
      <w:proofErr w:type="gramEnd"/>
      <w:r>
        <w:t xml:space="preserve"> and the Police Barred List and the Police Advisory List Regulations 2017. Home Office Guidance provides guidance to decision makers and practitioners working within Professional Standards relating to conduct matters, handling complaints, injuries and deaths.  “It sets out the intention behind the standards, expectations of behaviour and the College of Policing’s Code of Ethics which underpin the standards. Application of the standards is discussed and should be read in conjunction with chapters in this guidance on misconduct proceedings and the legal framework when considering whether an officer’s conduct justifies disciplinary proceedings. It sets out the expectations of off-duty conduct for police officers and where actions might bring discredit to the police service.”(Home Office-2020)</w:t>
      </w:r>
    </w:p>
    <w:p w:rsidR="00572BC8" w:rsidRDefault="00572BC8" w:rsidP="00572BC8">
      <w:r>
        <w:t xml:space="preserve">As stated by Home office guidance Professional standards enforce that officers are following the College of Policing’s Code of Ethics. The Code of Ethics is based upon the nine Policing Principles. “Every person working for the police service must work honestly and ethically. The public expect the </w:t>
      </w:r>
      <w:r>
        <w:lastRenderedPageBreak/>
        <w:t>police to do the right thing in the right way. Basing decisions and actions on a set of policing principles will help to achieve this. The principles set out in this Code of Ethics originate from the ‘Principles of Public Life’ published by the Committee on Standards in Public Life in 1995, as these continue to reflect public expectations. The Code includes the principles of ‘fairness’ and ‘respect’ as research has shown these to be crucial to maintaining and enhancing public confidence in policing.</w:t>
      </w:r>
    </w:p>
    <w:p w:rsidR="00572BC8" w:rsidRDefault="00572BC8" w:rsidP="00572BC8"/>
    <w:p w:rsidR="00572BC8" w:rsidRDefault="00572BC8" w:rsidP="00572BC8">
      <w:r>
        <w:t>.Accountability</w:t>
      </w:r>
    </w:p>
    <w:p w:rsidR="00572BC8" w:rsidRDefault="00572BC8" w:rsidP="00572BC8">
      <w:r>
        <w:t xml:space="preserve"> You are answerable for your decisions, actions and omissions. </w:t>
      </w:r>
    </w:p>
    <w:p w:rsidR="00572BC8" w:rsidRDefault="00572BC8" w:rsidP="00572BC8">
      <w:r>
        <w:t xml:space="preserve">.Fairness </w:t>
      </w:r>
    </w:p>
    <w:p w:rsidR="00572BC8" w:rsidRDefault="00572BC8" w:rsidP="00572BC8">
      <w:r>
        <w:t>You treat people fairly.</w:t>
      </w:r>
    </w:p>
    <w:p w:rsidR="00572BC8" w:rsidRDefault="00572BC8" w:rsidP="00572BC8">
      <w:r>
        <w:t xml:space="preserve">.Honesty </w:t>
      </w:r>
    </w:p>
    <w:p w:rsidR="00572BC8" w:rsidRDefault="00572BC8" w:rsidP="00572BC8">
      <w:r>
        <w:t xml:space="preserve">You are truthful and trustworthy. </w:t>
      </w:r>
    </w:p>
    <w:p w:rsidR="00572BC8" w:rsidRDefault="00572BC8" w:rsidP="00572BC8">
      <w:r>
        <w:t xml:space="preserve">.Integrity </w:t>
      </w:r>
    </w:p>
    <w:p w:rsidR="00572BC8" w:rsidRDefault="00572BC8" w:rsidP="00572BC8">
      <w:r>
        <w:t xml:space="preserve">You always do the right thing. </w:t>
      </w:r>
    </w:p>
    <w:p w:rsidR="00572BC8" w:rsidRDefault="00572BC8" w:rsidP="00572BC8">
      <w:r>
        <w:t xml:space="preserve">.Leadership </w:t>
      </w:r>
    </w:p>
    <w:p w:rsidR="00572BC8" w:rsidRDefault="00572BC8" w:rsidP="00572BC8">
      <w:r>
        <w:t xml:space="preserve">You lead by good example. </w:t>
      </w:r>
    </w:p>
    <w:p w:rsidR="00572BC8" w:rsidRDefault="00572BC8" w:rsidP="00572BC8">
      <w:r>
        <w:t>.Objectivity</w:t>
      </w:r>
    </w:p>
    <w:p w:rsidR="00572BC8" w:rsidRDefault="00572BC8" w:rsidP="00572BC8">
      <w:r>
        <w:t xml:space="preserve">You make choices on evidence and your best professional judgement. </w:t>
      </w:r>
    </w:p>
    <w:p w:rsidR="00572BC8" w:rsidRDefault="00572BC8" w:rsidP="00572BC8">
      <w:r>
        <w:t xml:space="preserve">.Openness </w:t>
      </w:r>
    </w:p>
    <w:p w:rsidR="00572BC8" w:rsidRDefault="00572BC8" w:rsidP="00572BC8">
      <w:r>
        <w:t xml:space="preserve">You are open and transparent in your actions and decisions. </w:t>
      </w:r>
    </w:p>
    <w:p w:rsidR="00572BC8" w:rsidRDefault="00572BC8" w:rsidP="00572BC8">
      <w:r>
        <w:t xml:space="preserve">.Respect </w:t>
      </w:r>
    </w:p>
    <w:p w:rsidR="00572BC8" w:rsidRDefault="00572BC8" w:rsidP="00572BC8">
      <w:r>
        <w:t>You treat everyone with respect.</w:t>
      </w:r>
    </w:p>
    <w:p w:rsidR="00572BC8" w:rsidRDefault="00572BC8" w:rsidP="00572BC8">
      <w:r>
        <w:t xml:space="preserve">.Selflessness </w:t>
      </w:r>
    </w:p>
    <w:p w:rsidR="00572BC8" w:rsidRDefault="00572BC8" w:rsidP="00572BC8">
      <w:r>
        <w:t>You act in the public interest.” (College of Policing-2014)</w:t>
      </w:r>
    </w:p>
    <w:p w:rsidR="00572BC8" w:rsidRDefault="00572BC8" w:rsidP="00572BC8"/>
    <w:p w:rsidR="00572BC8" w:rsidRDefault="00572BC8" w:rsidP="00572BC8">
      <w:pPr>
        <w:rPr>
          <w:color w:val="000000" w:themeColor="text1"/>
        </w:rPr>
      </w:pPr>
      <w:r>
        <w:t>In January 2018, the IOCP (Independent Office for Police Conduct) took over the responsibility of the IPCC (Independent Police Complaints Commission). The IOCP is able to conduct their own investigations into Police misconduct without a Police service recording and referring it to them. The Independent Office for Police Conduct also deals with complaints and misconduct regarding the Home Office, HMRC (</w:t>
      </w:r>
      <w:r>
        <w:rPr>
          <w:rFonts w:ascii="Arial" w:hAnsi="Arial" w:cs="Arial"/>
          <w:color w:val="000000" w:themeColor="text1"/>
          <w:sz w:val="21"/>
          <w:szCs w:val="21"/>
          <w:shd w:val="clear" w:color="auto" w:fill="FFFFFF"/>
        </w:rPr>
        <w:t>Her Majesty's Revenue and Customs</w:t>
      </w:r>
      <w:r>
        <w:rPr>
          <w:color w:val="000000" w:themeColor="text1"/>
        </w:rPr>
        <w:t>), PCC (Police and Crime Commissioners), NCA (National Crime Agency), and more.</w:t>
      </w:r>
    </w:p>
    <w:p w:rsidR="00572BC8" w:rsidRDefault="00572BC8" w:rsidP="00572BC8">
      <w:pPr>
        <w:rPr>
          <w:color w:val="000000" w:themeColor="text1"/>
        </w:rPr>
      </w:pPr>
      <w:r>
        <w:rPr>
          <w:color w:val="000000" w:themeColor="text1"/>
        </w:rPr>
        <w:t>There are four types of misconduct investigation:</w:t>
      </w:r>
    </w:p>
    <w:p w:rsidR="00572BC8" w:rsidRDefault="00572BC8" w:rsidP="00572BC8">
      <w:pPr>
        <w:pStyle w:val="ListParagraph"/>
        <w:numPr>
          <w:ilvl w:val="0"/>
          <w:numId w:val="3"/>
        </w:numPr>
        <w:spacing w:line="256" w:lineRule="auto"/>
        <w:rPr>
          <w:color w:val="000000" w:themeColor="text1"/>
        </w:rPr>
      </w:pPr>
      <w:r>
        <w:rPr>
          <w:color w:val="000000" w:themeColor="text1"/>
        </w:rPr>
        <w:t xml:space="preserve">Local Police investigation- In these investigations there is no IOCP intervention and will be conducted by the force’s Professional Standards Department. These investigations are </w:t>
      </w:r>
      <w:r>
        <w:rPr>
          <w:color w:val="000000" w:themeColor="text1"/>
        </w:rPr>
        <w:lastRenderedPageBreak/>
        <w:t>usually resolved via informal resolution and there is not necessarily a disciplinary action taken at the resolution of the investigation.</w:t>
      </w:r>
    </w:p>
    <w:p w:rsidR="00572BC8" w:rsidRDefault="00572BC8" w:rsidP="00572BC8">
      <w:pPr>
        <w:pStyle w:val="ListParagraph"/>
        <w:numPr>
          <w:ilvl w:val="0"/>
          <w:numId w:val="3"/>
        </w:numPr>
        <w:spacing w:line="256" w:lineRule="auto"/>
        <w:rPr>
          <w:color w:val="000000" w:themeColor="text1"/>
        </w:rPr>
      </w:pPr>
      <w:r>
        <w:rPr>
          <w:color w:val="000000" w:themeColor="text1"/>
        </w:rPr>
        <w:t xml:space="preserve">IOCP supervised- These investigations are when the alleged misconduct can be deemed as significant and has a public interest. The Police will conduct these investigations however they will be supervised by the IOCP. </w:t>
      </w:r>
    </w:p>
    <w:p w:rsidR="00572BC8" w:rsidRDefault="00572BC8" w:rsidP="00572BC8">
      <w:pPr>
        <w:pStyle w:val="ListParagraph"/>
        <w:numPr>
          <w:ilvl w:val="0"/>
          <w:numId w:val="3"/>
        </w:numPr>
        <w:spacing w:line="256" w:lineRule="auto"/>
        <w:rPr>
          <w:color w:val="000000" w:themeColor="text1"/>
        </w:rPr>
      </w:pPr>
      <w:r>
        <w:rPr>
          <w:color w:val="000000" w:themeColor="text1"/>
        </w:rPr>
        <w:t xml:space="preserve">IOCP managed- Investigations that require management by the IOCP are likely to cause a high level of public interest and are more volatile. The IOCP will directly manage the investigation however members of the police service will be conducting the investigative procedures. </w:t>
      </w:r>
    </w:p>
    <w:p w:rsidR="00572BC8" w:rsidRDefault="00572BC8" w:rsidP="00572BC8">
      <w:pPr>
        <w:pStyle w:val="ListParagraph"/>
        <w:numPr>
          <w:ilvl w:val="0"/>
          <w:numId w:val="3"/>
        </w:numPr>
        <w:spacing w:line="256" w:lineRule="auto"/>
        <w:rPr>
          <w:color w:val="000000" w:themeColor="text1"/>
        </w:rPr>
      </w:pPr>
      <w:r>
        <w:rPr>
          <w:color w:val="000000" w:themeColor="text1"/>
        </w:rPr>
        <w:t xml:space="preserve">IOCP independent: These investigations are conducted independently from the police service and are used when there is a very high level of public impact and will gravely effect the reputation of the Police service such as a death or serious injury. </w:t>
      </w:r>
    </w:p>
    <w:p w:rsidR="00572BC8" w:rsidRDefault="00572BC8" w:rsidP="00572BC8">
      <w:pPr>
        <w:rPr>
          <w:color w:val="000000" w:themeColor="text1"/>
        </w:rPr>
      </w:pPr>
      <w:r>
        <w:rPr>
          <w:color w:val="000000" w:themeColor="text1"/>
        </w:rPr>
        <w:t xml:space="preserve">  Police corruption can affect the public’s perception of integrity and relationship with the Police service locally and nationally. There are many forms of corruption Police can engage in such as Corruption of authority (Receiving free drinks and meals from members of the public as gift), Opportunistic Theft (stealing from arrested suspects or homes which are being searched), Protection of illegal activities (being bribed to protect certain drug operations), Brutality (Using excessive and unproportioned use of force) and many more. </w:t>
      </w:r>
    </w:p>
    <w:p w:rsidR="00572BC8" w:rsidRDefault="00572BC8" w:rsidP="00572BC8">
      <w:pPr>
        <w:rPr>
          <w:color w:val="000000" w:themeColor="text1"/>
        </w:rPr>
      </w:pPr>
      <w:r>
        <w:rPr>
          <w:color w:val="000000" w:themeColor="text1"/>
        </w:rPr>
        <w:t xml:space="preserve">In conclusion Police corruption can take many forms both internally and in conjunction with people outside of the organisation. Without public confidence the Police service is less effective as Officers rely on public information to conduct investigation and without this information many cases can become inconclusive. Many members of the public already have a negative view of the Police as they perceive the police service to be overseers restricting and oppressing their freedoms. Therefore it is very important that officers remember that public perception is very important whilst conducting their day to day activities. When dealing with corruption internally it is just as important to report these negative activities as opposed to participating in them as public perception will be that you are “turning a blind eye” and protecting your fellow officers again creating this “us and them” mentality. The Police service in the UK can also be effected by other services globally as many members of the public believe all nations are treated similarly with their policing strategies. Therefore it is extra vital that Officers do their bit to improve public perception and work with integrity to help in the ongoing struggle of corruption and how this effects public perception. Professional standards and the IOCP help to monitor and provide disciplinary actions for these activities therefore providing confidence amongst the public in the knowledge that somebody watches the watchmen. </w:t>
      </w:r>
    </w:p>
    <w:p w:rsidR="006D1979" w:rsidRDefault="00572BC8">
      <w:pPr>
        <w:rPr>
          <w:b/>
          <w:sz w:val="24"/>
          <w:szCs w:val="24"/>
        </w:rPr>
      </w:pPr>
      <w:r>
        <w:rPr>
          <w:b/>
          <w:sz w:val="24"/>
          <w:szCs w:val="24"/>
        </w:rPr>
        <w:t>952 Words</w:t>
      </w:r>
    </w:p>
    <w:p w:rsidR="00572BC8" w:rsidRDefault="00572BC8">
      <w:pPr>
        <w:rPr>
          <w:b/>
          <w:sz w:val="24"/>
          <w:szCs w:val="24"/>
        </w:rPr>
      </w:pPr>
      <w:r>
        <w:rPr>
          <w:b/>
          <w:sz w:val="24"/>
          <w:szCs w:val="24"/>
        </w:rPr>
        <w:t>References:</w:t>
      </w:r>
    </w:p>
    <w:p w:rsidR="00572BC8" w:rsidRDefault="00572BC8" w:rsidP="00572BC8">
      <w:pPr>
        <w:rPr>
          <w:rFonts w:ascii="Verdana" w:hAnsi="Verdana"/>
          <w:color w:val="000000"/>
          <w:sz w:val="20"/>
          <w:szCs w:val="20"/>
        </w:rPr>
      </w:pPr>
      <w:r>
        <w:rPr>
          <w:rFonts w:ascii="Verdana" w:hAnsi="Verdana"/>
          <w:color w:val="000000"/>
          <w:sz w:val="20"/>
          <w:szCs w:val="20"/>
        </w:rPr>
        <w:t>Home Office. (2020). Home Office Guidance Conduct, Efficiency and Effectiveness: Statutory Guidance on Professional Standards, Performance and Integrity in Policing. </w:t>
      </w:r>
      <w:r>
        <w:rPr>
          <w:rFonts w:ascii="Verdana" w:hAnsi="Verdana"/>
          <w:i/>
          <w:iCs/>
          <w:color w:val="000000"/>
          <w:sz w:val="20"/>
          <w:szCs w:val="20"/>
        </w:rPr>
        <w:t>Home Office Guidance Conduct, Efficiency and Effectiveness: Statutory Guidance on Professional Standards, Performance and Integrity in Policing</w:t>
      </w:r>
      <w:r>
        <w:rPr>
          <w:rFonts w:ascii="Verdana" w:hAnsi="Verdana"/>
          <w:color w:val="000000"/>
          <w:sz w:val="20"/>
          <w:szCs w:val="20"/>
        </w:rPr>
        <w:t>. Version 1 (1), 9.</w:t>
      </w:r>
    </w:p>
    <w:p w:rsidR="00572BC8" w:rsidRDefault="00572BC8" w:rsidP="00572BC8">
      <w:pPr>
        <w:rPr>
          <w:rFonts w:ascii="Verdana" w:hAnsi="Verdana"/>
          <w:color w:val="000000"/>
          <w:sz w:val="20"/>
          <w:szCs w:val="20"/>
        </w:rPr>
      </w:pPr>
    </w:p>
    <w:p w:rsidR="00572BC8" w:rsidRDefault="00572BC8" w:rsidP="00572BC8">
      <w:pPr>
        <w:rPr>
          <w:rFonts w:ascii="Verdana" w:hAnsi="Verdana"/>
          <w:color w:val="000000"/>
          <w:sz w:val="20"/>
          <w:szCs w:val="20"/>
        </w:rPr>
      </w:pPr>
      <w:r>
        <w:rPr>
          <w:rFonts w:ascii="Verdana" w:hAnsi="Verdana"/>
          <w:color w:val="000000"/>
          <w:sz w:val="20"/>
          <w:szCs w:val="20"/>
        </w:rPr>
        <w:t>College of Policing. (2014). Code of Ethics. </w:t>
      </w:r>
      <w:r>
        <w:rPr>
          <w:rFonts w:ascii="Verdana" w:hAnsi="Verdana"/>
          <w:i/>
          <w:iCs/>
          <w:color w:val="000000"/>
          <w:sz w:val="20"/>
          <w:szCs w:val="20"/>
        </w:rPr>
        <w:t>A Code of Practice for the Principles and Standards of Professional Behaviour for the Policing Profession of England and Wales</w:t>
      </w:r>
      <w:r>
        <w:rPr>
          <w:rFonts w:ascii="Verdana" w:hAnsi="Verdana"/>
          <w:color w:val="000000"/>
          <w:sz w:val="20"/>
          <w:szCs w:val="20"/>
        </w:rPr>
        <w:t>. 1 (1), 3.</w:t>
      </w:r>
    </w:p>
    <w:p w:rsidR="00572BC8" w:rsidRDefault="00572BC8" w:rsidP="00572BC8">
      <w:pPr>
        <w:rPr>
          <w:rFonts w:ascii="Verdana" w:hAnsi="Verdana"/>
          <w:color w:val="000000"/>
          <w:sz w:val="20"/>
          <w:szCs w:val="20"/>
        </w:rPr>
      </w:pPr>
      <w:r>
        <w:rPr>
          <w:rFonts w:ascii="Verdana" w:hAnsi="Verdana"/>
          <w:color w:val="000000"/>
          <w:sz w:val="20"/>
          <w:szCs w:val="20"/>
        </w:rPr>
        <w:lastRenderedPageBreak/>
        <w:t>Q3.</w:t>
      </w:r>
    </w:p>
    <w:p w:rsidR="00572BC8" w:rsidRPr="00D85A8D" w:rsidRDefault="00572BC8" w:rsidP="00572BC8">
      <w:pPr>
        <w:rPr>
          <w:rFonts w:eastAsia="Times New Roman" w:cstheme="minorHAnsi"/>
          <w:lang w:eastAsia="en-GB"/>
        </w:rPr>
      </w:pPr>
      <w:r>
        <w:t>The following essay will discuss and analyse</w:t>
      </w:r>
      <w:r w:rsidRPr="0B4505FB">
        <w:rPr>
          <w:rFonts w:ascii="Arial" w:eastAsia="Times New Roman" w:hAnsi="Arial" w:cs="Arial"/>
          <w:lang w:eastAsia="en-GB"/>
        </w:rPr>
        <w:t xml:space="preserve"> </w:t>
      </w:r>
      <w:r w:rsidRPr="00D85A8D">
        <w:rPr>
          <w:rFonts w:eastAsia="Times New Roman" w:cstheme="minorHAnsi"/>
          <w:lang w:eastAsia="en-GB"/>
        </w:rPr>
        <w:t>the developing issues of youth gangs, and why people are drawn into becoming part of a gang culture. It will also consider how gangs target vulnerable people at risk of harm and the theories of victimology.</w:t>
      </w:r>
    </w:p>
    <w:p w:rsidR="00572BC8" w:rsidRPr="00D85A8D" w:rsidRDefault="00572BC8" w:rsidP="00572BC8">
      <w:pPr>
        <w:rPr>
          <w:rFonts w:eastAsia="Times New Roman" w:cstheme="minorHAnsi"/>
          <w:lang w:eastAsia="en-GB"/>
        </w:rPr>
      </w:pPr>
      <w:r w:rsidRPr="00D85A8D">
        <w:rPr>
          <w:rFonts w:eastAsia="Times New Roman" w:cstheme="minorHAnsi"/>
          <w:lang w:eastAsia="en-GB"/>
        </w:rPr>
        <w:t>There are many reasons why youth in the England and Wales choose to join a gang or participate in gang culture. As humans we are naturally socially programmed to form groups whether this be for common interests or to benefit from one another in a hunter/gatherer sense of survival. “At our core, we humans are tribal. Constantly, our subconscious is bombarded with cues that identify who is “us” and “them.”   Perceived similarities of status and values make it much more likely that we will connect and form lasting bonds with our fellows. This tendency has tremendous survival value; without strong cohesion, human groups ranging from hunter gatherer societies, business organizations, and even modern nation states would not be able to adequately meet the constant challenges they face.”(S.Knight-2014)</w:t>
      </w:r>
    </w:p>
    <w:p w:rsidR="00572BC8" w:rsidRPr="00D85A8D" w:rsidRDefault="00572BC8" w:rsidP="00572BC8">
      <w:pPr>
        <w:rPr>
          <w:rFonts w:cstheme="minorHAnsi"/>
          <w:color w:val="222222"/>
          <w:shd w:val="clear" w:color="auto" w:fill="FFFFFF"/>
        </w:rPr>
      </w:pPr>
      <w:r w:rsidRPr="00D85A8D">
        <w:rPr>
          <w:rFonts w:eastAsia="Times New Roman" w:cstheme="minorHAnsi"/>
          <w:lang w:eastAsia="en-GB"/>
        </w:rPr>
        <w:t>What separates a “gang” from a group or tribe is the criminal element. The Oxford dictionary definition of a “gang” is “</w:t>
      </w:r>
      <w:r w:rsidRPr="00D85A8D">
        <w:rPr>
          <w:rFonts w:cstheme="minorHAnsi"/>
          <w:color w:val="222222"/>
          <w:shd w:val="clear" w:color="auto" w:fill="FFFFFF"/>
        </w:rPr>
        <w:t>an organized group of criminals.” The level of organisation may differ from gang to gang and the criminal elements that they participate in, however any participation in group activity where there is a common goal to conduct criminal activity is a gang.</w:t>
      </w:r>
    </w:p>
    <w:p w:rsidR="00572BC8" w:rsidRDefault="00572BC8" w:rsidP="00572BC8">
      <w:pPr>
        <w:rPr>
          <w:rFonts w:cstheme="minorHAnsi"/>
          <w:color w:val="222222"/>
          <w:shd w:val="clear" w:color="auto" w:fill="FFFFFF"/>
        </w:rPr>
      </w:pPr>
      <w:r w:rsidRPr="00D85A8D">
        <w:rPr>
          <w:rFonts w:cstheme="minorHAnsi"/>
          <w:color w:val="222222"/>
          <w:shd w:val="clear" w:color="auto" w:fill="FFFFFF"/>
        </w:rPr>
        <w:t xml:space="preserve">One </w:t>
      </w:r>
      <w:r>
        <w:rPr>
          <w:rFonts w:cstheme="minorHAnsi"/>
          <w:color w:val="222222"/>
          <w:shd w:val="clear" w:color="auto" w:fill="FFFFFF"/>
        </w:rPr>
        <w:t xml:space="preserve">argument for why youths are drawn into youth gangs is the exposer to media which glorifies gang culture such as hip hop culture. Modern day hip hop music finds its roots spanning from the Bronx borough of New York City where many African Americans migrated from the southern states of America whereby racial segregation was still implemented. They brought with them the blues music which morphed into what we know as modern day hip hop. </w:t>
      </w:r>
    </w:p>
    <w:p w:rsidR="00572BC8" w:rsidRDefault="00572BC8" w:rsidP="00572BC8">
      <w:pPr>
        <w:rPr>
          <w:rFonts w:cstheme="minorHAnsi"/>
          <w:color w:val="222222"/>
          <w:shd w:val="clear" w:color="auto" w:fill="FFFFFF"/>
        </w:rPr>
      </w:pPr>
      <w:r>
        <w:rPr>
          <w:rFonts w:cstheme="minorHAnsi"/>
          <w:color w:val="222222"/>
          <w:shd w:val="clear" w:color="auto" w:fill="FFFFFF"/>
        </w:rPr>
        <w:t xml:space="preserve">Originally hip hop beats were partly created during the 1970’s for groups to have dance battles against each other to settle conflicts without the use of violence thereby its first connections to gang culture. After gaining some mainstream and underground success amongst black communities, hip hop culture found its way to the West Coast of America whereby gang culture was rifer. </w:t>
      </w:r>
    </w:p>
    <w:p w:rsidR="00572BC8" w:rsidRDefault="00572BC8" w:rsidP="00572BC8">
      <w:pPr>
        <w:rPr>
          <w:rFonts w:cstheme="minorHAnsi"/>
          <w:color w:val="222222"/>
          <w:shd w:val="clear" w:color="auto" w:fill="FFFFFF"/>
        </w:rPr>
      </w:pPr>
      <w:r>
        <w:rPr>
          <w:rFonts w:cstheme="minorHAnsi"/>
          <w:color w:val="222222"/>
          <w:shd w:val="clear" w:color="auto" w:fill="FFFFFF"/>
        </w:rPr>
        <w:t xml:space="preserve">There, artist released music which reflected on gang culture and mentality. These artists where heavily influenced by a book published in 1961 called Pimp: The Story of My Life by Iceberg Slim. West coast artists even added “Ice” to their stage name to pay tribute to this e.g. Ice-T, Ice Cube etc. The book has been described by some as “the black Catcher in the Rye” and is an autobiography of the criminal antics and tactics used by Iceberg Slim in his time living in Wisconsin, Illinois and Alabama. </w:t>
      </w:r>
    </w:p>
    <w:p w:rsidR="00572BC8" w:rsidRDefault="00572BC8" w:rsidP="00572BC8">
      <w:pPr>
        <w:rPr>
          <w:rFonts w:cstheme="minorHAnsi"/>
          <w:color w:val="222222"/>
          <w:shd w:val="clear" w:color="auto" w:fill="FFFFFF"/>
        </w:rPr>
      </w:pPr>
      <w:r>
        <w:rPr>
          <w:rFonts w:cstheme="minorHAnsi"/>
          <w:color w:val="222222"/>
          <w:shd w:val="clear" w:color="auto" w:fill="FFFFFF"/>
        </w:rPr>
        <w:t>Artist from this area used the same style as Slim by expressing views of live on the streets of Los Angeles and the Bay Area. NWA were the first artist to term the phrase “gangster rap” in 1988 therefore associating the hip hop culture further to gang culture. Artists from this music scene from the mid 1980’s to late 1990’s have become so influential that many of them have become Hollywood actors/directors, music producers and entrepreneurs. Therefore this has created a narrative that people can become successful in many ways through the participation in gang culture.</w:t>
      </w:r>
    </w:p>
    <w:p w:rsidR="00572BC8" w:rsidRDefault="00572BC8" w:rsidP="00572BC8">
      <w:pPr>
        <w:rPr>
          <w:rFonts w:cstheme="minorHAnsi"/>
          <w:color w:val="222222"/>
          <w:shd w:val="clear" w:color="auto" w:fill="FFFFFF"/>
        </w:rPr>
      </w:pPr>
      <w:r>
        <w:rPr>
          <w:rFonts w:cstheme="minorHAnsi"/>
          <w:color w:val="222222"/>
          <w:shd w:val="clear" w:color="auto" w:fill="FFFFFF"/>
        </w:rPr>
        <w:t>This is also shown to be influencing young people in London through the use of “Drill music.” The same iconography exists within this music scene showing young people wealth, power and respect through criminal activity.</w:t>
      </w:r>
    </w:p>
    <w:p w:rsidR="00572BC8" w:rsidRDefault="00572BC8" w:rsidP="00572BC8">
      <w:pPr>
        <w:rPr>
          <w:rFonts w:cstheme="minorHAnsi"/>
          <w:color w:val="222222"/>
          <w:shd w:val="clear" w:color="auto" w:fill="FFFFFF"/>
        </w:rPr>
      </w:pPr>
      <w:r>
        <w:rPr>
          <w:rFonts w:cstheme="minorHAnsi"/>
          <w:color w:val="222222"/>
          <w:shd w:val="clear" w:color="auto" w:fill="FFFFFF"/>
        </w:rPr>
        <w:t>Another theory as to why youths get involved in to criminal gangs is poverty, low family support and a gang acting as a surrogate family. “</w:t>
      </w:r>
      <w:r w:rsidRPr="00813948">
        <w:rPr>
          <w:rFonts w:cstheme="minorHAnsi"/>
          <w:color w:val="222222"/>
          <w:shd w:val="clear" w:color="auto" w:fill="FFFFFF"/>
        </w:rPr>
        <w:t xml:space="preserve">Having identified these risk factors, experts propose that young </w:t>
      </w:r>
      <w:r w:rsidRPr="00813948">
        <w:rPr>
          <w:rFonts w:cstheme="minorHAnsi"/>
          <w:color w:val="222222"/>
          <w:shd w:val="clear" w:color="auto" w:fill="FFFFFF"/>
        </w:rPr>
        <w:lastRenderedPageBreak/>
        <w:t>adults join gangs because they both act as a surrogate family, as well as provide a sense of belonging, power, control and prestige; all things that are commonly identified as absent in childhood among gang initiates</w:t>
      </w:r>
      <w:r>
        <w:rPr>
          <w:rFonts w:cstheme="minorHAnsi"/>
          <w:color w:val="222222"/>
          <w:shd w:val="clear" w:color="auto" w:fill="FFFFFF"/>
        </w:rPr>
        <w:t xml:space="preserve">” (R T Muller-2013) </w:t>
      </w:r>
    </w:p>
    <w:p w:rsidR="00572BC8" w:rsidRDefault="00572BC8" w:rsidP="00572BC8">
      <w:pPr>
        <w:rPr>
          <w:rFonts w:cstheme="minorHAnsi"/>
          <w:color w:val="222222"/>
          <w:shd w:val="clear" w:color="auto" w:fill="FFFFFF"/>
        </w:rPr>
      </w:pPr>
      <w:r>
        <w:rPr>
          <w:rFonts w:cstheme="minorHAnsi"/>
          <w:color w:val="222222"/>
          <w:shd w:val="clear" w:color="auto" w:fill="FFFFFF"/>
        </w:rPr>
        <w:t>Gang members pray on vulnerable members of society as they are often seen as low hanging fruit. There are four theories on victimology which makes someone a repeat victim:</w:t>
      </w:r>
    </w:p>
    <w:p w:rsidR="00572BC8" w:rsidRPr="00813948" w:rsidRDefault="00572BC8" w:rsidP="00572BC8">
      <w:pPr>
        <w:rPr>
          <w:rFonts w:cstheme="minorHAnsi"/>
          <w:color w:val="222222"/>
          <w:shd w:val="clear" w:color="auto" w:fill="FFFFFF"/>
        </w:rPr>
      </w:pPr>
      <w:r>
        <w:rPr>
          <w:rFonts w:cstheme="minorHAnsi"/>
          <w:color w:val="222222"/>
          <w:shd w:val="clear" w:color="auto" w:fill="FFFFFF"/>
        </w:rPr>
        <w:t>“1. Victim Precipitation Theory</w:t>
      </w:r>
    </w:p>
    <w:p w:rsidR="00572BC8" w:rsidRDefault="00572BC8" w:rsidP="00572BC8">
      <w:pPr>
        <w:rPr>
          <w:rFonts w:cstheme="minorHAnsi"/>
          <w:color w:val="222222"/>
          <w:shd w:val="clear" w:color="auto" w:fill="FFFFFF"/>
        </w:rPr>
      </w:pPr>
      <w:r w:rsidRPr="00813948">
        <w:rPr>
          <w:rFonts w:cstheme="minorHAnsi"/>
          <w:color w:val="222222"/>
          <w:shd w:val="clear" w:color="auto" w:fill="FFFFFF"/>
        </w:rPr>
        <w:t>"According to victim precipitation theory, some people may actually initiate the confrontation that eventually leads to their injury or death."</w:t>
      </w:r>
    </w:p>
    <w:p w:rsidR="00572BC8" w:rsidRPr="00473D5D" w:rsidRDefault="00572BC8" w:rsidP="00572BC8">
      <w:pPr>
        <w:rPr>
          <w:rFonts w:cstheme="minorHAnsi"/>
          <w:color w:val="222222"/>
          <w:shd w:val="clear" w:color="auto" w:fill="FFFFFF"/>
        </w:rPr>
      </w:pPr>
      <w:r>
        <w:rPr>
          <w:rFonts w:cstheme="minorHAnsi"/>
          <w:color w:val="222222"/>
          <w:shd w:val="clear" w:color="auto" w:fill="FFFFFF"/>
        </w:rPr>
        <w:t>2. Lifestyle Theory</w:t>
      </w:r>
    </w:p>
    <w:p w:rsidR="00572BC8" w:rsidRDefault="00572BC8" w:rsidP="00572BC8">
      <w:pPr>
        <w:rPr>
          <w:rFonts w:cstheme="minorHAnsi"/>
          <w:color w:val="222222"/>
          <w:shd w:val="clear" w:color="auto" w:fill="FFFFFF"/>
        </w:rPr>
      </w:pPr>
      <w:r w:rsidRPr="00473D5D">
        <w:rPr>
          <w:rFonts w:cstheme="minorHAnsi"/>
          <w:color w:val="222222"/>
          <w:shd w:val="clear" w:color="auto" w:fill="FFFFFF"/>
        </w:rPr>
        <w:t>"Some criminologists believe people may become crime victims because their lifestyle increases their exposure to criminal offenders."</w:t>
      </w:r>
    </w:p>
    <w:p w:rsidR="00572BC8" w:rsidRPr="00473D5D" w:rsidRDefault="00572BC8" w:rsidP="00572BC8">
      <w:pPr>
        <w:rPr>
          <w:rFonts w:cstheme="minorHAnsi"/>
          <w:color w:val="222222"/>
          <w:shd w:val="clear" w:color="auto" w:fill="FFFFFF"/>
        </w:rPr>
      </w:pPr>
      <w:r>
        <w:rPr>
          <w:rFonts w:cstheme="minorHAnsi"/>
          <w:color w:val="222222"/>
          <w:shd w:val="clear" w:color="auto" w:fill="FFFFFF"/>
        </w:rPr>
        <w:t>3. Deviant Place Theory</w:t>
      </w:r>
    </w:p>
    <w:p w:rsidR="00572BC8" w:rsidRDefault="00572BC8" w:rsidP="00572BC8">
      <w:pPr>
        <w:rPr>
          <w:rFonts w:cstheme="minorHAnsi"/>
          <w:color w:val="222222"/>
          <w:shd w:val="clear" w:color="auto" w:fill="FFFFFF"/>
        </w:rPr>
      </w:pPr>
      <w:r w:rsidRPr="00473D5D">
        <w:rPr>
          <w:rFonts w:cstheme="minorHAnsi"/>
          <w:color w:val="222222"/>
          <w:shd w:val="clear" w:color="auto" w:fill="FFFFFF"/>
        </w:rPr>
        <w:t>"The more often victims visit dangerous places, the more likely they will be exposed</w:t>
      </w:r>
      <w:r>
        <w:rPr>
          <w:rFonts w:cstheme="minorHAnsi"/>
          <w:color w:val="222222"/>
          <w:shd w:val="clear" w:color="auto" w:fill="FFFFFF"/>
        </w:rPr>
        <w:t xml:space="preserve"> to crime and violence.”</w:t>
      </w:r>
    </w:p>
    <w:p w:rsidR="00572BC8" w:rsidRDefault="00572BC8" w:rsidP="00572BC8">
      <w:pPr>
        <w:rPr>
          <w:rFonts w:cstheme="minorHAnsi"/>
          <w:color w:val="222222"/>
          <w:shd w:val="clear" w:color="auto" w:fill="FFFFFF"/>
        </w:rPr>
      </w:pPr>
      <w:r w:rsidRPr="00473D5D">
        <w:rPr>
          <w:rFonts w:cstheme="minorHAnsi"/>
          <w:color w:val="222222"/>
          <w:shd w:val="clear" w:color="auto" w:fill="FFFFFF"/>
        </w:rPr>
        <w:t>4. Routine Activities Theory</w:t>
      </w:r>
    </w:p>
    <w:p w:rsidR="00572BC8" w:rsidRPr="00473D5D" w:rsidRDefault="00572BC8" w:rsidP="00572BC8">
      <w:pPr>
        <w:pStyle w:val="NormalWeb"/>
        <w:shd w:val="clear" w:color="auto" w:fill="FFFFFF"/>
        <w:ind w:left="720"/>
        <w:rPr>
          <w:rFonts w:asciiTheme="minorHAnsi" w:hAnsiTheme="minorHAnsi" w:cstheme="minorHAnsi"/>
          <w:color w:val="000000"/>
          <w:spacing w:val="2"/>
          <w:sz w:val="22"/>
          <w:szCs w:val="22"/>
        </w:rPr>
      </w:pPr>
      <w:r>
        <w:rPr>
          <w:rFonts w:asciiTheme="minorHAnsi" w:hAnsiTheme="minorHAnsi" w:cstheme="minorHAnsi"/>
          <w:color w:val="000000"/>
          <w:spacing w:val="2"/>
          <w:sz w:val="22"/>
          <w:szCs w:val="22"/>
        </w:rPr>
        <w:t xml:space="preserve">. </w:t>
      </w:r>
      <w:r w:rsidRPr="00473D5D">
        <w:rPr>
          <w:rFonts w:asciiTheme="minorHAnsi" w:hAnsiTheme="minorHAnsi" w:cstheme="minorHAnsi"/>
          <w:color w:val="000000"/>
          <w:spacing w:val="2"/>
          <w:sz w:val="22"/>
          <w:szCs w:val="22"/>
        </w:rPr>
        <w:t>"The availability of </w:t>
      </w:r>
      <w:r w:rsidRPr="00473D5D">
        <w:rPr>
          <w:rFonts w:asciiTheme="minorHAnsi" w:hAnsiTheme="minorHAnsi" w:cstheme="minorHAnsi"/>
          <w:b/>
          <w:bCs/>
          <w:color w:val="000000"/>
          <w:spacing w:val="2"/>
          <w:sz w:val="22"/>
          <w:szCs w:val="22"/>
        </w:rPr>
        <w:t>suitable targets</w:t>
      </w:r>
      <w:r w:rsidRPr="00473D5D">
        <w:rPr>
          <w:rFonts w:asciiTheme="minorHAnsi" w:hAnsiTheme="minorHAnsi" w:cstheme="minorHAnsi"/>
          <w:color w:val="000000"/>
          <w:spacing w:val="2"/>
          <w:sz w:val="22"/>
          <w:szCs w:val="22"/>
        </w:rPr>
        <w:t>, such as homes containing easily saleable goods."</w:t>
      </w:r>
    </w:p>
    <w:p w:rsidR="00572BC8" w:rsidRPr="00473D5D" w:rsidRDefault="00572BC8" w:rsidP="00572BC8">
      <w:pPr>
        <w:pStyle w:val="NormalWeb"/>
        <w:shd w:val="clear" w:color="auto" w:fill="FFFFFF"/>
        <w:ind w:left="720"/>
        <w:rPr>
          <w:rFonts w:asciiTheme="minorHAnsi" w:hAnsiTheme="minorHAnsi" w:cstheme="minorHAnsi"/>
          <w:color w:val="000000"/>
          <w:spacing w:val="2"/>
          <w:sz w:val="22"/>
          <w:szCs w:val="22"/>
        </w:rPr>
      </w:pPr>
      <w:r>
        <w:rPr>
          <w:rFonts w:asciiTheme="minorHAnsi" w:hAnsiTheme="minorHAnsi" w:cstheme="minorHAnsi"/>
          <w:color w:val="000000"/>
          <w:spacing w:val="2"/>
          <w:sz w:val="22"/>
          <w:szCs w:val="22"/>
        </w:rPr>
        <w:t xml:space="preserve">. </w:t>
      </w:r>
      <w:r w:rsidRPr="00473D5D">
        <w:rPr>
          <w:rFonts w:asciiTheme="minorHAnsi" w:hAnsiTheme="minorHAnsi" w:cstheme="minorHAnsi"/>
          <w:color w:val="000000"/>
          <w:spacing w:val="2"/>
          <w:sz w:val="22"/>
          <w:szCs w:val="22"/>
        </w:rPr>
        <w:t>"The </w:t>
      </w:r>
      <w:r w:rsidRPr="00473D5D">
        <w:rPr>
          <w:rFonts w:asciiTheme="minorHAnsi" w:hAnsiTheme="minorHAnsi" w:cstheme="minorHAnsi"/>
          <w:b/>
          <w:bCs/>
          <w:color w:val="000000"/>
          <w:spacing w:val="2"/>
          <w:sz w:val="22"/>
          <w:szCs w:val="22"/>
        </w:rPr>
        <w:t>absence of capable guardians</w:t>
      </w:r>
      <w:r w:rsidRPr="00473D5D">
        <w:rPr>
          <w:rFonts w:asciiTheme="minorHAnsi" w:hAnsiTheme="minorHAnsi" w:cstheme="minorHAnsi"/>
          <w:color w:val="000000"/>
          <w:spacing w:val="2"/>
          <w:sz w:val="22"/>
          <w:szCs w:val="22"/>
        </w:rPr>
        <w:t>, such as police, homeowners, neighbours, friends, and relatives." "Even the most desperate criminal might hesitate to atta</w:t>
      </w:r>
      <w:r>
        <w:rPr>
          <w:rFonts w:asciiTheme="minorHAnsi" w:hAnsiTheme="minorHAnsi" w:cstheme="minorHAnsi"/>
          <w:color w:val="000000"/>
          <w:spacing w:val="2"/>
          <w:sz w:val="22"/>
          <w:szCs w:val="22"/>
        </w:rPr>
        <w:t>ck a well-defended target." "A</w:t>
      </w:r>
      <w:r w:rsidRPr="00473D5D">
        <w:rPr>
          <w:rFonts w:asciiTheme="minorHAnsi" w:hAnsiTheme="minorHAnsi" w:cstheme="minorHAnsi"/>
          <w:color w:val="000000"/>
          <w:spacing w:val="2"/>
          <w:sz w:val="22"/>
          <w:szCs w:val="22"/>
        </w:rPr>
        <w:t>n undefended yet attractive target (not referring to sexual) becomes an irresistible objective for motivated criminals."</w:t>
      </w:r>
    </w:p>
    <w:p w:rsidR="00572BC8" w:rsidRPr="00473D5D" w:rsidRDefault="00572BC8" w:rsidP="00572BC8">
      <w:pPr>
        <w:pStyle w:val="NormalWeb"/>
        <w:shd w:val="clear" w:color="auto" w:fill="FFFFFF"/>
        <w:ind w:left="720"/>
        <w:rPr>
          <w:rFonts w:asciiTheme="minorHAnsi" w:hAnsiTheme="minorHAnsi" w:cstheme="minorHAnsi"/>
          <w:color w:val="000000"/>
          <w:spacing w:val="2"/>
          <w:sz w:val="22"/>
          <w:szCs w:val="22"/>
        </w:rPr>
      </w:pPr>
      <w:r>
        <w:rPr>
          <w:rFonts w:asciiTheme="minorHAnsi" w:hAnsiTheme="minorHAnsi" w:cstheme="minorHAnsi"/>
          <w:color w:val="000000"/>
          <w:spacing w:val="2"/>
          <w:sz w:val="22"/>
          <w:szCs w:val="22"/>
        </w:rPr>
        <w:t xml:space="preserve">. </w:t>
      </w:r>
      <w:r w:rsidRPr="00473D5D">
        <w:rPr>
          <w:rFonts w:asciiTheme="minorHAnsi" w:hAnsiTheme="minorHAnsi" w:cstheme="minorHAnsi"/>
          <w:color w:val="000000"/>
          <w:spacing w:val="2"/>
          <w:sz w:val="22"/>
          <w:szCs w:val="22"/>
        </w:rPr>
        <w:t>"The presence of </w:t>
      </w:r>
      <w:r w:rsidRPr="00473D5D">
        <w:rPr>
          <w:rFonts w:asciiTheme="minorHAnsi" w:hAnsiTheme="minorHAnsi" w:cstheme="minorHAnsi"/>
          <w:b/>
          <w:bCs/>
          <w:color w:val="000000"/>
          <w:spacing w:val="2"/>
          <w:sz w:val="22"/>
          <w:szCs w:val="22"/>
        </w:rPr>
        <w:t>motivated offenders</w:t>
      </w:r>
      <w:r w:rsidRPr="00473D5D">
        <w:rPr>
          <w:rFonts w:asciiTheme="minorHAnsi" w:hAnsiTheme="minorHAnsi" w:cstheme="minorHAnsi"/>
          <w:color w:val="000000"/>
          <w:spacing w:val="2"/>
          <w:sz w:val="22"/>
          <w:szCs w:val="22"/>
        </w:rPr>
        <w:t>, such as a large number of unemployed teenagers."</w:t>
      </w:r>
      <w:r>
        <w:rPr>
          <w:rFonts w:asciiTheme="minorHAnsi" w:hAnsiTheme="minorHAnsi" w:cstheme="minorHAnsi"/>
          <w:color w:val="000000"/>
          <w:spacing w:val="2"/>
          <w:sz w:val="22"/>
          <w:szCs w:val="22"/>
        </w:rPr>
        <w:t>(L Siegel-</w:t>
      </w:r>
      <w:r w:rsidRPr="00473D5D">
        <w:rPr>
          <w:rFonts w:asciiTheme="minorHAnsi" w:hAnsiTheme="minorHAnsi" w:cstheme="minorHAnsi"/>
          <w:color w:val="000000"/>
          <w:spacing w:val="2"/>
          <w:sz w:val="22"/>
          <w:szCs w:val="22"/>
        </w:rPr>
        <w:t>2015</w:t>
      </w:r>
      <w:r>
        <w:rPr>
          <w:rFonts w:asciiTheme="minorHAnsi" w:hAnsiTheme="minorHAnsi" w:cstheme="minorHAnsi"/>
          <w:color w:val="000000"/>
          <w:spacing w:val="2"/>
          <w:sz w:val="22"/>
          <w:szCs w:val="22"/>
        </w:rPr>
        <w:t>)</w:t>
      </w:r>
    </w:p>
    <w:p w:rsidR="00572BC8" w:rsidRDefault="00572BC8" w:rsidP="00572BC8">
      <w:pPr>
        <w:rPr>
          <w:rFonts w:cstheme="minorHAnsi"/>
          <w:color w:val="222222"/>
          <w:shd w:val="clear" w:color="auto" w:fill="FFFFFF"/>
        </w:rPr>
      </w:pPr>
      <w:r>
        <w:rPr>
          <w:rFonts w:cstheme="minorHAnsi"/>
          <w:color w:val="222222"/>
          <w:shd w:val="clear" w:color="auto" w:fill="FFFFFF"/>
        </w:rPr>
        <w:t xml:space="preserve">Gang activity in the UK often occurs by young gang affiliated members from big cities come to smaller areas with the intention of supplying drugs to an area with less competition from rival gangs. They will often pick out easy victims recognising the theories mentioned above whereby the physical and mentally disabled or drug dependant individuals. They often use abuse these vulnerable individuals for a base to sell drugs from known as “Cuckooing.” </w:t>
      </w:r>
    </w:p>
    <w:p w:rsidR="00572BC8" w:rsidRDefault="00572BC8" w:rsidP="00572BC8">
      <w:pPr>
        <w:rPr>
          <w:rFonts w:cstheme="minorHAnsi"/>
          <w:color w:val="222222"/>
          <w:shd w:val="clear" w:color="auto" w:fill="FFFFFF"/>
        </w:rPr>
      </w:pPr>
      <w:r>
        <w:rPr>
          <w:rFonts w:cstheme="minorHAnsi"/>
          <w:color w:val="222222"/>
          <w:shd w:val="clear" w:color="auto" w:fill="FFFFFF"/>
        </w:rPr>
        <w:t>In conclusion the main reason youths are attracted to criminal gangs is poverty and a poor family structure. Gangs provide a sense of “not being alone” which may mean a lot more to the individual if they live in a poorer area whereby violent crime rates are higher. Another reason youths are drawn to gangs is for the hope of a “rags to riches” chance of making fast money via criminal activity. They see members of their community driving sports cars, owning new shoes,</w:t>
      </w:r>
      <w:r w:rsidRPr="003D21A8">
        <w:t xml:space="preserve"> </w:t>
      </w:r>
      <w:r w:rsidRPr="003D21A8">
        <w:rPr>
          <w:rFonts w:cstheme="minorHAnsi"/>
          <w:color w:val="222222"/>
          <w:shd w:val="clear" w:color="auto" w:fill="FFFFFF"/>
        </w:rPr>
        <w:t>jewellery</w:t>
      </w:r>
      <w:r>
        <w:rPr>
          <w:rFonts w:cstheme="minorHAnsi"/>
          <w:color w:val="222222"/>
          <w:shd w:val="clear" w:color="auto" w:fill="FFFFFF"/>
        </w:rPr>
        <w:t xml:space="preserve">, attracting positive attention from sexual partners of their choosing, and enjoying recreational drugs and all at a young age. They see this compared to getting a “normal career” whereby it may take years to gain the short term fortune the gang members and drug dealers receive. When the young person is already in a financially poor situation with little family support, it seems reasonable to take the risk of a criminal lifestyle to better their situation fast. All this with illusion of being your own boss and not having to answer to a traditional boss or authority figure makes this lifestyle very attractive to young people. In reality young people are coerced in to performing degrading acts such as storing </w:t>
      </w:r>
      <w:r>
        <w:rPr>
          <w:rFonts w:cstheme="minorHAnsi"/>
          <w:color w:val="222222"/>
          <w:shd w:val="clear" w:color="auto" w:fill="FFFFFF"/>
        </w:rPr>
        <w:lastRenderedPageBreak/>
        <w:t>contraband in their anus or performing sex acts. Hip Hop culture may provide an idealised version of a “gangster lifestyle” in the media which young people cling to however criminal gangs have always been a part of society whereby the gap between the rich and poor has been large and there are ways to abuse this system through criminal activity. Gang members will always target weaker individuals as it is less effort and a better “business decision” to manipulate these people instead of going for more stable victims with better support.</w:t>
      </w:r>
    </w:p>
    <w:p w:rsidR="00572BC8" w:rsidRDefault="00572BC8" w:rsidP="00572BC8">
      <w:pPr>
        <w:rPr>
          <w:b/>
        </w:rPr>
      </w:pPr>
      <w:r>
        <w:rPr>
          <w:b/>
        </w:rPr>
        <w:t>1101 Words</w:t>
      </w:r>
    </w:p>
    <w:p w:rsidR="00572BC8" w:rsidRDefault="00572BC8" w:rsidP="00572BC8">
      <w:pPr>
        <w:rPr>
          <w:b/>
        </w:rPr>
      </w:pPr>
      <w:r>
        <w:rPr>
          <w:b/>
        </w:rPr>
        <w:t>References:</w:t>
      </w:r>
    </w:p>
    <w:p w:rsidR="00572BC8" w:rsidRDefault="00572BC8" w:rsidP="00572BC8">
      <w:pPr>
        <w:rPr>
          <w:rFonts w:ascii="Verdana" w:hAnsi="Verdana"/>
          <w:color w:val="000000"/>
          <w:sz w:val="20"/>
          <w:szCs w:val="20"/>
        </w:rPr>
      </w:pPr>
      <w:r>
        <w:rPr>
          <w:rFonts w:ascii="Verdana" w:hAnsi="Verdana"/>
          <w:color w:val="000000"/>
          <w:sz w:val="20"/>
          <w:szCs w:val="20"/>
        </w:rPr>
        <w:t>Steve Knight. (2014). </w:t>
      </w:r>
      <w:r>
        <w:rPr>
          <w:rFonts w:ascii="Verdana" w:hAnsi="Verdana"/>
          <w:i/>
          <w:iCs/>
          <w:color w:val="000000"/>
          <w:sz w:val="20"/>
          <w:szCs w:val="20"/>
        </w:rPr>
        <w:t>Are Humans Naturally Tribal</w:t>
      </w:r>
      <w:proofErr w:type="gramStart"/>
      <w:r>
        <w:rPr>
          <w:rFonts w:ascii="Verdana" w:hAnsi="Verdana"/>
          <w:i/>
          <w:iCs/>
          <w:color w:val="000000"/>
          <w:sz w:val="20"/>
          <w:szCs w:val="20"/>
        </w:rPr>
        <w:t>?.</w:t>
      </w:r>
      <w:proofErr w:type="gramEnd"/>
      <w:r>
        <w:rPr>
          <w:rFonts w:ascii="Verdana" w:hAnsi="Verdana"/>
          <w:color w:val="000000"/>
          <w:sz w:val="20"/>
          <w:szCs w:val="20"/>
        </w:rPr>
        <w:t> Available: https://behumanproject.org/why-are-we-tribal/#:~:text=At%20our%20core%2C%20we%20humans%20are%20tribal.&amp;text=This%20tendency%20has%20tremendous%20survival,the%20constant%20challenges%20they%20face</w:t>
      </w:r>
      <w:proofErr w:type="gramStart"/>
      <w:r>
        <w:rPr>
          <w:rFonts w:ascii="Verdana" w:hAnsi="Verdana"/>
          <w:color w:val="000000"/>
          <w:sz w:val="20"/>
          <w:szCs w:val="20"/>
        </w:rPr>
        <w:t>..</w:t>
      </w:r>
      <w:proofErr w:type="gramEnd"/>
      <w:r>
        <w:rPr>
          <w:rFonts w:ascii="Verdana" w:hAnsi="Verdana"/>
          <w:color w:val="000000"/>
          <w:sz w:val="20"/>
          <w:szCs w:val="20"/>
        </w:rPr>
        <w:t xml:space="preserve"> Last accessed 20th August 2020.</w:t>
      </w:r>
    </w:p>
    <w:p w:rsidR="00572BC8" w:rsidRDefault="00572BC8" w:rsidP="00572BC8">
      <w:pPr>
        <w:pStyle w:val="NormalWeb"/>
        <w:rPr>
          <w:rFonts w:ascii="Verdana" w:hAnsi="Verdana"/>
          <w:color w:val="000000"/>
          <w:sz w:val="20"/>
          <w:szCs w:val="20"/>
        </w:rPr>
      </w:pPr>
      <w:r>
        <w:rPr>
          <w:rFonts w:ascii="Verdana" w:hAnsi="Verdana"/>
          <w:color w:val="000000"/>
          <w:sz w:val="20"/>
          <w:szCs w:val="20"/>
        </w:rPr>
        <w:t>Robert T Muller. (2013). </w:t>
      </w:r>
      <w:r>
        <w:rPr>
          <w:rFonts w:ascii="Verdana" w:hAnsi="Verdana"/>
          <w:i/>
          <w:iCs/>
          <w:color w:val="000000"/>
          <w:sz w:val="20"/>
          <w:szCs w:val="20"/>
        </w:rPr>
        <w:t xml:space="preserve">Poverty, Broken Homes, </w:t>
      </w:r>
      <w:proofErr w:type="gramStart"/>
      <w:r>
        <w:rPr>
          <w:rFonts w:ascii="Verdana" w:hAnsi="Verdana"/>
          <w:i/>
          <w:iCs/>
          <w:color w:val="000000"/>
          <w:sz w:val="20"/>
          <w:szCs w:val="20"/>
        </w:rPr>
        <w:t>Violence</w:t>
      </w:r>
      <w:proofErr w:type="gramEnd"/>
      <w:r>
        <w:rPr>
          <w:rFonts w:ascii="Verdana" w:hAnsi="Verdana"/>
          <w:i/>
          <w:iCs/>
          <w:color w:val="000000"/>
          <w:sz w:val="20"/>
          <w:szCs w:val="20"/>
        </w:rPr>
        <w:t>: The Making of a Gang Member.</w:t>
      </w:r>
      <w:r>
        <w:rPr>
          <w:rFonts w:ascii="Verdana" w:hAnsi="Verdana"/>
          <w:color w:val="000000"/>
          <w:sz w:val="20"/>
          <w:szCs w:val="20"/>
        </w:rPr>
        <w:t> Available: https://www.psychologytoday.com/us/blog/talking-about-trauma/201308/poverty-broken-homes-violence-the-making-gang-member. Last accessed 20th August 2020.</w:t>
      </w:r>
    </w:p>
    <w:p w:rsidR="00572BC8" w:rsidRPr="00AD4AAE" w:rsidRDefault="00572BC8" w:rsidP="00572BC8">
      <w:pPr>
        <w:spacing w:before="100" w:beforeAutospacing="1" w:after="100" w:afterAutospacing="1" w:line="240" w:lineRule="auto"/>
        <w:rPr>
          <w:rFonts w:ascii="Verdana" w:eastAsia="Times New Roman" w:hAnsi="Verdana" w:cs="Times New Roman"/>
          <w:sz w:val="20"/>
          <w:szCs w:val="20"/>
          <w:lang w:eastAsia="en-GB"/>
        </w:rPr>
      </w:pPr>
      <w:r w:rsidRPr="00AD4AAE">
        <w:rPr>
          <w:rFonts w:ascii="Verdana" w:eastAsia="Times New Roman" w:hAnsi="Verdana" w:cs="Times New Roman"/>
          <w:sz w:val="20"/>
          <w:szCs w:val="20"/>
          <w:lang w:eastAsia="en-GB"/>
        </w:rPr>
        <w:t>Larry Siegel (2015). </w:t>
      </w:r>
      <w:proofErr w:type="gramStart"/>
      <w:r w:rsidRPr="00AD4AAE">
        <w:rPr>
          <w:rFonts w:ascii="Verdana" w:eastAsia="Times New Roman" w:hAnsi="Verdana" w:cs="Times New Roman"/>
          <w:i/>
          <w:iCs/>
          <w:sz w:val="20"/>
          <w:szCs w:val="20"/>
          <w:lang w:eastAsia="en-GB"/>
        </w:rPr>
        <w:t>Criminology :</w:t>
      </w:r>
      <w:proofErr w:type="gramEnd"/>
      <w:r w:rsidRPr="00AD4AAE">
        <w:rPr>
          <w:rFonts w:ascii="Verdana" w:eastAsia="Times New Roman" w:hAnsi="Verdana" w:cs="Times New Roman"/>
          <w:i/>
          <w:iCs/>
          <w:sz w:val="20"/>
          <w:szCs w:val="20"/>
          <w:lang w:eastAsia="en-GB"/>
        </w:rPr>
        <w:t xml:space="preserve"> Theories, Patterns, and Typologies</w:t>
      </w:r>
      <w:r w:rsidRPr="00AD4AAE">
        <w:rPr>
          <w:rFonts w:ascii="Verdana" w:eastAsia="Times New Roman" w:hAnsi="Verdana" w:cs="Times New Roman"/>
          <w:sz w:val="20"/>
          <w:szCs w:val="20"/>
          <w:lang w:eastAsia="en-GB"/>
        </w:rPr>
        <w:t>. 12th ed. Mason, OH, United States: Cengage Learning, Inc</w:t>
      </w:r>
      <w:proofErr w:type="gramStart"/>
      <w:r w:rsidRPr="00AD4AAE">
        <w:rPr>
          <w:rFonts w:ascii="Verdana" w:eastAsia="Times New Roman" w:hAnsi="Verdana" w:cs="Times New Roman"/>
          <w:sz w:val="20"/>
          <w:szCs w:val="20"/>
          <w:lang w:eastAsia="en-GB"/>
        </w:rPr>
        <w:t>. .</w:t>
      </w:r>
      <w:proofErr w:type="gramEnd"/>
    </w:p>
    <w:p w:rsidR="00572BC8" w:rsidRDefault="00572BC8" w:rsidP="00572BC8">
      <w:pPr>
        <w:rPr>
          <w:b/>
        </w:rPr>
      </w:pPr>
      <w:r>
        <w:rPr>
          <w:b/>
        </w:rPr>
        <w:t>Q4.</w:t>
      </w:r>
    </w:p>
    <w:p w:rsidR="00572BC8" w:rsidRDefault="00572BC8" w:rsidP="00572BC8">
      <w:r>
        <w:t xml:space="preserve">The following essay will evaluate the impact upon policing of differing values, ethics and norms within diverse communities and the importance of effective communication when working within these communities. </w:t>
      </w:r>
    </w:p>
    <w:p w:rsidR="00572BC8" w:rsidRDefault="00572BC8" w:rsidP="00572BC8">
      <w:r>
        <w:t>The population of England and Wales is becoming increasingly diverse within its demographics whether its sexuality, race, religious beliefs, and families that have migrated from other countries. Therefore the population’s values, ethics and “norms” differ from community to community. There are many reasons relationships with the Police amongst these communities may differ from the majority.</w:t>
      </w:r>
    </w:p>
    <w:p w:rsidR="00572BC8" w:rsidRDefault="00572BC8" w:rsidP="00572BC8">
      <w:r>
        <w:t>“In the absence of concrete experience, and all else being equal, recent immigrants should be less willing to answer in the affirmative questions concerning the ability and intentions of the police. Furthermore, although the passing of time and the generation of familiarity might allow trust to emerge, the often-cited problematic relationships between police and immigrant/minority communities, and the negative experiences many people from minority groups have of police, may ensure that trust never develops or that active distrust emerges.”</w:t>
      </w:r>
      <w:r w:rsidRPr="00403760">
        <w:t xml:space="preserve"> </w:t>
      </w:r>
      <w:r>
        <w:t xml:space="preserve">(B Bradford, E </w:t>
      </w:r>
      <w:proofErr w:type="spellStart"/>
      <w:r>
        <w:t>Sargeant</w:t>
      </w:r>
      <w:proofErr w:type="spellEnd"/>
      <w:r>
        <w:t xml:space="preserve">, T Murphy, J Jackson-2017) Whilst on a driving course for the South Wales Police I was learning alongside an officer of Sikh decent. He explained to me that his Grandmother was unhappy that he had chosen a career in the Police Service. This confused me at first as in the Western-Angelo society the Police service is mostly viewed as a respected profession where most people’s relatives would be happy for them to be a part of however they view the effectiveness of the service. The Sikh officer explained to me that in the country his Grandmother is from the police are very corrupt and many people fear their violent tactics. Therefore she believed that by him joining the Police Service he will also be a part of that corrupt entity. I presume that there are many people migrating to England and Wales with the same thoughts and beliefs as my colleagues Grandmother. This stigma is hard to shake </w:t>
      </w:r>
      <w:r>
        <w:lastRenderedPageBreak/>
        <w:t>especially if they personally have had extremely negative and often violent encounters with lawful authorities in their country of origin.</w:t>
      </w:r>
    </w:p>
    <w:p w:rsidR="00572BC8" w:rsidRDefault="00572BC8" w:rsidP="00572BC8">
      <w:r>
        <w:t xml:space="preserve">The LGBTQ+ (Lesbian, Gay, Bi-sexual, Transgender, Queer and more) community also has a different relationship with the Police Service in the UK. (A.Ashworth-2013) </w:t>
      </w:r>
      <w:proofErr w:type="gramStart"/>
      <w:r>
        <w:t>The</w:t>
      </w:r>
      <w:proofErr w:type="gramEnd"/>
      <w:r>
        <w:t xml:space="preserve"> reason for distrust from the LGBTQ+ community towards the Police Service stems from many different reasons. This could be due to the raids on London Gay clubs in the 1960’s which often ended in violence or the history of Police Officers displaying homophobic behaviour whilst dealing with these community members. I personally have dealt with distrust from this community. I attended a Road Traffic Incident whereby a female I knew was a lesbian whom grew up not far from me. She did not recognise me due to me wearing a protective mask for Covid-19 prevention. Whilst asking for her details she refused to give them to me and seemed weary of my use of them. However once she recognised who I was she became compliant in giving her details knowing she could trust me. I cannot say the reason she felt wary was because of her being a part of the LGBTQ+ community but this could possibly be a reason.</w:t>
      </w:r>
    </w:p>
    <w:p w:rsidR="00572BC8" w:rsidRDefault="00572BC8" w:rsidP="00572BC8">
      <w:r>
        <w:t xml:space="preserve">Certain racial groups also have different strained relationships with the police. The most recent high profile, mainstream example of this is the Black Lives Matter movement coming out of the United States of America. First becoming a mainstream movement in America in 2016 when National Football League player Colin </w:t>
      </w:r>
      <w:proofErr w:type="spellStart"/>
      <w:r>
        <w:t>Kaepernick</w:t>
      </w:r>
      <w:proofErr w:type="spellEnd"/>
      <w:r>
        <w:t xml:space="preserve"> originally sat but later knelt (to avoid offending members of the military) during the national anthem before games to protest Police Brutality against black men. Other players joined in this protest during the year to show their support. The following year </w:t>
      </w:r>
      <w:proofErr w:type="spellStart"/>
      <w:r>
        <w:t>Kaepernick</w:t>
      </w:r>
      <w:proofErr w:type="spellEnd"/>
      <w:r>
        <w:t xml:space="preserve"> was cut by the team he played for and was not resigned by any other team. Despite poor play by </w:t>
      </w:r>
      <w:proofErr w:type="spellStart"/>
      <w:r>
        <w:t>Kaepernick</w:t>
      </w:r>
      <w:proofErr w:type="spellEnd"/>
      <w:r>
        <w:t xml:space="preserve"> the media perception was that he was “black balled” from the league over race issues showing there was still racial tensions across America. This movement was re-ignited on May 25</w:t>
      </w:r>
      <w:r w:rsidRPr="00335525">
        <w:rPr>
          <w:vertAlign w:val="superscript"/>
        </w:rPr>
        <w:t>th</w:t>
      </w:r>
      <w:r>
        <w:t xml:space="preserve"> 2020 over the death of George Floyd whereby a Police Officer knelt on his neck causing him to later die. This caused global protests and put scrutiny on Police Services worldwide. Since the George Floyd incident I have members of the public become more hostile towards me and accused me of using excessive force although force I have used was proportional and justified again solidifying that abusing the our powers and procedures can have a negative global effect especially when the majority of people have recording devices on their phones and can share malpractice globally.</w:t>
      </w:r>
    </w:p>
    <w:p w:rsidR="00572BC8" w:rsidRDefault="00572BC8" w:rsidP="00572BC8">
      <w:r>
        <w:t>There are many ways we can create a positive relationship with these communities which is important to make them feel safe and supported by Police Services. Ways we can achieve this are the following:</w:t>
      </w:r>
    </w:p>
    <w:p w:rsidR="00572BC8" w:rsidRPr="00224C7D" w:rsidRDefault="00572BC8" w:rsidP="00572BC8">
      <w:pPr>
        <w:numPr>
          <w:ilvl w:val="0"/>
          <w:numId w:val="4"/>
        </w:numPr>
      </w:pPr>
      <w:r>
        <w:rPr>
          <w:b/>
          <w:bCs/>
        </w:rPr>
        <w:t>“</w:t>
      </w:r>
      <w:r w:rsidRPr="00224C7D">
        <w:rPr>
          <w:b/>
          <w:bCs/>
        </w:rPr>
        <w:t>Gain Knowledge</w:t>
      </w:r>
      <w:r w:rsidRPr="00224C7D">
        <w:t>—There is no way to substitute being aware of the cultural values of the community you are maintaining law and order in. Through knowledge of the customs and traditions of your community, you can effectively resolve conflicts and reduce crime while building rapport and trust with its key members.</w:t>
      </w:r>
      <w:r w:rsidRPr="00224C7D">
        <w:br/>
        <w:t> </w:t>
      </w:r>
    </w:p>
    <w:p w:rsidR="00572BC8" w:rsidRPr="00224C7D" w:rsidRDefault="00572BC8" w:rsidP="00572BC8">
      <w:pPr>
        <w:numPr>
          <w:ilvl w:val="0"/>
          <w:numId w:val="4"/>
        </w:numPr>
      </w:pPr>
      <w:r w:rsidRPr="00224C7D">
        <w:rPr>
          <w:b/>
          <w:bCs/>
        </w:rPr>
        <w:t>Show Respect</w:t>
      </w:r>
      <w:r w:rsidRPr="00224C7D">
        <w:t>—</w:t>
      </w:r>
      <w:proofErr w:type="gramStart"/>
      <w:r w:rsidRPr="00224C7D">
        <w:t>A</w:t>
      </w:r>
      <w:proofErr w:type="gramEnd"/>
      <w:r w:rsidRPr="00224C7D">
        <w:t xml:space="preserve"> police officer who shows respect, even to known offenders, often gets respect back. This is a critical step towards building bridges between communities, providing citizens with the tools for resolving conflicts without resorting to violence, and helping police solve cases using local information.</w:t>
      </w:r>
      <w:r w:rsidRPr="00224C7D">
        <w:br/>
        <w:t> </w:t>
      </w:r>
    </w:p>
    <w:p w:rsidR="00572BC8" w:rsidRPr="00224C7D" w:rsidRDefault="00572BC8" w:rsidP="00572BC8">
      <w:pPr>
        <w:numPr>
          <w:ilvl w:val="0"/>
          <w:numId w:val="4"/>
        </w:numPr>
      </w:pPr>
      <w:r w:rsidRPr="00224C7D">
        <w:rPr>
          <w:b/>
          <w:bCs/>
        </w:rPr>
        <w:t>Cooperate</w:t>
      </w:r>
      <w:r w:rsidRPr="00224C7D">
        <w:t>—Police officers are as much members of the communities they work in as is anyone else. By cooperating with citizens, officers build lasting relationships that increase their trust in the institution designed to help them maintain law and order. This goes hand-</w:t>
      </w:r>
      <w:r w:rsidRPr="00224C7D">
        <w:lastRenderedPageBreak/>
        <w:t>in-hand with communication, especially in immigrant communities where officers may rely on locals for language translation.</w:t>
      </w:r>
      <w:r w:rsidRPr="00224C7D">
        <w:br/>
        <w:t> </w:t>
      </w:r>
    </w:p>
    <w:p w:rsidR="00572BC8" w:rsidRDefault="00572BC8" w:rsidP="00572BC8">
      <w:pPr>
        <w:numPr>
          <w:ilvl w:val="0"/>
          <w:numId w:val="4"/>
        </w:numPr>
      </w:pPr>
      <w:r w:rsidRPr="00224C7D">
        <w:rPr>
          <w:b/>
          <w:bCs/>
        </w:rPr>
        <w:t>Communicate</w:t>
      </w:r>
      <w:r w:rsidRPr="00224C7D">
        <w:t xml:space="preserve">—More often than not, the best way to resolve a conflict is through effective communication. Achieving this in a diverse population can be challenging, especially in </w:t>
      </w:r>
      <w:proofErr w:type="spellStart"/>
      <w:r w:rsidRPr="00224C7D">
        <w:t>neighborhoods</w:t>
      </w:r>
      <w:proofErr w:type="spellEnd"/>
      <w:r w:rsidRPr="00224C7D">
        <w:t xml:space="preserve"> where neither English nor French are widely spoken. In this case, officers need to cooperate with key members of the community in order to make sure that conflict resolution is achieved, that community members understand and that peace is kept.</w:t>
      </w:r>
      <w:r>
        <w:t>”(WILFRID LAURIER UNIVERSITY-</w:t>
      </w:r>
      <w:r w:rsidRPr="00811817">
        <w:t>2017).</w:t>
      </w:r>
    </w:p>
    <w:p w:rsidR="00572BC8" w:rsidRPr="00224C7D" w:rsidRDefault="00572BC8" w:rsidP="00572BC8">
      <w:r>
        <w:t>Conducting these actions will create a stronger bond between minority groups and Police Services which will build a safer and happy life for all parties.</w:t>
      </w:r>
    </w:p>
    <w:p w:rsidR="00572BC8" w:rsidRDefault="00572BC8" w:rsidP="00572BC8">
      <w:pPr>
        <w:rPr>
          <w:b/>
        </w:rPr>
      </w:pPr>
      <w:r>
        <w:rPr>
          <w:b/>
        </w:rPr>
        <w:t>1051 Words</w:t>
      </w:r>
    </w:p>
    <w:p w:rsidR="00572BC8" w:rsidRDefault="00572BC8" w:rsidP="00572BC8">
      <w:pPr>
        <w:rPr>
          <w:b/>
        </w:rPr>
      </w:pPr>
      <w:r>
        <w:rPr>
          <w:b/>
        </w:rPr>
        <w:t>References:</w:t>
      </w:r>
    </w:p>
    <w:p w:rsidR="00572BC8" w:rsidRPr="00572BC8" w:rsidRDefault="00572BC8" w:rsidP="00572BC8">
      <w:r>
        <w:t xml:space="preserve">Bradford, B., </w:t>
      </w:r>
      <w:proofErr w:type="spellStart"/>
      <w:r>
        <w:t>Sargeant</w:t>
      </w:r>
      <w:proofErr w:type="spellEnd"/>
      <w:r>
        <w:t>, E., Murphy, T. and Jackson, J. (2017) A leap of faith? Trust in the police among migrants in England and Wales. British Journal of Criminology, 57 (2). pp. 381-401.</w:t>
      </w:r>
      <w:bookmarkStart w:id="0" w:name="_GoBack"/>
      <w:bookmarkEnd w:id="0"/>
    </w:p>
    <w:p w:rsidR="00572BC8" w:rsidRPr="00811817" w:rsidRDefault="00572BC8" w:rsidP="00572BC8">
      <w:r w:rsidRPr="00811817">
        <w:t>WILFRID LAURIER UNIVERSITY. (2017). ICYMI: Top Tips on Policing in Diverse Communities. Available: https://online.wlu.ca/news/2016/08/18/top-tips-policing-diverse-communities#:~:text=Policing%20in%20Diverse%20Communities%20Effectively%20Meeting%20the%20challenges,diverse%20communities%20through%20k. Last accessed 20th August 2020.</w:t>
      </w:r>
    </w:p>
    <w:p w:rsidR="00572BC8" w:rsidRPr="00572BC8" w:rsidRDefault="00572BC8" w:rsidP="00572BC8">
      <w:pPr>
        <w:rPr>
          <w:b/>
        </w:rPr>
      </w:pPr>
    </w:p>
    <w:p w:rsidR="00572BC8" w:rsidRPr="006D1979" w:rsidRDefault="00572BC8">
      <w:pPr>
        <w:rPr>
          <w:b/>
          <w:sz w:val="24"/>
          <w:szCs w:val="24"/>
        </w:rPr>
      </w:pPr>
    </w:p>
    <w:sectPr w:rsidR="00572BC8" w:rsidRPr="006D19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B32BB0"/>
    <w:multiLevelType w:val="hybridMultilevel"/>
    <w:tmpl w:val="8B4ED16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404A173E"/>
    <w:multiLevelType w:val="multilevel"/>
    <w:tmpl w:val="BE7C3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8FA3D2F"/>
    <w:multiLevelType w:val="multilevel"/>
    <w:tmpl w:val="06F40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62963F8"/>
    <w:multiLevelType w:val="hybridMultilevel"/>
    <w:tmpl w:val="E13C5496"/>
    <w:lvl w:ilvl="0" w:tplc="C7D823C6">
      <w:start w:val="1"/>
      <w:numFmt w:val="decimal"/>
      <w:lvlText w:val="%1."/>
      <w:lvlJc w:val="left"/>
      <w:pPr>
        <w:ind w:left="720" w:hanging="360"/>
      </w:pPr>
      <w:rPr>
        <w:rFonts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1979"/>
    <w:rsid w:val="002C3518"/>
    <w:rsid w:val="00572BC8"/>
    <w:rsid w:val="006D1979"/>
    <w:rsid w:val="008C00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94647"/>
  <w15:chartTrackingRefBased/>
  <w15:docId w15:val="{F7F3A7A5-24F7-4C8E-B9AE-7410082B6F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D19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D1979"/>
    <w:rPr>
      <w:color w:val="0000FF"/>
      <w:u w:val="single"/>
    </w:rPr>
  </w:style>
  <w:style w:type="paragraph" w:styleId="ListParagraph">
    <w:name w:val="List Paragraph"/>
    <w:basedOn w:val="Normal"/>
    <w:uiPriority w:val="34"/>
    <w:qFormat/>
    <w:rsid w:val="006D19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9262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journals-sagepub-com.ezproxy.uwtsd.ac.uk/doi/full/10.1177/0264550512438254" TargetMode="External"/><Relationship Id="rId5" Type="http://schemas.openxmlformats.org/officeDocument/2006/relationships/hyperlink" Target="https://journals-sagepub-com.ezproxy.uwtsd.ac.uk/doi/full/10.1177/026455051243825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10</Pages>
  <Words>4367</Words>
  <Characters>24895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29204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Hall,Rikki swp6396</dc:creator>
  <cp:keywords/>
  <dc:description/>
  <cp:lastModifiedBy>Hall,Rikki swp6396</cp:lastModifiedBy>
  <cp:revision>1</cp:revision>
  <dcterms:created xsi:type="dcterms:W3CDTF">2020-08-24T18:11:00Z</dcterms:created>
  <dcterms:modified xsi:type="dcterms:W3CDTF">2020-08-24T18:35:00Z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c611c484-e11a-4bda-aa09-dceab6fd5ddb</vt:lpwstr>
  </property>
</Properties>
</file>