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EEC932" w14:textId="3E2EEB52" w:rsidR="00C53FA5" w:rsidRDefault="00C53FA5"/>
    <w:p w14:paraId="536D268B" w14:textId="4AD3AA5A" w:rsidR="00584220" w:rsidRDefault="00584220">
      <w:pPr>
        <w:rPr>
          <w:rFonts w:ascii="Arial" w:eastAsia="+mn-ea" w:hAnsi="Arial" w:cs="Arial"/>
          <w:color w:val="000000"/>
          <w:kern w:val="24"/>
          <w:sz w:val="24"/>
          <w:szCs w:val="24"/>
        </w:rPr>
      </w:pPr>
    </w:p>
    <w:p w14:paraId="38225040" w14:textId="094070D3" w:rsidR="00534B74" w:rsidRDefault="00584220" w:rsidP="00767843">
      <w:pPr>
        <w:spacing w:line="480" w:lineRule="auto"/>
        <w:jc w:val="both"/>
        <w:rPr>
          <w:rFonts w:ascii="Arial" w:hAnsi="Arial" w:cs="Arial"/>
          <w:color w:val="000000" w:themeColor="text1"/>
          <w:sz w:val="24"/>
          <w:szCs w:val="24"/>
        </w:rPr>
      </w:pPr>
      <w:r w:rsidRPr="00534B74">
        <w:rPr>
          <w:rFonts w:ascii="Arial" w:eastAsia="+mn-ea" w:hAnsi="Arial" w:cs="Arial"/>
          <w:color w:val="000000"/>
          <w:kern w:val="24"/>
          <w:sz w:val="24"/>
          <w:szCs w:val="24"/>
        </w:rPr>
        <w:t xml:space="preserve"> </w:t>
      </w:r>
      <w:r w:rsidR="00792DED">
        <w:rPr>
          <w:rFonts w:ascii="Arial" w:eastAsia="+mn-ea" w:hAnsi="Arial" w:cs="Arial"/>
          <w:color w:val="000000"/>
          <w:kern w:val="24"/>
          <w:sz w:val="24"/>
          <w:szCs w:val="24"/>
        </w:rPr>
        <w:t xml:space="preserve">          </w:t>
      </w:r>
      <w:r w:rsidRPr="00534B74">
        <w:rPr>
          <w:rFonts w:ascii="Arial" w:eastAsia="+mn-ea" w:hAnsi="Arial" w:cs="Arial"/>
          <w:color w:val="000000"/>
          <w:kern w:val="24"/>
          <w:sz w:val="24"/>
          <w:szCs w:val="24"/>
        </w:rPr>
        <w:t xml:space="preserve">  </w:t>
      </w:r>
      <w:r w:rsidR="00534B74" w:rsidRPr="00534B74">
        <w:rPr>
          <w:rFonts w:ascii="Arial" w:hAnsi="Arial" w:cs="Arial"/>
          <w:color w:val="000000" w:themeColor="text1"/>
          <w:sz w:val="24"/>
          <w:szCs w:val="24"/>
        </w:rPr>
        <w:t>"We think that the true rule of law is, that the person who for his own purposes brings on his land and collects and keeps there anything likely to do mischief if it escapes, must keep it in at his peril, and, if he does not do so, is </w:t>
      </w:r>
      <w:hyperlink r:id="rId7" w:history="1">
        <w:r w:rsidR="00534B74" w:rsidRPr="00534B74">
          <w:rPr>
            <w:rStyle w:val="Hyperlink"/>
            <w:rFonts w:ascii="Arial" w:hAnsi="Arial" w:cs="Arial"/>
            <w:bCs/>
            <w:color w:val="000000" w:themeColor="text1"/>
            <w:sz w:val="24"/>
            <w:szCs w:val="24"/>
            <w:u w:val="none"/>
            <w:bdr w:val="none" w:sz="0" w:space="0" w:color="auto" w:frame="1"/>
          </w:rPr>
          <w:t>prima facie</w:t>
        </w:r>
      </w:hyperlink>
      <w:r w:rsidR="00534B74" w:rsidRPr="00534B74">
        <w:rPr>
          <w:rFonts w:ascii="Arial" w:hAnsi="Arial" w:cs="Arial"/>
          <w:color w:val="000000" w:themeColor="text1"/>
          <w:sz w:val="24"/>
          <w:szCs w:val="24"/>
        </w:rPr>
        <w:t> answerable for all damage which is the natural consequence of its escape."</w:t>
      </w:r>
      <w:r w:rsidR="00534B74">
        <w:rPr>
          <w:rFonts w:ascii="Arial" w:hAnsi="Arial" w:cs="Arial"/>
          <w:color w:val="000000" w:themeColor="text1"/>
          <w:sz w:val="24"/>
          <w:szCs w:val="24"/>
        </w:rPr>
        <w:t xml:space="preserve"> (Justice Blackburn, in Rylands v Fletcher, 1868)</w:t>
      </w:r>
    </w:p>
    <w:p w14:paraId="03D12EB0" w14:textId="650A83EE" w:rsidR="00534B74" w:rsidRDefault="00534B74"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792DED">
        <w:rPr>
          <w:rFonts w:ascii="Arial" w:eastAsia="+mn-ea" w:hAnsi="Arial" w:cs="Arial"/>
          <w:color w:val="000000"/>
          <w:kern w:val="24"/>
          <w:sz w:val="24"/>
          <w:szCs w:val="24"/>
        </w:rPr>
        <w:t xml:space="preserve">          </w:t>
      </w:r>
      <w:r>
        <w:rPr>
          <w:rFonts w:ascii="Arial" w:eastAsia="+mn-ea" w:hAnsi="Arial" w:cs="Arial"/>
          <w:color w:val="000000"/>
          <w:kern w:val="24"/>
          <w:sz w:val="24"/>
          <w:szCs w:val="24"/>
        </w:rPr>
        <w:t xml:space="preserve">  These were the words spoken that effectively established an early form of strict liability in tort law. The case in question is where the D. contracted workers to build a reservoir on his land. Unbeknown to the D., the land had mine shafts that were connected to land owned by P., and as a result of the contractors not fixing the mine shafts when they had the chance, the reservoir subsequently caused damage to P. land and led to the case of Rylands v Fletcher</w:t>
      </w:r>
      <w:r w:rsidR="00B659BD">
        <w:rPr>
          <w:rFonts w:ascii="Arial" w:eastAsia="+mn-ea" w:hAnsi="Arial" w:cs="Arial"/>
          <w:color w:val="000000"/>
          <w:kern w:val="24"/>
          <w:sz w:val="24"/>
          <w:szCs w:val="24"/>
        </w:rPr>
        <w:t xml:space="preserve">. </w:t>
      </w:r>
    </w:p>
    <w:p w14:paraId="126269D5" w14:textId="13ACAB5C" w:rsidR="00534B74" w:rsidRDefault="00534B74"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792DED">
        <w:rPr>
          <w:rFonts w:ascii="Arial" w:eastAsia="+mn-ea" w:hAnsi="Arial" w:cs="Arial"/>
          <w:color w:val="000000"/>
          <w:kern w:val="24"/>
          <w:sz w:val="24"/>
          <w:szCs w:val="24"/>
        </w:rPr>
        <w:t xml:space="preserve">         </w:t>
      </w:r>
      <w:r>
        <w:rPr>
          <w:rFonts w:ascii="Arial" w:eastAsia="+mn-ea" w:hAnsi="Arial" w:cs="Arial"/>
          <w:color w:val="000000"/>
          <w:kern w:val="24"/>
          <w:sz w:val="24"/>
          <w:szCs w:val="24"/>
        </w:rPr>
        <w:t xml:space="preserve">  It was viewed as a ground-breaking case at the time, as carelessness of landowners could now be held accountable through strict liability. However, the case, at least in modern law, is becoming outdate</w:t>
      </w:r>
      <w:r w:rsidR="00B659BD">
        <w:rPr>
          <w:rFonts w:ascii="Arial" w:eastAsia="+mn-ea" w:hAnsi="Arial" w:cs="Arial"/>
          <w:color w:val="000000"/>
          <w:kern w:val="24"/>
          <w:sz w:val="24"/>
          <w:szCs w:val="24"/>
        </w:rPr>
        <w:t>d</w:t>
      </w:r>
      <w:r>
        <w:rPr>
          <w:rFonts w:ascii="Arial" w:eastAsia="+mn-ea" w:hAnsi="Arial" w:cs="Arial"/>
          <w:color w:val="000000"/>
          <w:kern w:val="24"/>
          <w:sz w:val="24"/>
          <w:szCs w:val="24"/>
        </w:rPr>
        <w:t>. With the law adapting over time, the rule of Rylands v Fletcher may soon be relegated to the history books.</w:t>
      </w:r>
    </w:p>
    <w:p w14:paraId="53F9CDD5" w14:textId="14EAEA32" w:rsidR="00B659BD" w:rsidRDefault="00534B74"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792DED">
        <w:rPr>
          <w:rFonts w:ascii="Arial" w:eastAsia="+mn-ea" w:hAnsi="Arial" w:cs="Arial"/>
          <w:color w:val="000000"/>
          <w:kern w:val="24"/>
          <w:sz w:val="24"/>
          <w:szCs w:val="24"/>
        </w:rPr>
        <w:t xml:space="preserve">     </w:t>
      </w:r>
      <w:r>
        <w:rPr>
          <w:rFonts w:ascii="Arial" w:eastAsia="+mn-ea" w:hAnsi="Arial" w:cs="Arial"/>
          <w:color w:val="000000"/>
          <w:kern w:val="24"/>
          <w:sz w:val="24"/>
          <w:szCs w:val="24"/>
        </w:rPr>
        <w:t xml:space="preserve">  </w:t>
      </w:r>
      <w:r w:rsidR="00584220" w:rsidRPr="00534B74">
        <w:rPr>
          <w:rFonts w:ascii="Arial" w:eastAsia="+mn-ea" w:hAnsi="Arial" w:cs="Arial"/>
          <w:color w:val="000000"/>
          <w:kern w:val="24"/>
          <w:sz w:val="24"/>
          <w:szCs w:val="24"/>
        </w:rPr>
        <w:t xml:space="preserve">  </w:t>
      </w:r>
      <w:r>
        <w:rPr>
          <w:rFonts w:ascii="Arial" w:eastAsia="+mn-ea" w:hAnsi="Arial" w:cs="Arial"/>
          <w:color w:val="000000"/>
          <w:kern w:val="24"/>
          <w:sz w:val="24"/>
          <w:szCs w:val="24"/>
        </w:rPr>
        <w:t>Whether this rule still need to exist has become the debate for many scholars</w:t>
      </w:r>
      <w:r w:rsidR="00B659BD">
        <w:rPr>
          <w:rFonts w:ascii="Arial" w:eastAsia="+mn-ea" w:hAnsi="Arial" w:cs="Arial"/>
          <w:color w:val="000000"/>
          <w:kern w:val="24"/>
          <w:sz w:val="24"/>
          <w:szCs w:val="24"/>
        </w:rPr>
        <w:t xml:space="preserve"> </w:t>
      </w:r>
      <w:r>
        <w:rPr>
          <w:rFonts w:ascii="Arial" w:eastAsia="+mn-ea" w:hAnsi="Arial" w:cs="Arial"/>
          <w:color w:val="000000"/>
          <w:kern w:val="24"/>
          <w:sz w:val="24"/>
          <w:szCs w:val="24"/>
        </w:rPr>
        <w:t>with the ever-evolving law beginning to emasculate the rule.</w:t>
      </w:r>
      <w:r w:rsidRPr="00534B74">
        <w:rPr>
          <w:rFonts w:ascii="Arial" w:eastAsia="+mn-ea" w:hAnsi="Arial" w:cs="Arial"/>
          <w:color w:val="000000"/>
          <w:kern w:val="24"/>
          <w:sz w:val="24"/>
          <w:szCs w:val="24"/>
        </w:rPr>
        <w:t xml:space="preserve"> </w:t>
      </w:r>
      <w:r w:rsidR="00584220" w:rsidRPr="00534B74">
        <w:rPr>
          <w:rFonts w:ascii="Arial" w:eastAsia="+mn-ea" w:hAnsi="Arial" w:cs="Arial"/>
          <w:color w:val="000000"/>
          <w:kern w:val="24"/>
          <w:sz w:val="24"/>
          <w:szCs w:val="24"/>
        </w:rPr>
        <w:t>‘A thrashing out of old straw</w:t>
      </w:r>
      <w:r w:rsidR="00B659BD">
        <w:rPr>
          <w:rFonts w:ascii="Arial" w:eastAsia="+mn-ea" w:hAnsi="Arial" w:cs="Arial"/>
          <w:color w:val="000000"/>
          <w:kern w:val="24"/>
          <w:sz w:val="24"/>
          <w:szCs w:val="24"/>
        </w:rPr>
        <w:t>’ (</w:t>
      </w:r>
      <w:r w:rsidR="00141A53">
        <w:rPr>
          <w:rFonts w:ascii="Arial" w:eastAsia="+mn-ea" w:hAnsi="Arial" w:cs="Arial"/>
          <w:color w:val="000000"/>
          <w:kern w:val="24"/>
          <w:sz w:val="24"/>
          <w:szCs w:val="24"/>
        </w:rPr>
        <w:t>Bohlen, 1911</w:t>
      </w:r>
      <w:r w:rsidR="00B659BD">
        <w:rPr>
          <w:rFonts w:ascii="Arial" w:eastAsia="+mn-ea" w:hAnsi="Arial" w:cs="Arial"/>
          <w:color w:val="000000"/>
          <w:kern w:val="24"/>
          <w:sz w:val="24"/>
          <w:szCs w:val="24"/>
        </w:rPr>
        <w:t>),</w:t>
      </w:r>
      <w:r w:rsidR="00584220" w:rsidRPr="00534B74">
        <w:rPr>
          <w:rFonts w:ascii="Arial" w:eastAsia="+mn-ea" w:hAnsi="Arial" w:cs="Arial"/>
          <w:color w:val="000000"/>
          <w:kern w:val="24"/>
          <w:sz w:val="24"/>
          <w:szCs w:val="24"/>
        </w:rPr>
        <w:t xml:space="preserve"> </w:t>
      </w:r>
      <w:r w:rsidR="00B659BD">
        <w:rPr>
          <w:rFonts w:ascii="Arial" w:eastAsia="+mn-ea" w:hAnsi="Arial" w:cs="Arial"/>
          <w:color w:val="000000"/>
          <w:kern w:val="24"/>
          <w:sz w:val="24"/>
          <w:szCs w:val="24"/>
        </w:rPr>
        <w:t>is th</w:t>
      </w:r>
      <w:r w:rsidR="00584220" w:rsidRPr="00534B74">
        <w:rPr>
          <w:rFonts w:ascii="Arial" w:eastAsia="+mn-ea" w:hAnsi="Arial" w:cs="Arial"/>
          <w:color w:val="000000"/>
          <w:kern w:val="24"/>
          <w:sz w:val="24"/>
          <w:szCs w:val="24"/>
        </w:rPr>
        <w:t xml:space="preserve">e comment made by Francis Bohlen </w:t>
      </w:r>
      <w:r w:rsidRPr="00534B74">
        <w:rPr>
          <w:rFonts w:ascii="Arial" w:eastAsia="+mn-ea" w:hAnsi="Arial" w:cs="Arial"/>
          <w:color w:val="000000"/>
          <w:kern w:val="24"/>
          <w:sz w:val="24"/>
          <w:szCs w:val="24"/>
        </w:rPr>
        <w:t>regarding</w:t>
      </w:r>
      <w:r w:rsidR="00B659BD">
        <w:rPr>
          <w:rFonts w:ascii="Arial" w:eastAsia="+mn-ea" w:hAnsi="Arial" w:cs="Arial"/>
          <w:color w:val="000000"/>
          <w:kern w:val="24"/>
          <w:sz w:val="24"/>
          <w:szCs w:val="24"/>
        </w:rPr>
        <w:t>,</w:t>
      </w:r>
      <w:r w:rsidR="00584220" w:rsidRPr="00534B74">
        <w:rPr>
          <w:rFonts w:ascii="Arial" w:eastAsia="+mn-ea" w:hAnsi="Arial" w:cs="Arial"/>
          <w:color w:val="000000"/>
          <w:kern w:val="24"/>
          <w:sz w:val="24"/>
          <w:szCs w:val="24"/>
        </w:rPr>
        <w:t xml:space="preserve"> further debate </w:t>
      </w:r>
      <w:r w:rsidRPr="00534B74">
        <w:rPr>
          <w:rFonts w:ascii="Arial" w:eastAsia="+mn-ea" w:hAnsi="Arial" w:cs="Arial"/>
          <w:color w:val="000000"/>
          <w:kern w:val="24"/>
          <w:sz w:val="24"/>
          <w:szCs w:val="24"/>
        </w:rPr>
        <w:t>about</w:t>
      </w:r>
      <w:r w:rsidR="00584220" w:rsidRPr="00534B74">
        <w:rPr>
          <w:rFonts w:ascii="Arial" w:eastAsia="+mn-ea" w:hAnsi="Arial" w:cs="Arial"/>
          <w:color w:val="000000"/>
          <w:kern w:val="24"/>
          <w:sz w:val="24"/>
          <w:szCs w:val="24"/>
        </w:rPr>
        <w:t xml:space="preserve"> </w:t>
      </w:r>
      <w:r w:rsidRPr="00534B74">
        <w:rPr>
          <w:rFonts w:ascii="Arial" w:eastAsia="+mn-ea" w:hAnsi="Arial" w:cs="Arial"/>
          <w:color w:val="000000"/>
          <w:kern w:val="24"/>
          <w:sz w:val="24"/>
          <w:szCs w:val="24"/>
        </w:rPr>
        <w:t>‘the rule</w:t>
      </w:r>
      <w:r>
        <w:rPr>
          <w:rFonts w:ascii="Arial" w:eastAsia="+mn-ea" w:hAnsi="Arial" w:cs="Arial"/>
          <w:color w:val="000000"/>
          <w:kern w:val="24"/>
          <w:sz w:val="24"/>
          <w:szCs w:val="24"/>
        </w:rPr>
        <w:t>’</w:t>
      </w:r>
      <w:r w:rsidRPr="00534B74">
        <w:rPr>
          <w:rFonts w:ascii="Arial" w:eastAsia="+mn-ea" w:hAnsi="Arial" w:cs="Arial"/>
          <w:color w:val="000000"/>
          <w:kern w:val="24"/>
          <w:sz w:val="24"/>
          <w:szCs w:val="24"/>
        </w:rPr>
        <w:t xml:space="preserve"> found in Rylands</w:t>
      </w:r>
      <w:r w:rsidRPr="00534B74">
        <w:rPr>
          <w:rFonts w:ascii="Arial" w:hAnsi="Arial" w:cs="Arial"/>
          <w:color w:val="212529"/>
          <w:sz w:val="24"/>
          <w:szCs w:val="24"/>
          <w:shd w:val="clear" w:color="auto" w:fill="FFFFFF"/>
        </w:rPr>
        <w:t xml:space="preserve"> v Fletcher (1868)</w:t>
      </w:r>
      <w:r>
        <w:rPr>
          <w:rFonts w:ascii="Arial" w:hAnsi="Arial" w:cs="Arial"/>
          <w:color w:val="212529"/>
          <w:sz w:val="24"/>
          <w:szCs w:val="24"/>
          <w:shd w:val="clear" w:color="auto" w:fill="FFFFFF"/>
        </w:rPr>
        <w:t>.</w:t>
      </w:r>
      <w:r w:rsidRPr="00534B74">
        <w:rPr>
          <w:rFonts w:ascii="Arial" w:hAnsi="Arial" w:cs="Arial"/>
          <w:color w:val="212529"/>
          <w:sz w:val="24"/>
          <w:szCs w:val="24"/>
          <w:shd w:val="clear" w:color="auto" w:fill="FFFFFF"/>
        </w:rPr>
        <w:t xml:space="preserve"> </w:t>
      </w:r>
      <w:r w:rsidR="00584220" w:rsidRPr="00534B74">
        <w:rPr>
          <w:rFonts w:ascii="Arial" w:eastAsia="+mn-ea" w:hAnsi="Arial" w:cs="Arial"/>
          <w:color w:val="000000"/>
          <w:kern w:val="24"/>
          <w:sz w:val="24"/>
          <w:szCs w:val="24"/>
        </w:rPr>
        <w:t>However, despite th</w:t>
      </w:r>
      <w:r>
        <w:rPr>
          <w:rFonts w:ascii="Arial" w:eastAsia="+mn-ea" w:hAnsi="Arial" w:cs="Arial"/>
          <w:color w:val="000000"/>
          <w:kern w:val="24"/>
          <w:sz w:val="24"/>
          <w:szCs w:val="24"/>
        </w:rPr>
        <w:t>is</w:t>
      </w:r>
      <w:r w:rsidR="00584220" w:rsidRPr="00534B74">
        <w:rPr>
          <w:rFonts w:ascii="Arial" w:eastAsia="+mn-ea" w:hAnsi="Arial" w:cs="Arial"/>
          <w:color w:val="000000"/>
          <w:kern w:val="24"/>
          <w:sz w:val="24"/>
          <w:szCs w:val="24"/>
        </w:rPr>
        <w:t xml:space="preserve"> opinion</w:t>
      </w:r>
      <w:r w:rsidR="00AA6E6D">
        <w:rPr>
          <w:rFonts w:ascii="Arial" w:eastAsia="+mn-ea" w:hAnsi="Arial" w:cs="Arial"/>
          <w:color w:val="000000"/>
          <w:kern w:val="24"/>
          <w:sz w:val="24"/>
          <w:szCs w:val="24"/>
        </w:rPr>
        <w:t xml:space="preserve">, </w:t>
      </w:r>
      <w:r w:rsidR="00584220" w:rsidRPr="00534B74">
        <w:rPr>
          <w:rFonts w:ascii="Arial" w:eastAsia="+mn-ea" w:hAnsi="Arial" w:cs="Arial"/>
          <w:color w:val="000000"/>
          <w:kern w:val="24"/>
          <w:sz w:val="24"/>
          <w:szCs w:val="24"/>
        </w:rPr>
        <w:t xml:space="preserve">the rule </w:t>
      </w:r>
      <w:r w:rsidR="00B659BD">
        <w:rPr>
          <w:rFonts w:ascii="Arial" w:eastAsia="+mn-ea" w:hAnsi="Arial" w:cs="Arial"/>
          <w:color w:val="000000"/>
          <w:kern w:val="24"/>
          <w:sz w:val="24"/>
          <w:szCs w:val="24"/>
        </w:rPr>
        <w:t>has continued in English law.</w:t>
      </w:r>
      <w:r w:rsidR="00584220" w:rsidRPr="00534B74">
        <w:rPr>
          <w:rFonts w:ascii="Arial" w:eastAsia="+mn-ea" w:hAnsi="Arial" w:cs="Arial"/>
          <w:color w:val="000000"/>
          <w:kern w:val="24"/>
          <w:sz w:val="24"/>
          <w:szCs w:val="24"/>
        </w:rPr>
        <w:t xml:space="preserve"> </w:t>
      </w:r>
    </w:p>
    <w:p w14:paraId="7DFCF346" w14:textId="6B76552B" w:rsidR="00B659BD" w:rsidRDefault="00B659BD"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792DED">
        <w:rPr>
          <w:rFonts w:ascii="Arial" w:eastAsia="+mn-ea" w:hAnsi="Arial" w:cs="Arial"/>
          <w:color w:val="000000"/>
          <w:kern w:val="24"/>
          <w:sz w:val="24"/>
          <w:szCs w:val="24"/>
        </w:rPr>
        <w:t xml:space="preserve">         </w:t>
      </w:r>
      <w:r>
        <w:rPr>
          <w:rFonts w:ascii="Arial" w:eastAsia="+mn-ea" w:hAnsi="Arial" w:cs="Arial"/>
          <w:color w:val="000000"/>
          <w:kern w:val="24"/>
          <w:sz w:val="24"/>
          <w:szCs w:val="24"/>
        </w:rPr>
        <w:t xml:space="preserve">   The rule came to surface as issues that were being faced were not truly </w:t>
      </w:r>
      <w:r w:rsidR="002D43C2">
        <w:rPr>
          <w:rFonts w:ascii="Arial" w:eastAsia="+mn-ea" w:hAnsi="Arial" w:cs="Arial"/>
          <w:color w:val="000000"/>
          <w:kern w:val="24"/>
          <w:sz w:val="24"/>
          <w:szCs w:val="24"/>
        </w:rPr>
        <w:t>covered</w:t>
      </w:r>
      <w:r>
        <w:rPr>
          <w:rFonts w:ascii="Arial" w:eastAsia="+mn-ea" w:hAnsi="Arial" w:cs="Arial"/>
          <w:color w:val="000000"/>
          <w:kern w:val="24"/>
          <w:sz w:val="24"/>
          <w:szCs w:val="24"/>
        </w:rPr>
        <w:t xml:space="preserve"> by the laws of the time</w:t>
      </w:r>
      <w:r w:rsidR="002D43C2">
        <w:rPr>
          <w:rFonts w:ascii="Arial" w:eastAsia="+mn-ea" w:hAnsi="Arial" w:cs="Arial"/>
          <w:color w:val="000000"/>
          <w:kern w:val="24"/>
          <w:sz w:val="24"/>
          <w:szCs w:val="24"/>
        </w:rPr>
        <w:t>, and</w:t>
      </w:r>
      <w:r>
        <w:rPr>
          <w:rFonts w:ascii="Arial" w:eastAsia="+mn-ea" w:hAnsi="Arial" w:cs="Arial"/>
          <w:color w:val="000000"/>
          <w:kern w:val="24"/>
          <w:sz w:val="24"/>
          <w:szCs w:val="24"/>
        </w:rPr>
        <w:t xml:space="preserve"> </w:t>
      </w:r>
      <w:r w:rsidR="002D43C2">
        <w:rPr>
          <w:rFonts w:ascii="Arial" w:eastAsia="+mn-ea" w:hAnsi="Arial" w:cs="Arial"/>
          <w:color w:val="000000"/>
          <w:kern w:val="24"/>
          <w:sz w:val="24"/>
          <w:szCs w:val="24"/>
        </w:rPr>
        <w:t>u</w:t>
      </w:r>
      <w:r>
        <w:rPr>
          <w:rFonts w:ascii="Arial" w:eastAsia="+mn-ea" w:hAnsi="Arial" w:cs="Arial"/>
          <w:color w:val="000000"/>
          <w:kern w:val="24"/>
          <w:sz w:val="24"/>
          <w:szCs w:val="24"/>
        </w:rPr>
        <w:t>pon further analysis, it can be seen why.</w:t>
      </w:r>
      <w:r w:rsidR="002D43C2">
        <w:rPr>
          <w:rFonts w:ascii="Arial" w:eastAsia="+mn-ea" w:hAnsi="Arial" w:cs="Arial"/>
          <w:color w:val="000000"/>
          <w:kern w:val="24"/>
          <w:sz w:val="24"/>
          <w:szCs w:val="24"/>
        </w:rPr>
        <w:t xml:space="preserve"> Prior </w:t>
      </w:r>
      <w:r w:rsidR="002D43C2">
        <w:rPr>
          <w:rFonts w:ascii="Arial" w:eastAsia="+mn-ea" w:hAnsi="Arial" w:cs="Arial"/>
          <w:color w:val="000000"/>
          <w:kern w:val="24"/>
          <w:sz w:val="24"/>
          <w:szCs w:val="24"/>
        </w:rPr>
        <w:lastRenderedPageBreak/>
        <w:t xml:space="preserve">to the rule, Vaughan v </w:t>
      </w:r>
      <w:proofErr w:type="spellStart"/>
      <w:r w:rsidR="002D43C2">
        <w:rPr>
          <w:rFonts w:ascii="Arial" w:eastAsia="+mn-ea" w:hAnsi="Arial" w:cs="Arial"/>
          <w:color w:val="000000"/>
          <w:kern w:val="24"/>
          <w:sz w:val="24"/>
          <w:szCs w:val="24"/>
        </w:rPr>
        <w:t>Menlove</w:t>
      </w:r>
      <w:proofErr w:type="spellEnd"/>
      <w:r w:rsidR="002D43C2">
        <w:rPr>
          <w:rFonts w:ascii="Arial" w:eastAsia="+mn-ea" w:hAnsi="Arial" w:cs="Arial"/>
          <w:color w:val="000000"/>
          <w:kern w:val="24"/>
          <w:sz w:val="24"/>
          <w:szCs w:val="24"/>
        </w:rPr>
        <w:t xml:space="preserve"> (1837) was used for guidance</w:t>
      </w:r>
      <w:r w:rsidR="00C72233">
        <w:rPr>
          <w:rFonts w:ascii="Arial" w:eastAsia="+mn-ea" w:hAnsi="Arial" w:cs="Arial"/>
          <w:color w:val="000000"/>
          <w:kern w:val="24"/>
          <w:sz w:val="24"/>
          <w:szCs w:val="24"/>
        </w:rPr>
        <w:t xml:space="preserve">. The case held very similar circumstances to </w:t>
      </w:r>
      <w:r w:rsidR="00114719">
        <w:rPr>
          <w:rFonts w:ascii="Arial" w:eastAsia="+mn-ea" w:hAnsi="Arial" w:cs="Arial"/>
          <w:color w:val="000000"/>
          <w:kern w:val="24"/>
          <w:sz w:val="24"/>
          <w:szCs w:val="24"/>
        </w:rPr>
        <w:t>R</w:t>
      </w:r>
      <w:r w:rsidR="00C72233">
        <w:rPr>
          <w:rFonts w:ascii="Arial" w:eastAsia="+mn-ea" w:hAnsi="Arial" w:cs="Arial"/>
          <w:color w:val="000000"/>
          <w:kern w:val="24"/>
          <w:sz w:val="24"/>
          <w:szCs w:val="24"/>
        </w:rPr>
        <w:t xml:space="preserve">ylands v </w:t>
      </w:r>
      <w:r w:rsidR="00B16CC1">
        <w:rPr>
          <w:rFonts w:ascii="Arial" w:eastAsia="+mn-ea" w:hAnsi="Arial" w:cs="Arial"/>
          <w:color w:val="000000"/>
          <w:kern w:val="24"/>
          <w:sz w:val="24"/>
          <w:szCs w:val="24"/>
        </w:rPr>
        <w:t>Fletcher,</w:t>
      </w:r>
      <w:r w:rsidR="002D43C2">
        <w:rPr>
          <w:rFonts w:ascii="Arial" w:eastAsia="+mn-ea" w:hAnsi="Arial" w:cs="Arial"/>
          <w:color w:val="000000"/>
          <w:kern w:val="24"/>
          <w:sz w:val="24"/>
          <w:szCs w:val="24"/>
        </w:rPr>
        <w:t xml:space="preserve"> and the rule could have been introduced sooner.</w:t>
      </w:r>
    </w:p>
    <w:p w14:paraId="0204104D" w14:textId="3E52FA52" w:rsidR="00B659BD" w:rsidRPr="00792DED" w:rsidRDefault="00792DED"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2D43C2" w:rsidRPr="00792DED">
        <w:rPr>
          <w:rFonts w:ascii="Arial" w:eastAsia="+mn-ea" w:hAnsi="Arial" w:cs="Arial"/>
          <w:color w:val="000000"/>
          <w:kern w:val="24"/>
          <w:sz w:val="24"/>
          <w:szCs w:val="24"/>
        </w:rPr>
        <w:t xml:space="preserve">The three areas of law that could have been considered for the case are trespass, negligence and nuisance. Firstly, the entry of the water on to P’s land could be viewed as trespass. While </w:t>
      </w:r>
      <w:r w:rsidR="00EC2A98" w:rsidRPr="00792DED">
        <w:rPr>
          <w:rFonts w:ascii="Arial" w:eastAsia="+mn-ea" w:hAnsi="Arial" w:cs="Arial"/>
          <w:color w:val="000000"/>
          <w:kern w:val="24"/>
          <w:sz w:val="24"/>
          <w:szCs w:val="24"/>
        </w:rPr>
        <w:t xml:space="preserve">trespass </w:t>
      </w:r>
      <w:r w:rsidR="00C7369E" w:rsidRPr="00792DED">
        <w:rPr>
          <w:rFonts w:ascii="Arial" w:eastAsia="+mn-ea" w:hAnsi="Arial" w:cs="Arial"/>
          <w:color w:val="000000"/>
          <w:kern w:val="24"/>
          <w:sz w:val="24"/>
          <w:szCs w:val="24"/>
        </w:rPr>
        <w:t>to the ground beneath the su</w:t>
      </w:r>
      <w:r w:rsidR="00E83C7E" w:rsidRPr="00792DED">
        <w:rPr>
          <w:rFonts w:ascii="Arial" w:eastAsia="+mn-ea" w:hAnsi="Arial" w:cs="Arial"/>
          <w:color w:val="000000"/>
          <w:kern w:val="24"/>
          <w:sz w:val="24"/>
          <w:szCs w:val="24"/>
        </w:rPr>
        <w:t>rface</w:t>
      </w:r>
      <w:r w:rsidR="00B34B87" w:rsidRPr="00792DED">
        <w:rPr>
          <w:rFonts w:ascii="Arial" w:eastAsia="+mn-ea" w:hAnsi="Arial" w:cs="Arial"/>
          <w:color w:val="000000"/>
          <w:kern w:val="24"/>
          <w:sz w:val="24"/>
          <w:szCs w:val="24"/>
        </w:rPr>
        <w:t xml:space="preserve">, although only seen an </w:t>
      </w:r>
      <w:r w:rsidR="004250F6" w:rsidRPr="00792DED">
        <w:rPr>
          <w:rFonts w:ascii="Arial" w:eastAsia="+mn-ea" w:hAnsi="Arial" w:cs="Arial"/>
          <w:color w:val="000000"/>
          <w:kern w:val="24"/>
          <w:sz w:val="24"/>
          <w:szCs w:val="24"/>
        </w:rPr>
        <w:t>introduction in</w:t>
      </w:r>
      <w:r w:rsidR="00561668" w:rsidRPr="00792DED">
        <w:rPr>
          <w:rFonts w:ascii="Arial" w:eastAsia="+mn-ea" w:hAnsi="Arial" w:cs="Arial"/>
          <w:color w:val="000000"/>
          <w:kern w:val="24"/>
          <w:sz w:val="24"/>
          <w:szCs w:val="24"/>
        </w:rPr>
        <w:t xml:space="preserve"> Bulli coal Mining Co v Osborne [1899]</w:t>
      </w:r>
      <w:r w:rsidR="004D7AE8" w:rsidRPr="00792DED">
        <w:rPr>
          <w:rFonts w:ascii="Arial" w:eastAsia="+mn-ea" w:hAnsi="Arial" w:cs="Arial"/>
          <w:color w:val="000000"/>
          <w:kern w:val="24"/>
          <w:sz w:val="24"/>
          <w:szCs w:val="24"/>
        </w:rPr>
        <w:t xml:space="preserve">, </w:t>
      </w:r>
      <w:r w:rsidR="00BE2C0E" w:rsidRPr="00792DED">
        <w:rPr>
          <w:rFonts w:ascii="Arial" w:eastAsia="+mn-ea" w:hAnsi="Arial" w:cs="Arial"/>
          <w:color w:val="000000"/>
          <w:kern w:val="24"/>
          <w:sz w:val="24"/>
          <w:szCs w:val="24"/>
        </w:rPr>
        <w:t>can</w:t>
      </w:r>
      <w:r w:rsidR="002C1853" w:rsidRPr="00792DED">
        <w:rPr>
          <w:rFonts w:ascii="Arial" w:eastAsia="+mn-ea" w:hAnsi="Arial" w:cs="Arial"/>
          <w:color w:val="000000"/>
          <w:kern w:val="24"/>
          <w:sz w:val="24"/>
          <w:szCs w:val="24"/>
        </w:rPr>
        <w:t xml:space="preserve"> be used, </w:t>
      </w:r>
      <w:r w:rsidR="00990056" w:rsidRPr="00792DED">
        <w:rPr>
          <w:rFonts w:ascii="Arial" w:eastAsia="+mn-ea" w:hAnsi="Arial" w:cs="Arial"/>
          <w:color w:val="000000"/>
          <w:kern w:val="24"/>
          <w:sz w:val="24"/>
          <w:szCs w:val="24"/>
        </w:rPr>
        <w:t>trespass is an intentional tort. As the D did not know</w:t>
      </w:r>
      <w:r w:rsidR="004250F6" w:rsidRPr="00792DED">
        <w:rPr>
          <w:rFonts w:ascii="Arial" w:eastAsia="+mn-ea" w:hAnsi="Arial" w:cs="Arial"/>
          <w:color w:val="000000"/>
          <w:kern w:val="24"/>
          <w:sz w:val="24"/>
          <w:szCs w:val="24"/>
        </w:rPr>
        <w:t xml:space="preserve"> of the trespass</w:t>
      </w:r>
      <w:r w:rsidR="00277E2E" w:rsidRPr="00792DED">
        <w:rPr>
          <w:rFonts w:ascii="Arial" w:eastAsia="+mn-ea" w:hAnsi="Arial" w:cs="Arial"/>
          <w:color w:val="000000"/>
          <w:kern w:val="24"/>
          <w:sz w:val="24"/>
          <w:szCs w:val="24"/>
        </w:rPr>
        <w:t>, intent could not be established.</w:t>
      </w:r>
    </w:p>
    <w:p w14:paraId="7793E969" w14:textId="706DE791" w:rsidR="00B659BD" w:rsidRPr="00792DED" w:rsidRDefault="00792DED"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8B7D84" w:rsidRPr="00792DED">
        <w:rPr>
          <w:rFonts w:ascii="Arial" w:eastAsia="+mn-ea" w:hAnsi="Arial" w:cs="Arial"/>
          <w:color w:val="000000"/>
          <w:kern w:val="24"/>
          <w:sz w:val="24"/>
          <w:szCs w:val="24"/>
        </w:rPr>
        <w:t>Negligence is another area of consideration.</w:t>
      </w:r>
      <w:r w:rsidR="007D2E76" w:rsidRPr="00792DED">
        <w:rPr>
          <w:rFonts w:ascii="Arial" w:eastAsia="+mn-ea" w:hAnsi="Arial" w:cs="Arial"/>
          <w:color w:val="000000"/>
          <w:kern w:val="24"/>
          <w:sz w:val="24"/>
          <w:szCs w:val="24"/>
        </w:rPr>
        <w:t xml:space="preserve"> Established in Don</w:t>
      </w:r>
      <w:r w:rsidR="002E0C5C" w:rsidRPr="00792DED">
        <w:rPr>
          <w:rFonts w:ascii="Arial" w:eastAsia="+mn-ea" w:hAnsi="Arial" w:cs="Arial"/>
          <w:color w:val="000000"/>
          <w:kern w:val="24"/>
          <w:sz w:val="24"/>
          <w:szCs w:val="24"/>
        </w:rPr>
        <w:t>oghue v Stevenson</w:t>
      </w:r>
      <w:r w:rsidR="00F21AA3" w:rsidRPr="00792DED">
        <w:rPr>
          <w:rFonts w:ascii="Arial" w:eastAsia="+mn-ea" w:hAnsi="Arial" w:cs="Arial"/>
          <w:color w:val="000000"/>
          <w:kern w:val="24"/>
          <w:sz w:val="24"/>
          <w:szCs w:val="24"/>
        </w:rPr>
        <w:t>, the first hurdle of establishing a negligence is a duty of care.</w:t>
      </w:r>
      <w:r w:rsidR="006B3E18" w:rsidRPr="00792DED">
        <w:rPr>
          <w:rFonts w:ascii="Arial" w:eastAsia="+mn-ea" w:hAnsi="Arial" w:cs="Arial"/>
          <w:color w:val="000000"/>
          <w:kern w:val="24"/>
          <w:sz w:val="24"/>
          <w:szCs w:val="24"/>
        </w:rPr>
        <w:t xml:space="preserve"> There was no duty of care between D and P, and as a result negligence between these could not be established. </w:t>
      </w:r>
      <w:r w:rsidR="00DE3D41" w:rsidRPr="00792DED">
        <w:rPr>
          <w:rFonts w:ascii="Arial" w:eastAsia="+mn-ea" w:hAnsi="Arial" w:cs="Arial"/>
          <w:color w:val="000000"/>
          <w:kern w:val="24"/>
          <w:sz w:val="24"/>
          <w:szCs w:val="24"/>
        </w:rPr>
        <w:t>However</w:t>
      </w:r>
      <w:r w:rsidR="00826CD5" w:rsidRPr="00792DED">
        <w:rPr>
          <w:rFonts w:ascii="Arial" w:eastAsia="+mn-ea" w:hAnsi="Arial" w:cs="Arial"/>
          <w:color w:val="000000"/>
          <w:kern w:val="24"/>
          <w:sz w:val="24"/>
          <w:szCs w:val="24"/>
        </w:rPr>
        <w:t>,</w:t>
      </w:r>
      <w:r w:rsidR="00DE3D41" w:rsidRPr="00792DED">
        <w:rPr>
          <w:rFonts w:ascii="Arial" w:eastAsia="+mn-ea" w:hAnsi="Arial" w:cs="Arial"/>
          <w:color w:val="000000"/>
          <w:kern w:val="24"/>
          <w:sz w:val="24"/>
          <w:szCs w:val="24"/>
        </w:rPr>
        <w:t xml:space="preserve"> there is a case </w:t>
      </w:r>
      <w:r w:rsidR="00826CD5" w:rsidRPr="00792DED">
        <w:rPr>
          <w:rFonts w:ascii="Arial" w:eastAsia="+mn-ea" w:hAnsi="Arial" w:cs="Arial"/>
          <w:color w:val="000000"/>
          <w:kern w:val="24"/>
          <w:sz w:val="24"/>
          <w:szCs w:val="24"/>
        </w:rPr>
        <w:t>for</w:t>
      </w:r>
      <w:r w:rsidR="00DE3D41" w:rsidRPr="00792DED">
        <w:rPr>
          <w:rFonts w:ascii="Arial" w:eastAsia="+mn-ea" w:hAnsi="Arial" w:cs="Arial"/>
          <w:color w:val="000000"/>
          <w:kern w:val="24"/>
          <w:sz w:val="24"/>
          <w:szCs w:val="24"/>
        </w:rPr>
        <w:t xml:space="preserve"> negligence on </w:t>
      </w:r>
      <w:r w:rsidR="00D977C1" w:rsidRPr="00792DED">
        <w:rPr>
          <w:rFonts w:ascii="Arial" w:eastAsia="+mn-ea" w:hAnsi="Arial" w:cs="Arial"/>
          <w:color w:val="000000"/>
          <w:kern w:val="24"/>
          <w:sz w:val="24"/>
          <w:szCs w:val="24"/>
        </w:rPr>
        <w:t xml:space="preserve">behalf of the contractors, as they did not </w:t>
      </w:r>
      <w:r w:rsidR="00DB7FE0" w:rsidRPr="00792DED">
        <w:rPr>
          <w:rFonts w:ascii="Arial" w:eastAsia="+mn-ea" w:hAnsi="Arial" w:cs="Arial"/>
          <w:color w:val="000000"/>
          <w:kern w:val="24"/>
          <w:sz w:val="24"/>
          <w:szCs w:val="24"/>
        </w:rPr>
        <w:t>carry out the necessary work to ensure the safety of the mines, nor did the inform the D</w:t>
      </w:r>
      <w:r w:rsidR="00280F90" w:rsidRPr="00792DED">
        <w:rPr>
          <w:rFonts w:ascii="Arial" w:eastAsia="+mn-ea" w:hAnsi="Arial" w:cs="Arial"/>
          <w:color w:val="000000"/>
          <w:kern w:val="24"/>
          <w:sz w:val="24"/>
          <w:szCs w:val="24"/>
        </w:rPr>
        <w:t xml:space="preserve"> of the work required.</w:t>
      </w:r>
    </w:p>
    <w:p w14:paraId="23C948D0" w14:textId="2C62F074" w:rsidR="00B659BD" w:rsidRPr="00792DED" w:rsidRDefault="00792DED"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2D43C2" w:rsidRPr="00792DED">
        <w:rPr>
          <w:rFonts w:ascii="Arial" w:eastAsia="+mn-ea" w:hAnsi="Arial" w:cs="Arial"/>
          <w:color w:val="000000"/>
          <w:kern w:val="24"/>
          <w:sz w:val="24"/>
          <w:szCs w:val="24"/>
        </w:rPr>
        <w:t>Nuisance</w:t>
      </w:r>
      <w:r w:rsidR="00B659BD" w:rsidRPr="00792DED">
        <w:rPr>
          <w:rFonts w:ascii="Arial" w:eastAsia="+mn-ea" w:hAnsi="Arial" w:cs="Arial"/>
          <w:color w:val="000000"/>
          <w:kern w:val="24"/>
          <w:sz w:val="24"/>
          <w:szCs w:val="24"/>
        </w:rPr>
        <w:t xml:space="preserve"> </w:t>
      </w:r>
      <w:r w:rsidR="002D43C2" w:rsidRPr="00792DED">
        <w:rPr>
          <w:rFonts w:ascii="Arial" w:eastAsia="+mn-ea" w:hAnsi="Arial" w:cs="Arial"/>
          <w:color w:val="000000"/>
          <w:kern w:val="24"/>
          <w:sz w:val="24"/>
          <w:szCs w:val="24"/>
        </w:rPr>
        <w:t>usually considers acts of interference that are constant. As that was not the case here, Rylands v Fletcher effectively created a part of the law where only one act of interference would be needed to establish liability.</w:t>
      </w:r>
    </w:p>
    <w:p w14:paraId="6C06BA95" w14:textId="78AA587A" w:rsidR="00386CEB" w:rsidRDefault="00792DED"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E6735F">
        <w:rPr>
          <w:rFonts w:ascii="Arial" w:eastAsia="+mn-ea" w:hAnsi="Arial" w:cs="Arial"/>
          <w:color w:val="000000"/>
          <w:kern w:val="24"/>
          <w:sz w:val="24"/>
          <w:szCs w:val="24"/>
        </w:rPr>
        <w:t>With these cases not providing the necessary remedy</w:t>
      </w:r>
      <w:r w:rsidR="002C3680">
        <w:rPr>
          <w:rFonts w:ascii="Arial" w:eastAsia="+mn-ea" w:hAnsi="Arial" w:cs="Arial"/>
          <w:color w:val="000000"/>
          <w:kern w:val="24"/>
          <w:sz w:val="24"/>
          <w:szCs w:val="24"/>
        </w:rPr>
        <w:t>, the Rule of Ryla</w:t>
      </w:r>
      <w:r w:rsidR="00386CEB">
        <w:rPr>
          <w:rFonts w:ascii="Arial" w:eastAsia="+mn-ea" w:hAnsi="Arial" w:cs="Arial"/>
          <w:color w:val="000000"/>
          <w:kern w:val="24"/>
          <w:sz w:val="24"/>
          <w:szCs w:val="24"/>
        </w:rPr>
        <w:t>nds v Fletcher came in to existence with its own set of requirements to satisfy. These are:</w:t>
      </w:r>
    </w:p>
    <w:p w14:paraId="0E7BBEAE" w14:textId="1FE9EBC5" w:rsidR="00B659BD" w:rsidRPr="00386CEB" w:rsidRDefault="002D43C2" w:rsidP="00767843">
      <w:pPr>
        <w:pStyle w:val="ListParagraph"/>
        <w:numPr>
          <w:ilvl w:val="0"/>
          <w:numId w:val="1"/>
        </w:numPr>
        <w:spacing w:line="480" w:lineRule="auto"/>
        <w:jc w:val="both"/>
        <w:rPr>
          <w:rFonts w:ascii="Arial" w:eastAsia="+mn-ea" w:hAnsi="Arial" w:cs="Arial"/>
          <w:color w:val="000000"/>
          <w:kern w:val="24"/>
          <w:sz w:val="24"/>
          <w:szCs w:val="24"/>
        </w:rPr>
      </w:pPr>
      <w:r w:rsidRPr="00386CEB">
        <w:rPr>
          <w:rFonts w:ascii="Arial" w:eastAsia="+mn-ea" w:hAnsi="Arial" w:cs="Arial"/>
          <w:color w:val="000000"/>
          <w:kern w:val="24"/>
          <w:sz w:val="24"/>
          <w:szCs w:val="24"/>
        </w:rPr>
        <w:t>That the D accumulated the materials on his land</w:t>
      </w:r>
    </w:p>
    <w:p w14:paraId="716C501A" w14:textId="09773199" w:rsidR="00B659BD" w:rsidRDefault="002D43C2" w:rsidP="00767843">
      <w:pPr>
        <w:pStyle w:val="ListParagraph"/>
        <w:numPr>
          <w:ilvl w:val="0"/>
          <w:numId w:val="1"/>
        </w:num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The materials would do damage if they escaped</w:t>
      </w:r>
    </w:p>
    <w:p w14:paraId="70909008" w14:textId="62B078DB" w:rsidR="00B659BD" w:rsidRDefault="002D43C2" w:rsidP="00767843">
      <w:pPr>
        <w:pStyle w:val="ListParagraph"/>
        <w:numPr>
          <w:ilvl w:val="0"/>
          <w:numId w:val="1"/>
        </w:num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That an escape happened</w:t>
      </w:r>
    </w:p>
    <w:p w14:paraId="02D52975" w14:textId="2823868D" w:rsidR="00B659BD" w:rsidRDefault="002D43C2" w:rsidP="00767843">
      <w:pPr>
        <w:pStyle w:val="ListParagraph"/>
        <w:numPr>
          <w:ilvl w:val="0"/>
          <w:numId w:val="1"/>
        </w:num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That D was using the land for a non-natural use</w:t>
      </w:r>
    </w:p>
    <w:p w14:paraId="26430F72" w14:textId="6FB445AC" w:rsidR="002D43C2" w:rsidRPr="0090766E" w:rsidRDefault="00B659BD" w:rsidP="00767843">
      <w:pPr>
        <w:pStyle w:val="ListParagraph"/>
        <w:numPr>
          <w:ilvl w:val="0"/>
          <w:numId w:val="1"/>
        </w:num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lastRenderedPageBreak/>
        <w:t>The damage must not be too remote</w:t>
      </w:r>
    </w:p>
    <w:p w14:paraId="0902F6EB" w14:textId="397C8437" w:rsidR="00B659BD" w:rsidRDefault="00B659BD"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792DED">
        <w:rPr>
          <w:rFonts w:ascii="Arial" w:eastAsia="+mn-ea" w:hAnsi="Arial" w:cs="Arial"/>
          <w:color w:val="000000"/>
          <w:kern w:val="24"/>
          <w:sz w:val="24"/>
          <w:szCs w:val="24"/>
        </w:rPr>
        <w:t xml:space="preserve">          </w:t>
      </w:r>
      <w:r>
        <w:rPr>
          <w:rFonts w:ascii="Arial" w:eastAsia="+mn-ea" w:hAnsi="Arial" w:cs="Arial"/>
          <w:color w:val="000000"/>
          <w:kern w:val="24"/>
          <w:sz w:val="24"/>
          <w:szCs w:val="24"/>
        </w:rPr>
        <w:t xml:space="preserve">  Accumulation requires the D bring the hazardous material on to his land and store them there. If there naturally, liability cannot arise under Rylands v Fletcher (Giles v Walker [1890]) (Pontardawe RDC v Moore-Gwyn [1929]).</w:t>
      </w:r>
    </w:p>
    <w:p w14:paraId="62A355E1" w14:textId="40C402A9" w:rsidR="002D43C2" w:rsidRDefault="00792DED"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2D43C2">
        <w:rPr>
          <w:rFonts w:ascii="Arial" w:eastAsia="+mn-ea" w:hAnsi="Arial" w:cs="Arial"/>
          <w:color w:val="000000"/>
          <w:kern w:val="24"/>
          <w:sz w:val="24"/>
          <w:szCs w:val="24"/>
        </w:rPr>
        <w:t>Hale v Jennings Bros [1938] establishes that the materials be capable of damage should they escape but does not strictly apply the escape requirement. This interpretation of the law is under the discretion of the courts as both Ponting v Noakes and Read v Lyons [1947] both required escape of the materials which caused the subsequent damage.</w:t>
      </w:r>
    </w:p>
    <w:p w14:paraId="1210A0A9" w14:textId="378D3C9C" w:rsidR="002D43C2" w:rsidRDefault="00792DED"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2D43C2">
        <w:rPr>
          <w:rFonts w:ascii="Arial" w:eastAsia="+mn-ea" w:hAnsi="Arial" w:cs="Arial"/>
          <w:color w:val="000000"/>
          <w:kern w:val="24"/>
          <w:sz w:val="24"/>
          <w:szCs w:val="24"/>
        </w:rPr>
        <w:t>The requirement for non-natural use is regarded as introducing articles for ‘any purpose’ ‘which in its natural condition was not in or upon’ the land prior to the D’s actions (Rylands v Fletcher 1868). This was expanded on in Rickards v Lothian [1913] to include that the land was being used for a ‘special purpose’ and that by doing so, would bring ‘increased risk to others.’ The most recent review of this requirement can be found in Transco v Stockport MBC [2004].</w:t>
      </w:r>
    </w:p>
    <w:p w14:paraId="22C0F8DF" w14:textId="79CB24EA" w:rsidR="002D43C2" w:rsidRDefault="002D43C2"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792DED">
        <w:rPr>
          <w:rFonts w:ascii="Arial" w:eastAsia="+mn-ea" w:hAnsi="Arial" w:cs="Arial"/>
          <w:color w:val="000000"/>
          <w:kern w:val="24"/>
          <w:sz w:val="24"/>
          <w:szCs w:val="24"/>
        </w:rPr>
        <w:t xml:space="preserve">          </w:t>
      </w:r>
      <w:r>
        <w:rPr>
          <w:rFonts w:ascii="Arial" w:eastAsia="+mn-ea" w:hAnsi="Arial" w:cs="Arial"/>
          <w:color w:val="000000"/>
          <w:kern w:val="24"/>
          <w:sz w:val="24"/>
          <w:szCs w:val="24"/>
        </w:rPr>
        <w:t>Lord Bingham expressed that the user be an ‘ordinary user’ as opposed to a ‘natural user.’ This can then provide the contrast that for an action to be non-natural, the user need be ‘extraordinary’ or ‘unusual.’ As in our modern times, it is an ordinary thing to have water pipes underground, this does not constitute use out of the ordinary.</w:t>
      </w:r>
    </w:p>
    <w:p w14:paraId="1B51CD42" w14:textId="77BC5576" w:rsidR="002D43C2" w:rsidRDefault="00792DED"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2D43C2">
        <w:rPr>
          <w:rFonts w:ascii="Arial" w:eastAsia="+mn-ea" w:hAnsi="Arial" w:cs="Arial"/>
          <w:color w:val="000000"/>
          <w:kern w:val="24"/>
          <w:sz w:val="24"/>
          <w:szCs w:val="24"/>
        </w:rPr>
        <w:t xml:space="preserve">Remoteness of damage is determined by the Wagon Mound (No.2) [1967] case and has been applied most recently in Cambridge water co ltd v Eastern Counties Leather plc [1994]. The original case concluded that despite ‘different minds may achieve different conclusions,’ it is still the duty of the responsible man to prevent such </w:t>
      </w:r>
      <w:r w:rsidR="002D43C2">
        <w:rPr>
          <w:rFonts w:ascii="Arial" w:eastAsia="+mn-ea" w:hAnsi="Arial" w:cs="Arial"/>
          <w:color w:val="000000"/>
          <w:kern w:val="24"/>
          <w:sz w:val="24"/>
          <w:szCs w:val="24"/>
        </w:rPr>
        <w:lastRenderedPageBreak/>
        <w:t>actions. This was a different case in the latter as the damage was not ‘reasonably foreseeable.’</w:t>
      </w:r>
    </w:p>
    <w:p w14:paraId="28A71612" w14:textId="27310978" w:rsidR="00B659BD" w:rsidRDefault="00792DED"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3353F2">
        <w:rPr>
          <w:rFonts w:ascii="Arial" w:eastAsia="+mn-ea" w:hAnsi="Arial" w:cs="Arial"/>
          <w:color w:val="000000"/>
          <w:kern w:val="24"/>
          <w:sz w:val="24"/>
          <w:szCs w:val="24"/>
        </w:rPr>
        <w:t>The latest rulin</w:t>
      </w:r>
      <w:r w:rsidR="00F42F81">
        <w:rPr>
          <w:rFonts w:ascii="Arial" w:eastAsia="+mn-ea" w:hAnsi="Arial" w:cs="Arial"/>
          <w:color w:val="000000"/>
          <w:kern w:val="24"/>
          <w:sz w:val="24"/>
          <w:szCs w:val="24"/>
        </w:rPr>
        <w:t>g in Cambridge Water shows that while</w:t>
      </w:r>
      <w:r w:rsidR="0020079F">
        <w:rPr>
          <w:rFonts w:ascii="Arial" w:eastAsia="+mn-ea" w:hAnsi="Arial" w:cs="Arial"/>
          <w:color w:val="000000"/>
          <w:kern w:val="24"/>
          <w:sz w:val="24"/>
          <w:szCs w:val="24"/>
        </w:rPr>
        <w:t xml:space="preserve"> the D was engaging in a </w:t>
      </w:r>
      <w:r w:rsidR="008F1638">
        <w:rPr>
          <w:rFonts w:ascii="Arial" w:eastAsia="+mn-ea" w:hAnsi="Arial" w:cs="Arial"/>
          <w:color w:val="000000"/>
          <w:kern w:val="24"/>
          <w:sz w:val="24"/>
          <w:szCs w:val="24"/>
        </w:rPr>
        <w:t xml:space="preserve">‘classic’ </w:t>
      </w:r>
      <w:r w:rsidR="0020079F">
        <w:rPr>
          <w:rFonts w:ascii="Arial" w:eastAsia="+mn-ea" w:hAnsi="Arial" w:cs="Arial"/>
          <w:color w:val="000000"/>
          <w:kern w:val="24"/>
          <w:sz w:val="24"/>
          <w:szCs w:val="24"/>
        </w:rPr>
        <w:t>non-natural use of the la</w:t>
      </w:r>
      <w:r w:rsidR="00C33CDC">
        <w:rPr>
          <w:rFonts w:ascii="Arial" w:eastAsia="+mn-ea" w:hAnsi="Arial" w:cs="Arial"/>
          <w:color w:val="000000"/>
          <w:kern w:val="24"/>
          <w:sz w:val="24"/>
          <w:szCs w:val="24"/>
        </w:rPr>
        <w:t>nd satisfying</w:t>
      </w:r>
      <w:r w:rsidR="009901B0">
        <w:rPr>
          <w:rFonts w:ascii="Arial" w:eastAsia="+mn-ea" w:hAnsi="Arial" w:cs="Arial"/>
          <w:color w:val="000000"/>
          <w:kern w:val="24"/>
          <w:sz w:val="24"/>
          <w:szCs w:val="24"/>
        </w:rPr>
        <w:t xml:space="preserve"> </w:t>
      </w:r>
      <w:r w:rsidR="003B67A0">
        <w:rPr>
          <w:rFonts w:ascii="Arial" w:eastAsia="+mn-ea" w:hAnsi="Arial" w:cs="Arial"/>
          <w:color w:val="000000"/>
          <w:kern w:val="24"/>
          <w:sz w:val="24"/>
          <w:szCs w:val="24"/>
        </w:rPr>
        <w:t>the requirements of Rylands rule</w:t>
      </w:r>
      <w:r w:rsidR="00D2305E">
        <w:rPr>
          <w:rFonts w:ascii="Arial" w:eastAsia="+mn-ea" w:hAnsi="Arial" w:cs="Arial"/>
          <w:color w:val="000000"/>
          <w:kern w:val="24"/>
          <w:sz w:val="24"/>
          <w:szCs w:val="24"/>
        </w:rPr>
        <w:t>. But</w:t>
      </w:r>
      <w:r w:rsidR="009901B0">
        <w:rPr>
          <w:rFonts w:ascii="Arial" w:eastAsia="+mn-ea" w:hAnsi="Arial" w:cs="Arial"/>
          <w:color w:val="000000"/>
          <w:kern w:val="24"/>
          <w:sz w:val="24"/>
          <w:szCs w:val="24"/>
        </w:rPr>
        <w:t xml:space="preserve"> </w:t>
      </w:r>
      <w:r w:rsidR="0090766E">
        <w:rPr>
          <w:rFonts w:ascii="Arial" w:eastAsia="+mn-ea" w:hAnsi="Arial" w:cs="Arial"/>
          <w:color w:val="000000"/>
          <w:kern w:val="24"/>
          <w:sz w:val="24"/>
          <w:szCs w:val="24"/>
        </w:rPr>
        <w:t>it also required the foreseeability requirement found in negligence.</w:t>
      </w:r>
      <w:r w:rsidR="000E7455">
        <w:rPr>
          <w:rFonts w:ascii="Arial" w:eastAsia="+mn-ea" w:hAnsi="Arial" w:cs="Arial"/>
          <w:color w:val="000000"/>
          <w:kern w:val="24"/>
          <w:sz w:val="24"/>
          <w:szCs w:val="24"/>
        </w:rPr>
        <w:t xml:space="preserve"> The foreseeability </w:t>
      </w:r>
      <w:r w:rsidR="00D2305E">
        <w:rPr>
          <w:rFonts w:ascii="Arial" w:eastAsia="+mn-ea" w:hAnsi="Arial" w:cs="Arial"/>
          <w:color w:val="000000"/>
          <w:kern w:val="24"/>
          <w:sz w:val="24"/>
          <w:szCs w:val="24"/>
        </w:rPr>
        <w:t xml:space="preserve">element </w:t>
      </w:r>
      <w:r w:rsidR="000E7455">
        <w:rPr>
          <w:rFonts w:ascii="Arial" w:eastAsia="+mn-ea" w:hAnsi="Arial" w:cs="Arial"/>
          <w:color w:val="000000"/>
          <w:kern w:val="24"/>
          <w:sz w:val="24"/>
          <w:szCs w:val="24"/>
        </w:rPr>
        <w:t>need be reasonable, as clarified</w:t>
      </w:r>
      <w:r w:rsidR="003011C4">
        <w:rPr>
          <w:rFonts w:ascii="Arial" w:eastAsia="+mn-ea" w:hAnsi="Arial" w:cs="Arial"/>
          <w:color w:val="000000"/>
          <w:kern w:val="24"/>
          <w:sz w:val="24"/>
          <w:szCs w:val="24"/>
        </w:rPr>
        <w:t xml:space="preserve"> in Walker v Northumberlan</w:t>
      </w:r>
      <w:r w:rsidR="00CF5D6C">
        <w:rPr>
          <w:rFonts w:ascii="Arial" w:eastAsia="+mn-ea" w:hAnsi="Arial" w:cs="Arial"/>
          <w:color w:val="000000"/>
          <w:kern w:val="24"/>
          <w:sz w:val="24"/>
          <w:szCs w:val="24"/>
        </w:rPr>
        <w:t>d County Council</w:t>
      </w:r>
      <w:r w:rsidR="00613CA9">
        <w:rPr>
          <w:rFonts w:ascii="Arial" w:eastAsia="+mn-ea" w:hAnsi="Arial" w:cs="Arial"/>
          <w:color w:val="000000"/>
          <w:kern w:val="24"/>
          <w:sz w:val="24"/>
          <w:szCs w:val="24"/>
        </w:rPr>
        <w:t xml:space="preserve"> [1995]</w:t>
      </w:r>
      <w:r w:rsidR="00BF1068">
        <w:rPr>
          <w:rFonts w:ascii="Arial" w:eastAsia="+mn-ea" w:hAnsi="Arial" w:cs="Arial"/>
          <w:color w:val="000000"/>
          <w:kern w:val="24"/>
          <w:sz w:val="24"/>
          <w:szCs w:val="24"/>
        </w:rPr>
        <w:t>,</w:t>
      </w:r>
      <w:r w:rsidR="00EF39FF">
        <w:rPr>
          <w:rFonts w:ascii="Arial" w:eastAsia="+mn-ea" w:hAnsi="Arial" w:cs="Arial"/>
          <w:color w:val="000000"/>
          <w:kern w:val="24"/>
          <w:sz w:val="24"/>
          <w:szCs w:val="24"/>
        </w:rPr>
        <w:t xml:space="preserve"> and by combining two requirements from two separate laws</w:t>
      </w:r>
      <w:r w:rsidR="00706D1C">
        <w:rPr>
          <w:rFonts w:ascii="Arial" w:eastAsia="+mn-ea" w:hAnsi="Arial" w:cs="Arial"/>
          <w:color w:val="000000"/>
          <w:kern w:val="24"/>
          <w:sz w:val="24"/>
          <w:szCs w:val="24"/>
        </w:rPr>
        <w:t xml:space="preserve">, the overlap </w:t>
      </w:r>
      <w:r w:rsidR="00D2305E">
        <w:rPr>
          <w:rFonts w:ascii="Arial" w:eastAsia="+mn-ea" w:hAnsi="Arial" w:cs="Arial"/>
          <w:color w:val="000000"/>
          <w:kern w:val="24"/>
          <w:sz w:val="24"/>
          <w:szCs w:val="24"/>
        </w:rPr>
        <w:t>can see the ineffectiveness of Rylands v Fletcher</w:t>
      </w:r>
      <w:r w:rsidR="00E55D9D">
        <w:rPr>
          <w:rFonts w:ascii="Arial" w:eastAsia="+mn-ea" w:hAnsi="Arial" w:cs="Arial"/>
          <w:color w:val="000000"/>
          <w:kern w:val="24"/>
          <w:sz w:val="24"/>
          <w:szCs w:val="24"/>
        </w:rPr>
        <w:t>,</w:t>
      </w:r>
      <w:r w:rsidR="00D2305E">
        <w:rPr>
          <w:rFonts w:ascii="Arial" w:eastAsia="+mn-ea" w:hAnsi="Arial" w:cs="Arial"/>
          <w:color w:val="000000"/>
          <w:kern w:val="24"/>
          <w:sz w:val="24"/>
          <w:szCs w:val="24"/>
        </w:rPr>
        <w:t xml:space="preserve"> as was seen with</w:t>
      </w:r>
      <w:r w:rsidR="00E55D9D">
        <w:rPr>
          <w:rFonts w:ascii="Arial" w:eastAsia="+mn-ea" w:hAnsi="Arial" w:cs="Arial"/>
          <w:color w:val="000000"/>
          <w:kern w:val="24"/>
          <w:sz w:val="24"/>
          <w:szCs w:val="24"/>
        </w:rPr>
        <w:t xml:space="preserve"> Cambridge Water.</w:t>
      </w:r>
    </w:p>
    <w:p w14:paraId="5DD71830" w14:textId="2A3C7C3F" w:rsidR="00C64743" w:rsidRDefault="00792DED"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7F7BF5">
        <w:rPr>
          <w:rFonts w:ascii="Arial" w:eastAsia="+mn-ea" w:hAnsi="Arial" w:cs="Arial"/>
          <w:color w:val="000000"/>
          <w:kern w:val="24"/>
          <w:sz w:val="24"/>
          <w:szCs w:val="24"/>
        </w:rPr>
        <w:t>There seems to be conflict in how the rule is applied in modern law, leading to the question as to whether it is still needed as a separate branch of the law, as oppose</w:t>
      </w:r>
      <w:r w:rsidR="00FF5324">
        <w:rPr>
          <w:rFonts w:ascii="Arial" w:eastAsia="+mn-ea" w:hAnsi="Arial" w:cs="Arial"/>
          <w:color w:val="000000"/>
          <w:kern w:val="24"/>
          <w:sz w:val="24"/>
          <w:szCs w:val="24"/>
        </w:rPr>
        <w:t xml:space="preserve">d to it being </w:t>
      </w:r>
      <w:r w:rsidR="00C64743">
        <w:rPr>
          <w:rFonts w:ascii="Arial" w:eastAsia="+mn-ea" w:hAnsi="Arial" w:cs="Arial"/>
          <w:color w:val="000000"/>
          <w:kern w:val="24"/>
          <w:sz w:val="24"/>
          <w:szCs w:val="24"/>
        </w:rPr>
        <w:t xml:space="preserve">adopted as an extension of nuisance (Murphy, 2004). </w:t>
      </w:r>
    </w:p>
    <w:p w14:paraId="6D773AED" w14:textId="063D027B" w:rsidR="00712045" w:rsidRDefault="00712045"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Rylands v Fletcher has garnered criticisms on the basis that</w:t>
      </w:r>
      <w:r w:rsidR="00330DFF">
        <w:rPr>
          <w:rFonts w:ascii="Arial" w:eastAsia="+mn-ea" w:hAnsi="Arial" w:cs="Arial"/>
          <w:color w:val="000000"/>
          <w:kern w:val="24"/>
          <w:sz w:val="24"/>
          <w:szCs w:val="24"/>
        </w:rPr>
        <w:t xml:space="preserve"> while it was based on relatively </w:t>
      </w:r>
      <w:r w:rsidR="00DE180D">
        <w:rPr>
          <w:rFonts w:ascii="Arial" w:eastAsia="+mn-ea" w:hAnsi="Arial" w:cs="Arial"/>
          <w:color w:val="000000"/>
          <w:kern w:val="24"/>
          <w:sz w:val="24"/>
          <w:szCs w:val="24"/>
        </w:rPr>
        <w:t>‘</w:t>
      </w:r>
      <w:r w:rsidR="00330DFF">
        <w:rPr>
          <w:rFonts w:ascii="Arial" w:eastAsia="+mn-ea" w:hAnsi="Arial" w:cs="Arial"/>
          <w:color w:val="000000"/>
          <w:kern w:val="24"/>
          <w:sz w:val="24"/>
          <w:szCs w:val="24"/>
        </w:rPr>
        <w:t>simple principles</w:t>
      </w:r>
      <w:r w:rsidR="00D82A55">
        <w:rPr>
          <w:rFonts w:ascii="Arial" w:eastAsia="+mn-ea" w:hAnsi="Arial" w:cs="Arial"/>
          <w:color w:val="000000"/>
          <w:kern w:val="24"/>
          <w:sz w:val="24"/>
          <w:szCs w:val="24"/>
        </w:rPr>
        <w:t>’ (Van Boom, 2004), these principles have been difficult to apply to future cases, and thus restricted the rule.</w:t>
      </w:r>
    </w:p>
    <w:p w14:paraId="01D01069" w14:textId="658A5706" w:rsidR="005075C6" w:rsidRDefault="005075C6"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B10599">
        <w:rPr>
          <w:rFonts w:ascii="Arial" w:eastAsia="+mn-ea" w:hAnsi="Arial" w:cs="Arial"/>
          <w:color w:val="000000"/>
          <w:kern w:val="24"/>
          <w:sz w:val="24"/>
          <w:szCs w:val="24"/>
        </w:rPr>
        <w:t>Further analysis</w:t>
      </w:r>
      <w:r w:rsidR="00B32209">
        <w:rPr>
          <w:rFonts w:ascii="Arial" w:eastAsia="+mn-ea" w:hAnsi="Arial" w:cs="Arial"/>
          <w:color w:val="000000"/>
          <w:kern w:val="24"/>
          <w:sz w:val="24"/>
          <w:szCs w:val="24"/>
        </w:rPr>
        <w:t xml:space="preserve"> is required to identify the scope in which </w:t>
      </w:r>
      <w:r w:rsidR="00E50D1D">
        <w:rPr>
          <w:rFonts w:ascii="Arial" w:eastAsia="+mn-ea" w:hAnsi="Arial" w:cs="Arial"/>
          <w:color w:val="000000"/>
          <w:kern w:val="24"/>
          <w:sz w:val="24"/>
          <w:szCs w:val="24"/>
        </w:rPr>
        <w:t>R</w:t>
      </w:r>
      <w:r w:rsidR="00B32209">
        <w:rPr>
          <w:rFonts w:ascii="Arial" w:eastAsia="+mn-ea" w:hAnsi="Arial" w:cs="Arial"/>
          <w:color w:val="000000"/>
          <w:kern w:val="24"/>
          <w:sz w:val="24"/>
          <w:szCs w:val="24"/>
        </w:rPr>
        <w:t xml:space="preserve">ylands v </w:t>
      </w:r>
      <w:r w:rsidR="00E50D1D">
        <w:rPr>
          <w:rFonts w:ascii="Arial" w:eastAsia="+mn-ea" w:hAnsi="Arial" w:cs="Arial"/>
          <w:color w:val="000000"/>
          <w:kern w:val="24"/>
          <w:sz w:val="24"/>
          <w:szCs w:val="24"/>
        </w:rPr>
        <w:t>Fl</w:t>
      </w:r>
      <w:r w:rsidR="00B32209">
        <w:rPr>
          <w:rFonts w:ascii="Arial" w:eastAsia="+mn-ea" w:hAnsi="Arial" w:cs="Arial"/>
          <w:color w:val="000000"/>
          <w:kern w:val="24"/>
          <w:sz w:val="24"/>
          <w:szCs w:val="24"/>
        </w:rPr>
        <w:t>etcher still operates in modern law.</w:t>
      </w:r>
      <w:r w:rsidR="00B32209" w:rsidRPr="00B32209">
        <w:rPr>
          <w:rFonts w:ascii="Arial" w:eastAsia="+mn-ea" w:hAnsi="Arial" w:cs="Arial"/>
          <w:color w:val="000000"/>
          <w:kern w:val="24"/>
          <w:sz w:val="24"/>
          <w:szCs w:val="24"/>
        </w:rPr>
        <w:t xml:space="preserve"> </w:t>
      </w:r>
      <w:r w:rsidR="00B32209">
        <w:rPr>
          <w:rFonts w:ascii="Arial" w:eastAsia="+mn-ea" w:hAnsi="Arial" w:cs="Arial"/>
          <w:color w:val="000000"/>
          <w:kern w:val="24"/>
          <w:sz w:val="24"/>
          <w:szCs w:val="24"/>
        </w:rPr>
        <w:t>Transco v Stockport Metropolitan Borough Council [2004]</w:t>
      </w:r>
      <w:r w:rsidR="00B32209">
        <w:rPr>
          <w:rFonts w:ascii="Arial" w:eastAsia="+mn-ea" w:hAnsi="Arial" w:cs="Arial"/>
          <w:color w:val="000000"/>
          <w:kern w:val="24"/>
          <w:sz w:val="24"/>
          <w:szCs w:val="24"/>
        </w:rPr>
        <w:t xml:space="preserve"> provides </w:t>
      </w:r>
      <w:r w:rsidR="00353358">
        <w:rPr>
          <w:rFonts w:ascii="Arial" w:eastAsia="+mn-ea" w:hAnsi="Arial" w:cs="Arial"/>
          <w:color w:val="000000"/>
          <w:kern w:val="24"/>
          <w:sz w:val="24"/>
          <w:szCs w:val="24"/>
        </w:rPr>
        <w:t>a</w:t>
      </w:r>
      <w:r w:rsidR="00B32209">
        <w:rPr>
          <w:rFonts w:ascii="Arial" w:eastAsia="+mn-ea" w:hAnsi="Arial" w:cs="Arial"/>
          <w:color w:val="000000"/>
          <w:kern w:val="24"/>
          <w:sz w:val="24"/>
          <w:szCs w:val="24"/>
        </w:rPr>
        <w:t xml:space="preserve"> recent review of the rule. </w:t>
      </w:r>
      <w:r w:rsidR="00B8408D">
        <w:rPr>
          <w:rFonts w:ascii="Arial" w:eastAsia="+mn-ea" w:hAnsi="Arial" w:cs="Arial"/>
          <w:color w:val="000000"/>
          <w:kern w:val="24"/>
          <w:sz w:val="24"/>
          <w:szCs w:val="24"/>
        </w:rPr>
        <w:t xml:space="preserve">Negligence was originally ruled out, due </w:t>
      </w:r>
      <w:r w:rsidR="00B10599">
        <w:rPr>
          <w:rFonts w:ascii="Arial" w:eastAsia="+mn-ea" w:hAnsi="Arial" w:cs="Arial"/>
          <w:color w:val="000000"/>
          <w:kern w:val="24"/>
          <w:sz w:val="24"/>
          <w:szCs w:val="24"/>
        </w:rPr>
        <w:t>to</w:t>
      </w:r>
      <w:r w:rsidR="00B8408D">
        <w:rPr>
          <w:rFonts w:ascii="Arial" w:eastAsia="+mn-ea" w:hAnsi="Arial" w:cs="Arial"/>
          <w:color w:val="000000"/>
          <w:kern w:val="24"/>
          <w:sz w:val="24"/>
          <w:szCs w:val="24"/>
        </w:rPr>
        <w:t xml:space="preserve"> failure to identify the cause of the issue</w:t>
      </w:r>
      <w:r w:rsidR="00B32209">
        <w:rPr>
          <w:rFonts w:ascii="Arial" w:eastAsia="+mn-ea" w:hAnsi="Arial" w:cs="Arial"/>
          <w:color w:val="000000"/>
          <w:kern w:val="24"/>
          <w:sz w:val="24"/>
          <w:szCs w:val="24"/>
        </w:rPr>
        <w:t xml:space="preserve">, and </w:t>
      </w:r>
      <w:r w:rsidR="00353358">
        <w:rPr>
          <w:rFonts w:ascii="Arial" w:eastAsia="+mn-ea" w:hAnsi="Arial" w:cs="Arial"/>
          <w:color w:val="000000"/>
          <w:kern w:val="24"/>
          <w:sz w:val="24"/>
          <w:szCs w:val="24"/>
        </w:rPr>
        <w:t xml:space="preserve">Transco </w:t>
      </w:r>
      <w:r w:rsidR="00B32209">
        <w:rPr>
          <w:rFonts w:ascii="Arial" w:eastAsia="+mn-ea" w:hAnsi="Arial" w:cs="Arial"/>
          <w:color w:val="000000"/>
          <w:kern w:val="24"/>
          <w:sz w:val="24"/>
          <w:szCs w:val="24"/>
        </w:rPr>
        <w:t>sought to establish liability under Rylands v Fletcher. Initially successful, this would later be reversed</w:t>
      </w:r>
      <w:r w:rsidR="00492DE0">
        <w:rPr>
          <w:rFonts w:ascii="Arial" w:eastAsia="+mn-ea" w:hAnsi="Arial" w:cs="Arial"/>
          <w:color w:val="000000"/>
          <w:kern w:val="24"/>
          <w:sz w:val="24"/>
          <w:szCs w:val="24"/>
        </w:rPr>
        <w:t>, and the future effectiveness of the rule called in to question.</w:t>
      </w:r>
    </w:p>
    <w:p w14:paraId="776BE579" w14:textId="2C5FE00F" w:rsidR="003946E8" w:rsidRDefault="003A4FB7" w:rsidP="00767843">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          </w:t>
      </w:r>
      <w:r w:rsidR="00E1761F">
        <w:rPr>
          <w:rFonts w:ascii="Arial" w:eastAsia="+mn-ea" w:hAnsi="Arial" w:cs="Arial"/>
          <w:color w:val="000000"/>
          <w:kern w:val="24"/>
          <w:sz w:val="24"/>
          <w:szCs w:val="24"/>
        </w:rPr>
        <w:t>Strict liability laws have evolved since being introduced in Rylands v Fletcher</w:t>
      </w:r>
      <w:r w:rsidR="00A33B81">
        <w:rPr>
          <w:rFonts w:ascii="Arial" w:eastAsia="+mn-ea" w:hAnsi="Arial" w:cs="Arial"/>
          <w:color w:val="000000"/>
          <w:kern w:val="24"/>
          <w:sz w:val="24"/>
          <w:szCs w:val="24"/>
        </w:rPr>
        <w:t xml:space="preserve">, and ‘the rule’ seems to </w:t>
      </w:r>
      <w:r w:rsidR="00754529">
        <w:rPr>
          <w:rFonts w:ascii="Arial" w:eastAsia="+mn-ea" w:hAnsi="Arial" w:cs="Arial"/>
          <w:color w:val="000000"/>
          <w:kern w:val="24"/>
          <w:sz w:val="24"/>
          <w:szCs w:val="24"/>
        </w:rPr>
        <w:t xml:space="preserve">be slowly fading form modern law, with it becoming more of an extension </w:t>
      </w:r>
      <w:r w:rsidR="006F24C6">
        <w:rPr>
          <w:rFonts w:ascii="Arial" w:eastAsia="+mn-ea" w:hAnsi="Arial" w:cs="Arial"/>
          <w:color w:val="000000"/>
          <w:kern w:val="24"/>
          <w:sz w:val="24"/>
          <w:szCs w:val="24"/>
        </w:rPr>
        <w:t>of private nuisance</w:t>
      </w:r>
      <w:r w:rsidR="00287F01">
        <w:rPr>
          <w:rFonts w:ascii="Arial" w:eastAsia="+mn-ea" w:hAnsi="Arial" w:cs="Arial"/>
          <w:color w:val="000000"/>
          <w:kern w:val="24"/>
          <w:sz w:val="24"/>
          <w:szCs w:val="24"/>
        </w:rPr>
        <w:t>, covering one off events of escape (Van Boom, 2004).</w:t>
      </w:r>
    </w:p>
    <w:p w14:paraId="752378D6" w14:textId="15BB8C14" w:rsidR="00A27E21" w:rsidRDefault="00A27E21" w:rsidP="00767843">
      <w:pPr>
        <w:spacing w:line="480" w:lineRule="auto"/>
        <w:jc w:val="both"/>
        <w:rPr>
          <w:rFonts w:ascii="Arial" w:hAnsi="Arial" w:cs="Arial"/>
          <w:sz w:val="24"/>
        </w:rPr>
      </w:pPr>
      <w:r>
        <w:rPr>
          <w:rFonts w:ascii="Arial" w:eastAsia="+mn-ea" w:hAnsi="Arial" w:cs="Arial"/>
          <w:color w:val="000000"/>
          <w:kern w:val="24"/>
          <w:sz w:val="24"/>
          <w:szCs w:val="24"/>
        </w:rPr>
        <w:lastRenderedPageBreak/>
        <w:t xml:space="preserve">          </w:t>
      </w:r>
      <w:r w:rsidR="001C026C" w:rsidRPr="00B93B50">
        <w:rPr>
          <w:rFonts w:ascii="Arial" w:hAnsi="Arial" w:cs="Arial"/>
          <w:sz w:val="24"/>
        </w:rPr>
        <w:t>Statutory acts seem to be inclusive of where liability lies. S. 209(1) of the Water Industry Act 1991 would have placed liability on to the statutory undertaker, had the line not been privately owned. This leads to a catch-22 as it is unfair to be able to placer that liability on a public entity, if a private one would not shoulder the same responsibility.</w:t>
      </w:r>
    </w:p>
    <w:p w14:paraId="468FEE2A" w14:textId="54817F6E" w:rsidR="00F862CC" w:rsidRDefault="00852FDE" w:rsidP="00767843">
      <w:pPr>
        <w:spacing w:line="480" w:lineRule="auto"/>
        <w:jc w:val="both"/>
        <w:rPr>
          <w:rFonts w:ascii="Arial" w:eastAsia="+mn-ea" w:hAnsi="Arial" w:cs="Arial"/>
          <w:color w:val="000000"/>
          <w:kern w:val="24"/>
          <w:sz w:val="24"/>
          <w:szCs w:val="24"/>
        </w:rPr>
      </w:pPr>
      <w:r>
        <w:rPr>
          <w:rFonts w:ascii="Arial" w:hAnsi="Arial" w:cs="Arial"/>
          <w:sz w:val="24"/>
        </w:rPr>
        <w:t xml:space="preserve">          </w:t>
      </w:r>
      <w:r w:rsidR="00F862CC">
        <w:rPr>
          <w:rFonts w:ascii="Arial" w:eastAsia="+mn-ea" w:hAnsi="Arial" w:cs="Arial"/>
          <w:color w:val="000000"/>
          <w:kern w:val="24"/>
          <w:sz w:val="24"/>
          <w:szCs w:val="24"/>
        </w:rPr>
        <w:t xml:space="preserve">Mark </w:t>
      </w:r>
      <w:proofErr w:type="spellStart"/>
      <w:r w:rsidR="00F862CC">
        <w:rPr>
          <w:rFonts w:ascii="Arial" w:eastAsia="+mn-ea" w:hAnsi="Arial" w:cs="Arial"/>
          <w:color w:val="000000"/>
          <w:kern w:val="24"/>
          <w:sz w:val="24"/>
          <w:szCs w:val="24"/>
        </w:rPr>
        <w:t>stannard</w:t>
      </w:r>
      <w:proofErr w:type="spellEnd"/>
      <w:r w:rsidR="00F862CC">
        <w:rPr>
          <w:rFonts w:ascii="Arial" w:eastAsia="+mn-ea" w:hAnsi="Arial" w:cs="Arial"/>
          <w:color w:val="000000"/>
          <w:kern w:val="24"/>
          <w:sz w:val="24"/>
          <w:szCs w:val="24"/>
        </w:rPr>
        <w:t xml:space="preserve"> (t/a) wyvern tyres v Robert </w:t>
      </w:r>
      <w:r w:rsidR="00F862CC">
        <w:rPr>
          <w:rFonts w:ascii="Arial" w:eastAsia="+mn-ea" w:hAnsi="Arial" w:cs="Arial"/>
          <w:color w:val="000000"/>
          <w:kern w:val="24"/>
          <w:sz w:val="24"/>
          <w:szCs w:val="24"/>
        </w:rPr>
        <w:t>grove restricted</w:t>
      </w:r>
      <w:r w:rsidR="00F862CC">
        <w:rPr>
          <w:rFonts w:ascii="Arial" w:eastAsia="+mn-ea" w:hAnsi="Arial" w:cs="Arial"/>
          <w:color w:val="000000"/>
          <w:kern w:val="24"/>
          <w:sz w:val="24"/>
          <w:szCs w:val="24"/>
        </w:rPr>
        <w:t xml:space="preserve"> rylands v fletcher in fire cases. Any flammable items that cause damage, </w:t>
      </w:r>
      <w:proofErr w:type="gramStart"/>
      <w:r w:rsidR="00F862CC">
        <w:rPr>
          <w:rFonts w:ascii="Arial" w:eastAsia="+mn-ea" w:hAnsi="Arial" w:cs="Arial"/>
          <w:color w:val="000000"/>
          <w:kern w:val="24"/>
          <w:sz w:val="24"/>
          <w:szCs w:val="24"/>
        </w:rPr>
        <w:t>as long as</w:t>
      </w:r>
      <w:proofErr w:type="gramEnd"/>
      <w:r w:rsidR="00F862CC">
        <w:rPr>
          <w:rFonts w:ascii="Arial" w:eastAsia="+mn-ea" w:hAnsi="Arial" w:cs="Arial"/>
          <w:color w:val="000000"/>
          <w:kern w:val="24"/>
          <w:sz w:val="24"/>
          <w:szCs w:val="24"/>
        </w:rPr>
        <w:t xml:space="preserve"> the items stored are a natural use of the land</w:t>
      </w:r>
      <w:r w:rsidR="00E43E5B">
        <w:rPr>
          <w:rFonts w:ascii="Arial" w:eastAsia="+mn-ea" w:hAnsi="Arial" w:cs="Arial"/>
          <w:color w:val="000000"/>
          <w:kern w:val="24"/>
          <w:sz w:val="24"/>
          <w:szCs w:val="24"/>
        </w:rPr>
        <w:t xml:space="preserve"> and do not themselves escape</w:t>
      </w:r>
      <w:r w:rsidR="00F862CC">
        <w:rPr>
          <w:rFonts w:ascii="Arial" w:eastAsia="+mn-ea" w:hAnsi="Arial" w:cs="Arial"/>
          <w:color w:val="000000"/>
          <w:kern w:val="24"/>
          <w:sz w:val="24"/>
          <w:szCs w:val="24"/>
        </w:rPr>
        <w:t>, can be defended against on this precedent</w:t>
      </w:r>
      <w:r w:rsidR="00E43E5B">
        <w:rPr>
          <w:rFonts w:ascii="Arial" w:eastAsia="+mn-ea" w:hAnsi="Arial" w:cs="Arial"/>
          <w:color w:val="000000"/>
          <w:kern w:val="24"/>
          <w:sz w:val="24"/>
          <w:szCs w:val="24"/>
        </w:rPr>
        <w:t>. A decision that has been described as ‘a wrong turn in the law.’</w:t>
      </w:r>
    </w:p>
    <w:p w14:paraId="56F98AEB" w14:textId="59486722" w:rsidR="00852FDE" w:rsidRDefault="00E43E5B" w:rsidP="00767843">
      <w:pPr>
        <w:spacing w:line="480" w:lineRule="auto"/>
        <w:jc w:val="both"/>
        <w:rPr>
          <w:rFonts w:ascii="Arial" w:hAnsi="Arial" w:cs="Arial"/>
          <w:sz w:val="24"/>
        </w:rPr>
      </w:pPr>
      <w:r>
        <w:rPr>
          <w:rFonts w:ascii="Arial" w:hAnsi="Arial" w:cs="Arial"/>
          <w:sz w:val="24"/>
        </w:rPr>
        <w:t xml:space="preserve">          </w:t>
      </w:r>
      <w:r w:rsidR="00852FDE">
        <w:rPr>
          <w:rFonts w:ascii="Arial" w:hAnsi="Arial" w:cs="Arial"/>
          <w:sz w:val="24"/>
        </w:rPr>
        <w:t xml:space="preserve">Furthermore, liability </w:t>
      </w:r>
      <w:r w:rsidR="00C008CA">
        <w:rPr>
          <w:rFonts w:ascii="Arial" w:hAnsi="Arial" w:cs="Arial"/>
          <w:sz w:val="24"/>
        </w:rPr>
        <w:t xml:space="preserve">in more </w:t>
      </w:r>
      <w:r>
        <w:rPr>
          <w:rFonts w:ascii="Arial" w:hAnsi="Arial" w:cs="Arial"/>
          <w:sz w:val="24"/>
        </w:rPr>
        <w:t>specific</w:t>
      </w:r>
      <w:r w:rsidR="00C008CA">
        <w:rPr>
          <w:rFonts w:ascii="Arial" w:hAnsi="Arial" w:cs="Arial"/>
          <w:sz w:val="24"/>
        </w:rPr>
        <w:t xml:space="preserve"> areas, such as reservoirs,</w:t>
      </w:r>
      <w:r w:rsidR="00597616">
        <w:rPr>
          <w:rFonts w:ascii="Arial" w:hAnsi="Arial" w:cs="Arial"/>
          <w:sz w:val="24"/>
        </w:rPr>
        <w:t xml:space="preserve"> the exact reasoning for ‘the rule’ being established, can now be found</w:t>
      </w:r>
      <w:r w:rsidR="006C1F12">
        <w:rPr>
          <w:rFonts w:ascii="Arial" w:hAnsi="Arial" w:cs="Arial"/>
          <w:sz w:val="24"/>
        </w:rPr>
        <w:t xml:space="preserve"> in the Reservoirs Act 1975.</w:t>
      </w:r>
    </w:p>
    <w:p w14:paraId="369CED39" w14:textId="3D676B50" w:rsidR="00DB12BC" w:rsidRDefault="00DB12BC" w:rsidP="00767843">
      <w:pPr>
        <w:spacing w:line="480" w:lineRule="auto"/>
        <w:jc w:val="both"/>
        <w:rPr>
          <w:rFonts w:ascii="Arial" w:hAnsi="Arial" w:cs="Arial"/>
          <w:sz w:val="24"/>
        </w:rPr>
      </w:pPr>
      <w:r>
        <w:rPr>
          <w:rFonts w:ascii="Arial" w:hAnsi="Arial" w:cs="Arial"/>
          <w:sz w:val="24"/>
        </w:rPr>
        <w:t xml:space="preserve">          </w:t>
      </w:r>
      <w:r w:rsidR="00916F92">
        <w:rPr>
          <w:rFonts w:ascii="Arial" w:hAnsi="Arial" w:cs="Arial"/>
          <w:sz w:val="24"/>
        </w:rPr>
        <w:t>Whether the rule is sti</w:t>
      </w:r>
      <w:r w:rsidR="00E03EF1">
        <w:rPr>
          <w:rFonts w:ascii="Arial" w:hAnsi="Arial" w:cs="Arial"/>
          <w:sz w:val="24"/>
        </w:rPr>
        <w:t xml:space="preserve">ll effective in its current form is debateable. On one hand there is the Australian decision that the rule has simply been absorbed into the relevant law section and </w:t>
      </w:r>
      <w:r w:rsidR="00FE73CD">
        <w:rPr>
          <w:rFonts w:ascii="Arial" w:hAnsi="Arial" w:cs="Arial"/>
          <w:sz w:val="24"/>
        </w:rPr>
        <w:t>simply</w:t>
      </w:r>
      <w:r w:rsidR="00E03EF1">
        <w:rPr>
          <w:rFonts w:ascii="Arial" w:hAnsi="Arial" w:cs="Arial"/>
          <w:sz w:val="24"/>
        </w:rPr>
        <w:t xml:space="preserve"> overtaken by</w:t>
      </w:r>
      <w:r w:rsidR="00FE73CD">
        <w:rPr>
          <w:rFonts w:ascii="Arial" w:hAnsi="Arial" w:cs="Arial"/>
          <w:sz w:val="24"/>
        </w:rPr>
        <w:t xml:space="preserve"> developing laws. And then there </w:t>
      </w:r>
      <w:r w:rsidR="006841F1">
        <w:rPr>
          <w:rFonts w:ascii="Arial" w:hAnsi="Arial" w:cs="Arial"/>
          <w:sz w:val="24"/>
        </w:rPr>
        <w:t>remains</w:t>
      </w:r>
      <w:r w:rsidR="00FE73CD">
        <w:rPr>
          <w:rFonts w:ascii="Arial" w:hAnsi="Arial" w:cs="Arial"/>
          <w:sz w:val="24"/>
        </w:rPr>
        <w:t xml:space="preserve"> the cases that are still able to rely on the rule for a favourable outcome, however small in quantity they may be.</w:t>
      </w:r>
      <w:r w:rsidR="006841F1">
        <w:rPr>
          <w:rFonts w:ascii="Arial" w:hAnsi="Arial" w:cs="Arial"/>
          <w:sz w:val="24"/>
        </w:rPr>
        <w:t xml:space="preserve"> If English law were to </w:t>
      </w:r>
      <w:r w:rsidR="00E44C5C">
        <w:rPr>
          <w:rFonts w:ascii="Arial" w:hAnsi="Arial" w:cs="Arial"/>
          <w:sz w:val="24"/>
        </w:rPr>
        <w:t>combine Rylands v Fletcher in to nuisance completely, it needs to take measures to ensure that these cases are not forgotten about and are still able to rely on the rule should needs be.</w:t>
      </w:r>
    </w:p>
    <w:p w14:paraId="438CB634" w14:textId="6C15A558" w:rsidR="00AE2C1E" w:rsidRDefault="00AE2C1E" w:rsidP="00767843">
      <w:pPr>
        <w:spacing w:line="480" w:lineRule="auto"/>
        <w:jc w:val="both"/>
        <w:rPr>
          <w:rFonts w:ascii="Arial" w:hAnsi="Arial" w:cs="Arial"/>
          <w:sz w:val="24"/>
        </w:rPr>
      </w:pPr>
      <w:r>
        <w:rPr>
          <w:rFonts w:ascii="Arial" w:hAnsi="Arial" w:cs="Arial"/>
          <w:sz w:val="24"/>
        </w:rPr>
        <w:t xml:space="preserve">      </w:t>
      </w:r>
      <w:r w:rsidR="004E4945">
        <w:rPr>
          <w:rFonts w:ascii="Arial" w:hAnsi="Arial" w:cs="Arial"/>
          <w:sz w:val="24"/>
        </w:rPr>
        <w:t xml:space="preserve">  </w:t>
      </w:r>
      <w:r w:rsidR="005B591C" w:rsidRPr="005B591C">
        <w:rPr>
          <w:rFonts w:ascii="Arial" w:hAnsi="Arial" w:cs="Arial"/>
          <w:sz w:val="24"/>
        </w:rPr>
        <w:t xml:space="preserve">To compare the ruling found in Transco with other European countries, the current civil codes must be observed. France holds two articles that could relate to the case. Article 1386 would hold the proprietor under strict liability for substandard maintenance or defective construction. ‘German code also has the maintenance element, in that it requires ‘high standards of maintenance’ by law. A more direct </w:t>
      </w:r>
      <w:r w:rsidR="005B591C" w:rsidRPr="005B591C">
        <w:rPr>
          <w:rFonts w:ascii="Arial" w:hAnsi="Arial" w:cs="Arial"/>
          <w:sz w:val="24"/>
        </w:rPr>
        <w:lastRenderedPageBreak/>
        <w:t>comparison between Transco and German law can be drawn from their civil code. In Germany, the operator is responsible for the damage to water pipes unless they can prove an act of god. Strict liability cannot be implied where the damage has been done inside a building or fenced area.  If this were English law, the council would have been found liable. A similar result would have occurred under Belgium law as they just consider the ‘safety generally expected’ of a given piece of infrastructure.</w:t>
      </w:r>
    </w:p>
    <w:p w14:paraId="1575018E" w14:textId="58859467" w:rsidR="0051419D" w:rsidRDefault="0051419D" w:rsidP="00767843">
      <w:pPr>
        <w:spacing w:line="480" w:lineRule="auto"/>
        <w:jc w:val="both"/>
        <w:rPr>
          <w:rFonts w:ascii="Arial" w:hAnsi="Arial" w:cs="Arial"/>
          <w:sz w:val="24"/>
        </w:rPr>
      </w:pPr>
      <w:r>
        <w:rPr>
          <w:rFonts w:ascii="Arial" w:hAnsi="Arial" w:cs="Arial"/>
          <w:sz w:val="24"/>
        </w:rPr>
        <w:t xml:space="preserve">        Another area of criticism</w:t>
      </w:r>
      <w:r w:rsidR="00387E9A">
        <w:rPr>
          <w:rFonts w:ascii="Arial" w:hAnsi="Arial" w:cs="Arial"/>
          <w:sz w:val="24"/>
        </w:rPr>
        <w:t xml:space="preserve"> is from Australia, primarily in </w:t>
      </w:r>
      <w:r w:rsidR="00387E9A" w:rsidRPr="0016670A">
        <w:rPr>
          <w:rFonts w:ascii="Arial" w:hAnsi="Arial" w:cs="Arial"/>
          <w:sz w:val="24"/>
          <w:szCs w:val="24"/>
        </w:rPr>
        <w:t>Burnie Port Authority v General Jones Pty Ltd [1996]</w:t>
      </w:r>
      <w:r w:rsidR="00387E9A">
        <w:rPr>
          <w:rFonts w:ascii="Arial" w:hAnsi="Arial" w:cs="Arial"/>
          <w:sz w:val="24"/>
          <w:szCs w:val="24"/>
        </w:rPr>
        <w:t xml:space="preserve">. This is the case that saw </w:t>
      </w:r>
      <w:r w:rsidR="006F78C7">
        <w:rPr>
          <w:rFonts w:ascii="Arial" w:hAnsi="Arial" w:cs="Arial"/>
          <w:sz w:val="24"/>
          <w:szCs w:val="24"/>
        </w:rPr>
        <w:t>Australia abolish the rule found in Rylands v Fletcher</w:t>
      </w:r>
      <w:r w:rsidR="00DB3E64">
        <w:rPr>
          <w:rFonts w:ascii="Arial" w:hAnsi="Arial" w:cs="Arial"/>
          <w:sz w:val="24"/>
          <w:szCs w:val="24"/>
        </w:rPr>
        <w:t>, as they believed the rule no longer served the purpose.</w:t>
      </w:r>
    </w:p>
    <w:p w14:paraId="7B45748B" w14:textId="519C73FC" w:rsidR="00AA1C4B" w:rsidRPr="005B591C" w:rsidRDefault="006C5015" w:rsidP="00767843">
      <w:pPr>
        <w:spacing w:line="480" w:lineRule="auto"/>
        <w:jc w:val="both"/>
        <w:rPr>
          <w:rFonts w:ascii="Arial" w:hAnsi="Arial" w:cs="Arial"/>
          <w:sz w:val="24"/>
        </w:rPr>
      </w:pPr>
      <w:r>
        <w:rPr>
          <w:rFonts w:ascii="Arial" w:hAnsi="Arial" w:cs="Arial"/>
          <w:sz w:val="24"/>
        </w:rPr>
        <w:t xml:space="preserve">          To conclude, Rylands v Fletcher established a piece of needed law at the time. It addressed </w:t>
      </w:r>
      <w:r w:rsidR="00B83310">
        <w:rPr>
          <w:rFonts w:ascii="Arial" w:hAnsi="Arial" w:cs="Arial"/>
          <w:sz w:val="24"/>
        </w:rPr>
        <w:t>areas where it was needed and delivered the intended effects. Subsequent developments in law have started to encroach</w:t>
      </w:r>
      <w:r w:rsidR="00983B59">
        <w:rPr>
          <w:rFonts w:ascii="Arial" w:hAnsi="Arial" w:cs="Arial"/>
          <w:sz w:val="24"/>
        </w:rPr>
        <w:t xml:space="preserve"> on the areas covered </w:t>
      </w:r>
      <w:r w:rsidR="0051419D">
        <w:rPr>
          <w:rFonts w:ascii="Arial" w:hAnsi="Arial" w:cs="Arial"/>
          <w:sz w:val="24"/>
        </w:rPr>
        <w:t>and, in some instances,</w:t>
      </w:r>
      <w:r w:rsidR="00983B59">
        <w:rPr>
          <w:rFonts w:ascii="Arial" w:hAnsi="Arial" w:cs="Arial"/>
          <w:sz w:val="24"/>
        </w:rPr>
        <w:t xml:space="preserve"> provide direct overlap. While some conflict between the rule, nuisance and negligence can be seen, the rule still plays a part in modern law, however minor it may be. If English law were to assimilate it into another section of law, it is essential that the necessary steps be taken to ensure </w:t>
      </w:r>
      <w:r w:rsidR="0051419D">
        <w:rPr>
          <w:rFonts w:ascii="Arial" w:hAnsi="Arial" w:cs="Arial"/>
          <w:sz w:val="24"/>
        </w:rPr>
        <w:t>there</w:t>
      </w:r>
      <w:r w:rsidR="00983B59">
        <w:rPr>
          <w:rFonts w:ascii="Arial" w:hAnsi="Arial" w:cs="Arial"/>
          <w:sz w:val="24"/>
        </w:rPr>
        <w:t xml:space="preserve"> is not a vacuum </w:t>
      </w:r>
      <w:r w:rsidR="0051419D">
        <w:rPr>
          <w:rFonts w:ascii="Arial" w:hAnsi="Arial" w:cs="Arial"/>
          <w:sz w:val="24"/>
        </w:rPr>
        <w:t>in common law, where cases rely upon it are no longer able to.</w:t>
      </w:r>
    </w:p>
    <w:p w14:paraId="147D63AE" w14:textId="7FB7361F" w:rsidR="00953AFB" w:rsidRPr="00082220" w:rsidRDefault="00F862CC" w:rsidP="00082220">
      <w:pPr>
        <w:spacing w:line="480" w:lineRule="auto"/>
        <w:jc w:val="both"/>
        <w:rPr>
          <w:rFonts w:ascii="Arial" w:hAnsi="Arial" w:cs="Arial"/>
          <w:sz w:val="24"/>
        </w:rPr>
      </w:pPr>
      <w:r>
        <w:rPr>
          <w:rFonts w:ascii="Arial" w:hAnsi="Arial" w:cs="Arial"/>
          <w:sz w:val="24"/>
        </w:rPr>
        <w:t xml:space="preserve">       </w:t>
      </w:r>
      <w:bookmarkStart w:id="0" w:name="_GoBack"/>
      <w:bookmarkEnd w:id="0"/>
    </w:p>
    <w:p w14:paraId="3F5BB869" w14:textId="3CBE7434" w:rsidR="00953AFB" w:rsidRDefault="00953AFB">
      <w:pPr>
        <w:rPr>
          <w:b/>
          <w:u w:val="single"/>
        </w:rPr>
      </w:pPr>
    </w:p>
    <w:p w14:paraId="717CC37B" w14:textId="5A6448A8" w:rsidR="00953AFB" w:rsidRDefault="00953AFB">
      <w:pPr>
        <w:rPr>
          <w:b/>
          <w:u w:val="single"/>
        </w:rPr>
      </w:pPr>
    </w:p>
    <w:p w14:paraId="5444425A" w14:textId="59B2510F" w:rsidR="00953AFB" w:rsidRDefault="00953AFB">
      <w:pPr>
        <w:rPr>
          <w:b/>
          <w:u w:val="single"/>
        </w:rPr>
      </w:pPr>
    </w:p>
    <w:p w14:paraId="28DC888A" w14:textId="2F6ED2AD" w:rsidR="00953AFB" w:rsidRDefault="00953AFB">
      <w:pPr>
        <w:rPr>
          <w:b/>
          <w:u w:val="single"/>
        </w:rPr>
      </w:pPr>
    </w:p>
    <w:p w14:paraId="499507B2" w14:textId="75551120" w:rsidR="00953AFB" w:rsidRDefault="00953AFB">
      <w:pPr>
        <w:rPr>
          <w:b/>
          <w:u w:val="single"/>
        </w:rPr>
      </w:pPr>
    </w:p>
    <w:p w14:paraId="5B7EF42E" w14:textId="306A76C8" w:rsidR="00953AFB" w:rsidRDefault="00953AFB">
      <w:pPr>
        <w:rPr>
          <w:b/>
          <w:u w:val="single"/>
        </w:rPr>
      </w:pPr>
    </w:p>
    <w:p w14:paraId="7F5BA9F9" w14:textId="7A94B50F" w:rsidR="00953AFB" w:rsidRDefault="00953AFB">
      <w:pPr>
        <w:rPr>
          <w:b/>
          <w:u w:val="single"/>
        </w:rPr>
      </w:pPr>
    </w:p>
    <w:p w14:paraId="01200946" w14:textId="2146E3CC" w:rsidR="00953AFB" w:rsidRPr="0016670A" w:rsidRDefault="00953AFB" w:rsidP="00082220">
      <w:pPr>
        <w:rPr>
          <w:rFonts w:ascii="Arial" w:hAnsi="Arial" w:cs="Arial"/>
          <w:b/>
          <w:iCs/>
          <w:sz w:val="24"/>
          <w:szCs w:val="24"/>
          <w:u w:val="single"/>
        </w:rPr>
      </w:pPr>
      <w:r>
        <w:rPr>
          <w:rFonts w:ascii="Arial" w:hAnsi="Arial" w:cs="Arial"/>
          <w:b/>
          <w:iCs/>
          <w:sz w:val="24"/>
          <w:szCs w:val="24"/>
          <w:u w:val="single"/>
        </w:rPr>
        <w:lastRenderedPageBreak/>
        <w:t>C</w:t>
      </w:r>
      <w:r w:rsidRPr="0016670A">
        <w:rPr>
          <w:rFonts w:ascii="Arial" w:hAnsi="Arial" w:cs="Arial"/>
          <w:b/>
          <w:iCs/>
          <w:sz w:val="24"/>
          <w:szCs w:val="24"/>
          <w:u w:val="single"/>
        </w:rPr>
        <w:t>ases</w:t>
      </w:r>
    </w:p>
    <w:p w14:paraId="4510748F" w14:textId="77777777" w:rsidR="00953AFB" w:rsidRPr="0016670A" w:rsidRDefault="00953AFB" w:rsidP="00953AFB">
      <w:pPr>
        <w:pStyle w:val="ListParagraph"/>
        <w:numPr>
          <w:ilvl w:val="0"/>
          <w:numId w:val="2"/>
        </w:numPr>
        <w:rPr>
          <w:rFonts w:ascii="Arial" w:hAnsi="Arial" w:cs="Arial"/>
          <w:sz w:val="24"/>
          <w:szCs w:val="24"/>
        </w:rPr>
      </w:pPr>
      <w:r w:rsidRPr="0016670A">
        <w:rPr>
          <w:rFonts w:ascii="Arial" w:hAnsi="Arial" w:cs="Arial"/>
          <w:sz w:val="24"/>
          <w:szCs w:val="24"/>
        </w:rPr>
        <w:t>Burnie Port Authority v General Jones Pty Ltd [1996] 4 LRC 605. [1994] 120 ALR 42</w:t>
      </w:r>
    </w:p>
    <w:p w14:paraId="23545949" w14:textId="77777777" w:rsidR="00953AFB" w:rsidRPr="0016670A" w:rsidRDefault="00953AFB" w:rsidP="00953AFB">
      <w:pPr>
        <w:pStyle w:val="ListParagraph"/>
        <w:numPr>
          <w:ilvl w:val="0"/>
          <w:numId w:val="2"/>
        </w:numPr>
        <w:rPr>
          <w:rFonts w:ascii="Arial" w:hAnsi="Arial" w:cs="Arial"/>
          <w:sz w:val="24"/>
          <w:szCs w:val="24"/>
        </w:rPr>
      </w:pPr>
      <w:r w:rsidRPr="0016670A">
        <w:rPr>
          <w:rFonts w:ascii="Arial" w:hAnsi="Arial" w:cs="Arial"/>
          <w:sz w:val="24"/>
          <w:szCs w:val="24"/>
        </w:rPr>
        <w:t>Cambridge water co ltd v eastern counties leather plc [1994] 1 A11 ER 53.</w:t>
      </w:r>
    </w:p>
    <w:p w14:paraId="75F20176" w14:textId="77777777" w:rsidR="00953AFB" w:rsidRPr="001B3680" w:rsidRDefault="00953AFB" w:rsidP="00953AFB">
      <w:pPr>
        <w:pStyle w:val="ListParagraph"/>
        <w:numPr>
          <w:ilvl w:val="0"/>
          <w:numId w:val="2"/>
        </w:numPr>
        <w:rPr>
          <w:rFonts w:ascii="Arial" w:hAnsi="Arial" w:cs="Arial"/>
          <w:sz w:val="24"/>
          <w:szCs w:val="24"/>
        </w:rPr>
      </w:pPr>
      <w:r w:rsidRPr="001B3680">
        <w:rPr>
          <w:rFonts w:ascii="Arial" w:hAnsi="Arial" w:cs="Arial"/>
          <w:color w:val="212529"/>
          <w:sz w:val="24"/>
          <w:szCs w:val="24"/>
          <w:shd w:val="clear" w:color="auto" w:fill="FFFFFF"/>
        </w:rPr>
        <w:t>Ellison v Ministry of Defence (1997) 81 BLR 101, [1997] CLY 3864</w:t>
      </w:r>
    </w:p>
    <w:p w14:paraId="602EF1B1" w14:textId="77777777" w:rsidR="00953AFB" w:rsidRPr="001B3680" w:rsidRDefault="00953AFB" w:rsidP="00953AFB">
      <w:pPr>
        <w:pStyle w:val="ListParagraph"/>
        <w:numPr>
          <w:ilvl w:val="0"/>
          <w:numId w:val="2"/>
        </w:numPr>
        <w:rPr>
          <w:rFonts w:ascii="Arial" w:hAnsi="Arial" w:cs="Arial"/>
          <w:sz w:val="24"/>
          <w:szCs w:val="24"/>
        </w:rPr>
      </w:pPr>
      <w:r>
        <w:rPr>
          <w:rFonts w:ascii="Arial" w:hAnsi="Arial" w:cs="Arial"/>
          <w:bCs/>
          <w:i/>
          <w:iCs/>
          <w:color w:val="222222"/>
          <w:sz w:val="24"/>
          <w:szCs w:val="24"/>
          <w:shd w:val="clear" w:color="auto" w:fill="FFFFFF"/>
        </w:rPr>
        <w:t xml:space="preserve">Giles v Walker [1890] 24 QBD </w:t>
      </w:r>
    </w:p>
    <w:p w14:paraId="03FB0DD0" w14:textId="77777777" w:rsidR="00953AFB" w:rsidRDefault="00953AFB" w:rsidP="00953AFB">
      <w:pPr>
        <w:pStyle w:val="ListParagraph"/>
        <w:numPr>
          <w:ilvl w:val="0"/>
          <w:numId w:val="2"/>
        </w:numPr>
        <w:rPr>
          <w:rFonts w:ascii="Arial" w:hAnsi="Arial" w:cs="Arial"/>
          <w:sz w:val="24"/>
          <w:szCs w:val="24"/>
        </w:rPr>
      </w:pPr>
      <w:r>
        <w:rPr>
          <w:rFonts w:ascii="Arial" w:hAnsi="Arial" w:cs="Arial"/>
          <w:sz w:val="24"/>
          <w:szCs w:val="24"/>
        </w:rPr>
        <w:t>Hale v Jennings Bros [1938] 1 All ER 557</w:t>
      </w:r>
    </w:p>
    <w:p w14:paraId="514D975D" w14:textId="77777777" w:rsidR="00953AFB" w:rsidRPr="0016670A" w:rsidRDefault="00953AFB" w:rsidP="00953AFB">
      <w:pPr>
        <w:pStyle w:val="ListParagraph"/>
        <w:numPr>
          <w:ilvl w:val="0"/>
          <w:numId w:val="2"/>
        </w:numPr>
        <w:rPr>
          <w:rFonts w:ascii="Arial" w:hAnsi="Arial" w:cs="Arial"/>
          <w:sz w:val="24"/>
          <w:szCs w:val="24"/>
        </w:rPr>
      </w:pPr>
      <w:r w:rsidRPr="0016670A">
        <w:rPr>
          <w:rFonts w:ascii="Arial" w:hAnsi="Arial" w:cs="Arial"/>
          <w:sz w:val="24"/>
          <w:szCs w:val="24"/>
        </w:rPr>
        <w:t>LMS International Ltd v Styrene packaging &amp; insulation Ltd [2005] EWHC 2065 (TCC): [2006] T.C.L.R 6</w:t>
      </w:r>
    </w:p>
    <w:p w14:paraId="28B4AA78" w14:textId="77777777" w:rsidR="00953AFB" w:rsidRDefault="00953AFB" w:rsidP="00953AFB">
      <w:pPr>
        <w:pStyle w:val="ListParagraph"/>
        <w:numPr>
          <w:ilvl w:val="0"/>
          <w:numId w:val="2"/>
        </w:numPr>
        <w:rPr>
          <w:rFonts w:ascii="Arial" w:hAnsi="Arial" w:cs="Arial"/>
          <w:sz w:val="24"/>
          <w:szCs w:val="24"/>
        </w:rPr>
      </w:pPr>
      <w:r w:rsidRPr="0016670A">
        <w:rPr>
          <w:rFonts w:ascii="Arial" w:hAnsi="Arial" w:cs="Arial"/>
          <w:sz w:val="24"/>
          <w:szCs w:val="24"/>
        </w:rPr>
        <w:t xml:space="preserve">Northumbrian Water Ltd v sir Robert McAlpine Ltd [2014] EWCA </w:t>
      </w:r>
      <w:proofErr w:type="spellStart"/>
      <w:r w:rsidRPr="0016670A">
        <w:rPr>
          <w:rFonts w:ascii="Arial" w:hAnsi="Arial" w:cs="Arial"/>
          <w:sz w:val="24"/>
          <w:szCs w:val="24"/>
        </w:rPr>
        <w:t>Civ</w:t>
      </w:r>
      <w:proofErr w:type="spellEnd"/>
      <w:r w:rsidRPr="0016670A">
        <w:rPr>
          <w:rFonts w:ascii="Arial" w:hAnsi="Arial" w:cs="Arial"/>
          <w:sz w:val="24"/>
          <w:szCs w:val="24"/>
        </w:rPr>
        <w:t xml:space="preserve"> 685; [2014] Env. L.R 28</w:t>
      </w:r>
    </w:p>
    <w:p w14:paraId="35FC95B6" w14:textId="77777777" w:rsidR="00953AFB" w:rsidRPr="001B3680" w:rsidRDefault="00953AFB" w:rsidP="00953AFB">
      <w:pPr>
        <w:pStyle w:val="ListParagraph"/>
        <w:numPr>
          <w:ilvl w:val="0"/>
          <w:numId w:val="2"/>
        </w:numPr>
        <w:rPr>
          <w:rFonts w:ascii="Arial" w:hAnsi="Arial" w:cs="Arial"/>
          <w:sz w:val="24"/>
          <w:szCs w:val="24"/>
        </w:rPr>
      </w:pPr>
      <w:r>
        <w:rPr>
          <w:rFonts w:ascii="Arial" w:hAnsi="Arial" w:cs="Arial"/>
          <w:sz w:val="24"/>
          <w:szCs w:val="24"/>
        </w:rPr>
        <w:t>Pontardawe RDC v Moore-Gwyn</w:t>
      </w:r>
      <w:r w:rsidRPr="001B3680">
        <w:rPr>
          <w:rFonts w:ascii="Segoe UI" w:hAnsi="Segoe UI" w:cs="Segoe UI"/>
          <w:color w:val="212529"/>
          <w:shd w:val="clear" w:color="auto" w:fill="FFFFFF"/>
        </w:rPr>
        <w:t xml:space="preserve"> </w:t>
      </w:r>
    </w:p>
    <w:p w14:paraId="360831F9" w14:textId="77777777" w:rsidR="00953AFB" w:rsidRDefault="00953AFB" w:rsidP="00953AFB">
      <w:pPr>
        <w:pStyle w:val="ListParagraph"/>
        <w:numPr>
          <w:ilvl w:val="0"/>
          <w:numId w:val="2"/>
        </w:numPr>
        <w:rPr>
          <w:rFonts w:ascii="Arial" w:hAnsi="Arial" w:cs="Arial"/>
          <w:sz w:val="24"/>
          <w:szCs w:val="24"/>
        </w:rPr>
      </w:pPr>
      <w:r>
        <w:rPr>
          <w:rFonts w:ascii="Arial" w:hAnsi="Arial" w:cs="Arial"/>
          <w:sz w:val="24"/>
          <w:szCs w:val="24"/>
        </w:rPr>
        <w:t>Ponting v Noakes [1849] 2 QB 281</w:t>
      </w:r>
    </w:p>
    <w:p w14:paraId="7371E28A" w14:textId="77777777" w:rsidR="00953AFB" w:rsidRDefault="00953AFB" w:rsidP="00953AFB">
      <w:pPr>
        <w:pStyle w:val="ListParagraph"/>
        <w:numPr>
          <w:ilvl w:val="0"/>
          <w:numId w:val="2"/>
        </w:numPr>
        <w:rPr>
          <w:rFonts w:ascii="Arial" w:hAnsi="Arial" w:cs="Arial"/>
          <w:sz w:val="24"/>
          <w:szCs w:val="24"/>
        </w:rPr>
      </w:pPr>
      <w:r>
        <w:rPr>
          <w:rFonts w:ascii="Arial" w:hAnsi="Arial" w:cs="Arial"/>
          <w:sz w:val="24"/>
          <w:szCs w:val="24"/>
        </w:rPr>
        <w:t>Read v Lyons [1947] AC 156 House of Lords</w:t>
      </w:r>
    </w:p>
    <w:p w14:paraId="730CB41A" w14:textId="77777777" w:rsidR="00953AFB" w:rsidRDefault="00953AFB" w:rsidP="00953AFB">
      <w:pPr>
        <w:pStyle w:val="ListParagraph"/>
        <w:numPr>
          <w:ilvl w:val="0"/>
          <w:numId w:val="2"/>
        </w:numPr>
        <w:rPr>
          <w:rFonts w:ascii="Arial" w:hAnsi="Arial" w:cs="Arial"/>
          <w:sz w:val="24"/>
          <w:szCs w:val="24"/>
        </w:rPr>
      </w:pPr>
      <w:r>
        <w:rPr>
          <w:rFonts w:ascii="Arial" w:hAnsi="Arial" w:cs="Arial"/>
          <w:sz w:val="24"/>
          <w:szCs w:val="24"/>
        </w:rPr>
        <w:t>Rickards v Lothian [1913] AC 263</w:t>
      </w:r>
    </w:p>
    <w:p w14:paraId="49663FE8" w14:textId="77777777" w:rsidR="00953AFB" w:rsidRPr="0016670A" w:rsidRDefault="00953AFB" w:rsidP="00953AFB">
      <w:pPr>
        <w:pStyle w:val="ListParagraph"/>
        <w:numPr>
          <w:ilvl w:val="0"/>
          <w:numId w:val="2"/>
        </w:numPr>
        <w:rPr>
          <w:rFonts w:ascii="Arial" w:hAnsi="Arial" w:cs="Arial"/>
          <w:sz w:val="24"/>
          <w:szCs w:val="24"/>
        </w:rPr>
      </w:pPr>
      <w:r w:rsidRPr="0016670A">
        <w:rPr>
          <w:rFonts w:ascii="Arial" w:hAnsi="Arial" w:cs="Arial"/>
          <w:sz w:val="24"/>
          <w:szCs w:val="24"/>
        </w:rPr>
        <w:t>Rylands v fletcher [1868] l.r.3 h.l. 330</w:t>
      </w:r>
    </w:p>
    <w:p w14:paraId="72AE87DC" w14:textId="77777777" w:rsidR="00953AFB" w:rsidRPr="0016670A" w:rsidRDefault="00953AFB" w:rsidP="00953AFB">
      <w:pPr>
        <w:pStyle w:val="ListParagraph"/>
        <w:numPr>
          <w:ilvl w:val="0"/>
          <w:numId w:val="2"/>
        </w:numPr>
        <w:rPr>
          <w:rFonts w:ascii="Arial" w:hAnsi="Arial" w:cs="Arial"/>
          <w:sz w:val="24"/>
          <w:szCs w:val="24"/>
        </w:rPr>
      </w:pPr>
      <w:r w:rsidRPr="0016670A">
        <w:rPr>
          <w:rFonts w:ascii="Arial" w:hAnsi="Arial" w:cs="Arial"/>
          <w:sz w:val="24"/>
          <w:szCs w:val="24"/>
        </w:rPr>
        <w:t xml:space="preserve">Stannard (t/a Wyvern Tyres) v Gore [2012] EWCA </w:t>
      </w:r>
      <w:proofErr w:type="spellStart"/>
      <w:r w:rsidRPr="0016670A">
        <w:rPr>
          <w:rFonts w:ascii="Arial" w:hAnsi="Arial" w:cs="Arial"/>
          <w:sz w:val="24"/>
          <w:szCs w:val="24"/>
        </w:rPr>
        <w:t>Civ</w:t>
      </w:r>
      <w:proofErr w:type="spellEnd"/>
      <w:r w:rsidRPr="0016670A">
        <w:rPr>
          <w:rFonts w:ascii="Arial" w:hAnsi="Arial" w:cs="Arial"/>
          <w:sz w:val="24"/>
          <w:szCs w:val="24"/>
        </w:rPr>
        <w:t xml:space="preserve"> 1248; [2014] Q.B 1</w:t>
      </w:r>
    </w:p>
    <w:p w14:paraId="2C9F084C" w14:textId="77777777" w:rsidR="00953AFB" w:rsidRDefault="00953AFB" w:rsidP="00953AFB">
      <w:pPr>
        <w:pStyle w:val="ListParagraph"/>
        <w:numPr>
          <w:ilvl w:val="0"/>
          <w:numId w:val="2"/>
        </w:numPr>
        <w:rPr>
          <w:rFonts w:ascii="Arial" w:hAnsi="Arial" w:cs="Arial"/>
          <w:sz w:val="24"/>
          <w:szCs w:val="24"/>
        </w:rPr>
      </w:pPr>
      <w:r>
        <w:rPr>
          <w:rFonts w:ascii="Arial" w:hAnsi="Arial" w:cs="Arial"/>
          <w:sz w:val="24"/>
          <w:szCs w:val="24"/>
        </w:rPr>
        <w:t>Stannard t/a Wyvern Tyres (2012)</w:t>
      </w:r>
    </w:p>
    <w:p w14:paraId="6C0E0B5F" w14:textId="77777777" w:rsidR="00953AFB" w:rsidRPr="001B3680" w:rsidRDefault="00953AFB" w:rsidP="00953AFB">
      <w:pPr>
        <w:pStyle w:val="ListParagraph"/>
        <w:numPr>
          <w:ilvl w:val="0"/>
          <w:numId w:val="2"/>
        </w:numPr>
        <w:rPr>
          <w:rFonts w:ascii="Arial" w:hAnsi="Arial" w:cs="Arial"/>
          <w:sz w:val="24"/>
          <w:szCs w:val="24"/>
        </w:rPr>
      </w:pPr>
      <w:r>
        <w:rPr>
          <w:rFonts w:ascii="Arial" w:hAnsi="Arial" w:cs="Arial"/>
          <w:sz w:val="24"/>
          <w:szCs w:val="24"/>
        </w:rPr>
        <w:t>The Wagon Mound No.2 [1967 1 AC 617</w:t>
      </w:r>
    </w:p>
    <w:p w14:paraId="71D72B74" w14:textId="77777777" w:rsidR="00953AFB" w:rsidRPr="0016670A" w:rsidRDefault="00953AFB" w:rsidP="00953AFB">
      <w:pPr>
        <w:pStyle w:val="ListParagraph"/>
        <w:numPr>
          <w:ilvl w:val="0"/>
          <w:numId w:val="2"/>
        </w:numPr>
        <w:rPr>
          <w:rFonts w:ascii="Arial" w:hAnsi="Arial" w:cs="Arial"/>
          <w:sz w:val="24"/>
          <w:szCs w:val="24"/>
        </w:rPr>
      </w:pPr>
      <w:r w:rsidRPr="0016670A">
        <w:rPr>
          <w:rFonts w:ascii="Arial" w:hAnsi="Arial" w:cs="Arial"/>
          <w:sz w:val="24"/>
          <w:szCs w:val="24"/>
        </w:rPr>
        <w:t>Transco plc v Stockport Metropolitan Borough Council [2003] UKHL 61; [2004] 2 AC 1</w:t>
      </w:r>
    </w:p>
    <w:p w14:paraId="66AAE95D" w14:textId="2E8ED65E" w:rsidR="00953AFB" w:rsidRPr="00613CA9" w:rsidRDefault="00953AFB" w:rsidP="00953AFB">
      <w:pPr>
        <w:pStyle w:val="ListParagraph"/>
        <w:numPr>
          <w:ilvl w:val="0"/>
          <w:numId w:val="2"/>
        </w:numPr>
        <w:rPr>
          <w:rFonts w:ascii="Arial" w:hAnsi="Arial" w:cs="Arial"/>
          <w:sz w:val="24"/>
          <w:szCs w:val="24"/>
        </w:rPr>
      </w:pPr>
      <w:r w:rsidRPr="00606B55">
        <w:rPr>
          <w:rFonts w:ascii="Arial" w:hAnsi="Arial" w:cs="Arial"/>
          <w:bCs/>
          <w:i/>
          <w:iCs/>
          <w:color w:val="222222"/>
          <w:sz w:val="24"/>
          <w:szCs w:val="24"/>
          <w:shd w:val="clear" w:color="auto" w:fill="FFFFFF"/>
        </w:rPr>
        <w:t xml:space="preserve">Vaughan v </w:t>
      </w:r>
      <w:proofErr w:type="spellStart"/>
      <w:r w:rsidRPr="00606B55">
        <w:rPr>
          <w:rFonts w:ascii="Arial" w:hAnsi="Arial" w:cs="Arial"/>
          <w:bCs/>
          <w:i/>
          <w:iCs/>
          <w:color w:val="222222"/>
          <w:sz w:val="24"/>
          <w:szCs w:val="24"/>
          <w:shd w:val="clear" w:color="auto" w:fill="FFFFFF"/>
        </w:rPr>
        <w:t>Menlove</w:t>
      </w:r>
      <w:proofErr w:type="spellEnd"/>
      <w:r w:rsidRPr="00606B55">
        <w:rPr>
          <w:rFonts w:ascii="Arial" w:hAnsi="Arial" w:cs="Arial"/>
          <w:color w:val="222222"/>
          <w:sz w:val="24"/>
          <w:szCs w:val="24"/>
          <w:shd w:val="clear" w:color="auto" w:fill="FFFFFF"/>
        </w:rPr>
        <w:t> (1837) 132 ER 490 (CP)</w:t>
      </w:r>
    </w:p>
    <w:p w14:paraId="38C2A7B2" w14:textId="5ABB8E98" w:rsidR="00613CA9" w:rsidRPr="006A670F" w:rsidRDefault="00613CA9" w:rsidP="00953AFB">
      <w:pPr>
        <w:pStyle w:val="ListParagraph"/>
        <w:numPr>
          <w:ilvl w:val="0"/>
          <w:numId w:val="2"/>
        </w:numPr>
        <w:rPr>
          <w:rFonts w:ascii="Arial" w:hAnsi="Arial" w:cs="Arial"/>
          <w:sz w:val="24"/>
          <w:szCs w:val="24"/>
        </w:rPr>
      </w:pPr>
      <w:r>
        <w:rPr>
          <w:rFonts w:ascii="Arial" w:hAnsi="Arial" w:cs="Arial"/>
          <w:bCs/>
          <w:i/>
          <w:iCs/>
          <w:color w:val="222222"/>
          <w:sz w:val="24"/>
          <w:szCs w:val="24"/>
          <w:shd w:val="clear" w:color="auto" w:fill="FFFFFF"/>
        </w:rPr>
        <w:t>Walker v Northumberland County Council [1995] 1 All ER 7</w:t>
      </w:r>
      <w:r w:rsidR="00E948B3">
        <w:rPr>
          <w:rFonts w:ascii="Arial" w:hAnsi="Arial" w:cs="Arial"/>
          <w:bCs/>
          <w:i/>
          <w:iCs/>
          <w:color w:val="222222"/>
          <w:sz w:val="24"/>
          <w:szCs w:val="24"/>
          <w:shd w:val="clear" w:color="auto" w:fill="FFFFFF"/>
        </w:rPr>
        <w:t>37</w:t>
      </w:r>
    </w:p>
    <w:p w14:paraId="685A5121" w14:textId="209A0EA9" w:rsidR="006A670F" w:rsidRDefault="006A670F" w:rsidP="00082220">
      <w:pPr>
        <w:pStyle w:val="ListParagraph"/>
        <w:numPr>
          <w:ilvl w:val="0"/>
          <w:numId w:val="2"/>
        </w:numPr>
        <w:shd w:val="clear" w:color="auto" w:fill="FFFFFF"/>
        <w:spacing w:after="0" w:line="240" w:lineRule="auto"/>
        <w:outlineLvl w:val="0"/>
        <w:rPr>
          <w:rFonts w:ascii="Arial" w:eastAsia="Times New Roman" w:hAnsi="Arial" w:cs="Arial"/>
          <w:bCs/>
          <w:color w:val="252525"/>
          <w:kern w:val="36"/>
          <w:sz w:val="24"/>
          <w:szCs w:val="24"/>
          <w:lang w:eastAsia="en-GB"/>
        </w:rPr>
      </w:pPr>
      <w:r w:rsidRPr="006A670F">
        <w:rPr>
          <w:rFonts w:ascii="Arial" w:eastAsia="Times New Roman" w:hAnsi="Arial" w:cs="Arial"/>
          <w:bCs/>
          <w:color w:val="252525"/>
          <w:kern w:val="36"/>
          <w:sz w:val="24"/>
          <w:szCs w:val="24"/>
          <w:lang w:eastAsia="en-GB"/>
        </w:rPr>
        <w:t xml:space="preserve">Stannard (t/a Wyvern Tyres) v Gore [2012] EWCA </w:t>
      </w:r>
      <w:proofErr w:type="spellStart"/>
      <w:r w:rsidRPr="006A670F">
        <w:rPr>
          <w:rFonts w:ascii="Arial" w:eastAsia="Times New Roman" w:hAnsi="Arial" w:cs="Arial"/>
          <w:bCs/>
          <w:color w:val="252525"/>
          <w:kern w:val="36"/>
          <w:sz w:val="24"/>
          <w:szCs w:val="24"/>
          <w:lang w:eastAsia="en-GB"/>
        </w:rPr>
        <w:t>Civ</w:t>
      </w:r>
      <w:proofErr w:type="spellEnd"/>
      <w:r w:rsidRPr="006A670F">
        <w:rPr>
          <w:rFonts w:ascii="Arial" w:eastAsia="Times New Roman" w:hAnsi="Arial" w:cs="Arial"/>
          <w:bCs/>
          <w:color w:val="252525"/>
          <w:kern w:val="36"/>
          <w:sz w:val="24"/>
          <w:szCs w:val="24"/>
          <w:lang w:eastAsia="en-GB"/>
        </w:rPr>
        <w:t xml:space="preserve"> 1248</w:t>
      </w:r>
    </w:p>
    <w:p w14:paraId="5131385E" w14:textId="27AE82B6" w:rsidR="00082220" w:rsidRDefault="00082220" w:rsidP="00082220">
      <w:pPr>
        <w:shd w:val="clear" w:color="auto" w:fill="FFFFFF"/>
        <w:spacing w:after="0" w:line="240" w:lineRule="auto"/>
        <w:outlineLvl w:val="0"/>
        <w:rPr>
          <w:rFonts w:ascii="Arial" w:eastAsia="Times New Roman" w:hAnsi="Arial" w:cs="Arial"/>
          <w:bCs/>
          <w:color w:val="252525"/>
          <w:kern w:val="36"/>
          <w:sz w:val="24"/>
          <w:szCs w:val="24"/>
          <w:lang w:eastAsia="en-GB"/>
        </w:rPr>
      </w:pPr>
    </w:p>
    <w:p w14:paraId="6CD9437A" w14:textId="77777777" w:rsidR="00082220" w:rsidRPr="00082220" w:rsidRDefault="00082220" w:rsidP="00082220">
      <w:pPr>
        <w:shd w:val="clear" w:color="auto" w:fill="FFFFFF"/>
        <w:spacing w:after="0" w:line="240" w:lineRule="auto"/>
        <w:outlineLvl w:val="0"/>
        <w:rPr>
          <w:rFonts w:ascii="Arial" w:eastAsia="Times New Roman" w:hAnsi="Arial" w:cs="Arial"/>
          <w:bCs/>
          <w:color w:val="252525"/>
          <w:kern w:val="36"/>
          <w:sz w:val="24"/>
          <w:szCs w:val="24"/>
          <w:lang w:eastAsia="en-GB"/>
        </w:rPr>
      </w:pPr>
    </w:p>
    <w:p w14:paraId="45C7881A" w14:textId="77777777" w:rsidR="00953AFB" w:rsidRDefault="00953AFB" w:rsidP="00953AFB">
      <w:pPr>
        <w:ind w:left="360"/>
        <w:rPr>
          <w:rFonts w:ascii="Arial" w:hAnsi="Arial" w:cs="Arial"/>
          <w:b/>
          <w:sz w:val="24"/>
          <w:szCs w:val="24"/>
          <w:u w:val="single"/>
        </w:rPr>
      </w:pPr>
      <w:r w:rsidRPr="0016670A">
        <w:rPr>
          <w:rFonts w:ascii="Arial" w:hAnsi="Arial" w:cs="Arial"/>
          <w:b/>
          <w:sz w:val="24"/>
          <w:szCs w:val="24"/>
          <w:u w:val="single"/>
        </w:rPr>
        <w:t>Statute</w:t>
      </w:r>
      <w:r>
        <w:rPr>
          <w:rFonts w:ascii="Arial" w:hAnsi="Arial" w:cs="Arial"/>
          <w:b/>
          <w:sz w:val="24"/>
          <w:szCs w:val="24"/>
          <w:u w:val="single"/>
        </w:rPr>
        <w:t>s</w:t>
      </w:r>
    </w:p>
    <w:p w14:paraId="12BD15D4" w14:textId="77777777" w:rsidR="00953AFB" w:rsidRPr="001B3680" w:rsidRDefault="00953AFB" w:rsidP="00953AFB">
      <w:pPr>
        <w:pStyle w:val="ListParagraph"/>
        <w:numPr>
          <w:ilvl w:val="0"/>
          <w:numId w:val="4"/>
        </w:numPr>
        <w:rPr>
          <w:rFonts w:ascii="Arial" w:hAnsi="Arial" w:cs="Arial"/>
          <w:sz w:val="24"/>
          <w:szCs w:val="24"/>
        </w:rPr>
      </w:pPr>
      <w:r w:rsidRPr="001B3680">
        <w:rPr>
          <w:rFonts w:ascii="Arial" w:hAnsi="Arial" w:cs="Arial"/>
          <w:sz w:val="24"/>
          <w:szCs w:val="24"/>
        </w:rPr>
        <w:t>Water Industry Act 1991 c.56</w:t>
      </w:r>
    </w:p>
    <w:p w14:paraId="7AFB2B52" w14:textId="77777777" w:rsidR="00953AFB" w:rsidRPr="001B3680" w:rsidRDefault="00953AFB" w:rsidP="00953AFB">
      <w:pPr>
        <w:pStyle w:val="ListParagraph"/>
        <w:numPr>
          <w:ilvl w:val="0"/>
          <w:numId w:val="4"/>
        </w:numPr>
        <w:rPr>
          <w:rFonts w:ascii="Arial" w:hAnsi="Arial" w:cs="Arial"/>
          <w:sz w:val="24"/>
          <w:szCs w:val="24"/>
        </w:rPr>
      </w:pPr>
      <w:r w:rsidRPr="001B3680">
        <w:rPr>
          <w:rFonts w:ascii="Arial" w:hAnsi="Arial" w:cs="Arial"/>
          <w:sz w:val="24"/>
          <w:szCs w:val="24"/>
        </w:rPr>
        <w:t>Reservoirs Act 1975 c.23</w:t>
      </w:r>
    </w:p>
    <w:p w14:paraId="10B9E9AB" w14:textId="77777777" w:rsidR="00953AFB" w:rsidRDefault="00953AFB" w:rsidP="00953AFB">
      <w:pPr>
        <w:rPr>
          <w:rFonts w:ascii="Arial" w:hAnsi="Arial" w:cs="Arial"/>
          <w:b/>
          <w:sz w:val="24"/>
          <w:szCs w:val="24"/>
          <w:u w:val="single"/>
        </w:rPr>
      </w:pPr>
      <w:r>
        <w:rPr>
          <w:rFonts w:ascii="Arial" w:hAnsi="Arial" w:cs="Arial"/>
          <w:b/>
          <w:sz w:val="24"/>
          <w:szCs w:val="24"/>
          <w:u w:val="single"/>
        </w:rPr>
        <w:br w:type="page"/>
      </w:r>
    </w:p>
    <w:p w14:paraId="474608C8" w14:textId="77777777" w:rsidR="00953AFB" w:rsidRPr="0016670A" w:rsidRDefault="00953AFB" w:rsidP="00953AFB">
      <w:pPr>
        <w:ind w:left="360"/>
        <w:rPr>
          <w:rFonts w:ascii="Arial" w:hAnsi="Arial" w:cs="Arial"/>
          <w:sz w:val="24"/>
          <w:szCs w:val="24"/>
        </w:rPr>
      </w:pPr>
      <w:r w:rsidRPr="0016670A">
        <w:rPr>
          <w:rFonts w:ascii="Arial" w:hAnsi="Arial" w:cs="Arial"/>
          <w:b/>
          <w:sz w:val="24"/>
          <w:szCs w:val="24"/>
          <w:u w:val="single"/>
        </w:rPr>
        <w:lastRenderedPageBreak/>
        <w:t>References</w:t>
      </w:r>
    </w:p>
    <w:p w14:paraId="64CBBB51" w14:textId="77777777" w:rsidR="00953AFB" w:rsidRPr="00557808" w:rsidRDefault="00953AFB" w:rsidP="00953AFB">
      <w:pPr>
        <w:pStyle w:val="ListParagraph"/>
        <w:numPr>
          <w:ilvl w:val="0"/>
          <w:numId w:val="3"/>
        </w:numPr>
        <w:rPr>
          <w:rFonts w:ascii="Arial" w:hAnsi="Arial" w:cs="Arial"/>
          <w:color w:val="000000" w:themeColor="text1"/>
          <w:sz w:val="24"/>
          <w:szCs w:val="24"/>
        </w:rPr>
      </w:pPr>
      <w:r w:rsidRPr="00557808">
        <w:rPr>
          <w:rFonts w:ascii="Arial" w:hAnsi="Arial" w:cs="Arial"/>
          <w:color w:val="000000" w:themeColor="text1"/>
          <w:sz w:val="24"/>
          <w:szCs w:val="24"/>
        </w:rPr>
        <w:t xml:space="preserve">Van Boom WH, ‘some remarks on the decline of Rylands v Fletcher and the disparity of European strict liability regimes’ [2004] </w:t>
      </w:r>
      <w:r w:rsidRPr="00557808">
        <w:rPr>
          <w:rFonts w:ascii="Arial" w:hAnsi="Arial" w:cs="Arial"/>
          <w:i/>
          <w:color w:val="000000" w:themeColor="text1"/>
          <w:sz w:val="24"/>
          <w:szCs w:val="24"/>
        </w:rPr>
        <w:t>SSRN Electronic Journal. p.5</w:t>
      </w:r>
    </w:p>
    <w:p w14:paraId="76DE0A62" w14:textId="77777777" w:rsidR="00953AFB" w:rsidRPr="00557808" w:rsidRDefault="00953AFB" w:rsidP="00953AFB">
      <w:pPr>
        <w:pStyle w:val="ListParagraph"/>
        <w:numPr>
          <w:ilvl w:val="0"/>
          <w:numId w:val="3"/>
        </w:numPr>
        <w:rPr>
          <w:rFonts w:ascii="Arial" w:hAnsi="Arial" w:cs="Arial"/>
          <w:color w:val="000000" w:themeColor="text1"/>
          <w:sz w:val="24"/>
          <w:szCs w:val="24"/>
        </w:rPr>
      </w:pPr>
      <w:r w:rsidRPr="00557808">
        <w:rPr>
          <w:rFonts w:ascii="Arial" w:hAnsi="Arial" w:cs="Arial"/>
          <w:color w:val="000000" w:themeColor="text1"/>
          <w:sz w:val="24"/>
          <w:szCs w:val="24"/>
        </w:rPr>
        <w:t xml:space="preserve">Wilkinson D. ‘Cambridge water company v Eastern counties leather Plc diluting liability for continuing escapes’ [1994] </w:t>
      </w:r>
      <w:r w:rsidRPr="00557808">
        <w:rPr>
          <w:rFonts w:ascii="Arial" w:hAnsi="Arial" w:cs="Arial"/>
          <w:i/>
          <w:color w:val="000000" w:themeColor="text1"/>
          <w:sz w:val="24"/>
          <w:szCs w:val="24"/>
        </w:rPr>
        <w:t>57 The Modern Law Review 799</w:t>
      </w:r>
    </w:p>
    <w:p w14:paraId="3F414A63" w14:textId="77777777" w:rsidR="00953AFB" w:rsidRPr="00557808" w:rsidRDefault="00953AFB" w:rsidP="00953AFB">
      <w:pPr>
        <w:pStyle w:val="ListParagraph"/>
        <w:numPr>
          <w:ilvl w:val="0"/>
          <w:numId w:val="3"/>
        </w:numPr>
        <w:rPr>
          <w:rFonts w:ascii="Arial" w:hAnsi="Arial" w:cs="Arial"/>
          <w:color w:val="000000" w:themeColor="text1"/>
          <w:sz w:val="24"/>
          <w:szCs w:val="24"/>
        </w:rPr>
      </w:pPr>
      <w:proofErr w:type="spellStart"/>
      <w:r w:rsidRPr="00557808">
        <w:rPr>
          <w:rFonts w:ascii="Arial" w:hAnsi="Arial" w:cs="Arial"/>
          <w:color w:val="000000" w:themeColor="text1"/>
          <w:sz w:val="24"/>
          <w:szCs w:val="24"/>
        </w:rPr>
        <w:t>Tofaris</w:t>
      </w:r>
      <w:proofErr w:type="spellEnd"/>
      <w:r w:rsidRPr="00557808">
        <w:rPr>
          <w:rFonts w:ascii="Arial" w:hAnsi="Arial" w:cs="Arial"/>
          <w:color w:val="000000" w:themeColor="text1"/>
          <w:sz w:val="24"/>
          <w:szCs w:val="24"/>
        </w:rPr>
        <w:t xml:space="preserve">, S. ‘Rylands v Fletcher restricted further’ [203] </w:t>
      </w:r>
      <w:r w:rsidRPr="00557808">
        <w:rPr>
          <w:rFonts w:ascii="Arial" w:hAnsi="Arial" w:cs="Arial"/>
          <w:i/>
          <w:color w:val="000000" w:themeColor="text1"/>
          <w:sz w:val="24"/>
          <w:szCs w:val="24"/>
        </w:rPr>
        <w:t>The Cambridge Law Journal</w:t>
      </w:r>
      <w:r w:rsidRPr="00557808">
        <w:rPr>
          <w:rFonts w:ascii="Arial" w:hAnsi="Arial" w:cs="Arial"/>
          <w:color w:val="000000" w:themeColor="text1"/>
          <w:sz w:val="24"/>
          <w:szCs w:val="24"/>
        </w:rPr>
        <w:t xml:space="preserve"> 11</w:t>
      </w:r>
    </w:p>
    <w:p w14:paraId="46CF8A50" w14:textId="77777777" w:rsidR="00953AFB" w:rsidRPr="00557808" w:rsidRDefault="00953AFB" w:rsidP="00953AFB">
      <w:pPr>
        <w:pStyle w:val="ListParagraph"/>
        <w:numPr>
          <w:ilvl w:val="0"/>
          <w:numId w:val="3"/>
        </w:numPr>
        <w:spacing w:after="0" w:line="240" w:lineRule="auto"/>
        <w:ind w:right="240"/>
        <w:textAlignment w:val="baseline"/>
        <w:rPr>
          <w:rFonts w:ascii="Arial" w:eastAsia="Times New Roman" w:hAnsi="Arial" w:cs="Arial"/>
          <w:color w:val="000000" w:themeColor="text1"/>
          <w:sz w:val="24"/>
          <w:szCs w:val="24"/>
          <w:lang w:eastAsia="en-GB"/>
        </w:rPr>
      </w:pPr>
      <w:r w:rsidRPr="00557808">
        <w:rPr>
          <w:rFonts w:ascii="Arial" w:eastAsia="Times New Roman" w:hAnsi="Arial" w:cs="Arial"/>
          <w:color w:val="000000" w:themeColor="text1"/>
          <w:sz w:val="24"/>
          <w:szCs w:val="24"/>
          <w:lang w:eastAsia="en-GB"/>
        </w:rPr>
        <w:t xml:space="preserve">Simpson, M (2010) </w:t>
      </w:r>
      <w:r w:rsidRPr="00557808">
        <w:rPr>
          <w:rFonts w:ascii="Arial" w:eastAsia="Times New Roman" w:hAnsi="Arial" w:cs="Arial"/>
          <w:color w:val="000000" w:themeColor="text1"/>
          <w:sz w:val="24"/>
          <w:szCs w:val="24"/>
          <w:u w:val="single"/>
          <w:lang w:eastAsia="en-GB"/>
        </w:rPr>
        <w:t>Clerk &amp; Lindsell on torts</w:t>
      </w:r>
      <w:r w:rsidRPr="00557808">
        <w:rPr>
          <w:rFonts w:ascii="Arial" w:eastAsia="Times New Roman" w:hAnsi="Arial" w:cs="Arial"/>
          <w:color w:val="000000" w:themeColor="text1"/>
          <w:sz w:val="24"/>
          <w:szCs w:val="24"/>
          <w:lang w:eastAsia="en-GB"/>
        </w:rPr>
        <w:t>. London: Sweet &amp; Maxwell.</w:t>
      </w:r>
    </w:p>
    <w:p w14:paraId="22F9EA71" w14:textId="77777777" w:rsidR="00953AFB" w:rsidRPr="00557808" w:rsidRDefault="00953AFB" w:rsidP="00953AFB">
      <w:pPr>
        <w:pStyle w:val="ListParagraph"/>
        <w:numPr>
          <w:ilvl w:val="0"/>
          <w:numId w:val="3"/>
        </w:numPr>
        <w:spacing w:after="0" w:line="240" w:lineRule="auto"/>
        <w:ind w:right="240"/>
        <w:textAlignment w:val="baseline"/>
        <w:rPr>
          <w:rFonts w:ascii="Arial" w:eastAsia="Times New Roman" w:hAnsi="Arial" w:cs="Arial"/>
          <w:color w:val="000000" w:themeColor="text1"/>
          <w:sz w:val="24"/>
          <w:szCs w:val="24"/>
          <w:lang w:eastAsia="en-GB"/>
        </w:rPr>
      </w:pPr>
      <w:r w:rsidRPr="00557808">
        <w:rPr>
          <w:rFonts w:ascii="Arial" w:eastAsia="Times New Roman" w:hAnsi="Arial" w:cs="Arial"/>
          <w:color w:val="000000" w:themeColor="text1"/>
          <w:sz w:val="24"/>
          <w:szCs w:val="24"/>
          <w:lang w:eastAsia="en-GB"/>
        </w:rPr>
        <w:t>Peck, A. (2018) Recent development in tort – nuisance, strict liabilities and other special cases. Available online at:</w:t>
      </w:r>
      <w:r w:rsidRPr="00557808">
        <w:rPr>
          <w:rFonts w:ascii="Arial" w:hAnsi="Arial" w:cs="Arial"/>
          <w:sz w:val="24"/>
          <w:szCs w:val="24"/>
        </w:rPr>
        <w:t xml:space="preserve"> </w:t>
      </w:r>
      <w:hyperlink r:id="rId8" w:history="1">
        <w:r w:rsidRPr="00557808">
          <w:rPr>
            <w:rStyle w:val="Hyperlink"/>
            <w:rFonts w:ascii="Arial" w:eastAsia="Times New Roman" w:hAnsi="Arial" w:cs="Arial"/>
            <w:sz w:val="24"/>
            <w:szCs w:val="24"/>
            <w:lang w:eastAsia="en-GB"/>
          </w:rPr>
          <w:t>https://www.cii.co.uk/fact-files/law-and-regulation/recent-developments-in-tort-nuisance-strict-liabilities/</w:t>
        </w:r>
      </w:hyperlink>
      <w:r w:rsidRPr="00557808">
        <w:rPr>
          <w:rFonts w:ascii="Arial" w:eastAsia="Times New Roman" w:hAnsi="Arial" w:cs="Arial"/>
          <w:color w:val="000000" w:themeColor="text1"/>
          <w:sz w:val="24"/>
          <w:szCs w:val="24"/>
          <w:lang w:eastAsia="en-GB"/>
        </w:rPr>
        <w:t>. Accessed on 10/01/2019</w:t>
      </w:r>
    </w:p>
    <w:p w14:paraId="68A3C08C" w14:textId="389E6F15" w:rsidR="00953AFB" w:rsidRDefault="00953AFB" w:rsidP="00953AFB">
      <w:pPr>
        <w:pStyle w:val="ListParagraph"/>
        <w:numPr>
          <w:ilvl w:val="0"/>
          <w:numId w:val="3"/>
        </w:numPr>
        <w:rPr>
          <w:rFonts w:ascii="Arial" w:hAnsi="Arial" w:cs="Arial"/>
          <w:sz w:val="24"/>
          <w:szCs w:val="24"/>
          <w:lang w:val="en-US"/>
        </w:rPr>
      </w:pPr>
      <w:r w:rsidRPr="00557808">
        <w:rPr>
          <w:rFonts w:ascii="Arial" w:hAnsi="Arial" w:cs="Arial"/>
          <w:sz w:val="24"/>
          <w:szCs w:val="24"/>
          <w:lang w:val="en-US"/>
        </w:rPr>
        <w:t xml:space="preserve">Murphy (2004) the merits of rylands and fletcher. Available online at: </w:t>
      </w:r>
      <w:hyperlink r:id="rId9" w:history="1">
        <w:r w:rsidRPr="00557808">
          <w:rPr>
            <w:rStyle w:val="Hyperlink"/>
            <w:rFonts w:ascii="Arial" w:hAnsi="Arial" w:cs="Arial"/>
            <w:sz w:val="24"/>
            <w:szCs w:val="24"/>
            <w:lang w:val="en-US"/>
          </w:rPr>
          <w:t>https://web-b-ebscohost-com.ezproxy.uwtsd.ac.uk/ehost/pdfviewer/pdfviewer?vid=1&amp;sid=52877355-aadd-44c8-b2e8-5397a13f7508%40pdc-v-sessmgr05</w:t>
        </w:r>
      </w:hyperlink>
      <w:r w:rsidRPr="00557808">
        <w:rPr>
          <w:rFonts w:ascii="Arial" w:hAnsi="Arial" w:cs="Arial"/>
          <w:sz w:val="24"/>
          <w:szCs w:val="24"/>
          <w:lang w:val="en-US"/>
        </w:rPr>
        <w:t>. Accessed on 03/01/2019</w:t>
      </w:r>
    </w:p>
    <w:p w14:paraId="3118455B" w14:textId="132730DF" w:rsidR="00642ED7" w:rsidRDefault="00642ED7" w:rsidP="00953AFB">
      <w:pPr>
        <w:pStyle w:val="ListParagraph"/>
        <w:numPr>
          <w:ilvl w:val="0"/>
          <w:numId w:val="3"/>
        </w:numPr>
        <w:rPr>
          <w:rFonts w:ascii="Arial" w:hAnsi="Arial" w:cs="Arial"/>
          <w:sz w:val="24"/>
          <w:szCs w:val="24"/>
          <w:lang w:val="en-US"/>
        </w:rPr>
      </w:pPr>
      <w:r>
        <w:rPr>
          <w:rFonts w:ascii="Arial" w:hAnsi="Arial" w:cs="Arial"/>
          <w:sz w:val="24"/>
          <w:szCs w:val="24"/>
          <w:lang w:val="en-US"/>
        </w:rPr>
        <w:t>Greg</w:t>
      </w:r>
      <w:r w:rsidR="00A82F73">
        <w:rPr>
          <w:rFonts w:ascii="Arial" w:hAnsi="Arial" w:cs="Arial"/>
          <w:sz w:val="24"/>
          <w:szCs w:val="24"/>
          <w:lang w:val="en-US"/>
        </w:rPr>
        <w:t>orio, M. (2012) Strict liability for the escape of fire after Stannard v Gore. Available online at:</w:t>
      </w:r>
      <w:r w:rsidR="00D626EA">
        <w:rPr>
          <w:rFonts w:ascii="Arial" w:hAnsi="Arial" w:cs="Arial"/>
          <w:sz w:val="24"/>
          <w:szCs w:val="24"/>
          <w:lang w:val="en-US"/>
        </w:rPr>
        <w:t xml:space="preserve"> </w:t>
      </w:r>
      <w:hyperlink r:id="rId10" w:history="1">
        <w:r w:rsidR="00D626EA" w:rsidRPr="00420C99">
          <w:rPr>
            <w:rStyle w:val="Hyperlink"/>
            <w:rFonts w:ascii="Arial" w:hAnsi="Arial" w:cs="Arial"/>
            <w:sz w:val="24"/>
            <w:szCs w:val="24"/>
            <w:lang w:val="en-US"/>
          </w:rPr>
          <w:t>http://constructionblog.practicallaw.com/strict-liability-for-the-escape-of-fire-after-stannard-v-gore/</w:t>
        </w:r>
      </w:hyperlink>
      <w:r w:rsidR="00D626EA">
        <w:rPr>
          <w:rFonts w:ascii="Arial" w:hAnsi="Arial" w:cs="Arial"/>
          <w:sz w:val="24"/>
          <w:szCs w:val="24"/>
          <w:lang w:val="en-US"/>
        </w:rPr>
        <w:t>. Accessed 10/01/2019</w:t>
      </w:r>
    </w:p>
    <w:p w14:paraId="618A9109" w14:textId="0FBEAEDC" w:rsidR="00141A53" w:rsidRPr="00557808" w:rsidRDefault="00141A53" w:rsidP="00953AFB">
      <w:pPr>
        <w:pStyle w:val="ListParagraph"/>
        <w:numPr>
          <w:ilvl w:val="0"/>
          <w:numId w:val="3"/>
        </w:numPr>
        <w:rPr>
          <w:rFonts w:ascii="Arial" w:hAnsi="Arial" w:cs="Arial"/>
          <w:sz w:val="24"/>
          <w:szCs w:val="24"/>
          <w:lang w:val="en-US"/>
        </w:rPr>
      </w:pPr>
      <w:r>
        <w:rPr>
          <w:rFonts w:ascii="Arial" w:hAnsi="Arial" w:cs="Arial"/>
          <w:sz w:val="24"/>
          <w:szCs w:val="24"/>
          <w:lang w:val="en-US"/>
        </w:rPr>
        <w:t>Bohlen, F. (1911)</w:t>
      </w:r>
      <w:r w:rsidR="00082220">
        <w:rPr>
          <w:rFonts w:ascii="Arial" w:hAnsi="Arial" w:cs="Arial"/>
          <w:sz w:val="24"/>
          <w:szCs w:val="24"/>
          <w:lang w:val="en-US"/>
        </w:rPr>
        <w:t xml:space="preserve"> the rule in rylands v fletcher. Available online at:</w:t>
      </w:r>
      <w:r w:rsidR="00082220" w:rsidRPr="00082220">
        <w:t xml:space="preserve"> </w:t>
      </w:r>
      <w:hyperlink r:id="rId11" w:history="1">
        <w:r w:rsidR="00082220" w:rsidRPr="00420C99">
          <w:rPr>
            <w:rStyle w:val="Hyperlink"/>
            <w:rFonts w:ascii="Arial" w:hAnsi="Arial" w:cs="Arial"/>
            <w:sz w:val="24"/>
            <w:szCs w:val="24"/>
            <w:lang w:val="en-US"/>
          </w:rPr>
          <w:t>https://scholarship.law.upenn.edu/cgi/viewcontent.cgi?article=7183&amp;context=penn_law_review</w:t>
        </w:r>
      </w:hyperlink>
      <w:r w:rsidR="00082220">
        <w:rPr>
          <w:rFonts w:ascii="Arial" w:hAnsi="Arial" w:cs="Arial"/>
          <w:sz w:val="24"/>
          <w:szCs w:val="24"/>
          <w:lang w:val="en-US"/>
        </w:rPr>
        <w:t>. Accessed on 10/01/2019</w:t>
      </w:r>
    </w:p>
    <w:p w14:paraId="18845365" w14:textId="77777777" w:rsidR="00953AFB" w:rsidRPr="00584220" w:rsidRDefault="00953AFB">
      <w:pPr>
        <w:rPr>
          <w:b/>
          <w:u w:val="single"/>
        </w:rPr>
      </w:pPr>
    </w:p>
    <w:sectPr w:rsidR="00953AFB" w:rsidRPr="00584220">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DC7C4D" w14:textId="77777777" w:rsidR="00AD631B" w:rsidRDefault="00AD631B" w:rsidP="00584220">
      <w:pPr>
        <w:spacing w:after="0" w:line="240" w:lineRule="auto"/>
      </w:pPr>
      <w:r>
        <w:separator/>
      </w:r>
    </w:p>
  </w:endnote>
  <w:endnote w:type="continuationSeparator" w:id="0">
    <w:p w14:paraId="210A08BC" w14:textId="77777777" w:rsidR="00AD631B" w:rsidRDefault="00AD631B" w:rsidP="00584220">
      <w:pPr>
        <w:spacing w:after="0" w:line="240" w:lineRule="auto"/>
      </w:pPr>
      <w:r>
        <w:continuationSeparator/>
      </w:r>
    </w:p>
  </w:endnote>
  <w:endnote w:type="continuationNotice" w:id="1">
    <w:p w14:paraId="5F41166C" w14:textId="77777777" w:rsidR="00AD631B" w:rsidRDefault="00AD631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3C138E" w14:textId="77777777" w:rsidR="00AD631B" w:rsidRDefault="00AD631B" w:rsidP="00584220">
      <w:pPr>
        <w:spacing w:after="0" w:line="240" w:lineRule="auto"/>
      </w:pPr>
      <w:r>
        <w:separator/>
      </w:r>
    </w:p>
  </w:footnote>
  <w:footnote w:type="continuationSeparator" w:id="0">
    <w:p w14:paraId="37478783" w14:textId="77777777" w:rsidR="00AD631B" w:rsidRDefault="00AD631B" w:rsidP="00584220">
      <w:pPr>
        <w:spacing w:after="0" w:line="240" w:lineRule="auto"/>
      </w:pPr>
      <w:r>
        <w:continuationSeparator/>
      </w:r>
    </w:p>
  </w:footnote>
  <w:footnote w:type="continuationNotice" w:id="1">
    <w:p w14:paraId="345F59E5" w14:textId="77777777" w:rsidR="00AD631B" w:rsidRDefault="00AD631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89F312" w14:textId="3A3EAEBA" w:rsidR="00B659BD" w:rsidRDefault="00B659BD">
    <w:pPr>
      <w:pStyle w:val="Header"/>
    </w:pPr>
    <w:r>
      <w:t>P151235</w:t>
    </w:r>
  </w:p>
  <w:p w14:paraId="11C1FB8D" w14:textId="499A43FC" w:rsidR="00B659BD" w:rsidRDefault="00B659BD">
    <w:pPr>
      <w:pStyle w:val="Header"/>
    </w:pPr>
    <w:r>
      <w:t>Tort Law – Assignment Two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55247"/>
    <w:multiLevelType w:val="hybridMultilevel"/>
    <w:tmpl w:val="B2608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79716C"/>
    <w:multiLevelType w:val="hybridMultilevel"/>
    <w:tmpl w:val="0C9040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7AB5506"/>
    <w:multiLevelType w:val="hybridMultilevel"/>
    <w:tmpl w:val="4312778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A134D3D"/>
    <w:multiLevelType w:val="hybridMultilevel"/>
    <w:tmpl w:val="A31E600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220"/>
    <w:rsid w:val="000146B5"/>
    <w:rsid w:val="0002117E"/>
    <w:rsid w:val="000548A5"/>
    <w:rsid w:val="00082220"/>
    <w:rsid w:val="000A3BA0"/>
    <w:rsid w:val="000D2B37"/>
    <w:rsid w:val="000E1EE2"/>
    <w:rsid w:val="000E7455"/>
    <w:rsid w:val="00112F3D"/>
    <w:rsid w:val="00114719"/>
    <w:rsid w:val="001258BB"/>
    <w:rsid w:val="00141A53"/>
    <w:rsid w:val="001A319F"/>
    <w:rsid w:val="001C026C"/>
    <w:rsid w:val="001D7E7B"/>
    <w:rsid w:val="0020079F"/>
    <w:rsid w:val="00233441"/>
    <w:rsid w:val="00277E2E"/>
    <w:rsid w:val="00280F90"/>
    <w:rsid w:val="00287F01"/>
    <w:rsid w:val="00295255"/>
    <w:rsid w:val="002C1853"/>
    <w:rsid w:val="002C3680"/>
    <w:rsid w:val="002C62B6"/>
    <w:rsid w:val="002D43C2"/>
    <w:rsid w:val="002E0C5C"/>
    <w:rsid w:val="003011C4"/>
    <w:rsid w:val="00314A86"/>
    <w:rsid w:val="00330DFF"/>
    <w:rsid w:val="003353F2"/>
    <w:rsid w:val="00353358"/>
    <w:rsid w:val="00360B2C"/>
    <w:rsid w:val="00374F0B"/>
    <w:rsid w:val="00386CEB"/>
    <w:rsid w:val="00387E9A"/>
    <w:rsid w:val="00393C64"/>
    <w:rsid w:val="003946E8"/>
    <w:rsid w:val="003A4FB7"/>
    <w:rsid w:val="003B67A0"/>
    <w:rsid w:val="004250F6"/>
    <w:rsid w:val="0042796D"/>
    <w:rsid w:val="00492DE0"/>
    <w:rsid w:val="004D7AE8"/>
    <w:rsid w:val="004E4945"/>
    <w:rsid w:val="005075C6"/>
    <w:rsid w:val="0051419D"/>
    <w:rsid w:val="00530463"/>
    <w:rsid w:val="00534B74"/>
    <w:rsid w:val="00561668"/>
    <w:rsid w:val="00584220"/>
    <w:rsid w:val="00597616"/>
    <w:rsid w:val="005A6FCF"/>
    <w:rsid w:val="005B591C"/>
    <w:rsid w:val="005C0B20"/>
    <w:rsid w:val="005E458B"/>
    <w:rsid w:val="005E6F02"/>
    <w:rsid w:val="00612E73"/>
    <w:rsid w:val="00613CA9"/>
    <w:rsid w:val="00642ED7"/>
    <w:rsid w:val="006841F1"/>
    <w:rsid w:val="00687EF1"/>
    <w:rsid w:val="006A670F"/>
    <w:rsid w:val="006B2894"/>
    <w:rsid w:val="006B3E18"/>
    <w:rsid w:val="006C1F12"/>
    <w:rsid w:val="006C5015"/>
    <w:rsid w:val="006F24C6"/>
    <w:rsid w:val="006F78C7"/>
    <w:rsid w:val="00706D1C"/>
    <w:rsid w:val="00712045"/>
    <w:rsid w:val="00754529"/>
    <w:rsid w:val="00767843"/>
    <w:rsid w:val="0078369D"/>
    <w:rsid w:val="00792173"/>
    <w:rsid w:val="00792DED"/>
    <w:rsid w:val="007B6C01"/>
    <w:rsid w:val="007C20B2"/>
    <w:rsid w:val="007D2E76"/>
    <w:rsid w:val="007F2297"/>
    <w:rsid w:val="007F7BF5"/>
    <w:rsid w:val="00826CD5"/>
    <w:rsid w:val="00852FDE"/>
    <w:rsid w:val="008B4336"/>
    <w:rsid w:val="008B7D84"/>
    <w:rsid w:val="008F1638"/>
    <w:rsid w:val="008F7B0A"/>
    <w:rsid w:val="00901098"/>
    <w:rsid w:val="0090766E"/>
    <w:rsid w:val="00916F92"/>
    <w:rsid w:val="00953AFB"/>
    <w:rsid w:val="0097058C"/>
    <w:rsid w:val="0097538F"/>
    <w:rsid w:val="00983B59"/>
    <w:rsid w:val="00990056"/>
    <w:rsid w:val="009901B0"/>
    <w:rsid w:val="009C3254"/>
    <w:rsid w:val="00A017DB"/>
    <w:rsid w:val="00A05F01"/>
    <w:rsid w:val="00A27E21"/>
    <w:rsid w:val="00A33B81"/>
    <w:rsid w:val="00A82F73"/>
    <w:rsid w:val="00A865C4"/>
    <w:rsid w:val="00AA1C4B"/>
    <w:rsid w:val="00AA6E6D"/>
    <w:rsid w:val="00AB3770"/>
    <w:rsid w:val="00AD631B"/>
    <w:rsid w:val="00AE0259"/>
    <w:rsid w:val="00AE2C1E"/>
    <w:rsid w:val="00B10599"/>
    <w:rsid w:val="00B16CC1"/>
    <w:rsid w:val="00B32209"/>
    <w:rsid w:val="00B34B87"/>
    <w:rsid w:val="00B659BD"/>
    <w:rsid w:val="00B83310"/>
    <w:rsid w:val="00B838B1"/>
    <w:rsid w:val="00B8408D"/>
    <w:rsid w:val="00B9087A"/>
    <w:rsid w:val="00BB6FCE"/>
    <w:rsid w:val="00BC2213"/>
    <w:rsid w:val="00BE2C0E"/>
    <w:rsid w:val="00BF1068"/>
    <w:rsid w:val="00C008CA"/>
    <w:rsid w:val="00C33CDC"/>
    <w:rsid w:val="00C451E9"/>
    <w:rsid w:val="00C53FA5"/>
    <w:rsid w:val="00C64743"/>
    <w:rsid w:val="00C72233"/>
    <w:rsid w:val="00C7369E"/>
    <w:rsid w:val="00CB4D43"/>
    <w:rsid w:val="00CB5FAF"/>
    <w:rsid w:val="00CF5D6C"/>
    <w:rsid w:val="00D2305E"/>
    <w:rsid w:val="00D42B25"/>
    <w:rsid w:val="00D626EA"/>
    <w:rsid w:val="00D64EC6"/>
    <w:rsid w:val="00D82A55"/>
    <w:rsid w:val="00D977C1"/>
    <w:rsid w:val="00DB12BC"/>
    <w:rsid w:val="00DB3E64"/>
    <w:rsid w:val="00DB6AEC"/>
    <w:rsid w:val="00DB7FE0"/>
    <w:rsid w:val="00DE180D"/>
    <w:rsid w:val="00DE3D41"/>
    <w:rsid w:val="00DF4D82"/>
    <w:rsid w:val="00E03EF1"/>
    <w:rsid w:val="00E1761F"/>
    <w:rsid w:val="00E43E5B"/>
    <w:rsid w:val="00E44C5C"/>
    <w:rsid w:val="00E4583B"/>
    <w:rsid w:val="00E50D1D"/>
    <w:rsid w:val="00E55D9D"/>
    <w:rsid w:val="00E6735F"/>
    <w:rsid w:val="00E83C7E"/>
    <w:rsid w:val="00E948B3"/>
    <w:rsid w:val="00EA25B6"/>
    <w:rsid w:val="00EC2A98"/>
    <w:rsid w:val="00EF089F"/>
    <w:rsid w:val="00EF39FF"/>
    <w:rsid w:val="00F0285A"/>
    <w:rsid w:val="00F21AA3"/>
    <w:rsid w:val="00F36CDE"/>
    <w:rsid w:val="00F37A77"/>
    <w:rsid w:val="00F42F81"/>
    <w:rsid w:val="00F862CC"/>
    <w:rsid w:val="00FE6710"/>
    <w:rsid w:val="00FE73CD"/>
    <w:rsid w:val="00FF5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645CE"/>
  <w15:chartTrackingRefBased/>
  <w15:docId w15:val="{82ED1D5E-25E1-4331-B937-51F151E82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2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220"/>
  </w:style>
  <w:style w:type="paragraph" w:styleId="Footer">
    <w:name w:val="footer"/>
    <w:basedOn w:val="Normal"/>
    <w:link w:val="FooterChar"/>
    <w:uiPriority w:val="99"/>
    <w:unhideWhenUsed/>
    <w:rsid w:val="005842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220"/>
  </w:style>
  <w:style w:type="character" w:styleId="Hyperlink">
    <w:name w:val="Hyperlink"/>
    <w:basedOn w:val="DefaultParagraphFont"/>
    <w:uiPriority w:val="99"/>
    <w:unhideWhenUsed/>
    <w:rsid w:val="00534B74"/>
    <w:rPr>
      <w:color w:val="0000FF"/>
      <w:u w:val="single"/>
    </w:rPr>
  </w:style>
  <w:style w:type="paragraph" w:styleId="ListParagraph">
    <w:name w:val="List Paragraph"/>
    <w:basedOn w:val="Normal"/>
    <w:uiPriority w:val="34"/>
    <w:qFormat/>
    <w:rsid w:val="00B659BD"/>
    <w:pPr>
      <w:ind w:left="720"/>
      <w:contextualSpacing/>
    </w:pPr>
  </w:style>
  <w:style w:type="character" w:styleId="UnresolvedMention">
    <w:name w:val="Unresolved Mention"/>
    <w:basedOn w:val="DefaultParagraphFont"/>
    <w:uiPriority w:val="99"/>
    <w:semiHidden/>
    <w:unhideWhenUsed/>
    <w:rsid w:val="00D626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i.co.uk/fact-files/law-and-regulation/recent-developments-in-tort-nuisance-strict-liabiliti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duhaime.org/LegalDictionary/P/PrimaFacie.aspx"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ship.law.upenn.edu/cgi/viewcontent.cgi?article=7183&amp;context=penn_law_review" TargetMode="External"/><Relationship Id="rId5" Type="http://schemas.openxmlformats.org/officeDocument/2006/relationships/footnotes" Target="footnotes.xml"/><Relationship Id="rId10" Type="http://schemas.openxmlformats.org/officeDocument/2006/relationships/hyperlink" Target="http://constructionblog.practicallaw.com/strict-liability-for-the-escape-of-fire-after-stannard-v-gore/" TargetMode="External"/><Relationship Id="rId4" Type="http://schemas.openxmlformats.org/officeDocument/2006/relationships/webSettings" Target="webSettings.xml"/><Relationship Id="rId9" Type="http://schemas.openxmlformats.org/officeDocument/2006/relationships/hyperlink" Target="https://web-b-ebscohost-com.ezproxy.uwtsd.ac.uk/ehost/pdfviewer/pdfviewer?vid=1&amp;sid=52877355-aadd-44c8-b2e8-5397a13f7508%40pdc-v-sessmgr0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1999</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13368</CharactersWithSpaces>
  <SharedDoc>false</SharedDoc>
  <HLinks>
    <vt:vector size="18" baseType="variant">
      <vt:variant>
        <vt:i4>6619245</vt:i4>
      </vt:variant>
      <vt:variant>
        <vt:i4>6</vt:i4>
      </vt:variant>
      <vt:variant>
        <vt:i4>0</vt:i4>
      </vt:variant>
      <vt:variant>
        <vt:i4>5</vt:i4>
      </vt:variant>
      <vt:variant>
        <vt:lpwstr>https://web-b-ebscohost-com.ezproxy.uwtsd.ac.uk/ehost/pdfviewer/pdfviewer?vid=1&amp;sid=52877355-aadd-44c8-b2e8-5397a13f7508%40pdc-v-sessmgr05</vt:lpwstr>
      </vt:variant>
      <vt:variant>
        <vt:lpwstr/>
      </vt:variant>
      <vt:variant>
        <vt:i4>1900634</vt:i4>
      </vt:variant>
      <vt:variant>
        <vt:i4>3</vt:i4>
      </vt:variant>
      <vt:variant>
        <vt:i4>0</vt:i4>
      </vt:variant>
      <vt:variant>
        <vt:i4>5</vt:i4>
      </vt:variant>
      <vt:variant>
        <vt:lpwstr>https://www.cii.co.uk/fact-files/law-and-regulation/recent-developments-in-tort-nuisance-strict-liabilities/</vt:lpwstr>
      </vt:variant>
      <vt:variant>
        <vt:lpwstr/>
      </vt:variant>
      <vt:variant>
        <vt:i4>720962</vt:i4>
      </vt:variant>
      <vt:variant>
        <vt:i4>0</vt:i4>
      </vt:variant>
      <vt:variant>
        <vt:i4>0</vt:i4>
      </vt:variant>
      <vt:variant>
        <vt:i4>5</vt:i4>
      </vt:variant>
      <vt:variant>
        <vt:lpwstr>http://www.duhaime.org/LegalDictionary/P/PrimaFacie.aspx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byard</dc:creator>
  <cp:keywords/>
  <dc:description/>
  <cp:lastModifiedBy>steven byard</cp:lastModifiedBy>
  <cp:revision>2</cp:revision>
  <dcterms:created xsi:type="dcterms:W3CDTF">2019-01-18T02:11:00Z</dcterms:created>
  <dcterms:modified xsi:type="dcterms:W3CDTF">2019-01-18T02:11:00Z</dcterms:modified>
</cp:coreProperties>
</file>