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9FAE1" w14:textId="77777777" w:rsidR="00DB2779" w:rsidRPr="00DB2779" w:rsidRDefault="00DB2779" w:rsidP="00DB2779">
      <w:pPr>
        <w:keepNext/>
        <w:keepLines/>
        <w:spacing w:before="240" w:after="0"/>
        <w:outlineLvl w:val="0"/>
        <w:rPr>
          <w:rFonts w:asciiTheme="majorHAnsi" w:eastAsiaTheme="majorEastAsia" w:hAnsiTheme="majorHAnsi" w:cstheme="majorBidi"/>
          <w:b/>
          <w:bCs/>
          <w:color w:val="2F5496" w:themeColor="accent1" w:themeShade="BF"/>
          <w:sz w:val="32"/>
          <w:szCs w:val="32"/>
        </w:rPr>
      </w:pPr>
      <w:r w:rsidRPr="00DB2779">
        <w:rPr>
          <w:rFonts w:asciiTheme="majorHAnsi" w:eastAsiaTheme="majorEastAsia" w:hAnsiTheme="majorHAnsi" w:cstheme="majorBidi"/>
          <w:b/>
          <w:bCs/>
          <w:color w:val="2F5496" w:themeColor="accent1" w:themeShade="BF"/>
          <w:sz w:val="32"/>
          <w:szCs w:val="32"/>
        </w:rPr>
        <w:t>Employment Relationship Management Luminita Somicu 2000484</w:t>
      </w:r>
    </w:p>
    <w:p w14:paraId="5C0A849F" w14:textId="77777777" w:rsidR="00DB2779" w:rsidRPr="00DB2779" w:rsidRDefault="00DB2779" w:rsidP="00DB2779">
      <w:pPr>
        <w:spacing w:line="276" w:lineRule="auto"/>
        <w:rPr>
          <w:rFonts w:ascii="Times New Roman" w:hAnsi="Times New Roman" w:cs="Times New Roman"/>
          <w:sz w:val="24"/>
          <w:szCs w:val="24"/>
        </w:rPr>
      </w:pPr>
    </w:p>
    <w:p w14:paraId="1A8E9D68" w14:textId="77777777" w:rsidR="00DB2779" w:rsidRPr="00DB2779" w:rsidRDefault="00DB2779" w:rsidP="00DB2779">
      <w:pPr>
        <w:keepNext/>
        <w:keepLines/>
        <w:spacing w:before="40" w:after="0" w:line="276" w:lineRule="auto"/>
        <w:outlineLvl w:val="1"/>
        <w:rPr>
          <w:rFonts w:ascii="Times New Roman" w:eastAsiaTheme="majorEastAsia" w:hAnsi="Times New Roman" w:cs="Times New Roman"/>
          <w:b/>
          <w:bCs/>
          <w:color w:val="2F5496" w:themeColor="accent1" w:themeShade="BF"/>
          <w:sz w:val="24"/>
          <w:szCs w:val="24"/>
        </w:rPr>
      </w:pPr>
      <w:r w:rsidRPr="00DB2779">
        <w:rPr>
          <w:rFonts w:ascii="Times New Roman" w:eastAsiaTheme="majorEastAsia" w:hAnsi="Times New Roman" w:cs="Times New Roman"/>
          <w:b/>
          <w:bCs/>
          <w:color w:val="2F5496" w:themeColor="accent1" w:themeShade="BF"/>
          <w:sz w:val="24"/>
          <w:szCs w:val="24"/>
        </w:rPr>
        <w:t>Section One</w:t>
      </w:r>
    </w:p>
    <w:p w14:paraId="6C3969DB"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This section of the report aims to educate Go Quest's management on methods to encourage employee participation in decision-making. </w:t>
      </w:r>
    </w:p>
    <w:p w14:paraId="719EF6E8" w14:textId="77777777" w:rsidR="00DB2779" w:rsidRPr="00DB2779" w:rsidRDefault="00DB2779" w:rsidP="00DB2779">
      <w:pPr>
        <w:spacing w:line="276" w:lineRule="auto"/>
        <w:rPr>
          <w:rFonts w:ascii="Times New Roman" w:hAnsi="Times New Roman" w:cs="Times New Roman"/>
          <w:sz w:val="24"/>
          <w:szCs w:val="24"/>
        </w:rPr>
      </w:pPr>
    </w:p>
    <w:p w14:paraId="7A732853" w14:textId="77777777" w:rsidR="00DB2779" w:rsidRPr="00DB2779" w:rsidRDefault="00DB2779" w:rsidP="00DB2779">
      <w:pPr>
        <w:spacing w:after="0" w:line="276" w:lineRule="auto"/>
        <w:jc w:val="both"/>
        <w:rPr>
          <w:rFonts w:ascii="Times New Roman" w:hAnsi="Times New Roman" w:cs="Times New Roman"/>
          <w:b/>
          <w:bCs/>
          <w:sz w:val="24"/>
          <w:szCs w:val="24"/>
        </w:rPr>
      </w:pPr>
      <w:r w:rsidRPr="00DB2779">
        <w:rPr>
          <w:rFonts w:ascii="Times New Roman" w:hAnsi="Times New Roman" w:cs="Times New Roman"/>
          <w:b/>
          <w:bCs/>
          <w:sz w:val="24"/>
          <w:szCs w:val="24"/>
        </w:rPr>
        <w:t xml:space="preserve">Q1/AC1.1 </w:t>
      </w:r>
    </w:p>
    <w:p w14:paraId="2EDEF6B5"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The way employees experience work, is undergoing a significant transformation. This shift, demands a re-evaluation of how organisations approach employee voice and engagement. Several key emerging trends are as following:</w:t>
      </w:r>
    </w:p>
    <w:p w14:paraId="3AAB4FA7"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Technology plays a central role with its digital tools like internal social networks and online communities; it creates a new avenue for real-time communication, idea sharing and feedback. This promotes a sense of belonging and empowers employees to have a more direct voice. Thus, a focus on wellbeing is crucial (CIPD, 2023). Engagement now encompasses mental health and work-life balance, requiring a change from over-engagement to sustainable work practices to prevent burnout (Suff, 2023). </w:t>
      </w:r>
    </w:p>
    <w:p w14:paraId="591B8199"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The rise of remote work and the gig economy pose new challenges. Remote workers may feel less connected and have unique concerns. Similarly, gig workers often lack traditional channels for feedback. Organisations need to adapt their voice strategies to be inclusive and capture the perspectives of this growing segment of the workforce (Dunn, 2020).</w:t>
      </w:r>
    </w:p>
    <w:p w14:paraId="0F47B2D0"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Furthermore, fostering a speak-up culture is essential. Employees must feel comfortable raising concerns and offering suggestions without fear of retribution. Creating a psychologically safe environment where voices are respected is key (Edmondson, 2018).</w:t>
      </w:r>
    </w:p>
    <w:p w14:paraId="4CA37C13"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Legal and ethical considerations are evolving as well. Emphasis of whistleblower protections and anonymous reporting options is growing (CIPD, 2024). Employee voice is increasingly seen as a maker of job quality, impacting talent acquisition and retention (Young, 2024).</w:t>
      </w:r>
    </w:p>
    <w:p w14:paraId="36DBCCAE"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Finally, the traditional reliance on surveys is giving way to more direct and ongoing conversations. Social media offers a powerful platform for employee voice, but organisations need to manage privacy and reputational risks (CIPD, 2013). Importantly, a strong link exists between employee voice, engagement, and wellbeing. Organisations that effectively listen to their workforce and act on feedback, can cultivate a more positive, productive and ultimately successful work environment (Waite et al., 2021).</w:t>
      </w:r>
    </w:p>
    <w:p w14:paraId="2947F8A4" w14:textId="77777777" w:rsidR="00DB2779" w:rsidRPr="00DB2779" w:rsidRDefault="00DB2779" w:rsidP="00DB2779">
      <w:pPr>
        <w:spacing w:line="276" w:lineRule="auto"/>
        <w:jc w:val="both"/>
        <w:rPr>
          <w:rFonts w:ascii="Times New Roman" w:hAnsi="Times New Roman" w:cs="Times New Roman"/>
          <w:sz w:val="24"/>
          <w:szCs w:val="24"/>
        </w:rPr>
      </w:pPr>
    </w:p>
    <w:p w14:paraId="491A85B7" w14:textId="77777777" w:rsidR="00DB2779" w:rsidRPr="00DB2779" w:rsidRDefault="00DB2779" w:rsidP="00DB2779">
      <w:pPr>
        <w:spacing w:after="0" w:line="276" w:lineRule="auto"/>
        <w:jc w:val="both"/>
        <w:rPr>
          <w:rFonts w:ascii="Times New Roman" w:hAnsi="Times New Roman" w:cs="Times New Roman"/>
          <w:b/>
          <w:bCs/>
          <w:sz w:val="24"/>
          <w:szCs w:val="24"/>
        </w:rPr>
      </w:pPr>
      <w:r w:rsidRPr="00DB2779">
        <w:rPr>
          <w:rFonts w:ascii="Times New Roman" w:hAnsi="Times New Roman" w:cs="Times New Roman"/>
          <w:b/>
          <w:bCs/>
          <w:sz w:val="24"/>
          <w:szCs w:val="24"/>
        </w:rPr>
        <w:t xml:space="preserve">Q2/AC1.2 </w:t>
      </w:r>
    </w:p>
    <w:p w14:paraId="1988AB07"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Employee involvement and participation, as identified by Taylor and Woodhams (2016) as two main forms of employee voice, represent distinct approaches to engaging the workforce. Both contribute to a more collaborative and productive work environment, but the level and structure of that engagement differ significantly.</w:t>
      </w:r>
    </w:p>
    <w:p w14:paraId="2B15F473"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lastRenderedPageBreak/>
        <w:t>Employee involvement focuses on promoting a sense of ownership and contribution with employees. As such, management may introduce practices like email communications, briefings, suggestion schemes, and newsletters to directly gather ideas and cooperation from employees for improving immediate work processes and tasks. This aligns with the unitarist perspective, where shared goals lead to mutual benefits between employers and employees. Theories like Job Enrichment (Herzberg) highlight how increased involvement empowers employees with autonomy and control, boosting motivation (Bosley, 2023; Nikoloska, 2024).</w:t>
      </w:r>
    </w:p>
    <w:p w14:paraId="044FAF81"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Employees participation goes deeper, giving employees a direct influence on decision-making through their representatives. This could include voting on policies, representation on committees like joint consultation committees and employee forums, or even holding seats on the board. This aligns with the pluralist view, acknowledging diverse interest within the organisation and the need for negotiation and shared power. By doing so, employees feel a greater sense of responsibility for the company’s directions, fulfilling the need for competence, autonomy, and affiliation as outlined in Self-Determination Theory (Stone, Deci and Ryan, 2009).</w:t>
      </w:r>
    </w:p>
    <w:p w14:paraId="000CA589"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Both approaches build stronger relationships within the organisation as they open channels for feedback and suggestions, present in both involvement and participation, promoting trust and understanding between employers and employees. As a consequence, employees feel valued and empowered, therefore becoming more invested in the organisational success (CIPD, 2023a). </w:t>
      </w:r>
    </w:p>
    <w:p w14:paraId="003718B1" w14:textId="77777777" w:rsidR="00DB2779" w:rsidRPr="00DB2779" w:rsidRDefault="00DB2779" w:rsidP="00DB2779">
      <w:pPr>
        <w:spacing w:after="0" w:line="276" w:lineRule="auto"/>
        <w:jc w:val="both"/>
        <w:rPr>
          <w:rFonts w:ascii="Times New Roman" w:hAnsi="Times New Roman" w:cs="Times New Roman"/>
          <w:sz w:val="24"/>
          <w:szCs w:val="24"/>
        </w:rPr>
      </w:pPr>
    </w:p>
    <w:p w14:paraId="5CBB0050"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Additionally, contributing to decisions through representative structures, adopts a sense of ownership and collective responsibility, strengthening ties within the organisation. Ultimately, a successful business, understands that employee engagement is a spectrum and by implementing a balanced combination of involvement and participation, could unlock the full potential of their workforce (Young, 2023).</w:t>
      </w:r>
    </w:p>
    <w:p w14:paraId="0D07E589" w14:textId="77777777" w:rsidR="00DB2779" w:rsidRPr="00DB2779" w:rsidRDefault="00DB2779" w:rsidP="00DB2779">
      <w:pPr>
        <w:spacing w:line="276" w:lineRule="auto"/>
        <w:jc w:val="both"/>
        <w:rPr>
          <w:rFonts w:ascii="Times New Roman" w:hAnsi="Times New Roman" w:cs="Times New Roman"/>
          <w:sz w:val="24"/>
          <w:szCs w:val="24"/>
        </w:rPr>
      </w:pPr>
    </w:p>
    <w:p w14:paraId="02FD697A" w14:textId="77777777" w:rsidR="00DB2779" w:rsidRPr="00DB2779" w:rsidRDefault="00DB2779" w:rsidP="00DB2779">
      <w:pPr>
        <w:spacing w:after="0" w:line="276" w:lineRule="auto"/>
        <w:jc w:val="both"/>
        <w:rPr>
          <w:rFonts w:ascii="Times New Roman" w:hAnsi="Times New Roman" w:cs="Times New Roman"/>
          <w:b/>
          <w:bCs/>
          <w:sz w:val="24"/>
          <w:szCs w:val="24"/>
        </w:rPr>
      </w:pPr>
      <w:r w:rsidRPr="00DB2779">
        <w:rPr>
          <w:rFonts w:ascii="Times New Roman" w:hAnsi="Times New Roman" w:cs="Times New Roman"/>
          <w:b/>
          <w:bCs/>
          <w:sz w:val="24"/>
          <w:szCs w:val="24"/>
        </w:rPr>
        <w:t xml:space="preserve">Q3/AC1.3 </w:t>
      </w:r>
    </w:p>
    <w:p w14:paraId="4EC42358"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A successful employee engagement strategy utilises a combination of tools and approaches that can significantly drive engagement and empower employees to voice their opinions and feel valued. </w:t>
      </w:r>
    </w:p>
    <w:p w14:paraId="558CBF63"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Firstly, tools like pulse surveys offer a quick and efficient way to gather real-time feedback. These short, focused surveys can gauge how an employee feels about specific topics, from workload to recent changes. Their briefness encourages high participation rates, allowing managers to identify emerging issues before they escalate (Butcher, 2023). However, the lack of in-depth feedback can limit their usefulness.</w:t>
      </w:r>
    </w:p>
    <w:p w14:paraId="13971056"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Team meetings, when structured effectively, could be another powerful tool. Scheduled meetings with a clear agenda and dedicated time for open discussion promote team cohesion and psychological safety. This allows employees to voice concerns, seek clarification and collaborate on solutions (Young and Gifford, 2023). The downside is the potential for dominant personalities to overshadow quieter colleagues. Additionally, sensitive topics might require a different forum if trust within the team has not been fully established.</w:t>
      </w:r>
    </w:p>
    <w:p w14:paraId="255A5EC7"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lastRenderedPageBreak/>
        <w:t xml:space="preserve">Finally, anonymous online employee forums provide a platform for ongoing communication. These forums allow geographically dispersed teams to share ideas and offer feedback on various topics. The anonymity option encourages participation on sensitive issues, fostering a space for knowledge sharing and open dialogue. However, a lack of moderation could lead to misinformation or the spread of negativity (CIPD, 2013). </w:t>
      </w:r>
    </w:p>
    <w:p w14:paraId="16F2C03A"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Beyond specific tools, two predominant approaches can significantly enhance employee engagement. Transparency is key. Organisations that openly share information about the company goals, finances, and decision-making processes, demonstrate trust in their employees. Furthermore, following up on employee feedback with concrete actions demonstrates that their voices matter (Harter, 2017).</w:t>
      </w:r>
    </w:p>
    <w:p w14:paraId="79C532EE"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Secondly, recognition and reward programs acknowledge and celebrate employee contributions. Formal programs can publicly recognise achievements, whilst informal recognition from managers can create a sense of accomplishment (Bridger, 2018). Both approaches motivate continued engagement and foster a positive work environment. </w:t>
      </w:r>
    </w:p>
    <w:p w14:paraId="1D3FC7B4"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Organisations that invest heavily in programs to create a culture of open communication, psychological safety and recognitions, would stand out in their approach to employee engagement.</w:t>
      </w:r>
    </w:p>
    <w:p w14:paraId="32DD05F4" w14:textId="77777777" w:rsidR="00DB2779" w:rsidRPr="00DB2779" w:rsidRDefault="00DB2779" w:rsidP="00DB2779">
      <w:pPr>
        <w:spacing w:line="276" w:lineRule="auto"/>
        <w:jc w:val="both"/>
        <w:rPr>
          <w:rFonts w:ascii="Times New Roman" w:hAnsi="Times New Roman" w:cs="Times New Roman"/>
          <w:sz w:val="24"/>
          <w:szCs w:val="24"/>
        </w:rPr>
      </w:pPr>
    </w:p>
    <w:p w14:paraId="643A3901" w14:textId="77777777" w:rsidR="00DB2779" w:rsidRPr="00DB2779" w:rsidRDefault="00DB2779" w:rsidP="00DB2779">
      <w:pPr>
        <w:spacing w:after="0" w:line="276" w:lineRule="auto"/>
        <w:jc w:val="both"/>
        <w:rPr>
          <w:rFonts w:ascii="Times New Roman" w:hAnsi="Times New Roman" w:cs="Times New Roman"/>
          <w:b/>
          <w:bCs/>
          <w:sz w:val="24"/>
          <w:szCs w:val="24"/>
        </w:rPr>
      </w:pPr>
      <w:r w:rsidRPr="00DB2779">
        <w:rPr>
          <w:rFonts w:ascii="Times New Roman" w:hAnsi="Times New Roman" w:cs="Times New Roman"/>
          <w:b/>
          <w:bCs/>
          <w:sz w:val="24"/>
          <w:szCs w:val="24"/>
        </w:rPr>
        <w:t xml:space="preserve">Q4/AC1.4 </w:t>
      </w:r>
    </w:p>
    <w:p w14:paraId="28A9D3A0" w14:textId="77777777" w:rsidR="00DB2779" w:rsidRPr="00DB2779" w:rsidRDefault="00DB2779" w:rsidP="00DB2779">
      <w:pPr>
        <w:spacing w:after="0" w:line="276" w:lineRule="auto"/>
        <w:jc w:val="both"/>
        <w:rPr>
          <w:rFonts w:ascii="Times New Roman" w:hAnsi="Times New Roman" w:cs="Times New Roman"/>
          <w:b/>
          <w:bCs/>
          <w:sz w:val="24"/>
          <w:szCs w:val="24"/>
        </w:rPr>
      </w:pPr>
      <w:r w:rsidRPr="00DB2779">
        <w:rPr>
          <w:rFonts w:ascii="Times New Roman" w:hAnsi="Times New Roman" w:cs="Times New Roman"/>
          <w:sz w:val="24"/>
          <w:szCs w:val="24"/>
        </w:rPr>
        <w:t>Employee voice, the ability of employees to express ideas and concerns, plays a critical role organisational performance (OP).</w:t>
      </w:r>
    </w:p>
    <w:p w14:paraId="1628690F"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From a theoretical perspective, High-Performance Work Practices (HPWPs) suggest that employee voice (EV) mechanisms empower employees, leading to increased engagement and problem-solving (Guest, 2017). EV can also contribute to positive employee attitudes and wellbeing by promoting a sense of ownership and control over work. This, in turn, has been shown to lead to improved performance (Ogbonnaya and Valizade, 2018). </w:t>
      </w:r>
    </w:p>
    <w:p w14:paraId="27532650" w14:textId="77777777" w:rsidR="00DB2779" w:rsidRPr="00DB2779" w:rsidRDefault="00DB2779" w:rsidP="00DB2779">
      <w:pPr>
        <w:spacing w:after="0" w:line="276" w:lineRule="auto"/>
        <w:jc w:val="both"/>
        <w:rPr>
          <w:rFonts w:ascii="Times New Roman" w:hAnsi="Times New Roman" w:cs="Times New Roman"/>
          <w:sz w:val="24"/>
          <w:szCs w:val="24"/>
        </w:rPr>
      </w:pPr>
    </w:p>
    <w:p w14:paraId="3BF197F1"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Empowerment Theory further argues that a sense of control fosters motivation and a stronger commitment to responsibility for OP (Monje-Amor et al., 2021). Studies by Forbes and Gallup demonstrate a clear correlation between employee voice, engagement and positive performance outcomes like profitability and customer satisfaction (Sorenson, 2023; Towers-Clark, 2023). </w:t>
      </w:r>
    </w:p>
    <w:p w14:paraId="3E5EB9F7"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Real-world examples illustrate this dynamic. Zappos, with its strong employee voice culture, encourages contribution through various channels. This has led to innovative solutions that have demonstrated improved customer service and streamlined processes (Culture Partners, 2024). </w:t>
      </w:r>
    </w:p>
    <w:p w14:paraId="53110229"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Further supporting this positive impact of employee voice, Bryson et al. (2015) found that workplaces which encourages specific forms of voice, like suggestions and open communication, experience less conflict and higher productivity. This aligns with the concept of HPWPs highlighted by Torrington et al. (2020) where employee voice is seen as a key element for a successful organisational strategy. These findings suggest that a well-designed and implemented voice system can not only improve performance but also create a more </w:t>
      </w:r>
      <w:r w:rsidRPr="00DB2779">
        <w:rPr>
          <w:rFonts w:ascii="Times New Roman" w:hAnsi="Times New Roman" w:cs="Times New Roman"/>
          <w:sz w:val="24"/>
          <w:szCs w:val="24"/>
        </w:rPr>
        <w:lastRenderedPageBreak/>
        <w:t xml:space="preserve">cohesive work environment. Additionally, recognising and rewarding valuable contributions through voice mechanisms reinforces positive behaviour and encourages continued participation (Broderick, 2023). </w:t>
      </w:r>
    </w:p>
    <w:p w14:paraId="4E8CB908"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There are, however, challenges to consider. OP is a complex construct with various contributing factors. Isolating the impact of employee voice can be challenging. Metrics like productivity or customer satisfaction might be influenced by external factors, making it difficult to establish a direct cause-and -effect relationship. Moreover, ineffective implementation, where feedback is not acted upon, can lead to employee cynicism and disengagement. Similarly, a culture where employees fear retribution for speaking up, stifles voice. As aforementioned, organisations must create a culture supportive leadership and psychological safety where open communication is encouraged (CIPD, no date; Noonan Hadley et al. 2023).</w:t>
      </w:r>
    </w:p>
    <w:p w14:paraId="07A35575" w14:textId="77777777" w:rsidR="00DB2779" w:rsidRPr="00DB2779" w:rsidRDefault="00DB2779" w:rsidP="00DB2779">
      <w:pPr>
        <w:spacing w:line="276" w:lineRule="auto"/>
        <w:jc w:val="both"/>
        <w:rPr>
          <w:rFonts w:ascii="Times New Roman" w:hAnsi="Times New Roman" w:cs="Times New Roman"/>
          <w:sz w:val="24"/>
          <w:szCs w:val="24"/>
        </w:rPr>
      </w:pPr>
    </w:p>
    <w:p w14:paraId="20120C0C" w14:textId="77777777" w:rsidR="00DB2779" w:rsidRPr="00DB2779" w:rsidRDefault="00DB2779" w:rsidP="00DB2779">
      <w:pPr>
        <w:spacing w:after="0" w:line="276" w:lineRule="auto"/>
        <w:jc w:val="both"/>
        <w:rPr>
          <w:rFonts w:ascii="Times New Roman" w:hAnsi="Times New Roman" w:cs="Times New Roman"/>
          <w:b/>
          <w:bCs/>
          <w:sz w:val="24"/>
          <w:szCs w:val="24"/>
        </w:rPr>
      </w:pPr>
      <w:r w:rsidRPr="00DB2779">
        <w:rPr>
          <w:rFonts w:ascii="Times New Roman" w:hAnsi="Times New Roman" w:cs="Times New Roman"/>
          <w:b/>
          <w:bCs/>
          <w:sz w:val="24"/>
          <w:szCs w:val="24"/>
        </w:rPr>
        <w:t xml:space="preserve">Q5/AC1.5 </w:t>
      </w:r>
    </w:p>
    <w:p w14:paraId="6F64F815"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The concept of better working life pivots on the notion of ‘good work’. This goes beyond simply earning a living; it includes a range of factors that contribute to an employee’s wellbeing and satisfaction. Good work can be broken down into two key areas: fair and decent work, and job quality.</w:t>
      </w:r>
    </w:p>
    <w:p w14:paraId="0F8E21A9"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Fair and decent work focuses on basic rights and protections, ensuring a safe and secure work environment with fair wages and the freedom to associate. Job quality explores further into characteristics of a fulfilling position, including competitive pay, benefits, opportunities for growth, and a healthy work-life balance (European Commission, no date).</w:t>
      </w:r>
    </w:p>
    <w:p w14:paraId="5AAE16C0"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Brinkley (2023) identifies seven dimensions that contribute to good work: fair rewards, security of employment, opportunities for development, supportive leadership, a focus on employee wellbeing, a platform for employee voice and inclusivity regardless of background.</w:t>
      </w:r>
    </w:p>
    <w:p w14:paraId="63ABB317"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Designing good work requires a collaborative effort from both employers and employees. Employers can establish clear contracts outlining working hours and leave policies. Competitive wages, access to healthcare and retirement plans are essential. Creating a physically and mentally safe work environment with ergonomic considerations and stress management programs is crucial. Additionally, designing jobs with autonomy, control and opportunities to utilise skills, promotes a sense of meaning and purpose (Brinkley, 2024).</w:t>
      </w:r>
    </w:p>
    <w:p w14:paraId="4D027669"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Furthermore, fostering positive relationships with colleagues and encouraging collaboration builds social support within the workplace. Offering flexible work arrangements like remote work or compressed workweeks allows employees to achieve better work-life (McKinsey, 2022). </w:t>
      </w:r>
    </w:p>
    <w:p w14:paraId="72857A0D"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To assess the effectiveness of good work design, various metrics can be used. Employee satisfaction surveys gauge overall wellbeing and engagement. Absenteeism and turnover rates indicate work-related stress or dissatisfaction. Accident and injury rates reflect workplace safety practices (Bryson et al., 2014).</w:t>
      </w:r>
    </w:p>
    <w:p w14:paraId="05A831BF"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Ultimately, fostering good work benefits everyone by improving the lives of employees, reduce healthcare costs and promoting a more equitable workforce with positive societal impacts.</w:t>
      </w:r>
    </w:p>
    <w:p w14:paraId="20892AF4" w14:textId="77777777" w:rsidR="00DB2779" w:rsidRPr="00DB2779" w:rsidRDefault="00DB2779" w:rsidP="00DB2779">
      <w:pPr>
        <w:keepNext/>
        <w:keepLines/>
        <w:spacing w:before="40" w:after="0" w:line="276" w:lineRule="auto"/>
        <w:outlineLvl w:val="1"/>
        <w:rPr>
          <w:rFonts w:ascii="Times New Roman" w:eastAsiaTheme="majorEastAsia" w:hAnsi="Times New Roman" w:cs="Times New Roman"/>
          <w:b/>
          <w:bCs/>
          <w:color w:val="2F5496" w:themeColor="accent1" w:themeShade="BF"/>
          <w:sz w:val="24"/>
          <w:szCs w:val="24"/>
        </w:rPr>
      </w:pPr>
      <w:r w:rsidRPr="00DB2779">
        <w:rPr>
          <w:rFonts w:ascii="Times New Roman" w:eastAsiaTheme="majorEastAsia" w:hAnsi="Times New Roman" w:cs="Times New Roman"/>
          <w:b/>
          <w:bCs/>
          <w:color w:val="2F5496" w:themeColor="accent1" w:themeShade="BF"/>
          <w:sz w:val="24"/>
          <w:szCs w:val="24"/>
        </w:rPr>
        <w:lastRenderedPageBreak/>
        <w:t>Section Two</w:t>
      </w:r>
    </w:p>
    <w:p w14:paraId="49419FD1" w14:textId="77777777" w:rsidR="00DB2779" w:rsidRPr="00DB2779" w:rsidRDefault="00DB2779" w:rsidP="00DB2779">
      <w:pPr>
        <w:spacing w:line="276" w:lineRule="auto"/>
        <w:rPr>
          <w:rFonts w:ascii="Times New Roman" w:hAnsi="Times New Roman" w:cs="Times New Roman"/>
          <w:sz w:val="24"/>
          <w:szCs w:val="24"/>
        </w:rPr>
      </w:pPr>
      <w:r w:rsidRPr="00DB2779">
        <w:rPr>
          <w:rFonts w:ascii="Times New Roman" w:hAnsi="Times New Roman" w:cs="Times New Roman"/>
          <w:sz w:val="24"/>
          <w:szCs w:val="24"/>
        </w:rPr>
        <w:t>This section of the report equips Go Quest managers with the knowledge to handle two key areas: conflict and performance management.</w:t>
      </w:r>
    </w:p>
    <w:p w14:paraId="759CF235" w14:textId="77777777" w:rsidR="00DB2779" w:rsidRPr="00DB2779" w:rsidRDefault="00DB2779" w:rsidP="00DB2779">
      <w:pPr>
        <w:spacing w:line="276" w:lineRule="auto"/>
        <w:rPr>
          <w:rFonts w:ascii="Times New Roman" w:hAnsi="Times New Roman" w:cs="Times New Roman"/>
          <w:sz w:val="24"/>
          <w:szCs w:val="24"/>
        </w:rPr>
      </w:pPr>
    </w:p>
    <w:p w14:paraId="2104E0EE" w14:textId="77777777" w:rsidR="00DB2779" w:rsidRPr="00DB2779" w:rsidRDefault="00DB2779" w:rsidP="00DB2779">
      <w:pPr>
        <w:spacing w:after="0" w:line="276" w:lineRule="auto"/>
        <w:jc w:val="both"/>
        <w:rPr>
          <w:rFonts w:ascii="Times New Roman" w:hAnsi="Times New Roman" w:cs="Times New Roman"/>
          <w:b/>
          <w:bCs/>
          <w:sz w:val="24"/>
          <w:szCs w:val="24"/>
        </w:rPr>
      </w:pPr>
      <w:r w:rsidRPr="00DB2779">
        <w:rPr>
          <w:rFonts w:ascii="Times New Roman" w:hAnsi="Times New Roman" w:cs="Times New Roman"/>
          <w:b/>
          <w:bCs/>
          <w:sz w:val="24"/>
          <w:szCs w:val="24"/>
        </w:rPr>
        <w:t xml:space="preserve">Q1/AC2.1 </w:t>
      </w:r>
    </w:p>
    <w:p w14:paraId="5335BFBC"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Whilst disagreements are inevitable in any organisation, understanding the difference between conflict and misbehaviour is key. Conflict arises from clashes in goals, values or needs. It can be positive, like team debates leading to innovation. Disagreements over project direction or contract negotiations are examples. The key is its organised nature, often involving collective action for specific goals (Liddle, 2017).</w:t>
      </w:r>
    </w:p>
    <w:p w14:paraId="50096EC1"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Conflict can be informal or formal. Informal conflicts are spontaneous, low-level disagreements resolved quickly between individuals. A simple conversation or mediation by a colleague can often resolve them. Formal conflicts are more serious and require a structured approach. This could involve a formal complaint or grievance procedure. When a bullying incident necessitates HR intervention, or a disagreement between departments impacts productivity, it becomes a formal conflict, often leading to documentation for a fair resolution (Brinkley, 2024).</w:t>
      </w:r>
    </w:p>
    <w:p w14:paraId="14EACBB1"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Misbehaviour, however, breaks established rules. It includes actions like stealing or consistently disregarding work schedules. It creates a disruptive environment, harming productivity and morale. The difference is intent; misbehaviour is a deliberate rule violation, often an unethical behaviour for personal gain (CIPD, 2019).</w:t>
      </w:r>
    </w:p>
    <w:p w14:paraId="0E94F628"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Understanding these distinctions allows for better conflict management. Leaders can promote open communication to prevent minor issues from escalating and establish clear expectations to deter misbehaviour. This knowledge empowers leaders to cultivate a productive and harmonious work environment. </w:t>
      </w:r>
    </w:p>
    <w:p w14:paraId="03B4207F" w14:textId="77777777" w:rsidR="00DB2779" w:rsidRPr="00DB2779" w:rsidRDefault="00DB2779" w:rsidP="00DB2779">
      <w:pPr>
        <w:spacing w:line="276" w:lineRule="auto"/>
        <w:jc w:val="both"/>
        <w:rPr>
          <w:rFonts w:ascii="Times New Roman" w:hAnsi="Times New Roman" w:cs="Times New Roman"/>
          <w:sz w:val="24"/>
          <w:szCs w:val="24"/>
        </w:rPr>
      </w:pPr>
    </w:p>
    <w:p w14:paraId="304F51F3"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b/>
          <w:bCs/>
          <w:sz w:val="24"/>
          <w:szCs w:val="24"/>
        </w:rPr>
        <w:t>Q2/AC2.2</w:t>
      </w:r>
      <w:r w:rsidRPr="00DB2779">
        <w:rPr>
          <w:rFonts w:ascii="Times New Roman" w:hAnsi="Times New Roman" w:cs="Times New Roman"/>
          <w:sz w:val="24"/>
          <w:szCs w:val="24"/>
        </w:rPr>
        <w:t xml:space="preserve"> </w:t>
      </w:r>
    </w:p>
    <w:p w14:paraId="6E079863"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When workplace grievances arise, employee may consider taking action to address them. Understanding the distinction between official and unofficial actions is crucial when these situations occur. </w:t>
      </w:r>
    </w:p>
    <w:p w14:paraId="346E0840"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Official action is a structured route often involving a trade union. Here, a formal trade dispute is declared, followed by a secret ballot with minimum participation and voting thresholds met. This ensures a clear mandate from the workforce. Importantly, the action is sanctioned by the union, which offer legal protection to participating employees within the framework of employment laws (Aylott, 2018; Daniels, 2022).</w:t>
      </w:r>
    </w:p>
    <w:p w14:paraId="7C3F4382"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Although an official action, the case law Secretary of State for Business and Trade v Mercer, highlights the importance of rightly interpreting the law, identifying the gaps in the law and its implication for the employers. The Supreme Court decision in this case is a significant development for worker rights in the UK by strengthening protection when striking under European Convection on Human Rights (The Supreme Court, 2024).</w:t>
      </w:r>
    </w:p>
    <w:p w14:paraId="220DBE46" w14:textId="77777777" w:rsidR="00DB2779" w:rsidRPr="00DB2779" w:rsidRDefault="00DB2779" w:rsidP="00DB2779">
      <w:pPr>
        <w:spacing w:line="276" w:lineRule="auto"/>
        <w:jc w:val="both"/>
        <w:rPr>
          <w:rFonts w:ascii="Times New Roman" w:hAnsi="Times New Roman" w:cs="Times New Roman"/>
          <w:sz w:val="24"/>
          <w:szCs w:val="24"/>
        </w:rPr>
      </w:pPr>
    </w:p>
    <w:p w14:paraId="04495A93"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Unofficial action, on the other hand, bypasses these formalities. It may arise from spontaneous employee reactions to workplace issues or a lack of union involvement. Employees might act independently, or a union might take unauthorised action. This lack of formal procedures and legal protection can expose participants to disciplinary measures from the employer (Daniels, 2022).</w:t>
      </w:r>
    </w:p>
    <w:p w14:paraId="0D247666"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In essence, official action is a well-organised, authorised strike march and police presence, whilst unofficial action is more akin to a spontaneous demonstration, lacking formal approval and potential facing repercussions. Choosing the right course of action, depends on the specific situation, the strength of employee unity and the legal landscape (ACAS, 2024). </w:t>
      </w:r>
    </w:p>
    <w:p w14:paraId="4ADED4FC" w14:textId="77777777" w:rsidR="00DB2779" w:rsidRPr="00DB2779" w:rsidRDefault="00DB2779" w:rsidP="00DB2779">
      <w:pPr>
        <w:spacing w:line="276" w:lineRule="auto"/>
        <w:jc w:val="both"/>
        <w:rPr>
          <w:rFonts w:ascii="Times New Roman" w:hAnsi="Times New Roman" w:cs="Times New Roman"/>
          <w:sz w:val="24"/>
          <w:szCs w:val="24"/>
        </w:rPr>
      </w:pPr>
    </w:p>
    <w:p w14:paraId="619DAEA5"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b/>
          <w:bCs/>
          <w:sz w:val="24"/>
          <w:szCs w:val="24"/>
        </w:rPr>
        <w:t>Q3/AC2.3</w:t>
      </w:r>
      <w:r w:rsidRPr="00DB2779">
        <w:rPr>
          <w:rFonts w:ascii="Times New Roman" w:hAnsi="Times New Roman" w:cs="Times New Roman"/>
          <w:sz w:val="24"/>
          <w:szCs w:val="24"/>
        </w:rPr>
        <w:t xml:space="preserve"> </w:t>
      </w:r>
    </w:p>
    <w:p w14:paraId="7941EDBE"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At its core, conflict arises from differences in opinions, goals or agendas between individuals or teams. Whilst unchecked conflict can be disruptive, the key lies in the perception and management (Ronquillo, Ellis and Toney-Burler, 2023). The Trade Union and Labour Relations (Consolidation) Act 1992 governs UK employment law related to conflict, trade unions, employers' associations, industrial relations, and industrial action.</w:t>
      </w:r>
    </w:p>
    <w:p w14:paraId="714A9140"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Today’s conflicts are characterised by shorter, strategically timed actions aimed at maximising impact while minimising disruption by targeting specific vulnerabilities within an organisation (ONS, 2015). Interestingly, the focus is shifting from large-scale collective grievances to individual disputes. More complex cases like discrimination and whistleblowing are reaching tribunals, suggesting a move towards targeted personal conflicts and a change in worker tactics (Watt, 2024).</w:t>
      </w:r>
    </w:p>
    <w:p w14:paraId="54B32E93" w14:textId="77777777" w:rsidR="00DB2779" w:rsidRPr="00DB2779" w:rsidRDefault="00DB2779" w:rsidP="00DB2779">
      <w:pPr>
        <w:spacing w:after="0" w:line="276" w:lineRule="auto"/>
        <w:jc w:val="both"/>
        <w:rPr>
          <w:rFonts w:ascii="Times New Roman" w:hAnsi="Times New Roman" w:cs="Times New Roman"/>
          <w:sz w:val="24"/>
          <w:szCs w:val="24"/>
        </w:rPr>
      </w:pPr>
    </w:p>
    <w:p w14:paraId="790E8DA6"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The purpose of industrial sanctions is to disrupt normal business operations, serving as a potent tool for workers to express their grievances. The threat of strikes, slowdowns, or boycotts, or their actual implementation, can force employers to the bargaining table for better working conditions (Horne, 2023). </w:t>
      </w:r>
    </w:p>
    <w:p w14:paraId="3E5D07C0"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Meanwhile, employers are getting proactive. They are using pre-conciliation to address issues early and internal conflict resolution policies to prevent escalation (Heal, 2021; Acas, 2023). Additionally, companies are using injunctions (anti-strike bill) to limit strikes (Howlett, 2023) potentially weakening worker leverage.</w:t>
      </w:r>
    </w:p>
    <w:p w14:paraId="11FF20B4" w14:textId="77777777" w:rsidR="00DB2779" w:rsidRPr="00DB2779" w:rsidRDefault="00DB2779" w:rsidP="00DB2779">
      <w:pPr>
        <w:spacing w:line="276" w:lineRule="auto"/>
        <w:jc w:val="both"/>
        <w:rPr>
          <w:rFonts w:ascii="Times New Roman" w:hAnsi="Times New Roman" w:cs="Times New Roman"/>
          <w:sz w:val="24"/>
          <w:szCs w:val="24"/>
        </w:rPr>
      </w:pPr>
    </w:p>
    <w:p w14:paraId="0396459A" w14:textId="77777777" w:rsidR="00DB2779" w:rsidRPr="00DB2779" w:rsidRDefault="00DB2779" w:rsidP="00DB2779">
      <w:pPr>
        <w:spacing w:after="0" w:line="276" w:lineRule="auto"/>
        <w:jc w:val="both"/>
        <w:rPr>
          <w:rFonts w:ascii="Times New Roman" w:hAnsi="Times New Roman" w:cs="Times New Roman"/>
          <w:b/>
          <w:bCs/>
          <w:sz w:val="24"/>
          <w:szCs w:val="24"/>
        </w:rPr>
      </w:pPr>
      <w:r w:rsidRPr="00DB2779">
        <w:rPr>
          <w:rFonts w:ascii="Times New Roman" w:hAnsi="Times New Roman" w:cs="Times New Roman"/>
          <w:b/>
          <w:bCs/>
          <w:sz w:val="24"/>
          <w:szCs w:val="24"/>
        </w:rPr>
        <w:t xml:space="preserve">Q4/AC2.4 </w:t>
      </w:r>
    </w:p>
    <w:p w14:paraId="36F8DEDE"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When disagreements arise, seeking solutions outside the courtroom can be beneficial. There are three methods that can used: conciliation, mediation and arbitration. In this context, the third party refers to a neutral and impartial person who facilitates the dispute resolution process. This individual is not directly involved in the disagreement and does not have a personal stake in the outcome.</w:t>
      </w:r>
    </w:p>
    <w:p w14:paraId="048AADCA" w14:textId="77777777" w:rsidR="00DB2779" w:rsidRPr="00DB2779" w:rsidRDefault="00DB2779" w:rsidP="00DB2779">
      <w:pPr>
        <w:spacing w:after="0" w:line="276" w:lineRule="auto"/>
        <w:jc w:val="both"/>
        <w:rPr>
          <w:rFonts w:ascii="Times New Roman" w:hAnsi="Times New Roman" w:cs="Times New Roman"/>
          <w:sz w:val="24"/>
          <w:szCs w:val="24"/>
        </w:rPr>
      </w:pPr>
    </w:p>
    <w:p w14:paraId="5739C844"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lastRenderedPageBreak/>
        <w:t xml:space="preserve">Conciliation plays a more active role, guide discussion, suggesting solutions to help parties reach mutually agreeable, though not legally binding outcome (Acas, 2022). Mediation, on the other hand, takes a more facilitative approach, fostering communication, understanding and encourage parties to mutually find their own solution. Unlike conciliators, they avoid suggesting answers (Gifford, 2023). </w:t>
      </w:r>
    </w:p>
    <w:p w14:paraId="5EC4C725"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Arbitration takes a more decisive approach. The arbitrator acts like a judge, hearing arguments from both sides, may gather evidence and ultimately issue a final, legally binding decision. This can be advantageous when reaching an agreement proves impossible (Acas, 2022a).</w:t>
      </w:r>
    </w:p>
    <w:p w14:paraId="3E18CC9B" w14:textId="77777777" w:rsidR="00DB2779" w:rsidRPr="00DB2779" w:rsidRDefault="00DB2779" w:rsidP="00DB2779">
      <w:pPr>
        <w:spacing w:after="0" w:line="276" w:lineRule="auto"/>
        <w:jc w:val="both"/>
        <w:rPr>
          <w:rFonts w:ascii="Times New Roman" w:hAnsi="Times New Roman" w:cs="Times New Roman"/>
          <w:sz w:val="24"/>
          <w:szCs w:val="24"/>
        </w:rPr>
      </w:pPr>
    </w:p>
    <w:p w14:paraId="586E1AF1"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These methods can be applied to both individual disputes, like contract disagreements, and collective ones, such as union negotiations. In employment disputes, conciliation might be mandatory before filing a claim. Meanwhile, mediation excels at restoring working relationships by fostering communication and a focus on win-win solutions.</w:t>
      </w:r>
    </w:p>
    <w:p w14:paraId="130C7814" w14:textId="77777777" w:rsidR="00DB2779" w:rsidRPr="00DB2779" w:rsidRDefault="00DB2779" w:rsidP="00DB2779">
      <w:pPr>
        <w:spacing w:after="0" w:line="276" w:lineRule="auto"/>
        <w:jc w:val="both"/>
        <w:rPr>
          <w:rFonts w:ascii="Times New Roman" w:hAnsi="Times New Roman" w:cs="Times New Roman"/>
          <w:sz w:val="24"/>
          <w:szCs w:val="24"/>
        </w:rPr>
      </w:pPr>
    </w:p>
    <w:p w14:paraId="606759A7"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To effectively manage potential conflicts and achieve consensus legally and ethically, early intervention and open communication are key. Exploring third party solutions, those involved can resolve disagreements constructively, strengthening relationships and avoiding the complexities of litigation (Watt, 2024).</w:t>
      </w:r>
    </w:p>
    <w:p w14:paraId="77E732F5" w14:textId="77777777" w:rsidR="00DB2779" w:rsidRPr="00DB2779" w:rsidRDefault="00DB2779" w:rsidP="00DB2779">
      <w:pPr>
        <w:spacing w:after="0" w:line="276" w:lineRule="auto"/>
        <w:jc w:val="both"/>
        <w:rPr>
          <w:rFonts w:ascii="Times New Roman" w:hAnsi="Times New Roman" w:cs="Times New Roman"/>
          <w:sz w:val="24"/>
          <w:szCs w:val="24"/>
        </w:rPr>
      </w:pPr>
    </w:p>
    <w:p w14:paraId="7B9AD24B" w14:textId="77777777" w:rsidR="00DB2779" w:rsidRPr="00DB2779" w:rsidRDefault="00DB2779" w:rsidP="00DB2779">
      <w:pPr>
        <w:spacing w:after="0" w:line="276" w:lineRule="auto"/>
        <w:jc w:val="both"/>
        <w:rPr>
          <w:rFonts w:ascii="Times New Roman" w:hAnsi="Times New Roman" w:cs="Times New Roman"/>
          <w:sz w:val="24"/>
          <w:szCs w:val="24"/>
        </w:rPr>
      </w:pPr>
    </w:p>
    <w:p w14:paraId="7D8279A8" w14:textId="77777777" w:rsidR="00DB2779" w:rsidRPr="00DB2779" w:rsidRDefault="00DB2779" w:rsidP="00DB2779">
      <w:pPr>
        <w:spacing w:after="0" w:line="276" w:lineRule="auto"/>
        <w:jc w:val="both"/>
        <w:rPr>
          <w:rFonts w:ascii="Times New Roman" w:hAnsi="Times New Roman" w:cs="Times New Roman"/>
          <w:b/>
          <w:bCs/>
          <w:sz w:val="24"/>
          <w:szCs w:val="24"/>
        </w:rPr>
      </w:pPr>
      <w:r w:rsidRPr="00DB2779">
        <w:rPr>
          <w:rFonts w:ascii="Times New Roman" w:hAnsi="Times New Roman" w:cs="Times New Roman"/>
          <w:b/>
          <w:bCs/>
          <w:sz w:val="24"/>
          <w:szCs w:val="24"/>
        </w:rPr>
        <w:t xml:space="preserve">Q5/AC3.1 </w:t>
      </w:r>
    </w:p>
    <w:p w14:paraId="11823053"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Unfair dismissal legislation safeguards workers from arbitrary dismissal and key aspects of this, focuses on capability and misconduct. The Employment Rights Act 1996 establishes reasons for dismissal and fair procedure requirements:</w:t>
      </w:r>
    </w:p>
    <w:p w14:paraId="4A84913B"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Capability dismissals occur when an employee lacks the skills or performance to fulfil their role. The employer needs to investigate and prove they had a reasonable belief in the employee’s lack of capability; this is based on the landmark case BHS v Burchell 1978. Under the Equality Act 2010, the employer has the legal obligation to not discriminate and to explore reasonable adjustments by taking steps to remove or minimise any disadvantages caused by the disability, allowing the employee to perform their job effectively (CIPD, 2023b). </w:t>
      </w:r>
    </w:p>
    <w:p w14:paraId="5AC45D4C"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Misconduct dismissals stem from a breach of contractual duties or company policies. Ordinary misconduct is a less serious breach (lateness, neglecting minor duties), managed through progressive discipline (verbal and written warnings). Gross misconduct is a serious breach that fundamentally undermine trust or cause significant damage (theft, fraud) and justifies immediate dismissal without following normal disciplinary procedures (CIPD, 2023b). </w:t>
      </w:r>
    </w:p>
    <w:p w14:paraId="3A3C16C9"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Even with a legitimate reason, fairness in the process is crucial: for serious misconduct, formal hearings with a pre-determined procedure are vital; progressive discipline is key, with escalating warnings based on severity; maintaining accurate records of disciplinary actions; lastly, employees have the right to be accompanied by a representative to hearings (Acas, 2015, Daniels, 2022).</w:t>
      </w:r>
    </w:p>
    <w:p w14:paraId="2E42DF42" w14:textId="77777777" w:rsidR="00DB2779" w:rsidRPr="00DB2779" w:rsidRDefault="00DB2779" w:rsidP="00DB2779">
      <w:pPr>
        <w:spacing w:line="276" w:lineRule="auto"/>
        <w:jc w:val="both"/>
        <w:rPr>
          <w:rFonts w:ascii="Times New Roman" w:hAnsi="Times New Roman" w:cs="Times New Roman"/>
          <w:sz w:val="24"/>
          <w:szCs w:val="24"/>
        </w:rPr>
      </w:pPr>
    </w:p>
    <w:p w14:paraId="567BB055" w14:textId="77777777" w:rsidR="00DB2779" w:rsidRPr="00DB2779" w:rsidRDefault="00DB2779" w:rsidP="00DB2779">
      <w:pPr>
        <w:spacing w:line="276" w:lineRule="auto"/>
        <w:jc w:val="both"/>
        <w:rPr>
          <w:rFonts w:ascii="Times New Roman" w:hAnsi="Times New Roman" w:cs="Times New Roman"/>
          <w:sz w:val="24"/>
          <w:szCs w:val="24"/>
        </w:rPr>
      </w:pPr>
    </w:p>
    <w:p w14:paraId="6228800C" w14:textId="77777777" w:rsidR="00DB2779" w:rsidRPr="00DB2779" w:rsidRDefault="00DB2779" w:rsidP="00DB2779">
      <w:pPr>
        <w:spacing w:line="276" w:lineRule="auto"/>
        <w:jc w:val="both"/>
        <w:rPr>
          <w:rFonts w:ascii="Times New Roman" w:hAnsi="Times New Roman" w:cs="Times New Roman"/>
          <w:sz w:val="24"/>
          <w:szCs w:val="24"/>
        </w:rPr>
      </w:pPr>
    </w:p>
    <w:p w14:paraId="46C53E07" w14:textId="77777777" w:rsidR="00DB2779" w:rsidRPr="00DB2779" w:rsidRDefault="00DB2779" w:rsidP="00DB2779">
      <w:pPr>
        <w:spacing w:after="0" w:line="276" w:lineRule="auto"/>
        <w:jc w:val="both"/>
        <w:rPr>
          <w:rFonts w:ascii="Times New Roman" w:hAnsi="Times New Roman" w:cs="Times New Roman"/>
          <w:b/>
          <w:bCs/>
          <w:sz w:val="24"/>
          <w:szCs w:val="24"/>
        </w:rPr>
      </w:pPr>
      <w:r w:rsidRPr="00DB2779">
        <w:rPr>
          <w:rFonts w:ascii="Times New Roman" w:hAnsi="Times New Roman" w:cs="Times New Roman"/>
          <w:b/>
          <w:bCs/>
          <w:sz w:val="24"/>
          <w:szCs w:val="24"/>
        </w:rPr>
        <w:t xml:space="preserve">Q6/AC3.2 </w:t>
      </w:r>
    </w:p>
    <w:p w14:paraId="17E95B14"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A grievance is a formal complaint raised by an employee about something they believe is unfair or wrong in the workplace. Grievances can be individual affecting a single employee or collective, affecting a group of employees with similar concerns (Acas, 2024a). </w:t>
      </w:r>
    </w:p>
    <w:p w14:paraId="6E57BB25" w14:textId="77777777" w:rsidR="00DB2779" w:rsidRPr="00DB2779" w:rsidRDefault="00DB2779" w:rsidP="00DB2779">
      <w:pPr>
        <w:spacing w:after="0" w:line="276" w:lineRule="auto"/>
        <w:jc w:val="both"/>
        <w:rPr>
          <w:rFonts w:ascii="Times New Roman" w:hAnsi="Times New Roman" w:cs="Times New Roman"/>
          <w:sz w:val="24"/>
          <w:szCs w:val="24"/>
        </w:rPr>
      </w:pPr>
    </w:p>
    <w:p w14:paraId="36B37314"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Discrepancies between employment contracts and reality, regarding pay, hours, or responsibilities, can be a major source of grievance.  Employees also have a right to a safe and healthy work environment, and any shortcomings in safety measures or overall wellbeing can lead to complaints (Webber, 2023).</w:t>
      </w:r>
    </w:p>
    <w:p w14:paraId="1D528AD4"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Beyond physical safety, grievances can arise due to strained work relations. Friction with colleagues, lack of respect, or poor communication can create tension. This includes serious issues like bullying and harassment. Additionally, poorly managed organisational changes or new working practices can be disruptive. Absence of transparency, inadequate training, or resistance to change can all lead to employee dissatisfaction (Suff, 2020).</w:t>
      </w:r>
    </w:p>
    <w:p w14:paraId="02A4A237"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The physical work environment itself can be a breeding ground for grievances. Uncomfortable temperatures, inadequate lighting, or a deficiency of proper workspace can contribute to stress and frustration (Muller-Heyndyk, 2019). Finally, employees who feel discriminated against or undervalued due to factors like race, gender, or age, are more likely to file grievances (Acas, 2024b).</w:t>
      </w:r>
    </w:p>
    <w:p w14:paraId="00EFB821"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New research by XpertHR sheds light on the top reasons employees file grievances. While issues with managers and colleagues remain the most common grievances (67% for bullying/harassment, 54% for manager relationships, and 49% for colleague relationships), there is a rising trend of grievances concerning pay and compensation 37% (Webber, 2023).</w:t>
      </w:r>
    </w:p>
    <w:p w14:paraId="07777A8C" w14:textId="77777777" w:rsidR="00DB2779" w:rsidRPr="00DB2779" w:rsidRDefault="00DB2779" w:rsidP="00DB2779">
      <w:pPr>
        <w:spacing w:line="276" w:lineRule="auto"/>
        <w:jc w:val="both"/>
        <w:rPr>
          <w:rFonts w:ascii="Times New Roman" w:hAnsi="Times New Roman" w:cs="Times New Roman"/>
          <w:sz w:val="24"/>
          <w:szCs w:val="24"/>
        </w:rPr>
      </w:pPr>
    </w:p>
    <w:p w14:paraId="0DA50BF2"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b/>
          <w:bCs/>
          <w:sz w:val="24"/>
          <w:szCs w:val="24"/>
        </w:rPr>
        <w:t>Q7/AC3.3</w:t>
      </w:r>
      <w:r w:rsidRPr="00DB2779">
        <w:rPr>
          <w:rFonts w:ascii="Times New Roman" w:hAnsi="Times New Roman" w:cs="Times New Roman"/>
          <w:sz w:val="24"/>
          <w:szCs w:val="24"/>
        </w:rPr>
        <w:t xml:space="preserve"> </w:t>
      </w:r>
    </w:p>
    <w:p w14:paraId="0FC80762" w14:textId="77777777" w:rsidR="00DB2779" w:rsidRPr="00DB2779" w:rsidRDefault="00DB2779" w:rsidP="00DB2779">
      <w:pPr>
        <w:spacing w:after="0" w:line="276" w:lineRule="auto"/>
        <w:jc w:val="both"/>
        <w:rPr>
          <w:rFonts w:ascii="Times New Roman" w:hAnsi="Times New Roman" w:cs="Times New Roman"/>
          <w:color w:val="000000" w:themeColor="text1"/>
          <w:sz w:val="24"/>
          <w:szCs w:val="24"/>
        </w:rPr>
      </w:pPr>
      <w:r w:rsidRPr="00DB2779">
        <w:rPr>
          <w:rFonts w:ascii="Times New Roman" w:hAnsi="Times New Roman" w:cs="Times New Roman"/>
          <w:color w:val="000000" w:themeColor="text1"/>
          <w:sz w:val="24"/>
          <w:szCs w:val="24"/>
        </w:rPr>
        <w:t xml:space="preserve">In essence, active listening and open-ended questioning when interviewing, are the foundation stones for effective communication in grievance and discipline procedures, facilitating the gathering of accurate information and ensuring a fair outcome. When an employee raises a grievance or faces disciplinary action, emotions can run high. Active listening demonstrates empathy and encourages them to feel heard. It also allows for a thorough understanding of the employee's perspective, while skilful questioning clarifies details without leading the narrative (Acas, 2020). </w:t>
      </w:r>
    </w:p>
    <w:p w14:paraId="07CFF6AE" w14:textId="77777777" w:rsidR="00DB2779" w:rsidRPr="00DB2779" w:rsidRDefault="00DB2779" w:rsidP="00DB2779">
      <w:pPr>
        <w:spacing w:after="0" w:line="276" w:lineRule="auto"/>
        <w:jc w:val="both"/>
        <w:rPr>
          <w:rFonts w:ascii="Times New Roman" w:hAnsi="Times New Roman" w:cs="Times New Roman"/>
          <w:color w:val="000000" w:themeColor="text1"/>
          <w:sz w:val="24"/>
          <w:szCs w:val="24"/>
        </w:rPr>
      </w:pPr>
    </w:p>
    <w:p w14:paraId="50372019" w14:textId="77777777" w:rsidR="00DB2779" w:rsidRPr="00DB2779" w:rsidRDefault="00DB2779" w:rsidP="00DB2779">
      <w:pPr>
        <w:spacing w:line="276" w:lineRule="auto"/>
        <w:jc w:val="both"/>
        <w:rPr>
          <w:rFonts w:ascii="Times New Roman" w:hAnsi="Times New Roman" w:cs="Times New Roman"/>
          <w:color w:val="000000" w:themeColor="text1"/>
          <w:sz w:val="24"/>
          <w:szCs w:val="24"/>
        </w:rPr>
      </w:pPr>
      <w:r w:rsidRPr="00DB2779">
        <w:rPr>
          <w:rFonts w:ascii="Times New Roman" w:hAnsi="Times New Roman" w:cs="Times New Roman"/>
          <w:color w:val="000000" w:themeColor="text1"/>
          <w:sz w:val="24"/>
          <w:szCs w:val="24"/>
        </w:rPr>
        <w:t>Moreover, the effectiveness relies heavily on a thorough and impartial investigation. The investigator should record all steps taken, interviews conducted, notes-taken and evidence collected. Detailed and accurate documentation is key, decisive for presenting findings and making informed decisions. (Acas, 2019).</w:t>
      </w:r>
    </w:p>
    <w:p w14:paraId="6DD73587" w14:textId="77777777" w:rsidR="00DB2779" w:rsidRPr="00DB2779" w:rsidRDefault="00DB2779" w:rsidP="00DB2779">
      <w:pPr>
        <w:spacing w:line="276" w:lineRule="auto"/>
        <w:jc w:val="both"/>
        <w:rPr>
          <w:rFonts w:ascii="Times New Roman" w:hAnsi="Times New Roman" w:cs="Times New Roman"/>
          <w:color w:val="000000" w:themeColor="text1"/>
          <w:sz w:val="24"/>
          <w:szCs w:val="24"/>
        </w:rPr>
      </w:pPr>
      <w:r w:rsidRPr="00DB2779">
        <w:rPr>
          <w:rFonts w:ascii="Times New Roman" w:hAnsi="Times New Roman" w:cs="Times New Roman"/>
          <w:color w:val="000000" w:themeColor="text1"/>
          <w:sz w:val="24"/>
          <w:szCs w:val="24"/>
        </w:rPr>
        <w:lastRenderedPageBreak/>
        <w:t>Additionally, in grievance procedures, mediation plays the role of a neutral facilitator that guides discussions, fostering understanding and seeking solutions agreeable to both employee and employer. This can mend relationships, explore creative solutions, and ultimately lead to a more positive work environment (Gifford, 2023).</w:t>
      </w:r>
    </w:p>
    <w:p w14:paraId="742D7546" w14:textId="77777777" w:rsidR="00DB2779" w:rsidRPr="00DB2779" w:rsidRDefault="00DB2779" w:rsidP="00DB2779">
      <w:pPr>
        <w:spacing w:line="276" w:lineRule="auto"/>
        <w:jc w:val="both"/>
        <w:rPr>
          <w:rFonts w:ascii="Times New Roman" w:hAnsi="Times New Roman" w:cs="Times New Roman"/>
          <w:color w:val="000000" w:themeColor="text1"/>
          <w:sz w:val="24"/>
          <w:szCs w:val="24"/>
        </w:rPr>
      </w:pPr>
      <w:r w:rsidRPr="00DB2779">
        <w:rPr>
          <w:rFonts w:ascii="Times New Roman" w:hAnsi="Times New Roman" w:cs="Times New Roman"/>
          <w:color w:val="000000" w:themeColor="text1"/>
          <w:sz w:val="24"/>
          <w:szCs w:val="24"/>
        </w:rPr>
        <w:t>Finally, perhaps the most important quality is fairness.  This requires objectivity, approaching situations with a clear and unbiased mind. Recognising and minimising personal biases is equally critical, ensuring decisions are based on facts, not preconceived notions (Acton, 2022).  By improving these skills, those handling grievances and discipline can create a fair and effective process that protects both employees and the organisation.</w:t>
      </w:r>
    </w:p>
    <w:p w14:paraId="0EF8FABD" w14:textId="77777777" w:rsidR="00DB2779" w:rsidRPr="00DB2779" w:rsidRDefault="00DB2779" w:rsidP="00DB2779">
      <w:pPr>
        <w:spacing w:line="276" w:lineRule="auto"/>
        <w:jc w:val="both"/>
        <w:rPr>
          <w:rFonts w:ascii="Times New Roman" w:hAnsi="Times New Roman" w:cs="Times New Roman"/>
          <w:color w:val="000000" w:themeColor="text1"/>
          <w:sz w:val="24"/>
          <w:szCs w:val="24"/>
        </w:rPr>
      </w:pPr>
    </w:p>
    <w:p w14:paraId="00B7E554"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b/>
          <w:bCs/>
          <w:sz w:val="24"/>
          <w:szCs w:val="24"/>
        </w:rPr>
        <w:t>Q8/AC3.4</w:t>
      </w:r>
      <w:r w:rsidRPr="00DB2779">
        <w:rPr>
          <w:rFonts w:ascii="Times New Roman" w:hAnsi="Times New Roman" w:cs="Times New Roman"/>
          <w:sz w:val="24"/>
          <w:szCs w:val="24"/>
        </w:rPr>
        <w:t xml:space="preserve"> </w:t>
      </w:r>
    </w:p>
    <w:p w14:paraId="29E571A1"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Grievance procedures act as an early warning system, allowing management to identify and address problems before they escalate, therefore a well-defined and effectively managed grievance procedure is fundamental to a healthy and productive work environment. It safeguards both the organisation and its employees. </w:t>
      </w:r>
    </w:p>
    <w:p w14:paraId="6244E41C"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From a legal standpoint, a fair grievance process minimises the risk of costly claims arising from employee dissatisfaction. Furthermore, unresolved grievances can damage an organisation's reputation, deterring potential talent and harming its public image (Barnett, 2020).</w:t>
      </w:r>
    </w:p>
    <w:p w14:paraId="07EFFB7A" w14:textId="77777777" w:rsidR="00DB2779" w:rsidRPr="00DB2779" w:rsidRDefault="00DB2779" w:rsidP="00DB2779">
      <w:pPr>
        <w:spacing w:after="0" w:line="276" w:lineRule="auto"/>
        <w:jc w:val="both"/>
        <w:rPr>
          <w:rFonts w:ascii="Times New Roman" w:hAnsi="Times New Roman" w:cs="Times New Roman"/>
          <w:sz w:val="24"/>
          <w:szCs w:val="24"/>
        </w:rPr>
      </w:pPr>
    </w:p>
    <w:p w14:paraId="1C8F2554"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Effective grievance handling also protects individuals. A clear and impartial process ensures employees feel heard and treated justly, promoting trust within the organisation. Addressing concerns promptly can significantly improve employee morale and team dynamics (Suff, 2020). Unresolved issues, on the other hand, can lead to absenteeism, decreased productivity, and ultimately, resignations.</w:t>
      </w:r>
    </w:p>
    <w:p w14:paraId="3A97CF39" w14:textId="77777777" w:rsidR="00DB2779" w:rsidRPr="00DB2779" w:rsidRDefault="00DB2779" w:rsidP="00DB2779">
      <w:pPr>
        <w:spacing w:line="276" w:lineRule="auto"/>
        <w:jc w:val="both"/>
        <w:rPr>
          <w:rFonts w:ascii="Times New Roman" w:hAnsi="Times New Roman" w:cs="Times New Roman"/>
          <w:sz w:val="24"/>
          <w:szCs w:val="24"/>
        </w:rPr>
      </w:pPr>
    </w:p>
    <w:p w14:paraId="6CF59106"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Finally, by providing a channel for employees to voice concerns, organisations can reduce stress and anxiety, promoting the wellbeing of their workforce (Acas, 2023a). By carefully following appropriate procedures, employers can effectively reduce legal risks and cultivate a strong company culture. In conclusion, effective grievance handling is not just a legal requirement, but a strategic investment that benefits both the organisation and its employees.</w:t>
      </w:r>
    </w:p>
    <w:p w14:paraId="23C992C9" w14:textId="77777777" w:rsidR="00DB2779" w:rsidRPr="00DB2779" w:rsidRDefault="00DB2779" w:rsidP="00DB2779">
      <w:pPr>
        <w:spacing w:line="276" w:lineRule="auto"/>
        <w:jc w:val="both"/>
        <w:rPr>
          <w:rFonts w:ascii="Times New Roman" w:hAnsi="Times New Roman" w:cs="Times New Roman"/>
          <w:sz w:val="24"/>
          <w:szCs w:val="24"/>
        </w:rPr>
      </w:pPr>
    </w:p>
    <w:p w14:paraId="0710E963"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b/>
          <w:bCs/>
          <w:sz w:val="24"/>
          <w:szCs w:val="24"/>
        </w:rPr>
        <w:t>Q9/AC4.1</w:t>
      </w:r>
      <w:r w:rsidRPr="00DB2779">
        <w:rPr>
          <w:rFonts w:ascii="Times New Roman" w:hAnsi="Times New Roman" w:cs="Times New Roman"/>
          <w:sz w:val="24"/>
          <w:szCs w:val="24"/>
        </w:rPr>
        <w:t xml:space="preserve"> </w:t>
      </w:r>
    </w:p>
    <w:p w14:paraId="2ED62F91"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Collective employment law acts as a mediator, fostering a structured environment where employees can have a collective voice.  This framework centres on the role of trade unions, which can gain formal recognition through statutory procedures, allowing them to represent employees in collective bargaining (CIPD, 2024a).</w:t>
      </w:r>
    </w:p>
    <w:p w14:paraId="69EB94C8"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To ensure informed negotiations, employers have a legal obligation to disclose relevant business information to unions, such as financial data, to ensure informed discussions on wages, benefits, and working conditions.  Disclosure of information is the foundation of effective collective bargaining. It ensures a level playing field by providing trade unions with </w:t>
      </w:r>
      <w:r w:rsidRPr="00DB2779">
        <w:rPr>
          <w:rFonts w:ascii="Times New Roman" w:hAnsi="Times New Roman" w:cs="Times New Roman"/>
          <w:sz w:val="24"/>
          <w:szCs w:val="24"/>
        </w:rPr>
        <w:lastRenderedPageBreak/>
        <w:t xml:space="preserve">the data they need to represent employees effectively during negotiations with employers (Acas, 2018; </w:t>
      </w:r>
      <w:bookmarkStart w:id="0" w:name="_Hlk171756420"/>
      <w:r w:rsidRPr="00DB2779">
        <w:rPr>
          <w:rFonts w:ascii="Times New Roman" w:hAnsi="Times New Roman" w:cs="Times New Roman"/>
          <w:sz w:val="24"/>
          <w:szCs w:val="24"/>
        </w:rPr>
        <w:t>Gov.UK, no date</w:t>
      </w:r>
      <w:bookmarkEnd w:id="0"/>
      <w:r w:rsidRPr="00DB2779">
        <w:rPr>
          <w:rFonts w:ascii="Times New Roman" w:hAnsi="Times New Roman" w:cs="Times New Roman"/>
          <w:sz w:val="24"/>
          <w:szCs w:val="24"/>
        </w:rPr>
        <w:t>).  Should negotiations break down, unions may resort to lawful strikes (official action) to pressure employers. Unofficial actions, strikes outside the formal framework, offer less legal protection (Acas, 2024a).</w:t>
      </w:r>
    </w:p>
    <w:p w14:paraId="0DB7A4F6"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A key tool for unions during disputes is picketing. This involves demonstrations by union members near the workplace. However, picketing is typically regulated, outlining who can participate, where they can demonstrate, and how they must conduct themselves (Acas, 2024a; Gov.UK, no date*).</w:t>
      </w:r>
    </w:p>
    <w:p w14:paraId="59401ED9"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The legal enforceability of collective agreements acts as a safety net as it ensures that the results of collective bargaining translate into concrete protections for employees (Gov.UK, no date**). By providing a legal framework for enforcing agreed-upon terms, it strengthens the voice of employees and fosters a more just workplace (CIPD, 2022). While enforceability is crucial, there can be limitations.  For instance, some agreements may only be enforceable by the union itself, not individual employees.</w:t>
      </w:r>
    </w:p>
    <w:p w14:paraId="0BEC4E7D" w14:textId="77777777" w:rsidR="00DB2779" w:rsidRPr="00DB2779" w:rsidRDefault="00DB2779" w:rsidP="00DB2779">
      <w:pPr>
        <w:spacing w:line="276" w:lineRule="auto"/>
        <w:jc w:val="both"/>
        <w:rPr>
          <w:rFonts w:ascii="Times New Roman" w:hAnsi="Times New Roman" w:cs="Times New Roman"/>
          <w:sz w:val="24"/>
          <w:szCs w:val="24"/>
        </w:rPr>
      </w:pPr>
    </w:p>
    <w:p w14:paraId="038BDB38"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b/>
          <w:bCs/>
          <w:sz w:val="24"/>
          <w:szCs w:val="24"/>
        </w:rPr>
        <w:t>Q10/AC4.2</w:t>
      </w:r>
      <w:r w:rsidRPr="00DB2779">
        <w:rPr>
          <w:rFonts w:ascii="Times New Roman" w:hAnsi="Times New Roman" w:cs="Times New Roman"/>
          <w:sz w:val="24"/>
          <w:szCs w:val="24"/>
        </w:rPr>
        <w:t xml:space="preserve"> </w:t>
      </w:r>
    </w:p>
    <w:p w14:paraId="2765A399"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Unions stand as independent organisations with elected officials who advocate for employees across companies within a specific industry. Their strength lies in collective bargaining, leveraging this power through strikes, representing a larger employee base, having legal rights to access information and consultation with management (Acas, 2018; CIPD, 2024a; Gov.UK, no date).</w:t>
      </w:r>
    </w:p>
    <w:p w14:paraId="0141FD87"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Non-union bodies, on the other hand, exist within individual companies. These channels ensure employee concerns are heard, even in the absence of a formal union structure (CIPD, 2022). One key example is information and consultation representatives. Elected by employees in larger workplaces, they have legal rights to be informed and consulted on matters like business changes and redundancies. In a similar vein, workforce agreement representatives negotiate specific workplace policies with management.</w:t>
      </w:r>
    </w:p>
    <w:p w14:paraId="5BA7C875"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Certain situations trigger specific representation needs. During company transfers, TUPE representatives are elected to safeguard employee rights. Similarly, collective redundancy representatives are elected when large-scale layoffs are planned, ensuring fair procedure for affected employee. Finally, pension representatives specifically represent employee in discussions and decisions regarding company pension schemes.</w:t>
      </w:r>
    </w:p>
    <w:p w14:paraId="4EC214FC"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sz w:val="24"/>
          <w:szCs w:val="24"/>
        </w:rPr>
        <w:t>Looking beyond the national level, European consultative bodies like European Works Councils ensure employee information and consultation rights are upheld in multinational companies (Acas, 2021).</w:t>
      </w:r>
    </w:p>
    <w:p w14:paraId="06ABDCBF" w14:textId="77777777" w:rsidR="00DB2779" w:rsidRPr="00DB2779" w:rsidRDefault="00DB2779" w:rsidP="00DB2779">
      <w:pPr>
        <w:spacing w:line="276" w:lineRule="auto"/>
        <w:jc w:val="both"/>
        <w:rPr>
          <w:rFonts w:ascii="Times New Roman" w:hAnsi="Times New Roman" w:cs="Times New Roman"/>
          <w:sz w:val="24"/>
          <w:szCs w:val="24"/>
        </w:rPr>
      </w:pPr>
    </w:p>
    <w:p w14:paraId="0A402CA9" w14:textId="77777777" w:rsidR="00DB2779" w:rsidRPr="00DB2779" w:rsidRDefault="00DB2779" w:rsidP="00DB2779">
      <w:pPr>
        <w:spacing w:after="0" w:line="276" w:lineRule="auto"/>
        <w:jc w:val="both"/>
        <w:rPr>
          <w:rFonts w:ascii="Times New Roman" w:hAnsi="Times New Roman" w:cs="Times New Roman"/>
          <w:sz w:val="24"/>
          <w:szCs w:val="24"/>
        </w:rPr>
      </w:pPr>
      <w:r w:rsidRPr="00DB2779">
        <w:rPr>
          <w:rFonts w:ascii="Times New Roman" w:hAnsi="Times New Roman" w:cs="Times New Roman"/>
          <w:b/>
          <w:bCs/>
          <w:sz w:val="24"/>
          <w:szCs w:val="24"/>
        </w:rPr>
        <w:t>Q11/AC4.3</w:t>
      </w:r>
      <w:r w:rsidRPr="00DB2779">
        <w:rPr>
          <w:rFonts w:ascii="Times New Roman" w:hAnsi="Times New Roman" w:cs="Times New Roman"/>
          <w:sz w:val="24"/>
          <w:szCs w:val="24"/>
        </w:rPr>
        <w:t xml:space="preserve"> </w:t>
      </w:r>
    </w:p>
    <w:p w14:paraId="5AFDF562"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 xml:space="preserve">Collective bargaining serves as a vital tool for achieving fairness in the workplace. Traditionally, employers held significant power in determining wages and working conditions. Collective bargaining disrupts this dynamic by allowing employees to unite through unions. The process itself is structured and transparent. Union representatives act as worker advocates, </w:t>
      </w:r>
      <w:r w:rsidRPr="00DB2779">
        <w:rPr>
          <w:rFonts w:ascii="Times New Roman" w:hAnsi="Times New Roman" w:cs="Times New Roman"/>
          <w:sz w:val="24"/>
          <w:szCs w:val="24"/>
        </w:rPr>
        <w:lastRenderedPageBreak/>
        <w:t>presenting proposals and concerns regarding wages, benefits, and working hours. Employers respond with counter-offers, and both sides engage in negotiation until a mutually beneficial agreement is reached (Williams, 2017).</w:t>
      </w:r>
    </w:p>
    <w:p w14:paraId="5BBB8DF6"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This emphasis on negotiation nurtures fairness and transparency. Workers gain a clearer understanding of how decisions are made, and employers are held accountable for considering employee concerns. The outcome can be significant improvements in working conditions. Collective bargaining agreements can secure better wages, health benefits, safer work environments, and limitations on working hours. An example of how this works would be the Royal Mail workers accepting pay and conditions deals last year (Webber, 2023a).</w:t>
      </w:r>
    </w:p>
    <w:p w14:paraId="4541FCA5" w14:textId="77777777" w:rsidR="00DB2779" w:rsidRPr="00DB2779" w:rsidRDefault="00DB2779" w:rsidP="00DB2779">
      <w:pPr>
        <w:spacing w:line="276" w:lineRule="auto"/>
        <w:jc w:val="both"/>
        <w:rPr>
          <w:rFonts w:ascii="Times New Roman" w:hAnsi="Times New Roman" w:cs="Times New Roman"/>
          <w:sz w:val="24"/>
          <w:szCs w:val="24"/>
        </w:rPr>
      </w:pPr>
      <w:r w:rsidRPr="00DB2779">
        <w:rPr>
          <w:rFonts w:ascii="Times New Roman" w:hAnsi="Times New Roman" w:cs="Times New Roman"/>
          <w:sz w:val="24"/>
          <w:szCs w:val="24"/>
        </w:rPr>
        <w:t>The potential for industrial action, such as strikes, serves as a crucial bargaining tool. Unions can leverage this threat to incentivise fair agreements, reminding employers of the potential consequences of an impasse (Simms, Holgate and Heery, 2012). In essence, collective bargaining establishes a power balance and a structured framework for employee participation. This fosters a fairer workplace, leading to improved working conditions and a more productive environment for all.</w:t>
      </w:r>
    </w:p>
    <w:p w14:paraId="5E823A67" w14:textId="77777777" w:rsidR="008B749D" w:rsidRDefault="008B749D"/>
    <w:sectPr w:rsidR="008B74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779"/>
    <w:rsid w:val="007D6178"/>
    <w:rsid w:val="008B749D"/>
    <w:rsid w:val="00B83B4B"/>
    <w:rsid w:val="00D46F98"/>
    <w:rsid w:val="00D53866"/>
    <w:rsid w:val="00DB2779"/>
    <w:rsid w:val="00E92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F4622"/>
  <w15:chartTrackingRefBased/>
  <w15:docId w15:val="{25578F4A-3BE2-4E24-8318-FD08062B9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4538</Words>
  <Characters>25871</Characters>
  <Application>Microsoft Office Word</Application>
  <DocSecurity>0</DocSecurity>
  <Lines>215</Lines>
  <Paragraphs>60</Paragraphs>
  <ScaleCrop>false</ScaleCrop>
  <Company/>
  <LinksUpToDate>false</LinksUpToDate>
  <CharactersWithSpaces>30349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Somicu</dc:creator>
  <cp:keywords/>
  <dc:description/>
  <cp:lastModifiedBy>Luminita Somicu</cp:lastModifiedBy>
  <cp:revision>1</cp:revision>
  <dcterms:created xsi:type="dcterms:W3CDTF">2024-07-14T20:42:00Z</dcterms:created>
  <dcterms:modified xsi:type="dcterms:W3CDTF">2024-07-14T20:43:00Z</dcterms:modified>
</cp:coreProperties>
</file>