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181D1D3C">
      <w:pPr>
        <w:pStyle w:val="style62"/>
        <w:spacing w:lineRule="auto" w:line="360"/>
        <w:jc w:val="center"/>
        <w:rPr>
          <w:rFonts w:ascii="Arial" w:cs="Arial" w:hAnsi="Arial"/>
          <w:b/>
          <w:bCs/>
        </w:rPr>
      </w:pPr>
      <w:bookmarkStart w:id="0" w:name="_Hlk239983228"/>
      <w:bookmarkStart w:id="1" w:name="_Toc234458702"/>
      <w:r>
        <w:rPr>
          <w:rFonts w:ascii="Arial" w:cs="Arial" w:hAnsi="Arial"/>
          <w:b/>
          <w:bCs/>
        </w:rPr>
        <w:t>The Impact of Offer Personalisation on Customer Loyalty in the UK Grocery Retail Industry.</w:t>
      </w:r>
    </w:p>
    <w:p w14:paraId="12C9EDE8">
      <w:pPr>
        <w:pStyle w:val="style0"/>
        <w:spacing w:lineRule="auto" w:line="360"/>
        <w:jc w:val="center"/>
        <w:rPr>
          <w:rFonts w:ascii="Arial" w:cs="Arial" w:hAnsi="Arial"/>
          <w:sz w:val="32"/>
          <w:szCs w:val="28"/>
        </w:rPr>
      </w:pPr>
      <w:r>
        <w:rPr>
          <w:rFonts w:ascii="Arial" w:cs="Arial" w:hAnsi="Arial"/>
          <w:noProof/>
          <w:sz w:val="32"/>
          <w:szCs w:val="28"/>
        </w:rPr>
        <w:drawing>
          <wp:inline distL="0" distT="0" distB="0" distR="0">
            <wp:extent cx="2368619" cy="906780"/>
            <wp:effectExtent l="0" t="0" r="0" b="7620"/>
            <wp:docPr id="1026" name="Picture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 cstate="print"/>
                    <a:srcRect l="0" t="0" r="0" b="0"/>
                    <a:stretch/>
                  </pic:blipFill>
                  <pic:spPr>
                    <a:xfrm rot="0">
                      <a:off x="0" y="0"/>
                      <a:ext cx="2368619" cy="906780"/>
                    </a:xfrm>
                    <a:prstGeom prst="rect"/>
                  </pic:spPr>
                </pic:pic>
              </a:graphicData>
            </a:graphic>
          </wp:inline>
        </w:drawing>
      </w:r>
    </w:p>
    <w:bookmarkEnd w:id="0"/>
    <w:p w14:paraId="2FF7413E">
      <w:pPr>
        <w:pStyle w:val="style0"/>
        <w:spacing w:lineRule="auto" w:line="360"/>
        <w:jc w:val="center"/>
        <w:rPr>
          <w:rFonts w:ascii="Arial" w:cs="Arial" w:hAnsi="Arial"/>
          <w:sz w:val="32"/>
          <w:szCs w:val="28"/>
        </w:rPr>
      </w:pPr>
    </w:p>
    <w:p w14:paraId="18B1BC6A">
      <w:pPr>
        <w:pStyle w:val="style62"/>
        <w:spacing w:lineRule="auto" w:line="360"/>
        <w:jc w:val="center"/>
        <w:rPr>
          <w:rFonts w:ascii="Arial" w:cs="Arial" w:hAnsi="Arial"/>
          <w:sz w:val="36"/>
          <w:szCs w:val="36"/>
        </w:rPr>
      </w:pPr>
      <w:r>
        <w:rPr>
          <w:rFonts w:ascii="Arial" w:cs="Arial" w:hAnsi="Arial"/>
          <w:sz w:val="36"/>
          <w:szCs w:val="36"/>
        </w:rPr>
        <w:t>Programme: Master of Business Administration</w:t>
      </w:r>
    </w:p>
    <w:p w14:paraId="7595E128">
      <w:pPr>
        <w:pStyle w:val="style62"/>
        <w:spacing w:lineRule="auto" w:line="360"/>
        <w:jc w:val="center"/>
        <w:rPr>
          <w:rFonts w:ascii="Arial" w:cs="Arial" w:hAnsi="Arial"/>
          <w:sz w:val="36"/>
          <w:szCs w:val="36"/>
        </w:rPr>
      </w:pPr>
      <w:r>
        <w:rPr>
          <w:rFonts w:ascii="Arial" w:cs="Arial" w:hAnsi="Arial"/>
          <w:sz w:val="36"/>
          <w:szCs w:val="36"/>
        </w:rPr>
        <w:t>Module: Dissertation</w:t>
      </w:r>
    </w:p>
    <w:p w14:paraId="3B8EB513">
      <w:pPr>
        <w:pStyle w:val="style62"/>
        <w:spacing w:lineRule="auto" w:line="360"/>
        <w:jc w:val="center"/>
        <w:rPr>
          <w:rFonts w:ascii="Arial" w:cs="Arial" w:hAnsi="Arial"/>
          <w:sz w:val="36"/>
          <w:szCs w:val="36"/>
        </w:rPr>
      </w:pPr>
      <w:r>
        <w:rPr>
          <w:rFonts w:ascii="Arial" w:cs="Arial" w:hAnsi="Arial"/>
          <w:sz w:val="36"/>
          <w:szCs w:val="36"/>
        </w:rPr>
        <w:t>Module code: LCMB7035</w:t>
      </w:r>
    </w:p>
    <w:p w14:paraId="6CC573AA">
      <w:pPr>
        <w:pStyle w:val="style62"/>
        <w:spacing w:lineRule="auto" w:line="360"/>
        <w:jc w:val="center"/>
        <w:rPr>
          <w:rFonts w:ascii="Arial" w:cs="Arial" w:hAnsi="Arial"/>
          <w:sz w:val="36"/>
          <w:szCs w:val="36"/>
        </w:rPr>
      </w:pPr>
      <w:r>
        <w:rPr>
          <w:rFonts w:ascii="Arial" w:cs="Arial" w:hAnsi="Arial"/>
          <w:sz w:val="36"/>
          <w:szCs w:val="36"/>
        </w:rPr>
        <w:t>Student Name: MD Shah Alam</w:t>
      </w:r>
    </w:p>
    <w:p w14:paraId="6DF331D2">
      <w:pPr>
        <w:pStyle w:val="style62"/>
        <w:spacing w:lineRule="auto" w:line="360"/>
        <w:jc w:val="center"/>
        <w:rPr>
          <w:rFonts w:ascii="Arial" w:cs="Arial" w:hAnsi="Arial"/>
          <w:sz w:val="36"/>
          <w:szCs w:val="36"/>
        </w:rPr>
      </w:pPr>
      <w:r>
        <w:rPr>
          <w:rFonts w:ascii="Arial" w:cs="Arial" w:hAnsi="Arial"/>
          <w:sz w:val="36"/>
          <w:szCs w:val="36"/>
        </w:rPr>
        <w:t>Student ID: 2431302</w:t>
      </w:r>
    </w:p>
    <w:p w14:paraId="DC99339B">
      <w:pPr>
        <w:pStyle w:val="style0"/>
        <w:numPr>
          <w:ilvl w:val="0"/>
          <w:numId w:val="0"/>
        </w:numPr>
        <w:spacing w:lineRule="auto" w:line="360"/>
        <w:jc w:val="center"/>
        <w:rPr>
          <w:rFonts w:ascii="Arial" w:cs="Arial" w:hAnsi="Arial"/>
          <w:sz w:val="36"/>
          <w:szCs w:val="36"/>
        </w:rPr>
      </w:pPr>
      <w:r>
        <w:rPr>
          <w:rFonts w:ascii="Arial" w:cs="Arial" w:hAnsi="Arial"/>
          <w:sz w:val="36"/>
          <w:szCs w:val="36"/>
          <w:lang w:val="en-US"/>
        </w:rPr>
        <w:t xml:space="preserve">Supervisor Name: Amir Homayounfard </w:t>
      </w:r>
    </w:p>
    <w:p w14:paraId="25CB493D">
      <w:pPr>
        <w:pStyle w:val="style62"/>
        <w:spacing w:lineRule="auto" w:line="360"/>
        <w:jc w:val="center"/>
        <w:rPr>
          <w:rFonts w:ascii="Arial" w:cs="Arial" w:hAnsi="Arial"/>
          <w:sz w:val="36"/>
          <w:szCs w:val="36"/>
        </w:rPr>
      </w:pPr>
      <w:r>
        <w:rPr>
          <w:rFonts w:ascii="Arial" w:cs="Arial" w:hAnsi="Arial"/>
          <w:sz w:val="36"/>
          <w:szCs w:val="36"/>
        </w:rPr>
        <w:t>Name of University: University of Wales</w:t>
      </w:r>
      <w:r>
        <w:rPr>
          <w:rFonts w:ascii="Arial" w:cs="Arial" w:hAnsi="Arial"/>
          <w:sz w:val="36"/>
          <w:szCs w:val="36"/>
          <w:lang w:val="en-US"/>
        </w:rPr>
        <w:t xml:space="preserve"> Trinity Saint David </w:t>
      </w:r>
    </w:p>
    <w:p w14:paraId="6D81B134">
      <w:pPr>
        <w:pStyle w:val="style0"/>
        <w:spacing w:lineRule="auto" w:line="360"/>
        <w:jc w:val="center"/>
        <w:rPr>
          <w:rFonts w:ascii="Arial" w:cs="Arial" w:hAnsi="Arial"/>
          <w:sz w:val="36"/>
          <w:szCs w:val="36"/>
        </w:rPr>
      </w:pPr>
      <w:r>
        <w:rPr>
          <w:rFonts w:ascii="Arial" w:cs="Arial" w:hAnsi="Arial"/>
          <w:sz w:val="36"/>
          <w:szCs w:val="36"/>
        </w:rPr>
        <w:t xml:space="preserve">Word Count: </w:t>
      </w:r>
      <w:r>
        <w:rPr>
          <w:rFonts w:ascii="Arial" w:cs="Arial" w:hAnsi="Arial"/>
          <w:sz w:val="36"/>
          <w:szCs w:val="36"/>
        </w:rPr>
        <w:t>16</w:t>
      </w:r>
      <w:r>
        <w:rPr>
          <w:rFonts w:ascii="Arial" w:cs="Arial" w:hAnsi="Arial"/>
          <w:sz w:val="36"/>
          <w:szCs w:val="36"/>
        </w:rPr>
        <w:t>444</w:t>
      </w:r>
    </w:p>
    <w:p w14:paraId="6CD7C3F6">
      <w:pPr>
        <w:pStyle w:val="style0"/>
        <w:spacing w:lineRule="auto" w:line="360"/>
        <w:rPr>
          <w:rFonts w:ascii="Arial" w:cs="Arial" w:hAnsi="Arial"/>
        </w:rPr>
      </w:pPr>
    </w:p>
    <w:p w14:paraId="1BAA4D9F">
      <w:pPr>
        <w:pStyle w:val="style0"/>
        <w:spacing w:lineRule="auto" w:line="360"/>
        <w:rPr>
          <w:rFonts w:ascii="Arial" w:cs="Arial" w:hAnsi="Arial"/>
        </w:rPr>
      </w:pPr>
    </w:p>
    <w:p w14:paraId="4E13665E">
      <w:pPr>
        <w:pStyle w:val="style0"/>
        <w:spacing w:lineRule="auto" w:line="360"/>
        <w:rPr>
          <w:rFonts w:ascii="Arial" w:cs="Arial" w:hAnsi="Arial"/>
        </w:rPr>
      </w:pPr>
    </w:p>
    <w:p w14:paraId="30403F14">
      <w:pPr>
        <w:pStyle w:val="style0"/>
        <w:spacing w:lineRule="auto" w:line="360"/>
        <w:rPr>
          <w:rFonts w:ascii="Arial" w:cs="Arial" w:hAnsi="Arial"/>
        </w:rPr>
      </w:pPr>
    </w:p>
    <w:p w14:paraId="1B0BB459">
      <w:pPr>
        <w:pStyle w:val="style0"/>
        <w:spacing w:lineRule="auto" w:line="360"/>
        <w:rPr>
          <w:rFonts w:ascii="Arial" w:cs="Arial" w:hAnsi="Arial"/>
        </w:rPr>
      </w:pPr>
    </w:p>
    <w:p w14:paraId="7D1CAF17">
      <w:pPr>
        <w:pStyle w:val="style0"/>
        <w:spacing w:lineRule="auto" w:line="360"/>
        <w:rPr>
          <w:rFonts w:ascii="Arial" w:cs="Arial" w:hAnsi="Arial"/>
        </w:rPr>
      </w:pPr>
    </w:p>
    <w:p w14:paraId="5CB9F9EF">
      <w:pPr>
        <w:pStyle w:val="style0"/>
        <w:spacing w:lineRule="auto" w:line="360"/>
        <w:rPr>
          <w:rFonts w:ascii="Arial" w:cs="Arial" w:hAnsi="Arial"/>
        </w:rPr>
      </w:pPr>
    </w:p>
    <w:p w14:paraId="186D9CF9">
      <w:pPr>
        <w:pStyle w:val="style0"/>
        <w:spacing w:lineRule="auto" w:line="360"/>
        <w:rPr>
          <w:rFonts w:ascii="Arial" w:cs="Arial" w:hAnsi="Arial"/>
        </w:rPr>
      </w:pPr>
    </w:p>
    <w:p w14:paraId="12A0AF2B">
      <w:pPr>
        <w:pStyle w:val="style0"/>
        <w:spacing w:lineRule="auto" w:line="360"/>
        <w:rPr>
          <w:rFonts w:ascii="Arial" w:cs="Arial" w:hAnsi="Arial"/>
        </w:rPr>
      </w:pPr>
    </w:p>
    <w:bookmarkStart w:id="2" w:name="_Toc240496602"/>
    <w:p w14:paraId="7E502FE7">
      <w:pPr>
        <w:pStyle w:val="style1"/>
        <w:spacing w:lineRule="auto" w:line="360"/>
        <w:jc w:val="both"/>
        <w:rPr>
          <w:rFonts w:ascii="Arial" w:cs="Arial" w:hAnsi="Arial"/>
          <w:lang w:val="en-GB"/>
        </w:rPr>
      </w:pPr>
      <w:r>
        <w:rPr>
          <w:rFonts w:ascii="Arial" w:cs="Arial" w:hAnsi="Arial"/>
          <w:lang w:val="en-GB"/>
        </w:rPr>
        <w:t>Acknowledgment</w:t>
      </w:r>
      <w:bookmarkEnd w:id="2"/>
    </w:p>
    <w:p w14:paraId="1335FEDB">
      <w:pPr>
        <w:pStyle w:val="style0"/>
        <w:spacing w:lineRule="auto" w:line="360"/>
        <w:rPr>
          <w:rFonts w:ascii="Arial" w:cs="Arial" w:hAnsi="Arial"/>
        </w:rPr>
      </w:pPr>
      <w:r>
        <w:rPr>
          <w:rFonts w:ascii="Arial" w:cs="Arial" w:hAnsi="Arial"/>
        </w:rPr>
        <w:t>I would like to thank all those who helped me complete this dissertation.</w:t>
      </w:r>
    </w:p>
    <w:p w14:paraId="2FFAED0C">
      <w:pPr>
        <w:pStyle w:val="style0"/>
        <w:spacing w:lineRule="auto" w:line="360"/>
        <w:rPr>
          <w:rFonts w:ascii="Arial" w:cs="Arial" w:hAnsi="Arial"/>
        </w:rPr>
      </w:pPr>
      <w:r>
        <w:rPr>
          <w:rFonts w:ascii="Arial" w:cs="Arial" w:hAnsi="Arial"/>
        </w:rPr>
        <w:t>I would like to express my sincere gratitude to my dissertation supervisor for his/her valuable guidance, constructive feedback and encouragement, as well as continuous support throughout the research process. Their expertise and advice helped me to improve the quality of this work and successfully complete this research project.</w:t>
      </w:r>
    </w:p>
    <w:p w14:paraId="5989B5E9">
      <w:pPr>
        <w:pStyle w:val="style0"/>
        <w:spacing w:lineRule="auto" w:line="360"/>
        <w:rPr>
          <w:rFonts w:ascii="Arial" w:cs="Arial" w:hAnsi="Arial"/>
        </w:rPr>
      </w:pPr>
      <w:r>
        <w:rPr>
          <w:rFonts w:ascii="Arial" w:cs="Arial" w:hAnsi="Arial"/>
        </w:rPr>
        <w:t>I would also like to express my gratitude to the lecturers and staff of the Master of Business Administration programme at the University of Wales Trinity Saint David for providing the knowledge, resources, and academic support required to complete my studies.</w:t>
      </w:r>
    </w:p>
    <w:p w14:paraId="14604296">
      <w:pPr>
        <w:pStyle w:val="style0"/>
        <w:spacing w:lineRule="auto" w:line="360"/>
        <w:rPr>
          <w:rFonts w:ascii="Arial" w:cs="Arial" w:hAnsi="Arial"/>
        </w:rPr>
      </w:pPr>
      <w:r>
        <w:rPr>
          <w:rFonts w:ascii="Arial" w:cs="Arial" w:hAnsi="Arial"/>
        </w:rPr>
        <w:t>I would like to express my gratitude to all the participants and people who gave their time and help for this research.</w:t>
      </w:r>
    </w:p>
    <w:p w14:paraId="6D82D0B2">
      <w:pPr>
        <w:pStyle w:val="style0"/>
        <w:spacing w:lineRule="auto" w:line="360"/>
        <w:rPr>
          <w:rFonts w:ascii="Arial" w:cs="Arial" w:hAnsi="Arial"/>
        </w:rPr>
      </w:pPr>
      <w:r>
        <w:rPr>
          <w:rFonts w:ascii="Arial" w:cs="Arial" w:hAnsi="Arial"/>
        </w:rPr>
        <w:t xml:space="preserve">Last but not least, I would like to express my gratitude to my family, friends and loved ones for the patience, motivation and encouragement they gave to me throughout my MBA studies. I am grateful </w:t>
      </w:r>
      <w:r>
        <w:rPr>
          <w:rFonts w:ascii="Arial" w:cs="Arial" w:hAnsi="Arial"/>
        </w:rPr>
        <w:t>for</w:t>
      </w:r>
      <w:r>
        <w:rPr>
          <w:rFonts w:ascii="Arial" w:cs="Arial" w:hAnsi="Arial"/>
        </w:rPr>
        <w:t xml:space="preserve"> all the assistance I received from them, which helped me finish my dissertation.</w:t>
      </w:r>
    </w:p>
    <w:p w14:paraId="5D377657">
      <w:pPr>
        <w:pStyle w:val="style0"/>
        <w:spacing w:lineRule="auto" w:line="360"/>
        <w:rPr>
          <w:rFonts w:ascii="Arial" w:cs="Arial" w:hAnsi="Arial"/>
        </w:rPr>
      </w:pPr>
    </w:p>
    <w:p w14:paraId="78E9782F">
      <w:pPr>
        <w:pStyle w:val="style0"/>
        <w:spacing w:lineRule="auto" w:line="360"/>
        <w:rPr>
          <w:rFonts w:ascii="Arial" w:cs="Arial" w:hAnsi="Arial"/>
        </w:rPr>
      </w:pPr>
    </w:p>
    <w:p w14:paraId="4083E58E">
      <w:pPr>
        <w:pStyle w:val="style0"/>
        <w:spacing w:lineRule="auto" w:line="360"/>
        <w:rPr>
          <w:rFonts w:ascii="Arial" w:cs="Arial" w:hAnsi="Arial"/>
        </w:rPr>
      </w:pPr>
    </w:p>
    <w:p w14:paraId="6C2838D3">
      <w:pPr>
        <w:pStyle w:val="style0"/>
        <w:spacing w:lineRule="auto" w:line="360"/>
        <w:rPr>
          <w:rFonts w:ascii="Arial" w:cs="Arial" w:hAnsi="Arial"/>
        </w:rPr>
      </w:pPr>
    </w:p>
    <w:p w14:paraId="7CF43633">
      <w:pPr>
        <w:pStyle w:val="style0"/>
        <w:spacing w:lineRule="auto" w:line="360"/>
        <w:rPr>
          <w:rFonts w:ascii="Arial" w:cs="Arial" w:hAnsi="Arial"/>
        </w:rPr>
      </w:pPr>
    </w:p>
    <w:p w14:paraId="3194892A">
      <w:pPr>
        <w:pStyle w:val="style0"/>
        <w:spacing w:lineRule="auto" w:line="360"/>
        <w:rPr>
          <w:rFonts w:ascii="Arial" w:cs="Arial" w:hAnsi="Arial"/>
        </w:rPr>
      </w:pPr>
    </w:p>
    <w:p w14:paraId="1519C056">
      <w:pPr>
        <w:pStyle w:val="style0"/>
        <w:spacing w:lineRule="auto" w:line="360"/>
        <w:rPr>
          <w:rFonts w:ascii="Arial" w:cs="Arial" w:hAnsi="Arial"/>
        </w:rPr>
      </w:pPr>
    </w:p>
    <w:p w14:paraId="153970CD">
      <w:pPr>
        <w:pStyle w:val="style0"/>
        <w:spacing w:lineRule="auto" w:line="360"/>
        <w:rPr>
          <w:rFonts w:ascii="Arial" w:cs="Arial" w:hAnsi="Arial"/>
        </w:rPr>
      </w:pPr>
    </w:p>
    <w:p w14:paraId="0F3198FA">
      <w:pPr>
        <w:pStyle w:val="style0"/>
        <w:spacing w:lineRule="auto" w:line="360"/>
        <w:rPr>
          <w:rFonts w:ascii="Arial" w:cs="Arial" w:hAnsi="Arial"/>
        </w:rPr>
      </w:pPr>
    </w:p>
    <w:bookmarkStart w:id="3" w:name="_Toc240496603"/>
    <w:p w14:paraId="2E3BE7B8">
      <w:pPr>
        <w:pStyle w:val="style1"/>
        <w:spacing w:lineRule="auto" w:line="360"/>
        <w:jc w:val="both"/>
        <w:rPr>
          <w:rFonts w:ascii="Arial" w:cs="Arial" w:hAnsi="Arial"/>
        </w:rPr>
      </w:pPr>
      <w:r>
        <w:rPr>
          <w:rFonts w:ascii="Arial" w:cs="Arial" w:hAnsi="Arial"/>
        </w:rPr>
        <w:t xml:space="preserve">AI </w:t>
      </w:r>
      <w:r>
        <w:rPr>
          <w:rFonts w:ascii="Arial" w:cs="Arial" w:hAnsi="Arial"/>
        </w:rPr>
        <w:t>Acknowledgements</w:t>
      </w:r>
      <w:bookmarkEnd w:id="3"/>
    </w:p>
    <w:p w14:paraId="37247CD6">
      <w:pPr>
        <w:pStyle w:val="style0"/>
        <w:spacing w:lineRule="auto" w:line="360"/>
        <w:rPr>
          <w:rFonts w:ascii="Arial" w:cs="Arial" w:hAnsi="Arial"/>
        </w:rPr>
      </w:pPr>
      <w:r>
        <w:rPr>
          <w:rFonts w:ascii="Arial" w:cs="Arial" w:hAnsi="Arial"/>
        </w:rPr>
        <w:t>I used AI tools while preparing this dissertation. The role of AI was focused on enhancing language, checking for errors, refining sentence structure, and helping to organise content. All research choices, data examination, understanding of results, and final academic conclusions were made solely by the author. The author is entirely accountable for the accuracy, originality, and integrity of the work in this dissertation.</w:t>
      </w:r>
      <w:bookmarkStart w:id="4" w:name="_GoBack"/>
      <w:bookmarkEnd w:id="4"/>
    </w:p>
    <w:p w14:paraId="07292A61">
      <w:pPr>
        <w:pStyle w:val="style0"/>
        <w:spacing w:lineRule="auto" w:line="360"/>
        <w:jc w:val="left"/>
        <w:rPr>
          <w:rFonts w:ascii="Arial" w:cs="Arial" w:hAnsi="Arial"/>
        </w:rPr>
      </w:pPr>
      <w:r>
        <w:rPr>
          <w:rFonts w:ascii="Arial" w:cs="Arial" w:hAnsi="Arial"/>
        </w:rPr>
        <w:br w:type="page"/>
      </w:r>
    </w:p>
    <w:bookmarkStart w:id="5" w:name="_Toc240496604"/>
    <w:p w14:paraId="30E60AA2">
      <w:pPr>
        <w:pStyle w:val="style1"/>
        <w:spacing w:lineRule="auto" w:line="360"/>
        <w:jc w:val="both"/>
        <w:rPr>
          <w:rFonts w:ascii="Arial" w:cs="Arial" w:hAnsi="Arial"/>
          <w:lang w:val="en-GB"/>
        </w:rPr>
      </w:pPr>
      <w:r>
        <w:rPr>
          <w:rFonts w:ascii="Arial" w:cs="Arial" w:hAnsi="Arial"/>
          <w:lang w:val="en-GB"/>
        </w:rPr>
        <w:t>Declaration</w:t>
      </w:r>
      <w:bookmarkEnd w:id="5"/>
      <w:r>
        <w:rPr>
          <w:rFonts w:ascii="Arial" w:cs="Arial" w:hAnsi="Arial"/>
          <w:lang w:val="en-GB"/>
        </w:rPr>
        <w:t xml:space="preserve"> </w:t>
      </w:r>
    </w:p>
    <w:p w14:paraId="400F7950">
      <w:pPr>
        <w:pStyle w:val="style0"/>
        <w:spacing w:lineRule="auto" w:line="360"/>
        <w:rPr>
          <w:rFonts w:ascii="Arial" w:cs="Arial" w:hAnsi="Arial"/>
        </w:rPr>
      </w:pPr>
      <w:r>
        <w:rPr>
          <w:rFonts w:ascii="Arial" w:cs="Arial" w:hAnsi="Arial"/>
        </w:rPr>
        <w:t xml:space="preserve">I declare that the dissertation entitled </w:t>
      </w:r>
      <w:r>
        <w:rPr>
          <w:rFonts w:ascii="Arial" w:cs="Arial" w:hAnsi="Arial"/>
        </w:rPr>
        <w:t>“</w:t>
      </w:r>
      <w:r>
        <w:rPr>
          <w:rFonts w:ascii="Arial" w:cs="Arial" w:hAnsi="Arial"/>
          <w:b/>
          <w:bCs/>
        </w:rPr>
        <w:t>The Impact of Offer Personalisation on Customer Loyalty in the UK Grocery Retail Industry</w:t>
      </w:r>
      <w:r>
        <w:rPr>
          <w:rFonts w:ascii="Arial" w:cs="Arial" w:hAnsi="Arial"/>
        </w:rPr>
        <w:t xml:space="preserve">” </w:t>
      </w:r>
      <w:r>
        <w:rPr>
          <w:rFonts w:ascii="Arial" w:cs="Arial" w:hAnsi="Arial"/>
        </w:rPr>
        <w:t>is an original work of my own and has not been previously presented for any degree, diploma or certificate at any university or institution of learning.</w:t>
      </w:r>
    </w:p>
    <w:p w14:paraId="2315275A">
      <w:pPr>
        <w:pStyle w:val="style0"/>
        <w:spacing w:lineRule="auto" w:line="360"/>
        <w:rPr>
          <w:rFonts w:ascii="Arial" w:cs="Arial" w:hAnsi="Arial"/>
        </w:rPr>
      </w:pPr>
      <w:r>
        <w:rPr>
          <w:rFonts w:ascii="Arial" w:cs="Arial" w:hAnsi="Arial"/>
        </w:rPr>
        <w:t>I confirm that I have cited, referenced and acknowledged all information, ideas and materials obtained from the work of other authors in accordance with the academic referencing conventions.</w:t>
      </w:r>
    </w:p>
    <w:p w14:paraId="2CD7F219">
      <w:pPr>
        <w:pStyle w:val="style0"/>
        <w:spacing w:lineRule="auto" w:line="360"/>
        <w:rPr>
          <w:rFonts w:ascii="Arial" w:cs="Arial" w:hAnsi="Arial"/>
        </w:rPr>
      </w:pPr>
      <w:r>
        <w:rPr>
          <w:rFonts w:ascii="Arial" w:cs="Arial" w:hAnsi="Arial"/>
        </w:rPr>
        <w:t>I also state that this dissertation has not been presented, wholly or in part, also for any other academic qualification or award. I have read and understand the University of Aberdeen's Policy on content, originality and academic integrity for doctoral theses and take full responsibility for the content, originality and academic integrity of my dissertation.</w:t>
      </w:r>
    </w:p>
    <w:p w14:paraId="13AE9B12">
      <w:pPr>
        <w:pStyle w:val="style0"/>
        <w:spacing w:lineRule="auto" w:line="360"/>
        <w:rPr>
          <w:rFonts w:ascii="Arial" w:cs="Arial" w:hAnsi="Arial"/>
          <w:szCs w:val="24"/>
        </w:rPr>
      </w:pPr>
      <w:r>
        <w:rPr>
          <w:rFonts w:ascii="Arial" w:cs="Arial" w:hAnsi="Arial"/>
          <w:szCs w:val="24"/>
        </w:rPr>
        <w:t>Md Shah Alam</w:t>
      </w:r>
    </w:p>
    <w:p w14:paraId="07E4AFE8">
      <w:pPr>
        <w:pStyle w:val="style62"/>
        <w:spacing w:lineRule="auto" w:line="360"/>
        <w:rPr>
          <w:rFonts w:ascii="Arial" w:cs="Arial" w:hAnsi="Arial"/>
          <w:sz w:val="24"/>
          <w:szCs w:val="24"/>
        </w:rPr>
      </w:pPr>
      <w:r>
        <w:rPr>
          <w:rFonts w:ascii="Arial" w:cs="Arial" w:hAnsi="Arial"/>
          <w:sz w:val="24"/>
          <w:szCs w:val="24"/>
        </w:rPr>
        <w:t>Student ID: 2431302</w:t>
      </w:r>
    </w:p>
    <w:p w14:paraId="0C2F2680">
      <w:pPr>
        <w:pStyle w:val="style0"/>
        <w:spacing w:lineRule="auto" w:line="360"/>
        <w:rPr>
          <w:rFonts w:ascii="Arial" w:cs="Arial" w:hAnsi="Arial"/>
          <w:szCs w:val="24"/>
        </w:rPr>
      </w:pPr>
      <w:r>
        <w:rPr>
          <w:rFonts w:ascii="Arial" w:cs="Arial" w:hAnsi="Arial"/>
          <w:szCs w:val="24"/>
        </w:rPr>
        <w:t xml:space="preserve">Signature: </w:t>
      </w:r>
      <w:r>
        <w:rPr>
          <w:rFonts w:ascii="Arial" w:cs="Arial" w:hAnsi="Arial"/>
          <w:szCs w:val="28"/>
        </w:rPr>
        <w:t>MD Shah Alam</w:t>
      </w:r>
    </w:p>
    <w:p w14:paraId="2D095F47">
      <w:pPr>
        <w:pStyle w:val="style0"/>
        <w:spacing w:lineRule="auto" w:line="360"/>
        <w:rPr>
          <w:rFonts w:ascii="Arial" w:cs="Arial" w:hAnsi="Arial"/>
          <w:szCs w:val="24"/>
        </w:rPr>
      </w:pPr>
      <w:r>
        <w:rPr>
          <w:rFonts w:ascii="Arial" w:cs="Arial" w:hAnsi="Arial"/>
          <w:szCs w:val="24"/>
        </w:rPr>
        <w:t xml:space="preserve">Date of </w:t>
      </w:r>
      <w:r>
        <w:rPr>
          <w:rFonts w:ascii="Arial" w:cs="Arial" w:hAnsi="Arial"/>
          <w:szCs w:val="24"/>
        </w:rPr>
        <w:t>Submission</w:t>
      </w:r>
      <w:r>
        <w:rPr>
          <w:rFonts w:ascii="Arial" w:cs="Arial" w:hAnsi="Arial"/>
          <w:szCs w:val="24"/>
        </w:rPr>
        <w:t>: 2</w:t>
      </w:r>
      <w:r>
        <w:rPr>
          <w:rFonts w:ascii="Arial" w:cs="Arial" w:hAnsi="Arial"/>
          <w:szCs w:val="24"/>
        </w:rPr>
        <w:t>5</w:t>
      </w:r>
      <w:r>
        <w:rPr>
          <w:rFonts w:ascii="Arial" w:cs="Arial" w:hAnsi="Arial"/>
          <w:szCs w:val="24"/>
          <w:vertAlign w:val="superscript"/>
        </w:rPr>
        <w:t>th</w:t>
      </w:r>
      <w:r>
        <w:rPr>
          <w:rFonts w:ascii="Arial" w:cs="Arial" w:hAnsi="Arial"/>
          <w:szCs w:val="24"/>
        </w:rPr>
        <w:t xml:space="preserve"> </w:t>
      </w:r>
      <w:r>
        <w:rPr>
          <w:rFonts w:ascii="Arial" w:cs="Arial" w:hAnsi="Arial"/>
          <w:szCs w:val="24"/>
        </w:rPr>
        <w:t>September</w:t>
      </w:r>
      <w:r>
        <w:rPr>
          <w:rFonts w:ascii="Arial" w:cs="Arial" w:hAnsi="Arial"/>
          <w:szCs w:val="24"/>
        </w:rPr>
        <w:t>, 2026</w:t>
      </w:r>
    </w:p>
    <w:p w14:paraId="516D04DC">
      <w:pPr>
        <w:pStyle w:val="style0"/>
        <w:spacing w:lineRule="auto" w:line="360"/>
        <w:rPr>
          <w:rFonts w:ascii="Arial" w:cs="Arial" w:hAnsi="Arial"/>
          <w:szCs w:val="24"/>
        </w:rPr>
      </w:pPr>
      <w:r>
        <w:rPr>
          <w:rFonts w:ascii="Arial" w:cs="Arial" w:hAnsi="Arial"/>
          <w:szCs w:val="24"/>
        </w:rPr>
        <w:br w:type="page"/>
      </w:r>
    </w:p>
    <w:bookmarkStart w:id="6" w:name="_Toc240496605"/>
    <w:p w14:paraId="6AFF1089">
      <w:pPr>
        <w:pStyle w:val="style1"/>
        <w:spacing w:lineRule="auto" w:line="360"/>
        <w:jc w:val="both"/>
        <w:rPr>
          <w:rFonts w:ascii="Arial" w:cs="Arial" w:hAnsi="Arial"/>
          <w:lang w:val="en-GB"/>
        </w:rPr>
      </w:pPr>
      <w:r>
        <w:rPr>
          <w:rFonts w:ascii="Arial" w:cs="Arial" w:hAnsi="Arial"/>
          <w:lang w:val="en-GB"/>
        </w:rPr>
        <w:t>Abstract</w:t>
      </w:r>
      <w:bookmarkEnd w:id="6"/>
      <w:r>
        <w:rPr>
          <w:rFonts w:ascii="Arial" w:cs="Arial" w:hAnsi="Arial"/>
          <w:lang w:val="en-GB"/>
        </w:rPr>
        <w:t xml:space="preserve"> </w:t>
      </w:r>
    </w:p>
    <w:p w14:paraId="10AF3ACC">
      <w:pPr>
        <w:pStyle w:val="style0"/>
        <w:spacing w:lineRule="auto" w:line="360"/>
        <w:rPr>
          <w:rFonts w:ascii="Arial" w:cs="Arial" w:hAnsi="Arial"/>
        </w:rPr>
      </w:pPr>
      <w:r>
        <w:rPr>
          <w:rFonts w:ascii="Arial" w:cs="Arial" w:hAnsi="Arial"/>
        </w:rPr>
        <w:t xml:space="preserve">In the UK grocery retail industry, data-driven personalisation has revolutionised how </w:t>
      </w:r>
      <w:r>
        <w:rPr>
          <w:rFonts w:ascii="Arial" w:cs="Arial" w:hAnsi="Arial"/>
        </w:rPr>
        <w:t>retailers treat customers</w:t>
      </w:r>
      <w:r>
        <w:rPr>
          <w:rFonts w:ascii="Arial" w:cs="Arial" w:hAnsi="Arial"/>
        </w:rPr>
        <w:t xml:space="preserve">, with a focus on developing more effective customer loyalty programmes. </w:t>
      </w:r>
      <w:r>
        <w:rPr>
          <w:rFonts w:ascii="Arial" w:cs="Arial" w:hAnsi="Arial"/>
        </w:rPr>
        <w:t>Supermarkets increasingly use loyalty programmes, customer analytics, and digital platforms to offer individual discounts, recommendations, and rewards</w:t>
      </w:r>
      <w:r>
        <w:rPr>
          <w:rFonts w:ascii="Arial" w:cs="Arial" w:hAnsi="Arial"/>
        </w:rPr>
        <w:t xml:space="preserve">. Although personalised offers are </w:t>
      </w:r>
      <w:r>
        <w:rPr>
          <w:rFonts w:ascii="Arial" w:cs="Arial" w:hAnsi="Arial"/>
        </w:rPr>
        <w:t>one way to engage customers, it remains unclear whether they build genuine</w:t>
      </w:r>
      <w:r>
        <w:rPr>
          <w:rFonts w:ascii="Arial" w:cs="Arial" w:hAnsi="Arial"/>
        </w:rPr>
        <w:t xml:space="preserve"> customer loyalty. This study examines the role of offer personalisation in customer loyalty in the UK grocery retail sector, while exploring the mediating role of offer personalisation relevance, personalised offer values, perceived fairness, and customer trust in customer satisfaction and customer loyalty outcomes.</w:t>
      </w:r>
    </w:p>
    <w:p w14:paraId="260989F0">
      <w:pPr>
        <w:pStyle w:val="style0"/>
        <w:spacing w:lineRule="auto" w:line="360"/>
        <w:rPr>
          <w:rFonts w:ascii="Arial" w:cs="Arial" w:hAnsi="Arial"/>
        </w:rPr>
      </w:pPr>
      <w:r>
        <w:rPr>
          <w:rFonts w:ascii="Arial" w:cs="Arial" w:hAnsi="Arial"/>
        </w:rPr>
        <w:t xml:space="preserve">The research is qualitative secondary research using comparative case study analysis. </w:t>
      </w:r>
      <w:r>
        <w:rPr>
          <w:rFonts w:ascii="Arial" w:cs="Arial" w:hAnsi="Arial"/>
        </w:rPr>
        <w:t xml:space="preserve">The study analyses five large UK grocery stores (Tesco Clubcard, Sainsbury's Nectar, Lidl Plus, Morrisons More, and Asda Rewards) </w:t>
      </w:r>
      <w:r>
        <w:rPr>
          <w:rFonts w:ascii="Arial" w:cs="Arial" w:hAnsi="Arial"/>
        </w:rPr>
        <w:t>using publicly available secondary data, including company reports, industry reports, regulatory documents, and academic literature. The research follows an inductive approach, drawing on an interpretivist philosophy and existing theories to develop patterns from the case evidence. The study is theoretically informed by Commitment–Trust Theory of Relationship Marketing and Oliver’s Customer Loyalty Model.</w:t>
      </w:r>
    </w:p>
    <w:p w14:paraId="57C7EF5B">
      <w:pPr>
        <w:pStyle w:val="style0"/>
        <w:spacing w:lineRule="auto" w:line="360"/>
        <w:rPr>
          <w:rFonts w:ascii="Arial" w:cs="Arial" w:hAnsi="Arial"/>
        </w:rPr>
      </w:pPr>
      <w:r>
        <w:rPr>
          <w:rFonts w:ascii="Arial" w:cs="Arial" w:hAnsi="Arial"/>
        </w:rPr>
        <w:t>Results show that personalised offers can build customer engagement and lead to customer loyalty, as long as they are seen as relevant, valuable, and fairly implemented. But personalisation doesn't always lead to loyalty. The case analysis shows that personalised rewards can have a more direct effect on behavioural responses, like buying behaviour and programme participation, than on deeper attitudinal loyalty. These conditions of customer trust and perceived equity are identified as key conditions, as customers assess the value of what they get but also how it is gathered, utilised, and interpreted in customised offers. Moreover, customer satisfaction appears to be a significant intervening variable between positive perceptions of personalisation and potential customer outcomes such as loyalty.</w:t>
      </w:r>
    </w:p>
    <w:p w14:paraId="39FD43BA">
      <w:pPr>
        <w:pStyle w:val="style0"/>
        <w:spacing w:lineRule="auto" w:line="360"/>
        <w:rPr>
          <w:rFonts w:ascii="Arial" w:cs="Arial" w:hAnsi="Arial"/>
        </w:rPr>
      </w:pPr>
      <w:r>
        <w:rPr>
          <w:rFonts w:ascii="Arial" w:cs="Arial" w:hAnsi="Arial"/>
        </w:rPr>
        <w:t>The study builds on the existing literature by combining personalised offer relevance, perceived reward value, perceived fairness, customer trust</w:t>
      </w:r>
      <w:r>
        <w:rPr>
          <w:rFonts w:ascii="Arial" w:cs="Arial" w:hAnsi="Arial"/>
        </w:rPr>
        <w:t xml:space="preserve">, and customer satisfaction in </w:t>
      </w:r>
      <w:r>
        <w:rPr>
          <w:rFonts w:ascii="Arial" w:cs="Arial" w:hAnsi="Arial"/>
        </w:rPr>
        <w:t xml:space="preserve">one conceptual framework, and applying it specifically </w:t>
      </w:r>
      <w:r>
        <w:rPr>
          <w:rFonts w:ascii="Arial" w:cs="Arial" w:hAnsi="Arial"/>
        </w:rPr>
        <w:t>to grocery retail in the UK. It takes the concept of relationship marketing further by showing that</w:t>
      </w:r>
      <w:r>
        <w:rPr>
          <w:rFonts w:ascii="Arial" w:cs="Arial" w:hAnsi="Arial"/>
        </w:rPr>
        <w:t>, beyond being a result of successful loyalty campaigns, trust is also a precondition</w:t>
      </w:r>
      <w:r>
        <w:rPr>
          <w:rFonts w:ascii="Arial" w:cs="Arial" w:hAnsi="Arial"/>
        </w:rPr>
        <w:t xml:space="preserve"> that allows customers to embrace personalisation. Managerially, the research suggests that retailers should </w:t>
      </w:r>
      <w:r>
        <w:rPr>
          <w:rFonts w:ascii="Arial" w:cs="Arial" w:hAnsi="Arial"/>
        </w:rPr>
        <w:t>focus more on providing meaningful and transparent personalisation, and less on</w:t>
      </w:r>
      <w:r>
        <w:rPr>
          <w:rFonts w:ascii="Arial" w:cs="Arial" w:hAnsi="Arial"/>
        </w:rPr>
        <w:t xml:space="preserve"> discounts. </w:t>
      </w:r>
      <w:r>
        <w:rPr>
          <w:rFonts w:ascii="Arial" w:cs="Arial" w:hAnsi="Arial"/>
        </w:rPr>
        <w:t xml:space="preserve">Retailers must balance creating customer value with being fair, transparent, and responsible in using data for </w:t>
      </w:r>
      <w:r>
        <w:rPr>
          <w:rFonts w:ascii="Arial" w:cs="Arial" w:hAnsi="Arial"/>
        </w:rPr>
        <w:t>loyalty strategies.</w:t>
      </w:r>
    </w:p>
    <w:p w14:paraId="2A8A06A8">
      <w:pPr>
        <w:pStyle w:val="style0"/>
        <w:spacing w:lineRule="auto" w:line="360"/>
        <w:rPr>
          <w:rFonts w:ascii="Arial" w:cs="Arial" w:hAnsi="Arial"/>
        </w:rPr>
      </w:pPr>
      <w:r>
        <w:rPr>
          <w:rFonts w:ascii="Arial" w:cs="Arial" w:hAnsi="Arial"/>
        </w:rPr>
        <w:t xml:space="preserve">The study concludes that personalised offers are an opportunity to </w:t>
      </w:r>
      <w:r>
        <w:rPr>
          <w:rFonts w:ascii="Arial" w:cs="Arial" w:hAnsi="Arial"/>
        </w:rPr>
        <w:t>strengthen customers' relationship with the retailer, but whether they are perceived as relevant, valuable,</w:t>
      </w:r>
      <w:r>
        <w:rPr>
          <w:rFonts w:ascii="Arial" w:cs="Arial" w:hAnsi="Arial"/>
        </w:rPr>
        <w:t xml:space="preserve"> and legitimate in today's increasingly competitive grocery retail landscape remains to be seen.</w:t>
      </w:r>
    </w:p>
    <w:p w14:paraId="23781B18">
      <w:pPr>
        <w:pStyle w:val="style0"/>
        <w:spacing w:lineRule="auto" w:line="360"/>
        <w:rPr>
          <w:rFonts w:ascii="Arial" w:cs="Arial" w:hAnsi="Arial"/>
        </w:rPr>
      </w:pPr>
    </w:p>
    <w:p w14:paraId="51B43438">
      <w:pPr>
        <w:pStyle w:val="style0"/>
        <w:spacing w:lineRule="auto" w:line="360"/>
        <w:rPr>
          <w:rFonts w:ascii="Arial" w:cs="Arial" w:hAnsi="Arial"/>
        </w:rPr>
      </w:pPr>
    </w:p>
    <w:p w14:paraId="094433A5">
      <w:pPr>
        <w:pStyle w:val="style0"/>
        <w:spacing w:lineRule="auto" w:line="360"/>
        <w:rPr>
          <w:rFonts w:ascii="Arial" w:cs="Arial" w:hAnsi="Arial"/>
        </w:rPr>
      </w:pPr>
    </w:p>
    <w:p w14:paraId="187DF89E">
      <w:pPr>
        <w:pStyle w:val="style0"/>
        <w:spacing w:lineRule="auto" w:line="360"/>
        <w:rPr>
          <w:rFonts w:ascii="Arial" w:cs="Arial" w:hAnsi="Arial"/>
        </w:rPr>
      </w:pPr>
    </w:p>
    <w:p w14:paraId="33B7774D">
      <w:pPr>
        <w:pStyle w:val="style0"/>
        <w:spacing w:lineRule="auto" w:line="360"/>
        <w:rPr>
          <w:rFonts w:ascii="Arial" w:cs="Arial" w:hAnsi="Arial"/>
        </w:rPr>
      </w:pPr>
    </w:p>
    <w:p w14:paraId="20689DC4">
      <w:pPr>
        <w:pStyle w:val="style0"/>
        <w:spacing w:lineRule="auto" w:line="360"/>
        <w:rPr>
          <w:rFonts w:ascii="Arial" w:cs="Arial" w:hAnsi="Arial"/>
        </w:rPr>
      </w:pPr>
    </w:p>
    <w:p w14:paraId="6879250B">
      <w:pPr>
        <w:pStyle w:val="style0"/>
        <w:spacing w:lineRule="auto" w:line="360"/>
        <w:rPr>
          <w:rFonts w:ascii="Arial" w:cs="Arial" w:hAnsi="Arial"/>
        </w:rPr>
      </w:pPr>
    </w:p>
    <w:p w14:paraId="0A8F03B8">
      <w:pPr>
        <w:pStyle w:val="style0"/>
        <w:spacing w:lineRule="auto" w:line="360"/>
        <w:rPr>
          <w:rFonts w:ascii="Arial" w:cs="Arial" w:hAnsi="Arial"/>
        </w:rPr>
      </w:pPr>
    </w:p>
    <w:p w14:paraId="2B8E72D3">
      <w:pPr>
        <w:pStyle w:val="style0"/>
        <w:spacing w:lineRule="auto" w:line="360"/>
        <w:rPr>
          <w:rFonts w:ascii="Arial" w:cs="Arial" w:hAnsi="Arial"/>
        </w:rPr>
      </w:pPr>
    </w:p>
    <w:p w14:paraId="12D7DF59">
      <w:pPr>
        <w:pStyle w:val="style0"/>
        <w:spacing w:lineRule="auto" w:line="360"/>
        <w:rPr>
          <w:rFonts w:ascii="Arial" w:cs="Arial" w:hAnsi="Arial"/>
        </w:rPr>
      </w:pPr>
    </w:p>
    <w:p w14:paraId="7EA012E0">
      <w:pPr>
        <w:pStyle w:val="style0"/>
        <w:spacing w:lineRule="auto" w:line="360"/>
        <w:rPr>
          <w:rFonts w:ascii="Arial" w:cs="Arial" w:hAnsi="Arial"/>
        </w:rPr>
      </w:pPr>
    </w:p>
    <w:p w14:paraId="5E010865">
      <w:pPr>
        <w:pStyle w:val="style0"/>
        <w:spacing w:lineRule="auto" w:line="360"/>
        <w:rPr>
          <w:rFonts w:ascii="Arial" w:cs="Arial" w:hAnsi="Arial"/>
        </w:rPr>
      </w:pPr>
    </w:p>
    <w:p w14:paraId="68ABEF9E">
      <w:pPr>
        <w:pStyle w:val="style0"/>
        <w:spacing w:lineRule="auto" w:line="360"/>
        <w:rPr>
          <w:rFonts w:ascii="Arial" w:cs="Arial" w:hAnsi="Arial"/>
        </w:rPr>
      </w:pPr>
    </w:p>
    <w:p w14:paraId="271473F1">
      <w:pPr>
        <w:pStyle w:val="style0"/>
        <w:spacing w:lineRule="auto" w:line="360"/>
        <w:rPr>
          <w:rFonts w:ascii="Arial" w:cs="Arial" w:hAnsi="Arial"/>
        </w:rPr>
      </w:pPr>
    </w:p>
    <w:p w14:paraId="56B09B79">
      <w:pPr>
        <w:pStyle w:val="style0"/>
        <w:spacing w:lineRule="auto" w:line="360"/>
        <w:rPr>
          <w:rFonts w:ascii="Arial" w:cs="Arial" w:hAnsi="Arial"/>
        </w:rPr>
      </w:pPr>
    </w:p>
    <w:p w14:paraId="4E9935C1">
      <w:pPr>
        <w:pStyle w:val="style266"/>
        <w:spacing w:lineRule="auto" w:line="360"/>
        <w:jc w:val="center"/>
        <w:rPr>
          <w:rFonts w:ascii="Arial" w:cs="Arial" w:hAnsi="Arial"/>
          <w:lang w:val="en-GB"/>
        </w:rPr>
      </w:pPr>
      <w:r>
        <w:rPr>
          <w:rFonts w:ascii="Arial" w:cs="Arial" w:hAnsi="Arial"/>
          <w:lang w:val="en-GB"/>
        </w:rPr>
        <w:t>Table of Contents</w:t>
      </w:r>
    </w:p>
    <w:p w14:paraId="5D2A219E">
      <w:pPr>
        <w:pStyle w:val="style19"/>
        <w:tabs>
          <w:tab w:val="right" w:leader="dot" w:pos="9350"/>
        </w:tabs>
        <w:rPr>
          <w:rFonts w:ascii="Calibri" w:cs="宋体" w:eastAsia="宋体" w:hAnsi="Calibri"/>
          <w:noProof/>
          <w:sz w:val="22"/>
          <w:lang w:val="en-US"/>
        </w:rPr>
      </w:pPr>
      <w:r>
        <w:rPr>
          <w:rFonts w:ascii="Arial" w:cs="Arial" w:hAnsi="Arial"/>
        </w:rPr>
        <w:fldChar w:fldCharType="begin"/>
      </w:r>
      <w:r>
        <w:rPr>
          <w:rFonts w:ascii="Arial" w:cs="Arial" w:hAnsi="Arial"/>
        </w:rPr>
        <w:instrText xml:space="preserve"> TOC \o "1-3" \h \z \u </w:instrText>
      </w:r>
      <w:r>
        <w:rPr>
          <w:rFonts w:ascii="Arial" w:cs="Arial" w:hAnsi="Arial"/>
        </w:rPr>
        <w:fldChar w:fldCharType="separate"/>
      </w:r>
      <w:r>
        <w:rPr/>
        <w:fldChar w:fldCharType="begin"/>
      </w:r>
      <w:r>
        <w:instrText xml:space="preserve"> HYPERLINK \l "_Toc240496602" </w:instrText>
      </w:r>
      <w:r>
        <w:rPr/>
        <w:fldChar w:fldCharType="separate"/>
      </w:r>
      <w:r>
        <w:rPr>
          <w:rStyle w:val="style85"/>
          <w:rFonts w:ascii="Arial" w:cs="Arial" w:hAnsi="Arial"/>
          <w:noProof/>
        </w:rPr>
        <w:t>Acknowledgment</w:t>
      </w:r>
      <w:r>
        <w:rPr>
          <w:noProof/>
          <w:webHidden/>
        </w:rPr>
        <w:tab/>
      </w:r>
      <w:r>
        <w:rPr>
          <w:noProof/>
          <w:webHidden/>
        </w:rPr>
        <w:fldChar w:fldCharType="begin"/>
      </w:r>
      <w:r>
        <w:rPr>
          <w:noProof/>
          <w:webHidden/>
        </w:rPr>
        <w:instrText xml:space="preserve"> PAGEREF _Toc240496602 \h </w:instrText>
      </w:r>
      <w:r>
        <w:rPr>
          <w:noProof/>
          <w:webHidden/>
        </w:rPr>
        <w:fldChar w:fldCharType="separate"/>
      </w:r>
      <w:r>
        <w:rPr>
          <w:noProof/>
          <w:webHidden/>
        </w:rPr>
        <w:t>2</w:t>
      </w:r>
      <w:r>
        <w:rPr>
          <w:noProof/>
          <w:webHidden/>
        </w:rPr>
        <w:fldChar w:fldCharType="end"/>
      </w:r>
      <w:r>
        <w:rPr/>
        <w:fldChar w:fldCharType="end"/>
      </w:r>
    </w:p>
    <w:p w14:paraId="34589B34">
      <w:pPr>
        <w:pStyle w:val="style19"/>
        <w:tabs>
          <w:tab w:val="right" w:leader="dot" w:pos="9350"/>
        </w:tabs>
        <w:rPr>
          <w:rFonts w:ascii="Calibri" w:cs="宋体" w:eastAsia="宋体" w:hAnsi="Calibri"/>
          <w:noProof/>
          <w:sz w:val="22"/>
          <w:lang w:val="en-US"/>
        </w:rPr>
      </w:pPr>
      <w:r>
        <w:rPr/>
        <w:fldChar w:fldCharType="begin"/>
      </w:r>
      <w:r>
        <w:instrText xml:space="preserve"> HYPERLINK \l "_Toc240496603" </w:instrText>
      </w:r>
      <w:r>
        <w:rPr/>
        <w:fldChar w:fldCharType="separate"/>
      </w:r>
      <w:r>
        <w:rPr>
          <w:rStyle w:val="style85"/>
          <w:rFonts w:ascii="Arial" w:cs="Arial" w:hAnsi="Arial"/>
          <w:noProof/>
        </w:rPr>
        <w:t>AI Acknowledgements</w:t>
      </w:r>
      <w:r>
        <w:rPr>
          <w:noProof/>
          <w:webHidden/>
        </w:rPr>
        <w:tab/>
      </w:r>
      <w:r>
        <w:rPr>
          <w:noProof/>
          <w:webHidden/>
        </w:rPr>
        <w:fldChar w:fldCharType="begin"/>
      </w:r>
      <w:r>
        <w:rPr>
          <w:noProof/>
          <w:webHidden/>
        </w:rPr>
        <w:instrText xml:space="preserve"> PAGEREF _Toc240496603 \h </w:instrText>
      </w:r>
      <w:r>
        <w:rPr>
          <w:noProof/>
          <w:webHidden/>
        </w:rPr>
        <w:fldChar w:fldCharType="separate"/>
      </w:r>
      <w:r>
        <w:rPr>
          <w:noProof/>
          <w:webHidden/>
        </w:rPr>
        <w:t>3</w:t>
      </w:r>
      <w:r>
        <w:rPr>
          <w:noProof/>
          <w:webHidden/>
        </w:rPr>
        <w:fldChar w:fldCharType="end"/>
      </w:r>
      <w:r>
        <w:rPr/>
        <w:fldChar w:fldCharType="end"/>
      </w:r>
    </w:p>
    <w:p w14:paraId="4646F228">
      <w:pPr>
        <w:pStyle w:val="style19"/>
        <w:tabs>
          <w:tab w:val="right" w:leader="dot" w:pos="9350"/>
        </w:tabs>
        <w:rPr>
          <w:rFonts w:ascii="Calibri" w:cs="宋体" w:eastAsia="宋体" w:hAnsi="Calibri"/>
          <w:noProof/>
          <w:sz w:val="22"/>
          <w:lang w:val="en-US"/>
        </w:rPr>
      </w:pPr>
      <w:r>
        <w:rPr/>
        <w:fldChar w:fldCharType="begin"/>
      </w:r>
      <w:r>
        <w:instrText xml:space="preserve"> HYPERLINK \l "_Toc240496604" </w:instrText>
      </w:r>
      <w:r>
        <w:rPr/>
        <w:fldChar w:fldCharType="separate"/>
      </w:r>
      <w:r>
        <w:rPr>
          <w:rStyle w:val="style85"/>
          <w:rFonts w:ascii="Arial" w:cs="Arial" w:hAnsi="Arial"/>
          <w:noProof/>
        </w:rPr>
        <w:t>Declaration</w:t>
      </w:r>
      <w:r>
        <w:rPr>
          <w:noProof/>
          <w:webHidden/>
        </w:rPr>
        <w:tab/>
      </w:r>
      <w:r>
        <w:rPr>
          <w:noProof/>
          <w:webHidden/>
        </w:rPr>
        <w:fldChar w:fldCharType="begin"/>
      </w:r>
      <w:r>
        <w:rPr>
          <w:noProof/>
          <w:webHidden/>
        </w:rPr>
        <w:instrText xml:space="preserve"> PAGEREF _Toc240496604 \h </w:instrText>
      </w:r>
      <w:r>
        <w:rPr>
          <w:noProof/>
          <w:webHidden/>
        </w:rPr>
        <w:fldChar w:fldCharType="separate"/>
      </w:r>
      <w:r>
        <w:rPr>
          <w:noProof/>
          <w:webHidden/>
        </w:rPr>
        <w:t>4</w:t>
      </w:r>
      <w:r>
        <w:rPr>
          <w:noProof/>
          <w:webHidden/>
        </w:rPr>
        <w:fldChar w:fldCharType="end"/>
      </w:r>
      <w:r>
        <w:rPr/>
        <w:fldChar w:fldCharType="end"/>
      </w:r>
    </w:p>
    <w:p w14:paraId="2AC4C153">
      <w:pPr>
        <w:pStyle w:val="style19"/>
        <w:tabs>
          <w:tab w:val="right" w:leader="dot" w:pos="9350"/>
        </w:tabs>
        <w:rPr>
          <w:rFonts w:ascii="Calibri" w:cs="宋体" w:eastAsia="宋体" w:hAnsi="Calibri"/>
          <w:noProof/>
          <w:sz w:val="22"/>
          <w:lang w:val="en-US"/>
        </w:rPr>
      </w:pPr>
      <w:r>
        <w:rPr/>
        <w:fldChar w:fldCharType="begin"/>
      </w:r>
      <w:r>
        <w:instrText xml:space="preserve"> HYPERLINK \l "_Toc240496605" </w:instrText>
      </w:r>
      <w:r>
        <w:rPr/>
        <w:fldChar w:fldCharType="separate"/>
      </w:r>
      <w:r>
        <w:rPr>
          <w:rStyle w:val="style85"/>
          <w:rFonts w:ascii="Arial" w:cs="Arial" w:hAnsi="Arial"/>
          <w:noProof/>
        </w:rPr>
        <w:t>Abstract</w:t>
      </w:r>
      <w:r>
        <w:rPr>
          <w:noProof/>
          <w:webHidden/>
        </w:rPr>
        <w:tab/>
      </w:r>
      <w:r>
        <w:rPr>
          <w:noProof/>
          <w:webHidden/>
        </w:rPr>
        <w:fldChar w:fldCharType="begin"/>
      </w:r>
      <w:r>
        <w:rPr>
          <w:noProof/>
          <w:webHidden/>
        </w:rPr>
        <w:instrText xml:space="preserve"> PAGEREF _Toc240496605 \h </w:instrText>
      </w:r>
      <w:r>
        <w:rPr>
          <w:noProof/>
          <w:webHidden/>
        </w:rPr>
        <w:fldChar w:fldCharType="separate"/>
      </w:r>
      <w:r>
        <w:rPr>
          <w:noProof/>
          <w:webHidden/>
        </w:rPr>
        <w:t>5</w:t>
      </w:r>
      <w:r>
        <w:rPr>
          <w:noProof/>
          <w:webHidden/>
        </w:rPr>
        <w:fldChar w:fldCharType="end"/>
      </w:r>
      <w:r>
        <w:rPr/>
        <w:fldChar w:fldCharType="end"/>
      </w:r>
    </w:p>
    <w:p w14:paraId="593949FE">
      <w:pPr>
        <w:pStyle w:val="style19"/>
        <w:tabs>
          <w:tab w:val="right" w:leader="dot" w:pos="9350"/>
        </w:tabs>
        <w:rPr>
          <w:rFonts w:ascii="Calibri" w:cs="宋体" w:eastAsia="宋体" w:hAnsi="Calibri"/>
          <w:noProof/>
          <w:sz w:val="22"/>
          <w:lang w:val="en-US"/>
        </w:rPr>
      </w:pPr>
      <w:r>
        <w:rPr/>
        <w:fldChar w:fldCharType="begin"/>
      </w:r>
      <w:r>
        <w:instrText xml:space="preserve"> HYPERLINK \l "_Toc240496606" </w:instrText>
      </w:r>
      <w:r>
        <w:rPr/>
        <w:fldChar w:fldCharType="separate"/>
      </w:r>
      <w:r>
        <w:rPr>
          <w:rStyle w:val="style85"/>
          <w:rFonts w:ascii="Arial" w:cs="Arial" w:hAnsi="Arial"/>
          <w:noProof/>
        </w:rPr>
        <w:t>Chapter 1: Introduction and Rationale</w:t>
      </w:r>
      <w:r>
        <w:rPr>
          <w:noProof/>
          <w:webHidden/>
        </w:rPr>
        <w:tab/>
      </w:r>
      <w:r>
        <w:rPr>
          <w:noProof/>
          <w:webHidden/>
        </w:rPr>
        <w:fldChar w:fldCharType="begin"/>
      </w:r>
      <w:r>
        <w:rPr>
          <w:noProof/>
          <w:webHidden/>
        </w:rPr>
        <w:instrText xml:space="preserve"> PAGEREF _Toc240496606 \h </w:instrText>
      </w:r>
      <w:r>
        <w:rPr>
          <w:noProof/>
          <w:webHidden/>
        </w:rPr>
        <w:fldChar w:fldCharType="separate"/>
      </w:r>
      <w:r>
        <w:rPr>
          <w:noProof/>
          <w:webHidden/>
        </w:rPr>
        <w:t>11</w:t>
      </w:r>
      <w:r>
        <w:rPr>
          <w:noProof/>
          <w:webHidden/>
        </w:rPr>
        <w:fldChar w:fldCharType="end"/>
      </w:r>
      <w:r>
        <w:rPr/>
        <w:fldChar w:fldCharType="end"/>
      </w:r>
    </w:p>
    <w:p w14:paraId="05D88200">
      <w:pPr>
        <w:pStyle w:val="style20"/>
        <w:tabs>
          <w:tab w:val="right" w:leader="dot" w:pos="9350"/>
        </w:tabs>
        <w:rPr>
          <w:rFonts w:ascii="Calibri" w:cs="宋体" w:eastAsia="宋体" w:hAnsi="Calibri"/>
          <w:noProof/>
          <w:sz w:val="22"/>
          <w:lang w:val="en-US"/>
        </w:rPr>
      </w:pPr>
      <w:r>
        <w:rPr/>
        <w:fldChar w:fldCharType="begin"/>
      </w:r>
      <w:r>
        <w:instrText xml:space="preserve"> HYPERLINK \l "_Toc240496607" </w:instrText>
      </w:r>
      <w:r>
        <w:rPr/>
        <w:fldChar w:fldCharType="separate"/>
      </w:r>
      <w:r>
        <w:rPr>
          <w:rStyle w:val="style85"/>
          <w:rFonts w:ascii="Arial" w:cs="Arial" w:hAnsi="Arial"/>
          <w:noProof/>
        </w:rPr>
        <w:t>1.1 Research Background</w:t>
      </w:r>
      <w:r>
        <w:rPr>
          <w:noProof/>
          <w:webHidden/>
        </w:rPr>
        <w:tab/>
      </w:r>
      <w:r>
        <w:rPr>
          <w:noProof/>
          <w:webHidden/>
        </w:rPr>
        <w:fldChar w:fldCharType="begin"/>
      </w:r>
      <w:r>
        <w:rPr>
          <w:noProof/>
          <w:webHidden/>
        </w:rPr>
        <w:instrText xml:space="preserve"> PAGEREF _Toc240496607 \h </w:instrText>
      </w:r>
      <w:r>
        <w:rPr>
          <w:noProof/>
          <w:webHidden/>
        </w:rPr>
        <w:fldChar w:fldCharType="separate"/>
      </w:r>
      <w:r>
        <w:rPr>
          <w:noProof/>
          <w:webHidden/>
        </w:rPr>
        <w:t>11</w:t>
      </w:r>
      <w:r>
        <w:rPr>
          <w:noProof/>
          <w:webHidden/>
        </w:rPr>
        <w:fldChar w:fldCharType="end"/>
      </w:r>
      <w:r>
        <w:rPr/>
        <w:fldChar w:fldCharType="end"/>
      </w:r>
    </w:p>
    <w:p w14:paraId="5DFFDC9E">
      <w:pPr>
        <w:pStyle w:val="style20"/>
        <w:tabs>
          <w:tab w:val="right" w:leader="dot" w:pos="9350"/>
        </w:tabs>
        <w:rPr>
          <w:rFonts w:ascii="Calibri" w:cs="宋体" w:eastAsia="宋体" w:hAnsi="Calibri"/>
          <w:noProof/>
          <w:sz w:val="22"/>
          <w:lang w:val="en-US"/>
        </w:rPr>
      </w:pPr>
      <w:r>
        <w:rPr/>
        <w:fldChar w:fldCharType="begin"/>
      </w:r>
      <w:r>
        <w:instrText xml:space="preserve"> HYPERLINK \l "_Toc240496608" </w:instrText>
      </w:r>
      <w:r>
        <w:rPr/>
        <w:fldChar w:fldCharType="separate"/>
      </w:r>
      <w:r>
        <w:rPr>
          <w:rStyle w:val="style85"/>
          <w:rFonts w:ascii="Arial" w:cs="Arial" w:hAnsi="Arial"/>
          <w:noProof/>
        </w:rPr>
        <w:t>1.2 Research Rationale</w:t>
      </w:r>
      <w:r>
        <w:rPr>
          <w:noProof/>
          <w:webHidden/>
        </w:rPr>
        <w:tab/>
      </w:r>
      <w:r>
        <w:rPr>
          <w:noProof/>
          <w:webHidden/>
        </w:rPr>
        <w:fldChar w:fldCharType="begin"/>
      </w:r>
      <w:r>
        <w:rPr>
          <w:noProof/>
          <w:webHidden/>
        </w:rPr>
        <w:instrText xml:space="preserve"> PAGEREF _Toc240496608 \h </w:instrText>
      </w:r>
      <w:r>
        <w:rPr>
          <w:noProof/>
          <w:webHidden/>
        </w:rPr>
        <w:fldChar w:fldCharType="separate"/>
      </w:r>
      <w:r>
        <w:rPr>
          <w:noProof/>
          <w:webHidden/>
        </w:rPr>
        <w:t>12</w:t>
      </w:r>
      <w:r>
        <w:rPr>
          <w:noProof/>
          <w:webHidden/>
        </w:rPr>
        <w:fldChar w:fldCharType="end"/>
      </w:r>
      <w:r>
        <w:rPr/>
        <w:fldChar w:fldCharType="end"/>
      </w:r>
    </w:p>
    <w:p w14:paraId="3BBF7017">
      <w:pPr>
        <w:pStyle w:val="style21"/>
        <w:tabs>
          <w:tab w:val="right" w:leader="dot" w:pos="9350"/>
        </w:tabs>
        <w:rPr>
          <w:rFonts w:ascii="Calibri" w:cs="宋体" w:eastAsia="宋体" w:hAnsi="Calibri"/>
          <w:noProof/>
          <w:sz w:val="22"/>
          <w:lang w:val="en-US"/>
        </w:rPr>
      </w:pPr>
      <w:r>
        <w:rPr/>
        <w:fldChar w:fldCharType="begin"/>
      </w:r>
      <w:r>
        <w:instrText xml:space="preserve"> HYPERLINK \l "_Toc240496609" </w:instrText>
      </w:r>
      <w:r>
        <w:rPr/>
        <w:fldChar w:fldCharType="separate"/>
      </w:r>
      <w:r>
        <w:rPr>
          <w:rStyle w:val="style85"/>
          <w:rFonts w:ascii="Arial" w:cs="Arial" w:hAnsi="Arial"/>
          <w:noProof/>
        </w:rPr>
        <w:t>1.2.1 Theoretical Justification</w:t>
      </w:r>
      <w:r>
        <w:rPr>
          <w:noProof/>
          <w:webHidden/>
        </w:rPr>
        <w:tab/>
      </w:r>
      <w:r>
        <w:rPr>
          <w:noProof/>
          <w:webHidden/>
        </w:rPr>
        <w:fldChar w:fldCharType="begin"/>
      </w:r>
      <w:r>
        <w:rPr>
          <w:noProof/>
          <w:webHidden/>
        </w:rPr>
        <w:instrText xml:space="preserve"> PAGEREF _Toc240496609 \h </w:instrText>
      </w:r>
      <w:r>
        <w:rPr>
          <w:noProof/>
          <w:webHidden/>
        </w:rPr>
        <w:fldChar w:fldCharType="separate"/>
      </w:r>
      <w:r>
        <w:rPr>
          <w:noProof/>
          <w:webHidden/>
        </w:rPr>
        <w:t>12</w:t>
      </w:r>
      <w:r>
        <w:rPr>
          <w:noProof/>
          <w:webHidden/>
        </w:rPr>
        <w:fldChar w:fldCharType="end"/>
      </w:r>
      <w:r>
        <w:rPr/>
        <w:fldChar w:fldCharType="end"/>
      </w:r>
    </w:p>
    <w:p w14:paraId="3A3C0244">
      <w:pPr>
        <w:pStyle w:val="style21"/>
        <w:tabs>
          <w:tab w:val="right" w:leader="dot" w:pos="9350"/>
        </w:tabs>
        <w:rPr>
          <w:rFonts w:ascii="Calibri" w:cs="宋体" w:eastAsia="宋体" w:hAnsi="Calibri"/>
          <w:noProof/>
          <w:sz w:val="22"/>
          <w:lang w:val="en-US"/>
        </w:rPr>
      </w:pPr>
      <w:r>
        <w:rPr/>
        <w:fldChar w:fldCharType="begin"/>
      </w:r>
      <w:r>
        <w:instrText xml:space="preserve"> HYPERLINK \l "_Toc240496610" </w:instrText>
      </w:r>
      <w:r>
        <w:rPr/>
        <w:fldChar w:fldCharType="separate"/>
      </w:r>
      <w:r>
        <w:rPr>
          <w:rStyle w:val="style85"/>
          <w:rFonts w:ascii="Arial" w:cs="Arial" w:hAnsi="Arial"/>
          <w:noProof/>
        </w:rPr>
        <w:t>1.2.2 Practical Contribution</w:t>
      </w:r>
      <w:r>
        <w:rPr>
          <w:noProof/>
          <w:webHidden/>
        </w:rPr>
        <w:tab/>
      </w:r>
      <w:r>
        <w:rPr>
          <w:noProof/>
          <w:webHidden/>
        </w:rPr>
        <w:fldChar w:fldCharType="begin"/>
      </w:r>
      <w:r>
        <w:rPr>
          <w:noProof/>
          <w:webHidden/>
        </w:rPr>
        <w:instrText xml:space="preserve"> PAGEREF _Toc240496610 \h </w:instrText>
      </w:r>
      <w:r>
        <w:rPr>
          <w:noProof/>
          <w:webHidden/>
        </w:rPr>
        <w:fldChar w:fldCharType="separate"/>
      </w:r>
      <w:r>
        <w:rPr>
          <w:noProof/>
          <w:webHidden/>
        </w:rPr>
        <w:t>13</w:t>
      </w:r>
      <w:r>
        <w:rPr>
          <w:noProof/>
          <w:webHidden/>
        </w:rPr>
        <w:fldChar w:fldCharType="end"/>
      </w:r>
      <w:r>
        <w:rPr/>
        <w:fldChar w:fldCharType="end"/>
      </w:r>
    </w:p>
    <w:p w14:paraId="2B2FB15D">
      <w:pPr>
        <w:pStyle w:val="style21"/>
        <w:tabs>
          <w:tab w:val="right" w:leader="dot" w:pos="9350"/>
        </w:tabs>
        <w:rPr>
          <w:rFonts w:ascii="Calibri" w:cs="宋体" w:eastAsia="宋体" w:hAnsi="Calibri"/>
          <w:noProof/>
          <w:sz w:val="22"/>
          <w:lang w:val="en-US"/>
        </w:rPr>
      </w:pPr>
      <w:r>
        <w:rPr/>
        <w:fldChar w:fldCharType="begin"/>
      </w:r>
      <w:r>
        <w:instrText xml:space="preserve"> HYPERLINK \l "_Toc240496611" </w:instrText>
      </w:r>
      <w:r>
        <w:rPr/>
        <w:fldChar w:fldCharType="separate"/>
      </w:r>
      <w:r>
        <w:rPr>
          <w:rStyle w:val="style85"/>
          <w:rFonts w:ascii="Arial" w:cs="Arial" w:hAnsi="Arial"/>
          <w:noProof/>
        </w:rPr>
        <w:t>1.2.3 Research Contribution &amp; Motivation</w:t>
      </w:r>
      <w:r>
        <w:rPr>
          <w:noProof/>
          <w:webHidden/>
        </w:rPr>
        <w:tab/>
      </w:r>
      <w:r>
        <w:rPr>
          <w:noProof/>
          <w:webHidden/>
        </w:rPr>
        <w:fldChar w:fldCharType="begin"/>
      </w:r>
      <w:r>
        <w:rPr>
          <w:noProof/>
          <w:webHidden/>
        </w:rPr>
        <w:instrText xml:space="preserve"> PAGEREF _Toc240496611 \h </w:instrText>
      </w:r>
      <w:r>
        <w:rPr>
          <w:noProof/>
          <w:webHidden/>
        </w:rPr>
        <w:fldChar w:fldCharType="separate"/>
      </w:r>
      <w:r>
        <w:rPr>
          <w:noProof/>
          <w:webHidden/>
        </w:rPr>
        <w:t>13</w:t>
      </w:r>
      <w:r>
        <w:rPr>
          <w:noProof/>
          <w:webHidden/>
        </w:rPr>
        <w:fldChar w:fldCharType="end"/>
      </w:r>
      <w:r>
        <w:rPr/>
        <w:fldChar w:fldCharType="end"/>
      </w:r>
    </w:p>
    <w:p w14:paraId="5FB3FB46">
      <w:pPr>
        <w:pStyle w:val="style20"/>
        <w:tabs>
          <w:tab w:val="right" w:leader="dot" w:pos="9350"/>
        </w:tabs>
        <w:rPr>
          <w:rFonts w:ascii="Calibri" w:cs="宋体" w:eastAsia="宋体" w:hAnsi="Calibri"/>
          <w:noProof/>
          <w:sz w:val="22"/>
          <w:lang w:val="en-US"/>
        </w:rPr>
      </w:pPr>
      <w:r>
        <w:rPr/>
        <w:fldChar w:fldCharType="begin"/>
      </w:r>
      <w:r>
        <w:instrText xml:space="preserve"> HYPERLINK \l "_Toc240496612" </w:instrText>
      </w:r>
      <w:r>
        <w:rPr/>
        <w:fldChar w:fldCharType="separate"/>
      </w:r>
      <w:r>
        <w:rPr>
          <w:rStyle w:val="style85"/>
          <w:rFonts w:ascii="Arial" w:cs="Arial" w:hAnsi="Arial"/>
          <w:noProof/>
        </w:rPr>
        <w:t>1.4 Research Aim, Objectives and Questions</w:t>
      </w:r>
      <w:r>
        <w:rPr>
          <w:noProof/>
          <w:webHidden/>
        </w:rPr>
        <w:tab/>
      </w:r>
      <w:r>
        <w:rPr>
          <w:noProof/>
          <w:webHidden/>
        </w:rPr>
        <w:fldChar w:fldCharType="begin"/>
      </w:r>
      <w:r>
        <w:rPr>
          <w:noProof/>
          <w:webHidden/>
        </w:rPr>
        <w:instrText xml:space="preserve"> PAGEREF _Toc240496612 \h </w:instrText>
      </w:r>
      <w:r>
        <w:rPr>
          <w:noProof/>
          <w:webHidden/>
        </w:rPr>
        <w:fldChar w:fldCharType="separate"/>
      </w:r>
      <w:r>
        <w:rPr>
          <w:noProof/>
          <w:webHidden/>
        </w:rPr>
        <w:t>15</w:t>
      </w:r>
      <w:r>
        <w:rPr>
          <w:noProof/>
          <w:webHidden/>
        </w:rPr>
        <w:fldChar w:fldCharType="end"/>
      </w:r>
      <w:r>
        <w:rPr/>
        <w:fldChar w:fldCharType="end"/>
      </w:r>
    </w:p>
    <w:p w14:paraId="16BB9901">
      <w:pPr>
        <w:pStyle w:val="style19"/>
        <w:tabs>
          <w:tab w:val="right" w:leader="dot" w:pos="9350"/>
        </w:tabs>
        <w:rPr>
          <w:rFonts w:ascii="Calibri" w:cs="宋体" w:eastAsia="宋体" w:hAnsi="Calibri"/>
          <w:noProof/>
          <w:sz w:val="22"/>
          <w:lang w:val="en-US"/>
        </w:rPr>
      </w:pPr>
      <w:r>
        <w:rPr/>
        <w:fldChar w:fldCharType="begin"/>
      </w:r>
      <w:r>
        <w:instrText xml:space="preserve"> HYPERLINK \l "_Toc240496613" </w:instrText>
      </w:r>
      <w:r>
        <w:rPr/>
        <w:fldChar w:fldCharType="separate"/>
      </w:r>
      <w:r>
        <w:rPr>
          <w:rStyle w:val="style85"/>
          <w:rFonts w:ascii="Arial" w:cs="Arial" w:hAnsi="Arial"/>
          <w:noProof/>
        </w:rPr>
        <w:t>Chapter 2: Literature Review</w:t>
      </w:r>
      <w:r>
        <w:rPr>
          <w:noProof/>
          <w:webHidden/>
        </w:rPr>
        <w:tab/>
      </w:r>
      <w:r>
        <w:rPr>
          <w:noProof/>
          <w:webHidden/>
        </w:rPr>
        <w:fldChar w:fldCharType="begin"/>
      </w:r>
      <w:r>
        <w:rPr>
          <w:noProof/>
          <w:webHidden/>
        </w:rPr>
        <w:instrText xml:space="preserve"> PAGEREF _Toc240496613 \h </w:instrText>
      </w:r>
      <w:r>
        <w:rPr>
          <w:noProof/>
          <w:webHidden/>
        </w:rPr>
        <w:fldChar w:fldCharType="separate"/>
      </w:r>
      <w:r>
        <w:rPr>
          <w:noProof/>
          <w:webHidden/>
        </w:rPr>
        <w:t>16</w:t>
      </w:r>
      <w:r>
        <w:rPr>
          <w:noProof/>
          <w:webHidden/>
        </w:rPr>
        <w:fldChar w:fldCharType="end"/>
      </w:r>
      <w:r>
        <w:rPr/>
        <w:fldChar w:fldCharType="end"/>
      </w:r>
    </w:p>
    <w:p w14:paraId="35E97668">
      <w:pPr>
        <w:pStyle w:val="style20"/>
        <w:tabs>
          <w:tab w:val="right" w:leader="dot" w:pos="9350"/>
        </w:tabs>
        <w:rPr>
          <w:rFonts w:ascii="Calibri" w:cs="宋体" w:eastAsia="宋体" w:hAnsi="Calibri"/>
          <w:noProof/>
          <w:sz w:val="22"/>
          <w:lang w:val="en-US"/>
        </w:rPr>
      </w:pPr>
      <w:r>
        <w:rPr/>
        <w:fldChar w:fldCharType="begin"/>
      </w:r>
      <w:r>
        <w:instrText xml:space="preserve"> HYPERLINK \l "_Toc240496614" </w:instrText>
      </w:r>
      <w:r>
        <w:rPr/>
        <w:fldChar w:fldCharType="separate"/>
      </w:r>
      <w:r>
        <w:rPr>
          <w:rStyle w:val="style85"/>
          <w:rFonts w:ascii="Arial" w:cs="Arial" w:hAnsi="Arial"/>
          <w:noProof/>
        </w:rPr>
        <w:t>2.1 Introduction</w:t>
      </w:r>
      <w:r>
        <w:rPr>
          <w:noProof/>
          <w:webHidden/>
        </w:rPr>
        <w:tab/>
      </w:r>
      <w:r>
        <w:rPr>
          <w:noProof/>
          <w:webHidden/>
        </w:rPr>
        <w:fldChar w:fldCharType="begin"/>
      </w:r>
      <w:r>
        <w:rPr>
          <w:noProof/>
          <w:webHidden/>
        </w:rPr>
        <w:instrText xml:space="preserve"> PAGEREF _Toc240496614 \h </w:instrText>
      </w:r>
      <w:r>
        <w:rPr>
          <w:noProof/>
          <w:webHidden/>
        </w:rPr>
        <w:fldChar w:fldCharType="separate"/>
      </w:r>
      <w:r>
        <w:rPr>
          <w:noProof/>
          <w:webHidden/>
        </w:rPr>
        <w:t>16</w:t>
      </w:r>
      <w:r>
        <w:rPr>
          <w:noProof/>
          <w:webHidden/>
        </w:rPr>
        <w:fldChar w:fldCharType="end"/>
      </w:r>
      <w:r>
        <w:rPr/>
        <w:fldChar w:fldCharType="end"/>
      </w:r>
    </w:p>
    <w:p w14:paraId="587052B7">
      <w:pPr>
        <w:pStyle w:val="style20"/>
        <w:tabs>
          <w:tab w:val="right" w:leader="dot" w:pos="9350"/>
        </w:tabs>
        <w:rPr>
          <w:rFonts w:ascii="Calibri" w:cs="宋体" w:eastAsia="宋体" w:hAnsi="Calibri"/>
          <w:noProof/>
          <w:sz w:val="22"/>
          <w:lang w:val="en-US"/>
        </w:rPr>
      </w:pPr>
      <w:r>
        <w:rPr/>
        <w:fldChar w:fldCharType="begin"/>
      </w:r>
      <w:r>
        <w:instrText xml:space="preserve"> HYPERLINK \l "_Toc240496615" </w:instrText>
      </w:r>
      <w:r>
        <w:rPr/>
        <w:fldChar w:fldCharType="separate"/>
      </w:r>
      <w:r>
        <w:rPr>
          <w:rStyle w:val="style85"/>
          <w:rFonts w:ascii="Arial" w:cs="Arial" w:hAnsi="Arial"/>
          <w:noProof/>
        </w:rPr>
        <w:t>2.2 Thematic Review of the Literature</w:t>
      </w:r>
      <w:r>
        <w:rPr>
          <w:noProof/>
          <w:webHidden/>
        </w:rPr>
        <w:tab/>
      </w:r>
      <w:r>
        <w:rPr>
          <w:noProof/>
          <w:webHidden/>
        </w:rPr>
        <w:fldChar w:fldCharType="begin"/>
      </w:r>
      <w:r>
        <w:rPr>
          <w:noProof/>
          <w:webHidden/>
        </w:rPr>
        <w:instrText xml:space="preserve"> PAGEREF _Toc240496615 \h </w:instrText>
      </w:r>
      <w:r>
        <w:rPr>
          <w:noProof/>
          <w:webHidden/>
        </w:rPr>
        <w:fldChar w:fldCharType="separate"/>
      </w:r>
      <w:r>
        <w:rPr>
          <w:noProof/>
          <w:webHidden/>
        </w:rPr>
        <w:t>16</w:t>
      </w:r>
      <w:r>
        <w:rPr>
          <w:noProof/>
          <w:webHidden/>
        </w:rPr>
        <w:fldChar w:fldCharType="end"/>
      </w:r>
      <w:r>
        <w:rPr/>
        <w:fldChar w:fldCharType="end"/>
      </w:r>
    </w:p>
    <w:p w14:paraId="682215A3">
      <w:pPr>
        <w:pStyle w:val="style21"/>
        <w:tabs>
          <w:tab w:val="right" w:leader="dot" w:pos="9350"/>
        </w:tabs>
        <w:rPr>
          <w:rFonts w:ascii="Calibri" w:cs="宋体" w:eastAsia="宋体" w:hAnsi="Calibri"/>
          <w:noProof/>
          <w:sz w:val="22"/>
          <w:lang w:val="en-US"/>
        </w:rPr>
      </w:pPr>
      <w:r>
        <w:rPr/>
        <w:fldChar w:fldCharType="begin"/>
      </w:r>
      <w:r>
        <w:instrText xml:space="preserve"> HYPERLINK \l "_Toc240496616" </w:instrText>
      </w:r>
      <w:r>
        <w:rPr/>
        <w:fldChar w:fldCharType="separate"/>
      </w:r>
      <w:r>
        <w:rPr>
          <w:rStyle w:val="style85"/>
          <w:rFonts w:ascii="Arial" w:cs="Arial" w:hAnsi="Arial"/>
          <w:noProof/>
        </w:rPr>
        <w:t>2.2.1 Personalised Offers and Loyalty Programmes in Grocery Retailing</w:t>
      </w:r>
      <w:r>
        <w:rPr>
          <w:noProof/>
          <w:webHidden/>
        </w:rPr>
        <w:tab/>
      </w:r>
      <w:r>
        <w:rPr>
          <w:noProof/>
          <w:webHidden/>
        </w:rPr>
        <w:fldChar w:fldCharType="begin"/>
      </w:r>
      <w:r>
        <w:rPr>
          <w:noProof/>
          <w:webHidden/>
        </w:rPr>
        <w:instrText xml:space="preserve"> PAGEREF _Toc240496616 \h </w:instrText>
      </w:r>
      <w:r>
        <w:rPr>
          <w:noProof/>
          <w:webHidden/>
        </w:rPr>
        <w:fldChar w:fldCharType="separate"/>
      </w:r>
      <w:r>
        <w:rPr>
          <w:noProof/>
          <w:webHidden/>
        </w:rPr>
        <w:t>16</w:t>
      </w:r>
      <w:r>
        <w:rPr>
          <w:noProof/>
          <w:webHidden/>
        </w:rPr>
        <w:fldChar w:fldCharType="end"/>
      </w:r>
      <w:r>
        <w:rPr/>
        <w:fldChar w:fldCharType="end"/>
      </w:r>
    </w:p>
    <w:p w14:paraId="7EA50246">
      <w:pPr>
        <w:pStyle w:val="style21"/>
        <w:tabs>
          <w:tab w:val="right" w:leader="dot" w:pos="9350"/>
        </w:tabs>
        <w:rPr>
          <w:rFonts w:ascii="Calibri" w:cs="宋体" w:eastAsia="宋体" w:hAnsi="Calibri"/>
          <w:noProof/>
          <w:sz w:val="22"/>
          <w:lang w:val="en-US"/>
        </w:rPr>
      </w:pPr>
      <w:r>
        <w:rPr/>
        <w:fldChar w:fldCharType="begin"/>
      </w:r>
      <w:r>
        <w:instrText xml:space="preserve"> HYPERLINK \l "_Toc240496617" </w:instrText>
      </w:r>
      <w:r>
        <w:rPr/>
        <w:fldChar w:fldCharType="separate"/>
      </w:r>
      <w:r>
        <w:rPr>
          <w:rStyle w:val="style85"/>
          <w:rFonts w:ascii="Arial" w:cs="Arial" w:hAnsi="Arial"/>
          <w:noProof/>
        </w:rPr>
        <w:t>2.2.2 Personalised Offer Relevance and Customer Support</w:t>
      </w:r>
      <w:r>
        <w:rPr>
          <w:noProof/>
          <w:webHidden/>
        </w:rPr>
        <w:tab/>
      </w:r>
      <w:r>
        <w:rPr>
          <w:noProof/>
          <w:webHidden/>
        </w:rPr>
        <w:fldChar w:fldCharType="begin"/>
      </w:r>
      <w:r>
        <w:rPr>
          <w:noProof/>
          <w:webHidden/>
        </w:rPr>
        <w:instrText xml:space="preserve"> PAGEREF _Toc240496617 \h </w:instrText>
      </w:r>
      <w:r>
        <w:rPr>
          <w:noProof/>
          <w:webHidden/>
        </w:rPr>
        <w:fldChar w:fldCharType="separate"/>
      </w:r>
      <w:r>
        <w:rPr>
          <w:noProof/>
          <w:webHidden/>
        </w:rPr>
        <w:t>18</w:t>
      </w:r>
      <w:r>
        <w:rPr>
          <w:noProof/>
          <w:webHidden/>
        </w:rPr>
        <w:fldChar w:fldCharType="end"/>
      </w:r>
      <w:r>
        <w:rPr/>
        <w:fldChar w:fldCharType="end"/>
      </w:r>
    </w:p>
    <w:p w14:paraId="1B55457F">
      <w:pPr>
        <w:pStyle w:val="style21"/>
        <w:tabs>
          <w:tab w:val="right" w:leader="dot" w:pos="9350"/>
        </w:tabs>
        <w:rPr>
          <w:rFonts w:ascii="Calibri" w:cs="宋体" w:eastAsia="宋体" w:hAnsi="Calibri"/>
          <w:noProof/>
          <w:sz w:val="22"/>
          <w:lang w:val="en-US"/>
        </w:rPr>
      </w:pPr>
      <w:r>
        <w:rPr/>
        <w:fldChar w:fldCharType="begin"/>
      </w:r>
      <w:r>
        <w:instrText xml:space="preserve"> HYPERLINK \l "_Toc240496618" </w:instrText>
      </w:r>
      <w:r>
        <w:rPr/>
        <w:fldChar w:fldCharType="separate"/>
      </w:r>
      <w:r>
        <w:rPr>
          <w:rStyle w:val="style85"/>
          <w:rFonts w:ascii="Arial" w:cs="Arial" w:hAnsi="Arial"/>
          <w:noProof/>
        </w:rPr>
        <w:t>2.2.3 Perceived Reward Value</w:t>
      </w:r>
      <w:r>
        <w:rPr>
          <w:noProof/>
          <w:webHidden/>
        </w:rPr>
        <w:tab/>
      </w:r>
      <w:r>
        <w:rPr>
          <w:noProof/>
          <w:webHidden/>
        </w:rPr>
        <w:fldChar w:fldCharType="begin"/>
      </w:r>
      <w:r>
        <w:rPr>
          <w:noProof/>
          <w:webHidden/>
        </w:rPr>
        <w:instrText xml:space="preserve"> PAGEREF _Toc240496618 \h </w:instrText>
      </w:r>
      <w:r>
        <w:rPr>
          <w:noProof/>
          <w:webHidden/>
        </w:rPr>
        <w:fldChar w:fldCharType="separate"/>
      </w:r>
      <w:r>
        <w:rPr>
          <w:noProof/>
          <w:webHidden/>
        </w:rPr>
        <w:t>18</w:t>
      </w:r>
      <w:r>
        <w:rPr>
          <w:noProof/>
          <w:webHidden/>
        </w:rPr>
        <w:fldChar w:fldCharType="end"/>
      </w:r>
      <w:r>
        <w:rPr/>
        <w:fldChar w:fldCharType="end"/>
      </w:r>
    </w:p>
    <w:p w14:paraId="3157DB99">
      <w:pPr>
        <w:pStyle w:val="style21"/>
        <w:tabs>
          <w:tab w:val="right" w:leader="dot" w:pos="9350"/>
        </w:tabs>
        <w:rPr>
          <w:rFonts w:ascii="Calibri" w:cs="宋体" w:eastAsia="宋体" w:hAnsi="Calibri"/>
          <w:noProof/>
          <w:sz w:val="22"/>
          <w:lang w:val="en-US"/>
        </w:rPr>
      </w:pPr>
      <w:r>
        <w:rPr/>
        <w:fldChar w:fldCharType="begin"/>
      </w:r>
      <w:r>
        <w:instrText xml:space="preserve"> HYPERLINK \l "_Toc240496619" </w:instrText>
      </w:r>
      <w:r>
        <w:rPr/>
        <w:fldChar w:fldCharType="separate"/>
      </w:r>
      <w:r>
        <w:rPr>
          <w:rStyle w:val="style85"/>
          <w:rFonts w:ascii="Arial" w:cs="Arial" w:hAnsi="Arial"/>
          <w:noProof/>
        </w:rPr>
        <w:t>2.2.4 Perceived Fairness of Loyalty and Personalised Pricing</w:t>
      </w:r>
      <w:r>
        <w:rPr>
          <w:noProof/>
          <w:webHidden/>
        </w:rPr>
        <w:tab/>
      </w:r>
      <w:r>
        <w:rPr>
          <w:noProof/>
          <w:webHidden/>
        </w:rPr>
        <w:fldChar w:fldCharType="begin"/>
      </w:r>
      <w:r>
        <w:rPr>
          <w:noProof/>
          <w:webHidden/>
        </w:rPr>
        <w:instrText xml:space="preserve"> PAGEREF _Toc240496619 \h </w:instrText>
      </w:r>
      <w:r>
        <w:rPr>
          <w:noProof/>
          <w:webHidden/>
        </w:rPr>
        <w:fldChar w:fldCharType="separate"/>
      </w:r>
      <w:r>
        <w:rPr>
          <w:noProof/>
          <w:webHidden/>
        </w:rPr>
        <w:t>19</w:t>
      </w:r>
      <w:r>
        <w:rPr>
          <w:noProof/>
          <w:webHidden/>
        </w:rPr>
        <w:fldChar w:fldCharType="end"/>
      </w:r>
      <w:r>
        <w:rPr/>
        <w:fldChar w:fldCharType="end"/>
      </w:r>
    </w:p>
    <w:p w14:paraId="12905AD8">
      <w:pPr>
        <w:pStyle w:val="style21"/>
        <w:tabs>
          <w:tab w:val="right" w:leader="dot" w:pos="9350"/>
        </w:tabs>
        <w:rPr>
          <w:rFonts w:ascii="Calibri" w:cs="宋体" w:eastAsia="宋体" w:hAnsi="Calibri"/>
          <w:noProof/>
          <w:sz w:val="22"/>
          <w:lang w:val="en-US"/>
        </w:rPr>
      </w:pPr>
      <w:r>
        <w:rPr/>
        <w:fldChar w:fldCharType="begin"/>
      </w:r>
      <w:r>
        <w:instrText xml:space="preserve"> HYPERLINK \l "_Toc240496620" </w:instrText>
      </w:r>
      <w:r>
        <w:rPr/>
        <w:fldChar w:fldCharType="separate"/>
      </w:r>
      <w:r>
        <w:rPr>
          <w:rStyle w:val="style85"/>
          <w:rFonts w:ascii="Arial" w:cs="Arial" w:hAnsi="Arial"/>
          <w:noProof/>
        </w:rPr>
        <w:t>2.2.5 Customer Trust &amp; Data Driven Personalisiation</w:t>
      </w:r>
      <w:r>
        <w:rPr>
          <w:noProof/>
          <w:webHidden/>
        </w:rPr>
        <w:tab/>
      </w:r>
      <w:r>
        <w:rPr>
          <w:noProof/>
          <w:webHidden/>
        </w:rPr>
        <w:fldChar w:fldCharType="begin"/>
      </w:r>
      <w:r>
        <w:rPr>
          <w:noProof/>
          <w:webHidden/>
        </w:rPr>
        <w:instrText xml:space="preserve"> PAGEREF _Toc240496620 \h </w:instrText>
      </w:r>
      <w:r>
        <w:rPr>
          <w:noProof/>
          <w:webHidden/>
        </w:rPr>
        <w:fldChar w:fldCharType="separate"/>
      </w:r>
      <w:r>
        <w:rPr>
          <w:noProof/>
          <w:webHidden/>
        </w:rPr>
        <w:t>20</w:t>
      </w:r>
      <w:r>
        <w:rPr>
          <w:noProof/>
          <w:webHidden/>
        </w:rPr>
        <w:fldChar w:fldCharType="end"/>
      </w:r>
      <w:r>
        <w:rPr/>
        <w:fldChar w:fldCharType="end"/>
      </w:r>
    </w:p>
    <w:p w14:paraId="46F9D747">
      <w:pPr>
        <w:pStyle w:val="style20"/>
        <w:tabs>
          <w:tab w:val="right" w:leader="dot" w:pos="9350"/>
        </w:tabs>
        <w:rPr>
          <w:rFonts w:ascii="Calibri" w:cs="宋体" w:eastAsia="宋体" w:hAnsi="Calibri"/>
          <w:noProof/>
          <w:sz w:val="22"/>
          <w:lang w:val="en-US"/>
        </w:rPr>
      </w:pPr>
      <w:r>
        <w:rPr/>
        <w:fldChar w:fldCharType="begin"/>
      </w:r>
      <w:r>
        <w:instrText xml:space="preserve"> HYPERLINK \l "_Toc240496621" </w:instrText>
      </w:r>
      <w:r>
        <w:rPr/>
        <w:fldChar w:fldCharType="separate"/>
      </w:r>
      <w:r>
        <w:rPr>
          <w:rStyle w:val="style85"/>
          <w:rFonts w:ascii="Arial" w:cs="Arial" w:hAnsi="Arial"/>
          <w:noProof/>
        </w:rPr>
        <w:t>2.3 Theoretical Foundation and Contribution</w:t>
      </w:r>
      <w:r>
        <w:rPr>
          <w:noProof/>
          <w:webHidden/>
        </w:rPr>
        <w:tab/>
      </w:r>
      <w:r>
        <w:rPr>
          <w:noProof/>
          <w:webHidden/>
        </w:rPr>
        <w:fldChar w:fldCharType="begin"/>
      </w:r>
      <w:r>
        <w:rPr>
          <w:noProof/>
          <w:webHidden/>
        </w:rPr>
        <w:instrText xml:space="preserve"> PAGEREF _Toc240496621 \h </w:instrText>
      </w:r>
      <w:r>
        <w:rPr>
          <w:noProof/>
          <w:webHidden/>
        </w:rPr>
        <w:fldChar w:fldCharType="separate"/>
      </w:r>
      <w:r>
        <w:rPr>
          <w:noProof/>
          <w:webHidden/>
        </w:rPr>
        <w:t>20</w:t>
      </w:r>
      <w:r>
        <w:rPr>
          <w:noProof/>
          <w:webHidden/>
        </w:rPr>
        <w:fldChar w:fldCharType="end"/>
      </w:r>
      <w:r>
        <w:rPr/>
        <w:fldChar w:fldCharType="end"/>
      </w:r>
    </w:p>
    <w:p w14:paraId="79C48B37">
      <w:pPr>
        <w:pStyle w:val="style21"/>
        <w:tabs>
          <w:tab w:val="right" w:leader="dot" w:pos="9350"/>
        </w:tabs>
        <w:rPr>
          <w:rFonts w:ascii="Calibri" w:cs="宋体" w:eastAsia="宋体" w:hAnsi="Calibri"/>
          <w:noProof/>
          <w:sz w:val="22"/>
          <w:lang w:val="en-US"/>
        </w:rPr>
      </w:pPr>
      <w:r>
        <w:rPr/>
        <w:fldChar w:fldCharType="begin"/>
      </w:r>
      <w:r>
        <w:instrText xml:space="preserve"> HYPERLINK \l "_Toc240496622" </w:instrText>
      </w:r>
      <w:r>
        <w:rPr/>
        <w:fldChar w:fldCharType="separate"/>
      </w:r>
      <w:r>
        <w:rPr>
          <w:rStyle w:val="style85"/>
          <w:rFonts w:ascii="Arial" w:cs="Arial" w:hAnsi="Arial"/>
          <w:noProof/>
        </w:rPr>
        <w:t>2.3.1 Commitment–Trust Theory of Relationship Marketing</w:t>
      </w:r>
      <w:r>
        <w:rPr>
          <w:noProof/>
          <w:webHidden/>
        </w:rPr>
        <w:tab/>
      </w:r>
      <w:r>
        <w:rPr>
          <w:noProof/>
          <w:webHidden/>
        </w:rPr>
        <w:fldChar w:fldCharType="begin"/>
      </w:r>
      <w:r>
        <w:rPr>
          <w:noProof/>
          <w:webHidden/>
        </w:rPr>
        <w:instrText xml:space="preserve"> PAGEREF _Toc240496622 \h </w:instrText>
      </w:r>
      <w:r>
        <w:rPr>
          <w:noProof/>
          <w:webHidden/>
        </w:rPr>
        <w:fldChar w:fldCharType="separate"/>
      </w:r>
      <w:r>
        <w:rPr>
          <w:noProof/>
          <w:webHidden/>
        </w:rPr>
        <w:t>20</w:t>
      </w:r>
      <w:r>
        <w:rPr>
          <w:noProof/>
          <w:webHidden/>
        </w:rPr>
        <w:fldChar w:fldCharType="end"/>
      </w:r>
      <w:r>
        <w:rPr/>
        <w:fldChar w:fldCharType="end"/>
      </w:r>
    </w:p>
    <w:p w14:paraId="041DC7AD">
      <w:pPr>
        <w:pStyle w:val="style21"/>
        <w:tabs>
          <w:tab w:val="right" w:leader="dot" w:pos="9350"/>
        </w:tabs>
        <w:rPr>
          <w:rFonts w:ascii="Calibri" w:cs="宋体" w:eastAsia="宋体" w:hAnsi="Calibri"/>
          <w:noProof/>
          <w:sz w:val="22"/>
          <w:lang w:val="en-US"/>
        </w:rPr>
      </w:pPr>
      <w:r>
        <w:rPr/>
        <w:fldChar w:fldCharType="begin"/>
      </w:r>
      <w:r>
        <w:instrText xml:space="preserve"> HYPERLINK \l "_Toc240496623" </w:instrText>
      </w:r>
      <w:r>
        <w:rPr/>
        <w:fldChar w:fldCharType="separate"/>
      </w:r>
      <w:r>
        <w:rPr>
          <w:rStyle w:val="style85"/>
          <w:rFonts w:ascii="Arial" w:cs="Arial" w:hAnsi="Arial"/>
          <w:noProof/>
        </w:rPr>
        <w:t>2.3.2 Oliver's Customer Loyalty Model</w:t>
      </w:r>
      <w:r>
        <w:rPr>
          <w:noProof/>
          <w:webHidden/>
        </w:rPr>
        <w:tab/>
      </w:r>
      <w:r>
        <w:rPr>
          <w:noProof/>
          <w:webHidden/>
        </w:rPr>
        <w:fldChar w:fldCharType="begin"/>
      </w:r>
      <w:r>
        <w:rPr>
          <w:noProof/>
          <w:webHidden/>
        </w:rPr>
        <w:instrText xml:space="preserve"> PAGEREF _Toc240496623 \h </w:instrText>
      </w:r>
      <w:r>
        <w:rPr>
          <w:noProof/>
          <w:webHidden/>
        </w:rPr>
        <w:fldChar w:fldCharType="separate"/>
      </w:r>
      <w:r>
        <w:rPr>
          <w:noProof/>
          <w:webHidden/>
        </w:rPr>
        <w:t>21</w:t>
      </w:r>
      <w:r>
        <w:rPr>
          <w:noProof/>
          <w:webHidden/>
        </w:rPr>
        <w:fldChar w:fldCharType="end"/>
      </w:r>
      <w:r>
        <w:rPr/>
        <w:fldChar w:fldCharType="end"/>
      </w:r>
    </w:p>
    <w:p w14:paraId="0581F3B8">
      <w:pPr>
        <w:pStyle w:val="style21"/>
        <w:tabs>
          <w:tab w:val="right" w:leader="dot" w:pos="9350"/>
        </w:tabs>
        <w:rPr>
          <w:rFonts w:ascii="Calibri" w:cs="宋体" w:eastAsia="宋体" w:hAnsi="Calibri"/>
          <w:noProof/>
          <w:sz w:val="22"/>
          <w:lang w:val="en-US"/>
        </w:rPr>
      </w:pPr>
      <w:r>
        <w:rPr/>
        <w:fldChar w:fldCharType="begin"/>
      </w:r>
      <w:r>
        <w:instrText xml:space="preserve"> HYPERLINK \l "_Toc240496624" </w:instrText>
      </w:r>
      <w:r>
        <w:rPr/>
        <w:fldChar w:fldCharType="separate"/>
      </w:r>
      <w:r>
        <w:rPr>
          <w:rStyle w:val="style85"/>
          <w:rFonts w:ascii="Arial" w:cs="Arial" w:hAnsi="Arial"/>
          <w:noProof/>
        </w:rPr>
        <w:t>2.3.3 Theoretical Contributions</w:t>
      </w:r>
      <w:r>
        <w:rPr>
          <w:noProof/>
          <w:webHidden/>
        </w:rPr>
        <w:tab/>
      </w:r>
      <w:r>
        <w:rPr>
          <w:noProof/>
          <w:webHidden/>
        </w:rPr>
        <w:fldChar w:fldCharType="begin"/>
      </w:r>
      <w:r>
        <w:rPr>
          <w:noProof/>
          <w:webHidden/>
        </w:rPr>
        <w:instrText xml:space="preserve"> PAGEREF _Toc240496624 \h </w:instrText>
      </w:r>
      <w:r>
        <w:rPr>
          <w:noProof/>
          <w:webHidden/>
        </w:rPr>
        <w:fldChar w:fldCharType="separate"/>
      </w:r>
      <w:r>
        <w:rPr>
          <w:noProof/>
          <w:webHidden/>
        </w:rPr>
        <w:t>22</w:t>
      </w:r>
      <w:r>
        <w:rPr>
          <w:noProof/>
          <w:webHidden/>
        </w:rPr>
        <w:fldChar w:fldCharType="end"/>
      </w:r>
      <w:r>
        <w:rPr/>
        <w:fldChar w:fldCharType="end"/>
      </w:r>
    </w:p>
    <w:p w14:paraId="656F9256">
      <w:pPr>
        <w:pStyle w:val="style20"/>
        <w:tabs>
          <w:tab w:val="right" w:leader="dot" w:pos="9350"/>
        </w:tabs>
        <w:rPr>
          <w:rFonts w:ascii="Calibri" w:cs="宋体" w:eastAsia="宋体" w:hAnsi="Calibri"/>
          <w:noProof/>
          <w:sz w:val="22"/>
          <w:lang w:val="en-US"/>
        </w:rPr>
      </w:pPr>
      <w:r>
        <w:rPr/>
        <w:fldChar w:fldCharType="begin"/>
      </w:r>
      <w:r>
        <w:instrText xml:space="preserve"> HYPERLINK \l "_Toc240496625" </w:instrText>
      </w:r>
      <w:r>
        <w:rPr/>
        <w:fldChar w:fldCharType="separate"/>
      </w:r>
      <w:r>
        <w:rPr>
          <w:rStyle w:val="style85"/>
          <w:rFonts w:ascii="Arial" w:cs="Arial" w:hAnsi="Arial"/>
          <w:noProof/>
        </w:rPr>
        <w:t>2.4 Conceptual Framework and Development of Relationships</w:t>
      </w:r>
      <w:r>
        <w:rPr>
          <w:noProof/>
          <w:webHidden/>
        </w:rPr>
        <w:tab/>
      </w:r>
      <w:r>
        <w:rPr>
          <w:noProof/>
          <w:webHidden/>
        </w:rPr>
        <w:fldChar w:fldCharType="begin"/>
      </w:r>
      <w:r>
        <w:rPr>
          <w:noProof/>
          <w:webHidden/>
        </w:rPr>
        <w:instrText xml:space="preserve"> PAGEREF _Toc240496625 \h </w:instrText>
      </w:r>
      <w:r>
        <w:rPr>
          <w:noProof/>
          <w:webHidden/>
        </w:rPr>
        <w:fldChar w:fldCharType="separate"/>
      </w:r>
      <w:r>
        <w:rPr>
          <w:noProof/>
          <w:webHidden/>
        </w:rPr>
        <w:t>22</w:t>
      </w:r>
      <w:r>
        <w:rPr>
          <w:noProof/>
          <w:webHidden/>
        </w:rPr>
        <w:fldChar w:fldCharType="end"/>
      </w:r>
      <w:r>
        <w:rPr/>
        <w:fldChar w:fldCharType="end"/>
      </w:r>
    </w:p>
    <w:p w14:paraId="044DEBCD">
      <w:pPr>
        <w:pStyle w:val="style21"/>
        <w:tabs>
          <w:tab w:val="right" w:leader="dot" w:pos="9350"/>
        </w:tabs>
        <w:rPr>
          <w:rFonts w:ascii="Calibri" w:cs="宋体" w:eastAsia="宋体" w:hAnsi="Calibri"/>
          <w:noProof/>
          <w:sz w:val="22"/>
          <w:lang w:val="en-US"/>
        </w:rPr>
      </w:pPr>
      <w:r>
        <w:rPr/>
        <w:fldChar w:fldCharType="begin"/>
      </w:r>
      <w:r>
        <w:instrText xml:space="preserve"> HYPERLINK \l "_Toc240496626" </w:instrText>
      </w:r>
      <w:r>
        <w:rPr/>
        <w:fldChar w:fldCharType="separate"/>
      </w:r>
      <w:r>
        <w:rPr>
          <w:rStyle w:val="style85"/>
          <w:rFonts w:ascii="Arial" w:cs="Arial" w:hAnsi="Arial"/>
          <w:noProof/>
        </w:rPr>
        <w:t>2.4.1 Personalised Offer Relevance and Customer Loyalty</w:t>
      </w:r>
      <w:r>
        <w:rPr>
          <w:noProof/>
          <w:webHidden/>
        </w:rPr>
        <w:tab/>
      </w:r>
      <w:r>
        <w:rPr>
          <w:noProof/>
          <w:webHidden/>
        </w:rPr>
        <w:fldChar w:fldCharType="begin"/>
      </w:r>
      <w:r>
        <w:rPr>
          <w:noProof/>
          <w:webHidden/>
        </w:rPr>
        <w:instrText xml:space="preserve"> PAGEREF _Toc240496626 \h </w:instrText>
      </w:r>
      <w:r>
        <w:rPr>
          <w:noProof/>
          <w:webHidden/>
        </w:rPr>
        <w:fldChar w:fldCharType="separate"/>
      </w:r>
      <w:r>
        <w:rPr>
          <w:noProof/>
          <w:webHidden/>
        </w:rPr>
        <w:t>22</w:t>
      </w:r>
      <w:r>
        <w:rPr>
          <w:noProof/>
          <w:webHidden/>
        </w:rPr>
        <w:fldChar w:fldCharType="end"/>
      </w:r>
      <w:r>
        <w:rPr/>
        <w:fldChar w:fldCharType="end"/>
      </w:r>
    </w:p>
    <w:p w14:paraId="3C5BC2EE">
      <w:pPr>
        <w:pStyle w:val="style21"/>
        <w:tabs>
          <w:tab w:val="right" w:leader="dot" w:pos="9350"/>
        </w:tabs>
        <w:rPr>
          <w:rFonts w:ascii="Calibri" w:cs="宋体" w:eastAsia="宋体" w:hAnsi="Calibri"/>
          <w:noProof/>
          <w:sz w:val="22"/>
          <w:lang w:val="en-US"/>
        </w:rPr>
      </w:pPr>
      <w:r>
        <w:rPr/>
        <w:fldChar w:fldCharType="begin"/>
      </w:r>
      <w:r>
        <w:instrText xml:space="preserve"> HYPERLINK \l "_Toc240496627" </w:instrText>
      </w:r>
      <w:r>
        <w:rPr/>
        <w:fldChar w:fldCharType="separate"/>
      </w:r>
      <w:r>
        <w:rPr>
          <w:rStyle w:val="style85"/>
          <w:rFonts w:ascii="Arial" w:cs="Arial" w:hAnsi="Arial"/>
          <w:noProof/>
        </w:rPr>
        <w:t>2.4.2 Perceived Reward Value and Customer Satisfaction</w:t>
      </w:r>
      <w:r>
        <w:rPr>
          <w:noProof/>
          <w:webHidden/>
        </w:rPr>
        <w:tab/>
      </w:r>
      <w:r>
        <w:rPr>
          <w:noProof/>
          <w:webHidden/>
        </w:rPr>
        <w:fldChar w:fldCharType="begin"/>
      </w:r>
      <w:r>
        <w:rPr>
          <w:noProof/>
          <w:webHidden/>
        </w:rPr>
        <w:instrText xml:space="preserve"> PAGEREF _Toc240496627 \h </w:instrText>
      </w:r>
      <w:r>
        <w:rPr>
          <w:noProof/>
          <w:webHidden/>
        </w:rPr>
        <w:fldChar w:fldCharType="separate"/>
      </w:r>
      <w:r>
        <w:rPr>
          <w:noProof/>
          <w:webHidden/>
        </w:rPr>
        <w:t>22</w:t>
      </w:r>
      <w:r>
        <w:rPr>
          <w:noProof/>
          <w:webHidden/>
        </w:rPr>
        <w:fldChar w:fldCharType="end"/>
      </w:r>
      <w:r>
        <w:rPr/>
        <w:fldChar w:fldCharType="end"/>
      </w:r>
    </w:p>
    <w:p w14:paraId="27520BCA">
      <w:pPr>
        <w:pStyle w:val="style21"/>
        <w:tabs>
          <w:tab w:val="right" w:leader="dot" w:pos="9350"/>
        </w:tabs>
        <w:rPr>
          <w:rFonts w:ascii="Calibri" w:cs="宋体" w:eastAsia="宋体" w:hAnsi="Calibri"/>
          <w:noProof/>
          <w:sz w:val="22"/>
          <w:lang w:val="en-US"/>
        </w:rPr>
      </w:pPr>
      <w:r>
        <w:rPr/>
        <w:fldChar w:fldCharType="begin"/>
      </w:r>
      <w:r>
        <w:instrText xml:space="preserve"> HYPERLINK \l "_Toc240496628" </w:instrText>
      </w:r>
      <w:r>
        <w:rPr/>
        <w:fldChar w:fldCharType="separate"/>
      </w:r>
      <w:r>
        <w:rPr>
          <w:rStyle w:val="style85"/>
          <w:rFonts w:ascii="Arial" w:cs="Arial" w:hAnsi="Arial"/>
          <w:noProof/>
        </w:rPr>
        <w:t>2.4.3 Perceived Fairness and Customer Satisfaction</w:t>
      </w:r>
      <w:r>
        <w:rPr>
          <w:noProof/>
          <w:webHidden/>
        </w:rPr>
        <w:tab/>
      </w:r>
      <w:r>
        <w:rPr>
          <w:noProof/>
          <w:webHidden/>
        </w:rPr>
        <w:fldChar w:fldCharType="begin"/>
      </w:r>
      <w:r>
        <w:rPr>
          <w:noProof/>
          <w:webHidden/>
        </w:rPr>
        <w:instrText xml:space="preserve"> PAGEREF _Toc240496628 \h </w:instrText>
      </w:r>
      <w:r>
        <w:rPr>
          <w:noProof/>
          <w:webHidden/>
        </w:rPr>
        <w:fldChar w:fldCharType="separate"/>
      </w:r>
      <w:r>
        <w:rPr>
          <w:noProof/>
          <w:webHidden/>
        </w:rPr>
        <w:t>23</w:t>
      </w:r>
      <w:r>
        <w:rPr>
          <w:noProof/>
          <w:webHidden/>
        </w:rPr>
        <w:fldChar w:fldCharType="end"/>
      </w:r>
      <w:r>
        <w:rPr/>
        <w:fldChar w:fldCharType="end"/>
      </w:r>
    </w:p>
    <w:p w14:paraId="119B0A5E">
      <w:pPr>
        <w:pStyle w:val="style21"/>
        <w:tabs>
          <w:tab w:val="right" w:leader="dot" w:pos="9350"/>
        </w:tabs>
        <w:rPr>
          <w:rFonts w:ascii="Calibri" w:cs="宋体" w:eastAsia="宋体" w:hAnsi="Calibri"/>
          <w:noProof/>
          <w:sz w:val="22"/>
          <w:lang w:val="en-US"/>
        </w:rPr>
      </w:pPr>
      <w:r>
        <w:rPr/>
        <w:fldChar w:fldCharType="begin"/>
      </w:r>
      <w:r>
        <w:instrText xml:space="preserve"> HYPERLINK \l "_Toc240496629" </w:instrText>
      </w:r>
      <w:r>
        <w:rPr/>
        <w:fldChar w:fldCharType="separate"/>
      </w:r>
      <w:r>
        <w:rPr>
          <w:rStyle w:val="style85"/>
          <w:rFonts w:ascii="Arial" w:cs="Arial" w:hAnsi="Arial"/>
          <w:noProof/>
        </w:rPr>
        <w:t>2.4.4 Customer Trust and Customer Satisfaction</w:t>
      </w:r>
      <w:r>
        <w:rPr>
          <w:noProof/>
          <w:webHidden/>
        </w:rPr>
        <w:tab/>
      </w:r>
      <w:r>
        <w:rPr>
          <w:noProof/>
          <w:webHidden/>
        </w:rPr>
        <w:fldChar w:fldCharType="begin"/>
      </w:r>
      <w:r>
        <w:rPr>
          <w:noProof/>
          <w:webHidden/>
        </w:rPr>
        <w:instrText xml:space="preserve"> PAGEREF _Toc240496629 \h </w:instrText>
      </w:r>
      <w:r>
        <w:rPr>
          <w:noProof/>
          <w:webHidden/>
        </w:rPr>
        <w:fldChar w:fldCharType="separate"/>
      </w:r>
      <w:r>
        <w:rPr>
          <w:noProof/>
          <w:webHidden/>
        </w:rPr>
        <w:t>23</w:t>
      </w:r>
      <w:r>
        <w:rPr>
          <w:noProof/>
          <w:webHidden/>
        </w:rPr>
        <w:fldChar w:fldCharType="end"/>
      </w:r>
      <w:r>
        <w:rPr/>
        <w:fldChar w:fldCharType="end"/>
      </w:r>
    </w:p>
    <w:p w14:paraId="03E984A7">
      <w:pPr>
        <w:pStyle w:val="style21"/>
        <w:tabs>
          <w:tab w:val="right" w:leader="dot" w:pos="9350"/>
        </w:tabs>
        <w:rPr>
          <w:rFonts w:ascii="Calibri" w:cs="宋体" w:eastAsia="宋体" w:hAnsi="Calibri"/>
          <w:noProof/>
          <w:sz w:val="22"/>
          <w:lang w:val="en-US"/>
        </w:rPr>
      </w:pPr>
      <w:r>
        <w:rPr/>
        <w:fldChar w:fldCharType="begin"/>
      </w:r>
      <w:r>
        <w:instrText xml:space="preserve"> HYPERLINK \l "_Toc240496630" </w:instrText>
      </w:r>
      <w:r>
        <w:rPr/>
        <w:fldChar w:fldCharType="separate"/>
      </w:r>
      <w:r>
        <w:rPr>
          <w:rStyle w:val="style85"/>
          <w:rFonts w:ascii="Arial" w:cs="Arial" w:hAnsi="Arial"/>
          <w:noProof/>
        </w:rPr>
        <w:t xml:space="preserve">2.4.5 Theoretical Framework </w:t>
      </w:r>
      <w:r>
        <w:rPr>
          <w:noProof/>
          <w:webHidden/>
        </w:rPr>
        <w:tab/>
      </w:r>
      <w:r>
        <w:rPr>
          <w:noProof/>
          <w:webHidden/>
        </w:rPr>
        <w:fldChar w:fldCharType="begin"/>
      </w:r>
      <w:r>
        <w:rPr>
          <w:noProof/>
          <w:webHidden/>
        </w:rPr>
        <w:instrText xml:space="preserve"> PAGEREF _Toc240496630 \h </w:instrText>
      </w:r>
      <w:r>
        <w:rPr>
          <w:noProof/>
          <w:webHidden/>
        </w:rPr>
        <w:fldChar w:fldCharType="separate"/>
      </w:r>
      <w:r>
        <w:rPr>
          <w:noProof/>
          <w:webHidden/>
        </w:rPr>
        <w:t>24</w:t>
      </w:r>
      <w:r>
        <w:rPr>
          <w:noProof/>
          <w:webHidden/>
        </w:rPr>
        <w:fldChar w:fldCharType="end"/>
      </w:r>
      <w:r>
        <w:rPr/>
        <w:fldChar w:fldCharType="end"/>
      </w:r>
    </w:p>
    <w:p w14:paraId="3092BF9A">
      <w:pPr>
        <w:pStyle w:val="style20"/>
        <w:tabs>
          <w:tab w:val="right" w:leader="dot" w:pos="9350"/>
        </w:tabs>
        <w:rPr>
          <w:rFonts w:ascii="Calibri" w:cs="宋体" w:eastAsia="宋体" w:hAnsi="Calibri"/>
          <w:noProof/>
          <w:sz w:val="22"/>
          <w:lang w:val="en-US"/>
        </w:rPr>
      </w:pPr>
      <w:r>
        <w:rPr/>
        <w:fldChar w:fldCharType="begin"/>
      </w:r>
      <w:r>
        <w:instrText xml:space="preserve"> HYPERLINK \l "_Toc240496631" </w:instrText>
      </w:r>
      <w:r>
        <w:rPr/>
        <w:fldChar w:fldCharType="separate"/>
      </w:r>
      <w:r>
        <w:rPr>
          <w:rStyle w:val="style85"/>
          <w:rFonts w:ascii="Arial" w:cs="Arial" w:hAnsi="Arial"/>
          <w:noProof/>
        </w:rPr>
        <w:t>2.5 Research Gap</w:t>
      </w:r>
      <w:r>
        <w:rPr>
          <w:noProof/>
          <w:webHidden/>
        </w:rPr>
        <w:tab/>
      </w:r>
      <w:r>
        <w:rPr>
          <w:noProof/>
          <w:webHidden/>
        </w:rPr>
        <w:fldChar w:fldCharType="begin"/>
      </w:r>
      <w:r>
        <w:rPr>
          <w:noProof/>
          <w:webHidden/>
        </w:rPr>
        <w:instrText xml:space="preserve"> PAGEREF _Toc240496631 \h </w:instrText>
      </w:r>
      <w:r>
        <w:rPr>
          <w:noProof/>
          <w:webHidden/>
        </w:rPr>
        <w:fldChar w:fldCharType="separate"/>
      </w:r>
      <w:r>
        <w:rPr>
          <w:noProof/>
          <w:webHidden/>
        </w:rPr>
        <w:t>25</w:t>
      </w:r>
      <w:r>
        <w:rPr>
          <w:noProof/>
          <w:webHidden/>
        </w:rPr>
        <w:fldChar w:fldCharType="end"/>
      </w:r>
      <w:r>
        <w:rPr/>
        <w:fldChar w:fldCharType="end"/>
      </w:r>
    </w:p>
    <w:p w14:paraId="08CD54FC">
      <w:pPr>
        <w:pStyle w:val="style20"/>
        <w:tabs>
          <w:tab w:val="right" w:leader="dot" w:pos="9350"/>
        </w:tabs>
        <w:rPr>
          <w:rFonts w:ascii="Calibri" w:cs="宋体" w:eastAsia="宋体" w:hAnsi="Calibri"/>
          <w:noProof/>
          <w:sz w:val="22"/>
          <w:lang w:val="en-US"/>
        </w:rPr>
      </w:pPr>
      <w:r>
        <w:rPr/>
        <w:fldChar w:fldCharType="begin"/>
      </w:r>
      <w:r>
        <w:instrText xml:space="preserve"> HYPERLINK \l "_Toc240496632" </w:instrText>
      </w:r>
      <w:r>
        <w:rPr/>
        <w:fldChar w:fldCharType="separate"/>
      </w:r>
      <w:r>
        <w:rPr>
          <w:rStyle w:val="style85"/>
          <w:rFonts w:ascii="Arial" w:cs="Arial" w:hAnsi="Arial"/>
          <w:noProof/>
        </w:rPr>
        <w:t>2.6 Chapter Summary</w:t>
      </w:r>
      <w:r>
        <w:rPr>
          <w:noProof/>
          <w:webHidden/>
        </w:rPr>
        <w:tab/>
      </w:r>
      <w:r>
        <w:rPr>
          <w:noProof/>
          <w:webHidden/>
        </w:rPr>
        <w:fldChar w:fldCharType="begin"/>
      </w:r>
      <w:r>
        <w:rPr>
          <w:noProof/>
          <w:webHidden/>
        </w:rPr>
        <w:instrText xml:space="preserve"> PAGEREF _Toc240496632 \h </w:instrText>
      </w:r>
      <w:r>
        <w:rPr>
          <w:noProof/>
          <w:webHidden/>
        </w:rPr>
        <w:fldChar w:fldCharType="separate"/>
      </w:r>
      <w:r>
        <w:rPr>
          <w:noProof/>
          <w:webHidden/>
        </w:rPr>
        <w:t>27</w:t>
      </w:r>
      <w:r>
        <w:rPr>
          <w:noProof/>
          <w:webHidden/>
        </w:rPr>
        <w:fldChar w:fldCharType="end"/>
      </w:r>
      <w:r>
        <w:rPr/>
        <w:fldChar w:fldCharType="end"/>
      </w:r>
    </w:p>
    <w:p w14:paraId="4841F973">
      <w:pPr>
        <w:pStyle w:val="style19"/>
        <w:tabs>
          <w:tab w:val="right" w:leader="dot" w:pos="9350"/>
        </w:tabs>
        <w:rPr>
          <w:rFonts w:ascii="Calibri" w:cs="宋体" w:eastAsia="宋体" w:hAnsi="Calibri"/>
          <w:noProof/>
          <w:sz w:val="22"/>
          <w:lang w:val="en-US"/>
        </w:rPr>
      </w:pPr>
      <w:r>
        <w:rPr/>
        <w:fldChar w:fldCharType="begin"/>
      </w:r>
      <w:r>
        <w:instrText xml:space="preserve"> HYPERLINK \l "_Toc240496633" </w:instrText>
      </w:r>
      <w:r>
        <w:rPr/>
        <w:fldChar w:fldCharType="separate"/>
      </w:r>
      <w:r>
        <w:rPr>
          <w:rStyle w:val="style85"/>
          <w:rFonts w:ascii="Arial" w:cs="Arial" w:hAnsi="Arial"/>
          <w:noProof/>
        </w:rPr>
        <w:t>Chapter 3: Research Methodology</w:t>
      </w:r>
      <w:r>
        <w:rPr>
          <w:noProof/>
          <w:webHidden/>
        </w:rPr>
        <w:tab/>
      </w:r>
      <w:r>
        <w:rPr>
          <w:noProof/>
          <w:webHidden/>
        </w:rPr>
        <w:fldChar w:fldCharType="begin"/>
      </w:r>
      <w:r>
        <w:rPr>
          <w:noProof/>
          <w:webHidden/>
        </w:rPr>
        <w:instrText xml:space="preserve"> PAGEREF _Toc240496633 \h </w:instrText>
      </w:r>
      <w:r>
        <w:rPr>
          <w:noProof/>
          <w:webHidden/>
        </w:rPr>
        <w:fldChar w:fldCharType="separate"/>
      </w:r>
      <w:r>
        <w:rPr>
          <w:noProof/>
          <w:webHidden/>
        </w:rPr>
        <w:t>35</w:t>
      </w:r>
      <w:r>
        <w:rPr>
          <w:noProof/>
          <w:webHidden/>
        </w:rPr>
        <w:fldChar w:fldCharType="end"/>
      </w:r>
      <w:r>
        <w:rPr/>
        <w:fldChar w:fldCharType="end"/>
      </w:r>
    </w:p>
    <w:p w14:paraId="260B8992">
      <w:pPr>
        <w:pStyle w:val="style20"/>
        <w:tabs>
          <w:tab w:val="right" w:leader="dot" w:pos="9350"/>
        </w:tabs>
        <w:rPr>
          <w:rFonts w:ascii="Calibri" w:cs="宋体" w:eastAsia="宋体" w:hAnsi="Calibri"/>
          <w:noProof/>
          <w:sz w:val="22"/>
          <w:lang w:val="en-US"/>
        </w:rPr>
      </w:pPr>
      <w:r>
        <w:rPr/>
        <w:fldChar w:fldCharType="begin"/>
      </w:r>
      <w:r>
        <w:instrText xml:space="preserve"> HYPERLINK \l "_Toc240496634" </w:instrText>
      </w:r>
      <w:r>
        <w:rPr/>
        <w:fldChar w:fldCharType="separate"/>
      </w:r>
      <w:r>
        <w:rPr>
          <w:rStyle w:val="style85"/>
          <w:rFonts w:ascii="Arial" w:cs="Arial" w:hAnsi="Arial"/>
          <w:noProof/>
        </w:rPr>
        <w:t>3.1 Introduction</w:t>
      </w:r>
      <w:r>
        <w:rPr>
          <w:noProof/>
          <w:webHidden/>
        </w:rPr>
        <w:tab/>
      </w:r>
      <w:r>
        <w:rPr>
          <w:noProof/>
          <w:webHidden/>
        </w:rPr>
        <w:fldChar w:fldCharType="begin"/>
      </w:r>
      <w:r>
        <w:rPr>
          <w:noProof/>
          <w:webHidden/>
        </w:rPr>
        <w:instrText xml:space="preserve"> PAGEREF _Toc240496634 \h </w:instrText>
      </w:r>
      <w:r>
        <w:rPr>
          <w:noProof/>
          <w:webHidden/>
        </w:rPr>
        <w:fldChar w:fldCharType="separate"/>
      </w:r>
      <w:r>
        <w:rPr>
          <w:noProof/>
          <w:webHidden/>
        </w:rPr>
        <w:t>35</w:t>
      </w:r>
      <w:r>
        <w:rPr>
          <w:noProof/>
          <w:webHidden/>
        </w:rPr>
        <w:fldChar w:fldCharType="end"/>
      </w:r>
      <w:r>
        <w:rPr/>
        <w:fldChar w:fldCharType="end"/>
      </w:r>
    </w:p>
    <w:p w14:paraId="23A962E2">
      <w:pPr>
        <w:pStyle w:val="style20"/>
        <w:tabs>
          <w:tab w:val="right" w:leader="dot" w:pos="9350"/>
        </w:tabs>
        <w:rPr>
          <w:rFonts w:ascii="Calibri" w:cs="宋体" w:eastAsia="宋体" w:hAnsi="Calibri"/>
          <w:noProof/>
          <w:sz w:val="22"/>
          <w:lang w:val="en-US"/>
        </w:rPr>
      </w:pPr>
      <w:r>
        <w:rPr/>
        <w:fldChar w:fldCharType="begin"/>
      </w:r>
      <w:r>
        <w:instrText xml:space="preserve"> HYPERLINK \l "_Toc240496635" </w:instrText>
      </w:r>
      <w:r>
        <w:rPr/>
        <w:fldChar w:fldCharType="separate"/>
      </w:r>
      <w:r>
        <w:rPr>
          <w:rStyle w:val="style85"/>
          <w:rFonts w:ascii="Arial" w:cs="Arial" w:hAnsi="Arial"/>
          <w:noProof/>
        </w:rPr>
        <w:t>3.2 Research Philosophy, Approach and Design</w:t>
      </w:r>
      <w:r>
        <w:rPr>
          <w:noProof/>
          <w:webHidden/>
        </w:rPr>
        <w:tab/>
      </w:r>
      <w:r>
        <w:rPr>
          <w:noProof/>
          <w:webHidden/>
        </w:rPr>
        <w:fldChar w:fldCharType="begin"/>
      </w:r>
      <w:r>
        <w:rPr>
          <w:noProof/>
          <w:webHidden/>
        </w:rPr>
        <w:instrText xml:space="preserve"> PAGEREF _Toc240496635 \h </w:instrText>
      </w:r>
      <w:r>
        <w:rPr>
          <w:noProof/>
          <w:webHidden/>
        </w:rPr>
        <w:fldChar w:fldCharType="separate"/>
      </w:r>
      <w:r>
        <w:rPr>
          <w:noProof/>
          <w:webHidden/>
        </w:rPr>
        <w:t>36</w:t>
      </w:r>
      <w:r>
        <w:rPr>
          <w:noProof/>
          <w:webHidden/>
        </w:rPr>
        <w:fldChar w:fldCharType="end"/>
      </w:r>
      <w:r>
        <w:rPr/>
        <w:fldChar w:fldCharType="end"/>
      </w:r>
    </w:p>
    <w:p w14:paraId="34433E76">
      <w:pPr>
        <w:pStyle w:val="style21"/>
        <w:tabs>
          <w:tab w:val="right" w:leader="dot" w:pos="9350"/>
        </w:tabs>
        <w:rPr>
          <w:rFonts w:ascii="Calibri" w:cs="宋体" w:eastAsia="宋体" w:hAnsi="Calibri"/>
          <w:noProof/>
          <w:sz w:val="22"/>
          <w:lang w:val="en-US"/>
        </w:rPr>
      </w:pPr>
      <w:r>
        <w:rPr/>
        <w:fldChar w:fldCharType="begin"/>
      </w:r>
      <w:r>
        <w:instrText xml:space="preserve"> HYPERLINK \l "_Toc240496636" </w:instrText>
      </w:r>
      <w:r>
        <w:rPr/>
        <w:fldChar w:fldCharType="separate"/>
      </w:r>
      <w:r>
        <w:rPr>
          <w:rStyle w:val="style85"/>
          <w:rFonts w:ascii="Arial" w:cs="Arial" w:hAnsi="Arial"/>
          <w:noProof/>
        </w:rPr>
        <w:t>3.2.1 Research Philosophy</w:t>
      </w:r>
      <w:r>
        <w:rPr>
          <w:noProof/>
          <w:webHidden/>
        </w:rPr>
        <w:tab/>
      </w:r>
      <w:r>
        <w:rPr>
          <w:noProof/>
          <w:webHidden/>
        </w:rPr>
        <w:fldChar w:fldCharType="begin"/>
      </w:r>
      <w:r>
        <w:rPr>
          <w:noProof/>
          <w:webHidden/>
        </w:rPr>
        <w:instrText xml:space="preserve"> PAGEREF _Toc240496636 \h </w:instrText>
      </w:r>
      <w:r>
        <w:rPr>
          <w:noProof/>
          <w:webHidden/>
        </w:rPr>
        <w:fldChar w:fldCharType="separate"/>
      </w:r>
      <w:r>
        <w:rPr>
          <w:noProof/>
          <w:webHidden/>
        </w:rPr>
        <w:t>36</w:t>
      </w:r>
      <w:r>
        <w:rPr>
          <w:noProof/>
          <w:webHidden/>
        </w:rPr>
        <w:fldChar w:fldCharType="end"/>
      </w:r>
      <w:r>
        <w:rPr/>
        <w:fldChar w:fldCharType="end"/>
      </w:r>
    </w:p>
    <w:p w14:paraId="12BFFDDA">
      <w:pPr>
        <w:pStyle w:val="style21"/>
        <w:tabs>
          <w:tab w:val="right" w:leader="dot" w:pos="9350"/>
        </w:tabs>
        <w:rPr>
          <w:rFonts w:ascii="Calibri" w:cs="宋体" w:eastAsia="宋体" w:hAnsi="Calibri"/>
          <w:noProof/>
          <w:sz w:val="22"/>
          <w:lang w:val="en-US"/>
        </w:rPr>
      </w:pPr>
      <w:r>
        <w:rPr/>
        <w:fldChar w:fldCharType="begin"/>
      </w:r>
      <w:r>
        <w:instrText xml:space="preserve"> HYPERLINK \l "_Toc240496637" </w:instrText>
      </w:r>
      <w:r>
        <w:rPr/>
        <w:fldChar w:fldCharType="separate"/>
      </w:r>
      <w:r>
        <w:rPr>
          <w:rStyle w:val="style85"/>
          <w:rFonts w:ascii="Arial" w:cs="Arial" w:hAnsi="Arial"/>
          <w:noProof/>
        </w:rPr>
        <w:t>3.2.2 Research Approach</w:t>
      </w:r>
      <w:r>
        <w:rPr>
          <w:noProof/>
          <w:webHidden/>
        </w:rPr>
        <w:tab/>
      </w:r>
      <w:r>
        <w:rPr>
          <w:noProof/>
          <w:webHidden/>
        </w:rPr>
        <w:fldChar w:fldCharType="begin"/>
      </w:r>
      <w:r>
        <w:rPr>
          <w:noProof/>
          <w:webHidden/>
        </w:rPr>
        <w:instrText xml:space="preserve"> PAGEREF _Toc240496637 \h </w:instrText>
      </w:r>
      <w:r>
        <w:rPr>
          <w:noProof/>
          <w:webHidden/>
        </w:rPr>
        <w:fldChar w:fldCharType="separate"/>
      </w:r>
      <w:r>
        <w:rPr>
          <w:noProof/>
          <w:webHidden/>
        </w:rPr>
        <w:t>36</w:t>
      </w:r>
      <w:r>
        <w:rPr>
          <w:noProof/>
          <w:webHidden/>
        </w:rPr>
        <w:fldChar w:fldCharType="end"/>
      </w:r>
      <w:r>
        <w:rPr/>
        <w:fldChar w:fldCharType="end"/>
      </w:r>
    </w:p>
    <w:p w14:paraId="6A7A4486">
      <w:pPr>
        <w:pStyle w:val="style21"/>
        <w:tabs>
          <w:tab w:val="right" w:leader="dot" w:pos="9350"/>
        </w:tabs>
        <w:rPr>
          <w:rFonts w:ascii="Calibri" w:cs="宋体" w:eastAsia="宋体" w:hAnsi="Calibri"/>
          <w:noProof/>
          <w:sz w:val="22"/>
          <w:lang w:val="en-US"/>
        </w:rPr>
      </w:pPr>
      <w:r>
        <w:rPr/>
        <w:fldChar w:fldCharType="begin"/>
      </w:r>
      <w:r>
        <w:instrText xml:space="preserve"> HYPERLINK \l "_Toc240496638" </w:instrText>
      </w:r>
      <w:r>
        <w:rPr/>
        <w:fldChar w:fldCharType="separate"/>
      </w:r>
      <w:r>
        <w:rPr>
          <w:rStyle w:val="style85"/>
          <w:rFonts w:ascii="Arial" w:cs="Arial" w:hAnsi="Arial"/>
          <w:noProof/>
        </w:rPr>
        <w:t>3.2.3 Research Design</w:t>
      </w:r>
      <w:r>
        <w:rPr>
          <w:noProof/>
          <w:webHidden/>
        </w:rPr>
        <w:tab/>
      </w:r>
      <w:r>
        <w:rPr>
          <w:noProof/>
          <w:webHidden/>
        </w:rPr>
        <w:fldChar w:fldCharType="begin"/>
      </w:r>
      <w:r>
        <w:rPr>
          <w:noProof/>
          <w:webHidden/>
        </w:rPr>
        <w:instrText xml:space="preserve"> PAGEREF _Toc240496638 \h </w:instrText>
      </w:r>
      <w:r>
        <w:rPr>
          <w:noProof/>
          <w:webHidden/>
        </w:rPr>
        <w:fldChar w:fldCharType="separate"/>
      </w:r>
      <w:r>
        <w:rPr>
          <w:noProof/>
          <w:webHidden/>
        </w:rPr>
        <w:t>37</w:t>
      </w:r>
      <w:r>
        <w:rPr>
          <w:noProof/>
          <w:webHidden/>
        </w:rPr>
        <w:fldChar w:fldCharType="end"/>
      </w:r>
      <w:r>
        <w:rPr/>
        <w:fldChar w:fldCharType="end"/>
      </w:r>
    </w:p>
    <w:p w14:paraId="6FA3A896">
      <w:pPr>
        <w:pStyle w:val="style20"/>
        <w:tabs>
          <w:tab w:val="right" w:leader="dot" w:pos="9350"/>
        </w:tabs>
        <w:rPr>
          <w:rFonts w:ascii="Calibri" w:cs="宋体" w:eastAsia="宋体" w:hAnsi="Calibri"/>
          <w:noProof/>
          <w:sz w:val="22"/>
          <w:lang w:val="en-US"/>
        </w:rPr>
      </w:pPr>
      <w:r>
        <w:rPr/>
        <w:fldChar w:fldCharType="begin"/>
      </w:r>
      <w:r>
        <w:instrText xml:space="preserve"> HYPERLINK \l "_Toc240496639" </w:instrText>
      </w:r>
      <w:r>
        <w:rPr/>
        <w:fldChar w:fldCharType="separate"/>
      </w:r>
      <w:r>
        <w:rPr>
          <w:rStyle w:val="style85"/>
          <w:rFonts w:ascii="Arial" w:cs="Arial" w:hAnsi="Arial"/>
          <w:noProof/>
        </w:rPr>
        <w:t>3.3 Research Strategy and Justification</w:t>
      </w:r>
      <w:r>
        <w:rPr>
          <w:noProof/>
          <w:webHidden/>
        </w:rPr>
        <w:tab/>
      </w:r>
      <w:r>
        <w:rPr>
          <w:noProof/>
          <w:webHidden/>
        </w:rPr>
        <w:fldChar w:fldCharType="begin"/>
      </w:r>
      <w:r>
        <w:rPr>
          <w:noProof/>
          <w:webHidden/>
        </w:rPr>
        <w:instrText xml:space="preserve"> PAGEREF _Toc240496639 \h </w:instrText>
      </w:r>
      <w:r>
        <w:rPr>
          <w:noProof/>
          <w:webHidden/>
        </w:rPr>
        <w:fldChar w:fldCharType="separate"/>
      </w:r>
      <w:r>
        <w:rPr>
          <w:noProof/>
          <w:webHidden/>
        </w:rPr>
        <w:t>37</w:t>
      </w:r>
      <w:r>
        <w:rPr>
          <w:noProof/>
          <w:webHidden/>
        </w:rPr>
        <w:fldChar w:fldCharType="end"/>
      </w:r>
      <w:r>
        <w:rPr/>
        <w:fldChar w:fldCharType="end"/>
      </w:r>
    </w:p>
    <w:p w14:paraId="74876F83">
      <w:pPr>
        <w:pStyle w:val="style20"/>
        <w:tabs>
          <w:tab w:val="right" w:leader="dot" w:pos="9350"/>
        </w:tabs>
        <w:rPr>
          <w:rFonts w:ascii="Calibri" w:cs="宋体" w:eastAsia="宋体" w:hAnsi="Calibri"/>
          <w:noProof/>
          <w:sz w:val="22"/>
          <w:lang w:val="en-US"/>
        </w:rPr>
      </w:pPr>
      <w:r>
        <w:rPr/>
        <w:fldChar w:fldCharType="begin"/>
      </w:r>
      <w:r>
        <w:instrText xml:space="preserve"> HYPERLINK \l "_Toc240496640" </w:instrText>
      </w:r>
      <w:r>
        <w:rPr/>
        <w:fldChar w:fldCharType="separate"/>
      </w:r>
      <w:r>
        <w:rPr>
          <w:rStyle w:val="style85"/>
          <w:rFonts w:ascii="Arial" w:cs="Arial" w:hAnsi="Arial"/>
          <w:noProof/>
        </w:rPr>
        <w:t>3.4 Case Selection and Sampling Strategy</w:t>
      </w:r>
      <w:r>
        <w:rPr>
          <w:noProof/>
          <w:webHidden/>
        </w:rPr>
        <w:tab/>
      </w:r>
      <w:r>
        <w:rPr>
          <w:noProof/>
          <w:webHidden/>
        </w:rPr>
        <w:fldChar w:fldCharType="begin"/>
      </w:r>
      <w:r>
        <w:rPr>
          <w:noProof/>
          <w:webHidden/>
        </w:rPr>
        <w:instrText xml:space="preserve"> PAGEREF _Toc240496640 \h </w:instrText>
      </w:r>
      <w:r>
        <w:rPr>
          <w:noProof/>
          <w:webHidden/>
        </w:rPr>
        <w:fldChar w:fldCharType="separate"/>
      </w:r>
      <w:r>
        <w:rPr>
          <w:noProof/>
          <w:webHidden/>
        </w:rPr>
        <w:t>38</w:t>
      </w:r>
      <w:r>
        <w:rPr>
          <w:noProof/>
          <w:webHidden/>
        </w:rPr>
        <w:fldChar w:fldCharType="end"/>
      </w:r>
      <w:r>
        <w:rPr/>
        <w:fldChar w:fldCharType="end"/>
      </w:r>
    </w:p>
    <w:p w14:paraId="0ACDD986">
      <w:pPr>
        <w:pStyle w:val="style20"/>
        <w:tabs>
          <w:tab w:val="right" w:leader="dot" w:pos="9350"/>
        </w:tabs>
        <w:rPr>
          <w:rFonts w:ascii="Calibri" w:cs="宋体" w:eastAsia="宋体" w:hAnsi="Calibri"/>
          <w:noProof/>
          <w:sz w:val="22"/>
          <w:lang w:val="en-US"/>
        </w:rPr>
      </w:pPr>
      <w:r>
        <w:rPr/>
        <w:fldChar w:fldCharType="begin"/>
      </w:r>
      <w:r>
        <w:instrText xml:space="preserve"> HYPERLINK \l "_Toc240496641" </w:instrText>
      </w:r>
      <w:r>
        <w:rPr/>
        <w:fldChar w:fldCharType="separate"/>
      </w:r>
      <w:r>
        <w:rPr>
          <w:rStyle w:val="style85"/>
          <w:rFonts w:ascii="Arial" w:cs="Arial" w:hAnsi="Arial"/>
          <w:noProof/>
        </w:rPr>
        <w:t>3.5 Data Sources and Data Collection</w:t>
      </w:r>
      <w:r>
        <w:rPr>
          <w:noProof/>
          <w:webHidden/>
        </w:rPr>
        <w:tab/>
      </w:r>
      <w:r>
        <w:rPr>
          <w:noProof/>
          <w:webHidden/>
        </w:rPr>
        <w:fldChar w:fldCharType="begin"/>
      </w:r>
      <w:r>
        <w:rPr>
          <w:noProof/>
          <w:webHidden/>
        </w:rPr>
        <w:instrText xml:space="preserve"> PAGEREF _Toc240496641 \h </w:instrText>
      </w:r>
      <w:r>
        <w:rPr>
          <w:noProof/>
          <w:webHidden/>
        </w:rPr>
        <w:fldChar w:fldCharType="separate"/>
      </w:r>
      <w:r>
        <w:rPr>
          <w:noProof/>
          <w:webHidden/>
        </w:rPr>
        <w:t>41</w:t>
      </w:r>
      <w:r>
        <w:rPr>
          <w:noProof/>
          <w:webHidden/>
        </w:rPr>
        <w:fldChar w:fldCharType="end"/>
      </w:r>
      <w:r>
        <w:rPr/>
        <w:fldChar w:fldCharType="end"/>
      </w:r>
    </w:p>
    <w:p w14:paraId="161E9092">
      <w:pPr>
        <w:pStyle w:val="style20"/>
        <w:tabs>
          <w:tab w:val="right" w:leader="dot" w:pos="9350"/>
        </w:tabs>
        <w:rPr>
          <w:rFonts w:ascii="Calibri" w:cs="宋体" w:eastAsia="宋体" w:hAnsi="Calibri"/>
          <w:noProof/>
          <w:sz w:val="22"/>
          <w:lang w:val="en-US"/>
        </w:rPr>
      </w:pPr>
      <w:r>
        <w:rPr/>
        <w:fldChar w:fldCharType="begin"/>
      </w:r>
      <w:r>
        <w:instrText xml:space="preserve"> HYPERLINK \l "_Toc240496642" </w:instrText>
      </w:r>
      <w:r>
        <w:rPr/>
        <w:fldChar w:fldCharType="separate"/>
      </w:r>
      <w:r>
        <w:rPr>
          <w:rStyle w:val="style85"/>
          <w:rFonts w:ascii="Arial" w:cs="Arial" w:hAnsi="Arial"/>
          <w:noProof/>
        </w:rPr>
        <w:t>3.6 Data Analysis Approach</w:t>
      </w:r>
      <w:r>
        <w:rPr>
          <w:noProof/>
          <w:webHidden/>
        </w:rPr>
        <w:tab/>
      </w:r>
      <w:r>
        <w:rPr>
          <w:noProof/>
          <w:webHidden/>
        </w:rPr>
        <w:fldChar w:fldCharType="begin"/>
      </w:r>
      <w:r>
        <w:rPr>
          <w:noProof/>
          <w:webHidden/>
        </w:rPr>
        <w:instrText xml:space="preserve"> PAGEREF _Toc240496642 \h </w:instrText>
      </w:r>
      <w:r>
        <w:rPr>
          <w:noProof/>
          <w:webHidden/>
        </w:rPr>
        <w:fldChar w:fldCharType="separate"/>
      </w:r>
      <w:r>
        <w:rPr>
          <w:noProof/>
          <w:webHidden/>
        </w:rPr>
        <w:t>42</w:t>
      </w:r>
      <w:r>
        <w:rPr>
          <w:noProof/>
          <w:webHidden/>
        </w:rPr>
        <w:fldChar w:fldCharType="end"/>
      </w:r>
      <w:r>
        <w:rPr/>
        <w:fldChar w:fldCharType="end"/>
      </w:r>
    </w:p>
    <w:p w14:paraId="2D9CEEEE">
      <w:pPr>
        <w:pStyle w:val="style20"/>
        <w:tabs>
          <w:tab w:val="right" w:leader="dot" w:pos="9350"/>
        </w:tabs>
        <w:rPr>
          <w:rFonts w:ascii="Calibri" w:cs="宋体" w:eastAsia="宋体" w:hAnsi="Calibri"/>
          <w:noProof/>
          <w:sz w:val="22"/>
          <w:lang w:val="en-US"/>
        </w:rPr>
      </w:pPr>
      <w:r>
        <w:rPr/>
        <w:fldChar w:fldCharType="begin"/>
      </w:r>
      <w:r>
        <w:instrText xml:space="preserve"> HYPERLINK \l "_Toc240496643" </w:instrText>
      </w:r>
      <w:r>
        <w:rPr/>
        <w:fldChar w:fldCharType="separate"/>
      </w:r>
      <w:r>
        <w:rPr>
          <w:rStyle w:val="style85"/>
          <w:rFonts w:ascii="Arial" w:cs="Arial" w:hAnsi="Arial"/>
          <w:noProof/>
        </w:rPr>
        <w:t>3.7 Research Quality and Rigour</w:t>
      </w:r>
      <w:r>
        <w:rPr>
          <w:noProof/>
          <w:webHidden/>
        </w:rPr>
        <w:tab/>
      </w:r>
      <w:r>
        <w:rPr>
          <w:noProof/>
          <w:webHidden/>
        </w:rPr>
        <w:fldChar w:fldCharType="begin"/>
      </w:r>
      <w:r>
        <w:rPr>
          <w:noProof/>
          <w:webHidden/>
        </w:rPr>
        <w:instrText xml:space="preserve"> PAGEREF _Toc240496643 \h </w:instrText>
      </w:r>
      <w:r>
        <w:rPr>
          <w:noProof/>
          <w:webHidden/>
        </w:rPr>
        <w:fldChar w:fldCharType="separate"/>
      </w:r>
      <w:r>
        <w:rPr>
          <w:noProof/>
          <w:webHidden/>
        </w:rPr>
        <w:t>44</w:t>
      </w:r>
      <w:r>
        <w:rPr>
          <w:noProof/>
          <w:webHidden/>
        </w:rPr>
        <w:fldChar w:fldCharType="end"/>
      </w:r>
      <w:r>
        <w:rPr/>
        <w:fldChar w:fldCharType="end"/>
      </w:r>
    </w:p>
    <w:p w14:paraId="7886FBA5">
      <w:pPr>
        <w:pStyle w:val="style20"/>
        <w:tabs>
          <w:tab w:val="right" w:leader="dot" w:pos="9350"/>
        </w:tabs>
        <w:rPr>
          <w:rFonts w:ascii="Calibri" w:cs="宋体" w:eastAsia="宋体" w:hAnsi="Calibri"/>
          <w:noProof/>
          <w:sz w:val="22"/>
          <w:lang w:val="en-US"/>
        </w:rPr>
      </w:pPr>
      <w:r>
        <w:rPr/>
        <w:fldChar w:fldCharType="begin"/>
      </w:r>
      <w:r>
        <w:instrText xml:space="preserve"> HYPERLINK \l "_Toc240496644" </w:instrText>
      </w:r>
      <w:r>
        <w:rPr/>
        <w:fldChar w:fldCharType="separate"/>
      </w:r>
      <w:r>
        <w:rPr>
          <w:rStyle w:val="style85"/>
          <w:rFonts w:ascii="Arial" w:cs="Arial" w:hAnsi="Arial"/>
          <w:noProof/>
        </w:rPr>
        <w:t>3.8 Ethical Considerations</w:t>
      </w:r>
      <w:r>
        <w:rPr>
          <w:noProof/>
          <w:webHidden/>
        </w:rPr>
        <w:tab/>
      </w:r>
      <w:r>
        <w:rPr>
          <w:noProof/>
          <w:webHidden/>
        </w:rPr>
        <w:fldChar w:fldCharType="begin"/>
      </w:r>
      <w:r>
        <w:rPr>
          <w:noProof/>
          <w:webHidden/>
        </w:rPr>
        <w:instrText xml:space="preserve"> PAGEREF _Toc240496644 \h </w:instrText>
      </w:r>
      <w:r>
        <w:rPr>
          <w:noProof/>
          <w:webHidden/>
        </w:rPr>
        <w:fldChar w:fldCharType="separate"/>
      </w:r>
      <w:r>
        <w:rPr>
          <w:noProof/>
          <w:webHidden/>
        </w:rPr>
        <w:t>44</w:t>
      </w:r>
      <w:r>
        <w:rPr>
          <w:noProof/>
          <w:webHidden/>
        </w:rPr>
        <w:fldChar w:fldCharType="end"/>
      </w:r>
      <w:r>
        <w:rPr/>
        <w:fldChar w:fldCharType="end"/>
      </w:r>
    </w:p>
    <w:p w14:paraId="6D70EB50">
      <w:pPr>
        <w:pStyle w:val="style20"/>
        <w:tabs>
          <w:tab w:val="right" w:leader="dot" w:pos="9350"/>
        </w:tabs>
        <w:rPr>
          <w:rFonts w:ascii="Calibri" w:cs="宋体" w:eastAsia="宋体" w:hAnsi="Calibri"/>
          <w:noProof/>
          <w:sz w:val="22"/>
          <w:lang w:val="en-US"/>
        </w:rPr>
      </w:pPr>
      <w:r>
        <w:rPr/>
        <w:fldChar w:fldCharType="begin"/>
      </w:r>
      <w:r>
        <w:instrText xml:space="preserve"> HYPERLINK \l "_Toc240496645" </w:instrText>
      </w:r>
      <w:r>
        <w:rPr/>
        <w:fldChar w:fldCharType="separate"/>
      </w:r>
      <w:r>
        <w:rPr>
          <w:rStyle w:val="style85"/>
          <w:rFonts w:ascii="Arial" w:cs="Arial" w:hAnsi="Arial"/>
          <w:noProof/>
        </w:rPr>
        <w:t>3.9 Chapter Summary</w:t>
      </w:r>
      <w:r>
        <w:rPr>
          <w:noProof/>
          <w:webHidden/>
        </w:rPr>
        <w:tab/>
      </w:r>
      <w:r>
        <w:rPr>
          <w:noProof/>
          <w:webHidden/>
        </w:rPr>
        <w:fldChar w:fldCharType="begin"/>
      </w:r>
      <w:r>
        <w:rPr>
          <w:noProof/>
          <w:webHidden/>
        </w:rPr>
        <w:instrText xml:space="preserve"> PAGEREF _Toc240496645 \h </w:instrText>
      </w:r>
      <w:r>
        <w:rPr>
          <w:noProof/>
          <w:webHidden/>
        </w:rPr>
        <w:fldChar w:fldCharType="separate"/>
      </w:r>
      <w:r>
        <w:rPr>
          <w:noProof/>
          <w:webHidden/>
        </w:rPr>
        <w:t>45</w:t>
      </w:r>
      <w:r>
        <w:rPr>
          <w:noProof/>
          <w:webHidden/>
        </w:rPr>
        <w:fldChar w:fldCharType="end"/>
      </w:r>
      <w:r>
        <w:rPr/>
        <w:fldChar w:fldCharType="end"/>
      </w:r>
    </w:p>
    <w:p w14:paraId="20005E5D">
      <w:pPr>
        <w:pStyle w:val="style19"/>
        <w:tabs>
          <w:tab w:val="right" w:leader="dot" w:pos="9350"/>
        </w:tabs>
        <w:rPr>
          <w:rFonts w:ascii="Calibri" w:cs="宋体" w:eastAsia="宋体" w:hAnsi="Calibri"/>
          <w:noProof/>
          <w:sz w:val="22"/>
          <w:lang w:val="en-US"/>
        </w:rPr>
      </w:pPr>
      <w:r>
        <w:rPr/>
        <w:fldChar w:fldCharType="begin"/>
      </w:r>
      <w:r>
        <w:instrText xml:space="preserve"> HYPERLINK \l "_Toc240496646" </w:instrText>
      </w:r>
      <w:r>
        <w:rPr/>
        <w:fldChar w:fldCharType="separate"/>
      </w:r>
      <w:r>
        <w:rPr>
          <w:rStyle w:val="style85"/>
          <w:rFonts w:ascii="Arial" w:cs="Arial" w:hAnsi="Arial"/>
          <w:noProof/>
        </w:rPr>
        <w:t>Chapter 4: Findings</w:t>
      </w:r>
      <w:r>
        <w:rPr>
          <w:noProof/>
          <w:webHidden/>
        </w:rPr>
        <w:tab/>
      </w:r>
      <w:r>
        <w:rPr>
          <w:noProof/>
          <w:webHidden/>
        </w:rPr>
        <w:fldChar w:fldCharType="begin"/>
      </w:r>
      <w:r>
        <w:rPr>
          <w:noProof/>
          <w:webHidden/>
        </w:rPr>
        <w:instrText xml:space="preserve"> PAGEREF _Toc240496646 \h </w:instrText>
      </w:r>
      <w:r>
        <w:rPr>
          <w:noProof/>
          <w:webHidden/>
        </w:rPr>
        <w:fldChar w:fldCharType="separate"/>
      </w:r>
      <w:r>
        <w:rPr>
          <w:noProof/>
          <w:webHidden/>
        </w:rPr>
        <w:t>46</w:t>
      </w:r>
      <w:r>
        <w:rPr>
          <w:noProof/>
          <w:webHidden/>
        </w:rPr>
        <w:fldChar w:fldCharType="end"/>
      </w:r>
      <w:r>
        <w:rPr/>
        <w:fldChar w:fldCharType="end"/>
      </w:r>
    </w:p>
    <w:p w14:paraId="4930EAD4">
      <w:pPr>
        <w:pStyle w:val="style20"/>
        <w:tabs>
          <w:tab w:val="right" w:leader="dot" w:pos="9350"/>
        </w:tabs>
        <w:rPr>
          <w:rFonts w:ascii="Calibri" w:cs="宋体" w:eastAsia="宋体" w:hAnsi="Calibri"/>
          <w:noProof/>
          <w:sz w:val="22"/>
          <w:lang w:val="en-US"/>
        </w:rPr>
      </w:pPr>
      <w:r>
        <w:rPr/>
        <w:fldChar w:fldCharType="begin"/>
      </w:r>
      <w:r>
        <w:instrText xml:space="preserve"> HYPERLINK \l "_Toc240496647" </w:instrText>
      </w:r>
      <w:r>
        <w:rPr/>
        <w:fldChar w:fldCharType="separate"/>
      </w:r>
      <w:r>
        <w:rPr>
          <w:rStyle w:val="style85"/>
          <w:rFonts w:ascii="Arial" w:cs="Arial" w:hAnsi="Arial"/>
          <w:noProof/>
        </w:rPr>
        <w:t>4.1 Introduction</w:t>
      </w:r>
      <w:r>
        <w:rPr>
          <w:noProof/>
          <w:webHidden/>
        </w:rPr>
        <w:tab/>
      </w:r>
      <w:r>
        <w:rPr>
          <w:noProof/>
          <w:webHidden/>
        </w:rPr>
        <w:fldChar w:fldCharType="begin"/>
      </w:r>
      <w:r>
        <w:rPr>
          <w:noProof/>
          <w:webHidden/>
        </w:rPr>
        <w:instrText xml:space="preserve"> PAGEREF _Toc240496647 \h </w:instrText>
      </w:r>
      <w:r>
        <w:rPr>
          <w:noProof/>
          <w:webHidden/>
        </w:rPr>
        <w:fldChar w:fldCharType="separate"/>
      </w:r>
      <w:r>
        <w:rPr>
          <w:noProof/>
          <w:webHidden/>
        </w:rPr>
        <w:t>46</w:t>
      </w:r>
      <w:r>
        <w:rPr>
          <w:noProof/>
          <w:webHidden/>
        </w:rPr>
        <w:fldChar w:fldCharType="end"/>
      </w:r>
      <w:r>
        <w:rPr/>
        <w:fldChar w:fldCharType="end"/>
      </w:r>
    </w:p>
    <w:p w14:paraId="74ADA712">
      <w:pPr>
        <w:pStyle w:val="style20"/>
        <w:tabs>
          <w:tab w:val="right" w:leader="dot" w:pos="9350"/>
        </w:tabs>
        <w:rPr>
          <w:rFonts w:ascii="Calibri" w:cs="宋体" w:eastAsia="宋体" w:hAnsi="Calibri"/>
          <w:noProof/>
          <w:sz w:val="22"/>
          <w:lang w:val="en-US"/>
        </w:rPr>
      </w:pPr>
      <w:r>
        <w:rPr/>
        <w:fldChar w:fldCharType="begin"/>
      </w:r>
      <w:r>
        <w:instrText xml:space="preserve"> HYPERLINK \l "_Toc240496648" </w:instrText>
      </w:r>
      <w:r>
        <w:rPr/>
        <w:fldChar w:fldCharType="separate"/>
      </w:r>
      <w:r>
        <w:rPr>
          <w:rStyle w:val="style85"/>
          <w:rFonts w:ascii="Arial" w:cs="Arial" w:hAnsi="Arial"/>
          <w:noProof/>
        </w:rPr>
        <w:t>4.2 Case Study 1: Tesco Clubcard</w:t>
      </w:r>
      <w:r>
        <w:rPr>
          <w:noProof/>
          <w:webHidden/>
        </w:rPr>
        <w:tab/>
      </w:r>
      <w:r>
        <w:rPr>
          <w:noProof/>
          <w:webHidden/>
        </w:rPr>
        <w:fldChar w:fldCharType="begin"/>
      </w:r>
      <w:r>
        <w:rPr>
          <w:noProof/>
          <w:webHidden/>
        </w:rPr>
        <w:instrText xml:space="preserve"> PAGEREF _Toc240496648 \h </w:instrText>
      </w:r>
      <w:r>
        <w:rPr>
          <w:noProof/>
          <w:webHidden/>
        </w:rPr>
        <w:fldChar w:fldCharType="separate"/>
      </w:r>
      <w:r>
        <w:rPr>
          <w:noProof/>
          <w:webHidden/>
        </w:rPr>
        <w:t>46</w:t>
      </w:r>
      <w:r>
        <w:rPr>
          <w:noProof/>
          <w:webHidden/>
        </w:rPr>
        <w:fldChar w:fldCharType="end"/>
      </w:r>
      <w:r>
        <w:rPr/>
        <w:fldChar w:fldCharType="end"/>
      </w:r>
    </w:p>
    <w:p w14:paraId="44EF587F">
      <w:pPr>
        <w:pStyle w:val="style21"/>
        <w:tabs>
          <w:tab w:val="right" w:leader="dot" w:pos="9350"/>
        </w:tabs>
        <w:rPr>
          <w:rFonts w:ascii="Calibri" w:cs="宋体" w:eastAsia="宋体" w:hAnsi="Calibri"/>
          <w:noProof/>
          <w:sz w:val="22"/>
          <w:lang w:val="en-US"/>
        </w:rPr>
      </w:pPr>
      <w:r>
        <w:rPr/>
        <w:fldChar w:fldCharType="begin"/>
      </w:r>
      <w:r>
        <w:instrText xml:space="preserve"> HYPERLINK \l "_Toc240496649" </w:instrText>
      </w:r>
      <w:r>
        <w:rPr/>
        <w:fldChar w:fldCharType="separate"/>
      </w:r>
      <w:r>
        <w:rPr>
          <w:rStyle w:val="style85"/>
          <w:rFonts w:ascii="Arial" w:cs="Arial" w:hAnsi="Arial"/>
          <w:noProof/>
        </w:rPr>
        <w:t>4.2.1 Background</w:t>
      </w:r>
      <w:r>
        <w:rPr>
          <w:noProof/>
          <w:webHidden/>
        </w:rPr>
        <w:tab/>
      </w:r>
      <w:r>
        <w:rPr>
          <w:noProof/>
          <w:webHidden/>
        </w:rPr>
        <w:fldChar w:fldCharType="begin"/>
      </w:r>
      <w:r>
        <w:rPr>
          <w:noProof/>
          <w:webHidden/>
        </w:rPr>
        <w:instrText xml:space="preserve"> PAGEREF _Toc240496649 \h </w:instrText>
      </w:r>
      <w:r>
        <w:rPr>
          <w:noProof/>
          <w:webHidden/>
        </w:rPr>
        <w:fldChar w:fldCharType="separate"/>
      </w:r>
      <w:r>
        <w:rPr>
          <w:noProof/>
          <w:webHidden/>
        </w:rPr>
        <w:t>46</w:t>
      </w:r>
      <w:r>
        <w:rPr>
          <w:noProof/>
          <w:webHidden/>
        </w:rPr>
        <w:fldChar w:fldCharType="end"/>
      </w:r>
      <w:r>
        <w:rPr/>
        <w:fldChar w:fldCharType="end"/>
      </w:r>
    </w:p>
    <w:p w14:paraId="2D22DCD3">
      <w:pPr>
        <w:pStyle w:val="style21"/>
        <w:tabs>
          <w:tab w:val="right" w:leader="dot" w:pos="9350"/>
        </w:tabs>
        <w:rPr>
          <w:rFonts w:ascii="Calibri" w:cs="宋体" w:eastAsia="宋体" w:hAnsi="Calibri"/>
          <w:noProof/>
          <w:sz w:val="22"/>
          <w:lang w:val="en-US"/>
        </w:rPr>
      </w:pPr>
      <w:r>
        <w:rPr/>
        <w:fldChar w:fldCharType="begin"/>
      </w:r>
      <w:r>
        <w:instrText xml:space="preserve"> HYPERLINK \l "_Toc240496650" </w:instrText>
      </w:r>
      <w:r>
        <w:rPr/>
        <w:fldChar w:fldCharType="separate"/>
      </w:r>
      <w:r>
        <w:rPr>
          <w:rStyle w:val="style85"/>
          <w:rFonts w:ascii="Arial" w:cs="Arial" w:hAnsi="Arial"/>
          <w:noProof/>
        </w:rPr>
        <w:t>4.2.2 Challenges/Opportunity</w:t>
      </w:r>
      <w:r>
        <w:rPr>
          <w:noProof/>
          <w:webHidden/>
        </w:rPr>
        <w:tab/>
      </w:r>
      <w:r>
        <w:rPr>
          <w:noProof/>
          <w:webHidden/>
        </w:rPr>
        <w:fldChar w:fldCharType="begin"/>
      </w:r>
      <w:r>
        <w:rPr>
          <w:noProof/>
          <w:webHidden/>
        </w:rPr>
        <w:instrText xml:space="preserve"> PAGEREF _Toc240496650 \h </w:instrText>
      </w:r>
      <w:r>
        <w:rPr>
          <w:noProof/>
          <w:webHidden/>
        </w:rPr>
        <w:fldChar w:fldCharType="separate"/>
      </w:r>
      <w:r>
        <w:rPr>
          <w:noProof/>
          <w:webHidden/>
        </w:rPr>
        <w:t>47</w:t>
      </w:r>
      <w:r>
        <w:rPr>
          <w:noProof/>
          <w:webHidden/>
        </w:rPr>
        <w:fldChar w:fldCharType="end"/>
      </w:r>
      <w:r>
        <w:rPr/>
        <w:fldChar w:fldCharType="end"/>
      </w:r>
    </w:p>
    <w:p w14:paraId="2D7E5894">
      <w:pPr>
        <w:pStyle w:val="style21"/>
        <w:tabs>
          <w:tab w:val="right" w:leader="dot" w:pos="9350"/>
        </w:tabs>
        <w:rPr>
          <w:rFonts w:ascii="Calibri" w:cs="宋体" w:eastAsia="宋体" w:hAnsi="Calibri"/>
          <w:noProof/>
          <w:sz w:val="22"/>
          <w:lang w:val="en-US"/>
        </w:rPr>
      </w:pPr>
      <w:r>
        <w:rPr/>
        <w:fldChar w:fldCharType="begin"/>
      </w:r>
      <w:r>
        <w:instrText xml:space="preserve"> HYPERLINK \l "_Toc240496651" </w:instrText>
      </w:r>
      <w:r>
        <w:rPr/>
        <w:fldChar w:fldCharType="separate"/>
      </w:r>
      <w:r>
        <w:rPr>
          <w:rStyle w:val="style85"/>
          <w:rFonts w:ascii="Arial" w:cs="Arial" w:hAnsi="Arial"/>
          <w:noProof/>
        </w:rPr>
        <w:t>4.2.3 Approach and Implementation</w:t>
      </w:r>
      <w:r>
        <w:rPr>
          <w:noProof/>
          <w:webHidden/>
        </w:rPr>
        <w:tab/>
      </w:r>
      <w:r>
        <w:rPr>
          <w:noProof/>
          <w:webHidden/>
        </w:rPr>
        <w:fldChar w:fldCharType="begin"/>
      </w:r>
      <w:r>
        <w:rPr>
          <w:noProof/>
          <w:webHidden/>
        </w:rPr>
        <w:instrText xml:space="preserve"> PAGEREF _Toc240496651 \h </w:instrText>
      </w:r>
      <w:r>
        <w:rPr>
          <w:noProof/>
          <w:webHidden/>
        </w:rPr>
        <w:fldChar w:fldCharType="separate"/>
      </w:r>
      <w:r>
        <w:rPr>
          <w:noProof/>
          <w:webHidden/>
        </w:rPr>
        <w:t>47</w:t>
      </w:r>
      <w:r>
        <w:rPr>
          <w:noProof/>
          <w:webHidden/>
        </w:rPr>
        <w:fldChar w:fldCharType="end"/>
      </w:r>
      <w:r>
        <w:rPr/>
        <w:fldChar w:fldCharType="end"/>
      </w:r>
    </w:p>
    <w:p w14:paraId="6318FC02">
      <w:pPr>
        <w:pStyle w:val="style21"/>
        <w:tabs>
          <w:tab w:val="right" w:leader="dot" w:pos="9350"/>
        </w:tabs>
        <w:rPr>
          <w:rFonts w:ascii="Calibri" w:cs="宋体" w:eastAsia="宋体" w:hAnsi="Calibri"/>
          <w:noProof/>
          <w:sz w:val="22"/>
          <w:lang w:val="en-US"/>
        </w:rPr>
      </w:pPr>
      <w:r>
        <w:rPr/>
        <w:fldChar w:fldCharType="begin"/>
      </w:r>
      <w:r>
        <w:instrText xml:space="preserve"> HYPERLINK \l "_Toc240496652" </w:instrText>
      </w:r>
      <w:r>
        <w:rPr/>
        <w:fldChar w:fldCharType="separate"/>
      </w:r>
      <w:r>
        <w:rPr>
          <w:rStyle w:val="style85"/>
          <w:rFonts w:ascii="Arial" w:cs="Arial" w:hAnsi="Arial"/>
          <w:noProof/>
        </w:rPr>
        <w:t>4.2.4 Outcomes and Results</w:t>
      </w:r>
      <w:r>
        <w:rPr>
          <w:noProof/>
          <w:webHidden/>
        </w:rPr>
        <w:tab/>
      </w:r>
      <w:r>
        <w:rPr>
          <w:noProof/>
          <w:webHidden/>
        </w:rPr>
        <w:fldChar w:fldCharType="begin"/>
      </w:r>
      <w:r>
        <w:rPr>
          <w:noProof/>
          <w:webHidden/>
        </w:rPr>
        <w:instrText xml:space="preserve"> PAGEREF _Toc240496652 \h </w:instrText>
      </w:r>
      <w:r>
        <w:rPr>
          <w:noProof/>
          <w:webHidden/>
        </w:rPr>
        <w:fldChar w:fldCharType="separate"/>
      </w:r>
      <w:r>
        <w:rPr>
          <w:noProof/>
          <w:webHidden/>
        </w:rPr>
        <w:t>47</w:t>
      </w:r>
      <w:r>
        <w:rPr>
          <w:noProof/>
          <w:webHidden/>
        </w:rPr>
        <w:fldChar w:fldCharType="end"/>
      </w:r>
      <w:r>
        <w:rPr/>
        <w:fldChar w:fldCharType="end"/>
      </w:r>
    </w:p>
    <w:p w14:paraId="5088B530">
      <w:pPr>
        <w:pStyle w:val="style20"/>
        <w:tabs>
          <w:tab w:val="right" w:leader="dot" w:pos="9350"/>
        </w:tabs>
        <w:rPr>
          <w:rFonts w:ascii="Calibri" w:cs="宋体" w:eastAsia="宋体" w:hAnsi="Calibri"/>
          <w:noProof/>
          <w:sz w:val="22"/>
          <w:lang w:val="en-US"/>
        </w:rPr>
      </w:pPr>
      <w:r>
        <w:rPr/>
        <w:fldChar w:fldCharType="begin"/>
      </w:r>
      <w:r>
        <w:instrText xml:space="preserve"> HYPERLINK \l "_Toc240496653" </w:instrText>
      </w:r>
      <w:r>
        <w:rPr/>
        <w:fldChar w:fldCharType="separate"/>
      </w:r>
      <w:r>
        <w:rPr>
          <w:rStyle w:val="style85"/>
          <w:rFonts w:ascii="Arial" w:cs="Arial" w:hAnsi="Arial"/>
          <w:noProof/>
        </w:rPr>
        <w:t>4.3 Case Study 2: Sainsbury's Nectar</w:t>
      </w:r>
      <w:r>
        <w:rPr>
          <w:noProof/>
          <w:webHidden/>
        </w:rPr>
        <w:tab/>
      </w:r>
      <w:r>
        <w:rPr>
          <w:noProof/>
          <w:webHidden/>
        </w:rPr>
        <w:fldChar w:fldCharType="begin"/>
      </w:r>
      <w:r>
        <w:rPr>
          <w:noProof/>
          <w:webHidden/>
        </w:rPr>
        <w:instrText xml:space="preserve"> PAGEREF _Toc240496653 \h </w:instrText>
      </w:r>
      <w:r>
        <w:rPr>
          <w:noProof/>
          <w:webHidden/>
        </w:rPr>
        <w:fldChar w:fldCharType="separate"/>
      </w:r>
      <w:r>
        <w:rPr>
          <w:noProof/>
          <w:webHidden/>
        </w:rPr>
        <w:t>49</w:t>
      </w:r>
      <w:r>
        <w:rPr>
          <w:noProof/>
          <w:webHidden/>
        </w:rPr>
        <w:fldChar w:fldCharType="end"/>
      </w:r>
      <w:r>
        <w:rPr/>
        <w:fldChar w:fldCharType="end"/>
      </w:r>
    </w:p>
    <w:p w14:paraId="279BD1D3">
      <w:pPr>
        <w:pStyle w:val="style21"/>
        <w:tabs>
          <w:tab w:val="right" w:leader="dot" w:pos="9350"/>
        </w:tabs>
        <w:rPr>
          <w:rFonts w:ascii="Calibri" w:cs="宋体" w:eastAsia="宋体" w:hAnsi="Calibri"/>
          <w:noProof/>
          <w:sz w:val="22"/>
          <w:lang w:val="en-US"/>
        </w:rPr>
      </w:pPr>
      <w:r>
        <w:rPr/>
        <w:fldChar w:fldCharType="begin"/>
      </w:r>
      <w:r>
        <w:instrText xml:space="preserve"> HYPERLINK \l "_Toc240496654" </w:instrText>
      </w:r>
      <w:r>
        <w:rPr/>
        <w:fldChar w:fldCharType="separate"/>
      </w:r>
      <w:r>
        <w:rPr>
          <w:rStyle w:val="style85"/>
          <w:rFonts w:ascii="Arial" w:cs="Arial" w:hAnsi="Arial"/>
          <w:noProof/>
        </w:rPr>
        <w:t>4.3.1 Background</w:t>
      </w:r>
      <w:r>
        <w:rPr>
          <w:noProof/>
          <w:webHidden/>
        </w:rPr>
        <w:tab/>
      </w:r>
      <w:r>
        <w:rPr>
          <w:noProof/>
          <w:webHidden/>
        </w:rPr>
        <w:fldChar w:fldCharType="begin"/>
      </w:r>
      <w:r>
        <w:rPr>
          <w:noProof/>
          <w:webHidden/>
        </w:rPr>
        <w:instrText xml:space="preserve"> PAGEREF _Toc240496654 \h </w:instrText>
      </w:r>
      <w:r>
        <w:rPr>
          <w:noProof/>
          <w:webHidden/>
        </w:rPr>
        <w:fldChar w:fldCharType="separate"/>
      </w:r>
      <w:r>
        <w:rPr>
          <w:noProof/>
          <w:webHidden/>
        </w:rPr>
        <w:t>49</w:t>
      </w:r>
      <w:r>
        <w:rPr>
          <w:noProof/>
          <w:webHidden/>
        </w:rPr>
        <w:fldChar w:fldCharType="end"/>
      </w:r>
      <w:r>
        <w:rPr/>
        <w:fldChar w:fldCharType="end"/>
      </w:r>
    </w:p>
    <w:p w14:paraId="1FCD47E6">
      <w:pPr>
        <w:pStyle w:val="style21"/>
        <w:tabs>
          <w:tab w:val="right" w:leader="dot" w:pos="9350"/>
        </w:tabs>
        <w:rPr>
          <w:rFonts w:ascii="Calibri" w:cs="宋体" w:eastAsia="宋体" w:hAnsi="Calibri"/>
          <w:noProof/>
          <w:sz w:val="22"/>
          <w:lang w:val="en-US"/>
        </w:rPr>
      </w:pPr>
      <w:r>
        <w:rPr/>
        <w:fldChar w:fldCharType="begin"/>
      </w:r>
      <w:r>
        <w:instrText xml:space="preserve"> HYPERLINK \l "_Toc240496655" </w:instrText>
      </w:r>
      <w:r>
        <w:rPr/>
        <w:fldChar w:fldCharType="separate"/>
      </w:r>
      <w:r>
        <w:rPr>
          <w:rStyle w:val="style85"/>
          <w:rFonts w:ascii="Arial" w:cs="Arial" w:hAnsi="Arial"/>
          <w:noProof/>
        </w:rPr>
        <w:t>4.3.2 Challenges/Opportunity</w:t>
      </w:r>
      <w:r>
        <w:rPr>
          <w:noProof/>
          <w:webHidden/>
        </w:rPr>
        <w:tab/>
      </w:r>
      <w:r>
        <w:rPr>
          <w:noProof/>
          <w:webHidden/>
        </w:rPr>
        <w:fldChar w:fldCharType="begin"/>
      </w:r>
      <w:r>
        <w:rPr>
          <w:noProof/>
          <w:webHidden/>
        </w:rPr>
        <w:instrText xml:space="preserve"> PAGEREF _Toc240496655 \h </w:instrText>
      </w:r>
      <w:r>
        <w:rPr>
          <w:noProof/>
          <w:webHidden/>
        </w:rPr>
        <w:fldChar w:fldCharType="separate"/>
      </w:r>
      <w:r>
        <w:rPr>
          <w:noProof/>
          <w:webHidden/>
        </w:rPr>
        <w:t>49</w:t>
      </w:r>
      <w:r>
        <w:rPr>
          <w:noProof/>
          <w:webHidden/>
        </w:rPr>
        <w:fldChar w:fldCharType="end"/>
      </w:r>
      <w:r>
        <w:rPr/>
        <w:fldChar w:fldCharType="end"/>
      </w:r>
    </w:p>
    <w:p w14:paraId="214BF788">
      <w:pPr>
        <w:pStyle w:val="style21"/>
        <w:tabs>
          <w:tab w:val="right" w:leader="dot" w:pos="9350"/>
        </w:tabs>
        <w:rPr>
          <w:rFonts w:ascii="Calibri" w:cs="宋体" w:eastAsia="宋体" w:hAnsi="Calibri"/>
          <w:noProof/>
          <w:sz w:val="22"/>
          <w:lang w:val="en-US"/>
        </w:rPr>
      </w:pPr>
      <w:r>
        <w:rPr/>
        <w:fldChar w:fldCharType="begin"/>
      </w:r>
      <w:r>
        <w:instrText xml:space="preserve"> HYPERLINK \l "_Toc240496656" </w:instrText>
      </w:r>
      <w:r>
        <w:rPr/>
        <w:fldChar w:fldCharType="separate"/>
      </w:r>
      <w:r>
        <w:rPr>
          <w:rStyle w:val="style85"/>
          <w:rFonts w:ascii="Arial" w:cs="Arial" w:hAnsi="Arial"/>
          <w:noProof/>
        </w:rPr>
        <w:t>4.3.3 Approach and Implementation</w:t>
      </w:r>
      <w:r>
        <w:rPr>
          <w:noProof/>
          <w:webHidden/>
        </w:rPr>
        <w:tab/>
      </w:r>
      <w:r>
        <w:rPr>
          <w:noProof/>
          <w:webHidden/>
        </w:rPr>
        <w:fldChar w:fldCharType="begin"/>
      </w:r>
      <w:r>
        <w:rPr>
          <w:noProof/>
          <w:webHidden/>
        </w:rPr>
        <w:instrText xml:space="preserve"> PAGEREF _Toc240496656 \h </w:instrText>
      </w:r>
      <w:r>
        <w:rPr>
          <w:noProof/>
          <w:webHidden/>
        </w:rPr>
        <w:fldChar w:fldCharType="separate"/>
      </w:r>
      <w:r>
        <w:rPr>
          <w:noProof/>
          <w:webHidden/>
        </w:rPr>
        <w:t>49</w:t>
      </w:r>
      <w:r>
        <w:rPr>
          <w:noProof/>
          <w:webHidden/>
        </w:rPr>
        <w:fldChar w:fldCharType="end"/>
      </w:r>
      <w:r>
        <w:rPr/>
        <w:fldChar w:fldCharType="end"/>
      </w:r>
    </w:p>
    <w:p w14:paraId="7A63DFFD">
      <w:pPr>
        <w:pStyle w:val="style21"/>
        <w:tabs>
          <w:tab w:val="right" w:leader="dot" w:pos="9350"/>
        </w:tabs>
        <w:rPr>
          <w:rFonts w:ascii="Calibri" w:cs="宋体" w:eastAsia="宋体" w:hAnsi="Calibri"/>
          <w:noProof/>
          <w:sz w:val="22"/>
          <w:lang w:val="en-US"/>
        </w:rPr>
      </w:pPr>
      <w:r>
        <w:rPr/>
        <w:fldChar w:fldCharType="begin"/>
      </w:r>
      <w:r>
        <w:instrText xml:space="preserve"> HYPERLINK \l "_Toc240496657" </w:instrText>
      </w:r>
      <w:r>
        <w:rPr/>
        <w:fldChar w:fldCharType="separate"/>
      </w:r>
      <w:r>
        <w:rPr>
          <w:rStyle w:val="style85"/>
          <w:rFonts w:ascii="Arial" w:cs="Arial" w:hAnsi="Arial"/>
          <w:noProof/>
        </w:rPr>
        <w:t>4.3.4 Outcomes and Results</w:t>
      </w:r>
      <w:r>
        <w:rPr>
          <w:noProof/>
          <w:webHidden/>
        </w:rPr>
        <w:tab/>
      </w:r>
      <w:r>
        <w:rPr>
          <w:noProof/>
          <w:webHidden/>
        </w:rPr>
        <w:fldChar w:fldCharType="begin"/>
      </w:r>
      <w:r>
        <w:rPr>
          <w:noProof/>
          <w:webHidden/>
        </w:rPr>
        <w:instrText xml:space="preserve"> PAGEREF _Toc240496657 \h </w:instrText>
      </w:r>
      <w:r>
        <w:rPr>
          <w:noProof/>
          <w:webHidden/>
        </w:rPr>
        <w:fldChar w:fldCharType="separate"/>
      </w:r>
      <w:r>
        <w:rPr>
          <w:noProof/>
          <w:webHidden/>
        </w:rPr>
        <w:t>50</w:t>
      </w:r>
      <w:r>
        <w:rPr>
          <w:noProof/>
          <w:webHidden/>
        </w:rPr>
        <w:fldChar w:fldCharType="end"/>
      </w:r>
      <w:r>
        <w:rPr/>
        <w:fldChar w:fldCharType="end"/>
      </w:r>
    </w:p>
    <w:p w14:paraId="6494E6F7">
      <w:pPr>
        <w:pStyle w:val="style20"/>
        <w:tabs>
          <w:tab w:val="right" w:leader="dot" w:pos="9350"/>
        </w:tabs>
        <w:rPr>
          <w:rFonts w:ascii="Calibri" w:cs="宋体" w:eastAsia="宋体" w:hAnsi="Calibri"/>
          <w:noProof/>
          <w:sz w:val="22"/>
          <w:lang w:val="en-US"/>
        </w:rPr>
      </w:pPr>
      <w:r>
        <w:rPr/>
        <w:fldChar w:fldCharType="begin"/>
      </w:r>
      <w:r>
        <w:instrText xml:space="preserve"> HYPERLINK \l "_Toc240496658" </w:instrText>
      </w:r>
      <w:r>
        <w:rPr/>
        <w:fldChar w:fldCharType="separate"/>
      </w:r>
      <w:r>
        <w:rPr>
          <w:rStyle w:val="style85"/>
          <w:rFonts w:ascii="Arial" w:cs="Arial" w:hAnsi="Arial"/>
          <w:noProof/>
        </w:rPr>
        <w:t>4.4 Case Study 3: Lidl Plus</w:t>
      </w:r>
      <w:r>
        <w:rPr>
          <w:noProof/>
          <w:webHidden/>
        </w:rPr>
        <w:tab/>
      </w:r>
      <w:r>
        <w:rPr>
          <w:noProof/>
          <w:webHidden/>
        </w:rPr>
        <w:fldChar w:fldCharType="begin"/>
      </w:r>
      <w:r>
        <w:rPr>
          <w:noProof/>
          <w:webHidden/>
        </w:rPr>
        <w:instrText xml:space="preserve"> PAGEREF _Toc240496658 \h </w:instrText>
      </w:r>
      <w:r>
        <w:rPr>
          <w:noProof/>
          <w:webHidden/>
        </w:rPr>
        <w:fldChar w:fldCharType="separate"/>
      </w:r>
      <w:r>
        <w:rPr>
          <w:noProof/>
          <w:webHidden/>
        </w:rPr>
        <w:t>51</w:t>
      </w:r>
      <w:r>
        <w:rPr>
          <w:noProof/>
          <w:webHidden/>
        </w:rPr>
        <w:fldChar w:fldCharType="end"/>
      </w:r>
      <w:r>
        <w:rPr/>
        <w:fldChar w:fldCharType="end"/>
      </w:r>
    </w:p>
    <w:p w14:paraId="3F6D8DE3">
      <w:pPr>
        <w:pStyle w:val="style21"/>
        <w:tabs>
          <w:tab w:val="right" w:leader="dot" w:pos="9350"/>
        </w:tabs>
        <w:rPr>
          <w:rFonts w:ascii="Calibri" w:cs="宋体" w:eastAsia="宋体" w:hAnsi="Calibri"/>
          <w:noProof/>
          <w:sz w:val="22"/>
          <w:lang w:val="en-US"/>
        </w:rPr>
      </w:pPr>
      <w:r>
        <w:rPr/>
        <w:fldChar w:fldCharType="begin"/>
      </w:r>
      <w:r>
        <w:instrText xml:space="preserve"> HYPERLINK \l "_Toc240496659" </w:instrText>
      </w:r>
      <w:r>
        <w:rPr/>
        <w:fldChar w:fldCharType="separate"/>
      </w:r>
      <w:r>
        <w:rPr>
          <w:rStyle w:val="style85"/>
          <w:rFonts w:ascii="Arial" w:cs="Arial" w:hAnsi="Arial"/>
          <w:noProof/>
        </w:rPr>
        <w:t>4.4.1 Background</w:t>
      </w:r>
      <w:r>
        <w:rPr>
          <w:noProof/>
          <w:webHidden/>
        </w:rPr>
        <w:tab/>
      </w:r>
      <w:r>
        <w:rPr>
          <w:noProof/>
          <w:webHidden/>
        </w:rPr>
        <w:fldChar w:fldCharType="begin"/>
      </w:r>
      <w:r>
        <w:rPr>
          <w:noProof/>
          <w:webHidden/>
        </w:rPr>
        <w:instrText xml:space="preserve"> PAGEREF _Toc240496659 \h </w:instrText>
      </w:r>
      <w:r>
        <w:rPr>
          <w:noProof/>
          <w:webHidden/>
        </w:rPr>
        <w:fldChar w:fldCharType="separate"/>
      </w:r>
      <w:r>
        <w:rPr>
          <w:noProof/>
          <w:webHidden/>
        </w:rPr>
        <w:t>51</w:t>
      </w:r>
      <w:r>
        <w:rPr>
          <w:noProof/>
          <w:webHidden/>
        </w:rPr>
        <w:fldChar w:fldCharType="end"/>
      </w:r>
      <w:r>
        <w:rPr/>
        <w:fldChar w:fldCharType="end"/>
      </w:r>
    </w:p>
    <w:p w14:paraId="68E9167A">
      <w:pPr>
        <w:pStyle w:val="style21"/>
        <w:tabs>
          <w:tab w:val="right" w:leader="dot" w:pos="9350"/>
        </w:tabs>
        <w:rPr>
          <w:rFonts w:ascii="Calibri" w:cs="宋体" w:eastAsia="宋体" w:hAnsi="Calibri"/>
          <w:noProof/>
          <w:sz w:val="22"/>
          <w:lang w:val="en-US"/>
        </w:rPr>
      </w:pPr>
      <w:r>
        <w:rPr/>
        <w:fldChar w:fldCharType="begin"/>
      </w:r>
      <w:r>
        <w:instrText xml:space="preserve"> HYPERLINK \l "_Toc240496660" </w:instrText>
      </w:r>
      <w:r>
        <w:rPr/>
        <w:fldChar w:fldCharType="separate"/>
      </w:r>
      <w:r>
        <w:rPr>
          <w:rStyle w:val="style85"/>
          <w:rFonts w:ascii="Arial" w:cs="Arial" w:hAnsi="Arial"/>
          <w:noProof/>
        </w:rPr>
        <w:t>4.4.2 Challenges/Opportunity</w:t>
      </w:r>
      <w:r>
        <w:rPr>
          <w:noProof/>
          <w:webHidden/>
        </w:rPr>
        <w:tab/>
      </w:r>
      <w:r>
        <w:rPr>
          <w:noProof/>
          <w:webHidden/>
        </w:rPr>
        <w:fldChar w:fldCharType="begin"/>
      </w:r>
      <w:r>
        <w:rPr>
          <w:noProof/>
          <w:webHidden/>
        </w:rPr>
        <w:instrText xml:space="preserve"> PAGEREF _Toc240496660 \h </w:instrText>
      </w:r>
      <w:r>
        <w:rPr>
          <w:noProof/>
          <w:webHidden/>
        </w:rPr>
        <w:fldChar w:fldCharType="separate"/>
      </w:r>
      <w:r>
        <w:rPr>
          <w:noProof/>
          <w:webHidden/>
        </w:rPr>
        <w:t>51</w:t>
      </w:r>
      <w:r>
        <w:rPr>
          <w:noProof/>
          <w:webHidden/>
        </w:rPr>
        <w:fldChar w:fldCharType="end"/>
      </w:r>
      <w:r>
        <w:rPr/>
        <w:fldChar w:fldCharType="end"/>
      </w:r>
    </w:p>
    <w:p w14:paraId="51103E6E">
      <w:pPr>
        <w:pStyle w:val="style21"/>
        <w:tabs>
          <w:tab w:val="right" w:leader="dot" w:pos="9350"/>
        </w:tabs>
        <w:rPr>
          <w:rFonts w:ascii="Calibri" w:cs="宋体" w:eastAsia="宋体" w:hAnsi="Calibri"/>
          <w:noProof/>
          <w:sz w:val="22"/>
          <w:lang w:val="en-US"/>
        </w:rPr>
      </w:pPr>
      <w:r>
        <w:rPr/>
        <w:fldChar w:fldCharType="begin"/>
      </w:r>
      <w:r>
        <w:instrText xml:space="preserve"> HYPERLINK \l "_Toc240496661" </w:instrText>
      </w:r>
      <w:r>
        <w:rPr/>
        <w:fldChar w:fldCharType="separate"/>
      </w:r>
      <w:r>
        <w:rPr>
          <w:rStyle w:val="style85"/>
          <w:rFonts w:ascii="Arial" w:cs="Arial" w:hAnsi="Arial"/>
          <w:noProof/>
        </w:rPr>
        <w:t>4.4.3 Approach and Implementation</w:t>
      </w:r>
      <w:r>
        <w:rPr>
          <w:noProof/>
          <w:webHidden/>
        </w:rPr>
        <w:tab/>
      </w:r>
      <w:r>
        <w:rPr>
          <w:noProof/>
          <w:webHidden/>
        </w:rPr>
        <w:fldChar w:fldCharType="begin"/>
      </w:r>
      <w:r>
        <w:rPr>
          <w:noProof/>
          <w:webHidden/>
        </w:rPr>
        <w:instrText xml:space="preserve"> PAGEREF _Toc240496661 \h </w:instrText>
      </w:r>
      <w:r>
        <w:rPr>
          <w:noProof/>
          <w:webHidden/>
        </w:rPr>
        <w:fldChar w:fldCharType="separate"/>
      </w:r>
      <w:r>
        <w:rPr>
          <w:noProof/>
          <w:webHidden/>
        </w:rPr>
        <w:t>51</w:t>
      </w:r>
      <w:r>
        <w:rPr>
          <w:noProof/>
          <w:webHidden/>
        </w:rPr>
        <w:fldChar w:fldCharType="end"/>
      </w:r>
      <w:r>
        <w:rPr/>
        <w:fldChar w:fldCharType="end"/>
      </w:r>
    </w:p>
    <w:p w14:paraId="7737E251">
      <w:pPr>
        <w:pStyle w:val="style21"/>
        <w:tabs>
          <w:tab w:val="right" w:leader="dot" w:pos="9350"/>
        </w:tabs>
        <w:rPr>
          <w:rFonts w:ascii="Calibri" w:cs="宋体" w:eastAsia="宋体" w:hAnsi="Calibri"/>
          <w:noProof/>
          <w:sz w:val="22"/>
          <w:lang w:val="en-US"/>
        </w:rPr>
      </w:pPr>
      <w:r>
        <w:rPr/>
        <w:fldChar w:fldCharType="begin"/>
      </w:r>
      <w:r>
        <w:instrText xml:space="preserve"> HYPERLINK \l "_Toc240496662" </w:instrText>
      </w:r>
      <w:r>
        <w:rPr/>
        <w:fldChar w:fldCharType="separate"/>
      </w:r>
      <w:r>
        <w:rPr>
          <w:rStyle w:val="style85"/>
          <w:rFonts w:ascii="Arial" w:cs="Arial" w:hAnsi="Arial"/>
          <w:noProof/>
        </w:rPr>
        <w:t>4.4.4 Outcome and Results</w:t>
      </w:r>
      <w:r>
        <w:rPr>
          <w:noProof/>
          <w:webHidden/>
        </w:rPr>
        <w:tab/>
      </w:r>
      <w:r>
        <w:rPr>
          <w:noProof/>
          <w:webHidden/>
        </w:rPr>
        <w:fldChar w:fldCharType="begin"/>
      </w:r>
      <w:r>
        <w:rPr>
          <w:noProof/>
          <w:webHidden/>
        </w:rPr>
        <w:instrText xml:space="preserve"> PAGEREF _Toc240496662 \h </w:instrText>
      </w:r>
      <w:r>
        <w:rPr>
          <w:noProof/>
          <w:webHidden/>
        </w:rPr>
        <w:fldChar w:fldCharType="separate"/>
      </w:r>
      <w:r>
        <w:rPr>
          <w:noProof/>
          <w:webHidden/>
        </w:rPr>
        <w:t>51</w:t>
      </w:r>
      <w:r>
        <w:rPr>
          <w:noProof/>
          <w:webHidden/>
        </w:rPr>
        <w:fldChar w:fldCharType="end"/>
      </w:r>
      <w:r>
        <w:rPr/>
        <w:fldChar w:fldCharType="end"/>
      </w:r>
    </w:p>
    <w:p w14:paraId="35F22DE5">
      <w:pPr>
        <w:pStyle w:val="style20"/>
        <w:tabs>
          <w:tab w:val="right" w:leader="dot" w:pos="9350"/>
        </w:tabs>
        <w:rPr>
          <w:rFonts w:ascii="Calibri" w:cs="宋体" w:eastAsia="宋体" w:hAnsi="Calibri"/>
          <w:noProof/>
          <w:sz w:val="22"/>
          <w:lang w:val="en-US"/>
        </w:rPr>
      </w:pPr>
      <w:r>
        <w:rPr/>
        <w:fldChar w:fldCharType="begin"/>
      </w:r>
      <w:r>
        <w:instrText xml:space="preserve"> HYPERLINK \l "_Toc240496663" </w:instrText>
      </w:r>
      <w:r>
        <w:rPr/>
        <w:fldChar w:fldCharType="separate"/>
      </w:r>
      <w:r>
        <w:rPr>
          <w:rStyle w:val="style85"/>
          <w:rFonts w:ascii="Arial" w:cs="Arial" w:hAnsi="Arial"/>
          <w:noProof/>
        </w:rPr>
        <w:t>4.5 Case Study 4: Morrisons More</w:t>
      </w:r>
      <w:r>
        <w:rPr>
          <w:noProof/>
          <w:webHidden/>
        </w:rPr>
        <w:tab/>
      </w:r>
      <w:r>
        <w:rPr>
          <w:noProof/>
          <w:webHidden/>
        </w:rPr>
        <w:fldChar w:fldCharType="begin"/>
      </w:r>
      <w:r>
        <w:rPr>
          <w:noProof/>
          <w:webHidden/>
        </w:rPr>
        <w:instrText xml:space="preserve"> PAGEREF _Toc240496663 \h </w:instrText>
      </w:r>
      <w:r>
        <w:rPr>
          <w:noProof/>
          <w:webHidden/>
        </w:rPr>
        <w:fldChar w:fldCharType="separate"/>
      </w:r>
      <w:r>
        <w:rPr>
          <w:noProof/>
          <w:webHidden/>
        </w:rPr>
        <w:t>53</w:t>
      </w:r>
      <w:r>
        <w:rPr>
          <w:noProof/>
          <w:webHidden/>
        </w:rPr>
        <w:fldChar w:fldCharType="end"/>
      </w:r>
      <w:r>
        <w:rPr/>
        <w:fldChar w:fldCharType="end"/>
      </w:r>
    </w:p>
    <w:p w14:paraId="26D77665">
      <w:pPr>
        <w:pStyle w:val="style21"/>
        <w:tabs>
          <w:tab w:val="right" w:leader="dot" w:pos="9350"/>
        </w:tabs>
        <w:rPr>
          <w:rFonts w:ascii="Calibri" w:cs="宋体" w:eastAsia="宋体" w:hAnsi="Calibri"/>
          <w:noProof/>
          <w:sz w:val="22"/>
          <w:lang w:val="en-US"/>
        </w:rPr>
      </w:pPr>
      <w:r>
        <w:rPr/>
        <w:fldChar w:fldCharType="begin"/>
      </w:r>
      <w:r>
        <w:instrText xml:space="preserve"> HYPERLINK \l "_Toc240496664" </w:instrText>
      </w:r>
      <w:r>
        <w:rPr/>
        <w:fldChar w:fldCharType="separate"/>
      </w:r>
      <w:r>
        <w:rPr>
          <w:rStyle w:val="style85"/>
          <w:rFonts w:ascii="Arial" w:cs="Arial" w:hAnsi="Arial"/>
          <w:noProof/>
        </w:rPr>
        <w:t>4.5.1 Background</w:t>
      </w:r>
      <w:r>
        <w:rPr>
          <w:noProof/>
          <w:webHidden/>
        </w:rPr>
        <w:tab/>
      </w:r>
      <w:r>
        <w:rPr>
          <w:noProof/>
          <w:webHidden/>
        </w:rPr>
        <w:fldChar w:fldCharType="begin"/>
      </w:r>
      <w:r>
        <w:rPr>
          <w:noProof/>
          <w:webHidden/>
        </w:rPr>
        <w:instrText xml:space="preserve"> PAGEREF _Toc240496664 \h </w:instrText>
      </w:r>
      <w:r>
        <w:rPr>
          <w:noProof/>
          <w:webHidden/>
        </w:rPr>
        <w:fldChar w:fldCharType="separate"/>
      </w:r>
      <w:r>
        <w:rPr>
          <w:noProof/>
          <w:webHidden/>
        </w:rPr>
        <w:t>53</w:t>
      </w:r>
      <w:r>
        <w:rPr>
          <w:noProof/>
          <w:webHidden/>
        </w:rPr>
        <w:fldChar w:fldCharType="end"/>
      </w:r>
      <w:r>
        <w:rPr/>
        <w:fldChar w:fldCharType="end"/>
      </w:r>
    </w:p>
    <w:p w14:paraId="32E5D01E">
      <w:pPr>
        <w:pStyle w:val="style21"/>
        <w:tabs>
          <w:tab w:val="right" w:leader="dot" w:pos="9350"/>
        </w:tabs>
        <w:rPr>
          <w:rFonts w:ascii="Calibri" w:cs="宋体" w:eastAsia="宋体" w:hAnsi="Calibri"/>
          <w:noProof/>
          <w:sz w:val="22"/>
          <w:lang w:val="en-US"/>
        </w:rPr>
      </w:pPr>
      <w:r>
        <w:rPr/>
        <w:fldChar w:fldCharType="begin"/>
      </w:r>
      <w:r>
        <w:instrText xml:space="preserve"> HYPERLINK \l "_Toc240496665" </w:instrText>
      </w:r>
      <w:r>
        <w:rPr/>
        <w:fldChar w:fldCharType="separate"/>
      </w:r>
      <w:r>
        <w:rPr>
          <w:rStyle w:val="style85"/>
          <w:rFonts w:ascii="Arial" w:cs="Arial" w:hAnsi="Arial"/>
          <w:noProof/>
        </w:rPr>
        <w:t>4.5.2 Challenges/Opportunity</w:t>
      </w:r>
      <w:r>
        <w:rPr>
          <w:noProof/>
          <w:webHidden/>
        </w:rPr>
        <w:tab/>
      </w:r>
      <w:r>
        <w:rPr>
          <w:noProof/>
          <w:webHidden/>
        </w:rPr>
        <w:fldChar w:fldCharType="begin"/>
      </w:r>
      <w:r>
        <w:rPr>
          <w:noProof/>
          <w:webHidden/>
        </w:rPr>
        <w:instrText xml:space="preserve"> PAGEREF _Toc240496665 \h </w:instrText>
      </w:r>
      <w:r>
        <w:rPr>
          <w:noProof/>
          <w:webHidden/>
        </w:rPr>
        <w:fldChar w:fldCharType="separate"/>
      </w:r>
      <w:r>
        <w:rPr>
          <w:noProof/>
          <w:webHidden/>
        </w:rPr>
        <w:t>53</w:t>
      </w:r>
      <w:r>
        <w:rPr>
          <w:noProof/>
          <w:webHidden/>
        </w:rPr>
        <w:fldChar w:fldCharType="end"/>
      </w:r>
      <w:r>
        <w:rPr/>
        <w:fldChar w:fldCharType="end"/>
      </w:r>
    </w:p>
    <w:p w14:paraId="356DD70E">
      <w:pPr>
        <w:pStyle w:val="style21"/>
        <w:tabs>
          <w:tab w:val="right" w:leader="dot" w:pos="9350"/>
        </w:tabs>
        <w:rPr>
          <w:rFonts w:ascii="Calibri" w:cs="宋体" w:eastAsia="宋体" w:hAnsi="Calibri"/>
          <w:noProof/>
          <w:sz w:val="22"/>
          <w:lang w:val="en-US"/>
        </w:rPr>
      </w:pPr>
      <w:r>
        <w:rPr/>
        <w:fldChar w:fldCharType="begin"/>
      </w:r>
      <w:r>
        <w:instrText xml:space="preserve"> HYPERLINK \l "_Toc240496666" </w:instrText>
      </w:r>
      <w:r>
        <w:rPr/>
        <w:fldChar w:fldCharType="separate"/>
      </w:r>
      <w:r>
        <w:rPr>
          <w:rStyle w:val="style85"/>
          <w:rFonts w:ascii="Arial" w:cs="Arial" w:hAnsi="Arial"/>
          <w:noProof/>
        </w:rPr>
        <w:t>4.5.3 Approach and Implementation</w:t>
      </w:r>
      <w:r>
        <w:rPr>
          <w:noProof/>
          <w:webHidden/>
        </w:rPr>
        <w:tab/>
      </w:r>
      <w:r>
        <w:rPr>
          <w:noProof/>
          <w:webHidden/>
        </w:rPr>
        <w:fldChar w:fldCharType="begin"/>
      </w:r>
      <w:r>
        <w:rPr>
          <w:noProof/>
          <w:webHidden/>
        </w:rPr>
        <w:instrText xml:space="preserve"> PAGEREF _Toc240496666 \h </w:instrText>
      </w:r>
      <w:r>
        <w:rPr>
          <w:noProof/>
          <w:webHidden/>
        </w:rPr>
        <w:fldChar w:fldCharType="separate"/>
      </w:r>
      <w:r>
        <w:rPr>
          <w:noProof/>
          <w:webHidden/>
        </w:rPr>
        <w:t>53</w:t>
      </w:r>
      <w:r>
        <w:rPr>
          <w:noProof/>
          <w:webHidden/>
        </w:rPr>
        <w:fldChar w:fldCharType="end"/>
      </w:r>
      <w:r>
        <w:rPr/>
        <w:fldChar w:fldCharType="end"/>
      </w:r>
    </w:p>
    <w:p w14:paraId="51E00ADA">
      <w:pPr>
        <w:pStyle w:val="style21"/>
        <w:tabs>
          <w:tab w:val="right" w:leader="dot" w:pos="9350"/>
        </w:tabs>
        <w:rPr>
          <w:rFonts w:ascii="Calibri" w:cs="宋体" w:eastAsia="宋体" w:hAnsi="Calibri"/>
          <w:noProof/>
          <w:sz w:val="22"/>
          <w:lang w:val="en-US"/>
        </w:rPr>
      </w:pPr>
      <w:r>
        <w:rPr/>
        <w:fldChar w:fldCharType="begin"/>
      </w:r>
      <w:r>
        <w:instrText xml:space="preserve"> HYPERLINK \l "_Toc240496667" </w:instrText>
      </w:r>
      <w:r>
        <w:rPr/>
        <w:fldChar w:fldCharType="separate"/>
      </w:r>
      <w:r>
        <w:rPr>
          <w:rStyle w:val="style85"/>
          <w:rFonts w:ascii="Arial" w:cs="Arial" w:hAnsi="Arial"/>
          <w:noProof/>
        </w:rPr>
        <w:t>4.5.4 Outcomes and Results</w:t>
      </w:r>
      <w:r>
        <w:rPr>
          <w:noProof/>
          <w:webHidden/>
        </w:rPr>
        <w:tab/>
      </w:r>
      <w:r>
        <w:rPr>
          <w:noProof/>
          <w:webHidden/>
        </w:rPr>
        <w:fldChar w:fldCharType="begin"/>
      </w:r>
      <w:r>
        <w:rPr>
          <w:noProof/>
          <w:webHidden/>
        </w:rPr>
        <w:instrText xml:space="preserve"> PAGEREF _Toc240496667 \h </w:instrText>
      </w:r>
      <w:r>
        <w:rPr>
          <w:noProof/>
          <w:webHidden/>
        </w:rPr>
        <w:fldChar w:fldCharType="separate"/>
      </w:r>
      <w:r>
        <w:rPr>
          <w:noProof/>
          <w:webHidden/>
        </w:rPr>
        <w:t>54</w:t>
      </w:r>
      <w:r>
        <w:rPr>
          <w:noProof/>
          <w:webHidden/>
        </w:rPr>
        <w:fldChar w:fldCharType="end"/>
      </w:r>
      <w:r>
        <w:rPr/>
        <w:fldChar w:fldCharType="end"/>
      </w:r>
    </w:p>
    <w:p w14:paraId="1B0D3413">
      <w:pPr>
        <w:pStyle w:val="style20"/>
        <w:tabs>
          <w:tab w:val="right" w:leader="dot" w:pos="9350"/>
        </w:tabs>
        <w:rPr>
          <w:rFonts w:ascii="Calibri" w:cs="宋体" w:eastAsia="宋体" w:hAnsi="Calibri"/>
          <w:noProof/>
          <w:sz w:val="22"/>
          <w:lang w:val="en-US"/>
        </w:rPr>
      </w:pPr>
      <w:r>
        <w:rPr/>
        <w:fldChar w:fldCharType="begin"/>
      </w:r>
      <w:r>
        <w:instrText xml:space="preserve"> HYPERLINK \l "_Toc240496668" </w:instrText>
      </w:r>
      <w:r>
        <w:rPr/>
        <w:fldChar w:fldCharType="separate"/>
      </w:r>
      <w:r>
        <w:rPr>
          <w:rStyle w:val="style85"/>
          <w:rFonts w:ascii="Arial" w:cs="Arial" w:hAnsi="Arial"/>
          <w:noProof/>
        </w:rPr>
        <w:t>4.6 Case Study 5: ASDA Rewards</w:t>
      </w:r>
      <w:r>
        <w:rPr>
          <w:noProof/>
          <w:webHidden/>
        </w:rPr>
        <w:tab/>
      </w:r>
      <w:r>
        <w:rPr>
          <w:noProof/>
          <w:webHidden/>
        </w:rPr>
        <w:fldChar w:fldCharType="begin"/>
      </w:r>
      <w:r>
        <w:rPr>
          <w:noProof/>
          <w:webHidden/>
        </w:rPr>
        <w:instrText xml:space="preserve"> PAGEREF _Toc240496668 \h </w:instrText>
      </w:r>
      <w:r>
        <w:rPr>
          <w:noProof/>
          <w:webHidden/>
        </w:rPr>
        <w:fldChar w:fldCharType="separate"/>
      </w:r>
      <w:r>
        <w:rPr>
          <w:noProof/>
          <w:webHidden/>
        </w:rPr>
        <w:t>54</w:t>
      </w:r>
      <w:r>
        <w:rPr>
          <w:noProof/>
          <w:webHidden/>
        </w:rPr>
        <w:fldChar w:fldCharType="end"/>
      </w:r>
      <w:r>
        <w:rPr/>
        <w:fldChar w:fldCharType="end"/>
      </w:r>
    </w:p>
    <w:p w14:paraId="64937F70">
      <w:pPr>
        <w:pStyle w:val="style21"/>
        <w:tabs>
          <w:tab w:val="right" w:leader="dot" w:pos="9350"/>
        </w:tabs>
        <w:rPr>
          <w:rFonts w:ascii="Calibri" w:cs="宋体" w:eastAsia="宋体" w:hAnsi="Calibri"/>
          <w:noProof/>
          <w:sz w:val="22"/>
          <w:lang w:val="en-US"/>
        </w:rPr>
      </w:pPr>
      <w:r>
        <w:rPr/>
        <w:fldChar w:fldCharType="begin"/>
      </w:r>
      <w:r>
        <w:instrText xml:space="preserve"> HYPERLINK \l "_Toc240496669" </w:instrText>
      </w:r>
      <w:r>
        <w:rPr/>
        <w:fldChar w:fldCharType="separate"/>
      </w:r>
      <w:r>
        <w:rPr>
          <w:rStyle w:val="style85"/>
          <w:rFonts w:ascii="Arial" w:cs="Arial" w:hAnsi="Arial"/>
          <w:noProof/>
        </w:rPr>
        <w:t>4.6.1 Introduction</w:t>
      </w:r>
      <w:r>
        <w:rPr>
          <w:noProof/>
          <w:webHidden/>
        </w:rPr>
        <w:tab/>
      </w:r>
      <w:r>
        <w:rPr>
          <w:noProof/>
          <w:webHidden/>
        </w:rPr>
        <w:fldChar w:fldCharType="begin"/>
      </w:r>
      <w:r>
        <w:rPr>
          <w:noProof/>
          <w:webHidden/>
        </w:rPr>
        <w:instrText xml:space="preserve"> PAGEREF _Toc240496669 \h </w:instrText>
      </w:r>
      <w:r>
        <w:rPr>
          <w:noProof/>
          <w:webHidden/>
        </w:rPr>
        <w:fldChar w:fldCharType="separate"/>
      </w:r>
      <w:r>
        <w:rPr>
          <w:noProof/>
          <w:webHidden/>
        </w:rPr>
        <w:t>54</w:t>
      </w:r>
      <w:r>
        <w:rPr>
          <w:noProof/>
          <w:webHidden/>
        </w:rPr>
        <w:fldChar w:fldCharType="end"/>
      </w:r>
      <w:r>
        <w:rPr/>
        <w:fldChar w:fldCharType="end"/>
      </w:r>
    </w:p>
    <w:p w14:paraId="098CD0EB">
      <w:pPr>
        <w:pStyle w:val="style21"/>
        <w:tabs>
          <w:tab w:val="right" w:leader="dot" w:pos="9350"/>
        </w:tabs>
        <w:rPr>
          <w:rFonts w:ascii="Calibri" w:cs="宋体" w:eastAsia="宋体" w:hAnsi="Calibri"/>
          <w:noProof/>
          <w:sz w:val="22"/>
          <w:lang w:val="en-US"/>
        </w:rPr>
      </w:pPr>
      <w:r>
        <w:rPr/>
        <w:fldChar w:fldCharType="begin"/>
      </w:r>
      <w:r>
        <w:instrText xml:space="preserve"> HYPERLINK \l "_Toc240496670" </w:instrText>
      </w:r>
      <w:r>
        <w:rPr/>
        <w:fldChar w:fldCharType="separate"/>
      </w:r>
      <w:r>
        <w:rPr>
          <w:rStyle w:val="style85"/>
          <w:rFonts w:ascii="Arial" w:cs="Arial" w:hAnsi="Arial"/>
          <w:noProof/>
        </w:rPr>
        <w:t>4.6.2 Challenges/Opportunity</w:t>
      </w:r>
      <w:r>
        <w:rPr>
          <w:noProof/>
          <w:webHidden/>
        </w:rPr>
        <w:tab/>
      </w:r>
      <w:r>
        <w:rPr>
          <w:noProof/>
          <w:webHidden/>
        </w:rPr>
        <w:fldChar w:fldCharType="begin"/>
      </w:r>
      <w:r>
        <w:rPr>
          <w:noProof/>
          <w:webHidden/>
        </w:rPr>
        <w:instrText xml:space="preserve"> PAGEREF _Toc240496670 \h </w:instrText>
      </w:r>
      <w:r>
        <w:rPr>
          <w:noProof/>
          <w:webHidden/>
        </w:rPr>
        <w:fldChar w:fldCharType="separate"/>
      </w:r>
      <w:r>
        <w:rPr>
          <w:noProof/>
          <w:webHidden/>
        </w:rPr>
        <w:t>54</w:t>
      </w:r>
      <w:r>
        <w:rPr>
          <w:noProof/>
          <w:webHidden/>
        </w:rPr>
        <w:fldChar w:fldCharType="end"/>
      </w:r>
      <w:r>
        <w:rPr/>
        <w:fldChar w:fldCharType="end"/>
      </w:r>
    </w:p>
    <w:p w14:paraId="7A378A0E">
      <w:pPr>
        <w:pStyle w:val="style21"/>
        <w:tabs>
          <w:tab w:val="right" w:leader="dot" w:pos="9350"/>
        </w:tabs>
        <w:rPr>
          <w:rFonts w:ascii="Calibri" w:cs="宋体" w:eastAsia="宋体" w:hAnsi="Calibri"/>
          <w:noProof/>
          <w:sz w:val="22"/>
          <w:lang w:val="en-US"/>
        </w:rPr>
      </w:pPr>
      <w:r>
        <w:rPr/>
        <w:fldChar w:fldCharType="begin"/>
      </w:r>
      <w:r>
        <w:instrText xml:space="preserve"> HYPERLINK \l "_Toc240496671" </w:instrText>
      </w:r>
      <w:r>
        <w:rPr/>
        <w:fldChar w:fldCharType="separate"/>
      </w:r>
      <w:r>
        <w:rPr>
          <w:rStyle w:val="style85"/>
          <w:rFonts w:ascii="Arial" w:cs="Arial" w:hAnsi="Arial"/>
          <w:noProof/>
        </w:rPr>
        <w:t>4.6.3 Approach and Implementation</w:t>
      </w:r>
      <w:r>
        <w:rPr>
          <w:noProof/>
          <w:webHidden/>
        </w:rPr>
        <w:tab/>
      </w:r>
      <w:r>
        <w:rPr>
          <w:noProof/>
          <w:webHidden/>
        </w:rPr>
        <w:fldChar w:fldCharType="begin"/>
      </w:r>
      <w:r>
        <w:rPr>
          <w:noProof/>
          <w:webHidden/>
        </w:rPr>
        <w:instrText xml:space="preserve"> PAGEREF _Toc240496671 \h </w:instrText>
      </w:r>
      <w:r>
        <w:rPr>
          <w:noProof/>
          <w:webHidden/>
        </w:rPr>
        <w:fldChar w:fldCharType="separate"/>
      </w:r>
      <w:r>
        <w:rPr>
          <w:noProof/>
          <w:webHidden/>
        </w:rPr>
        <w:t>54</w:t>
      </w:r>
      <w:r>
        <w:rPr>
          <w:noProof/>
          <w:webHidden/>
        </w:rPr>
        <w:fldChar w:fldCharType="end"/>
      </w:r>
      <w:r>
        <w:rPr/>
        <w:fldChar w:fldCharType="end"/>
      </w:r>
    </w:p>
    <w:p w14:paraId="3FB82E40">
      <w:pPr>
        <w:pStyle w:val="style21"/>
        <w:tabs>
          <w:tab w:val="right" w:leader="dot" w:pos="9350"/>
        </w:tabs>
        <w:rPr>
          <w:rFonts w:ascii="Calibri" w:cs="宋体" w:eastAsia="宋体" w:hAnsi="Calibri"/>
          <w:noProof/>
          <w:sz w:val="22"/>
          <w:lang w:val="en-US"/>
        </w:rPr>
      </w:pPr>
      <w:r>
        <w:rPr/>
        <w:fldChar w:fldCharType="begin"/>
      </w:r>
      <w:r>
        <w:instrText xml:space="preserve"> HYPERLINK \l "_Toc240496672" </w:instrText>
      </w:r>
      <w:r>
        <w:rPr/>
        <w:fldChar w:fldCharType="separate"/>
      </w:r>
      <w:r>
        <w:rPr>
          <w:rStyle w:val="style85"/>
          <w:rFonts w:ascii="Arial" w:cs="Arial" w:hAnsi="Arial"/>
          <w:noProof/>
        </w:rPr>
        <w:t>4.6.4 Outcomes and Results</w:t>
      </w:r>
      <w:r>
        <w:rPr>
          <w:noProof/>
          <w:webHidden/>
        </w:rPr>
        <w:tab/>
      </w:r>
      <w:r>
        <w:rPr>
          <w:noProof/>
          <w:webHidden/>
        </w:rPr>
        <w:fldChar w:fldCharType="begin"/>
      </w:r>
      <w:r>
        <w:rPr>
          <w:noProof/>
          <w:webHidden/>
        </w:rPr>
        <w:instrText xml:space="preserve"> PAGEREF _Toc240496672 \h </w:instrText>
      </w:r>
      <w:r>
        <w:rPr>
          <w:noProof/>
          <w:webHidden/>
        </w:rPr>
        <w:fldChar w:fldCharType="separate"/>
      </w:r>
      <w:r>
        <w:rPr>
          <w:noProof/>
          <w:webHidden/>
        </w:rPr>
        <w:t>55</w:t>
      </w:r>
      <w:r>
        <w:rPr>
          <w:noProof/>
          <w:webHidden/>
        </w:rPr>
        <w:fldChar w:fldCharType="end"/>
      </w:r>
      <w:r>
        <w:rPr/>
        <w:fldChar w:fldCharType="end"/>
      </w:r>
    </w:p>
    <w:p w14:paraId="17D32E23">
      <w:pPr>
        <w:pStyle w:val="style20"/>
        <w:tabs>
          <w:tab w:val="right" w:leader="dot" w:pos="9350"/>
        </w:tabs>
        <w:rPr>
          <w:rFonts w:ascii="Calibri" w:cs="宋体" w:eastAsia="宋体" w:hAnsi="Calibri"/>
          <w:noProof/>
          <w:sz w:val="22"/>
          <w:lang w:val="en-US"/>
        </w:rPr>
      </w:pPr>
      <w:r>
        <w:rPr/>
        <w:fldChar w:fldCharType="begin"/>
      </w:r>
      <w:r>
        <w:instrText xml:space="preserve"> HYPERLINK \l "_Toc240496673" </w:instrText>
      </w:r>
      <w:r>
        <w:rPr/>
        <w:fldChar w:fldCharType="separate"/>
      </w:r>
      <w:r>
        <w:rPr>
          <w:rStyle w:val="style85"/>
          <w:rFonts w:ascii="Arial" w:cs="Arial" w:hAnsi="Arial"/>
          <w:noProof/>
        </w:rPr>
        <w:t>4.7 Summary of Cross Case Analysis</w:t>
      </w:r>
      <w:r>
        <w:rPr>
          <w:noProof/>
          <w:webHidden/>
        </w:rPr>
        <w:tab/>
      </w:r>
      <w:r>
        <w:rPr>
          <w:noProof/>
          <w:webHidden/>
        </w:rPr>
        <w:fldChar w:fldCharType="begin"/>
      </w:r>
      <w:r>
        <w:rPr>
          <w:noProof/>
          <w:webHidden/>
        </w:rPr>
        <w:instrText xml:space="preserve"> PAGEREF _Toc240496673 \h </w:instrText>
      </w:r>
      <w:r>
        <w:rPr>
          <w:noProof/>
          <w:webHidden/>
        </w:rPr>
        <w:fldChar w:fldCharType="separate"/>
      </w:r>
      <w:r>
        <w:rPr>
          <w:noProof/>
          <w:webHidden/>
        </w:rPr>
        <w:t>55</w:t>
      </w:r>
      <w:r>
        <w:rPr>
          <w:noProof/>
          <w:webHidden/>
        </w:rPr>
        <w:fldChar w:fldCharType="end"/>
      </w:r>
      <w:r>
        <w:rPr/>
        <w:fldChar w:fldCharType="end"/>
      </w:r>
    </w:p>
    <w:p w14:paraId="1B9DA2E0">
      <w:pPr>
        <w:pStyle w:val="style21"/>
        <w:tabs>
          <w:tab w:val="right" w:leader="dot" w:pos="9350"/>
        </w:tabs>
        <w:rPr>
          <w:rFonts w:ascii="Calibri" w:cs="宋体" w:eastAsia="宋体" w:hAnsi="Calibri"/>
          <w:noProof/>
          <w:sz w:val="22"/>
          <w:lang w:val="en-US"/>
        </w:rPr>
      </w:pPr>
      <w:r>
        <w:rPr/>
        <w:fldChar w:fldCharType="begin"/>
      </w:r>
      <w:r>
        <w:instrText xml:space="preserve"> HYPERLINK \l "_Toc240496674" </w:instrText>
      </w:r>
      <w:r>
        <w:rPr/>
        <w:fldChar w:fldCharType="separate"/>
      </w:r>
      <w:r>
        <w:rPr>
          <w:rStyle w:val="style85"/>
          <w:rFonts w:ascii="Arial" w:cs="Arial" w:hAnsi="Arial"/>
          <w:noProof/>
        </w:rPr>
        <w:t>4.7.1 Recurring Triggers Across Cases</w:t>
      </w:r>
      <w:r>
        <w:rPr>
          <w:noProof/>
          <w:webHidden/>
        </w:rPr>
        <w:tab/>
      </w:r>
      <w:r>
        <w:rPr>
          <w:noProof/>
          <w:webHidden/>
        </w:rPr>
        <w:fldChar w:fldCharType="begin"/>
      </w:r>
      <w:r>
        <w:rPr>
          <w:noProof/>
          <w:webHidden/>
        </w:rPr>
        <w:instrText xml:space="preserve"> PAGEREF _Toc240496674 \h </w:instrText>
      </w:r>
      <w:r>
        <w:rPr>
          <w:noProof/>
          <w:webHidden/>
        </w:rPr>
        <w:fldChar w:fldCharType="separate"/>
      </w:r>
      <w:r>
        <w:rPr>
          <w:noProof/>
          <w:webHidden/>
        </w:rPr>
        <w:t>55</w:t>
      </w:r>
      <w:r>
        <w:rPr>
          <w:noProof/>
          <w:webHidden/>
        </w:rPr>
        <w:fldChar w:fldCharType="end"/>
      </w:r>
      <w:r>
        <w:rPr/>
        <w:fldChar w:fldCharType="end"/>
      </w:r>
    </w:p>
    <w:p w14:paraId="097E1AA9">
      <w:pPr>
        <w:pStyle w:val="style21"/>
        <w:tabs>
          <w:tab w:val="right" w:leader="dot" w:pos="9350"/>
        </w:tabs>
        <w:rPr>
          <w:rFonts w:ascii="Calibri" w:cs="宋体" w:eastAsia="宋体" w:hAnsi="Calibri"/>
          <w:noProof/>
          <w:sz w:val="22"/>
          <w:lang w:val="en-US"/>
        </w:rPr>
      </w:pPr>
      <w:r>
        <w:rPr/>
        <w:fldChar w:fldCharType="begin"/>
      </w:r>
      <w:r>
        <w:instrText xml:space="preserve"> HYPERLINK \l "_Toc240496675" </w:instrText>
      </w:r>
      <w:r>
        <w:rPr/>
        <w:fldChar w:fldCharType="separate"/>
      </w:r>
      <w:r>
        <w:rPr>
          <w:rStyle w:val="style85"/>
          <w:rFonts w:ascii="Arial" w:cs="Arial" w:hAnsi="Arial"/>
          <w:noProof/>
        </w:rPr>
        <w:t>4.7.2 Common Response Patterns</w:t>
      </w:r>
      <w:r>
        <w:rPr>
          <w:noProof/>
          <w:webHidden/>
        </w:rPr>
        <w:tab/>
      </w:r>
      <w:r>
        <w:rPr>
          <w:noProof/>
          <w:webHidden/>
        </w:rPr>
        <w:fldChar w:fldCharType="begin"/>
      </w:r>
      <w:r>
        <w:rPr>
          <w:noProof/>
          <w:webHidden/>
        </w:rPr>
        <w:instrText xml:space="preserve"> PAGEREF _Toc240496675 \h </w:instrText>
      </w:r>
      <w:r>
        <w:rPr>
          <w:noProof/>
          <w:webHidden/>
        </w:rPr>
        <w:fldChar w:fldCharType="separate"/>
      </w:r>
      <w:r>
        <w:rPr>
          <w:noProof/>
          <w:webHidden/>
        </w:rPr>
        <w:t>55</w:t>
      </w:r>
      <w:r>
        <w:rPr>
          <w:noProof/>
          <w:webHidden/>
        </w:rPr>
        <w:fldChar w:fldCharType="end"/>
      </w:r>
      <w:r>
        <w:rPr/>
        <w:fldChar w:fldCharType="end"/>
      </w:r>
    </w:p>
    <w:p w14:paraId="45D16A1C">
      <w:pPr>
        <w:pStyle w:val="style21"/>
        <w:tabs>
          <w:tab w:val="right" w:leader="dot" w:pos="9350"/>
        </w:tabs>
        <w:rPr>
          <w:rFonts w:ascii="Calibri" w:cs="宋体" w:eastAsia="宋体" w:hAnsi="Calibri"/>
          <w:noProof/>
          <w:sz w:val="22"/>
          <w:lang w:val="en-US"/>
        </w:rPr>
      </w:pPr>
      <w:r>
        <w:rPr/>
        <w:fldChar w:fldCharType="begin"/>
      </w:r>
      <w:r>
        <w:instrText xml:space="preserve"> HYPERLINK \l "_Toc240496676" </w:instrText>
      </w:r>
      <w:r>
        <w:rPr/>
        <w:fldChar w:fldCharType="separate"/>
      </w:r>
      <w:r>
        <w:rPr>
          <w:rStyle w:val="style85"/>
          <w:rFonts w:ascii="Arial" w:cs="Arial" w:hAnsi="Arial"/>
          <w:noProof/>
        </w:rPr>
        <w:t>4.7.3 Major Differences Between the Five Cases</w:t>
      </w:r>
      <w:r>
        <w:rPr>
          <w:noProof/>
          <w:webHidden/>
        </w:rPr>
        <w:tab/>
      </w:r>
      <w:r>
        <w:rPr>
          <w:noProof/>
          <w:webHidden/>
        </w:rPr>
        <w:fldChar w:fldCharType="begin"/>
      </w:r>
      <w:r>
        <w:rPr>
          <w:noProof/>
          <w:webHidden/>
        </w:rPr>
        <w:instrText xml:space="preserve"> PAGEREF _Toc240496676 \h </w:instrText>
      </w:r>
      <w:r>
        <w:rPr>
          <w:noProof/>
          <w:webHidden/>
        </w:rPr>
        <w:fldChar w:fldCharType="separate"/>
      </w:r>
      <w:r>
        <w:rPr>
          <w:noProof/>
          <w:webHidden/>
        </w:rPr>
        <w:t>56</w:t>
      </w:r>
      <w:r>
        <w:rPr>
          <w:noProof/>
          <w:webHidden/>
        </w:rPr>
        <w:fldChar w:fldCharType="end"/>
      </w:r>
      <w:r>
        <w:rPr/>
        <w:fldChar w:fldCharType="end"/>
      </w:r>
    </w:p>
    <w:p w14:paraId="0DE08E2A">
      <w:pPr>
        <w:pStyle w:val="style21"/>
        <w:tabs>
          <w:tab w:val="right" w:leader="dot" w:pos="9350"/>
        </w:tabs>
        <w:rPr>
          <w:rFonts w:ascii="Calibri" w:cs="宋体" w:eastAsia="宋体" w:hAnsi="Calibri"/>
          <w:noProof/>
          <w:sz w:val="22"/>
          <w:lang w:val="en-US"/>
        </w:rPr>
      </w:pPr>
      <w:r>
        <w:rPr/>
        <w:fldChar w:fldCharType="begin"/>
      </w:r>
      <w:r>
        <w:instrText xml:space="preserve"> HYPERLINK \l "_Toc240496677" </w:instrText>
      </w:r>
      <w:r>
        <w:rPr/>
        <w:fldChar w:fldCharType="separate"/>
      </w:r>
      <w:r>
        <w:rPr>
          <w:rStyle w:val="style85"/>
          <w:rFonts w:ascii="Arial" w:cs="Arial" w:hAnsi="Arial"/>
          <w:noProof/>
        </w:rPr>
        <w:t>4.7.4 Emerging Relationship Between Execution and Results</w:t>
      </w:r>
      <w:r>
        <w:rPr>
          <w:noProof/>
          <w:webHidden/>
        </w:rPr>
        <w:tab/>
      </w:r>
      <w:r>
        <w:rPr>
          <w:noProof/>
          <w:webHidden/>
        </w:rPr>
        <w:fldChar w:fldCharType="begin"/>
      </w:r>
      <w:r>
        <w:rPr>
          <w:noProof/>
          <w:webHidden/>
        </w:rPr>
        <w:instrText xml:space="preserve"> PAGEREF _Toc240496677 \h </w:instrText>
      </w:r>
      <w:r>
        <w:rPr>
          <w:noProof/>
          <w:webHidden/>
        </w:rPr>
        <w:fldChar w:fldCharType="separate"/>
      </w:r>
      <w:r>
        <w:rPr>
          <w:noProof/>
          <w:webHidden/>
        </w:rPr>
        <w:t>56</w:t>
      </w:r>
      <w:r>
        <w:rPr>
          <w:noProof/>
          <w:webHidden/>
        </w:rPr>
        <w:fldChar w:fldCharType="end"/>
      </w:r>
      <w:r>
        <w:rPr/>
        <w:fldChar w:fldCharType="end"/>
      </w:r>
    </w:p>
    <w:p w14:paraId="7ABA9A80">
      <w:pPr>
        <w:pStyle w:val="style20"/>
        <w:tabs>
          <w:tab w:val="right" w:leader="dot" w:pos="9350"/>
        </w:tabs>
        <w:rPr>
          <w:rFonts w:ascii="Calibri" w:cs="宋体" w:eastAsia="宋体" w:hAnsi="Calibri"/>
          <w:noProof/>
          <w:sz w:val="22"/>
          <w:lang w:val="en-US"/>
        </w:rPr>
      </w:pPr>
      <w:r>
        <w:rPr/>
        <w:fldChar w:fldCharType="begin"/>
      </w:r>
      <w:r>
        <w:instrText xml:space="preserve"> HYPERLINK \l "_Toc240496678" </w:instrText>
      </w:r>
      <w:r>
        <w:rPr/>
        <w:fldChar w:fldCharType="separate"/>
      </w:r>
      <w:r>
        <w:rPr>
          <w:rStyle w:val="style85"/>
          <w:rFonts w:ascii="Arial" w:cs="Arial" w:hAnsi="Arial"/>
          <w:noProof/>
        </w:rPr>
        <w:t>4.8 Chapter Summary</w:t>
      </w:r>
      <w:r>
        <w:rPr>
          <w:noProof/>
          <w:webHidden/>
        </w:rPr>
        <w:tab/>
      </w:r>
      <w:r>
        <w:rPr>
          <w:noProof/>
          <w:webHidden/>
        </w:rPr>
        <w:fldChar w:fldCharType="begin"/>
      </w:r>
      <w:r>
        <w:rPr>
          <w:noProof/>
          <w:webHidden/>
        </w:rPr>
        <w:instrText xml:space="preserve"> PAGEREF _Toc240496678 \h </w:instrText>
      </w:r>
      <w:r>
        <w:rPr>
          <w:noProof/>
          <w:webHidden/>
        </w:rPr>
        <w:fldChar w:fldCharType="separate"/>
      </w:r>
      <w:r>
        <w:rPr>
          <w:noProof/>
          <w:webHidden/>
        </w:rPr>
        <w:t>56</w:t>
      </w:r>
      <w:r>
        <w:rPr>
          <w:noProof/>
          <w:webHidden/>
        </w:rPr>
        <w:fldChar w:fldCharType="end"/>
      </w:r>
      <w:r>
        <w:rPr/>
        <w:fldChar w:fldCharType="end"/>
      </w:r>
    </w:p>
    <w:p w14:paraId="63C61802">
      <w:pPr>
        <w:pStyle w:val="style19"/>
        <w:tabs>
          <w:tab w:val="right" w:leader="dot" w:pos="9350"/>
        </w:tabs>
        <w:rPr>
          <w:rFonts w:ascii="Calibri" w:cs="宋体" w:eastAsia="宋体" w:hAnsi="Calibri"/>
          <w:noProof/>
          <w:sz w:val="22"/>
          <w:lang w:val="en-US"/>
        </w:rPr>
      </w:pPr>
      <w:r>
        <w:rPr/>
        <w:fldChar w:fldCharType="begin"/>
      </w:r>
      <w:r>
        <w:instrText xml:space="preserve"> HYPERLINK \l "_Toc240496679" </w:instrText>
      </w:r>
      <w:r>
        <w:rPr/>
        <w:fldChar w:fldCharType="separate"/>
      </w:r>
      <w:r>
        <w:rPr>
          <w:rStyle w:val="style85"/>
          <w:rFonts w:ascii="Arial" w:cs="Arial" w:hAnsi="Arial"/>
          <w:noProof/>
        </w:rPr>
        <w:t>Chapter 5: Discussion and Analysis</w:t>
      </w:r>
      <w:r>
        <w:rPr>
          <w:noProof/>
          <w:webHidden/>
        </w:rPr>
        <w:tab/>
      </w:r>
      <w:r>
        <w:rPr>
          <w:noProof/>
          <w:webHidden/>
        </w:rPr>
        <w:fldChar w:fldCharType="begin"/>
      </w:r>
      <w:r>
        <w:rPr>
          <w:noProof/>
          <w:webHidden/>
        </w:rPr>
        <w:instrText xml:space="preserve"> PAGEREF _Toc240496679 \h </w:instrText>
      </w:r>
      <w:r>
        <w:rPr>
          <w:noProof/>
          <w:webHidden/>
        </w:rPr>
        <w:fldChar w:fldCharType="separate"/>
      </w:r>
      <w:r>
        <w:rPr>
          <w:noProof/>
          <w:webHidden/>
        </w:rPr>
        <w:t>57</w:t>
      </w:r>
      <w:r>
        <w:rPr>
          <w:noProof/>
          <w:webHidden/>
        </w:rPr>
        <w:fldChar w:fldCharType="end"/>
      </w:r>
      <w:r>
        <w:rPr/>
        <w:fldChar w:fldCharType="end"/>
      </w:r>
    </w:p>
    <w:p w14:paraId="4193FA24">
      <w:pPr>
        <w:pStyle w:val="style20"/>
        <w:tabs>
          <w:tab w:val="right" w:leader="dot" w:pos="9350"/>
        </w:tabs>
        <w:rPr>
          <w:rFonts w:ascii="Calibri" w:cs="宋体" w:eastAsia="宋体" w:hAnsi="Calibri"/>
          <w:noProof/>
          <w:sz w:val="22"/>
          <w:lang w:val="en-US"/>
        </w:rPr>
      </w:pPr>
      <w:r>
        <w:rPr/>
        <w:fldChar w:fldCharType="begin"/>
      </w:r>
      <w:r>
        <w:instrText xml:space="preserve"> HYPERLINK \l "_Toc240496680" </w:instrText>
      </w:r>
      <w:r>
        <w:rPr/>
        <w:fldChar w:fldCharType="separate"/>
      </w:r>
      <w:r>
        <w:rPr>
          <w:rStyle w:val="style85"/>
          <w:rFonts w:ascii="Arial" w:cs="Arial" w:hAnsi="Arial"/>
          <w:noProof/>
        </w:rPr>
        <w:t>5.1 Purpose and Positioning</w:t>
      </w:r>
      <w:r>
        <w:rPr>
          <w:noProof/>
          <w:webHidden/>
        </w:rPr>
        <w:tab/>
      </w:r>
      <w:r>
        <w:rPr>
          <w:noProof/>
          <w:webHidden/>
        </w:rPr>
        <w:fldChar w:fldCharType="begin"/>
      </w:r>
      <w:r>
        <w:rPr>
          <w:noProof/>
          <w:webHidden/>
        </w:rPr>
        <w:instrText xml:space="preserve"> PAGEREF _Toc240496680 \h </w:instrText>
      </w:r>
      <w:r>
        <w:rPr>
          <w:noProof/>
          <w:webHidden/>
        </w:rPr>
        <w:fldChar w:fldCharType="separate"/>
      </w:r>
      <w:r>
        <w:rPr>
          <w:noProof/>
          <w:webHidden/>
        </w:rPr>
        <w:t>57</w:t>
      </w:r>
      <w:r>
        <w:rPr>
          <w:noProof/>
          <w:webHidden/>
        </w:rPr>
        <w:fldChar w:fldCharType="end"/>
      </w:r>
      <w:r>
        <w:rPr/>
        <w:fldChar w:fldCharType="end"/>
      </w:r>
    </w:p>
    <w:p w14:paraId="64F002C1">
      <w:pPr>
        <w:pStyle w:val="style20"/>
        <w:tabs>
          <w:tab w:val="right" w:leader="dot" w:pos="9350"/>
        </w:tabs>
        <w:rPr>
          <w:rFonts w:ascii="Calibri" w:cs="宋体" w:eastAsia="宋体" w:hAnsi="Calibri"/>
          <w:noProof/>
          <w:sz w:val="22"/>
          <w:lang w:val="en-US"/>
        </w:rPr>
      </w:pPr>
      <w:r>
        <w:rPr/>
        <w:fldChar w:fldCharType="begin"/>
      </w:r>
      <w:r>
        <w:instrText xml:space="preserve"> HYPERLINK \l "_Toc240496681" </w:instrText>
      </w:r>
      <w:r>
        <w:rPr/>
        <w:fldChar w:fldCharType="separate"/>
      </w:r>
      <w:r>
        <w:rPr>
          <w:rStyle w:val="style85"/>
          <w:rFonts w:ascii="Arial" w:cs="Arial" w:hAnsi="Arial"/>
          <w:noProof/>
        </w:rPr>
        <w:t>5.2 Analytical Framework and Logic</w:t>
      </w:r>
      <w:r>
        <w:rPr>
          <w:noProof/>
          <w:webHidden/>
        </w:rPr>
        <w:tab/>
      </w:r>
      <w:r>
        <w:rPr>
          <w:noProof/>
          <w:webHidden/>
        </w:rPr>
        <w:fldChar w:fldCharType="begin"/>
      </w:r>
      <w:r>
        <w:rPr>
          <w:noProof/>
          <w:webHidden/>
        </w:rPr>
        <w:instrText xml:space="preserve"> PAGEREF _Toc240496681 \h </w:instrText>
      </w:r>
      <w:r>
        <w:rPr>
          <w:noProof/>
          <w:webHidden/>
        </w:rPr>
        <w:fldChar w:fldCharType="separate"/>
      </w:r>
      <w:r>
        <w:rPr>
          <w:noProof/>
          <w:webHidden/>
        </w:rPr>
        <w:t>57</w:t>
      </w:r>
      <w:r>
        <w:rPr>
          <w:noProof/>
          <w:webHidden/>
        </w:rPr>
        <w:fldChar w:fldCharType="end"/>
      </w:r>
      <w:r>
        <w:rPr/>
        <w:fldChar w:fldCharType="end"/>
      </w:r>
    </w:p>
    <w:p w14:paraId="66A6917C">
      <w:pPr>
        <w:pStyle w:val="style20"/>
        <w:tabs>
          <w:tab w:val="right" w:leader="dot" w:pos="9350"/>
        </w:tabs>
        <w:rPr>
          <w:rFonts w:ascii="Calibri" w:cs="宋体" w:eastAsia="宋体" w:hAnsi="Calibri"/>
          <w:noProof/>
          <w:sz w:val="22"/>
          <w:lang w:val="en-US"/>
        </w:rPr>
      </w:pPr>
      <w:r>
        <w:rPr/>
        <w:fldChar w:fldCharType="begin"/>
      </w:r>
      <w:r>
        <w:instrText xml:space="preserve"> HYPERLINK \l "_Toc240496682" </w:instrText>
      </w:r>
      <w:r>
        <w:rPr/>
        <w:fldChar w:fldCharType="separate"/>
      </w:r>
      <w:r>
        <w:rPr>
          <w:rStyle w:val="style85"/>
          <w:rFonts w:ascii="Arial" w:cs="Arial" w:hAnsi="Arial"/>
          <w:noProof/>
        </w:rPr>
        <w:t>5.3 Cross-Case Synthesis: Comparison and Contrasts with Literature</w:t>
      </w:r>
      <w:r>
        <w:rPr>
          <w:noProof/>
          <w:webHidden/>
        </w:rPr>
        <w:tab/>
      </w:r>
      <w:r>
        <w:rPr>
          <w:noProof/>
          <w:webHidden/>
        </w:rPr>
        <w:fldChar w:fldCharType="begin"/>
      </w:r>
      <w:r>
        <w:rPr>
          <w:noProof/>
          <w:webHidden/>
        </w:rPr>
        <w:instrText xml:space="preserve"> PAGEREF _Toc240496682 \h </w:instrText>
      </w:r>
      <w:r>
        <w:rPr>
          <w:noProof/>
          <w:webHidden/>
        </w:rPr>
        <w:fldChar w:fldCharType="separate"/>
      </w:r>
      <w:r>
        <w:rPr>
          <w:noProof/>
          <w:webHidden/>
        </w:rPr>
        <w:t>58</w:t>
      </w:r>
      <w:r>
        <w:rPr>
          <w:noProof/>
          <w:webHidden/>
        </w:rPr>
        <w:fldChar w:fldCharType="end"/>
      </w:r>
      <w:r>
        <w:rPr/>
        <w:fldChar w:fldCharType="end"/>
      </w:r>
    </w:p>
    <w:p w14:paraId="1F28270D">
      <w:pPr>
        <w:pStyle w:val="style21"/>
        <w:tabs>
          <w:tab w:val="right" w:leader="dot" w:pos="9350"/>
        </w:tabs>
        <w:rPr>
          <w:rFonts w:ascii="Calibri" w:cs="宋体" w:eastAsia="宋体" w:hAnsi="Calibri"/>
          <w:noProof/>
          <w:sz w:val="22"/>
          <w:lang w:val="en-US"/>
        </w:rPr>
      </w:pPr>
      <w:r>
        <w:rPr/>
        <w:fldChar w:fldCharType="begin"/>
      </w:r>
      <w:r>
        <w:instrText xml:space="preserve"> HYPERLINK \l "_Toc240496683" </w:instrText>
      </w:r>
      <w:r>
        <w:rPr/>
        <w:fldChar w:fldCharType="separate"/>
      </w:r>
      <w:r>
        <w:rPr>
          <w:rStyle w:val="style85"/>
          <w:rFonts w:ascii="Arial" w:cs="Arial" w:hAnsi="Arial"/>
          <w:noProof/>
        </w:rPr>
        <w:t>5.3.1 Customer Offer Relevance and Customer Engagement</w:t>
      </w:r>
      <w:r>
        <w:rPr>
          <w:noProof/>
          <w:webHidden/>
        </w:rPr>
        <w:tab/>
      </w:r>
      <w:r>
        <w:rPr>
          <w:noProof/>
          <w:webHidden/>
        </w:rPr>
        <w:fldChar w:fldCharType="begin"/>
      </w:r>
      <w:r>
        <w:rPr>
          <w:noProof/>
          <w:webHidden/>
        </w:rPr>
        <w:instrText xml:space="preserve"> PAGEREF _Toc240496683 \h </w:instrText>
      </w:r>
      <w:r>
        <w:rPr>
          <w:noProof/>
          <w:webHidden/>
        </w:rPr>
        <w:fldChar w:fldCharType="separate"/>
      </w:r>
      <w:r>
        <w:rPr>
          <w:noProof/>
          <w:webHidden/>
        </w:rPr>
        <w:t>58</w:t>
      </w:r>
      <w:r>
        <w:rPr>
          <w:noProof/>
          <w:webHidden/>
        </w:rPr>
        <w:fldChar w:fldCharType="end"/>
      </w:r>
      <w:r>
        <w:rPr/>
        <w:fldChar w:fldCharType="end"/>
      </w:r>
    </w:p>
    <w:p w14:paraId="626EF1DE">
      <w:pPr>
        <w:pStyle w:val="style21"/>
        <w:tabs>
          <w:tab w:val="right" w:leader="dot" w:pos="9350"/>
        </w:tabs>
        <w:rPr>
          <w:rFonts w:ascii="Calibri" w:cs="宋体" w:eastAsia="宋体" w:hAnsi="Calibri"/>
          <w:noProof/>
          <w:sz w:val="22"/>
          <w:lang w:val="en-US"/>
        </w:rPr>
      </w:pPr>
      <w:r>
        <w:rPr/>
        <w:fldChar w:fldCharType="begin"/>
      </w:r>
      <w:r>
        <w:instrText xml:space="preserve"> HYPERLINK \l "_Toc240496684" </w:instrText>
      </w:r>
      <w:r>
        <w:rPr/>
        <w:fldChar w:fldCharType="separate"/>
      </w:r>
      <w:r>
        <w:rPr>
          <w:rStyle w:val="style85"/>
          <w:rFonts w:ascii="Arial" w:cs="Arial" w:hAnsi="Arial"/>
          <w:noProof/>
        </w:rPr>
        <w:t>5.3.2 Perceived Reward Value and Loyalty</w:t>
      </w:r>
      <w:r>
        <w:rPr>
          <w:noProof/>
          <w:webHidden/>
        </w:rPr>
        <w:tab/>
      </w:r>
      <w:r>
        <w:rPr>
          <w:noProof/>
          <w:webHidden/>
        </w:rPr>
        <w:fldChar w:fldCharType="begin"/>
      </w:r>
      <w:r>
        <w:rPr>
          <w:noProof/>
          <w:webHidden/>
        </w:rPr>
        <w:instrText xml:space="preserve"> PAGEREF _Toc240496684 \h </w:instrText>
      </w:r>
      <w:r>
        <w:rPr>
          <w:noProof/>
          <w:webHidden/>
        </w:rPr>
        <w:fldChar w:fldCharType="separate"/>
      </w:r>
      <w:r>
        <w:rPr>
          <w:noProof/>
          <w:webHidden/>
        </w:rPr>
        <w:t>59</w:t>
      </w:r>
      <w:r>
        <w:rPr>
          <w:noProof/>
          <w:webHidden/>
        </w:rPr>
        <w:fldChar w:fldCharType="end"/>
      </w:r>
      <w:r>
        <w:rPr/>
        <w:fldChar w:fldCharType="end"/>
      </w:r>
    </w:p>
    <w:p w14:paraId="5541AAD0">
      <w:pPr>
        <w:pStyle w:val="style21"/>
        <w:tabs>
          <w:tab w:val="right" w:leader="dot" w:pos="9350"/>
        </w:tabs>
        <w:rPr>
          <w:rFonts w:ascii="Calibri" w:cs="宋体" w:eastAsia="宋体" w:hAnsi="Calibri"/>
          <w:noProof/>
          <w:sz w:val="22"/>
          <w:lang w:val="en-US"/>
        </w:rPr>
      </w:pPr>
      <w:r>
        <w:rPr/>
        <w:fldChar w:fldCharType="begin"/>
      </w:r>
      <w:r>
        <w:instrText xml:space="preserve"> HYPERLINK \l "_Toc240496685" </w:instrText>
      </w:r>
      <w:r>
        <w:rPr/>
        <w:fldChar w:fldCharType="separate"/>
      </w:r>
      <w:r>
        <w:rPr>
          <w:rStyle w:val="style85"/>
          <w:rFonts w:ascii="Arial" w:cs="Arial" w:hAnsi="Arial"/>
          <w:noProof/>
        </w:rPr>
        <w:t>5.3.3 Perceived Fairness, Transparency and Consumer Trust</w:t>
      </w:r>
      <w:r>
        <w:rPr>
          <w:noProof/>
          <w:webHidden/>
        </w:rPr>
        <w:tab/>
      </w:r>
      <w:r>
        <w:rPr>
          <w:noProof/>
          <w:webHidden/>
        </w:rPr>
        <w:fldChar w:fldCharType="begin"/>
      </w:r>
      <w:r>
        <w:rPr>
          <w:noProof/>
          <w:webHidden/>
        </w:rPr>
        <w:instrText xml:space="preserve"> PAGEREF _Toc240496685 \h </w:instrText>
      </w:r>
      <w:r>
        <w:rPr>
          <w:noProof/>
          <w:webHidden/>
        </w:rPr>
        <w:fldChar w:fldCharType="separate"/>
      </w:r>
      <w:r>
        <w:rPr>
          <w:noProof/>
          <w:webHidden/>
        </w:rPr>
        <w:t>60</w:t>
      </w:r>
      <w:r>
        <w:rPr>
          <w:noProof/>
          <w:webHidden/>
        </w:rPr>
        <w:fldChar w:fldCharType="end"/>
      </w:r>
      <w:r>
        <w:rPr/>
        <w:fldChar w:fldCharType="end"/>
      </w:r>
    </w:p>
    <w:p w14:paraId="5342CD3F">
      <w:pPr>
        <w:pStyle w:val="style21"/>
        <w:tabs>
          <w:tab w:val="right" w:leader="dot" w:pos="9350"/>
        </w:tabs>
        <w:rPr>
          <w:rFonts w:ascii="Calibri" w:cs="宋体" w:eastAsia="宋体" w:hAnsi="Calibri"/>
          <w:noProof/>
          <w:sz w:val="22"/>
          <w:lang w:val="en-US"/>
        </w:rPr>
      </w:pPr>
      <w:r>
        <w:rPr/>
        <w:fldChar w:fldCharType="begin"/>
      </w:r>
      <w:r>
        <w:instrText xml:space="preserve"> HYPERLINK \l "_Toc240496686" </w:instrText>
      </w:r>
      <w:r>
        <w:rPr/>
        <w:fldChar w:fldCharType="separate"/>
      </w:r>
      <w:r>
        <w:rPr>
          <w:rStyle w:val="style85"/>
          <w:rFonts w:ascii="Arial" w:cs="Arial" w:hAnsi="Arial"/>
          <w:noProof/>
        </w:rPr>
        <w:t>5.3.4 Customer Satisfaction and Loyalty Formation</w:t>
      </w:r>
      <w:r>
        <w:rPr>
          <w:noProof/>
          <w:webHidden/>
        </w:rPr>
        <w:tab/>
      </w:r>
      <w:r>
        <w:rPr>
          <w:noProof/>
          <w:webHidden/>
        </w:rPr>
        <w:fldChar w:fldCharType="begin"/>
      </w:r>
      <w:r>
        <w:rPr>
          <w:noProof/>
          <w:webHidden/>
        </w:rPr>
        <w:instrText xml:space="preserve"> PAGEREF _Toc240496686 \h </w:instrText>
      </w:r>
      <w:r>
        <w:rPr>
          <w:noProof/>
          <w:webHidden/>
        </w:rPr>
        <w:fldChar w:fldCharType="separate"/>
      </w:r>
      <w:r>
        <w:rPr>
          <w:noProof/>
          <w:webHidden/>
        </w:rPr>
        <w:t>61</w:t>
      </w:r>
      <w:r>
        <w:rPr>
          <w:noProof/>
          <w:webHidden/>
        </w:rPr>
        <w:fldChar w:fldCharType="end"/>
      </w:r>
      <w:r>
        <w:rPr/>
        <w:fldChar w:fldCharType="end"/>
      </w:r>
    </w:p>
    <w:p w14:paraId="44C8C201">
      <w:pPr>
        <w:pStyle w:val="style21"/>
        <w:tabs>
          <w:tab w:val="right" w:leader="dot" w:pos="9350"/>
        </w:tabs>
        <w:rPr>
          <w:rFonts w:ascii="Calibri" w:cs="宋体" w:eastAsia="宋体" w:hAnsi="Calibri"/>
          <w:noProof/>
          <w:sz w:val="22"/>
          <w:lang w:val="en-US"/>
        </w:rPr>
      </w:pPr>
      <w:r>
        <w:rPr/>
        <w:fldChar w:fldCharType="begin"/>
      </w:r>
      <w:r>
        <w:instrText xml:space="preserve"> HYPERLINK \l "_Toc240496687" </w:instrText>
      </w:r>
      <w:r>
        <w:rPr/>
        <w:fldChar w:fldCharType="separate"/>
      </w:r>
      <w:r>
        <w:rPr>
          <w:rStyle w:val="style85"/>
          <w:rFonts w:ascii="Arial" w:cs="Arial" w:hAnsi="Arial"/>
          <w:noProof/>
        </w:rPr>
        <w:t>5.3.5 Digital Capability and Contextual Differences</w:t>
      </w:r>
      <w:r>
        <w:rPr>
          <w:noProof/>
          <w:webHidden/>
        </w:rPr>
        <w:tab/>
      </w:r>
      <w:r>
        <w:rPr>
          <w:noProof/>
          <w:webHidden/>
        </w:rPr>
        <w:fldChar w:fldCharType="begin"/>
      </w:r>
      <w:r>
        <w:rPr>
          <w:noProof/>
          <w:webHidden/>
        </w:rPr>
        <w:instrText xml:space="preserve"> PAGEREF _Toc240496687 \h </w:instrText>
      </w:r>
      <w:r>
        <w:rPr>
          <w:noProof/>
          <w:webHidden/>
        </w:rPr>
        <w:fldChar w:fldCharType="separate"/>
      </w:r>
      <w:r>
        <w:rPr>
          <w:noProof/>
          <w:webHidden/>
        </w:rPr>
        <w:t>62</w:t>
      </w:r>
      <w:r>
        <w:rPr>
          <w:noProof/>
          <w:webHidden/>
        </w:rPr>
        <w:fldChar w:fldCharType="end"/>
      </w:r>
      <w:r>
        <w:rPr/>
        <w:fldChar w:fldCharType="end"/>
      </w:r>
    </w:p>
    <w:p w14:paraId="64C76B37">
      <w:pPr>
        <w:pStyle w:val="style20"/>
        <w:tabs>
          <w:tab w:val="right" w:leader="dot" w:pos="9350"/>
        </w:tabs>
        <w:rPr>
          <w:rFonts w:ascii="Calibri" w:cs="宋体" w:eastAsia="宋体" w:hAnsi="Calibri"/>
          <w:noProof/>
          <w:sz w:val="22"/>
          <w:lang w:val="en-US"/>
        </w:rPr>
      </w:pPr>
      <w:r>
        <w:rPr/>
        <w:fldChar w:fldCharType="begin"/>
      </w:r>
      <w:r>
        <w:instrText xml:space="preserve"> HYPERLINK \l "_Toc240496688" </w:instrText>
      </w:r>
      <w:r>
        <w:rPr/>
        <w:fldChar w:fldCharType="separate"/>
      </w:r>
      <w:r>
        <w:rPr>
          <w:rStyle w:val="style85"/>
          <w:rFonts w:ascii="Arial" w:cs="Arial" w:hAnsi="Arial"/>
          <w:noProof/>
        </w:rPr>
        <w:t>5.4 Integration to the Conceptual Model and Poirpositions</w:t>
      </w:r>
      <w:r>
        <w:rPr>
          <w:noProof/>
          <w:webHidden/>
        </w:rPr>
        <w:tab/>
      </w:r>
      <w:r>
        <w:rPr>
          <w:noProof/>
          <w:webHidden/>
        </w:rPr>
        <w:fldChar w:fldCharType="begin"/>
      </w:r>
      <w:r>
        <w:rPr>
          <w:noProof/>
          <w:webHidden/>
        </w:rPr>
        <w:instrText xml:space="preserve"> PAGEREF _Toc240496688 \h </w:instrText>
      </w:r>
      <w:r>
        <w:rPr>
          <w:noProof/>
          <w:webHidden/>
        </w:rPr>
        <w:fldChar w:fldCharType="separate"/>
      </w:r>
      <w:r>
        <w:rPr>
          <w:noProof/>
          <w:webHidden/>
        </w:rPr>
        <w:t>63</w:t>
      </w:r>
      <w:r>
        <w:rPr>
          <w:noProof/>
          <w:webHidden/>
        </w:rPr>
        <w:fldChar w:fldCharType="end"/>
      </w:r>
      <w:r>
        <w:rPr/>
        <w:fldChar w:fldCharType="end"/>
      </w:r>
    </w:p>
    <w:p w14:paraId="5169086D">
      <w:pPr>
        <w:pStyle w:val="style20"/>
        <w:tabs>
          <w:tab w:val="right" w:leader="dot" w:pos="9350"/>
        </w:tabs>
        <w:rPr>
          <w:rFonts w:ascii="Calibri" w:cs="宋体" w:eastAsia="宋体" w:hAnsi="Calibri"/>
          <w:noProof/>
          <w:sz w:val="22"/>
          <w:lang w:val="en-US"/>
        </w:rPr>
      </w:pPr>
      <w:r>
        <w:rPr/>
        <w:fldChar w:fldCharType="begin"/>
      </w:r>
      <w:r>
        <w:instrText xml:space="preserve"> HYPERLINK \l "_Toc240496689" </w:instrText>
      </w:r>
      <w:r>
        <w:rPr/>
        <w:fldChar w:fldCharType="separate"/>
      </w:r>
      <w:r>
        <w:rPr>
          <w:rStyle w:val="style85"/>
          <w:rFonts w:ascii="Arial" w:cs="Arial" w:hAnsi="Arial"/>
          <w:noProof/>
        </w:rPr>
        <w:t>5.5 Robustness Considerations</w:t>
      </w:r>
      <w:r>
        <w:rPr>
          <w:noProof/>
          <w:webHidden/>
        </w:rPr>
        <w:tab/>
      </w:r>
      <w:r>
        <w:rPr>
          <w:noProof/>
          <w:webHidden/>
        </w:rPr>
        <w:fldChar w:fldCharType="begin"/>
      </w:r>
      <w:r>
        <w:rPr>
          <w:noProof/>
          <w:webHidden/>
        </w:rPr>
        <w:instrText xml:space="preserve"> PAGEREF _Toc240496689 \h </w:instrText>
      </w:r>
      <w:r>
        <w:rPr>
          <w:noProof/>
          <w:webHidden/>
        </w:rPr>
        <w:fldChar w:fldCharType="separate"/>
      </w:r>
      <w:r>
        <w:rPr>
          <w:noProof/>
          <w:webHidden/>
        </w:rPr>
        <w:t>64</w:t>
      </w:r>
      <w:r>
        <w:rPr>
          <w:noProof/>
          <w:webHidden/>
        </w:rPr>
        <w:fldChar w:fldCharType="end"/>
      </w:r>
      <w:r>
        <w:rPr/>
        <w:fldChar w:fldCharType="end"/>
      </w:r>
    </w:p>
    <w:p w14:paraId="45752992">
      <w:pPr>
        <w:pStyle w:val="style20"/>
        <w:tabs>
          <w:tab w:val="right" w:leader="dot" w:pos="9350"/>
        </w:tabs>
        <w:rPr>
          <w:rFonts w:ascii="Calibri" w:cs="宋体" w:eastAsia="宋体" w:hAnsi="Calibri"/>
          <w:noProof/>
          <w:sz w:val="22"/>
          <w:lang w:val="en-US"/>
        </w:rPr>
      </w:pPr>
      <w:r>
        <w:rPr/>
        <w:fldChar w:fldCharType="begin"/>
      </w:r>
      <w:r>
        <w:instrText xml:space="preserve"> HYPERLINK \l "_Toc240496690" </w:instrText>
      </w:r>
      <w:r>
        <w:rPr/>
        <w:fldChar w:fldCharType="separate"/>
      </w:r>
      <w:r>
        <w:rPr>
          <w:rStyle w:val="style85"/>
          <w:rFonts w:ascii="Arial" w:cs="Arial" w:hAnsi="Arial"/>
          <w:noProof/>
        </w:rPr>
        <w:t>5.6 Practical Synthesis</w:t>
      </w:r>
      <w:r>
        <w:rPr>
          <w:noProof/>
          <w:webHidden/>
        </w:rPr>
        <w:tab/>
      </w:r>
      <w:r>
        <w:rPr>
          <w:noProof/>
          <w:webHidden/>
        </w:rPr>
        <w:fldChar w:fldCharType="begin"/>
      </w:r>
      <w:r>
        <w:rPr>
          <w:noProof/>
          <w:webHidden/>
        </w:rPr>
        <w:instrText xml:space="preserve"> PAGEREF _Toc240496690 \h </w:instrText>
      </w:r>
      <w:r>
        <w:rPr>
          <w:noProof/>
          <w:webHidden/>
        </w:rPr>
        <w:fldChar w:fldCharType="separate"/>
      </w:r>
      <w:r>
        <w:rPr>
          <w:noProof/>
          <w:webHidden/>
        </w:rPr>
        <w:t>64</w:t>
      </w:r>
      <w:r>
        <w:rPr>
          <w:noProof/>
          <w:webHidden/>
        </w:rPr>
        <w:fldChar w:fldCharType="end"/>
      </w:r>
      <w:r>
        <w:rPr/>
        <w:fldChar w:fldCharType="end"/>
      </w:r>
    </w:p>
    <w:p w14:paraId="3AC89610">
      <w:pPr>
        <w:pStyle w:val="style20"/>
        <w:tabs>
          <w:tab w:val="right" w:leader="dot" w:pos="9350"/>
        </w:tabs>
        <w:rPr>
          <w:rFonts w:ascii="Calibri" w:cs="宋体" w:eastAsia="宋体" w:hAnsi="Calibri"/>
          <w:noProof/>
          <w:sz w:val="22"/>
          <w:lang w:val="en-US"/>
        </w:rPr>
      </w:pPr>
      <w:r>
        <w:rPr/>
        <w:fldChar w:fldCharType="begin"/>
      </w:r>
      <w:r>
        <w:instrText xml:space="preserve"> HYPERLINK \l "_Toc240496691" </w:instrText>
      </w:r>
      <w:r>
        <w:rPr/>
        <w:fldChar w:fldCharType="separate"/>
      </w:r>
      <w:r>
        <w:rPr>
          <w:rStyle w:val="style85"/>
          <w:rFonts w:ascii="Arial" w:cs="Arial" w:hAnsi="Arial"/>
          <w:noProof/>
        </w:rPr>
        <w:t>5.7 Chapter Summary</w:t>
      </w:r>
      <w:r>
        <w:rPr>
          <w:noProof/>
          <w:webHidden/>
        </w:rPr>
        <w:tab/>
      </w:r>
      <w:r>
        <w:rPr>
          <w:noProof/>
          <w:webHidden/>
        </w:rPr>
        <w:fldChar w:fldCharType="begin"/>
      </w:r>
      <w:r>
        <w:rPr>
          <w:noProof/>
          <w:webHidden/>
        </w:rPr>
        <w:instrText xml:space="preserve"> PAGEREF _Toc240496691 \h </w:instrText>
      </w:r>
      <w:r>
        <w:rPr>
          <w:noProof/>
          <w:webHidden/>
        </w:rPr>
        <w:fldChar w:fldCharType="separate"/>
      </w:r>
      <w:r>
        <w:rPr>
          <w:noProof/>
          <w:webHidden/>
        </w:rPr>
        <w:t>65</w:t>
      </w:r>
      <w:r>
        <w:rPr>
          <w:noProof/>
          <w:webHidden/>
        </w:rPr>
        <w:fldChar w:fldCharType="end"/>
      </w:r>
      <w:r>
        <w:rPr/>
        <w:fldChar w:fldCharType="end"/>
      </w:r>
    </w:p>
    <w:p w14:paraId="3C31BD5A">
      <w:pPr>
        <w:pStyle w:val="style19"/>
        <w:tabs>
          <w:tab w:val="right" w:leader="dot" w:pos="9350"/>
        </w:tabs>
        <w:rPr>
          <w:rFonts w:ascii="Calibri" w:cs="宋体" w:eastAsia="宋体" w:hAnsi="Calibri"/>
          <w:noProof/>
          <w:sz w:val="22"/>
          <w:lang w:val="en-US"/>
        </w:rPr>
      </w:pPr>
      <w:r>
        <w:rPr/>
        <w:fldChar w:fldCharType="begin"/>
      </w:r>
      <w:r>
        <w:instrText xml:space="preserve"> HYPERLINK \l "_Toc240496692" </w:instrText>
      </w:r>
      <w:r>
        <w:rPr/>
        <w:fldChar w:fldCharType="separate"/>
      </w:r>
      <w:r>
        <w:rPr>
          <w:rStyle w:val="style85"/>
          <w:rFonts w:ascii="Arial" w:cs="Arial" w:hAnsi="Arial"/>
          <w:noProof/>
        </w:rPr>
        <w:t>Chapter 6: Conclusion</w:t>
      </w:r>
      <w:r>
        <w:rPr>
          <w:noProof/>
          <w:webHidden/>
        </w:rPr>
        <w:tab/>
      </w:r>
      <w:r>
        <w:rPr>
          <w:noProof/>
          <w:webHidden/>
        </w:rPr>
        <w:fldChar w:fldCharType="begin"/>
      </w:r>
      <w:r>
        <w:rPr>
          <w:noProof/>
          <w:webHidden/>
        </w:rPr>
        <w:instrText xml:space="preserve"> PAGEREF _Toc240496692 \h </w:instrText>
      </w:r>
      <w:r>
        <w:rPr>
          <w:noProof/>
          <w:webHidden/>
        </w:rPr>
        <w:fldChar w:fldCharType="separate"/>
      </w:r>
      <w:r>
        <w:rPr>
          <w:noProof/>
          <w:webHidden/>
        </w:rPr>
        <w:t>66</w:t>
      </w:r>
      <w:r>
        <w:rPr>
          <w:noProof/>
          <w:webHidden/>
        </w:rPr>
        <w:fldChar w:fldCharType="end"/>
      </w:r>
      <w:r>
        <w:rPr/>
        <w:fldChar w:fldCharType="end"/>
      </w:r>
    </w:p>
    <w:p w14:paraId="5B3A01DB">
      <w:pPr>
        <w:pStyle w:val="style20"/>
        <w:tabs>
          <w:tab w:val="right" w:leader="dot" w:pos="9350"/>
        </w:tabs>
        <w:rPr>
          <w:rFonts w:ascii="Calibri" w:cs="宋体" w:eastAsia="宋体" w:hAnsi="Calibri"/>
          <w:noProof/>
          <w:sz w:val="22"/>
          <w:lang w:val="en-US"/>
        </w:rPr>
      </w:pPr>
      <w:r>
        <w:rPr/>
        <w:fldChar w:fldCharType="begin"/>
      </w:r>
      <w:r>
        <w:instrText xml:space="preserve"> HYPERLINK \l "_Toc240496693" </w:instrText>
      </w:r>
      <w:r>
        <w:rPr/>
        <w:fldChar w:fldCharType="separate"/>
      </w:r>
      <w:r>
        <w:rPr>
          <w:rStyle w:val="style85"/>
          <w:rFonts w:ascii="Arial" w:cs="Arial" w:hAnsi="Arial"/>
          <w:noProof/>
        </w:rPr>
        <w:t>6.1 Introduction</w:t>
      </w:r>
      <w:r>
        <w:rPr>
          <w:noProof/>
          <w:webHidden/>
        </w:rPr>
        <w:tab/>
      </w:r>
      <w:r>
        <w:rPr>
          <w:noProof/>
          <w:webHidden/>
        </w:rPr>
        <w:fldChar w:fldCharType="begin"/>
      </w:r>
      <w:r>
        <w:rPr>
          <w:noProof/>
          <w:webHidden/>
        </w:rPr>
        <w:instrText xml:space="preserve"> PAGEREF _Toc240496693 \h </w:instrText>
      </w:r>
      <w:r>
        <w:rPr>
          <w:noProof/>
          <w:webHidden/>
        </w:rPr>
        <w:fldChar w:fldCharType="separate"/>
      </w:r>
      <w:r>
        <w:rPr>
          <w:noProof/>
          <w:webHidden/>
        </w:rPr>
        <w:t>66</w:t>
      </w:r>
      <w:r>
        <w:rPr>
          <w:noProof/>
          <w:webHidden/>
        </w:rPr>
        <w:fldChar w:fldCharType="end"/>
      </w:r>
      <w:r>
        <w:rPr/>
        <w:fldChar w:fldCharType="end"/>
      </w:r>
    </w:p>
    <w:p w14:paraId="5B66186E">
      <w:pPr>
        <w:pStyle w:val="style20"/>
        <w:tabs>
          <w:tab w:val="right" w:leader="dot" w:pos="9350"/>
        </w:tabs>
        <w:rPr>
          <w:rFonts w:ascii="Calibri" w:cs="宋体" w:eastAsia="宋体" w:hAnsi="Calibri"/>
          <w:noProof/>
          <w:sz w:val="22"/>
          <w:lang w:val="en-US"/>
        </w:rPr>
      </w:pPr>
      <w:r>
        <w:rPr/>
        <w:fldChar w:fldCharType="begin"/>
      </w:r>
      <w:r>
        <w:instrText xml:space="preserve"> HYPERLINK \l "_Toc240496694" </w:instrText>
      </w:r>
      <w:r>
        <w:rPr/>
        <w:fldChar w:fldCharType="separate"/>
      </w:r>
      <w:r>
        <w:rPr>
          <w:rStyle w:val="style85"/>
          <w:rFonts w:ascii="Arial" w:cs="Arial" w:hAnsi="Arial"/>
          <w:noProof/>
        </w:rPr>
        <w:t>6.2 Brief Summary of Key Findings</w:t>
      </w:r>
      <w:r>
        <w:rPr>
          <w:noProof/>
          <w:webHidden/>
        </w:rPr>
        <w:tab/>
      </w:r>
      <w:r>
        <w:rPr>
          <w:noProof/>
          <w:webHidden/>
        </w:rPr>
        <w:fldChar w:fldCharType="begin"/>
      </w:r>
      <w:r>
        <w:rPr>
          <w:noProof/>
          <w:webHidden/>
        </w:rPr>
        <w:instrText xml:space="preserve"> PAGEREF _Toc240496694 \h </w:instrText>
      </w:r>
      <w:r>
        <w:rPr>
          <w:noProof/>
          <w:webHidden/>
        </w:rPr>
        <w:fldChar w:fldCharType="separate"/>
      </w:r>
      <w:r>
        <w:rPr>
          <w:noProof/>
          <w:webHidden/>
        </w:rPr>
        <w:t>66</w:t>
      </w:r>
      <w:r>
        <w:rPr>
          <w:noProof/>
          <w:webHidden/>
        </w:rPr>
        <w:fldChar w:fldCharType="end"/>
      </w:r>
      <w:r>
        <w:rPr/>
        <w:fldChar w:fldCharType="end"/>
      </w:r>
    </w:p>
    <w:p w14:paraId="76C4270C">
      <w:pPr>
        <w:pStyle w:val="style20"/>
        <w:tabs>
          <w:tab w:val="right" w:leader="dot" w:pos="9350"/>
        </w:tabs>
        <w:rPr>
          <w:rFonts w:ascii="Calibri" w:cs="宋体" w:eastAsia="宋体" w:hAnsi="Calibri"/>
          <w:noProof/>
          <w:sz w:val="22"/>
          <w:lang w:val="en-US"/>
        </w:rPr>
      </w:pPr>
      <w:r>
        <w:rPr/>
        <w:fldChar w:fldCharType="begin"/>
      </w:r>
      <w:r>
        <w:instrText xml:space="preserve"> HYPERLINK \l "_Toc240496695" </w:instrText>
      </w:r>
      <w:r>
        <w:rPr/>
        <w:fldChar w:fldCharType="separate"/>
      </w:r>
      <w:r>
        <w:rPr>
          <w:rStyle w:val="style85"/>
          <w:rFonts w:ascii="Arial" w:cs="Arial" w:hAnsi="Arial"/>
          <w:noProof/>
        </w:rPr>
        <w:t>6.3 Theoretical Implications</w:t>
      </w:r>
      <w:r>
        <w:rPr>
          <w:noProof/>
          <w:webHidden/>
        </w:rPr>
        <w:tab/>
      </w:r>
      <w:r>
        <w:rPr>
          <w:noProof/>
          <w:webHidden/>
        </w:rPr>
        <w:fldChar w:fldCharType="begin"/>
      </w:r>
      <w:r>
        <w:rPr>
          <w:noProof/>
          <w:webHidden/>
        </w:rPr>
        <w:instrText xml:space="preserve"> PAGEREF _Toc240496695 \h </w:instrText>
      </w:r>
      <w:r>
        <w:rPr>
          <w:noProof/>
          <w:webHidden/>
        </w:rPr>
        <w:fldChar w:fldCharType="separate"/>
      </w:r>
      <w:r>
        <w:rPr>
          <w:noProof/>
          <w:webHidden/>
        </w:rPr>
        <w:t>67</w:t>
      </w:r>
      <w:r>
        <w:rPr>
          <w:noProof/>
          <w:webHidden/>
        </w:rPr>
        <w:fldChar w:fldCharType="end"/>
      </w:r>
      <w:r>
        <w:rPr/>
        <w:fldChar w:fldCharType="end"/>
      </w:r>
    </w:p>
    <w:p w14:paraId="5E1AF78F">
      <w:pPr>
        <w:pStyle w:val="style21"/>
        <w:tabs>
          <w:tab w:val="right" w:leader="dot" w:pos="9350"/>
        </w:tabs>
        <w:rPr>
          <w:rFonts w:ascii="Calibri" w:cs="宋体" w:eastAsia="宋体" w:hAnsi="Calibri"/>
          <w:noProof/>
          <w:sz w:val="22"/>
          <w:lang w:val="en-US"/>
        </w:rPr>
      </w:pPr>
      <w:r>
        <w:rPr/>
        <w:fldChar w:fldCharType="begin"/>
      </w:r>
      <w:r>
        <w:instrText xml:space="preserve"> HYPERLINK \l "_Toc240496696" </w:instrText>
      </w:r>
      <w:r>
        <w:rPr/>
        <w:fldChar w:fldCharType="separate"/>
      </w:r>
      <w:r>
        <w:rPr>
          <w:rStyle w:val="style85"/>
          <w:rFonts w:ascii="Arial" w:cs="Arial" w:hAnsi="Arial"/>
          <w:noProof/>
        </w:rPr>
        <w:t>6.3.1 Extending the Commitment Trust Perspective</w:t>
      </w:r>
      <w:r>
        <w:rPr>
          <w:noProof/>
          <w:webHidden/>
        </w:rPr>
        <w:tab/>
      </w:r>
      <w:r>
        <w:rPr>
          <w:noProof/>
          <w:webHidden/>
        </w:rPr>
        <w:fldChar w:fldCharType="begin"/>
      </w:r>
      <w:r>
        <w:rPr>
          <w:noProof/>
          <w:webHidden/>
        </w:rPr>
        <w:instrText xml:space="preserve"> PAGEREF _Toc240496696 \h </w:instrText>
      </w:r>
      <w:r>
        <w:rPr>
          <w:noProof/>
          <w:webHidden/>
        </w:rPr>
        <w:fldChar w:fldCharType="separate"/>
      </w:r>
      <w:r>
        <w:rPr>
          <w:noProof/>
          <w:webHidden/>
        </w:rPr>
        <w:t>67</w:t>
      </w:r>
      <w:r>
        <w:rPr>
          <w:noProof/>
          <w:webHidden/>
        </w:rPr>
        <w:fldChar w:fldCharType="end"/>
      </w:r>
      <w:r>
        <w:rPr/>
        <w:fldChar w:fldCharType="end"/>
      </w:r>
    </w:p>
    <w:p w14:paraId="4B98210F">
      <w:pPr>
        <w:pStyle w:val="style21"/>
        <w:tabs>
          <w:tab w:val="right" w:leader="dot" w:pos="9350"/>
        </w:tabs>
        <w:rPr>
          <w:rFonts w:ascii="Calibri" w:cs="宋体" w:eastAsia="宋体" w:hAnsi="Calibri"/>
          <w:noProof/>
          <w:sz w:val="22"/>
          <w:lang w:val="en-US"/>
        </w:rPr>
      </w:pPr>
      <w:r>
        <w:rPr/>
        <w:fldChar w:fldCharType="begin"/>
      </w:r>
      <w:r>
        <w:instrText xml:space="preserve"> HYPERLINK \l "_Toc240496697" </w:instrText>
      </w:r>
      <w:r>
        <w:rPr/>
        <w:fldChar w:fldCharType="separate"/>
      </w:r>
      <w:r>
        <w:rPr>
          <w:rStyle w:val="style85"/>
          <w:rFonts w:ascii="Arial" w:cs="Arial" w:hAnsi="Arial"/>
          <w:noProof/>
        </w:rPr>
        <w:t>6.3.2 Refining the Value-Loyalty Relationship</w:t>
      </w:r>
      <w:r>
        <w:rPr>
          <w:noProof/>
          <w:webHidden/>
        </w:rPr>
        <w:tab/>
      </w:r>
      <w:r>
        <w:rPr>
          <w:noProof/>
          <w:webHidden/>
        </w:rPr>
        <w:fldChar w:fldCharType="begin"/>
      </w:r>
      <w:r>
        <w:rPr>
          <w:noProof/>
          <w:webHidden/>
        </w:rPr>
        <w:instrText xml:space="preserve"> PAGEREF _Toc240496697 \h </w:instrText>
      </w:r>
      <w:r>
        <w:rPr>
          <w:noProof/>
          <w:webHidden/>
        </w:rPr>
        <w:fldChar w:fldCharType="separate"/>
      </w:r>
      <w:r>
        <w:rPr>
          <w:noProof/>
          <w:webHidden/>
        </w:rPr>
        <w:t>68</w:t>
      </w:r>
      <w:r>
        <w:rPr>
          <w:noProof/>
          <w:webHidden/>
        </w:rPr>
        <w:fldChar w:fldCharType="end"/>
      </w:r>
      <w:r>
        <w:rPr/>
        <w:fldChar w:fldCharType="end"/>
      </w:r>
    </w:p>
    <w:p w14:paraId="26391CCF">
      <w:pPr>
        <w:pStyle w:val="style21"/>
        <w:tabs>
          <w:tab w:val="right" w:leader="dot" w:pos="9350"/>
        </w:tabs>
        <w:rPr>
          <w:rFonts w:ascii="Calibri" w:cs="宋体" w:eastAsia="宋体" w:hAnsi="Calibri"/>
          <w:noProof/>
          <w:sz w:val="22"/>
          <w:lang w:val="en-US"/>
        </w:rPr>
      </w:pPr>
      <w:r>
        <w:rPr/>
        <w:fldChar w:fldCharType="begin"/>
      </w:r>
      <w:r>
        <w:instrText xml:space="preserve"> HYPERLINK \l "_Toc240496698" </w:instrText>
      </w:r>
      <w:r>
        <w:rPr/>
        <w:fldChar w:fldCharType="separate"/>
      </w:r>
      <w:r>
        <w:rPr>
          <w:rStyle w:val="style85"/>
          <w:rFonts w:ascii="Arial" w:cs="Arial" w:hAnsi="Arial"/>
          <w:noProof/>
        </w:rPr>
        <w:t>6.6.3 Integrative Refinement of Conceptual Model</w:t>
      </w:r>
      <w:r>
        <w:rPr>
          <w:noProof/>
          <w:webHidden/>
        </w:rPr>
        <w:tab/>
      </w:r>
      <w:r>
        <w:rPr>
          <w:noProof/>
          <w:webHidden/>
        </w:rPr>
        <w:fldChar w:fldCharType="begin"/>
      </w:r>
      <w:r>
        <w:rPr>
          <w:noProof/>
          <w:webHidden/>
        </w:rPr>
        <w:instrText xml:space="preserve"> PAGEREF _Toc240496698 \h </w:instrText>
      </w:r>
      <w:r>
        <w:rPr>
          <w:noProof/>
          <w:webHidden/>
        </w:rPr>
        <w:fldChar w:fldCharType="separate"/>
      </w:r>
      <w:r>
        <w:rPr>
          <w:noProof/>
          <w:webHidden/>
        </w:rPr>
        <w:t>68</w:t>
      </w:r>
      <w:r>
        <w:rPr>
          <w:noProof/>
          <w:webHidden/>
        </w:rPr>
        <w:fldChar w:fldCharType="end"/>
      </w:r>
      <w:r>
        <w:rPr/>
        <w:fldChar w:fldCharType="end"/>
      </w:r>
    </w:p>
    <w:p w14:paraId="7812FB4D">
      <w:pPr>
        <w:pStyle w:val="style20"/>
        <w:tabs>
          <w:tab w:val="right" w:leader="dot" w:pos="9350"/>
        </w:tabs>
        <w:rPr>
          <w:rFonts w:ascii="Calibri" w:cs="宋体" w:eastAsia="宋体" w:hAnsi="Calibri"/>
          <w:noProof/>
          <w:sz w:val="22"/>
          <w:lang w:val="en-US"/>
        </w:rPr>
      </w:pPr>
      <w:r>
        <w:rPr/>
        <w:fldChar w:fldCharType="begin"/>
      </w:r>
      <w:r>
        <w:instrText xml:space="preserve"> HYPERLINK \l "_Toc240496699" </w:instrText>
      </w:r>
      <w:r>
        <w:rPr/>
        <w:fldChar w:fldCharType="separate"/>
      </w:r>
      <w:r>
        <w:rPr>
          <w:rStyle w:val="style85"/>
          <w:rFonts w:ascii="Arial" w:cs="Arial" w:hAnsi="Arial"/>
          <w:noProof/>
        </w:rPr>
        <w:t>6.4 Managerial Implications</w:t>
      </w:r>
      <w:r>
        <w:rPr>
          <w:noProof/>
          <w:webHidden/>
        </w:rPr>
        <w:tab/>
      </w:r>
      <w:r>
        <w:rPr>
          <w:noProof/>
          <w:webHidden/>
        </w:rPr>
        <w:fldChar w:fldCharType="begin"/>
      </w:r>
      <w:r>
        <w:rPr>
          <w:noProof/>
          <w:webHidden/>
        </w:rPr>
        <w:instrText xml:space="preserve"> PAGEREF _Toc240496699 \h </w:instrText>
      </w:r>
      <w:r>
        <w:rPr>
          <w:noProof/>
          <w:webHidden/>
        </w:rPr>
        <w:fldChar w:fldCharType="separate"/>
      </w:r>
      <w:r>
        <w:rPr>
          <w:noProof/>
          <w:webHidden/>
        </w:rPr>
        <w:t>69</w:t>
      </w:r>
      <w:r>
        <w:rPr>
          <w:noProof/>
          <w:webHidden/>
        </w:rPr>
        <w:fldChar w:fldCharType="end"/>
      </w:r>
      <w:r>
        <w:rPr/>
        <w:fldChar w:fldCharType="end"/>
      </w:r>
    </w:p>
    <w:p w14:paraId="0B3FAB77">
      <w:pPr>
        <w:pStyle w:val="style21"/>
        <w:tabs>
          <w:tab w:val="right" w:leader="dot" w:pos="9350"/>
        </w:tabs>
        <w:rPr>
          <w:rFonts w:ascii="Calibri" w:cs="宋体" w:eastAsia="宋体" w:hAnsi="Calibri"/>
          <w:noProof/>
          <w:sz w:val="22"/>
          <w:lang w:val="en-US"/>
        </w:rPr>
      </w:pPr>
      <w:r>
        <w:rPr/>
        <w:fldChar w:fldCharType="begin"/>
      </w:r>
      <w:r>
        <w:instrText xml:space="preserve"> HYPERLINK \l "_Toc240496700" </w:instrText>
      </w:r>
      <w:r>
        <w:rPr/>
        <w:fldChar w:fldCharType="separate"/>
      </w:r>
      <w:r>
        <w:rPr>
          <w:rStyle w:val="style85"/>
          <w:rFonts w:ascii="Arial" w:cs="Arial" w:hAnsi="Arial"/>
          <w:noProof/>
        </w:rPr>
        <w:t>6.4.1 Ensuring Relevance as the Primary Objective</w:t>
      </w:r>
      <w:r>
        <w:rPr>
          <w:noProof/>
          <w:webHidden/>
        </w:rPr>
        <w:tab/>
      </w:r>
      <w:r>
        <w:rPr>
          <w:noProof/>
          <w:webHidden/>
        </w:rPr>
        <w:fldChar w:fldCharType="begin"/>
      </w:r>
      <w:r>
        <w:rPr>
          <w:noProof/>
          <w:webHidden/>
        </w:rPr>
        <w:instrText xml:space="preserve"> PAGEREF _Toc240496700 \h </w:instrText>
      </w:r>
      <w:r>
        <w:rPr>
          <w:noProof/>
          <w:webHidden/>
        </w:rPr>
        <w:fldChar w:fldCharType="separate"/>
      </w:r>
      <w:r>
        <w:rPr>
          <w:noProof/>
          <w:webHidden/>
        </w:rPr>
        <w:t>69</w:t>
      </w:r>
      <w:r>
        <w:rPr>
          <w:noProof/>
          <w:webHidden/>
        </w:rPr>
        <w:fldChar w:fldCharType="end"/>
      </w:r>
      <w:r>
        <w:rPr/>
        <w:fldChar w:fldCharType="end"/>
      </w:r>
    </w:p>
    <w:p w14:paraId="24A1BCB0">
      <w:pPr>
        <w:pStyle w:val="style21"/>
        <w:tabs>
          <w:tab w:val="right" w:leader="dot" w:pos="9350"/>
        </w:tabs>
        <w:rPr>
          <w:rFonts w:ascii="Calibri" w:cs="宋体" w:eastAsia="宋体" w:hAnsi="Calibri"/>
          <w:noProof/>
          <w:sz w:val="22"/>
          <w:lang w:val="en-US"/>
        </w:rPr>
      </w:pPr>
      <w:r>
        <w:rPr/>
        <w:fldChar w:fldCharType="begin"/>
      </w:r>
      <w:r>
        <w:instrText xml:space="preserve"> HYPERLINK \l "_Toc240496701" </w:instrText>
      </w:r>
      <w:r>
        <w:rPr/>
        <w:fldChar w:fldCharType="separate"/>
      </w:r>
      <w:r>
        <w:rPr>
          <w:rStyle w:val="style85"/>
          <w:rFonts w:ascii="Arial" w:cs="Arial" w:hAnsi="Arial"/>
          <w:noProof/>
        </w:rPr>
        <w:t>6.4.2. Moving Beyond Discount Dependency</w:t>
      </w:r>
      <w:r>
        <w:rPr>
          <w:noProof/>
          <w:webHidden/>
        </w:rPr>
        <w:tab/>
      </w:r>
      <w:r>
        <w:rPr>
          <w:noProof/>
          <w:webHidden/>
        </w:rPr>
        <w:fldChar w:fldCharType="begin"/>
      </w:r>
      <w:r>
        <w:rPr>
          <w:noProof/>
          <w:webHidden/>
        </w:rPr>
        <w:instrText xml:space="preserve"> PAGEREF _Toc240496701 \h </w:instrText>
      </w:r>
      <w:r>
        <w:rPr>
          <w:noProof/>
          <w:webHidden/>
        </w:rPr>
        <w:fldChar w:fldCharType="separate"/>
      </w:r>
      <w:r>
        <w:rPr>
          <w:noProof/>
          <w:webHidden/>
        </w:rPr>
        <w:t>69</w:t>
      </w:r>
      <w:r>
        <w:rPr>
          <w:noProof/>
          <w:webHidden/>
        </w:rPr>
        <w:fldChar w:fldCharType="end"/>
      </w:r>
      <w:r>
        <w:rPr/>
        <w:fldChar w:fldCharType="end"/>
      </w:r>
    </w:p>
    <w:p w14:paraId="6BD07836">
      <w:pPr>
        <w:pStyle w:val="style21"/>
        <w:tabs>
          <w:tab w:val="right" w:leader="dot" w:pos="9350"/>
        </w:tabs>
        <w:rPr>
          <w:rFonts w:ascii="Calibri" w:cs="宋体" w:eastAsia="宋体" w:hAnsi="Calibri"/>
          <w:noProof/>
          <w:sz w:val="22"/>
          <w:lang w:val="en-US"/>
        </w:rPr>
      </w:pPr>
      <w:r>
        <w:rPr/>
        <w:fldChar w:fldCharType="begin"/>
      </w:r>
      <w:r>
        <w:instrText xml:space="preserve"> HYPERLINK \l "_Toc240496702" </w:instrText>
      </w:r>
      <w:r>
        <w:rPr/>
        <w:fldChar w:fldCharType="separate"/>
      </w:r>
      <w:r>
        <w:rPr>
          <w:rStyle w:val="style85"/>
          <w:rFonts w:ascii="Arial" w:cs="Arial" w:hAnsi="Arial"/>
          <w:noProof/>
        </w:rPr>
        <w:t>6.4.3 Building Strategic Capabilities of Fairness and Transparency</w:t>
      </w:r>
      <w:r>
        <w:rPr>
          <w:noProof/>
          <w:webHidden/>
        </w:rPr>
        <w:tab/>
      </w:r>
      <w:r>
        <w:rPr>
          <w:noProof/>
          <w:webHidden/>
        </w:rPr>
        <w:fldChar w:fldCharType="begin"/>
      </w:r>
      <w:r>
        <w:rPr>
          <w:noProof/>
          <w:webHidden/>
        </w:rPr>
        <w:instrText xml:space="preserve"> PAGEREF _Toc240496702 \h </w:instrText>
      </w:r>
      <w:r>
        <w:rPr>
          <w:noProof/>
          <w:webHidden/>
        </w:rPr>
        <w:fldChar w:fldCharType="separate"/>
      </w:r>
      <w:r>
        <w:rPr>
          <w:noProof/>
          <w:webHidden/>
        </w:rPr>
        <w:t>69</w:t>
      </w:r>
      <w:r>
        <w:rPr>
          <w:noProof/>
          <w:webHidden/>
        </w:rPr>
        <w:fldChar w:fldCharType="end"/>
      </w:r>
      <w:r>
        <w:rPr/>
        <w:fldChar w:fldCharType="end"/>
      </w:r>
    </w:p>
    <w:p w14:paraId="37A0AC60">
      <w:pPr>
        <w:pStyle w:val="style21"/>
        <w:tabs>
          <w:tab w:val="right" w:leader="dot" w:pos="9350"/>
        </w:tabs>
        <w:rPr>
          <w:rFonts w:ascii="Calibri" w:cs="宋体" w:eastAsia="宋体" w:hAnsi="Calibri"/>
          <w:noProof/>
          <w:sz w:val="22"/>
          <w:lang w:val="en-US"/>
        </w:rPr>
      </w:pPr>
      <w:r>
        <w:rPr/>
        <w:fldChar w:fldCharType="begin"/>
      </w:r>
      <w:r>
        <w:instrText xml:space="preserve"> HYPERLINK \l "_Toc240496703" </w:instrText>
      </w:r>
      <w:r>
        <w:rPr/>
        <w:fldChar w:fldCharType="separate"/>
      </w:r>
      <w:r>
        <w:rPr>
          <w:rStyle w:val="style85"/>
          <w:rFonts w:ascii="Arial" w:cs="Arial" w:hAnsi="Arial"/>
          <w:noProof/>
        </w:rPr>
        <w:t>6.4.4 Integrating Loyalty Data throughout the Customer Journey</w:t>
      </w:r>
      <w:r>
        <w:rPr>
          <w:noProof/>
          <w:webHidden/>
        </w:rPr>
        <w:tab/>
      </w:r>
      <w:r>
        <w:rPr>
          <w:noProof/>
          <w:webHidden/>
        </w:rPr>
        <w:fldChar w:fldCharType="begin"/>
      </w:r>
      <w:r>
        <w:rPr>
          <w:noProof/>
          <w:webHidden/>
        </w:rPr>
        <w:instrText xml:space="preserve"> PAGEREF _Toc240496703 \h </w:instrText>
      </w:r>
      <w:r>
        <w:rPr>
          <w:noProof/>
          <w:webHidden/>
        </w:rPr>
        <w:fldChar w:fldCharType="separate"/>
      </w:r>
      <w:r>
        <w:rPr>
          <w:noProof/>
          <w:webHidden/>
        </w:rPr>
        <w:t>70</w:t>
      </w:r>
      <w:r>
        <w:rPr>
          <w:noProof/>
          <w:webHidden/>
        </w:rPr>
        <w:fldChar w:fldCharType="end"/>
      </w:r>
      <w:r>
        <w:rPr/>
        <w:fldChar w:fldCharType="end"/>
      </w:r>
    </w:p>
    <w:p w14:paraId="2A01A2FD">
      <w:pPr>
        <w:pStyle w:val="style20"/>
        <w:tabs>
          <w:tab w:val="right" w:leader="dot" w:pos="9350"/>
        </w:tabs>
        <w:rPr>
          <w:rFonts w:ascii="Calibri" w:cs="宋体" w:eastAsia="宋体" w:hAnsi="Calibri"/>
          <w:noProof/>
          <w:sz w:val="22"/>
          <w:lang w:val="en-US"/>
        </w:rPr>
      </w:pPr>
      <w:r>
        <w:rPr/>
        <w:fldChar w:fldCharType="begin"/>
      </w:r>
      <w:r>
        <w:instrText xml:space="preserve"> HYPERLINK \l "_Toc240496704" </w:instrText>
      </w:r>
      <w:r>
        <w:rPr/>
        <w:fldChar w:fldCharType="separate"/>
      </w:r>
      <w:r>
        <w:rPr>
          <w:rStyle w:val="style85"/>
          <w:rFonts w:ascii="Arial" w:cs="Arial" w:hAnsi="Arial"/>
          <w:noProof/>
        </w:rPr>
        <w:t>6.5 Limitations and Directions for Future Research</w:t>
      </w:r>
      <w:r>
        <w:rPr>
          <w:noProof/>
          <w:webHidden/>
        </w:rPr>
        <w:tab/>
      </w:r>
      <w:r>
        <w:rPr>
          <w:noProof/>
          <w:webHidden/>
        </w:rPr>
        <w:fldChar w:fldCharType="begin"/>
      </w:r>
      <w:r>
        <w:rPr>
          <w:noProof/>
          <w:webHidden/>
        </w:rPr>
        <w:instrText xml:space="preserve"> PAGEREF _Toc240496704 \h </w:instrText>
      </w:r>
      <w:r>
        <w:rPr>
          <w:noProof/>
          <w:webHidden/>
        </w:rPr>
        <w:fldChar w:fldCharType="separate"/>
      </w:r>
      <w:r>
        <w:rPr>
          <w:noProof/>
          <w:webHidden/>
        </w:rPr>
        <w:t>70</w:t>
      </w:r>
      <w:r>
        <w:rPr>
          <w:noProof/>
          <w:webHidden/>
        </w:rPr>
        <w:fldChar w:fldCharType="end"/>
      </w:r>
      <w:r>
        <w:rPr/>
        <w:fldChar w:fldCharType="end"/>
      </w:r>
    </w:p>
    <w:p w14:paraId="1BD67BA9">
      <w:pPr>
        <w:pStyle w:val="style20"/>
        <w:tabs>
          <w:tab w:val="right" w:leader="dot" w:pos="9350"/>
        </w:tabs>
        <w:rPr>
          <w:rFonts w:ascii="Calibri" w:cs="宋体" w:eastAsia="宋体" w:hAnsi="Calibri"/>
          <w:noProof/>
          <w:sz w:val="22"/>
          <w:lang w:val="en-US"/>
        </w:rPr>
      </w:pPr>
      <w:r>
        <w:rPr/>
        <w:fldChar w:fldCharType="begin"/>
      </w:r>
      <w:r>
        <w:instrText xml:space="preserve"> HYPERLINK \l "_Toc240496705" </w:instrText>
      </w:r>
      <w:r>
        <w:rPr/>
        <w:fldChar w:fldCharType="separate"/>
      </w:r>
      <w:r>
        <w:rPr>
          <w:rStyle w:val="style85"/>
          <w:rFonts w:ascii="Arial" w:cs="Arial" w:hAnsi="Arial"/>
          <w:noProof/>
        </w:rPr>
        <w:t>6.6 Closing Statement</w:t>
      </w:r>
      <w:r>
        <w:rPr>
          <w:noProof/>
          <w:webHidden/>
        </w:rPr>
        <w:tab/>
      </w:r>
      <w:r>
        <w:rPr>
          <w:noProof/>
          <w:webHidden/>
        </w:rPr>
        <w:fldChar w:fldCharType="begin"/>
      </w:r>
      <w:r>
        <w:rPr>
          <w:noProof/>
          <w:webHidden/>
        </w:rPr>
        <w:instrText xml:space="preserve"> PAGEREF _Toc240496705 \h </w:instrText>
      </w:r>
      <w:r>
        <w:rPr>
          <w:noProof/>
          <w:webHidden/>
        </w:rPr>
        <w:fldChar w:fldCharType="separate"/>
      </w:r>
      <w:r>
        <w:rPr>
          <w:noProof/>
          <w:webHidden/>
        </w:rPr>
        <w:t>71</w:t>
      </w:r>
      <w:r>
        <w:rPr>
          <w:noProof/>
          <w:webHidden/>
        </w:rPr>
        <w:fldChar w:fldCharType="end"/>
      </w:r>
      <w:r>
        <w:rPr/>
        <w:fldChar w:fldCharType="end"/>
      </w:r>
    </w:p>
    <w:p w14:paraId="0E52BB45">
      <w:pPr>
        <w:pStyle w:val="style19"/>
        <w:tabs>
          <w:tab w:val="right" w:leader="dot" w:pos="9350"/>
        </w:tabs>
        <w:rPr>
          <w:rFonts w:ascii="Calibri" w:cs="宋体" w:eastAsia="宋体" w:hAnsi="Calibri"/>
          <w:noProof/>
          <w:sz w:val="22"/>
          <w:lang w:val="en-US"/>
        </w:rPr>
      </w:pPr>
      <w:r>
        <w:rPr/>
        <w:fldChar w:fldCharType="begin"/>
      </w:r>
      <w:r>
        <w:instrText xml:space="preserve"> HYPERLINK \l "_Toc240496706" </w:instrText>
      </w:r>
      <w:r>
        <w:rPr/>
        <w:fldChar w:fldCharType="separate"/>
      </w:r>
      <w:r>
        <w:rPr>
          <w:rStyle w:val="style85"/>
          <w:rFonts w:ascii="Arial" w:cs="Arial" w:hAnsi="Arial"/>
          <w:noProof/>
        </w:rPr>
        <w:t>References</w:t>
      </w:r>
      <w:r>
        <w:rPr>
          <w:noProof/>
          <w:webHidden/>
        </w:rPr>
        <w:tab/>
      </w:r>
      <w:r>
        <w:rPr>
          <w:noProof/>
          <w:webHidden/>
        </w:rPr>
        <w:fldChar w:fldCharType="begin"/>
      </w:r>
      <w:r>
        <w:rPr>
          <w:noProof/>
          <w:webHidden/>
        </w:rPr>
        <w:instrText xml:space="preserve"> PAGEREF _Toc240496706 \h </w:instrText>
      </w:r>
      <w:r>
        <w:rPr>
          <w:noProof/>
          <w:webHidden/>
        </w:rPr>
        <w:fldChar w:fldCharType="separate"/>
      </w:r>
      <w:r>
        <w:rPr>
          <w:noProof/>
          <w:webHidden/>
        </w:rPr>
        <w:t>72</w:t>
      </w:r>
      <w:r>
        <w:rPr>
          <w:noProof/>
          <w:webHidden/>
        </w:rPr>
        <w:fldChar w:fldCharType="end"/>
      </w:r>
      <w:r>
        <w:rPr/>
        <w:fldChar w:fldCharType="end"/>
      </w:r>
    </w:p>
    <w:p w14:paraId="66B01E1A">
      <w:pPr>
        <w:pStyle w:val="style0"/>
        <w:spacing w:lineRule="auto" w:line="360"/>
        <w:rPr>
          <w:rFonts w:ascii="Arial" w:cs="Arial" w:hAnsi="Arial"/>
        </w:rPr>
      </w:pPr>
      <w:r>
        <w:rPr>
          <w:rFonts w:ascii="Arial" w:cs="Arial" w:hAnsi="Arial"/>
          <w:b/>
          <w:bCs/>
          <w:noProof/>
        </w:rPr>
        <w:fldChar w:fldCharType="end"/>
      </w:r>
    </w:p>
    <w:p w14:paraId="6E4A188E">
      <w:pPr>
        <w:pStyle w:val="style35"/>
        <w:tabs>
          <w:tab w:val="right" w:leader="dot" w:pos="9350"/>
        </w:tabs>
        <w:spacing w:lineRule="auto" w:line="360"/>
        <w:rPr>
          <w:rFonts w:ascii="Arial" w:cs="Arial" w:hAnsi="Arial"/>
          <w:b/>
          <w:bCs/>
          <w:sz w:val="28"/>
          <w:szCs w:val="24"/>
        </w:rPr>
      </w:pPr>
      <w:r>
        <w:rPr>
          <w:rFonts w:ascii="Arial" w:cs="Arial" w:hAnsi="Arial"/>
          <w:b/>
          <w:bCs/>
          <w:sz w:val="28"/>
          <w:szCs w:val="24"/>
        </w:rPr>
        <w:t>List of Tables</w:t>
      </w:r>
    </w:p>
    <w:p w14:paraId="2C6A3D39">
      <w:pPr>
        <w:pStyle w:val="style35"/>
        <w:tabs>
          <w:tab w:val="right" w:leader="dot" w:pos="9350"/>
        </w:tabs>
        <w:spacing w:lineRule="auto" w:line="360"/>
        <w:rPr>
          <w:rFonts w:ascii="Arial" w:cs="Arial" w:eastAsia="宋体" w:hAnsi="Arial"/>
          <w:noProof/>
          <w:sz w:val="22"/>
          <w:lang w:val="en-US"/>
        </w:rPr>
      </w:pPr>
      <w:r>
        <w:rPr>
          <w:rFonts w:ascii="Arial" w:cs="Arial" w:hAnsi="Arial"/>
        </w:rPr>
        <w:fldChar w:fldCharType="begin"/>
      </w:r>
      <w:r>
        <w:rPr>
          <w:rFonts w:ascii="Arial" w:cs="Arial" w:hAnsi="Arial"/>
        </w:rPr>
        <w:instrText xml:space="preserve"> TOC \h \z \c "Table" </w:instrText>
      </w:r>
      <w:r>
        <w:rPr>
          <w:rFonts w:ascii="Arial" w:cs="Arial" w:hAnsi="Arial"/>
        </w:rPr>
        <w:fldChar w:fldCharType="separate"/>
      </w:r>
      <w:r>
        <w:rPr/>
        <w:fldChar w:fldCharType="begin"/>
      </w:r>
      <w:r>
        <w:instrText xml:space="preserve"> HYPERLINK \l "_Toc240449018" </w:instrText>
      </w:r>
      <w:r>
        <w:rPr/>
        <w:fldChar w:fldCharType="separate"/>
      </w:r>
      <w:r>
        <w:rPr>
          <w:rStyle w:val="style85"/>
          <w:rFonts w:ascii="Arial" w:cs="Arial" w:hAnsi="Arial"/>
          <w:noProof/>
        </w:rPr>
        <w:t>Table 1: Table of Summary of Literature:  Critical Literature Synthesis of Personalisation and Customer Loyalty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_Toc240449018 \h </w:instrText>
      </w:r>
      <w:r>
        <w:rPr>
          <w:rFonts w:ascii="Arial" w:cs="Arial" w:hAnsi="Arial"/>
          <w:noProof/>
          <w:webHidden/>
        </w:rPr>
        <w:fldChar w:fldCharType="separate"/>
      </w:r>
      <w:r>
        <w:rPr>
          <w:rFonts w:ascii="Arial" w:cs="Arial" w:hAnsi="Arial"/>
          <w:noProof/>
          <w:webHidden/>
        </w:rPr>
        <w:t>28</w:t>
      </w:r>
      <w:r>
        <w:rPr>
          <w:rFonts w:ascii="Arial" w:cs="Arial" w:hAnsi="Arial"/>
          <w:noProof/>
          <w:webHidden/>
        </w:rPr>
        <w:fldChar w:fldCharType="end"/>
      </w:r>
      <w:r>
        <w:rPr/>
        <w:fldChar w:fldCharType="end"/>
      </w:r>
    </w:p>
    <w:p w14:paraId="02BB72BA">
      <w:pPr>
        <w:pStyle w:val="style35"/>
        <w:tabs>
          <w:tab w:val="right" w:leader="dot" w:pos="9350"/>
        </w:tabs>
        <w:spacing w:lineRule="auto" w:line="360"/>
        <w:rPr>
          <w:rFonts w:ascii="Arial" w:cs="Arial" w:eastAsia="宋体" w:hAnsi="Arial"/>
          <w:noProof/>
          <w:sz w:val="22"/>
          <w:lang w:val="en-US"/>
        </w:rPr>
      </w:pPr>
      <w:r>
        <w:rPr/>
        <w:fldChar w:fldCharType="begin"/>
      </w:r>
      <w:r>
        <w:instrText xml:space="preserve"> HYPERLINK \l "_Toc240449019" </w:instrText>
      </w:r>
      <w:r>
        <w:rPr/>
        <w:fldChar w:fldCharType="separate"/>
      </w:r>
      <w:r>
        <w:rPr>
          <w:rStyle w:val="style85"/>
          <w:rFonts w:ascii="Arial" w:cs="Arial" w:hAnsi="Arial"/>
          <w:noProof/>
        </w:rPr>
        <w:t>Table 2: Selected Case Studies for Rationale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_Toc240449019 \h </w:instrText>
      </w:r>
      <w:r>
        <w:rPr>
          <w:rFonts w:ascii="Arial" w:cs="Arial" w:hAnsi="Arial"/>
          <w:noProof/>
          <w:webHidden/>
        </w:rPr>
        <w:fldChar w:fldCharType="separate"/>
      </w:r>
      <w:r>
        <w:rPr>
          <w:rFonts w:ascii="Arial" w:cs="Arial" w:hAnsi="Arial"/>
          <w:noProof/>
          <w:webHidden/>
        </w:rPr>
        <w:t>41</w:t>
      </w:r>
      <w:r>
        <w:rPr>
          <w:rFonts w:ascii="Arial" w:cs="Arial" w:hAnsi="Arial"/>
          <w:noProof/>
          <w:webHidden/>
        </w:rPr>
        <w:fldChar w:fldCharType="end"/>
      </w:r>
      <w:r>
        <w:rPr/>
        <w:fldChar w:fldCharType="end"/>
      </w:r>
    </w:p>
    <w:p w14:paraId="5A08F6A1">
      <w:pPr>
        <w:pStyle w:val="style0"/>
        <w:spacing w:lineRule="auto" w:line="360"/>
        <w:rPr>
          <w:rFonts w:ascii="Arial" w:cs="Arial" w:hAnsi="Arial"/>
        </w:rPr>
      </w:pPr>
      <w:r>
        <w:rPr>
          <w:rFonts w:ascii="Arial" w:cs="Arial" w:hAnsi="Arial"/>
        </w:rPr>
        <w:fldChar w:fldCharType="end"/>
      </w:r>
    </w:p>
    <w:p w14:paraId="3BBCB993">
      <w:pPr>
        <w:pStyle w:val="style0"/>
        <w:spacing w:lineRule="auto" w:line="360"/>
        <w:rPr>
          <w:rFonts w:ascii="Arial" w:cs="Arial" w:hAnsi="Arial"/>
          <w:noProof/>
        </w:rPr>
      </w:pPr>
      <w:r>
        <w:rPr>
          <w:rFonts w:ascii="Arial" w:cs="Arial" w:hAnsi="Arial"/>
          <w:b/>
          <w:bCs/>
          <w:sz w:val="28"/>
          <w:szCs w:val="24"/>
        </w:rPr>
        <w:t>List of Figures</w:t>
      </w:r>
      <w:r>
        <w:rPr>
          <w:rFonts w:ascii="Arial" w:cs="Arial" w:hAnsi="Arial"/>
          <w:b/>
          <w:bCs/>
        </w:rPr>
        <w:fldChar w:fldCharType="begin"/>
      </w:r>
      <w:r>
        <w:rPr>
          <w:rFonts w:ascii="Arial" w:cs="Arial" w:hAnsi="Arial"/>
          <w:b/>
          <w:bCs/>
        </w:rPr>
        <w:instrText xml:space="preserve"> TOC \h \z \c "Figure" </w:instrText>
      </w:r>
      <w:r>
        <w:rPr>
          <w:rFonts w:ascii="Arial" w:cs="Arial" w:hAnsi="Arial"/>
          <w:b/>
          <w:bCs/>
        </w:rPr>
        <w:fldChar w:fldCharType="separate"/>
      </w:r>
    </w:p>
    <w:p w14:paraId="5227FE90">
      <w:pPr>
        <w:pStyle w:val="style35"/>
        <w:tabs>
          <w:tab w:val="right" w:leader="dot" w:pos="9350"/>
        </w:tabs>
        <w:spacing w:lineRule="auto" w:line="360"/>
        <w:rPr>
          <w:rFonts w:ascii="Arial" w:cs="Arial" w:eastAsia="宋体" w:hAnsi="Arial"/>
          <w:noProof/>
          <w:sz w:val="22"/>
          <w:lang w:val="en-US"/>
        </w:rPr>
      </w:pPr>
      <w:r>
        <w:rPr/>
        <w:fldChar w:fldCharType="begin"/>
      </w:r>
      <w:r>
        <w:instrText xml:space="preserve"> HYPERLINK \l "_Toc240449020" </w:instrText>
      </w:r>
      <w:r>
        <w:rPr/>
        <w:fldChar w:fldCharType="separate"/>
      </w:r>
      <w:r>
        <w:rPr>
          <w:rStyle w:val="style85"/>
          <w:rFonts w:ascii="Arial" w:cs="Arial" w:hAnsi="Arial"/>
          <w:noProof/>
        </w:rPr>
        <w:t>Figure 1:Theoretical Framework</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_Toc240449020 \h </w:instrText>
      </w:r>
      <w:r>
        <w:rPr>
          <w:rFonts w:ascii="Arial" w:cs="Arial" w:hAnsi="Arial"/>
          <w:noProof/>
          <w:webHidden/>
        </w:rPr>
        <w:fldChar w:fldCharType="separate"/>
      </w:r>
      <w:r>
        <w:rPr>
          <w:rFonts w:ascii="Arial" w:cs="Arial" w:hAnsi="Arial"/>
          <w:noProof/>
          <w:webHidden/>
        </w:rPr>
        <w:t>25</w:t>
      </w:r>
      <w:r>
        <w:rPr>
          <w:rFonts w:ascii="Arial" w:cs="Arial" w:hAnsi="Arial"/>
          <w:noProof/>
          <w:webHidden/>
        </w:rPr>
        <w:fldChar w:fldCharType="end"/>
      </w:r>
      <w:r>
        <w:rPr/>
        <w:fldChar w:fldCharType="end"/>
      </w:r>
    </w:p>
    <w:p w14:paraId="635DC30F">
      <w:pPr>
        <w:pStyle w:val="style35"/>
        <w:tabs>
          <w:tab w:val="right" w:leader="dot" w:pos="9350"/>
        </w:tabs>
        <w:spacing w:lineRule="auto" w:line="360"/>
        <w:rPr>
          <w:rFonts w:ascii="Arial" w:cs="Arial" w:eastAsia="宋体" w:hAnsi="Arial"/>
          <w:noProof/>
          <w:sz w:val="22"/>
          <w:lang w:val="en-US"/>
        </w:rPr>
      </w:pPr>
      <w:r>
        <w:rPr/>
        <w:fldChar w:fldCharType="begin"/>
      </w:r>
      <w:r>
        <w:instrText xml:space="preserve"> HYPERLINK \l "_Toc240449021" </w:instrText>
      </w:r>
      <w:r>
        <w:rPr/>
        <w:fldChar w:fldCharType="separate"/>
      </w:r>
      <w:r>
        <w:rPr>
          <w:rStyle w:val="style85"/>
          <w:rFonts w:ascii="Arial" w:cs="Arial" w:hAnsi="Arial"/>
          <w:noProof/>
        </w:rPr>
        <w:t>Figure 2: Research Onion (Saunders et al., 2023)</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_Toc240449021 \h </w:instrText>
      </w:r>
      <w:r>
        <w:rPr>
          <w:rFonts w:ascii="Arial" w:cs="Arial" w:hAnsi="Arial"/>
          <w:noProof/>
          <w:webHidden/>
        </w:rPr>
        <w:fldChar w:fldCharType="separate"/>
      </w:r>
      <w:r>
        <w:rPr>
          <w:rFonts w:ascii="Arial" w:cs="Arial" w:hAnsi="Arial"/>
          <w:noProof/>
          <w:webHidden/>
        </w:rPr>
        <w:t>36</w:t>
      </w:r>
      <w:r>
        <w:rPr>
          <w:rFonts w:ascii="Arial" w:cs="Arial" w:hAnsi="Arial"/>
          <w:noProof/>
          <w:webHidden/>
        </w:rPr>
        <w:fldChar w:fldCharType="end"/>
      </w:r>
      <w:r>
        <w:rPr/>
        <w:fldChar w:fldCharType="end"/>
      </w:r>
    </w:p>
    <w:p w14:paraId="1F11141B">
      <w:pPr>
        <w:pStyle w:val="style35"/>
        <w:tabs>
          <w:tab w:val="right" w:leader="dot" w:pos="9350"/>
        </w:tabs>
        <w:spacing w:lineRule="auto" w:line="360"/>
        <w:rPr>
          <w:rFonts w:ascii="Arial" w:cs="Arial" w:eastAsia="宋体" w:hAnsi="Arial"/>
          <w:noProof/>
          <w:sz w:val="22"/>
          <w:lang w:val="en-US"/>
        </w:rPr>
      </w:pPr>
      <w:r>
        <w:rPr/>
        <w:fldChar w:fldCharType="begin"/>
      </w:r>
      <w:r>
        <w:instrText xml:space="preserve"> HYPERLINK \l "_Toc240449022" </w:instrText>
      </w:r>
      <w:r>
        <w:rPr/>
        <w:fldChar w:fldCharType="separate"/>
      </w:r>
      <w:r>
        <w:rPr>
          <w:rStyle w:val="style85"/>
          <w:rFonts w:ascii="Arial" w:cs="Arial" w:hAnsi="Arial"/>
          <w:noProof/>
        </w:rPr>
        <w:t>Figure 3: Tesco sales revenue (TRADING ECONOMICS, 2026)</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_Toc240449022 \h </w:instrText>
      </w:r>
      <w:r>
        <w:rPr>
          <w:rFonts w:ascii="Arial" w:cs="Arial" w:hAnsi="Arial"/>
          <w:noProof/>
          <w:webHidden/>
        </w:rPr>
        <w:fldChar w:fldCharType="separate"/>
      </w:r>
      <w:r>
        <w:rPr>
          <w:rFonts w:ascii="Arial" w:cs="Arial" w:hAnsi="Arial"/>
          <w:noProof/>
          <w:webHidden/>
        </w:rPr>
        <w:t>49</w:t>
      </w:r>
      <w:r>
        <w:rPr>
          <w:rFonts w:ascii="Arial" w:cs="Arial" w:hAnsi="Arial"/>
          <w:noProof/>
          <w:webHidden/>
        </w:rPr>
        <w:fldChar w:fldCharType="end"/>
      </w:r>
      <w:r>
        <w:rPr/>
        <w:fldChar w:fldCharType="end"/>
      </w:r>
    </w:p>
    <w:p w14:paraId="6D3D1ABC">
      <w:pPr>
        <w:pStyle w:val="style35"/>
        <w:tabs>
          <w:tab w:val="right" w:leader="dot" w:pos="9350"/>
        </w:tabs>
        <w:spacing w:lineRule="auto" w:line="360"/>
        <w:rPr>
          <w:rFonts w:ascii="Arial" w:cs="Arial" w:eastAsia="宋体" w:hAnsi="Arial"/>
          <w:noProof/>
          <w:sz w:val="22"/>
          <w:lang w:val="en-US"/>
        </w:rPr>
      </w:pPr>
      <w:r>
        <w:rPr/>
        <w:fldChar w:fldCharType="begin"/>
      </w:r>
      <w:r>
        <w:instrText xml:space="preserve"> HYPERLINK \l "_Toc240449023" </w:instrText>
      </w:r>
      <w:r>
        <w:rPr/>
        <w:fldChar w:fldCharType="separate"/>
      </w:r>
      <w:r>
        <w:rPr>
          <w:rStyle w:val="style85"/>
          <w:rFonts w:ascii="Arial" w:cs="Arial" w:hAnsi="Arial"/>
          <w:noProof/>
        </w:rPr>
        <w:t>Figure 4: Sainsbury’s market share in the last 10 years (Investing.com, 2026)</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_Toc240449023 \h </w:instrText>
      </w:r>
      <w:r>
        <w:rPr>
          <w:rFonts w:ascii="Arial" w:cs="Arial" w:hAnsi="Arial"/>
          <w:noProof/>
          <w:webHidden/>
        </w:rPr>
        <w:fldChar w:fldCharType="separate"/>
      </w:r>
      <w:r>
        <w:rPr>
          <w:rFonts w:ascii="Arial" w:cs="Arial" w:hAnsi="Arial"/>
          <w:noProof/>
          <w:webHidden/>
        </w:rPr>
        <w:t>51</w:t>
      </w:r>
      <w:r>
        <w:rPr>
          <w:rFonts w:ascii="Arial" w:cs="Arial" w:hAnsi="Arial"/>
          <w:noProof/>
          <w:webHidden/>
        </w:rPr>
        <w:fldChar w:fldCharType="end"/>
      </w:r>
      <w:r>
        <w:rPr/>
        <w:fldChar w:fldCharType="end"/>
      </w:r>
    </w:p>
    <w:p w14:paraId="5C3790B6">
      <w:pPr>
        <w:pStyle w:val="style35"/>
        <w:tabs>
          <w:tab w:val="right" w:leader="dot" w:pos="9350"/>
        </w:tabs>
        <w:spacing w:lineRule="auto" w:line="360"/>
        <w:rPr>
          <w:rFonts w:ascii="Arial" w:cs="Arial" w:eastAsia="宋体" w:hAnsi="Arial"/>
          <w:noProof/>
          <w:sz w:val="22"/>
          <w:lang w:val="en-US"/>
        </w:rPr>
      </w:pPr>
      <w:r>
        <w:rPr/>
        <w:fldChar w:fldCharType="begin"/>
      </w:r>
      <w:r>
        <w:instrText xml:space="preserve"> HYPERLINK \l "_Toc240449024" </w:instrText>
      </w:r>
      <w:r>
        <w:rPr/>
        <w:fldChar w:fldCharType="separate"/>
      </w:r>
      <w:r>
        <w:rPr>
          <w:rStyle w:val="style85"/>
          <w:rFonts w:ascii="Arial" w:cs="Arial" w:hAnsi="Arial"/>
          <w:noProof/>
        </w:rPr>
        <w:t>Figure 5: UK grocery brand market share (Volpe, 2025)</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_Toc240449024 \h </w:instrText>
      </w:r>
      <w:r>
        <w:rPr>
          <w:rFonts w:ascii="Arial" w:cs="Arial" w:hAnsi="Arial"/>
          <w:noProof/>
          <w:webHidden/>
        </w:rPr>
        <w:fldChar w:fldCharType="separate"/>
      </w:r>
      <w:r>
        <w:rPr>
          <w:rFonts w:ascii="Arial" w:cs="Arial" w:hAnsi="Arial"/>
          <w:noProof/>
          <w:webHidden/>
        </w:rPr>
        <w:t>53</w:t>
      </w:r>
      <w:r>
        <w:rPr>
          <w:rFonts w:ascii="Arial" w:cs="Arial" w:hAnsi="Arial"/>
          <w:noProof/>
          <w:webHidden/>
        </w:rPr>
        <w:fldChar w:fldCharType="end"/>
      </w:r>
      <w:r>
        <w:rPr/>
        <w:fldChar w:fldCharType="end"/>
      </w:r>
    </w:p>
    <w:p w14:paraId="50495044">
      <w:pPr>
        <w:pStyle w:val="style0"/>
        <w:spacing w:lineRule="auto" w:line="360"/>
        <w:rPr>
          <w:rFonts w:ascii="Arial" w:cs="Arial" w:hAnsi="Arial"/>
        </w:rPr>
      </w:pPr>
      <w:r>
        <w:rPr>
          <w:rFonts w:ascii="Arial" w:cs="Arial" w:hAnsi="Arial"/>
          <w:b/>
          <w:bCs/>
        </w:rPr>
        <w:fldChar w:fldCharType="end"/>
      </w:r>
    </w:p>
    <w:p w14:paraId="74FA0802">
      <w:pPr>
        <w:pStyle w:val="style0"/>
        <w:spacing w:lineRule="auto" w:line="360"/>
        <w:rPr>
          <w:rFonts w:ascii="Arial" w:cs="Arial" w:hAnsi="Arial"/>
        </w:rPr>
      </w:pPr>
    </w:p>
    <w:p w14:paraId="3712347B">
      <w:pPr>
        <w:pStyle w:val="style0"/>
        <w:spacing w:lineRule="auto" w:line="360"/>
        <w:rPr>
          <w:rFonts w:ascii="Arial" w:cs="Arial" w:hAnsi="Arial"/>
        </w:rPr>
      </w:pPr>
    </w:p>
    <w:p w14:paraId="507420FC">
      <w:pPr>
        <w:pStyle w:val="style0"/>
        <w:spacing w:lineRule="auto" w:line="360"/>
        <w:rPr>
          <w:rFonts w:ascii="Arial" w:cs="Arial" w:hAnsi="Arial"/>
        </w:rPr>
      </w:pPr>
    </w:p>
    <w:p w14:paraId="12223645">
      <w:pPr>
        <w:pStyle w:val="style0"/>
        <w:spacing w:lineRule="auto" w:line="360"/>
        <w:rPr>
          <w:rFonts w:ascii="Arial" w:cs="Arial" w:hAnsi="Arial"/>
        </w:rPr>
      </w:pPr>
    </w:p>
    <w:p w14:paraId="4588BCEC">
      <w:pPr>
        <w:pStyle w:val="style0"/>
        <w:spacing w:lineRule="auto" w:line="360"/>
        <w:rPr>
          <w:rFonts w:ascii="Arial" w:cs="Arial" w:hAnsi="Arial"/>
        </w:rPr>
      </w:pPr>
    </w:p>
    <w:p w14:paraId="6571CB40">
      <w:pPr>
        <w:pStyle w:val="style0"/>
        <w:spacing w:lineRule="auto" w:line="360"/>
        <w:jc w:val="left"/>
        <w:rPr>
          <w:rFonts w:ascii="Arial" w:cs="Arial" w:hAnsi="Arial"/>
        </w:rPr>
      </w:pPr>
    </w:p>
    <w:bookmarkStart w:id="7" w:name="_Toc234458694"/>
    <w:bookmarkStart w:id="8" w:name="_Toc240496606"/>
    <w:p w14:paraId="0350A0E5">
      <w:pPr>
        <w:pStyle w:val="style1"/>
        <w:spacing w:lineRule="auto" w:line="360"/>
        <w:jc w:val="both"/>
        <w:rPr>
          <w:rFonts w:ascii="Arial" w:cs="Arial" w:hAnsi="Arial"/>
          <w:lang w:val="en-GB"/>
        </w:rPr>
      </w:pPr>
      <w:r>
        <w:rPr>
          <w:rFonts w:ascii="Arial" w:cs="Arial" w:hAnsi="Arial"/>
          <w:lang w:val="en-GB"/>
        </w:rPr>
        <w:t>Chapter 1: Introduction and Rationale</w:t>
      </w:r>
      <w:bookmarkEnd w:id="7"/>
      <w:bookmarkEnd w:id="8"/>
    </w:p>
    <w:bookmarkStart w:id="9" w:name="_Toc234458695"/>
    <w:bookmarkStart w:id="10" w:name="_Toc240496607"/>
    <w:p w14:paraId="473934DA">
      <w:pPr>
        <w:pStyle w:val="style2"/>
        <w:spacing w:lineRule="auto" w:line="360"/>
        <w:rPr>
          <w:rFonts w:ascii="Arial" w:cs="Arial" w:hAnsi="Arial"/>
        </w:rPr>
      </w:pPr>
      <w:r>
        <w:rPr>
          <w:rFonts w:ascii="Arial" w:cs="Arial" w:hAnsi="Arial"/>
        </w:rPr>
        <w:t>1.1 Research Background</w:t>
      </w:r>
      <w:bookmarkEnd w:id="9"/>
      <w:bookmarkEnd w:id="10"/>
      <w:r>
        <w:rPr>
          <w:rFonts w:ascii="Arial" w:cs="Arial" w:hAnsi="Arial"/>
        </w:rPr>
        <w:t xml:space="preserve"> </w:t>
      </w:r>
    </w:p>
    <w:p w14:paraId="78AD69DC">
      <w:pPr>
        <w:pStyle w:val="style0"/>
        <w:spacing w:lineRule="auto" w:line="360"/>
        <w:rPr>
          <w:rFonts w:ascii="Arial" w:cs="Arial" w:hAnsi="Arial"/>
        </w:rPr>
      </w:pPr>
      <w:r>
        <w:rPr>
          <w:rFonts w:ascii="Arial" w:cs="Arial" w:hAnsi="Arial"/>
        </w:rPr>
        <w:t xml:space="preserve">The UK grocery retail sector is one of the most competitive, data-intensive and low-margin segments in the retail economy, with strong price competition and evolving consumer demands. Customer retention is more valuable than gaining new customers, as </w:t>
      </w:r>
      <w:r>
        <w:rPr>
          <w:rFonts w:ascii="Arial" w:cs="Arial" w:hAnsi="Arial"/>
        </w:rPr>
        <w:t>marketing and promotion costs rise in this</w:t>
      </w:r>
      <w:r>
        <w:rPr>
          <w:rFonts w:ascii="Arial" w:cs="Arial" w:hAnsi="Arial"/>
        </w:rPr>
        <w:t xml:space="preserve"> saturated market, with supermarket chains like Tesco, </w:t>
      </w:r>
      <w:r>
        <w:rPr>
          <w:rFonts w:ascii="Arial" w:cs="Arial" w:hAnsi="Arial"/>
        </w:rPr>
        <w:t>Sainsbury's</w:t>
      </w:r>
      <w:r>
        <w:rPr>
          <w:rFonts w:ascii="Arial" w:cs="Arial" w:hAnsi="Arial"/>
        </w:rPr>
        <w:t>, Asda, Morrisons, Aldi and Lidl present</w:t>
      </w:r>
      <w:r>
        <w:rPr>
          <w:rFonts w:ascii="Arial" w:cs="Arial" w:hAnsi="Arial"/>
        </w:rPr>
        <w:t xml:space="preserve">. </w:t>
      </w:r>
      <w:r>
        <w:rPr>
          <w:rFonts w:ascii="Arial" w:cs="Arial" w:hAnsi="Arial"/>
        </w:rPr>
        <w:t>Loyalty schemes like Tesco Clubcard, Sainsbury's Nectar, Lidl Plus, and Morrisons More are now central to</w:t>
      </w:r>
      <w:r>
        <w:rPr>
          <w:rFonts w:ascii="Arial" w:cs="Arial" w:hAnsi="Arial"/>
        </w:rPr>
        <w:t xml:space="preserve"> supermarkets' strategies to </w:t>
      </w:r>
      <w:r>
        <w:rPr>
          <w:rFonts w:ascii="Arial" w:cs="Arial" w:hAnsi="Arial"/>
        </w:rPr>
        <w:t>drive repeat purchases and build loyalty</w:t>
      </w:r>
      <w:r>
        <w:rPr>
          <w:rFonts w:ascii="Arial" w:cs="Arial" w:hAnsi="Arial"/>
        </w:rPr>
        <w:t>. According to CMA (202</w:t>
      </w:r>
      <w:r>
        <w:rPr>
          <w:rFonts w:ascii="Arial" w:cs="Arial" w:hAnsi="Arial"/>
        </w:rPr>
        <w:t>4a</w:t>
      </w:r>
      <w:r>
        <w:rPr>
          <w:rFonts w:ascii="Arial" w:cs="Arial" w:hAnsi="Arial"/>
        </w:rPr>
        <w:t>), 97% of UK shoppers are members of one or more supermarket loyalty schemes</w:t>
      </w:r>
      <w:r>
        <w:rPr>
          <w:rFonts w:ascii="Arial" w:cs="Arial" w:hAnsi="Arial"/>
        </w:rPr>
        <w:t xml:space="preserve">, and it is becoming commonplace in the UK </w:t>
      </w:r>
      <w:r>
        <w:rPr>
          <w:rFonts w:ascii="Arial" w:cs="Arial" w:hAnsi="Arial"/>
        </w:rPr>
        <w:t>to buy and pay for products at loyalty discounts. Casaca and Miguel (2024) stated that personalisation is the use of information about the customer, including previous purchases, shopping habits, and product preferences</w:t>
      </w:r>
      <w:r>
        <w:rPr>
          <w:rFonts w:ascii="Arial" w:cs="Arial" w:hAnsi="Arial"/>
        </w:rPr>
        <w:t xml:space="preserve">. </w:t>
      </w:r>
      <w:r>
        <w:rPr>
          <w:rFonts w:ascii="Arial" w:cs="Arial" w:hAnsi="Arial"/>
        </w:rPr>
        <w:t>Studies indicate that the adoption of personalisation can have a positive impact on loyalty, but not always directly, because it can enhance satisfaction and trust (Coelh</w:t>
      </w:r>
      <w:r>
        <w:rPr>
          <w:rFonts w:ascii="Arial" w:cs="Arial" w:hAnsi="Arial"/>
        </w:rPr>
        <w:t>o</w:t>
      </w:r>
      <w:r>
        <w:rPr>
          <w:rFonts w:ascii="Arial" w:cs="Arial" w:hAnsi="Arial"/>
        </w:rPr>
        <w:t xml:space="preserve"> and Henseler, 2012; Lindecrantz, Gi and Zerbi, 2020).</w:t>
      </w:r>
    </w:p>
    <w:p w14:paraId="47EA19D2">
      <w:pPr>
        <w:pStyle w:val="style0"/>
        <w:spacing w:lineRule="auto" w:line="360"/>
        <w:rPr>
          <w:rFonts w:ascii="Arial" w:cs="Arial" w:hAnsi="Arial"/>
        </w:rPr>
      </w:pPr>
      <w:r>
        <w:rPr>
          <w:rFonts w:ascii="Arial" w:cs="Arial" w:hAnsi="Arial"/>
        </w:rPr>
        <w:t xml:space="preserve">Supermarkets </w:t>
      </w:r>
      <w:r>
        <w:rPr>
          <w:rFonts w:ascii="Arial" w:cs="Arial" w:hAnsi="Arial"/>
        </w:rPr>
        <w:t>can</w:t>
      </w:r>
      <w:r>
        <w:rPr>
          <w:rFonts w:ascii="Arial" w:cs="Arial" w:hAnsi="Arial"/>
        </w:rPr>
        <w:t xml:space="preserve"> interact directly with consumers through personalised vouchers, targeted notifications, and product recommendations enabled by mobile applications and digital loyalty cards. </w:t>
      </w:r>
      <w:r>
        <w:rPr>
          <w:rFonts w:ascii="Arial" w:cs="Arial" w:hAnsi="Arial"/>
        </w:rPr>
        <w:t xml:space="preserve"> </w:t>
      </w:r>
      <w:r>
        <w:rPr>
          <w:rFonts w:ascii="Arial" w:cs="Arial" w:hAnsi="Arial"/>
        </w:rPr>
        <w:t xml:space="preserve">Yet, the challenges for management in making personalised offers a reality </w:t>
      </w:r>
      <w:r>
        <w:rPr>
          <w:rFonts w:ascii="Arial" w:cs="Arial" w:hAnsi="Arial"/>
        </w:rPr>
        <w:t>remain</w:t>
      </w:r>
      <w:r>
        <w:rPr>
          <w:rFonts w:ascii="Arial" w:cs="Arial" w:hAnsi="Arial"/>
        </w:rPr>
        <w:t xml:space="preserve"> formidable. </w:t>
      </w:r>
      <w:r>
        <w:rPr>
          <w:rFonts w:ascii="Arial" w:cs="Arial" w:hAnsi="Arial"/>
        </w:rPr>
        <w:t>Some customers may</w:t>
      </w:r>
      <w:r>
        <w:rPr>
          <w:rFonts w:ascii="Arial" w:cs="Arial" w:hAnsi="Arial"/>
        </w:rPr>
        <w:t xml:space="preserve"> feel it is unfair to see different prices for the same product when special offers are made at different price levels (</w:t>
      </w:r>
      <w:r>
        <w:rPr>
          <w:rFonts w:ascii="Arial" w:cs="Arial" w:hAnsi="Arial"/>
        </w:rPr>
        <w:t>Haws and Bearden, 2006</w:t>
      </w:r>
      <w:r>
        <w:rPr>
          <w:rFonts w:ascii="Arial" w:cs="Arial" w:hAnsi="Arial"/>
        </w:rPr>
        <w:t xml:space="preserve">). So, for retailers, </w:t>
      </w:r>
      <w:r>
        <w:rPr>
          <w:rFonts w:ascii="Arial" w:cs="Arial" w:hAnsi="Arial"/>
        </w:rPr>
        <w:t>the challenge is balancing the benefits of data-driven personalisation with transparency, fairness, and trust to support</w:t>
      </w:r>
      <w:r>
        <w:rPr>
          <w:rFonts w:ascii="Arial" w:cs="Arial" w:hAnsi="Arial"/>
        </w:rPr>
        <w:t xml:space="preserve"> long-term customer relationships.</w:t>
      </w:r>
    </w:p>
    <w:p w14:paraId="39F74EE6">
      <w:pPr>
        <w:pStyle w:val="style0"/>
        <w:spacing w:lineRule="auto" w:line="360"/>
        <w:rPr>
          <w:rFonts w:ascii="Arial" w:cs="Arial" w:hAnsi="Arial"/>
        </w:rPr>
      </w:pPr>
    </w:p>
    <w:bookmarkStart w:id="11" w:name="_Toc234458696"/>
    <w:bookmarkStart w:id="12" w:name="_Toc240496608"/>
    <w:p w14:paraId="0CC2BF72">
      <w:pPr>
        <w:pStyle w:val="style2"/>
        <w:spacing w:lineRule="auto" w:line="360"/>
        <w:rPr>
          <w:rFonts w:ascii="Arial" w:cs="Arial" w:hAnsi="Arial"/>
        </w:rPr>
      </w:pPr>
      <w:r>
        <w:rPr>
          <w:rFonts w:ascii="Arial" w:cs="Arial" w:hAnsi="Arial"/>
        </w:rPr>
        <w:t>1.2 Research Rationale</w:t>
      </w:r>
      <w:bookmarkEnd w:id="11"/>
      <w:bookmarkEnd w:id="12"/>
      <w:r>
        <w:rPr>
          <w:rFonts w:ascii="Arial" w:cs="Arial" w:hAnsi="Arial"/>
        </w:rPr>
        <w:t xml:space="preserve"> </w:t>
      </w:r>
    </w:p>
    <w:bookmarkStart w:id="13" w:name="_Toc234458697"/>
    <w:bookmarkStart w:id="14" w:name="_Toc240496609"/>
    <w:p w14:paraId="26371D5B">
      <w:pPr>
        <w:pStyle w:val="style3"/>
        <w:rPr>
          <w:rFonts w:ascii="Arial" w:cs="Arial" w:hAnsi="Arial"/>
          <w:lang w:val="en-GB"/>
        </w:rPr>
      </w:pPr>
      <w:r>
        <w:rPr>
          <w:rFonts w:ascii="Arial" w:cs="Arial" w:hAnsi="Arial"/>
          <w:lang w:val="en-GB"/>
        </w:rPr>
        <w:t>1.2.1 Theoretical Justification</w:t>
      </w:r>
      <w:bookmarkEnd w:id="13"/>
      <w:bookmarkEnd w:id="14"/>
    </w:p>
    <w:p w14:paraId="55A222FF">
      <w:pPr>
        <w:pStyle w:val="style0"/>
        <w:spacing w:lineRule="auto" w:line="360"/>
        <w:rPr>
          <w:rFonts w:ascii="Arial" w:cs="Arial" w:hAnsi="Arial"/>
        </w:rPr>
      </w:pPr>
      <w:r>
        <w:rPr>
          <w:rFonts w:ascii="Arial" w:cs="Arial" w:hAnsi="Arial"/>
        </w:rPr>
        <w:t>As per the previous marketing research, customer loyalty is not only about repeat purchase behaviour, but its perception also involves the attitudinal aspects of the consumer's emotional and cognitive level of commitment</w:t>
      </w:r>
      <w:r>
        <w:rPr>
          <w:rFonts w:ascii="Arial" w:cs="Arial" w:hAnsi="Arial"/>
        </w:rPr>
        <w:t xml:space="preserve"> where </w:t>
      </w:r>
      <w:r>
        <w:rPr>
          <w:rFonts w:ascii="Arial" w:cs="Arial" w:hAnsi="Arial"/>
        </w:rPr>
        <w:t xml:space="preserve">customer experience and customer satisfaction can also affect loyalty and repurchase intentions </w:t>
      </w:r>
      <w:r>
        <w:rPr>
          <w:rFonts w:ascii="Arial" w:cs="Arial" w:hAnsi="Arial"/>
        </w:rPr>
        <w:t xml:space="preserve">(Chatzoglou et al., 2022; Damaschi, Aboueldahab and D’Addario, 2025). Oliver's loyalty model describes loyalty as a linear progression </w:t>
      </w:r>
      <w:r>
        <w:rPr>
          <w:rFonts w:ascii="Arial" w:cs="Arial" w:hAnsi="Arial"/>
        </w:rPr>
        <w:t>from cognitive loyalty to affective loyalty, conative loyalty, and finally</w:t>
      </w:r>
      <w:r>
        <w:rPr>
          <w:rFonts w:ascii="Arial" w:cs="Arial" w:hAnsi="Arial"/>
        </w:rPr>
        <w:t xml:space="preserve"> action loyalty (Yaqub et al., 2023). Another theory in relationship marketing is that trust and commitment are important for LTC relationships because customers are more likely to remain with firms that they deem reliable and just (Hidayat and Idrus, 2023). Regarding the effect of loyalty schemes on buying behaviour, in loyalty programme research, there is evidence that over time loyalty schemes can stimulate buying behaviour, but this effect is different for customer segments, industries and programme designs (Dorotic, Bijmolt and Verhoef, 2012; Tripathi and Jaiswal, 2023). Customer satisfaction is also strongly associated with repeat purchase and loyalty, indicating that loyalty programmes are more effective when customers view them as </w:t>
      </w:r>
      <w:r>
        <w:rPr>
          <w:rFonts w:ascii="Arial" w:cs="Arial" w:hAnsi="Arial"/>
        </w:rPr>
        <w:t>valuable and offer</w:t>
      </w:r>
      <w:r>
        <w:rPr>
          <w:rFonts w:ascii="Arial" w:cs="Arial" w:hAnsi="Arial"/>
        </w:rPr>
        <w:t xml:space="preserve"> a positive experience (</w:t>
      </w:r>
      <w:r>
        <w:rPr>
          <w:rFonts w:ascii="Arial" w:cs="Arial" w:hAnsi="Arial"/>
        </w:rPr>
        <w:t>Stathopoulou and Balabanis, 2016</w:t>
      </w:r>
      <w:r>
        <w:rPr>
          <w:rFonts w:ascii="Arial" w:cs="Arial" w:hAnsi="Arial"/>
        </w:rPr>
        <w:t xml:space="preserve">). </w:t>
      </w:r>
    </w:p>
    <w:p w14:paraId="0ADB8EC6">
      <w:pPr>
        <w:pStyle w:val="style0"/>
        <w:spacing w:lineRule="auto" w:line="360"/>
        <w:rPr>
          <w:rFonts w:ascii="Arial" w:cs="Arial" w:hAnsi="Arial"/>
        </w:rPr>
      </w:pPr>
      <w:r>
        <w:rPr>
          <w:rFonts w:ascii="Arial" w:cs="Arial" w:hAnsi="Arial"/>
        </w:rPr>
        <w:t xml:space="preserve">However, other studies indicate that personalisation can lead to greater relevance and customer responses to communication, while also causing privacy concerns, feelings of vulnerability, and resistance when data collection is unclear (Aguirre et al., 2015; Kumar et al., 2025). Likewise, loyalty program research </w:t>
      </w:r>
      <w:r>
        <w:rPr>
          <w:rFonts w:ascii="Arial" w:cs="Arial" w:hAnsi="Arial"/>
        </w:rPr>
        <w:t>shows that rewards can drive repeat purchases, but different customers respond to</w:t>
      </w:r>
      <w:r>
        <w:rPr>
          <w:rFonts w:ascii="Arial" w:cs="Arial" w:hAnsi="Arial"/>
        </w:rPr>
        <w:t xml:space="preserve"> different reward designs (Dorotic, Bijmolt and Verhoef, 2012). Despite this, previous research has identified personalisation, reward value, fairness, trust</w:t>
      </w:r>
      <w:r>
        <w:rPr>
          <w:rFonts w:ascii="Arial" w:cs="Arial" w:hAnsi="Arial"/>
        </w:rPr>
        <w:t xml:space="preserve">, and satisfaction as important factors, but little research </w:t>
      </w:r>
      <w:r>
        <w:rPr>
          <w:rFonts w:ascii="Arial" w:cs="Arial" w:hAnsi="Arial"/>
        </w:rPr>
        <w:t xml:space="preserve">explores the combined effect of these factors on customer loyalty. </w:t>
      </w:r>
      <w:r>
        <w:rPr>
          <w:rFonts w:ascii="Arial" w:cs="Arial" w:hAnsi="Arial"/>
        </w:rPr>
        <w:t>This research gap is the lack of understanding of</w:t>
      </w:r>
      <w:r>
        <w:rPr>
          <w:rFonts w:ascii="Arial" w:cs="Arial" w:hAnsi="Arial"/>
        </w:rPr>
        <w:t xml:space="preserve"> how the interaction among the three determinants of personalised offer relevance, perceived reward value, perceived fairness, and customer trust affects customer loyalty in the UK grocery retail sector, and how customer satisfaction fits within</w:t>
      </w:r>
      <w:r>
        <w:rPr>
          <w:rFonts w:ascii="Arial" w:cs="Arial" w:hAnsi="Arial"/>
        </w:rPr>
        <w:t xml:space="preserve"> these relationships. Although there are a number of existing studies that provide </w:t>
      </w:r>
      <w:r>
        <w:rPr>
          <w:rFonts w:ascii="Arial" w:cs="Arial" w:hAnsi="Arial"/>
        </w:rPr>
        <w:t xml:space="preserve">foundations for loyalty, relationship marketing and personalisation, many of the previous studies are related to general retail, online advertising, fashion retail, or e-commerce, but not UK supermarkets (Bleier and Eisenbeiss, 2015; </w:t>
      </w:r>
      <w:r>
        <w:rPr>
          <w:rFonts w:ascii="Arial" w:cs="Arial" w:hAnsi="Arial"/>
        </w:rPr>
        <w:t>Vishwakarma</w:t>
      </w:r>
      <w:r>
        <w:rPr>
          <w:rFonts w:ascii="Arial" w:cs="Arial" w:hAnsi="Arial"/>
        </w:rPr>
        <w:t xml:space="preserve"> et al., 2025; Priester, Robbert and Roth, 2020). Thus, this study also </w:t>
      </w:r>
      <w:r>
        <w:rPr>
          <w:rFonts w:ascii="Arial" w:cs="Arial" w:hAnsi="Arial"/>
        </w:rPr>
        <w:t>contributes to the literature on customer satisfaction as a mediating variable between perceptions of personalised loyalty offers and customer loyalty, as well as</w:t>
      </w:r>
      <w:r>
        <w:rPr>
          <w:rFonts w:ascii="Arial" w:cs="Arial" w:hAnsi="Arial"/>
        </w:rPr>
        <w:t xml:space="preserve"> on customer loyalty and relationship marketing.</w:t>
      </w:r>
    </w:p>
    <w:bookmarkStart w:id="15" w:name="_Toc234458698"/>
    <w:bookmarkStart w:id="16" w:name="_Toc240496610"/>
    <w:p w14:paraId="4EA4AA41">
      <w:pPr>
        <w:pStyle w:val="style3"/>
        <w:rPr>
          <w:rFonts w:ascii="Arial" w:cs="Arial" w:hAnsi="Arial"/>
          <w:lang w:val="en-GB"/>
        </w:rPr>
      </w:pPr>
      <w:r>
        <w:rPr>
          <w:rFonts w:ascii="Arial" w:cs="Arial" w:hAnsi="Arial"/>
          <w:lang w:val="en-GB"/>
        </w:rPr>
        <w:t>1.2.2 Practical Contribution</w:t>
      </w:r>
      <w:bookmarkEnd w:id="15"/>
      <w:bookmarkEnd w:id="16"/>
      <w:r>
        <w:rPr>
          <w:rFonts w:ascii="Arial" w:cs="Arial" w:hAnsi="Arial"/>
          <w:lang w:val="en-GB"/>
        </w:rPr>
        <w:t xml:space="preserve"> </w:t>
      </w:r>
    </w:p>
    <w:p w14:paraId="1E24533C">
      <w:pPr>
        <w:pStyle w:val="style0"/>
        <w:spacing w:lineRule="auto" w:line="360"/>
        <w:rPr>
          <w:rFonts w:ascii="Arial" w:cs="Arial" w:hAnsi="Arial"/>
        </w:rPr>
      </w:pPr>
      <w:r>
        <w:rPr>
          <w:rFonts w:ascii="Arial" w:cs="Arial" w:hAnsi="Arial"/>
        </w:rPr>
        <w:t>This research also has practical and managerial significance</w:t>
      </w:r>
      <w:r>
        <w:rPr>
          <w:rFonts w:ascii="Arial" w:cs="Arial" w:hAnsi="Arial"/>
        </w:rPr>
        <w:t xml:space="preserve">, as supermarket loyalty schemes have become a key element of competition in the UK supermarket sector. Supermarket managers are not just interested in whether personalised offers boost sales; they are also concerned about whether they foster long-term customer loyalty without compromising customer trust. It presents a management problem, as supermarkets have to gauge offers that look attractive and relevant but do not leave the impression that they are exploiting the non-members, or that there are price disparities </w:t>
      </w:r>
    </w:p>
    <w:p w14:paraId="507C002D">
      <w:pPr>
        <w:pStyle w:val="style0"/>
        <w:spacing w:lineRule="auto" w:line="360"/>
        <w:rPr>
          <w:rFonts w:ascii="Arial" w:cs="Arial" w:hAnsi="Arial"/>
        </w:rPr>
      </w:pPr>
      <w:r>
        <w:rPr>
          <w:rFonts w:ascii="Arial" w:cs="Arial" w:hAnsi="Arial"/>
        </w:rPr>
        <w:t xml:space="preserve">According to McKinsey &amp; Company (2023), personalisation can cut customer acquisition costs by up to 50%, boost revenue by 5% to 15%, and improve marketing ROI by 10% to 30%.. But if offers are </w:t>
      </w:r>
      <w:r>
        <w:rPr>
          <w:rFonts w:ascii="Arial" w:cs="Arial" w:hAnsi="Arial"/>
        </w:rPr>
        <w:t>irrelevant or seen as unfair and/or intrusive, supermarkets can lose trust and erode loyalty rather than reinforce</w:t>
      </w:r>
      <w:r>
        <w:rPr>
          <w:rFonts w:ascii="Arial" w:cs="Arial" w:hAnsi="Arial"/>
        </w:rPr>
        <w:t xml:space="preserve"> it. </w:t>
      </w:r>
      <w:r>
        <w:rPr>
          <w:rFonts w:ascii="Arial" w:cs="Arial" w:hAnsi="Arial"/>
        </w:rPr>
        <w:t xml:space="preserve"> </w:t>
      </w:r>
      <w:r>
        <w:rPr>
          <w:rFonts w:ascii="Arial" w:cs="Arial" w:hAnsi="Arial"/>
        </w:rPr>
        <w:t>I</w:t>
      </w:r>
      <w:r>
        <w:rPr>
          <w:rFonts w:ascii="Arial" w:cs="Arial" w:hAnsi="Arial"/>
        </w:rPr>
        <w:t xml:space="preserve">f a supermarket invests heavily in artificial intelligence-based loyalty systems, mobile apps, and data analysis without understanding </w:t>
      </w:r>
      <w:r>
        <w:rPr>
          <w:rFonts w:ascii="Arial" w:cs="Arial" w:hAnsi="Arial"/>
        </w:rPr>
        <w:t>customer perceptions, it may spend more on promotions without gaining real</w:t>
      </w:r>
      <w:r>
        <w:rPr>
          <w:rFonts w:ascii="Arial" w:cs="Arial" w:hAnsi="Arial"/>
        </w:rPr>
        <w:t xml:space="preserve"> customer loyalty. They can also </w:t>
      </w:r>
      <w:r>
        <w:rPr>
          <w:rFonts w:ascii="Arial" w:cs="Arial" w:hAnsi="Arial"/>
        </w:rPr>
        <w:t xml:space="preserve">erode trust if customers see offers as unfair, hard to understand, or based on </w:t>
      </w:r>
      <w:r>
        <w:rPr>
          <w:rFonts w:ascii="Arial" w:cs="Arial" w:hAnsi="Arial"/>
        </w:rPr>
        <w:t xml:space="preserve">excessive use of personal data. </w:t>
      </w:r>
    </w:p>
    <w:bookmarkStart w:id="17" w:name="_Toc234458699"/>
    <w:bookmarkStart w:id="18" w:name="_Toc240496611"/>
    <w:p w14:paraId="6BA39A2F">
      <w:pPr>
        <w:pStyle w:val="style3"/>
        <w:rPr>
          <w:rFonts w:ascii="Arial" w:cs="Arial" w:hAnsi="Arial"/>
          <w:lang w:val="en-GB"/>
        </w:rPr>
      </w:pPr>
      <w:r>
        <w:rPr>
          <w:rFonts w:ascii="Arial" w:cs="Arial" w:hAnsi="Arial"/>
          <w:lang w:val="en-GB"/>
        </w:rPr>
        <w:t>1.2.3 Research Contribution &amp; Motivation</w:t>
      </w:r>
      <w:bookmarkEnd w:id="17"/>
      <w:bookmarkEnd w:id="18"/>
      <w:r>
        <w:rPr>
          <w:rFonts w:ascii="Arial" w:cs="Arial" w:hAnsi="Arial"/>
          <w:lang w:val="en-GB"/>
        </w:rPr>
        <w:t xml:space="preserve"> </w:t>
      </w:r>
    </w:p>
    <w:p w14:paraId="7E5EEE83">
      <w:pPr>
        <w:pStyle w:val="style0"/>
        <w:spacing w:lineRule="auto" w:line="360"/>
        <w:rPr>
          <w:rFonts w:ascii="Arial" w:cs="Arial" w:hAnsi="Arial"/>
        </w:rPr>
      </w:pPr>
      <w:r>
        <w:rPr>
          <w:rFonts w:ascii="Arial" w:cs="Arial" w:hAnsi="Arial"/>
        </w:rPr>
        <w:t xml:space="preserve">Theoretically, this research builds on the Commitment-Trust Theory of Relationship Marketing, which shows that although trust can lead to loyalty, it is not the only factor needed in the data-driven retailing context. Rather, the study suggests that before customers become satisfied, they must first assess whether personalised offers are relevant, valuable and fair, and then become satisfied, thereby fostering loyalty. The research therefore builds on relationship marketing theory, customer loyalty theory, and </w:t>
      </w:r>
      <w:r>
        <w:rPr>
          <w:rFonts w:ascii="Arial" w:cs="Arial" w:hAnsi="Arial"/>
        </w:rPr>
        <w:t xml:space="preserve">recent personalisation literature </w:t>
      </w:r>
      <w:r>
        <w:rPr>
          <w:rFonts w:ascii="Arial" w:cs="Arial" w:hAnsi="Arial"/>
        </w:rPr>
        <w:t>(Bleier and Eisenbeiss, 2015).</w:t>
      </w:r>
    </w:p>
    <w:p w14:paraId="1AF11818">
      <w:pPr>
        <w:pStyle w:val="style0"/>
        <w:spacing w:lineRule="auto" w:line="360"/>
        <w:rPr>
          <w:rFonts w:ascii="Arial" w:cs="Arial" w:hAnsi="Arial"/>
        </w:rPr>
      </w:pPr>
      <w:r>
        <w:rPr>
          <w:rFonts w:ascii="Arial" w:cs="Arial" w:hAnsi="Arial"/>
        </w:rPr>
        <w:t xml:space="preserve">The empirical contribution of this study is the emphasis placed on the grocery retail sector in the United Kingdom, where loyalty programmes are an important competitive tool. While </w:t>
      </w:r>
      <w:r>
        <w:rPr>
          <w:rFonts w:ascii="Arial" w:cs="Arial" w:hAnsi="Arial"/>
        </w:rPr>
        <w:t>many studies examine customer loyalty in retailing, banking, hospitality, and e-commerce, few empirical studies have examined the joint effects of personalised offer relevance, reward value, fairness, and trust in UK grocery supermarkets</w:t>
      </w:r>
      <w:r>
        <w:rPr>
          <w:rFonts w:ascii="Arial" w:cs="Arial" w:hAnsi="Arial"/>
        </w:rPr>
        <w:t>.</w:t>
      </w:r>
    </w:p>
    <w:p w14:paraId="2E3617FA">
      <w:pPr>
        <w:pStyle w:val="style0"/>
        <w:spacing w:lineRule="auto" w:line="360"/>
        <w:rPr>
          <w:rFonts w:ascii="Arial" w:cs="Arial" w:hAnsi="Arial"/>
        </w:rPr>
      </w:pPr>
      <w:r>
        <w:rPr>
          <w:rFonts w:ascii="Arial" w:cs="Arial" w:hAnsi="Arial"/>
        </w:rPr>
        <w:t xml:space="preserve">Supermarket managers continue to invest significant amounts of money in customer analytics, artificial intelligence, and customised loyalty initiatives to retain customers and boost </w:t>
      </w:r>
      <w:r>
        <w:rPr>
          <w:rFonts w:ascii="Arial" w:cs="Arial" w:hAnsi="Arial"/>
        </w:rPr>
        <w:t>long-term profitability</w:t>
      </w:r>
      <w:r>
        <w:rPr>
          <w:rFonts w:ascii="Arial" w:cs="Arial" w:hAnsi="Arial"/>
        </w:rPr>
        <w:t>. But research by Br</w:t>
      </w:r>
      <w:r>
        <w:rPr>
          <w:rFonts w:ascii="Arial" w:cs="Arial" w:hAnsi="Arial"/>
        </w:rPr>
        <w:t>o</w:t>
      </w:r>
      <w:r>
        <w:rPr>
          <w:rFonts w:ascii="Arial" w:cs="Arial" w:hAnsi="Arial"/>
        </w:rPr>
        <w:t>han (2025) and Gupta, Sharma, and Mat</w:t>
      </w:r>
      <w:r>
        <w:rPr>
          <w:rFonts w:ascii="Arial" w:cs="Arial" w:hAnsi="Arial"/>
        </w:rPr>
        <w:t>hew</w:t>
      </w:r>
      <w:r>
        <w:rPr>
          <w:rFonts w:ascii="Arial" w:cs="Arial" w:hAnsi="Arial"/>
        </w:rPr>
        <w:t xml:space="preserve"> (2025) has demonstrated that poor personalisation can lead to decreased customer loyalty, perceptions of inequity, and loss of trust. The results </w:t>
      </w:r>
      <w:r>
        <w:rPr>
          <w:rFonts w:ascii="Arial" w:cs="Arial" w:hAnsi="Arial"/>
        </w:rPr>
        <w:t xml:space="preserve">will </w:t>
      </w:r>
      <w:r>
        <w:rPr>
          <w:rFonts w:ascii="Arial" w:cs="Arial" w:hAnsi="Arial"/>
        </w:rPr>
        <w:t>help managers identify</w:t>
      </w:r>
      <w:r>
        <w:rPr>
          <w:rFonts w:ascii="Arial" w:cs="Arial" w:hAnsi="Arial"/>
        </w:rPr>
        <w:t xml:space="preserve"> which factors most affect</w:t>
      </w:r>
      <w:r>
        <w:rPr>
          <w:rFonts w:ascii="Arial" w:cs="Arial" w:hAnsi="Arial"/>
        </w:rPr>
        <w:t xml:space="preserve"> customer loyalty. In particular, this study will </w:t>
      </w:r>
      <w:r>
        <w:rPr>
          <w:rFonts w:ascii="Arial" w:cs="Arial" w:hAnsi="Arial"/>
        </w:rPr>
        <w:t xml:space="preserve">help retailers understand the role of offer relevance, perceived reward value, perceived fairness, and customer trust in customer satisfaction and </w:t>
      </w:r>
      <w:r>
        <w:rPr>
          <w:rFonts w:ascii="Arial" w:cs="Arial" w:hAnsi="Arial"/>
        </w:rPr>
        <w:t>loyalty. These insights can help design loyalty programmes that are more transparent, customer-centred</w:t>
      </w:r>
      <w:r>
        <w:rPr>
          <w:rFonts w:ascii="Arial" w:cs="Arial" w:hAnsi="Arial"/>
        </w:rPr>
        <w:t>, and effective, while improving</w:t>
      </w:r>
      <w:r>
        <w:rPr>
          <w:rFonts w:ascii="Arial" w:cs="Arial" w:hAnsi="Arial"/>
        </w:rPr>
        <w:t xml:space="preserve"> marketing ROI and long-term customer relationships.</w:t>
      </w:r>
    </w:p>
    <w:p w14:paraId="6C42A1B1">
      <w:pPr>
        <w:pStyle w:val="style0"/>
        <w:spacing w:lineRule="auto" w:line="360"/>
        <w:rPr>
          <w:rFonts w:ascii="Arial" w:cs="Arial" w:hAnsi="Arial"/>
        </w:rPr>
      </w:pPr>
      <w:r>
        <w:rPr>
          <w:rFonts w:ascii="Arial" w:cs="Arial" w:hAnsi="Arial"/>
        </w:rPr>
        <w:t xml:space="preserve">The study also has implications for </w:t>
      </w:r>
      <w:r>
        <w:rPr>
          <w:rFonts w:ascii="Arial" w:cs="Arial" w:hAnsi="Arial"/>
        </w:rPr>
        <w:t>policymakers</w:t>
      </w:r>
      <w:r>
        <w:rPr>
          <w:rFonts w:ascii="Arial" w:cs="Arial" w:hAnsi="Arial"/>
        </w:rPr>
        <w:t xml:space="preserve"> and consumer protection authorities. Loyalty pricing for personalisation </w:t>
      </w:r>
      <w:r>
        <w:rPr>
          <w:rFonts w:ascii="Arial" w:cs="Arial" w:hAnsi="Arial"/>
        </w:rPr>
        <w:t>is</w:t>
      </w:r>
      <w:r>
        <w:rPr>
          <w:rFonts w:ascii="Arial" w:cs="Arial" w:hAnsi="Arial"/>
        </w:rPr>
        <w:t xml:space="preserve"> becoming more prevalent in UK grocery retailing, and regulators need empirical evidence of consumer </w:t>
      </w:r>
      <w:r>
        <w:rPr>
          <w:rFonts w:ascii="Arial" w:cs="Arial" w:hAnsi="Arial"/>
        </w:rPr>
        <w:t>reactions to personalised pricing and the level of fairness and transparency achieved in retailing</w:t>
      </w:r>
      <w:r>
        <w:rPr>
          <w:rFonts w:ascii="Arial" w:cs="Arial" w:hAnsi="Arial"/>
        </w:rPr>
        <w:t xml:space="preserve">. </w:t>
      </w:r>
      <w:r>
        <w:rPr>
          <w:rFonts w:ascii="Arial" w:cs="Arial" w:hAnsi="Arial"/>
        </w:rPr>
        <w:t xml:space="preserve">The results could thus </w:t>
      </w:r>
      <w:r>
        <w:rPr>
          <w:rFonts w:ascii="Arial" w:cs="Arial" w:hAnsi="Arial"/>
        </w:rPr>
        <w:t>inform guidelines that promote responsible use of customer data, transparent communication about</w:t>
      </w:r>
      <w:r>
        <w:rPr>
          <w:rFonts w:ascii="Arial" w:cs="Arial" w:hAnsi="Arial"/>
        </w:rPr>
        <w:t xml:space="preserve"> personalised discounts,</w:t>
      </w:r>
      <w:r>
        <w:rPr>
          <w:rFonts w:ascii="Arial" w:cs="Arial" w:hAnsi="Arial"/>
        </w:rPr>
        <w:t xml:space="preserve"> and the fair application of loyalty pricing policies.</w:t>
      </w:r>
    </w:p>
    <w:p w14:paraId="70922BAB">
      <w:pPr>
        <w:pStyle w:val="style0"/>
        <w:spacing w:lineRule="auto" w:line="360"/>
        <w:rPr>
          <w:rFonts w:ascii="Arial" w:cs="Arial" w:hAnsi="Arial"/>
        </w:rPr>
      </w:pPr>
      <w:r>
        <w:rPr>
          <w:rFonts w:ascii="Arial" w:cs="Arial" w:hAnsi="Arial"/>
        </w:rPr>
        <w:t xml:space="preserve">This study is original because </w:t>
      </w:r>
      <w:r>
        <w:rPr>
          <w:rFonts w:ascii="Arial" w:cs="Arial" w:hAnsi="Arial"/>
        </w:rPr>
        <w:t>it integrates the analysis of personalised offer relevance, perceived reward value, perceived fairness, trust, customer satisfaction,</w:t>
      </w:r>
      <w:r>
        <w:rPr>
          <w:rFonts w:ascii="Arial" w:cs="Arial" w:hAnsi="Arial"/>
        </w:rPr>
        <w:t xml:space="preserve"> and customer loyalty within a unique conceptual model. This research combines these relationships, whereas most </w:t>
      </w:r>
      <w:r>
        <w:rPr>
          <w:rFonts w:ascii="Arial" w:cs="Arial" w:hAnsi="Arial"/>
        </w:rPr>
        <w:t>prior research has examined one determinant of loyalty at a time and/or focused on</w:t>
      </w:r>
      <w:r>
        <w:rPr>
          <w:rFonts w:ascii="Arial" w:cs="Arial" w:hAnsi="Arial"/>
        </w:rPr>
        <w:t xml:space="preserve"> different retail sectors. The study integrates key concepts from relationship marketing with current challenges, such as personalisation through loyalty pricing, creating a theoretically enriched and practically relevant framework that enriches the body of knowledge on customer loyalty management.</w:t>
      </w:r>
    </w:p>
    <w:bookmarkStart w:id="19" w:name="_Toc234458700"/>
    <w:bookmarkStart w:id="20" w:name="_Toc240496612"/>
    <w:p w14:paraId="246B162F">
      <w:pPr>
        <w:pStyle w:val="style2"/>
        <w:spacing w:lineRule="auto" w:line="360"/>
        <w:rPr>
          <w:rFonts w:ascii="Arial" w:cs="Arial" w:hAnsi="Arial"/>
        </w:rPr>
      </w:pPr>
      <w:r>
        <w:rPr>
          <w:rFonts w:ascii="Arial" w:cs="Arial" w:hAnsi="Arial"/>
        </w:rPr>
        <w:t>1.4 Research Aim, Objectives and Questions</w:t>
      </w:r>
      <w:bookmarkEnd w:id="19"/>
      <w:bookmarkEnd w:id="20"/>
      <w:r>
        <w:rPr>
          <w:rFonts w:ascii="Arial" w:cs="Arial" w:hAnsi="Arial"/>
        </w:rPr>
        <w:t xml:space="preserve"> </w:t>
      </w:r>
    </w:p>
    <w:p w14:paraId="3B3ED2CE">
      <w:pPr>
        <w:pStyle w:val="style0"/>
        <w:spacing w:lineRule="auto" w:line="360"/>
        <w:rPr>
          <w:rFonts w:ascii="Arial" w:cs="Arial" w:hAnsi="Arial"/>
          <w:b/>
          <w:bCs/>
        </w:rPr>
      </w:pPr>
      <w:r>
        <w:rPr>
          <w:rFonts w:ascii="Arial" w:cs="Arial" w:hAnsi="Arial"/>
          <w:b/>
          <w:bCs/>
        </w:rPr>
        <w:t>Research aim:</w:t>
      </w:r>
    </w:p>
    <w:p w14:paraId="7429F87B">
      <w:pPr>
        <w:pStyle w:val="style0"/>
        <w:spacing w:lineRule="auto" w:line="360"/>
        <w:rPr>
          <w:rFonts w:ascii="Arial" w:cs="Arial" w:hAnsi="Arial"/>
        </w:rPr>
      </w:pPr>
      <w:r>
        <w:rPr>
          <w:rFonts w:ascii="Arial" w:cs="Arial" w:hAnsi="Arial"/>
        </w:rPr>
        <w:t>The aim of this study is to investigate the influence of offer personalisation on customer loyalty in the grocery retail industry in the UK.</w:t>
      </w:r>
    </w:p>
    <w:p w14:paraId="092E8A1D">
      <w:pPr>
        <w:pStyle w:val="style0"/>
        <w:spacing w:lineRule="auto" w:line="360"/>
        <w:rPr>
          <w:rFonts w:ascii="Arial" w:cs="Arial" w:hAnsi="Arial"/>
          <w:b/>
          <w:bCs/>
          <w:u w:val="single"/>
        </w:rPr>
      </w:pPr>
      <w:r>
        <w:rPr>
          <w:rFonts w:ascii="Arial" w:cs="Arial" w:hAnsi="Arial"/>
          <w:b/>
          <w:bCs/>
          <w:u w:val="single"/>
        </w:rPr>
        <w:t>Research objectives:</w:t>
      </w:r>
    </w:p>
    <w:p w14:paraId="59751EB9">
      <w:pPr>
        <w:pStyle w:val="style179"/>
        <w:numPr>
          <w:ilvl w:val="0"/>
          <w:numId w:val="1"/>
        </w:numPr>
        <w:spacing w:lineRule="auto" w:line="360"/>
        <w:rPr>
          <w:rFonts w:ascii="Arial" w:cs="Arial" w:hAnsi="Arial"/>
        </w:rPr>
      </w:pPr>
      <w:r>
        <w:rPr>
          <w:rFonts w:ascii="Arial" w:cs="Arial" w:hAnsi="Arial"/>
        </w:rPr>
        <w:t xml:space="preserve">To analyse </w:t>
      </w:r>
      <w:r>
        <w:rPr>
          <w:rFonts w:ascii="Arial" w:cs="Arial" w:hAnsi="Arial"/>
        </w:rPr>
        <w:t xml:space="preserve">how personalised offer relevance and perceived reward value influence customer </w:t>
      </w:r>
      <w:r>
        <w:rPr>
          <w:rFonts w:ascii="Arial" w:cs="Arial" w:hAnsi="Arial"/>
        </w:rPr>
        <w:t>engagement</w:t>
      </w:r>
      <w:r>
        <w:rPr>
          <w:rFonts w:ascii="Arial" w:cs="Arial" w:hAnsi="Arial"/>
        </w:rPr>
        <w:t xml:space="preserve"> and</w:t>
      </w:r>
      <w:r>
        <w:rPr>
          <w:rFonts w:ascii="Arial" w:cs="Arial" w:hAnsi="Arial"/>
        </w:rPr>
        <w:t xml:space="preserve"> loyalty</w:t>
      </w:r>
      <w:r>
        <w:rPr>
          <w:rFonts w:ascii="Arial" w:cs="Arial" w:hAnsi="Arial"/>
        </w:rPr>
        <w:t xml:space="preserve"> </w:t>
      </w:r>
      <w:r>
        <w:rPr>
          <w:rFonts w:ascii="Arial" w:cs="Arial" w:hAnsi="Arial"/>
        </w:rPr>
        <w:t xml:space="preserve">within the UK grocery retail industry </w:t>
      </w:r>
    </w:p>
    <w:p w14:paraId="5D15082A">
      <w:pPr>
        <w:pStyle w:val="style179"/>
        <w:numPr>
          <w:ilvl w:val="0"/>
          <w:numId w:val="1"/>
        </w:numPr>
        <w:spacing w:lineRule="auto" w:line="360"/>
        <w:rPr>
          <w:rFonts w:ascii="Arial" w:cs="Arial" w:hAnsi="Arial"/>
        </w:rPr>
      </w:pPr>
      <w:r>
        <w:rPr>
          <w:rFonts w:ascii="Arial" w:cs="Arial" w:hAnsi="Arial"/>
        </w:rPr>
        <w:t xml:space="preserve">To explore how perceived fairness, transparency, and customer trust shape customer </w:t>
      </w:r>
      <w:r>
        <w:rPr>
          <w:rFonts w:ascii="Arial" w:cs="Arial" w:hAnsi="Arial"/>
        </w:rPr>
        <w:t>responses</w:t>
      </w:r>
      <w:r>
        <w:rPr>
          <w:rFonts w:ascii="Arial" w:cs="Arial" w:hAnsi="Arial"/>
        </w:rPr>
        <w:t xml:space="preserve"> to </w:t>
      </w:r>
      <w:r>
        <w:rPr>
          <w:rFonts w:ascii="Arial" w:cs="Arial" w:hAnsi="Arial"/>
        </w:rPr>
        <w:t>personalised</w:t>
      </w:r>
      <w:r>
        <w:rPr>
          <w:rFonts w:ascii="Arial" w:cs="Arial" w:hAnsi="Arial"/>
        </w:rPr>
        <w:t xml:space="preserve"> offers and </w:t>
      </w:r>
      <w:r>
        <w:rPr>
          <w:rFonts w:ascii="Arial" w:cs="Arial" w:hAnsi="Arial"/>
        </w:rPr>
        <w:t>loyalty programmes</w:t>
      </w:r>
      <w:r>
        <w:rPr>
          <w:rFonts w:ascii="Arial" w:cs="Arial" w:hAnsi="Arial"/>
        </w:rPr>
        <w:t xml:space="preserve"> in the UK </w:t>
      </w:r>
      <w:r>
        <w:rPr>
          <w:rFonts w:ascii="Arial" w:cs="Arial" w:hAnsi="Arial"/>
        </w:rPr>
        <w:t>grocery retail</w:t>
      </w:r>
      <w:r>
        <w:rPr>
          <w:rFonts w:ascii="Arial" w:cs="Arial" w:hAnsi="Arial"/>
        </w:rPr>
        <w:t xml:space="preserve"> industry </w:t>
      </w:r>
    </w:p>
    <w:p w14:paraId="7D289524">
      <w:pPr>
        <w:pStyle w:val="style0"/>
        <w:spacing w:lineRule="auto" w:line="360"/>
        <w:rPr>
          <w:rFonts w:ascii="Arial" w:cs="Arial" w:hAnsi="Arial"/>
          <w:b/>
          <w:bCs/>
          <w:u w:val="single"/>
        </w:rPr>
      </w:pPr>
      <w:r>
        <w:rPr>
          <w:rFonts w:ascii="Arial" w:cs="Arial" w:hAnsi="Arial"/>
          <w:b/>
          <w:bCs/>
          <w:u w:val="single"/>
        </w:rPr>
        <w:t>Research questions:</w:t>
      </w:r>
    </w:p>
    <w:p w14:paraId="18EE8289">
      <w:pPr>
        <w:pStyle w:val="style179"/>
        <w:numPr>
          <w:ilvl w:val="0"/>
          <w:numId w:val="2"/>
        </w:numPr>
        <w:spacing w:lineRule="auto" w:line="360"/>
        <w:rPr>
          <w:rFonts w:ascii="Arial" w:cs="Arial" w:hAnsi="Arial"/>
          <w:szCs w:val="24"/>
        </w:rPr>
      </w:pPr>
      <w:r>
        <w:rPr>
          <w:rFonts w:ascii="Arial" w:cs="Arial" w:hAnsi="Arial"/>
          <w:szCs w:val="24"/>
        </w:rPr>
        <w:t>How do personalised offer relevance, perceived reward value, perceived fairness and trust influence customer loyalty, and what is the mediating role of customer satisfaction in the UK grocery retail industry?  </w:t>
      </w:r>
    </w:p>
    <w:p w14:paraId="1112905F">
      <w:pPr>
        <w:pStyle w:val="style0"/>
        <w:spacing w:lineRule="auto" w:line="360"/>
        <w:jc w:val="left"/>
        <w:rPr>
          <w:rFonts w:ascii="Arial" w:cs="Arial" w:hAnsi="Arial"/>
        </w:rPr>
      </w:pPr>
    </w:p>
    <w:p w14:paraId="2BB41CDE">
      <w:pPr>
        <w:pStyle w:val="style0"/>
        <w:spacing w:lineRule="auto" w:line="360"/>
        <w:jc w:val="left"/>
        <w:rPr>
          <w:rFonts w:ascii="Arial" w:cs="Arial" w:hAnsi="Arial"/>
        </w:rPr>
      </w:pPr>
      <w:r>
        <w:rPr>
          <w:rFonts w:ascii="Arial" w:cs="Arial" w:hAnsi="Arial"/>
        </w:rPr>
        <w:br w:type="page"/>
      </w:r>
    </w:p>
    <w:bookmarkStart w:id="21" w:name="_Toc240496613"/>
    <w:p w14:paraId="37C435A9">
      <w:pPr>
        <w:pStyle w:val="style1"/>
        <w:spacing w:lineRule="auto" w:line="360"/>
        <w:jc w:val="both"/>
        <w:rPr>
          <w:rFonts w:ascii="Arial" w:cs="Arial" w:hAnsi="Arial"/>
          <w:lang w:val="en-GB"/>
        </w:rPr>
      </w:pPr>
      <w:r>
        <w:rPr>
          <w:rFonts w:ascii="Arial" w:cs="Arial" w:hAnsi="Arial"/>
          <w:lang w:val="en-GB"/>
        </w:rPr>
        <w:t>Chapter 2: Literature Review</w:t>
      </w:r>
      <w:bookmarkEnd w:id="1"/>
      <w:bookmarkEnd w:id="21"/>
    </w:p>
    <w:bookmarkStart w:id="22" w:name="_Toc240496614"/>
    <w:p w14:paraId="7D4B5308">
      <w:pPr>
        <w:pStyle w:val="style2"/>
        <w:spacing w:lineRule="auto" w:line="360"/>
        <w:rPr>
          <w:rFonts w:ascii="Arial" w:cs="Arial" w:hAnsi="Arial"/>
        </w:rPr>
      </w:pPr>
      <w:r>
        <w:rPr>
          <w:rFonts w:ascii="Arial" w:cs="Arial" w:hAnsi="Arial"/>
        </w:rPr>
        <w:t>2.1 Introduction</w:t>
      </w:r>
      <w:bookmarkEnd w:id="22"/>
      <w:r>
        <w:rPr>
          <w:rFonts w:ascii="Arial" w:cs="Arial" w:hAnsi="Arial"/>
        </w:rPr>
        <w:t xml:space="preserve"> </w:t>
      </w:r>
    </w:p>
    <w:p w14:paraId="4DBD546A">
      <w:pPr>
        <w:pStyle w:val="style0"/>
        <w:spacing w:lineRule="auto" w:line="360"/>
        <w:rPr>
          <w:rFonts w:ascii="Arial" w:cs="Arial" w:hAnsi="Arial"/>
        </w:rPr>
      </w:pPr>
      <w:r>
        <w:rPr>
          <w:rFonts w:ascii="Arial" w:cs="Arial" w:hAnsi="Arial"/>
        </w:rPr>
        <w:t xml:space="preserve">This chapter reviews the literature on the effects of personalised offers on consumer loyalty in the UK grocery retailing sector. Customers' loyalty cards, mobile applications, transaction histories, and customer analytics are becoming common tools for grocery retailers to offer individually targeted discounts, product recommendations, and promotional rewards. But personalised offers do not always lead to true customer loyalty. Their effectiveness depends on how customers perceive the relevance and value of the offers, how the system is perceived as fair, and how much they trust the retailer. The review primarily targets </w:t>
      </w:r>
      <w:r>
        <w:rPr>
          <w:rFonts w:ascii="Arial" w:cs="Arial" w:hAnsi="Arial"/>
        </w:rPr>
        <w:t>peer-reviewed research on personalisation, loyalty programmes, data-driven retailing, pricing fairness, trust, satisfaction,</w:t>
      </w:r>
      <w:r>
        <w:rPr>
          <w:rFonts w:ascii="Arial" w:cs="Arial" w:hAnsi="Arial"/>
        </w:rPr>
        <w:t xml:space="preserve"> and loyalty.</w:t>
      </w:r>
    </w:p>
    <w:bookmarkStart w:id="23" w:name="_Toc240496615"/>
    <w:p w14:paraId="735C3FBF">
      <w:pPr>
        <w:pStyle w:val="style2"/>
        <w:spacing w:lineRule="auto" w:line="360"/>
        <w:rPr>
          <w:rFonts w:ascii="Arial" w:cs="Arial" w:hAnsi="Arial"/>
        </w:rPr>
      </w:pPr>
      <w:r>
        <w:rPr>
          <w:rFonts w:ascii="Arial" w:cs="Arial" w:hAnsi="Arial"/>
        </w:rPr>
        <w:t>2.2 Thematic Review of the Literature</w:t>
      </w:r>
      <w:bookmarkEnd w:id="23"/>
      <w:r>
        <w:rPr>
          <w:rFonts w:ascii="Arial" w:cs="Arial" w:hAnsi="Arial"/>
        </w:rPr>
        <w:t xml:space="preserve"> </w:t>
      </w:r>
    </w:p>
    <w:bookmarkStart w:id="24" w:name="_Toc240496616"/>
    <w:p w14:paraId="3506690A">
      <w:pPr>
        <w:pStyle w:val="style3"/>
        <w:rPr>
          <w:rFonts w:ascii="Arial" w:cs="Arial" w:hAnsi="Arial"/>
          <w:lang w:val="en-GB"/>
        </w:rPr>
      </w:pPr>
      <w:r>
        <w:rPr>
          <w:rFonts w:ascii="Arial" w:cs="Arial" w:hAnsi="Arial"/>
          <w:lang w:val="en-GB"/>
        </w:rPr>
        <w:t>2.2.1 Personalised Offers and Loyalty Programmes in Grocery Retailing</w:t>
      </w:r>
      <w:bookmarkEnd w:id="24"/>
    </w:p>
    <w:p w14:paraId="51F878C7">
      <w:pPr>
        <w:pStyle w:val="style0"/>
        <w:spacing w:lineRule="auto" w:line="360"/>
        <w:rPr>
          <w:rFonts w:ascii="Arial" w:cs="Arial" w:hAnsi="Arial"/>
        </w:rPr>
      </w:pPr>
      <w:r>
        <w:rPr>
          <w:rFonts w:ascii="Arial" w:cs="Arial" w:hAnsi="Arial"/>
        </w:rPr>
        <w:t>Personalised offers are promotions, recommendations, discounts, or rewards targeted to a specific customer based on information about their characteristics or past behaviour</w:t>
      </w:r>
      <w:r>
        <w:rPr>
          <w:rFonts w:ascii="Arial" w:cs="Arial" w:hAnsi="Arial"/>
        </w:rPr>
        <w:t xml:space="preserve">. Weidig, Weippert and Kuehnl (2024) argued that </w:t>
      </w:r>
      <w:r>
        <w:rPr>
          <w:rFonts w:ascii="Arial" w:cs="Arial" w:hAnsi="Arial"/>
        </w:rPr>
        <w:t>personalisation should be considered throughout the entire customer journey,</w:t>
      </w:r>
      <w:r>
        <w:rPr>
          <w:rFonts w:ascii="Arial" w:cs="Arial" w:hAnsi="Arial"/>
        </w:rPr>
        <w:t xml:space="preserve"> not as a one-off promotional event. It depends on the type of touchpoint, the customer's position in the sales process, and the design of the personalised interaction.  Similarly, Wait (2022) clarified that many </w:t>
      </w:r>
      <w:r>
        <w:rPr>
          <w:rFonts w:ascii="Arial" w:cs="Arial" w:hAnsi="Arial"/>
        </w:rPr>
        <w:t>individualised grocery offers are delivered via loyalty programmes, which provide</w:t>
      </w:r>
      <w:r>
        <w:rPr>
          <w:rFonts w:ascii="Arial" w:cs="Arial" w:hAnsi="Arial"/>
        </w:rPr>
        <w:t xml:space="preserve"> organisational infrastructure. Wait (2022) also asserted that they use concrete incentives like discounts, vouchers and points, and less tangible ones like recognition, convenience and personalised communications. The effectiveness of loyalty programmes can </w:t>
      </w:r>
      <w:r>
        <w:rPr>
          <w:rFonts w:ascii="Arial" w:cs="Arial" w:hAnsi="Arial"/>
        </w:rPr>
        <w:t>be judged beyond rewards, as Chen, Mandler and Meyer-Waarden (2021) found:</w:t>
      </w:r>
      <w:r>
        <w:rPr>
          <w:rFonts w:ascii="Arial" w:cs="Arial" w:hAnsi="Arial"/>
        </w:rPr>
        <w:t xml:space="preserve"> outcomes depend on programme design, customer characteristics, market factors, and how loyalty is measured. </w:t>
      </w:r>
    </w:p>
    <w:p w14:paraId="443E4375">
      <w:pPr>
        <w:pStyle w:val="style0"/>
        <w:spacing w:lineRule="auto" w:line="360"/>
        <w:rPr>
          <w:rFonts w:ascii="Arial" w:cs="Arial" w:hAnsi="Arial"/>
        </w:rPr>
      </w:pPr>
      <w:r>
        <w:rPr>
          <w:rFonts w:ascii="Arial" w:cs="Arial" w:hAnsi="Arial"/>
        </w:rPr>
        <w:t>A study by Belli et al. (2022) examined the results</w:t>
      </w:r>
      <w:r>
        <w:rPr>
          <w:rFonts w:ascii="Arial" w:cs="Arial" w:hAnsi="Arial"/>
        </w:rPr>
        <w:t xml:space="preserve"> and found</w:t>
      </w:r>
      <w:r>
        <w:rPr>
          <w:rFonts w:ascii="Arial" w:cs="Arial" w:hAnsi="Arial"/>
        </w:rPr>
        <w:t xml:space="preserve"> that loyalty programmes generally boost customer loyalty. </w:t>
      </w:r>
      <w:r>
        <w:rPr>
          <w:rFonts w:ascii="Arial" w:cs="Arial" w:hAnsi="Arial"/>
        </w:rPr>
        <w:t>However, this conclusion should</w:t>
      </w:r>
      <w:r>
        <w:rPr>
          <w:rFonts w:ascii="Arial" w:cs="Arial" w:hAnsi="Arial"/>
        </w:rPr>
        <w:t xml:space="preserve"> be taken with a pinch of salt. </w:t>
      </w:r>
      <w:r>
        <w:rPr>
          <w:rFonts w:ascii="Arial" w:cs="Arial" w:hAnsi="Arial"/>
        </w:rPr>
        <w:t xml:space="preserve">The studies included in the report covered a range of industries, programme designs, and measures of loyalty, so an average positive effect does not mean any </w:t>
      </w:r>
      <w:r>
        <w:rPr>
          <w:rFonts w:ascii="Arial" w:cs="Arial" w:hAnsi="Arial"/>
        </w:rPr>
        <w:t>programme design guarantees</w:t>
      </w:r>
      <w:r>
        <w:rPr>
          <w:rFonts w:ascii="Arial" w:cs="Arial" w:hAnsi="Arial"/>
        </w:rPr>
        <w:t xml:space="preserve"> success. Results derived from airlines and hospitality or specialist retail cannot be automatically transferred to grocery retail, where purchases are frequent, switching costs are low, and consumers can split their money between several competing supermarkets. Närvänen et al. (2020) similarly question traditional transaction-centric conceptions of retail loyalty by demonstrating that consumers have multiple understandings of retail loyalty, such as routine, freedom of choice, social belonging and personal commitment. Their research shows that the same purchasing behaviour can reflect very different psychological relationships: one buyer might visit the same supermarket repeatedly because of their attachment to the store, whilst another may go there because it is the quickest and easiest store to reach. Thus, repeat sales should not be equated with loyalty.  Filipe</w:t>
      </w:r>
      <w:r>
        <w:rPr>
          <w:rFonts w:ascii="Arial" w:cs="Arial" w:hAnsi="Arial"/>
        </w:rPr>
        <w:t>, Marques and Salguero</w:t>
      </w:r>
      <w:r>
        <w:rPr>
          <w:rFonts w:ascii="Arial" w:cs="Arial" w:hAnsi="Arial"/>
        </w:rPr>
        <w:t xml:space="preserve"> (2017) found that the relationship between satisfaction and loyalty was more positive for those who participated in loyalty programmes. They also </w:t>
      </w:r>
      <w:r>
        <w:rPr>
          <w:rFonts w:ascii="Arial" w:cs="Arial" w:hAnsi="Arial"/>
        </w:rPr>
        <w:t>found that the supermarket format had direct and indirect effects</w:t>
      </w:r>
      <w:r>
        <w:rPr>
          <w:rFonts w:ascii="Arial" w:cs="Arial" w:hAnsi="Arial"/>
        </w:rPr>
        <w:t xml:space="preserve"> on trust. Likewise, </w:t>
      </w:r>
      <w:r>
        <w:rPr>
          <w:rFonts w:ascii="Arial" w:cs="Arial" w:hAnsi="Arial"/>
        </w:rPr>
        <w:t>the results of the study by Ďaďo, Taborecka-Petrovicova and Rajić (2022) indicated that both attitudinal and behavioural loyalty were directly influenced by relationship satisfaction and relationship commitment, while trust had an indirect influence on loyalty via satisfaction and commitment</w:t>
      </w:r>
      <w:r>
        <w:rPr>
          <w:rFonts w:ascii="Arial" w:cs="Arial" w:hAnsi="Arial"/>
        </w:rPr>
        <w:t>.</w:t>
      </w:r>
    </w:p>
    <w:p w14:paraId="23AEBF30">
      <w:pPr>
        <w:pStyle w:val="style0"/>
        <w:spacing w:lineRule="auto" w:line="360"/>
        <w:rPr>
          <w:rFonts w:ascii="Arial" w:cs="Arial" w:hAnsi="Arial"/>
        </w:rPr>
      </w:pPr>
      <w:r>
        <w:rPr>
          <w:rFonts w:ascii="Arial" w:cs="Arial" w:hAnsi="Arial"/>
        </w:rPr>
        <w:t>CMA (2024</w:t>
      </w:r>
      <w:r>
        <w:rPr>
          <w:rFonts w:ascii="Arial" w:cs="Arial" w:hAnsi="Arial"/>
        </w:rPr>
        <w:t>a</w:t>
      </w:r>
      <w:r>
        <w:rPr>
          <w:rFonts w:ascii="Arial" w:cs="Arial" w:hAnsi="Arial"/>
        </w:rPr>
        <w:t xml:space="preserve">) reported </w:t>
      </w:r>
      <w:r>
        <w:rPr>
          <w:rFonts w:ascii="Arial" w:cs="Arial" w:hAnsi="Arial"/>
        </w:rPr>
        <w:t xml:space="preserve">76% of consumers said that the pricing for their loyalty had stayed the very same in the last 12 months and that they used an average of three supermarkets regularly. The results indicate that loyalty pricing can foster loyalty </w:t>
      </w:r>
      <w:r>
        <w:rPr>
          <w:rFonts w:ascii="Arial" w:cs="Arial" w:hAnsi="Arial"/>
        </w:rPr>
        <w:t>behaviour without fostering exclusive patronage.</w:t>
      </w:r>
      <w:r>
        <w:rPr>
          <w:rFonts w:ascii="Arial" w:cs="Arial" w:hAnsi="Arial"/>
        </w:rPr>
        <w:t xml:space="preserve"> Meyer-Waarden, Bruwer and Galan (2023) further support the distinction between participation in a loyalty programme and retailer loyalty. They found that perceived programme value resulted in programme engagement, which led to programme loyalty, brand loyalty and customer engagement. However, due to its cross-sectional survey design, it is unable to determine long-term behaviour changes, and its cross-sectional approach across three industries makes it difficult to separate the effects on the grocery sector. On the other hand, a study by Dlamini and Chinje (2019) found that loyalty programmes helped consumers repeat their purchases as a result of satisfaction, trust, and commitment, with satisfaction being the most effective mediator.</w:t>
      </w:r>
    </w:p>
    <w:p w14:paraId="01E96C8F">
      <w:pPr>
        <w:pStyle w:val="style0"/>
        <w:spacing w:lineRule="auto" w:line="360"/>
        <w:rPr>
          <w:rFonts w:ascii="Arial" w:cs="Arial" w:hAnsi="Arial"/>
        </w:rPr>
      </w:pPr>
      <w:r>
        <w:rPr>
          <w:rFonts w:ascii="Arial" w:cs="Arial" w:hAnsi="Arial"/>
        </w:rPr>
        <w:t>Selection effects can also be generated by loyalty programmes. The more customers like a supermarket, the greater the likelihood that they will sign up for the programme and redeem rewards</w:t>
      </w:r>
      <w:r>
        <w:rPr>
          <w:rFonts w:ascii="Arial" w:cs="Arial" w:hAnsi="Arial"/>
        </w:rPr>
        <w:t xml:space="preserve"> (Leenheer et al., 2007)</w:t>
      </w:r>
      <w:r>
        <w:rPr>
          <w:rFonts w:ascii="Arial" w:cs="Arial" w:hAnsi="Arial"/>
        </w:rPr>
        <w:t xml:space="preserve">.  </w:t>
      </w:r>
      <w:r>
        <w:rPr>
          <w:rFonts w:ascii="Arial" w:cs="Arial" w:hAnsi="Arial"/>
        </w:rPr>
        <w:t xml:space="preserve">Therefore, loyalty </w:t>
      </w:r>
      <w:r>
        <w:rPr>
          <w:rFonts w:ascii="Arial" w:cs="Arial" w:hAnsi="Arial"/>
        </w:rPr>
        <w:t>programmes can improve customer loyalty</w:t>
      </w:r>
      <w:r>
        <w:rPr>
          <w:rFonts w:ascii="Arial" w:cs="Arial" w:hAnsi="Arial"/>
        </w:rPr>
        <w:t>, but membership does not create 'exclusive loyalty'.</w:t>
      </w:r>
    </w:p>
    <w:bookmarkStart w:id="25" w:name="_Toc240496617"/>
    <w:p w14:paraId="72F64E70">
      <w:pPr>
        <w:pStyle w:val="style3"/>
        <w:rPr>
          <w:rFonts w:ascii="Arial" w:cs="Arial" w:hAnsi="Arial"/>
          <w:lang w:val="en-GB"/>
        </w:rPr>
      </w:pPr>
      <w:r>
        <w:rPr>
          <w:rFonts w:ascii="Arial" w:cs="Arial" w:hAnsi="Arial"/>
          <w:lang w:val="en-GB"/>
        </w:rPr>
        <w:t>2.2.2 Personalised Offer Relevance and Customer Support</w:t>
      </w:r>
      <w:bookmarkEnd w:id="25"/>
    </w:p>
    <w:p w14:paraId="6E2C0A22">
      <w:pPr>
        <w:pStyle w:val="style0"/>
        <w:spacing w:lineRule="auto" w:line="360"/>
        <w:rPr>
          <w:rFonts w:ascii="Arial" w:cs="Arial" w:hAnsi="Arial"/>
        </w:rPr>
      </w:pPr>
      <w:r>
        <w:rPr>
          <w:rFonts w:ascii="Arial" w:cs="Arial" w:hAnsi="Arial"/>
        </w:rPr>
        <w:t xml:space="preserve">Leppäniemi, Karjaluoto and Saarijärvi (2017) explored willingness to share information among retail customers, and their structural models revealed that perceived value and satisfaction were correlated with willingness to share personal information, which led to increased intentions to be loyal and actual loyalty actions. They propose that sharing information does not have to be a privacy cost to consumers, because customers may be willing to share their information if they feel it creates value and satisfaction in the service they receive. However, it may be difficult to determine the causal direction.  </w:t>
      </w:r>
      <w:r>
        <w:rPr>
          <w:rFonts w:ascii="Arial" w:cs="Arial" w:hAnsi="Arial"/>
        </w:rPr>
        <w:t xml:space="preserve">If people have already been more positive about a retailer in their relationship, they might be more willing to share information, as warmth towards the retailer can decrease privacy concerns and boost information sharing (Thomaz et al., 2020). </w:t>
      </w:r>
      <w:r>
        <w:rPr>
          <w:rFonts w:ascii="Arial" w:cs="Arial" w:hAnsi="Arial"/>
        </w:rPr>
        <w:t>Moreover, Li, Yuan, and Tian (2023) discovered that transparency, privacy, security, and algorithmic fairness were required conditions for sustainable trust, as were interactive and algorithm-supported retail experiences that contributed to increased satisfaction. While grocery offers might be small and frequent, other ecommerce suggestions could be for items that are not purchased as often.</w:t>
      </w:r>
    </w:p>
    <w:bookmarkStart w:id="26" w:name="_Toc240496618"/>
    <w:p w14:paraId="2A8DBD67">
      <w:pPr>
        <w:pStyle w:val="style3"/>
        <w:rPr>
          <w:rFonts w:ascii="Arial" w:cs="Arial" w:hAnsi="Arial"/>
          <w:lang w:val="en-GB"/>
        </w:rPr>
      </w:pPr>
      <w:r>
        <w:rPr>
          <w:rFonts w:ascii="Arial" w:cs="Arial" w:hAnsi="Arial"/>
          <w:lang w:val="en-GB"/>
        </w:rPr>
        <w:t>2.2.3 Perceived Reward Value</w:t>
      </w:r>
      <w:bookmarkEnd w:id="26"/>
    </w:p>
    <w:p w14:paraId="1AA7E66C">
      <w:pPr>
        <w:pStyle w:val="style0"/>
        <w:spacing w:lineRule="auto" w:line="360"/>
        <w:rPr>
          <w:rFonts w:ascii="Arial" w:cs="Arial" w:hAnsi="Arial"/>
        </w:rPr>
      </w:pPr>
      <w:r>
        <w:rPr>
          <w:rFonts w:ascii="Arial" w:cs="Arial" w:hAnsi="Arial"/>
        </w:rPr>
        <w:t xml:space="preserve">Perceived reward value is the customer's assessment of the rewards </w:t>
      </w:r>
      <w:r>
        <w:rPr>
          <w:rFonts w:ascii="Arial" w:cs="Arial" w:hAnsi="Arial"/>
        </w:rPr>
        <w:t>they receive from</w:t>
      </w:r>
      <w:r>
        <w:rPr>
          <w:rFonts w:ascii="Arial" w:cs="Arial" w:hAnsi="Arial"/>
        </w:rPr>
        <w:t xml:space="preserve"> engaging in a loyalty program or a targeted offer (</w:t>
      </w:r>
      <w:r>
        <w:rPr>
          <w:rFonts w:ascii="Arial" w:cs="Arial" w:hAnsi="Arial"/>
        </w:rPr>
        <w:t>Mimouni-Chaabane and Volle, 2010</w:t>
      </w:r>
      <w:r>
        <w:rPr>
          <w:rFonts w:ascii="Arial" w:cs="Arial" w:hAnsi="Arial"/>
        </w:rPr>
        <w:t xml:space="preserve">). These benefits can be economic, such as reduced prices or vouchers, or non-economic, such as recognition, convenience, or reduced search effort. </w:t>
      </w:r>
    </w:p>
    <w:p w14:paraId="363F7415">
      <w:pPr>
        <w:pStyle w:val="style0"/>
        <w:spacing w:lineRule="auto" w:line="360"/>
        <w:rPr>
          <w:rFonts w:ascii="Arial" w:cs="Arial" w:hAnsi="Arial"/>
        </w:rPr>
      </w:pPr>
      <w:r>
        <w:rPr>
          <w:rFonts w:ascii="Arial" w:cs="Arial" w:hAnsi="Arial"/>
        </w:rPr>
        <w:t xml:space="preserve">Meyer-Waarden, Bruwer, and Galan (2023) found that the perceived value of a loyalty program increases user engagement, leading to greater loyalty to the program and the brand as a whole. Their results indicate that rewards are not just about money and that they promote loyalty beyond monetary incentives. However, </w:t>
      </w:r>
      <w:r>
        <w:rPr>
          <w:rFonts w:ascii="Arial" w:cs="Arial" w:hAnsi="Arial"/>
        </w:rPr>
        <w:t xml:space="preserve">the direction of this relationship is not conclusively determined by the evidence because it is cross-sectional. </w:t>
      </w:r>
      <w:r>
        <w:rPr>
          <w:rFonts w:ascii="Arial" w:cs="Arial" w:hAnsi="Arial"/>
        </w:rPr>
        <w:t>In the grocery-retail context, similarly, Leppäniemi, Karjaluoto and Saarijärvi</w:t>
      </w:r>
      <w:r>
        <w:rPr>
          <w:rFonts w:ascii="Arial" w:cs="Arial" w:hAnsi="Arial"/>
        </w:rPr>
        <w:t xml:space="preserve"> </w:t>
      </w:r>
      <w:r>
        <w:rPr>
          <w:rFonts w:ascii="Arial" w:cs="Arial" w:hAnsi="Arial"/>
        </w:rPr>
        <w:t>(2017) have shown that perceived value is tightly related to information-sharing willingness and satisfaction. When customers feel that data exchanges can offer benefits, they seem more willing to become involved in data-driven retail transactions</w:t>
      </w:r>
      <w:r>
        <w:rPr>
          <w:rFonts w:ascii="Arial" w:cs="Arial" w:hAnsi="Arial"/>
        </w:rPr>
        <w:t xml:space="preserve">. </w:t>
      </w:r>
      <w:r>
        <w:rPr>
          <w:rFonts w:ascii="Arial" w:cs="Arial" w:hAnsi="Arial"/>
        </w:rPr>
        <w:t xml:space="preserve">Harris and Khatami (2017), however, presented a different view, stating that satisfaction, commitment, loyalty, trust, perceived value, and quality all had a positive impact on positive word of mouth, but that commitment had the greatest impact and satisfaction the least. </w:t>
      </w:r>
    </w:p>
    <w:p w14:paraId="3B5521F8">
      <w:pPr>
        <w:pStyle w:val="style0"/>
        <w:spacing w:lineRule="auto" w:line="360"/>
        <w:rPr>
          <w:rFonts w:ascii="Arial" w:cs="Arial" w:hAnsi="Arial"/>
        </w:rPr>
      </w:pPr>
      <w:r>
        <w:rPr>
          <w:rFonts w:ascii="Arial" w:cs="Arial" w:hAnsi="Arial"/>
        </w:rPr>
        <w:t xml:space="preserve">In sum, </w:t>
      </w:r>
      <w:r>
        <w:rPr>
          <w:rFonts w:ascii="Arial" w:cs="Arial" w:hAnsi="Arial"/>
        </w:rPr>
        <w:t xml:space="preserve">it </w:t>
      </w:r>
      <w:r>
        <w:rPr>
          <w:rFonts w:ascii="Arial" w:cs="Arial" w:hAnsi="Arial"/>
        </w:rPr>
        <w:t xml:space="preserve"> indicate</w:t>
      </w:r>
      <w:r>
        <w:rPr>
          <w:rFonts w:ascii="Arial" w:cs="Arial" w:hAnsi="Arial"/>
        </w:rPr>
        <w:t>s</w:t>
      </w:r>
      <w:r>
        <w:rPr>
          <w:rFonts w:ascii="Arial" w:cs="Arial" w:hAnsi="Arial"/>
        </w:rPr>
        <w:t xml:space="preserve"> that the relationship between value and satisfaction is significant, as is the relationship between value and loyalty; however, reward value does not lead to lasting commitment.</w:t>
      </w:r>
    </w:p>
    <w:bookmarkStart w:id="27" w:name="_Toc240496619"/>
    <w:p w14:paraId="4C0506DA">
      <w:pPr>
        <w:pStyle w:val="style3"/>
        <w:rPr>
          <w:rFonts w:ascii="Arial" w:cs="Arial" w:hAnsi="Arial"/>
          <w:lang w:val="en-GB"/>
        </w:rPr>
      </w:pPr>
      <w:r>
        <w:rPr>
          <w:rFonts w:ascii="Arial" w:cs="Arial" w:hAnsi="Arial"/>
          <w:lang w:val="en-GB"/>
        </w:rPr>
        <w:t>2.2.4 Perceived Fairness of Loyalty and Personalised Pricing</w:t>
      </w:r>
      <w:bookmarkEnd w:id="27"/>
      <w:r>
        <w:rPr>
          <w:rFonts w:ascii="Arial" w:cs="Arial" w:hAnsi="Arial"/>
          <w:lang w:val="en-GB"/>
        </w:rPr>
        <w:t xml:space="preserve"> </w:t>
      </w:r>
    </w:p>
    <w:p w14:paraId="77E4B847">
      <w:pPr>
        <w:pStyle w:val="style0"/>
        <w:spacing w:lineRule="auto" w:line="360"/>
        <w:rPr>
          <w:rFonts w:ascii="Arial" w:cs="Arial" w:hAnsi="Arial"/>
        </w:rPr>
      </w:pPr>
      <w:r>
        <w:rPr>
          <w:rFonts w:ascii="Arial" w:cs="Arial" w:hAnsi="Arial"/>
        </w:rPr>
        <w:t>According to Chan (2026), perceived fairness is the customer's evaluation of the fairness of the outcomes, processes and explanations of personalised offers. This involves distributive fairness (who receives which benefit), procedural fairness (how offers are made) and informational fairness (whether the retailer makes offers clear).</w:t>
      </w:r>
    </w:p>
    <w:p w14:paraId="41EE5754">
      <w:pPr>
        <w:pStyle w:val="style0"/>
        <w:spacing w:lineRule="auto" w:line="360"/>
        <w:rPr>
          <w:rFonts w:ascii="Arial" w:cs="Arial" w:hAnsi="Arial"/>
        </w:rPr>
      </w:pPr>
      <w:r>
        <w:rPr>
          <w:rFonts w:ascii="Arial" w:cs="Arial" w:hAnsi="Arial"/>
        </w:rPr>
        <w:t xml:space="preserve">Hufnagel, Schwaiger and Weritz (2022) claimed that perceptions of price fairness, such as perceived advantage or disadvantage to the individual, are an important factor in consumer reactions to personalised pricing.   However, Kelloway (2020) argued that personalised loyalty offers cannot be seen as the same as price discrimination for individuals. Most supermarket schemes provide a member price, rather than calculating each member's individual price. Thus, the results of personalised e-commerce pricing should be used with care when it comes to loyalty pricing. This, however, can yield a negative response when consumers realise others are willing to pay even less for the same product, as Richards, Liaukonyte and Streletskaya (2016) discovered. Their experimental findings show that, if a perceived price difference is unfavourable for the individual, it decreases the likelihood of buying the product, as does perceived unfairness. However, Hride, Ferdousi and Jasimuddin (2022) offer conflicting evidence regarding the mechanisms through which fairness leads to loyalty: they found that price fairness positively affected loyalty, satisfaction and trust, but the fairness–loyalty relationship was not mediated by satisfaction and trust. This means that when customers are treated fairly, </w:t>
      </w:r>
      <w:r>
        <w:rPr>
          <w:rFonts w:ascii="Arial" w:cs="Arial" w:hAnsi="Arial"/>
        </w:rPr>
        <w:t xml:space="preserve">they may react first to a particular aspect of the treatment before adjusting their overall satisfaction or trust. Thus, fairness may decide whether consumers see a tailored offer as appreciation or exploitation. </w:t>
      </w:r>
    </w:p>
    <w:bookmarkStart w:id="28" w:name="_Toc240496620"/>
    <w:p w14:paraId="388AB84A">
      <w:pPr>
        <w:pStyle w:val="style3"/>
        <w:rPr>
          <w:rFonts w:ascii="Arial" w:cs="Arial" w:hAnsi="Arial"/>
          <w:lang w:val="en-GB"/>
        </w:rPr>
      </w:pPr>
      <w:r>
        <w:rPr>
          <w:rFonts w:ascii="Arial" w:cs="Arial" w:hAnsi="Arial"/>
          <w:lang w:val="en-GB"/>
        </w:rPr>
        <w:t>2.2.5 Customer Trust &amp; Data Driven Personalisiation</w:t>
      </w:r>
      <w:bookmarkEnd w:id="28"/>
      <w:r>
        <w:rPr>
          <w:rFonts w:ascii="Arial" w:cs="Arial" w:hAnsi="Arial"/>
          <w:lang w:val="en-GB"/>
        </w:rPr>
        <w:t xml:space="preserve"> </w:t>
      </w:r>
    </w:p>
    <w:p w14:paraId="556CF2A6">
      <w:pPr>
        <w:pStyle w:val="style0"/>
        <w:spacing w:lineRule="auto" w:line="360"/>
        <w:rPr>
          <w:rFonts w:ascii="Arial" w:cs="Arial" w:hAnsi="Arial"/>
        </w:rPr>
      </w:pPr>
      <w:r>
        <w:rPr>
          <w:rFonts w:ascii="Arial" w:cs="Arial" w:hAnsi="Arial"/>
        </w:rPr>
        <w:t>Customer trust is their confidence that the retailer is trustworthy, reliable, competent and responsible in handling their information. Trust issues are not limited to the supermarket as a business; digital interactions, pricing models, and transactions are also at stake in personalised grocery retail. A study by Larsson and Haresamudram (2024) revealed that consumers' previous trust in data collection impacted the assessment of recommendation systems and targeted advertising. Hassan, Abdelraouf</w:t>
      </w:r>
      <w:r>
        <w:rPr>
          <w:rFonts w:ascii="Arial" w:cs="Arial" w:hAnsi="Arial"/>
        </w:rPr>
        <w:t xml:space="preserve"> </w:t>
      </w:r>
      <w:r>
        <w:rPr>
          <w:rFonts w:ascii="Arial" w:cs="Arial" w:hAnsi="Arial"/>
        </w:rPr>
        <w:t xml:space="preserve"> and El-Shihy (2025), on the other hand, revealed that trust directly contributed to satisfaction and loyalty in an AI-supported e-commerce context, and personalisation enhanced the relationship between the three. The disparity could be due to the varying factors that constitute trust in a grocery store versus trust in AI-driven commerce, such as product quality, staff reliability, and operational trust, versus technology, recommendations, and data use. This relation is complicated by privacy as well. </w:t>
      </w:r>
      <w:r>
        <w:rPr>
          <w:rFonts w:ascii="Arial" w:cs="Arial" w:hAnsi="Arial"/>
        </w:rPr>
        <w:t xml:space="preserve">Alisa and Agus (2025) revealed that perceptions of privacy and security had a positive effect on customer trust and customer satisfaction. Personalisation also had positive effects on trust and satisfaction, which in turn led to repurchase intention; the relationship variables also had positive effects on each other. </w:t>
      </w:r>
      <w:r>
        <w:rPr>
          <w:rFonts w:ascii="Arial" w:cs="Arial" w:hAnsi="Arial"/>
        </w:rPr>
        <w:t>In sum, these studies suggest that consumers may appreciate customised offers but are aware of the trade-offs of collecting data.</w:t>
      </w:r>
    </w:p>
    <w:bookmarkStart w:id="29" w:name="_Toc240496621"/>
    <w:p w14:paraId="13ADFBE1">
      <w:pPr>
        <w:pStyle w:val="style2"/>
        <w:spacing w:lineRule="auto" w:line="360"/>
        <w:rPr>
          <w:rFonts w:ascii="Arial" w:cs="Arial" w:hAnsi="Arial"/>
        </w:rPr>
      </w:pPr>
      <w:r>
        <w:rPr>
          <w:rFonts w:ascii="Arial" w:cs="Arial" w:hAnsi="Arial"/>
        </w:rPr>
        <w:t>2.3 Theoretical Foundation and Contribution</w:t>
      </w:r>
      <w:bookmarkEnd w:id="29"/>
      <w:r>
        <w:rPr>
          <w:rFonts w:ascii="Arial" w:cs="Arial" w:hAnsi="Arial"/>
        </w:rPr>
        <w:t xml:space="preserve"> </w:t>
      </w:r>
    </w:p>
    <w:bookmarkStart w:id="30" w:name="_Toc240496622"/>
    <w:p w14:paraId="14A49BCA">
      <w:pPr>
        <w:pStyle w:val="style0"/>
        <w:spacing w:lineRule="auto" w:line="360"/>
        <w:rPr>
          <w:rFonts w:ascii="Arial" w:cs="Arial" w:hAnsi="Arial"/>
        </w:rPr>
      </w:pPr>
      <w:r>
        <w:rPr>
          <w:rStyle w:val="style4100"/>
          <w:rFonts w:ascii="Arial" w:cs="Arial" w:hAnsi="Arial"/>
        </w:rPr>
        <w:t>2.3.1 Commitment–Trust Theory of Relationship Marketing</w:t>
      </w:r>
      <w:bookmarkEnd w:id="30"/>
      <w:r>
        <w:rPr>
          <w:rFonts w:ascii="Arial" w:cs="Arial" w:hAnsi="Arial"/>
        </w:rPr>
        <w:t xml:space="preserve"> </w:t>
      </w:r>
    </w:p>
    <w:p w14:paraId="09F95EF1">
      <w:pPr>
        <w:pStyle w:val="style0"/>
        <w:spacing w:lineRule="auto" w:line="360"/>
        <w:rPr>
          <w:rFonts w:ascii="Arial" w:cs="Arial" w:hAnsi="Arial"/>
        </w:rPr>
      </w:pPr>
      <w:r>
        <w:rPr>
          <w:rFonts w:ascii="Arial" w:cs="Arial" w:hAnsi="Arial"/>
        </w:rPr>
        <w:t>This theory suggests that trust and commitment, not short-term transactions, build long-term partnerships. Trust in retailing means the client believes a retailer is dependable, honest, and unlikely to abuse the connection, while commitment means the desire to sustain it. The current research examines whether personalised offers enhance grocery retailer-customer relationships rather than just generating immediate purchases (</w:t>
      </w:r>
      <w:r>
        <w:rPr>
          <w:rFonts w:ascii="Arial" w:cs="Arial" w:hAnsi="Arial"/>
        </w:rPr>
        <w:t>Morgan and Hunt, 1994;</w:t>
      </w:r>
      <w:r>
        <w:rPr>
          <w:rFonts w:ascii="Arial" w:cs="Arial" w:hAnsi="Arial"/>
        </w:rPr>
        <w:t xml:space="preserve"> </w:t>
      </w:r>
      <w:r>
        <w:rPr>
          <w:rFonts w:ascii="Arial" w:cs="Arial" w:hAnsi="Arial"/>
        </w:rPr>
        <w:t xml:space="preserve">Badrinarayanan and Ramachandran, 2024). </w:t>
      </w:r>
    </w:p>
    <w:p w14:paraId="3EBBECC3">
      <w:pPr>
        <w:pStyle w:val="style0"/>
        <w:spacing w:lineRule="auto" w:line="360"/>
        <w:rPr>
          <w:rFonts w:ascii="Arial" w:cs="Arial" w:hAnsi="Arial"/>
        </w:rPr>
      </w:pPr>
      <w:r>
        <w:rPr>
          <w:rFonts w:ascii="Arial" w:cs="Arial" w:hAnsi="Arial"/>
        </w:rPr>
        <w:t>Retail scenarios demonstrate its relevance, and the role of trust is still not entirely agreed upon. Anıl Konuk (2022) found that trust leads to increased perceived value, loyalty intentions, and behaviour. However, Alagarsamy, Mehrolia and Singh (2021) found that convenience and structural ties did not directly impact trust or loyalty. Rather, financial, emotional and social connections affected relationship quality and the sense of community most strongly affected brand loyalty. Their findings indicate that trust is only one element of the relationship and can be insufficient if tailored offerings are not valuable or lack emotional linkage. Likewise, Mujianto et al. (2023) suggest that commitment and satisfaction had a positive direct influence on loyalty, whereas trust did not have the expected direct influence. While this study has not considered supermarket consumers, it illustrates that trust does not necessarily translate into loyalty, even in the B2B context. It can differ by the type of relationship, the value of the benefits received from the relationship, and the presence of other attributes of the quality of the relationship.</w:t>
      </w:r>
    </w:p>
    <w:bookmarkStart w:id="31" w:name="_Toc240496623"/>
    <w:p w14:paraId="4A76CAEF">
      <w:pPr>
        <w:pStyle w:val="style3"/>
        <w:rPr>
          <w:rFonts w:ascii="Arial" w:cs="Arial" w:hAnsi="Arial"/>
          <w:lang w:val="en-GB"/>
        </w:rPr>
      </w:pPr>
      <w:r>
        <w:rPr>
          <w:rFonts w:ascii="Arial" w:cs="Arial" w:hAnsi="Arial"/>
          <w:lang w:val="en-GB"/>
        </w:rPr>
        <w:t>2.3.2 Oliver's Customer Loyalty Model</w:t>
      </w:r>
      <w:bookmarkEnd w:id="31"/>
    </w:p>
    <w:p w14:paraId="447D6351">
      <w:pPr>
        <w:pStyle w:val="style0"/>
        <w:spacing w:lineRule="auto" w:line="360"/>
        <w:rPr>
          <w:rFonts w:ascii="Arial" w:cs="Arial" w:hAnsi="Arial"/>
        </w:rPr>
      </w:pPr>
      <w:r>
        <w:rPr>
          <w:rFonts w:ascii="Arial" w:cs="Arial" w:hAnsi="Arial"/>
        </w:rPr>
        <w:t>This loyalty framework provides an additional explanation of the emergence of loyalty. This paradigm has four phases: cognitive, affective, conative and action loyalty. Cognitive loyalty is founded on reasonable assessments, such as thinking that one store has superior pricing or benefits (Kumar, Gupta and Kishor, 2016). This theory can be particularly useful because it helps separate genuine loyalty from repeat purchases</w:t>
      </w:r>
      <w:r>
        <w:rPr>
          <w:rFonts w:ascii="Arial" w:cs="Arial" w:hAnsi="Arial"/>
        </w:rPr>
        <w:t xml:space="preserve"> (Olivier, 1999)</w:t>
      </w:r>
      <w:r>
        <w:rPr>
          <w:rFonts w:ascii="Arial" w:cs="Arial" w:hAnsi="Arial"/>
        </w:rPr>
        <w:t xml:space="preserve">. Personalised offers can build initial cognitive loyalty through </w:t>
      </w:r>
      <w:r>
        <w:rPr>
          <w:rFonts w:ascii="Arial" w:cs="Arial" w:hAnsi="Arial"/>
        </w:rPr>
        <w:t>perceived savings</w:t>
      </w:r>
      <w:r>
        <w:rPr>
          <w:rFonts w:ascii="Arial" w:cs="Arial" w:hAnsi="Arial"/>
        </w:rPr>
        <w:t xml:space="preserve">, but deeper loyalty may require satisfaction, trust, and pleasurable experiences. </w:t>
      </w:r>
      <w:r>
        <w:rPr>
          <w:rFonts w:ascii="Arial" w:cs="Arial" w:hAnsi="Arial"/>
        </w:rPr>
        <w:t xml:space="preserve">The concept of Oliver's loyalty model indicates that loyalty can be cognitive, affective, conative and </w:t>
      </w:r>
      <w:r>
        <w:rPr>
          <w:rFonts w:ascii="Arial" w:cs="Arial" w:hAnsi="Arial"/>
        </w:rPr>
        <w:t xml:space="preserve">behavioural, but it would be possible if there is dissatisfaction, attractive competing alternatives, variety seeking, and promotional incentives, which may disrupt the progression towards </w:t>
      </w:r>
      <w:r>
        <w:rPr>
          <w:rFonts w:ascii="Arial" w:cs="Arial" w:hAnsi="Arial"/>
        </w:rPr>
        <w:t xml:space="preserve">stronger loyalty (Oliver, 1999). This is especially true in grocery retail, where consumers may have multiple loyalty-scheme memberships and regularly shop at multiple supermarkets, rather than staying loyal to one </w:t>
      </w:r>
      <w:r>
        <w:rPr>
          <w:rFonts w:ascii="Arial" w:cs="Arial" w:hAnsi="Arial"/>
        </w:rPr>
        <w:t>supermarket</w:t>
      </w:r>
      <w:r>
        <w:rPr>
          <w:rFonts w:ascii="Arial" w:cs="Arial" w:hAnsi="Arial"/>
        </w:rPr>
        <w:t xml:space="preserve"> store (CMA, 2024b)</w:t>
      </w:r>
    </w:p>
    <w:bookmarkStart w:id="32" w:name="_Toc240496624"/>
    <w:p w14:paraId="13C49AF6">
      <w:pPr>
        <w:pStyle w:val="style3"/>
        <w:rPr>
          <w:rFonts w:ascii="Arial" w:cs="Arial" w:hAnsi="Arial"/>
          <w:lang w:val="en-GB"/>
        </w:rPr>
      </w:pPr>
      <w:r>
        <w:rPr>
          <w:rFonts w:ascii="Arial" w:cs="Arial" w:hAnsi="Arial"/>
          <w:lang w:val="en-GB"/>
        </w:rPr>
        <w:t>2.3.3 Theoretical Contributions</w:t>
      </w:r>
      <w:bookmarkEnd w:id="32"/>
      <w:r>
        <w:rPr>
          <w:rFonts w:ascii="Arial" w:cs="Arial" w:hAnsi="Arial"/>
          <w:lang w:val="en-GB"/>
        </w:rPr>
        <w:t xml:space="preserve"> </w:t>
      </w:r>
    </w:p>
    <w:p w14:paraId="78798ADB">
      <w:pPr>
        <w:pStyle w:val="style0"/>
        <w:spacing w:lineRule="auto" w:line="360"/>
        <w:rPr>
          <w:rFonts w:ascii="Arial" w:cs="Arial" w:hAnsi="Arial"/>
        </w:rPr>
      </w:pPr>
      <w:r>
        <w:rPr>
          <w:rFonts w:ascii="Arial" w:cs="Arial" w:hAnsi="Arial"/>
        </w:rPr>
        <w:t>The study does not present a completely new theory. It aims to bring relationship marketing, customer loyalty, and customer personalisation into the UK grocery retail environment. It brings together four different evaluations of personalised loyalty offers: relevance as an experiential benefit, reward value as an economic benefit, fairness as an ethical judgement and trust as a relational judgement. This integration adds richness to Commitment-Trust Theory by considering that trust is established as part of a larger evaluation of the usefulness of the offer, reward distribution, and data practices. It also links customer satisfaction to customer loyalty, showing how these evaluations may be reflected in loyalty. The study, however, is based on cross-sectional survey data, which can be used to determine statistical correlations, but not causal relationships over time that lead to loyalty. So, its theoretical impact should be presented as contextual testing and integration, instead of causal confirmation.</w:t>
      </w:r>
    </w:p>
    <w:bookmarkStart w:id="33" w:name="_Toc240496625"/>
    <w:p w14:paraId="69D0FC4D">
      <w:pPr>
        <w:pStyle w:val="style2"/>
        <w:spacing w:lineRule="auto" w:line="360"/>
        <w:rPr>
          <w:rFonts w:ascii="Arial" w:cs="Arial" w:hAnsi="Arial"/>
        </w:rPr>
      </w:pPr>
      <w:r>
        <w:rPr>
          <w:rFonts w:ascii="Arial" w:cs="Arial" w:hAnsi="Arial"/>
        </w:rPr>
        <w:t>2.4 Conceptual Framework and Development of Relationships</w:t>
      </w:r>
      <w:bookmarkEnd w:id="33"/>
      <w:r>
        <w:rPr>
          <w:rFonts w:ascii="Arial" w:cs="Arial" w:hAnsi="Arial"/>
        </w:rPr>
        <w:t xml:space="preserve"> </w:t>
      </w:r>
    </w:p>
    <w:bookmarkStart w:id="34" w:name="_Toc240496626"/>
    <w:p w14:paraId="116C02D9">
      <w:pPr>
        <w:pStyle w:val="style3"/>
        <w:rPr>
          <w:rFonts w:ascii="Arial" w:cs="Arial" w:hAnsi="Arial"/>
          <w:lang w:val="en-GB"/>
        </w:rPr>
      </w:pPr>
      <w:r>
        <w:rPr>
          <w:rFonts w:ascii="Arial" w:cs="Arial" w:hAnsi="Arial"/>
          <w:lang w:val="en-GB"/>
        </w:rPr>
        <w:t>2.4.1 Personalised Offer Relevance and Customer Loyalty</w:t>
      </w:r>
      <w:bookmarkEnd w:id="34"/>
    </w:p>
    <w:p w14:paraId="1B30401A">
      <w:pPr>
        <w:pStyle w:val="style0"/>
        <w:spacing w:lineRule="auto" w:line="360"/>
        <w:rPr>
          <w:rFonts w:ascii="Arial" w:cs="Arial" w:hAnsi="Arial"/>
        </w:rPr>
      </w:pPr>
      <w:r>
        <w:rPr>
          <w:rFonts w:ascii="Arial" w:cs="Arial" w:hAnsi="Arial"/>
        </w:rPr>
        <w:t xml:space="preserve">Personalised offer relevance is the degree to which the customer thinks the offer is relevant to their preferences, previous purchases, and current needs (Oancea¸2021). </w:t>
      </w:r>
      <w:r>
        <w:rPr>
          <w:rFonts w:ascii="Arial" w:cs="Arial" w:hAnsi="Arial"/>
        </w:rPr>
        <w:t>Too much information can lead to information overload and impact consumers' online reactions (Lv and Liu, 2022), and more effective personalised content can be achieved when consumers believe it is relevant to their decision context (Tam and Ho, 2006)</w:t>
      </w:r>
      <w:r>
        <w:rPr>
          <w:rFonts w:ascii="Arial" w:cs="Arial" w:hAnsi="Arial"/>
        </w:rPr>
        <w:t xml:space="preserve">. </w:t>
      </w:r>
      <w:r>
        <w:rPr>
          <w:rFonts w:ascii="Arial" w:cs="Arial" w:hAnsi="Arial"/>
        </w:rPr>
        <w:t>The effectiveness of personalisation depends on how and when personalised content is delivered (Bleier and Eisenbeiss, 2015). Additionally, consumers can have negative reactions if personalisation raises concerns about how their data has been gathered (Aguirre et al., 2015)</w:t>
      </w:r>
      <w:r>
        <w:rPr>
          <w:rFonts w:ascii="Arial" w:cs="Arial" w:hAnsi="Arial"/>
        </w:rPr>
        <w:t xml:space="preserve">. The relationship is therefore positive but </w:t>
      </w:r>
      <w:r>
        <w:rPr>
          <w:rFonts w:ascii="Arial" w:cs="Arial" w:hAnsi="Arial"/>
        </w:rPr>
        <w:t>depends on the customer's acceptance of how it is created</w:t>
      </w:r>
      <w:r>
        <w:rPr>
          <w:rFonts w:ascii="Arial" w:cs="Arial" w:hAnsi="Arial"/>
        </w:rPr>
        <w:t>.</w:t>
      </w:r>
    </w:p>
    <w:bookmarkStart w:id="35" w:name="_Toc240496627"/>
    <w:p w14:paraId="19AD776B">
      <w:pPr>
        <w:pStyle w:val="style3"/>
        <w:rPr>
          <w:rFonts w:ascii="Arial" w:cs="Arial" w:hAnsi="Arial"/>
          <w:lang w:val="en-GB"/>
        </w:rPr>
      </w:pPr>
      <w:r>
        <w:rPr>
          <w:rFonts w:ascii="Arial" w:cs="Arial" w:hAnsi="Arial"/>
          <w:lang w:val="en-GB"/>
        </w:rPr>
        <w:t>2.4.2 Perceived Reward Value and Customer Satisfaction</w:t>
      </w:r>
      <w:bookmarkEnd w:id="35"/>
      <w:r>
        <w:rPr>
          <w:rFonts w:ascii="Arial" w:cs="Arial" w:hAnsi="Arial"/>
          <w:lang w:val="en-GB"/>
        </w:rPr>
        <w:t xml:space="preserve"> </w:t>
      </w:r>
    </w:p>
    <w:p w14:paraId="2ECAFE3E">
      <w:pPr>
        <w:pStyle w:val="style0"/>
        <w:spacing w:lineRule="auto" w:line="360"/>
        <w:rPr>
          <w:rFonts w:ascii="Arial" w:cs="Arial" w:hAnsi="Arial"/>
        </w:rPr>
      </w:pPr>
      <w:r>
        <w:rPr>
          <w:rFonts w:ascii="Arial" w:cs="Arial" w:hAnsi="Arial"/>
        </w:rPr>
        <w:t>Rewards are likely to contribute to satisfaction when customers feel the rewards are commensurate with their participation in a programme and the sharing of their data (</w:t>
      </w:r>
      <w:r>
        <w:rPr>
          <w:rFonts w:ascii="Arial" w:cs="Arial" w:hAnsi="Arial"/>
        </w:rPr>
        <w:t>Söderlund and Colliander, 2015</w:t>
      </w:r>
      <w:r>
        <w:rPr>
          <w:rFonts w:ascii="Arial" w:cs="Arial" w:hAnsi="Arial"/>
        </w:rPr>
        <w:t xml:space="preserve">). </w:t>
      </w:r>
      <w:r>
        <w:rPr>
          <w:rFonts w:ascii="Arial" w:cs="Arial" w:hAnsi="Arial"/>
        </w:rPr>
        <w:t xml:space="preserve">Reward-based programmes, however, do not guarantee long-term attitudinal loyalty, as the impact of such programmes is more likely </w:t>
      </w:r>
      <w:r>
        <w:rPr>
          <w:rFonts w:ascii="Arial" w:cs="Arial" w:hAnsi="Arial"/>
        </w:rPr>
        <w:t>to drive behavioural loyalty (Belli et al., 2022), and customers' purchasing behaviour can also be shaped by their journey and rewards of competing programmes (Khodakarami, Andrew Petersen</w:t>
      </w:r>
      <w:r>
        <w:rPr>
          <w:rFonts w:ascii="Arial" w:cs="Arial" w:hAnsi="Arial"/>
        </w:rPr>
        <w:t xml:space="preserve"> </w:t>
      </w:r>
      <w:r>
        <w:rPr>
          <w:rFonts w:ascii="Arial" w:cs="Arial" w:hAnsi="Arial"/>
        </w:rPr>
        <w:t xml:space="preserve">and Venkatesan, 2024). </w:t>
      </w:r>
      <w:r>
        <w:rPr>
          <w:rFonts w:ascii="Arial" w:cs="Arial" w:hAnsi="Arial"/>
        </w:rPr>
        <w:t>Therefore, the framework does not presume that rewards automatically lead to long-term loyalt</w:t>
      </w:r>
      <w:r>
        <w:rPr>
          <w:rFonts w:ascii="Arial" w:cs="Arial" w:hAnsi="Arial"/>
        </w:rPr>
        <w:t>y</w:t>
      </w:r>
      <w:r>
        <w:rPr>
          <w:rFonts w:ascii="Arial" w:cs="Arial" w:hAnsi="Arial"/>
        </w:rPr>
        <w:t>.</w:t>
      </w:r>
    </w:p>
    <w:bookmarkStart w:id="36" w:name="_Toc240496628"/>
    <w:p w14:paraId="3C88571B">
      <w:pPr>
        <w:pStyle w:val="style3"/>
        <w:rPr>
          <w:rFonts w:ascii="Arial" w:cs="Arial" w:hAnsi="Arial"/>
          <w:lang w:val="en-GB"/>
        </w:rPr>
      </w:pPr>
      <w:r>
        <w:rPr>
          <w:rFonts w:ascii="Arial" w:cs="Arial" w:hAnsi="Arial"/>
          <w:lang w:val="en-GB"/>
        </w:rPr>
        <w:t>2.4.3 Perceived Fairness and Customer Satisfaction</w:t>
      </w:r>
      <w:bookmarkEnd w:id="36"/>
      <w:r>
        <w:rPr>
          <w:rFonts w:ascii="Arial" w:cs="Arial" w:hAnsi="Arial"/>
          <w:lang w:val="en-GB"/>
        </w:rPr>
        <w:t xml:space="preserve"> </w:t>
      </w:r>
    </w:p>
    <w:p w14:paraId="558284B1">
      <w:pPr>
        <w:pStyle w:val="style0"/>
        <w:spacing w:lineRule="auto" w:line="360"/>
        <w:rPr>
          <w:rFonts w:ascii="Arial" w:cs="Arial" w:hAnsi="Arial"/>
        </w:rPr>
      </w:pPr>
      <w:r>
        <w:rPr>
          <w:rFonts w:ascii="Arial" w:cs="Arial" w:hAnsi="Arial"/>
        </w:rPr>
        <w:t>If rewards are clearly defined and connected to the customers' purchasing behavior, they might be willing to accept other rewards (Söderlund and Colliander, 2015). However, there is a risk that customers can become dissatisfied if they feel that the rewards or the price are not fairly distributed, especially if they find out that their peers are being treated better (</w:t>
      </w:r>
      <w:r>
        <w:rPr>
          <w:rFonts w:ascii="Arial" w:cs="Arial" w:hAnsi="Arial"/>
        </w:rPr>
        <w:t>Söderlund</w:t>
      </w:r>
      <w:r>
        <w:rPr>
          <w:rFonts w:ascii="Arial" w:cs="Arial" w:hAnsi="Arial"/>
        </w:rPr>
        <w:t xml:space="preserve"> and Colliander, 2015; Richards, Liaukonyte and Streletskaya, 2016)</w:t>
      </w:r>
      <w:r>
        <w:rPr>
          <w:rFonts w:ascii="Arial" w:cs="Arial" w:hAnsi="Arial"/>
        </w:rPr>
        <w:t xml:space="preserve">. However, prior research findings are not always consistent in demonstrating </w:t>
      </w:r>
      <w:r>
        <w:rPr>
          <w:rFonts w:ascii="Arial" w:cs="Arial" w:hAnsi="Arial"/>
        </w:rPr>
        <w:t xml:space="preserve">satisfaction's mediating role </w:t>
      </w:r>
      <w:r>
        <w:rPr>
          <w:rFonts w:ascii="Arial" w:cs="Arial" w:hAnsi="Arial"/>
        </w:rPr>
        <w:t>between fairness and loyalty (</w:t>
      </w:r>
      <w:r>
        <w:rPr>
          <w:rFonts w:ascii="Arial" w:cs="Arial" w:hAnsi="Arial"/>
        </w:rPr>
        <w:t>Hride, Ferdousi and Jasimuddin, 2022</w:t>
      </w:r>
      <w:r>
        <w:rPr>
          <w:rFonts w:ascii="Arial" w:cs="Arial" w:hAnsi="Arial"/>
        </w:rPr>
        <w:t>). When customers experience unfairness, they may cut back on their purchases or switch to another retailer (</w:t>
      </w:r>
      <w:r>
        <w:rPr>
          <w:rFonts w:ascii="Arial" w:cs="Arial" w:hAnsi="Arial"/>
        </w:rPr>
        <w:t>Pizzutti dos Santos and Basso, 2012</w:t>
      </w:r>
      <w:r>
        <w:rPr>
          <w:rFonts w:ascii="Arial" w:cs="Arial" w:hAnsi="Arial"/>
        </w:rPr>
        <w:t>). The proposed model thus does not assume that the mediated relationship is necessary.</w:t>
      </w:r>
    </w:p>
    <w:bookmarkStart w:id="37" w:name="_Toc240496629"/>
    <w:p w14:paraId="0B296AFF">
      <w:pPr>
        <w:pStyle w:val="style3"/>
        <w:rPr>
          <w:rFonts w:ascii="Arial" w:cs="Arial" w:hAnsi="Arial"/>
          <w:lang w:val="en-GB"/>
        </w:rPr>
      </w:pPr>
      <w:r>
        <w:rPr>
          <w:rFonts w:ascii="Arial" w:cs="Arial" w:hAnsi="Arial"/>
          <w:lang w:val="en-GB"/>
        </w:rPr>
        <w:t>2.4.4 Customer Trust and Customer Satisfaction</w:t>
      </w:r>
      <w:bookmarkEnd w:id="37"/>
    </w:p>
    <w:p w14:paraId="4BAE233B">
      <w:pPr>
        <w:pStyle w:val="style0"/>
        <w:spacing w:lineRule="auto" w:line="360"/>
        <w:rPr>
          <w:rFonts w:ascii="Arial" w:cs="Arial" w:hAnsi="Arial"/>
        </w:rPr>
      </w:pPr>
      <w:r>
        <w:rPr>
          <w:rFonts w:ascii="Arial" w:cs="Arial" w:hAnsi="Arial"/>
        </w:rPr>
        <w:t xml:space="preserve">Trusted retailers are expected to improve customer satisfaction by reducing perceived risk and giving customers confidence that personalised offers are legitimate. </w:t>
      </w:r>
      <w:r>
        <w:rPr>
          <w:rFonts w:ascii="Arial" w:cs="Arial" w:hAnsi="Arial"/>
        </w:rPr>
        <w:t xml:space="preserve">Anshar </w:t>
      </w:r>
      <w:r>
        <w:rPr>
          <w:rFonts w:ascii="Arial" w:cs="Arial" w:hAnsi="Arial"/>
        </w:rPr>
        <w:t xml:space="preserve">(2018) found that trust directly affected loyalty and indirectly through perceived usefulness and satisfaction. This study was conducted in telecommunications, not in a grocery store, so the findings must be interpreted with care. This relationship could be particularly significant in supermarket loyalty programs where customer transaction information is provided repeatedly over a long period of time. However, satisfaction </w:t>
      </w:r>
      <w:r>
        <w:rPr>
          <w:rFonts w:ascii="Arial" w:cs="Arial" w:hAnsi="Arial"/>
        </w:rPr>
        <w:t xml:space="preserve">does not guarantee trust when </w:t>
      </w:r>
      <w:r>
        <w:rPr>
          <w:rFonts w:ascii="Arial" w:cs="Arial" w:hAnsi="Arial"/>
        </w:rPr>
        <w:t>offers are unimportant or poor. This is consistent with findings that trust is considered an independent variable rather than the sole basis for loyalty (Alisa and Agus, 2025)</w:t>
      </w:r>
      <w:r>
        <w:rPr>
          <w:rFonts w:ascii="Arial" w:cs="Arial" w:hAnsi="Arial"/>
        </w:rPr>
        <w:t>.</w:t>
      </w:r>
    </w:p>
    <w:p w14:paraId="0230EDDC">
      <w:pPr>
        <w:pStyle w:val="style0"/>
        <w:spacing w:lineRule="auto" w:line="360"/>
        <w:rPr>
          <w:rFonts w:ascii="Arial" w:cs="Arial" w:hAnsi="Arial"/>
        </w:rPr>
      </w:pPr>
    </w:p>
    <w:p w14:paraId="623EEE17">
      <w:pPr>
        <w:pStyle w:val="style0"/>
        <w:spacing w:lineRule="auto" w:line="360"/>
        <w:rPr>
          <w:rFonts w:ascii="Arial" w:cs="Arial" w:hAnsi="Arial"/>
        </w:rPr>
      </w:pPr>
    </w:p>
    <w:bookmarkStart w:id="38" w:name="_Toc240496630"/>
    <w:p w14:paraId="6912AA29">
      <w:pPr>
        <w:pStyle w:val="style3"/>
        <w:rPr>
          <w:rFonts w:ascii="Arial" w:cs="Arial" w:hAnsi="Arial"/>
          <w:lang w:val="en-GB"/>
        </w:rPr>
      </w:pPr>
      <w:r>
        <w:rPr>
          <w:rFonts w:ascii="Arial" w:cs="Arial" w:hAnsi="Arial"/>
          <w:lang w:val="en-GB"/>
        </w:rPr>
        <w:t xml:space="preserve">2.4.5 Theoretical Framework </w:t>
      </w:r>
      <w:r>
        <w:rPr>
          <w:rFonts w:ascii="Arial" w:cs="Arial" w:hAnsi="Arial"/>
          <w:noProof/>
          <w:lang w:val="en-GB"/>
        </w:rPr>
        <mc:AlternateContent>
          <mc:Choice Requires="wps">
            <w:drawing>
              <wp:anchor distT="0" distB="0" distL="0" distR="0" simplePos="false" relativeHeight="2" behindDoc="false" locked="false" layoutInCell="true" allowOverlap="true">
                <wp:simplePos x="0" y="0"/>
                <wp:positionH relativeFrom="column">
                  <wp:posOffset>-182880</wp:posOffset>
                </wp:positionH>
                <wp:positionV relativeFrom="paragraph">
                  <wp:posOffset>359410</wp:posOffset>
                </wp:positionV>
                <wp:extent cx="1653540" cy="220979"/>
                <wp:effectExtent l="0" t="0" r="22860" b="26669"/>
                <wp:wrapNone/>
                <wp:docPr id="1027" name="Rectangle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653540" cy="220979"/>
                        </a:xfrm>
                        <a:prstGeom prst="rect"/>
                        <a:solidFill>
                          <a:srgbClr val="ffffff"/>
                        </a:solidFill>
                        <a:ln cmpd="sng" cap="flat" w="12700">
                          <a:solidFill>
                            <a:srgbClr val="70ad47"/>
                          </a:solidFill>
                          <a:prstDash val="solid"/>
                          <a:miter/>
                          <a:headEnd/>
                          <a:tailEnd/>
                        </a:ln>
                      </wps:spPr>
                      <wps:txbx id="1027">
                        <w:txbxContent>
                          <w:p w14:paraId="556C3D88">
                            <w:pPr>
                              <w:pStyle w:val="style0"/>
                              <w:jc w:val="center"/>
                              <w:rPr>
                                <w:sz w:val="18"/>
                                <w:szCs w:val="18"/>
                              </w:rPr>
                            </w:pPr>
                            <w:r>
                              <w:rPr>
                                <w:sz w:val="18"/>
                                <w:szCs w:val="18"/>
                              </w:rPr>
                              <w:t xml:space="preserve">Personalised Offer Relevance </w:t>
                            </w:r>
                          </w:p>
                        </w:txbxContent>
                      </wps:txbx>
                      <wps:bodyPr lIns="91440" rIns="91440" tIns="45720" bIns="45720" vert="horz" anchor="ctr" wrap="square">
                        <a:prstTxWarp prst="textNoShape"/>
                        <a:noAutofit/>
                      </wps:bodyPr>
                    </wps:wsp>
                  </a:graphicData>
                </a:graphic>
              </wp:anchor>
            </w:drawing>
          </mc:Choice>
          <mc:Fallback>
            <w:pict>
              <v:rect id="1027" fillcolor="white" stroked="t" style="position:absolute;margin-left:-14.4pt;margin-top:28.3pt;width:130.2pt;height:17.4pt;z-index:2;mso-position-horizontal-relative:text;mso-position-vertical-relative:text;mso-width-relative:page;mso-height-relative:page;mso-wrap-distance-left:0.0pt;mso-wrap-distance-right:0.0pt;visibility:visible;v-text-anchor:middle;">
                <v:stroke joinstyle="miter" color="#70ad47" weight="1.0pt"/>
                <v:fill/>
                <v:textbox inset="7.2pt,3.6pt,7.2pt,3.6pt">
                  <w:txbxContent>
                    <w:p w14:paraId="556C3D88">
                      <w:pPr>
                        <w:pStyle w:val="style0"/>
                        <w:jc w:val="center"/>
                        <w:rPr>
                          <w:sz w:val="18"/>
                          <w:szCs w:val="18"/>
                        </w:rPr>
                      </w:pPr>
                      <w:r>
                        <w:rPr>
                          <w:sz w:val="18"/>
                          <w:szCs w:val="18"/>
                        </w:rPr>
                        <w:t xml:space="preserve">Personalised Offer Relevance </w:t>
                      </w:r>
                    </w:p>
                  </w:txbxContent>
                </v:textbox>
              </v:rect>
            </w:pict>
          </mc:Fallback>
        </mc:AlternateContent>
      </w:r>
      <w:bookmarkEnd w:id="38"/>
    </w:p>
    <w:p w14:paraId="0C16C4A2">
      <w:pPr>
        <w:pStyle w:val="style0"/>
        <w:spacing w:lineRule="auto" w:line="360"/>
        <w:jc w:val="center"/>
        <w:rPr>
          <w:rFonts w:ascii="Arial" w:cs="Arial" w:hAnsi="Arial"/>
        </w:rPr>
      </w:pPr>
    </w:p>
    <w:p w14:paraId="6082373E">
      <w:pPr>
        <w:pStyle w:val="style0"/>
        <w:spacing w:lineRule="auto" w:line="360"/>
        <w:jc w:val="center"/>
        <w:rPr>
          <w:rFonts w:ascii="Arial" w:cs="Arial" w:hAnsi="Arial"/>
        </w:rPr>
      </w:pPr>
      <w:r>
        <w:rPr>
          <w:rFonts w:ascii="Arial" w:cs="Arial" w:hAnsi="Arial"/>
          <w:noProof/>
        </w:rPr>
        <mc:AlternateContent>
          <mc:Choice Requires="wps">
            <w:drawing>
              <wp:anchor distT="0" distB="0" distL="0" distR="0" simplePos="false" relativeHeight="9" behindDoc="false" locked="false" layoutInCell="true" allowOverlap="true">
                <wp:simplePos x="0" y="0"/>
                <wp:positionH relativeFrom="margin">
                  <wp:posOffset>4968240</wp:posOffset>
                </wp:positionH>
                <wp:positionV relativeFrom="paragraph">
                  <wp:posOffset>171450</wp:posOffset>
                </wp:positionV>
                <wp:extent cx="1653540" cy="220980"/>
                <wp:effectExtent l="0" t="0" r="22860" b="26669"/>
                <wp:wrapNone/>
                <wp:docPr id="1028" name="Rectangle 8"/>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653540" cy="220980"/>
                        </a:xfrm>
                        <a:prstGeom prst="rect"/>
                        <a:solidFill>
                          <a:srgbClr val="ffffff"/>
                        </a:solidFill>
                        <a:ln cmpd="sng" cap="flat" w="12700">
                          <a:solidFill>
                            <a:srgbClr val="70ad47"/>
                          </a:solidFill>
                          <a:prstDash val="solid"/>
                          <a:miter/>
                          <a:headEnd/>
                          <a:tailEnd/>
                        </a:ln>
                      </wps:spPr>
                      <wps:txbx id="1028">
                        <w:txbxContent>
                          <w:p w14:paraId="64066A03">
                            <w:pPr>
                              <w:pStyle w:val="style0"/>
                              <w:jc w:val="center"/>
                              <w:rPr>
                                <w:sz w:val="18"/>
                                <w:szCs w:val="18"/>
                              </w:rPr>
                            </w:pPr>
                            <w:r>
                              <w:rPr>
                                <w:sz w:val="18"/>
                                <w:szCs w:val="18"/>
                              </w:rPr>
                              <w:t>Customer Loyalty</w:t>
                            </w:r>
                          </w:p>
                        </w:txbxContent>
                      </wps:txbx>
                      <wps:bodyPr lIns="91440" rIns="91440" tIns="45720" bIns="45720" vert="horz" anchor="ctr" wrap="square">
                        <a:prstTxWarp prst="textNoShape"/>
                        <a:noAutofit/>
                      </wps:bodyPr>
                    </wps:wsp>
                  </a:graphicData>
                </a:graphic>
              </wp:anchor>
            </w:drawing>
          </mc:Choice>
          <mc:Fallback>
            <w:pict>
              <v:rect id="1028" fillcolor="white" stroked="t" style="position:absolute;margin-left:391.2pt;margin-top:13.5pt;width:130.2pt;height:17.4pt;z-index:9;mso-position-horizontal-relative:margin;mso-position-vertical-relative:text;mso-width-relative:page;mso-height-relative:page;mso-wrap-distance-left:0.0pt;mso-wrap-distance-right:0.0pt;visibility:visible;v-text-anchor:middle;">
                <v:stroke joinstyle="miter" color="#70ad47" weight="1.0pt"/>
                <v:fill/>
                <v:textbox inset="7.2pt,3.6pt,7.2pt,3.6pt">
                  <w:txbxContent>
                    <w:p w14:paraId="64066A03">
                      <w:pPr>
                        <w:pStyle w:val="style0"/>
                        <w:jc w:val="center"/>
                        <w:rPr>
                          <w:sz w:val="18"/>
                          <w:szCs w:val="18"/>
                        </w:rPr>
                      </w:pPr>
                      <w:r>
                        <w:rPr>
                          <w:sz w:val="18"/>
                          <w:szCs w:val="18"/>
                        </w:rPr>
                        <w:t>Customer Loyalty</w:t>
                      </w:r>
                    </w:p>
                  </w:txbxContent>
                </v:textbox>
              </v:rect>
            </w:pict>
          </mc:Fallback>
        </mc:AlternateContent>
      </w:r>
      <w:r>
        <w:rPr>
          <w:rFonts w:ascii="Arial" w:cs="Arial" w:hAnsi="Arial"/>
          <w:noProof/>
        </w:rPr>
        <mc:AlternateContent>
          <mc:Choice Requires="wps">
            <w:drawing>
              <wp:anchor distT="0" distB="0" distL="0" distR="0" simplePos="false" relativeHeight="6" behindDoc="false" locked="false" layoutInCell="true" allowOverlap="true">
                <wp:simplePos x="0" y="0"/>
                <wp:positionH relativeFrom="column">
                  <wp:posOffset>1630680</wp:posOffset>
                </wp:positionH>
                <wp:positionV relativeFrom="paragraph">
                  <wp:posOffset>22860</wp:posOffset>
                </wp:positionV>
                <wp:extent cx="754379" cy="693420"/>
                <wp:effectExtent l="0" t="19050" r="45720" b="30480"/>
                <wp:wrapNone/>
                <wp:docPr id="1029" name="Arrow: Right 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754379" cy="693420"/>
                        </a:xfrm>
                        <a:prstGeom prst="rightArrow"/>
                        <a:solidFill>
                          <a:srgbClr val="4472c4"/>
                        </a:solidFill>
                        <a:ln cmpd="sng" cap="flat" w="12700">
                          <a:solidFill>
                            <a:srgbClr val="31538f"/>
                          </a:solidFill>
                          <a:prstDash val="solid"/>
                          <a:miter/>
                          <a:headEnd/>
                          <a:tailEnd/>
                        </a:ln>
                      </wps:spPr>
                      <wps:bodyPr>
                        <a:prstTxWarp prst="textNoShape"/>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1029" type="#_x0000_t13" adj="11673,5400," fillcolor="#4472c4" style="position:absolute;margin-left:128.4pt;margin-top:1.8pt;width:59.4pt;height:54.6pt;z-index:6;mso-position-horizontal-relative:text;mso-position-vertical-relative:text;mso-width-percent:0;mso-height-percent:0;mso-width-relative:margin;mso-height-relative:margin;mso-wrap-distance-left:0.0pt;mso-wrap-distance-right:0.0pt;visibility:visible;">
                <v:stroke joinstyle="miter" color="#31538f" weight="1.0pt"/>
                <v:fill/>
              </v:shape>
            </w:pict>
          </mc:Fallback>
        </mc:AlternateContent>
      </w:r>
      <w:r>
        <w:rPr>
          <w:rFonts w:ascii="Arial" w:cs="Arial" w:hAnsi="Arial"/>
          <w:noProof/>
        </w:rPr>
        <mc:AlternateContent>
          <mc:Choice Requires="wps">
            <w:drawing>
              <wp:anchor distT="0" distB="0" distL="0" distR="0" simplePos="false" relativeHeight="8" behindDoc="false" locked="false" layoutInCell="true" allowOverlap="true">
                <wp:simplePos x="0" y="0"/>
                <wp:positionH relativeFrom="column">
                  <wp:posOffset>4191000</wp:posOffset>
                </wp:positionH>
                <wp:positionV relativeFrom="paragraph">
                  <wp:posOffset>26669</wp:posOffset>
                </wp:positionV>
                <wp:extent cx="655320" cy="594360"/>
                <wp:effectExtent l="0" t="19050" r="30480" b="34290"/>
                <wp:wrapNone/>
                <wp:docPr id="1030" name="Arrow: Right 7"/>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655320" cy="594360"/>
                        </a:xfrm>
                        <a:prstGeom prst="rightArrow"/>
                        <a:solidFill>
                          <a:srgbClr val="4472c4"/>
                        </a:solidFill>
                        <a:ln cmpd="sng" cap="flat" w="12700">
                          <a:solidFill>
                            <a:srgbClr val="31538f"/>
                          </a:solidFill>
                          <a:prstDash val="solid"/>
                          <a:miter/>
                          <a:headEnd/>
                          <a:tailEnd/>
                        </a:ln>
                      </wps:spPr>
                      <wps:bodyPr>
                        <a:prstTxWarp prst="textNoShape"/>
                      </wps:bodyPr>
                    </wps:wsp>
                  </a:graphicData>
                </a:graphic>
                <wp14:sizeRelH relativeFrom="margin">
                  <wp14:pctWidth>0</wp14:pctWidth>
                </wp14:sizeRelH>
                <wp14:sizeRelV relativeFrom="margin">
                  <wp14:pctHeight>0</wp14:pctHeight>
                </wp14:sizeRelV>
              </wp:anchor>
            </w:drawing>
          </mc:Choice>
          <mc:Fallback>
            <w:pict>
              <v:shape id="1030" type="#_x0000_t13" adj="11805,5400," fillcolor="#4472c4" style="position:absolute;margin-left:330.0pt;margin-top:2.1pt;width:51.6pt;height:46.8pt;z-index:8;mso-position-horizontal-relative:text;mso-position-vertical-relative:text;mso-width-percent:0;mso-height-percent:0;mso-width-relative:margin;mso-height-relative:margin;mso-wrap-distance-left:0.0pt;mso-wrap-distance-right:0.0pt;visibility:visible;">
                <v:stroke joinstyle="miter" color="#31538f" weight="1.0pt"/>
                <v:fill/>
              </v:shape>
            </w:pict>
          </mc:Fallback>
        </mc:AlternateContent>
      </w:r>
      <w:r>
        <w:rPr>
          <w:rFonts w:ascii="Arial" w:cs="Arial" w:hAnsi="Arial"/>
          <w:noProof/>
        </w:rPr>
        <mc:AlternateContent>
          <mc:Choice Requires="wps">
            <w:drawing>
              <wp:anchor distT="0" distB="0" distL="0" distR="0" simplePos="false" relativeHeight="7" behindDoc="false" locked="false" layoutInCell="true" allowOverlap="true">
                <wp:simplePos x="0" y="0"/>
                <wp:positionH relativeFrom="margin">
                  <wp:posOffset>2453640</wp:posOffset>
                </wp:positionH>
                <wp:positionV relativeFrom="paragraph">
                  <wp:posOffset>217170</wp:posOffset>
                </wp:positionV>
                <wp:extent cx="1653540" cy="220980"/>
                <wp:effectExtent l="0" t="0" r="22860" b="26669"/>
                <wp:wrapNone/>
                <wp:docPr id="1031" name="Rectangle 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653540" cy="220980"/>
                        </a:xfrm>
                        <a:prstGeom prst="rect"/>
                        <a:solidFill>
                          <a:srgbClr val="ffffff"/>
                        </a:solidFill>
                        <a:ln cmpd="sng" cap="flat" w="12700">
                          <a:solidFill>
                            <a:srgbClr val="70ad47"/>
                          </a:solidFill>
                          <a:prstDash val="solid"/>
                          <a:miter/>
                          <a:headEnd/>
                          <a:tailEnd/>
                        </a:ln>
                      </wps:spPr>
                      <wps:txbx id="1031">
                        <w:txbxContent>
                          <w:p w14:paraId="46DCCC80">
                            <w:pPr>
                              <w:pStyle w:val="style0"/>
                              <w:jc w:val="center"/>
                              <w:rPr>
                                <w:sz w:val="18"/>
                                <w:szCs w:val="18"/>
                              </w:rPr>
                            </w:pPr>
                            <w:r>
                              <w:rPr>
                                <w:sz w:val="18"/>
                                <w:szCs w:val="18"/>
                              </w:rPr>
                              <w:t xml:space="preserve">Customer Trust </w:t>
                            </w:r>
                            <w:r>
                              <w:rPr>
                                <w:sz w:val="18"/>
                                <w:szCs w:val="18"/>
                              </w:rPr>
                              <w:t xml:space="preserve"> </w:t>
                            </w:r>
                          </w:p>
                        </w:txbxContent>
                      </wps:txbx>
                      <wps:bodyPr lIns="91440" rIns="91440" tIns="45720" bIns="45720" vert="horz" anchor="ctr" wrap="square">
                        <a:prstTxWarp prst="textNoShape"/>
                        <a:noAutofit/>
                      </wps:bodyPr>
                    </wps:wsp>
                  </a:graphicData>
                </a:graphic>
              </wp:anchor>
            </w:drawing>
          </mc:Choice>
          <mc:Fallback>
            <w:pict>
              <v:rect id="1031" fillcolor="white" stroked="t" style="position:absolute;margin-left:193.2pt;margin-top:17.1pt;width:130.2pt;height:17.4pt;z-index:7;mso-position-horizontal-relative:margin;mso-position-vertical-relative:text;mso-width-relative:page;mso-height-relative:page;mso-wrap-distance-left:0.0pt;mso-wrap-distance-right:0.0pt;visibility:visible;v-text-anchor:middle;">
                <v:stroke joinstyle="miter" color="#70ad47" weight="1.0pt"/>
                <v:fill/>
                <v:textbox inset="7.2pt,3.6pt,7.2pt,3.6pt">
                  <w:txbxContent>
                    <w:p w14:paraId="46DCCC80">
                      <w:pPr>
                        <w:pStyle w:val="style0"/>
                        <w:jc w:val="center"/>
                        <w:rPr>
                          <w:sz w:val="18"/>
                          <w:szCs w:val="18"/>
                        </w:rPr>
                      </w:pPr>
                      <w:r>
                        <w:rPr>
                          <w:sz w:val="18"/>
                          <w:szCs w:val="18"/>
                        </w:rPr>
                        <w:t xml:space="preserve">Customer Trust </w:t>
                      </w:r>
                      <w:r>
                        <w:rPr>
                          <w:sz w:val="18"/>
                          <w:szCs w:val="18"/>
                        </w:rPr>
                        <w:t xml:space="preserve"> </w:t>
                      </w:r>
                    </w:p>
                  </w:txbxContent>
                </v:textbox>
              </v:rect>
            </w:pict>
          </mc:Fallback>
        </mc:AlternateContent>
      </w:r>
      <w:r>
        <w:rPr>
          <w:rFonts w:ascii="Arial" w:cs="Arial" w:hAnsi="Arial"/>
          <w:noProof/>
        </w:rPr>
        <mc:AlternateContent>
          <mc:Choice Requires="wps">
            <w:drawing>
              <wp:anchor distT="0" distB="0" distL="0" distR="0" simplePos="false" relativeHeight="4" behindDoc="false" locked="false" layoutInCell="true" allowOverlap="true">
                <wp:simplePos x="0" y="0"/>
                <wp:positionH relativeFrom="margin">
                  <wp:posOffset>-160020</wp:posOffset>
                </wp:positionH>
                <wp:positionV relativeFrom="paragraph">
                  <wp:posOffset>49530</wp:posOffset>
                </wp:positionV>
                <wp:extent cx="1653540" cy="220980"/>
                <wp:effectExtent l="0" t="0" r="22860" b="26669"/>
                <wp:wrapNone/>
                <wp:docPr id="1032" name="Rectangle 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653540" cy="220980"/>
                        </a:xfrm>
                        <a:prstGeom prst="rect"/>
                        <a:solidFill>
                          <a:srgbClr val="ffffff"/>
                        </a:solidFill>
                        <a:ln cmpd="sng" cap="flat" w="12700">
                          <a:solidFill>
                            <a:srgbClr val="70ad47"/>
                          </a:solidFill>
                          <a:prstDash val="solid"/>
                          <a:miter/>
                          <a:headEnd/>
                          <a:tailEnd/>
                        </a:ln>
                      </wps:spPr>
                      <wps:txbx id="1032">
                        <w:txbxContent>
                          <w:p w14:paraId="0F556142">
                            <w:pPr>
                              <w:pStyle w:val="style0"/>
                              <w:jc w:val="center"/>
                              <w:rPr>
                                <w:sz w:val="18"/>
                                <w:szCs w:val="18"/>
                              </w:rPr>
                            </w:pPr>
                            <w:r>
                              <w:rPr>
                                <w:sz w:val="18"/>
                                <w:szCs w:val="18"/>
                              </w:rPr>
                              <w:t xml:space="preserve">Perceived Reward Value </w:t>
                            </w:r>
                          </w:p>
                        </w:txbxContent>
                      </wps:txbx>
                      <wps:bodyPr lIns="91440" rIns="91440" tIns="45720" bIns="45720" vert="horz" anchor="ctr" wrap="square">
                        <a:prstTxWarp prst="textNoShape"/>
                        <a:noAutofit/>
                      </wps:bodyPr>
                    </wps:wsp>
                  </a:graphicData>
                </a:graphic>
              </wp:anchor>
            </w:drawing>
          </mc:Choice>
          <mc:Fallback>
            <w:pict>
              <v:rect id="1032" fillcolor="white" stroked="t" style="position:absolute;margin-left:-12.6pt;margin-top:3.9pt;width:130.2pt;height:17.4pt;z-index:4;mso-position-horizontal-relative:margin;mso-position-vertical-relative:text;mso-width-relative:page;mso-height-relative:page;mso-wrap-distance-left:0.0pt;mso-wrap-distance-right:0.0pt;visibility:visible;v-text-anchor:middle;">
                <v:stroke joinstyle="miter" color="#70ad47" weight="1.0pt"/>
                <v:fill/>
                <v:textbox inset="7.2pt,3.6pt,7.2pt,3.6pt">
                  <w:txbxContent>
                    <w:p w14:paraId="0F556142">
                      <w:pPr>
                        <w:pStyle w:val="style0"/>
                        <w:jc w:val="center"/>
                        <w:rPr>
                          <w:sz w:val="18"/>
                          <w:szCs w:val="18"/>
                        </w:rPr>
                      </w:pPr>
                      <w:r>
                        <w:rPr>
                          <w:sz w:val="18"/>
                          <w:szCs w:val="18"/>
                        </w:rPr>
                        <w:t xml:space="preserve">Perceived Reward Value </w:t>
                      </w:r>
                    </w:p>
                  </w:txbxContent>
                </v:textbox>
              </v:rect>
            </w:pict>
          </mc:Fallback>
        </mc:AlternateContent>
      </w:r>
    </w:p>
    <w:p w14:paraId="7E8E2ECB">
      <w:pPr>
        <w:pStyle w:val="style0"/>
        <w:spacing w:lineRule="auto" w:line="360"/>
        <w:jc w:val="center"/>
        <w:rPr>
          <w:rFonts w:ascii="Arial" w:cs="Arial" w:hAnsi="Arial"/>
        </w:rPr>
      </w:pPr>
      <w:r>
        <w:rPr>
          <w:rFonts w:ascii="Arial" w:cs="Arial" w:hAnsi="Arial"/>
          <w:noProof/>
        </w:rPr>
        <mc:AlternateContent>
          <mc:Choice Requires="wps">
            <w:drawing>
              <wp:anchor distT="0" distB="0" distL="0" distR="0" simplePos="false" relativeHeight="3" behindDoc="false" locked="false" layoutInCell="true" allowOverlap="true">
                <wp:simplePos x="0" y="0"/>
                <wp:positionH relativeFrom="column">
                  <wp:posOffset>-160020</wp:posOffset>
                </wp:positionH>
                <wp:positionV relativeFrom="paragraph">
                  <wp:posOffset>111760</wp:posOffset>
                </wp:positionV>
                <wp:extent cx="1653540" cy="220980"/>
                <wp:effectExtent l="0" t="0" r="22860" b="26669"/>
                <wp:wrapNone/>
                <wp:docPr id="1033" name="Rectangle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653540" cy="220980"/>
                        </a:xfrm>
                        <a:prstGeom prst="rect"/>
                        <a:solidFill>
                          <a:srgbClr val="ffffff"/>
                        </a:solidFill>
                        <a:ln cmpd="sng" cap="flat" w="12700">
                          <a:solidFill>
                            <a:srgbClr val="70ad47"/>
                          </a:solidFill>
                          <a:prstDash val="solid"/>
                          <a:miter/>
                          <a:headEnd/>
                          <a:tailEnd/>
                        </a:ln>
                      </wps:spPr>
                      <wps:txbx id="1033">
                        <w:txbxContent>
                          <w:p w14:paraId="3DED5D1E">
                            <w:pPr>
                              <w:pStyle w:val="style0"/>
                              <w:jc w:val="center"/>
                              <w:rPr>
                                <w:sz w:val="18"/>
                                <w:szCs w:val="18"/>
                              </w:rPr>
                            </w:pPr>
                            <w:r>
                              <w:rPr>
                                <w:sz w:val="18"/>
                                <w:szCs w:val="18"/>
                              </w:rPr>
                              <w:t>Perc</w:t>
                            </w:r>
                            <w:r>
                              <w:rPr>
                                <w:sz w:val="18"/>
                                <w:szCs w:val="18"/>
                              </w:rPr>
                              <w:t>e</w:t>
                            </w:r>
                            <w:r>
                              <w:rPr>
                                <w:sz w:val="18"/>
                                <w:szCs w:val="18"/>
                              </w:rPr>
                              <w:t>ived Fairness</w:t>
                            </w:r>
                          </w:p>
                        </w:txbxContent>
                      </wps:txbx>
                      <wps:bodyPr lIns="91440" rIns="91440" tIns="45720" bIns="45720" vert="horz" anchor="ctr" wrap="square">
                        <a:prstTxWarp prst="textNoShape"/>
                        <a:noAutofit/>
                      </wps:bodyPr>
                    </wps:wsp>
                  </a:graphicData>
                </a:graphic>
              </wp:anchor>
            </w:drawing>
          </mc:Choice>
          <mc:Fallback>
            <w:pict>
              <v:rect id="1033" fillcolor="white" stroked="t" style="position:absolute;margin-left:-12.6pt;margin-top:8.8pt;width:130.2pt;height:17.4pt;z-index:3;mso-position-horizontal-relative:text;mso-position-vertical-relative:text;mso-width-relative:page;mso-height-relative:page;mso-wrap-distance-left:0.0pt;mso-wrap-distance-right:0.0pt;visibility:visible;v-text-anchor:middle;">
                <v:stroke joinstyle="miter" color="#70ad47" weight="1.0pt"/>
                <v:fill/>
                <v:textbox inset="7.2pt,3.6pt,7.2pt,3.6pt">
                  <w:txbxContent>
                    <w:p w14:paraId="3DED5D1E">
                      <w:pPr>
                        <w:pStyle w:val="style0"/>
                        <w:jc w:val="center"/>
                        <w:rPr>
                          <w:sz w:val="18"/>
                          <w:szCs w:val="18"/>
                        </w:rPr>
                      </w:pPr>
                      <w:r>
                        <w:rPr>
                          <w:sz w:val="18"/>
                          <w:szCs w:val="18"/>
                        </w:rPr>
                        <w:t>Perc</w:t>
                      </w:r>
                      <w:r>
                        <w:rPr>
                          <w:sz w:val="18"/>
                          <w:szCs w:val="18"/>
                        </w:rPr>
                        <w:t>e</w:t>
                      </w:r>
                      <w:r>
                        <w:rPr>
                          <w:sz w:val="18"/>
                          <w:szCs w:val="18"/>
                        </w:rPr>
                        <w:t>ived Fairness</w:t>
                      </w:r>
                    </w:p>
                  </w:txbxContent>
                </v:textbox>
              </v:rect>
            </w:pict>
          </mc:Fallback>
        </mc:AlternateContent>
      </w:r>
    </w:p>
    <w:p w14:paraId="2FA629D1">
      <w:pPr>
        <w:pStyle w:val="style0"/>
        <w:spacing w:lineRule="auto" w:line="360"/>
        <w:jc w:val="center"/>
        <w:rPr>
          <w:rFonts w:ascii="Arial" w:cs="Arial" w:hAnsi="Arial"/>
        </w:rPr>
      </w:pPr>
      <w:r>
        <w:rPr>
          <w:rFonts w:ascii="Arial" w:cs="Arial" w:hAnsi="Arial"/>
          <w:noProof/>
        </w:rPr>
        <mc:AlternateContent>
          <mc:Choice Requires="wps">
            <w:drawing>
              <wp:anchor distT="0" distB="0" distL="0" distR="0" simplePos="false" relativeHeight="5" behindDoc="false" locked="false" layoutInCell="true" allowOverlap="true">
                <wp:simplePos x="0" y="0"/>
                <wp:positionH relativeFrom="column">
                  <wp:posOffset>-182880</wp:posOffset>
                </wp:positionH>
                <wp:positionV relativeFrom="paragraph">
                  <wp:posOffset>212090</wp:posOffset>
                </wp:positionV>
                <wp:extent cx="1653540" cy="220979"/>
                <wp:effectExtent l="0" t="0" r="22860" b="26669"/>
                <wp:wrapNone/>
                <wp:docPr id="1034" name="Rectangle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653540" cy="220979"/>
                        </a:xfrm>
                        <a:prstGeom prst="rect"/>
                        <a:solidFill>
                          <a:srgbClr val="ffffff"/>
                        </a:solidFill>
                        <a:ln cmpd="sng" cap="flat" w="12700">
                          <a:solidFill>
                            <a:srgbClr val="70ad47"/>
                          </a:solidFill>
                          <a:prstDash val="solid"/>
                          <a:miter/>
                          <a:headEnd/>
                          <a:tailEnd/>
                        </a:ln>
                      </wps:spPr>
                      <wps:txbx id="1034">
                        <w:txbxContent>
                          <w:p w14:paraId="400F298D">
                            <w:pPr>
                              <w:pStyle w:val="style0"/>
                              <w:jc w:val="center"/>
                              <w:rPr>
                                <w:sz w:val="18"/>
                                <w:szCs w:val="18"/>
                              </w:rPr>
                            </w:pPr>
                            <w:r>
                              <w:rPr>
                                <w:sz w:val="18"/>
                                <w:szCs w:val="18"/>
                              </w:rPr>
                              <w:t>Customer Trust</w:t>
                            </w:r>
                          </w:p>
                        </w:txbxContent>
                      </wps:txbx>
                      <wps:bodyPr lIns="91440" rIns="91440" tIns="45720" bIns="45720" vert="horz" anchor="ctr" wrap="square">
                        <a:prstTxWarp prst="textNoShape"/>
                        <a:noAutofit/>
                      </wps:bodyPr>
                    </wps:wsp>
                  </a:graphicData>
                </a:graphic>
              </wp:anchor>
            </w:drawing>
          </mc:Choice>
          <mc:Fallback>
            <w:pict>
              <v:rect id="1034" fillcolor="white" stroked="t" style="position:absolute;margin-left:-14.4pt;margin-top:16.7pt;width:130.2pt;height:17.4pt;z-index:5;mso-position-horizontal-relative:text;mso-position-vertical-relative:text;mso-width-relative:page;mso-height-relative:page;mso-wrap-distance-left:0.0pt;mso-wrap-distance-right:0.0pt;visibility:visible;v-text-anchor:middle;">
                <v:stroke joinstyle="miter" color="#70ad47" weight="1.0pt"/>
                <v:fill/>
                <v:textbox inset="7.2pt,3.6pt,7.2pt,3.6pt">
                  <w:txbxContent>
                    <w:p w14:paraId="400F298D">
                      <w:pPr>
                        <w:pStyle w:val="style0"/>
                        <w:jc w:val="center"/>
                        <w:rPr>
                          <w:sz w:val="18"/>
                          <w:szCs w:val="18"/>
                        </w:rPr>
                      </w:pPr>
                      <w:r>
                        <w:rPr>
                          <w:sz w:val="18"/>
                          <w:szCs w:val="18"/>
                        </w:rPr>
                        <w:t>Customer Trust</w:t>
                      </w:r>
                    </w:p>
                  </w:txbxContent>
                </v:textbox>
              </v:rect>
            </w:pict>
          </mc:Fallback>
        </mc:AlternateContent>
      </w:r>
    </w:p>
    <w:p w14:paraId="149F0B5F">
      <w:pPr>
        <w:pStyle w:val="style0"/>
        <w:spacing w:lineRule="auto" w:line="360"/>
        <w:jc w:val="center"/>
        <w:rPr>
          <w:rFonts w:ascii="Arial" w:cs="Arial" w:hAnsi="Arial"/>
        </w:rPr>
      </w:pPr>
    </w:p>
    <w:bookmarkStart w:id="39" w:name="_Toc240449020"/>
    <w:p w14:paraId="5BDEE968">
      <w:pPr>
        <w:pStyle w:val="style34"/>
        <w:spacing w:lineRule="auto" w:line="360"/>
        <w:jc w:val="center"/>
        <w:rPr>
          <w:rFonts w:ascii="Arial" w:cs="Arial" w:hAnsi="Arial"/>
          <w:i w:val="false"/>
          <w:iCs w:val="false"/>
          <w:color w:val="auto"/>
          <w:sz w:val="24"/>
          <w:szCs w:val="24"/>
        </w:rPr>
      </w:pPr>
      <w:r>
        <w:rPr>
          <w:rFonts w:ascii="Arial" w:cs="Arial" w:hAnsi="Arial"/>
          <w:i w:val="false"/>
          <w:iCs w:val="false"/>
          <w:color w:val="auto"/>
          <w:sz w:val="24"/>
          <w:szCs w:val="24"/>
        </w:rPr>
        <w:t xml:space="preserve">Figure </w:t>
      </w:r>
      <w:r>
        <w:rPr>
          <w:rFonts w:ascii="Arial" w:cs="Arial" w:hAnsi="Arial"/>
          <w:i w:val="false"/>
          <w:iCs w:val="false"/>
          <w:color w:val="auto"/>
          <w:sz w:val="24"/>
          <w:szCs w:val="24"/>
        </w:rPr>
        <w:fldChar w:fldCharType="begin"/>
      </w:r>
      <w:r>
        <w:rPr>
          <w:rFonts w:ascii="Arial" w:cs="Arial" w:hAnsi="Arial"/>
          <w:i w:val="false"/>
          <w:iCs w:val="false"/>
          <w:color w:val="auto"/>
          <w:sz w:val="24"/>
          <w:szCs w:val="24"/>
        </w:rPr>
        <w:instrText xml:space="preserve"> SEQ Figure \* ARABIC </w:instrText>
      </w:r>
      <w:r>
        <w:rPr>
          <w:rFonts w:ascii="Arial" w:cs="Arial" w:hAnsi="Arial"/>
          <w:i w:val="false"/>
          <w:iCs w:val="false"/>
          <w:color w:val="auto"/>
          <w:sz w:val="24"/>
          <w:szCs w:val="24"/>
        </w:rPr>
        <w:fldChar w:fldCharType="separate"/>
      </w:r>
      <w:r>
        <w:rPr>
          <w:rFonts w:ascii="Arial" w:cs="Arial" w:hAnsi="Arial"/>
          <w:i w:val="false"/>
          <w:iCs w:val="false"/>
          <w:noProof/>
          <w:color w:val="auto"/>
          <w:sz w:val="24"/>
          <w:szCs w:val="24"/>
        </w:rPr>
        <w:t>1</w:t>
      </w:r>
      <w:r>
        <w:rPr>
          <w:rFonts w:ascii="Arial" w:cs="Arial" w:hAnsi="Arial"/>
          <w:i w:val="false"/>
          <w:iCs w:val="false"/>
          <w:color w:val="auto"/>
          <w:sz w:val="24"/>
          <w:szCs w:val="24"/>
        </w:rPr>
        <w:fldChar w:fldCharType="end"/>
      </w:r>
      <w:r>
        <w:rPr>
          <w:rFonts w:ascii="Arial" w:cs="Arial" w:hAnsi="Arial"/>
          <w:i w:val="false"/>
          <w:iCs w:val="false"/>
          <w:color w:val="auto"/>
          <w:sz w:val="24"/>
          <w:szCs w:val="24"/>
        </w:rPr>
        <w:t>:Theoretical Framework</w:t>
      </w:r>
      <w:bookmarkEnd w:id="39"/>
    </w:p>
    <w:p w14:paraId="4887A2A3">
      <w:pPr>
        <w:pStyle w:val="style0"/>
        <w:spacing w:lineRule="auto" w:line="360"/>
        <w:rPr>
          <w:rFonts w:ascii="Arial" w:cs="Arial" w:hAnsi="Arial"/>
        </w:rPr>
      </w:pPr>
      <w:r>
        <w:rPr>
          <w:rFonts w:ascii="Arial" w:cs="Arial" w:hAnsi="Arial"/>
        </w:rPr>
        <w:t>The theoretical framework consists of four independent variables, namely: personalised offer relevance, perceived reward value, perceived fairness and customer trust, mediated by customer satisfaction and customer loyalty as the dependent variable. The framework was not directly taken from a single existing study, but was designed by combining the relationships found in the literature, and tailoring them to the setting of UK grocery loyalty programmes.</w:t>
      </w:r>
    </w:p>
    <w:p w14:paraId="55E36E39">
      <w:pPr>
        <w:pStyle w:val="style0"/>
        <w:spacing w:lineRule="auto" w:line="360"/>
        <w:rPr>
          <w:rFonts w:ascii="Arial" w:cs="Arial" w:hAnsi="Arial"/>
        </w:rPr>
      </w:pPr>
      <w:r>
        <w:rPr>
          <w:rFonts w:ascii="Arial" w:cs="Arial" w:hAnsi="Arial"/>
        </w:rPr>
        <w:t xml:space="preserve">The inclusion of personalised offer relevance arose as relevant and timely offers can make customers feel understood, which can enhance their satisfaction and loyalty (Oancea, 2021). Perceived reward value was obtained from a study that revealed that when the reward value has an economic or non-economic impact on the customer, they become more satisfied and more involved with the brand (Leppäniemi, Karjaluoto and Saarijärvi, 2017; Meyer-Waarden, Bruwer and Galan, 2023). Perceived fairness was incorporated because clear and fair pricing can affect satisfaction, trust and loyalty, and unfair pricing differences can trigger negative responses from customers (Hufnagel, Schwaiger and Weritz, 2022; Hride, Ferdousi and Jasimuddin, 2022). </w:t>
      </w:r>
      <w:r>
        <w:rPr>
          <w:rFonts w:ascii="Arial" w:cs="Arial" w:hAnsi="Arial"/>
        </w:rPr>
        <w:t>Commitment–Trust Theory underpins customer trust, and previous research indicates that trust in the retailer and in its handling of customer data can positively affect</w:t>
      </w:r>
      <w:r>
        <w:rPr>
          <w:rFonts w:ascii="Arial" w:cs="Arial" w:hAnsi="Arial"/>
        </w:rPr>
        <w:t xml:space="preserve"> satisfaction and loyalty (Bleier and Eisenbeiss, 2015; Hassan, Abdelraouf and El-Shihy, 2025).</w:t>
      </w:r>
      <w:r>
        <w:rPr>
          <w:rFonts w:ascii="Arial" w:cs="Arial" w:hAnsi="Arial"/>
        </w:rPr>
        <w:t xml:space="preserve"> </w:t>
      </w:r>
      <w:r>
        <w:rPr>
          <w:rFonts w:ascii="Arial" w:cs="Arial" w:hAnsi="Arial"/>
        </w:rPr>
        <w:t>The framework thus ties the theoretical arguments presented in this chapter with the quantitative methodology presented in Chapter 3.</w:t>
      </w:r>
    </w:p>
    <w:bookmarkStart w:id="40" w:name="_Toc240496631"/>
    <w:p w14:paraId="0D2BEE02">
      <w:pPr>
        <w:pStyle w:val="style2"/>
        <w:spacing w:lineRule="auto" w:line="360"/>
        <w:rPr>
          <w:rFonts w:ascii="Arial" w:cs="Arial" w:hAnsi="Arial"/>
        </w:rPr>
      </w:pPr>
      <w:r>
        <w:rPr>
          <w:rFonts w:ascii="Arial" w:cs="Arial" w:hAnsi="Arial"/>
        </w:rPr>
        <w:t>2.5 Research Gap</w:t>
      </w:r>
      <w:bookmarkEnd w:id="40"/>
    </w:p>
    <w:p w14:paraId="677127C3">
      <w:pPr>
        <w:pStyle w:val="style0"/>
        <w:spacing w:lineRule="auto" w:line="360"/>
        <w:rPr>
          <w:rFonts w:ascii="Arial" w:cs="Arial" w:hAnsi="Arial"/>
        </w:rPr>
      </w:pPr>
      <w:r>
        <w:rPr>
          <w:rFonts w:ascii="Arial" w:cs="Arial" w:hAnsi="Arial"/>
        </w:rPr>
        <w:t>While significant insights exist on personalised offers, loyalty programmes, and customer relationship management, some questions remain unanswered. The first gap concerns the fragmentation of loyalty-determinant analysis. Much past research focuses on personalisation, perceived value, fairness, trust, satisfaction, and loyalty individually, rather than in a unified model. As such, there is a lack of understanding of the relative and combined effect these factors have on customer loyalty</w:t>
      </w:r>
      <w:r>
        <w:rPr>
          <w:rFonts w:ascii="Arial" w:cs="Arial" w:hAnsi="Arial"/>
        </w:rPr>
        <w:t xml:space="preserve">. </w:t>
      </w:r>
      <w:r>
        <w:rPr>
          <w:rFonts w:ascii="Arial" w:cs="Arial" w:hAnsi="Arial"/>
        </w:rPr>
        <w:t xml:space="preserve"> This study tackles this problem by integrating the concepts of personalised offer relevance, perceived value of the rewards, perceived fairness and customer trust in a single framework. </w:t>
      </w:r>
    </w:p>
    <w:p w14:paraId="6E9D0FD6">
      <w:pPr>
        <w:pStyle w:val="style0"/>
        <w:spacing w:lineRule="auto" w:line="360"/>
        <w:rPr>
          <w:rFonts w:ascii="Arial" w:cs="Arial" w:hAnsi="Arial"/>
        </w:rPr>
      </w:pPr>
      <w:r>
        <w:rPr>
          <w:rFonts w:ascii="Arial" w:cs="Arial" w:hAnsi="Arial"/>
        </w:rPr>
        <w:t>A second gap is the lack of UK grocery-retail evidence. Most current evidence relates to e-commerce, telecom, banking, hospitality, or retail in general. Several important differences exist between these contexts and UK grocery retail: First, supermarket customers are very price- and convenience-sensitive. Another research gap is limited understanding of the satisfaction–loyalty mechanism. Some studies found evidence of a mediating effect of customer satisfaction between customers' assessment of retail experiences and their loyalty, while others did not. Other studies have found mediation (</w:t>
      </w:r>
      <w:r>
        <w:rPr>
          <w:rFonts w:ascii="Arial" w:cs="Arial" w:hAnsi="Arial"/>
        </w:rPr>
        <w:t>Muhammad, Rozi and Supriyanto, 2025</w:t>
      </w:r>
      <w:r>
        <w:rPr>
          <w:rFonts w:ascii="Arial" w:cs="Arial" w:hAnsi="Arial"/>
        </w:rPr>
        <w:t xml:space="preserve">), and others have found direct effects or weak mediation (Chen, 2012). This study tackles this issue, by investigating customer satisfaction as a mediating variable between personalised offer relevance, perceived reward value, perceived fairness and customer trust on the one hand, and customer loyalty on the other. </w:t>
      </w:r>
    </w:p>
    <w:p w14:paraId="7CA2C9E5">
      <w:pPr>
        <w:pStyle w:val="style0"/>
        <w:spacing w:lineRule="auto" w:line="360"/>
        <w:rPr>
          <w:rFonts w:ascii="Arial" w:cs="Arial" w:hAnsi="Arial"/>
        </w:rPr>
      </w:pPr>
      <w:r>
        <w:rPr>
          <w:rFonts w:ascii="Arial" w:cs="Arial" w:hAnsi="Arial"/>
        </w:rPr>
        <w:t xml:space="preserve">Another gap relates to the insufficient attention to customers' evaluation of personalised offers. Previous studies on grocery-loyalty programmes have focused on programme membership, service quality, repeat purchasing, and the overall effectiveness of the programme, while fewer studies have examined customers' evaluations of the relevance, value, and fairness of personalised offers (Chen et al., 2021). This study does not treat membership in a loyalty programme as loyalty, but instead focuses on perceptions of the offer's relevance, value, and fairness, along with trust. This research addresses this issue by focusing on supermarket loyalty programme users in the UK, including programmes </w:t>
      </w:r>
      <w:r>
        <w:rPr>
          <w:rFonts w:ascii="Arial" w:cs="Arial" w:hAnsi="Arial"/>
        </w:rPr>
        <w:t>such as Tesco Clubcard, Nectar, Lidl Plus, Morrisons More and Asda Rewards. It thus offers evidence for personalised offers and loyalty, specific to the UK grocery market.</w:t>
      </w:r>
    </w:p>
    <w:p w14:paraId="3CFCAE7C">
      <w:pPr>
        <w:pStyle w:val="style0"/>
        <w:spacing w:lineRule="auto" w:line="360"/>
        <w:rPr>
          <w:rFonts w:ascii="Arial" w:cs="Arial" w:hAnsi="Arial"/>
        </w:rPr>
      </w:pPr>
      <w:r>
        <w:rPr>
          <w:rFonts w:ascii="Arial" w:cs="Arial" w:hAnsi="Arial"/>
        </w:rPr>
        <w:t>Ambiguity also exists with respect to the role of trust as described in the literature. Existing studies are inconclusive about whether trust directly leads to loyalty or works in conjunction with satisfaction and other relationship assessments. It also differs in terms of the industry and technological context (Aguirre et al., 2015; Hassan, Abdelraouf and El-Shihy, 2025).. The study thus tests the hypothesis that trust in addition to relevance, reward value and fairness in data-driven supermarket loyalty programmes explains customer satisfaction and customer loyalty.</w:t>
      </w:r>
    </w:p>
    <w:p w14:paraId="44BE9B72">
      <w:pPr>
        <w:pStyle w:val="style0"/>
        <w:spacing w:lineRule="auto" w:line="360"/>
        <w:rPr>
          <w:rFonts w:ascii="Arial" w:cs="Arial" w:hAnsi="Arial"/>
        </w:rPr>
      </w:pPr>
      <w:r>
        <w:rPr>
          <w:rFonts w:ascii="Arial" w:cs="Arial" w:hAnsi="Arial"/>
        </w:rPr>
        <w:t>Lastly, previous studies indicate that participation in the programme is seen as loyalty..</w:t>
      </w:r>
      <w:r>
        <w:rPr>
          <w:rFonts w:ascii="Arial" w:cs="Arial" w:hAnsi="Arial"/>
        </w:rPr>
        <w:t xml:space="preserve"> </w:t>
      </w:r>
      <w:r>
        <w:rPr>
          <w:rFonts w:ascii="Arial" w:cs="Arial" w:hAnsi="Arial"/>
        </w:rPr>
        <w:t>Previous studies suggest that customers can have multiple loyalty schemes at one time and that they can keep on switching between supermarkets. Repeat buying or programme membership is not necessarily an indication of true customer loyalty (</w:t>
      </w:r>
      <w:r>
        <w:rPr>
          <w:rFonts w:ascii="Arial" w:cs="Arial" w:hAnsi="Arial"/>
        </w:rPr>
        <w:t>Chhabra, 2017</w:t>
      </w:r>
      <w:r>
        <w:rPr>
          <w:rFonts w:ascii="Arial" w:cs="Arial" w:hAnsi="Arial"/>
        </w:rPr>
        <w:t>). This study avoids this problem by separating programme use from customer loyalty. The assessments of customer satisfaction and customer loyalty are conducted independently from the evaluation of personalised offers and enable a better understanding of the factors that lead to customer loyalty.</w:t>
      </w:r>
    </w:p>
    <w:p w14:paraId="63CFBB8A">
      <w:pPr>
        <w:pStyle w:val="style0"/>
        <w:spacing w:lineRule="auto" w:line="360"/>
        <w:rPr>
          <w:rFonts w:ascii="Arial" w:cs="Arial" w:hAnsi="Arial"/>
        </w:rPr>
      </w:pPr>
      <w:r>
        <w:rPr>
          <w:rFonts w:ascii="Arial" w:cs="Arial" w:hAnsi="Arial"/>
        </w:rPr>
        <w:t>To sum up, these gaps highlight the need for an integrated research on the relationship between personalised offers and customer loyalty in the grocery retail sector in the UK. This study combines the relevance of the personalised offers, their perceived reward value, the perceived fairness of the offers, the customer's trust in the company, and customer satisfaction to gain a more holistic understanding of the mechanisms whereby personalised loyalty strategies can benefit customer relationships.</w:t>
      </w:r>
    </w:p>
    <w:p w14:paraId="3D06B222">
      <w:pPr>
        <w:pStyle w:val="style0"/>
        <w:jc w:val="left"/>
        <w:rPr>
          <w:rFonts w:ascii="Arial" w:cs="Arial" w:hAnsi="Arial"/>
        </w:rPr>
      </w:pPr>
      <w:r>
        <w:rPr>
          <w:rFonts w:ascii="Arial" w:cs="Arial" w:hAnsi="Arial"/>
        </w:rPr>
        <w:br w:type="page"/>
      </w:r>
    </w:p>
    <w:bookmarkStart w:id="41" w:name="_Toc240496632"/>
    <w:p w14:paraId="2E13612A">
      <w:pPr>
        <w:pStyle w:val="style2"/>
        <w:spacing w:lineRule="auto" w:line="360"/>
        <w:rPr>
          <w:rFonts w:ascii="Arial" w:cs="Arial" w:hAnsi="Arial"/>
        </w:rPr>
      </w:pPr>
      <w:r>
        <w:rPr>
          <w:rFonts w:ascii="Arial" w:cs="Arial" w:hAnsi="Arial"/>
        </w:rPr>
        <w:t>2.6 Chapter Summary</w:t>
      </w:r>
      <w:bookmarkEnd w:id="41"/>
    </w:p>
    <w:tbl>
      <w:tblPr>
        <w:tblStyle w:val="style154"/>
        <w:tblW w:w="10255" w:type="dxa"/>
        <w:tblLook w:val="04A0" w:firstRow="1" w:lastRow="0" w:firstColumn="1" w:lastColumn="0" w:noHBand="0" w:noVBand="1"/>
      </w:tblPr>
      <w:tblGrid>
        <w:gridCol w:w="2004"/>
        <w:gridCol w:w="5463"/>
        <w:gridCol w:w="2165"/>
        <w:gridCol w:w="2875"/>
      </w:tblGrid>
      <w:tr w14:paraId="4A2F9304">
        <w:trPr/>
        <w:tc>
          <w:tcPr>
            <w:tcW w:w="2322" w:type="dxa"/>
            <w:tcBorders/>
            <w:hideMark/>
          </w:tcPr>
          <w:p w14:paraId="621D7881">
            <w:pPr>
              <w:pStyle w:val="style0"/>
              <w:spacing w:lineRule="auto" w:line="360"/>
              <w:rPr>
                <w:rFonts w:ascii="Arial" w:cs="Arial" w:eastAsia="Times New Roman" w:hAnsi="Arial"/>
                <w:b/>
                <w:bCs/>
                <w:szCs w:val="24"/>
              </w:rPr>
            </w:pPr>
            <w:r>
              <w:rPr>
                <w:rFonts w:ascii="Arial" w:cs="Arial" w:eastAsia="Times New Roman" w:hAnsi="Arial"/>
                <w:b/>
                <w:bCs/>
                <w:szCs w:val="24"/>
              </w:rPr>
              <w:t>Author(s) and Focus</w:t>
            </w:r>
          </w:p>
        </w:tc>
        <w:tc>
          <w:tcPr>
            <w:tcW w:w="2195" w:type="dxa"/>
            <w:tcBorders/>
            <w:hideMark/>
          </w:tcPr>
          <w:p w14:paraId="1FA4CECC">
            <w:pPr>
              <w:pStyle w:val="style0"/>
              <w:spacing w:lineRule="auto" w:line="360"/>
              <w:rPr>
                <w:rFonts w:ascii="Arial" w:cs="Arial" w:eastAsia="Times New Roman" w:hAnsi="Arial"/>
                <w:b/>
                <w:bCs/>
                <w:szCs w:val="24"/>
              </w:rPr>
            </w:pPr>
            <w:r>
              <w:rPr>
                <w:rFonts w:ascii="Arial" w:cs="Arial" w:eastAsia="Times New Roman" w:hAnsi="Arial"/>
                <w:b/>
                <w:bCs/>
                <w:szCs w:val="24"/>
              </w:rPr>
              <w:t>Research Design / Context</w:t>
            </w:r>
          </w:p>
        </w:tc>
        <w:tc>
          <w:tcPr>
            <w:tcW w:w="0" w:type="auto"/>
            <w:tcBorders/>
            <w:hideMark/>
          </w:tcPr>
          <w:p w14:paraId="109E2B19">
            <w:pPr>
              <w:pStyle w:val="style0"/>
              <w:spacing w:lineRule="auto" w:line="360"/>
              <w:rPr>
                <w:rFonts w:ascii="Arial" w:cs="Arial" w:eastAsia="Times New Roman" w:hAnsi="Arial"/>
                <w:b/>
                <w:bCs/>
                <w:szCs w:val="24"/>
              </w:rPr>
            </w:pPr>
            <w:r>
              <w:rPr>
                <w:rFonts w:ascii="Arial" w:cs="Arial" w:eastAsia="Times New Roman" w:hAnsi="Arial"/>
                <w:b/>
                <w:bCs/>
                <w:szCs w:val="24"/>
              </w:rPr>
              <w:t>Principal Findings</w:t>
            </w:r>
          </w:p>
        </w:tc>
        <w:tc>
          <w:tcPr>
            <w:tcW w:w="3450" w:type="dxa"/>
            <w:tcBorders/>
            <w:hideMark/>
          </w:tcPr>
          <w:p w14:paraId="1EE82065">
            <w:pPr>
              <w:pStyle w:val="style0"/>
              <w:spacing w:lineRule="auto" w:line="360"/>
              <w:rPr>
                <w:rFonts w:ascii="Arial" w:cs="Arial" w:eastAsia="Times New Roman" w:hAnsi="Arial"/>
                <w:b/>
                <w:bCs/>
                <w:szCs w:val="24"/>
              </w:rPr>
            </w:pPr>
            <w:r>
              <w:rPr>
                <w:rFonts w:ascii="Arial" w:cs="Arial" w:eastAsia="Times New Roman" w:hAnsi="Arial"/>
                <w:b/>
                <w:bCs/>
                <w:szCs w:val="24"/>
              </w:rPr>
              <w:t>Critical Evaluation</w:t>
            </w:r>
          </w:p>
        </w:tc>
      </w:tr>
      <w:tr w14:paraId="041B6DAB">
        <w:tblPrEx/>
        <w:trPr/>
        <w:tc>
          <w:tcPr>
            <w:tcW w:w="2322" w:type="dxa"/>
            <w:tcBorders/>
            <w:hideMark/>
          </w:tcPr>
          <w:p w14:paraId="1E27CF81">
            <w:pPr>
              <w:pStyle w:val="style0"/>
              <w:spacing w:lineRule="auto" w:line="360"/>
              <w:rPr>
                <w:rFonts w:ascii="Arial" w:cs="Arial" w:eastAsia="Times New Roman" w:hAnsi="Arial"/>
                <w:szCs w:val="24"/>
              </w:rPr>
            </w:pPr>
            <w:r>
              <w:rPr>
                <w:rFonts w:ascii="Arial" w:cs="Arial" w:eastAsia="Times New Roman" w:hAnsi="Arial"/>
                <w:b/>
                <w:bCs/>
                <w:szCs w:val="24"/>
              </w:rPr>
              <w:t>Weidig, Weippert and Kuehnl (2024)</w:t>
            </w:r>
            <w:r>
              <w:rPr>
                <w:rFonts w:ascii="Arial" w:cs="Arial" w:eastAsia="Times New Roman" w:hAnsi="Arial"/>
                <w:szCs w:val="24"/>
              </w:rPr>
              <w:t xml:space="preserve"> – Personalisation and customer experience</w:t>
            </w:r>
          </w:p>
        </w:tc>
        <w:tc>
          <w:tcPr>
            <w:tcW w:w="2195" w:type="dxa"/>
            <w:tcBorders/>
            <w:hideMark/>
          </w:tcPr>
          <w:p w14:paraId="7850538A">
            <w:pPr>
              <w:pStyle w:val="style0"/>
              <w:spacing w:lineRule="auto" w:line="360"/>
              <w:rPr>
                <w:rFonts w:ascii="Arial" w:cs="Arial" w:eastAsia="Times New Roman" w:hAnsi="Arial"/>
                <w:szCs w:val="24"/>
              </w:rPr>
            </w:pPr>
            <w:r>
              <w:rPr>
                <w:rFonts w:ascii="Arial" w:cs="Arial" w:eastAsia="Times New Roman" w:hAnsi="Arial"/>
                <w:szCs w:val="24"/>
              </w:rPr>
              <w:t>Conceptual synthesis of 293 articles, examining personalisation across different customer touchpoints and stages of the customer journey.</w:t>
            </w:r>
          </w:p>
        </w:tc>
        <w:tc>
          <w:tcPr>
            <w:tcW w:w="0" w:type="auto"/>
            <w:tcBorders/>
            <w:hideMark/>
          </w:tcPr>
          <w:p w14:paraId="3CA1C081">
            <w:pPr>
              <w:pStyle w:val="style0"/>
              <w:spacing w:lineRule="auto" w:line="360"/>
              <w:rPr>
                <w:rFonts w:ascii="Arial" w:cs="Arial" w:eastAsia="Times New Roman" w:hAnsi="Arial"/>
                <w:szCs w:val="24"/>
              </w:rPr>
            </w:pPr>
            <w:r>
              <w:rPr>
                <w:rFonts w:ascii="Arial" w:cs="Arial" w:eastAsia="Times New Roman" w:hAnsi="Arial"/>
                <w:szCs w:val="24"/>
              </w:rPr>
              <w:t>Personalisation does not produce a uniform customer response. Its effects depend on where and how personalisation is implemented, with trust and privacy concerns influencing customer reactions. (Weidig, Weippert and Kuehnl, 2024)</w:t>
            </w:r>
          </w:p>
        </w:tc>
        <w:tc>
          <w:tcPr>
            <w:tcW w:w="3450" w:type="dxa"/>
            <w:tcBorders/>
            <w:hideMark/>
          </w:tcPr>
          <w:p w14:paraId="2462F9F2">
            <w:pPr>
              <w:pStyle w:val="style0"/>
              <w:spacing w:lineRule="auto" w:line="360"/>
              <w:rPr>
                <w:rFonts w:ascii="Arial" w:cs="Arial" w:eastAsia="Times New Roman" w:hAnsi="Arial"/>
                <w:szCs w:val="24"/>
              </w:rPr>
            </w:pPr>
            <w:r>
              <w:rPr>
                <w:rFonts w:ascii="Arial" w:cs="Arial" w:eastAsia="Times New Roman" w:hAnsi="Arial"/>
                <w:szCs w:val="24"/>
              </w:rPr>
              <w:t>The study provides a strong conceptual foundation for treating personalisation as a customer-experience process rather than a single promotional activity. However, its broad scope means it cannot demonstrate whether personalised grocery offers directly produce loyalty in the UK.</w:t>
            </w:r>
          </w:p>
        </w:tc>
      </w:tr>
      <w:tr w14:paraId="2D1E0EDD">
        <w:tblPrEx/>
        <w:trPr/>
        <w:tc>
          <w:tcPr>
            <w:tcW w:w="2322" w:type="dxa"/>
            <w:tcBorders/>
            <w:hideMark/>
          </w:tcPr>
          <w:p w14:paraId="2B4AE7CE">
            <w:pPr>
              <w:pStyle w:val="style0"/>
              <w:spacing w:lineRule="auto" w:line="360"/>
              <w:rPr>
                <w:rFonts w:ascii="Arial" w:cs="Arial" w:eastAsia="Times New Roman" w:hAnsi="Arial"/>
                <w:szCs w:val="24"/>
              </w:rPr>
            </w:pPr>
            <w:r>
              <w:rPr>
                <w:rFonts w:ascii="Arial" w:cs="Arial" w:eastAsia="Times New Roman" w:hAnsi="Arial"/>
                <w:b/>
                <w:bCs/>
                <w:szCs w:val="24"/>
              </w:rPr>
              <w:t>Belli et al. (2022)</w:t>
            </w:r>
            <w:r>
              <w:rPr>
                <w:rFonts w:ascii="Arial" w:cs="Arial" w:eastAsia="Times New Roman" w:hAnsi="Arial"/>
                <w:szCs w:val="24"/>
              </w:rPr>
              <w:t xml:space="preserve"> – Effectiveness of loyalty programmes</w:t>
            </w:r>
          </w:p>
        </w:tc>
        <w:tc>
          <w:tcPr>
            <w:tcW w:w="2195" w:type="dxa"/>
            <w:tcBorders/>
            <w:hideMark/>
          </w:tcPr>
          <w:p w14:paraId="73AB8387">
            <w:pPr>
              <w:pStyle w:val="style0"/>
              <w:spacing w:lineRule="auto" w:line="360"/>
              <w:rPr>
                <w:rFonts w:ascii="Arial" w:cs="Arial" w:eastAsia="Times New Roman" w:hAnsi="Arial"/>
                <w:szCs w:val="24"/>
              </w:rPr>
            </w:pPr>
            <w:r>
              <w:rPr>
                <w:rFonts w:ascii="Arial" w:cs="Arial" w:eastAsia="Times New Roman" w:hAnsi="Arial"/>
                <w:szCs w:val="24"/>
              </w:rPr>
              <w:t>Meta-analysis incorporating 429 effect sizes from research published between 1990 and 2020 across different programme designs and industries.</w:t>
            </w:r>
          </w:p>
        </w:tc>
        <w:tc>
          <w:tcPr>
            <w:tcW w:w="0" w:type="auto"/>
            <w:tcBorders/>
            <w:hideMark/>
          </w:tcPr>
          <w:p w14:paraId="15E1CD01">
            <w:pPr>
              <w:pStyle w:val="style0"/>
              <w:spacing w:lineRule="auto" w:line="360"/>
              <w:rPr>
                <w:rFonts w:ascii="Arial" w:cs="Arial" w:eastAsia="Times New Roman" w:hAnsi="Arial"/>
                <w:szCs w:val="24"/>
              </w:rPr>
            </w:pPr>
            <w:r>
              <w:rPr>
                <w:rFonts w:ascii="Arial" w:cs="Arial" w:eastAsia="Times New Roman" w:hAnsi="Arial"/>
                <w:szCs w:val="24"/>
              </w:rPr>
              <w:t xml:space="preserve">Loyalty programmes generally have positive effects on customer loyalty, although behavioural loyalty appears easier to influence than attitudinal loyalty. Programme design, reward structure and </w:t>
            </w:r>
            <w:r>
              <w:rPr>
                <w:rFonts w:ascii="Arial" w:cs="Arial" w:eastAsia="Times New Roman" w:hAnsi="Arial"/>
                <w:szCs w:val="24"/>
              </w:rPr>
              <w:t>industry context affect effectiveness. (Belli et al., 2022)</w:t>
            </w:r>
          </w:p>
        </w:tc>
        <w:tc>
          <w:tcPr>
            <w:tcW w:w="3450" w:type="dxa"/>
            <w:tcBorders/>
            <w:hideMark/>
          </w:tcPr>
          <w:p w14:paraId="128255B0">
            <w:pPr>
              <w:pStyle w:val="style0"/>
              <w:spacing w:lineRule="auto" w:line="360"/>
              <w:rPr>
                <w:rFonts w:ascii="Arial" w:cs="Arial" w:eastAsia="Times New Roman" w:hAnsi="Arial"/>
                <w:szCs w:val="24"/>
              </w:rPr>
            </w:pPr>
            <w:r>
              <w:rPr>
                <w:rFonts w:ascii="Arial" w:cs="Arial" w:eastAsia="Times New Roman" w:hAnsi="Arial"/>
                <w:szCs w:val="24"/>
              </w:rPr>
              <w:t>The large evidence base gives greater confidence than an individual case study. Nevertheless, the aggregate findings do not demonstrate that a particular personalised supermarket offer produces long-term loyalty.</w:t>
            </w:r>
          </w:p>
        </w:tc>
      </w:tr>
      <w:tr w14:paraId="5D3028E4">
        <w:tblPrEx/>
        <w:trPr/>
        <w:tc>
          <w:tcPr>
            <w:tcW w:w="2322" w:type="dxa"/>
            <w:tcBorders/>
            <w:hideMark/>
          </w:tcPr>
          <w:p w14:paraId="752D0A86">
            <w:pPr>
              <w:pStyle w:val="style0"/>
              <w:spacing w:lineRule="auto" w:line="360"/>
              <w:rPr>
                <w:rFonts w:ascii="Arial" w:cs="Arial" w:eastAsia="Times New Roman" w:hAnsi="Arial"/>
                <w:szCs w:val="24"/>
              </w:rPr>
            </w:pPr>
            <w:r>
              <w:rPr>
                <w:rFonts w:ascii="Arial" w:cs="Arial" w:eastAsia="Times New Roman" w:hAnsi="Arial"/>
                <w:b/>
                <w:bCs/>
                <w:szCs w:val="24"/>
              </w:rPr>
              <w:t>Chen, Mandler and Meyer-Waarden (2021)</w:t>
            </w:r>
            <w:r>
              <w:rPr>
                <w:rFonts w:ascii="Arial" w:cs="Arial" w:eastAsia="Times New Roman" w:hAnsi="Arial"/>
                <w:szCs w:val="24"/>
              </w:rPr>
              <w:t xml:space="preserve"> – Development of loyalty-programme research</w:t>
            </w:r>
          </w:p>
        </w:tc>
        <w:tc>
          <w:tcPr>
            <w:tcW w:w="2195" w:type="dxa"/>
            <w:tcBorders/>
            <w:hideMark/>
          </w:tcPr>
          <w:p w14:paraId="5BF9B981">
            <w:pPr>
              <w:pStyle w:val="style0"/>
              <w:spacing w:lineRule="auto" w:line="360"/>
              <w:rPr>
                <w:rFonts w:ascii="Arial" w:cs="Arial" w:eastAsia="Times New Roman" w:hAnsi="Arial"/>
                <w:szCs w:val="24"/>
              </w:rPr>
            </w:pPr>
            <w:r>
              <w:rPr>
                <w:rFonts w:ascii="Arial" w:cs="Arial" w:eastAsia="Times New Roman" w:hAnsi="Arial"/>
                <w:szCs w:val="24"/>
              </w:rPr>
              <w:t>Structured review of 131 articles, organised using a Theory–Context–Characteristics–Methodology framework.</w:t>
            </w:r>
          </w:p>
        </w:tc>
        <w:tc>
          <w:tcPr>
            <w:tcW w:w="0" w:type="auto"/>
            <w:tcBorders/>
            <w:hideMark/>
          </w:tcPr>
          <w:p w14:paraId="164E6966">
            <w:pPr>
              <w:pStyle w:val="style0"/>
              <w:spacing w:lineRule="auto" w:line="360"/>
              <w:rPr>
                <w:rFonts w:ascii="Arial" w:cs="Arial" w:eastAsia="Times New Roman" w:hAnsi="Arial"/>
                <w:szCs w:val="24"/>
              </w:rPr>
            </w:pPr>
            <w:r>
              <w:rPr>
                <w:rFonts w:ascii="Arial" w:cs="Arial" w:eastAsia="Times New Roman" w:hAnsi="Arial"/>
                <w:szCs w:val="24"/>
              </w:rPr>
              <w:t>Loyalty-programme research has developed around several theoretical explanations, including status, inertia and relationship mechanisms. The authors identify technological change and competition between programmes as areas requiring greater research attention. (Chen, Mandler and Meyer-Waarden, 2021)</w:t>
            </w:r>
          </w:p>
        </w:tc>
        <w:tc>
          <w:tcPr>
            <w:tcW w:w="3450" w:type="dxa"/>
            <w:tcBorders/>
            <w:hideMark/>
          </w:tcPr>
          <w:p w14:paraId="592E383C">
            <w:pPr>
              <w:pStyle w:val="style0"/>
              <w:spacing w:lineRule="auto" w:line="360"/>
              <w:rPr>
                <w:rFonts w:ascii="Arial" w:cs="Arial" w:eastAsia="Times New Roman" w:hAnsi="Arial"/>
                <w:szCs w:val="24"/>
              </w:rPr>
            </w:pPr>
            <w:r>
              <w:rPr>
                <w:rFonts w:ascii="Arial" w:cs="Arial" w:eastAsia="Times New Roman" w:hAnsi="Arial"/>
                <w:szCs w:val="24"/>
              </w:rPr>
              <w:t>This study is valuable for demonstrating that loyalty cannot be explained through a single theoretical lens. It supports the integrated approach of the present research, although it does not itself test the proposed relationships among relevance, value, fairness and trust.</w:t>
            </w:r>
          </w:p>
        </w:tc>
      </w:tr>
      <w:tr w14:paraId="55CA3D54">
        <w:tblPrEx/>
        <w:trPr/>
        <w:tc>
          <w:tcPr>
            <w:tcW w:w="2322" w:type="dxa"/>
            <w:tcBorders/>
            <w:hideMark/>
          </w:tcPr>
          <w:p w14:paraId="1B9D9D87">
            <w:pPr>
              <w:pStyle w:val="style0"/>
              <w:spacing w:lineRule="auto" w:line="360"/>
              <w:rPr>
                <w:rFonts w:ascii="Arial" w:cs="Arial" w:eastAsia="Times New Roman" w:hAnsi="Arial"/>
                <w:szCs w:val="24"/>
              </w:rPr>
            </w:pPr>
            <w:r>
              <w:rPr>
                <w:rFonts w:ascii="Arial" w:cs="Arial" w:eastAsia="Times New Roman" w:hAnsi="Arial"/>
                <w:b/>
                <w:bCs/>
                <w:szCs w:val="24"/>
              </w:rPr>
              <w:t>Närvänen et al. (2020)</w:t>
            </w:r>
            <w:r>
              <w:rPr>
                <w:rFonts w:ascii="Arial" w:cs="Arial" w:eastAsia="Times New Roman" w:hAnsi="Arial"/>
                <w:szCs w:val="24"/>
              </w:rPr>
              <w:t xml:space="preserve"> – Different meanings of customer loyalty</w:t>
            </w:r>
          </w:p>
        </w:tc>
        <w:tc>
          <w:tcPr>
            <w:tcW w:w="2195" w:type="dxa"/>
            <w:tcBorders/>
            <w:hideMark/>
          </w:tcPr>
          <w:p w14:paraId="08B110B3">
            <w:pPr>
              <w:pStyle w:val="style0"/>
              <w:spacing w:lineRule="auto" w:line="360"/>
              <w:rPr>
                <w:rFonts w:ascii="Arial" w:cs="Arial" w:eastAsia="Times New Roman" w:hAnsi="Arial"/>
                <w:szCs w:val="24"/>
              </w:rPr>
            </w:pPr>
            <w:r>
              <w:rPr>
                <w:rFonts w:ascii="Arial" w:cs="Arial" w:eastAsia="Times New Roman" w:hAnsi="Arial"/>
                <w:szCs w:val="24"/>
              </w:rPr>
              <w:t xml:space="preserve">Qualitative research involving 13 individual interviews and a subsequent focus group with retail </w:t>
            </w:r>
            <w:r>
              <w:rPr>
                <w:rFonts w:ascii="Arial" w:cs="Arial" w:eastAsia="Times New Roman" w:hAnsi="Arial"/>
                <w:szCs w:val="24"/>
              </w:rPr>
              <w:t>customers in Finland.</w:t>
            </w:r>
          </w:p>
        </w:tc>
        <w:tc>
          <w:tcPr>
            <w:tcW w:w="0" w:type="auto"/>
            <w:tcBorders/>
            <w:hideMark/>
          </w:tcPr>
          <w:p w14:paraId="0BDA4F8A">
            <w:pPr>
              <w:pStyle w:val="style0"/>
              <w:spacing w:lineRule="auto" w:line="360"/>
              <w:rPr>
                <w:rFonts w:ascii="Arial" w:cs="Arial" w:eastAsia="Times New Roman" w:hAnsi="Arial"/>
                <w:szCs w:val="24"/>
              </w:rPr>
            </w:pPr>
            <w:r>
              <w:rPr>
                <w:rFonts w:ascii="Arial" w:cs="Arial" w:eastAsia="Times New Roman" w:hAnsi="Arial"/>
                <w:szCs w:val="24"/>
              </w:rPr>
              <w:t xml:space="preserve">Customer loyalty was found to have multiple meanings, including habitual behaviour, deliberate choice, </w:t>
            </w:r>
            <w:r>
              <w:rPr>
                <w:rFonts w:ascii="Arial" w:cs="Arial" w:eastAsia="Times New Roman" w:hAnsi="Arial"/>
                <w:szCs w:val="24"/>
              </w:rPr>
              <w:t>obligation and social belonging. (Närvänen et al., 2020)</w:t>
            </w:r>
          </w:p>
        </w:tc>
        <w:tc>
          <w:tcPr>
            <w:tcW w:w="3450" w:type="dxa"/>
            <w:tcBorders/>
            <w:hideMark/>
          </w:tcPr>
          <w:p w14:paraId="512A1090">
            <w:pPr>
              <w:pStyle w:val="style0"/>
              <w:spacing w:lineRule="auto" w:line="360"/>
              <w:rPr>
                <w:rFonts w:ascii="Arial" w:cs="Arial" w:eastAsia="Times New Roman" w:hAnsi="Arial"/>
                <w:szCs w:val="24"/>
              </w:rPr>
            </w:pPr>
            <w:r>
              <w:rPr>
                <w:rFonts w:ascii="Arial" w:cs="Arial" w:eastAsia="Times New Roman" w:hAnsi="Arial"/>
                <w:szCs w:val="24"/>
              </w:rPr>
              <w:t xml:space="preserve">The study is particularly important because it challenges the assumption that repeated purchasing automatically indicates loyalty. Its qualitative depth is </w:t>
            </w:r>
            <w:r>
              <w:rPr>
                <w:rFonts w:ascii="Arial" w:cs="Arial" w:eastAsia="Times New Roman" w:hAnsi="Arial"/>
                <w:szCs w:val="24"/>
              </w:rPr>
              <w:t>valuable, although recruiting self-identified loyal customers limits representation of disengaged consumers.</w:t>
            </w:r>
          </w:p>
        </w:tc>
      </w:tr>
      <w:tr w14:paraId="58594323">
        <w:tblPrEx/>
        <w:trPr/>
        <w:tc>
          <w:tcPr>
            <w:tcW w:w="2322" w:type="dxa"/>
            <w:tcBorders/>
            <w:hideMark/>
          </w:tcPr>
          <w:p w14:paraId="4A9F9143">
            <w:pPr>
              <w:pStyle w:val="style0"/>
              <w:spacing w:lineRule="auto" w:line="360"/>
              <w:rPr>
                <w:rFonts w:ascii="Arial" w:cs="Arial" w:eastAsia="Times New Roman" w:hAnsi="Arial"/>
                <w:szCs w:val="24"/>
              </w:rPr>
            </w:pPr>
            <w:r>
              <w:rPr>
                <w:rFonts w:ascii="Arial" w:cs="Arial" w:eastAsia="Times New Roman" w:hAnsi="Arial"/>
                <w:b/>
                <w:bCs/>
                <w:szCs w:val="24"/>
              </w:rPr>
              <w:t>Wait (2022)</w:t>
            </w:r>
            <w:r>
              <w:rPr>
                <w:rFonts w:ascii="Arial" w:cs="Arial" w:eastAsia="Times New Roman" w:hAnsi="Arial"/>
                <w:szCs w:val="24"/>
              </w:rPr>
              <w:t xml:space="preserve"> – Customer experiences of grocery loyalty cards</w:t>
            </w:r>
          </w:p>
        </w:tc>
        <w:tc>
          <w:tcPr>
            <w:tcW w:w="2195" w:type="dxa"/>
            <w:tcBorders/>
            <w:hideMark/>
          </w:tcPr>
          <w:p w14:paraId="669497B2">
            <w:pPr>
              <w:pStyle w:val="style0"/>
              <w:spacing w:lineRule="auto" w:line="360"/>
              <w:rPr>
                <w:rFonts w:ascii="Arial" w:cs="Arial" w:eastAsia="Times New Roman" w:hAnsi="Arial"/>
                <w:szCs w:val="24"/>
              </w:rPr>
            </w:pPr>
            <w:r>
              <w:rPr>
                <w:rFonts w:ascii="Arial" w:cs="Arial" w:eastAsia="Times New Roman" w:hAnsi="Arial"/>
                <w:szCs w:val="24"/>
              </w:rPr>
              <w:t>Qualitative interviews with 10 purposively selected grocery loyalty-card holders in South Africa.</w:t>
            </w:r>
          </w:p>
        </w:tc>
        <w:tc>
          <w:tcPr>
            <w:tcW w:w="0" w:type="auto"/>
            <w:tcBorders/>
            <w:hideMark/>
          </w:tcPr>
          <w:p w14:paraId="6D8C7821">
            <w:pPr>
              <w:pStyle w:val="style0"/>
              <w:spacing w:lineRule="auto" w:line="360"/>
              <w:rPr>
                <w:rFonts w:ascii="Arial" w:cs="Arial" w:eastAsia="Times New Roman" w:hAnsi="Arial"/>
                <w:szCs w:val="24"/>
              </w:rPr>
            </w:pPr>
            <w:r>
              <w:rPr>
                <w:rFonts w:ascii="Arial" w:cs="Arial" w:eastAsia="Times New Roman" w:hAnsi="Arial"/>
                <w:szCs w:val="24"/>
              </w:rPr>
              <w:t>Participants expressed uncertainty about programme benefits, and disengagement emerged when programme value or usefulness was unclear. (Wait, 2022)</w:t>
            </w:r>
          </w:p>
        </w:tc>
        <w:tc>
          <w:tcPr>
            <w:tcW w:w="3450" w:type="dxa"/>
            <w:tcBorders/>
            <w:hideMark/>
          </w:tcPr>
          <w:p w14:paraId="40E97C7B">
            <w:pPr>
              <w:pStyle w:val="style0"/>
              <w:spacing w:lineRule="auto" w:line="360"/>
              <w:rPr>
                <w:rFonts w:ascii="Arial" w:cs="Arial" w:eastAsia="Times New Roman" w:hAnsi="Arial"/>
                <w:szCs w:val="24"/>
              </w:rPr>
            </w:pPr>
            <w:r>
              <w:rPr>
                <w:rFonts w:ascii="Arial" w:cs="Arial" w:eastAsia="Times New Roman" w:hAnsi="Arial"/>
                <w:szCs w:val="24"/>
              </w:rPr>
              <w:t>The research demonstrates that simply offering a loyalty card does not ensure meaningful participation. Its small sample and South African setting limit direct transferability to UK supermarkets, but the findings remain useful for understanding reward clarity and customer engagement.</w:t>
            </w:r>
          </w:p>
        </w:tc>
      </w:tr>
      <w:tr w14:paraId="0CCF64A9">
        <w:tblPrEx/>
        <w:trPr/>
        <w:tc>
          <w:tcPr>
            <w:tcW w:w="2322" w:type="dxa"/>
            <w:tcBorders/>
            <w:hideMark/>
          </w:tcPr>
          <w:p w14:paraId="7371885A">
            <w:pPr>
              <w:pStyle w:val="style0"/>
              <w:spacing w:lineRule="auto" w:line="360"/>
              <w:rPr>
                <w:rFonts w:ascii="Arial" w:cs="Arial" w:eastAsia="Times New Roman" w:hAnsi="Arial"/>
                <w:szCs w:val="24"/>
              </w:rPr>
            </w:pPr>
            <w:r>
              <w:rPr>
                <w:rFonts w:ascii="Arial" w:cs="Arial" w:eastAsia="Times New Roman" w:hAnsi="Arial"/>
                <w:b/>
                <w:bCs/>
                <w:szCs w:val="24"/>
              </w:rPr>
              <w:t>Filipe, Marques and Salgueiro (2017)</w:t>
            </w:r>
            <w:r>
              <w:rPr>
                <w:rFonts w:ascii="Arial" w:cs="Arial" w:eastAsia="Times New Roman" w:hAnsi="Arial"/>
                <w:szCs w:val="24"/>
              </w:rPr>
              <w:t xml:space="preserve"> – Grocery-store relationships and loyalty programmes</w:t>
            </w:r>
          </w:p>
        </w:tc>
        <w:tc>
          <w:tcPr>
            <w:tcW w:w="2195" w:type="dxa"/>
            <w:tcBorders/>
            <w:hideMark/>
          </w:tcPr>
          <w:p w14:paraId="6588E173">
            <w:pPr>
              <w:pStyle w:val="style0"/>
              <w:spacing w:lineRule="auto" w:line="360"/>
              <w:rPr>
                <w:rFonts w:ascii="Arial" w:cs="Arial" w:eastAsia="Times New Roman" w:hAnsi="Arial"/>
                <w:szCs w:val="24"/>
              </w:rPr>
            </w:pPr>
            <w:r>
              <w:rPr>
                <w:rFonts w:ascii="Arial" w:cs="Arial" w:eastAsia="Times New Roman" w:hAnsi="Arial"/>
                <w:szCs w:val="24"/>
              </w:rPr>
              <w:t>Empirical research using manager interviews followed by surveys of two independent customer samples, analysed through structural equation modelling.</w:t>
            </w:r>
          </w:p>
        </w:tc>
        <w:tc>
          <w:tcPr>
            <w:tcW w:w="0" w:type="auto"/>
            <w:tcBorders/>
            <w:hideMark/>
          </w:tcPr>
          <w:p w14:paraId="4F3DE340">
            <w:pPr>
              <w:pStyle w:val="style0"/>
              <w:spacing w:lineRule="auto" w:line="360"/>
              <w:rPr>
                <w:rFonts w:ascii="Arial" w:cs="Arial" w:eastAsia="Times New Roman" w:hAnsi="Arial"/>
                <w:szCs w:val="24"/>
              </w:rPr>
            </w:pPr>
            <w:r>
              <w:rPr>
                <w:rFonts w:ascii="Arial" w:cs="Arial" w:eastAsia="Times New Roman" w:hAnsi="Arial"/>
                <w:szCs w:val="24"/>
              </w:rPr>
              <w:t>Store format was associated with trust, while loyalty-programme membership strengthened the relationship between satisfaction and loyalty. (Filipe, Marques and Salgueiro, 2017)</w:t>
            </w:r>
          </w:p>
        </w:tc>
        <w:tc>
          <w:tcPr>
            <w:tcW w:w="3450" w:type="dxa"/>
            <w:tcBorders/>
            <w:hideMark/>
          </w:tcPr>
          <w:p w14:paraId="1443EC5D">
            <w:pPr>
              <w:pStyle w:val="style0"/>
              <w:spacing w:lineRule="auto" w:line="360"/>
              <w:rPr>
                <w:rFonts w:ascii="Arial" w:cs="Arial" w:eastAsia="Times New Roman" w:hAnsi="Arial"/>
                <w:szCs w:val="24"/>
              </w:rPr>
            </w:pPr>
            <w:r>
              <w:rPr>
                <w:rFonts w:ascii="Arial" w:cs="Arial" w:eastAsia="Times New Roman" w:hAnsi="Arial"/>
                <w:szCs w:val="24"/>
              </w:rPr>
              <w:t>This is particularly relevant because it provides grocery-sector evidence linking satisfaction, trust and loyalty. However, membership differences alone cannot establish that the loyalty programme caused stronger loyalty because customers may select programmes associated with retailers they already prefer.</w:t>
            </w:r>
          </w:p>
        </w:tc>
      </w:tr>
      <w:tr w14:paraId="22992B4C">
        <w:tblPrEx/>
        <w:trPr/>
        <w:tc>
          <w:tcPr>
            <w:tcW w:w="2322" w:type="dxa"/>
            <w:tcBorders/>
            <w:hideMark/>
          </w:tcPr>
          <w:p w14:paraId="0B5555B4">
            <w:pPr>
              <w:pStyle w:val="style0"/>
              <w:spacing w:lineRule="auto" w:line="360"/>
              <w:rPr>
                <w:rFonts w:ascii="Arial" w:cs="Arial" w:eastAsia="Times New Roman" w:hAnsi="Arial"/>
                <w:szCs w:val="24"/>
              </w:rPr>
            </w:pPr>
            <w:r>
              <w:rPr>
                <w:rFonts w:ascii="Arial" w:cs="Arial" w:eastAsia="Times New Roman" w:hAnsi="Arial"/>
                <w:b/>
                <w:bCs/>
                <w:szCs w:val="24"/>
              </w:rPr>
              <w:t>Meyer-Waarden, Bruwer and Galan (2023)</w:t>
            </w:r>
            <w:r>
              <w:rPr>
                <w:rFonts w:ascii="Arial" w:cs="Arial" w:eastAsia="Times New Roman" w:hAnsi="Arial"/>
                <w:szCs w:val="24"/>
              </w:rPr>
              <w:t xml:space="preserve"> – </w:t>
            </w:r>
            <w:r>
              <w:rPr>
                <w:rFonts w:ascii="Arial" w:cs="Arial" w:eastAsia="Times New Roman" w:hAnsi="Arial"/>
                <w:szCs w:val="24"/>
              </w:rPr>
              <w:t>Programme value and engagement</w:t>
            </w:r>
          </w:p>
        </w:tc>
        <w:tc>
          <w:tcPr>
            <w:tcW w:w="2195" w:type="dxa"/>
            <w:tcBorders/>
            <w:hideMark/>
          </w:tcPr>
          <w:p w14:paraId="63C5979B">
            <w:pPr>
              <w:pStyle w:val="style0"/>
              <w:spacing w:lineRule="auto" w:line="360"/>
              <w:rPr>
                <w:rFonts w:ascii="Arial" w:cs="Arial" w:eastAsia="Times New Roman" w:hAnsi="Arial"/>
                <w:szCs w:val="24"/>
              </w:rPr>
            </w:pPr>
            <w:r>
              <w:rPr>
                <w:rFonts w:ascii="Arial" w:cs="Arial" w:eastAsia="Times New Roman" w:hAnsi="Arial"/>
                <w:szCs w:val="24"/>
              </w:rPr>
              <w:t xml:space="preserve">Quantitative study involving 593 loyalty-programme </w:t>
            </w:r>
            <w:r>
              <w:rPr>
                <w:rFonts w:ascii="Arial" w:cs="Arial" w:eastAsia="Times New Roman" w:hAnsi="Arial"/>
                <w:szCs w:val="24"/>
              </w:rPr>
              <w:t>members across grocery retail, department stores and airline programmes.</w:t>
            </w:r>
          </w:p>
        </w:tc>
        <w:tc>
          <w:tcPr>
            <w:tcW w:w="0" w:type="auto"/>
            <w:tcBorders/>
            <w:hideMark/>
          </w:tcPr>
          <w:p w14:paraId="2E55FE82">
            <w:pPr>
              <w:pStyle w:val="style0"/>
              <w:spacing w:lineRule="auto" w:line="360"/>
              <w:rPr>
                <w:rFonts w:ascii="Arial" w:cs="Arial" w:eastAsia="Times New Roman" w:hAnsi="Arial"/>
                <w:szCs w:val="24"/>
              </w:rPr>
            </w:pPr>
            <w:r>
              <w:rPr>
                <w:rFonts w:ascii="Arial" w:cs="Arial" w:eastAsia="Times New Roman" w:hAnsi="Arial"/>
                <w:szCs w:val="24"/>
              </w:rPr>
              <w:t xml:space="preserve">Perceived programme value was positively associated with </w:t>
            </w:r>
            <w:r>
              <w:rPr>
                <w:rFonts w:ascii="Arial" w:cs="Arial" w:eastAsia="Times New Roman" w:hAnsi="Arial"/>
                <w:szCs w:val="24"/>
              </w:rPr>
              <w:t>programme engagement, which was subsequently associated with programme and brand loyalty. (Meyer-Waarden, Bruwer and Galan, 2023)</w:t>
            </w:r>
          </w:p>
        </w:tc>
        <w:tc>
          <w:tcPr>
            <w:tcW w:w="3450" w:type="dxa"/>
            <w:tcBorders/>
            <w:hideMark/>
          </w:tcPr>
          <w:p w14:paraId="34119BF7">
            <w:pPr>
              <w:pStyle w:val="style0"/>
              <w:spacing w:lineRule="auto" w:line="360"/>
              <w:rPr>
                <w:rFonts w:ascii="Arial" w:cs="Arial" w:eastAsia="Times New Roman" w:hAnsi="Arial"/>
                <w:szCs w:val="24"/>
              </w:rPr>
            </w:pPr>
            <w:r>
              <w:rPr>
                <w:rFonts w:ascii="Arial" w:cs="Arial" w:eastAsia="Times New Roman" w:hAnsi="Arial"/>
                <w:szCs w:val="24"/>
              </w:rPr>
              <w:t xml:space="preserve">The research directly supports considering reward value as an important mechanism. However, overall programme </w:t>
            </w:r>
            <w:r>
              <w:rPr>
                <w:rFonts w:ascii="Arial" w:cs="Arial" w:eastAsia="Times New Roman" w:hAnsi="Arial"/>
                <w:szCs w:val="24"/>
              </w:rPr>
              <w:t>value should not be treated as equivalent to the perceived value of an individual personalised offer, and the multi-industry sample limits grocery-specific conclusions.</w:t>
            </w:r>
          </w:p>
        </w:tc>
      </w:tr>
      <w:tr w14:paraId="7056FEC2">
        <w:tblPrEx/>
        <w:trPr/>
        <w:tc>
          <w:tcPr>
            <w:tcW w:w="2322" w:type="dxa"/>
            <w:tcBorders/>
            <w:hideMark/>
          </w:tcPr>
          <w:p w14:paraId="691ED0E8">
            <w:pPr>
              <w:pStyle w:val="style0"/>
              <w:spacing w:lineRule="auto" w:line="360"/>
              <w:rPr>
                <w:rFonts w:ascii="Arial" w:cs="Arial" w:eastAsia="Times New Roman" w:hAnsi="Arial"/>
                <w:szCs w:val="24"/>
              </w:rPr>
            </w:pPr>
            <w:r>
              <w:rPr>
                <w:rFonts w:ascii="Arial" w:cs="Arial" w:eastAsia="Times New Roman" w:hAnsi="Arial"/>
                <w:b/>
                <w:bCs/>
                <w:szCs w:val="24"/>
              </w:rPr>
              <w:t>Leppäniemi, Karjaluoto and Saarijärvi (2017)</w:t>
            </w:r>
            <w:r>
              <w:rPr>
                <w:rFonts w:ascii="Arial" w:cs="Arial" w:eastAsia="Times New Roman" w:hAnsi="Arial"/>
                <w:szCs w:val="24"/>
              </w:rPr>
              <w:t xml:space="preserve"> – Customer value and information sharing</w:t>
            </w:r>
          </w:p>
        </w:tc>
        <w:tc>
          <w:tcPr>
            <w:tcW w:w="2195" w:type="dxa"/>
            <w:tcBorders/>
            <w:hideMark/>
          </w:tcPr>
          <w:p w14:paraId="5E414D5D">
            <w:pPr>
              <w:pStyle w:val="style0"/>
              <w:spacing w:lineRule="auto" w:line="360"/>
              <w:rPr>
                <w:rFonts w:ascii="Arial" w:cs="Arial" w:eastAsia="Times New Roman" w:hAnsi="Arial"/>
                <w:szCs w:val="24"/>
              </w:rPr>
            </w:pPr>
            <w:r>
              <w:rPr>
                <w:rFonts w:ascii="Arial" w:cs="Arial" w:eastAsia="Times New Roman" w:hAnsi="Arial"/>
                <w:szCs w:val="24"/>
              </w:rPr>
              <w:t>Structural-equation analysis using 429 grocery customers and 895 DIY retail customers.</w:t>
            </w:r>
          </w:p>
        </w:tc>
        <w:tc>
          <w:tcPr>
            <w:tcW w:w="0" w:type="auto"/>
            <w:tcBorders/>
            <w:hideMark/>
          </w:tcPr>
          <w:p w14:paraId="0A41D702">
            <w:pPr>
              <w:pStyle w:val="style0"/>
              <w:spacing w:lineRule="auto" w:line="360"/>
              <w:rPr>
                <w:rFonts w:ascii="Arial" w:cs="Arial" w:eastAsia="Times New Roman" w:hAnsi="Arial"/>
                <w:szCs w:val="24"/>
              </w:rPr>
            </w:pPr>
            <w:r>
              <w:rPr>
                <w:rFonts w:ascii="Arial" w:cs="Arial" w:eastAsia="Times New Roman" w:hAnsi="Arial"/>
                <w:szCs w:val="24"/>
              </w:rPr>
              <w:t>Perceived value and satisfaction were associated with willingness to share information, which was connected with loyalty intentions and behaviour. Relationships differed between the grocery and DIY samples. (Leppäniemi, Karjaluoto and Saarijärvi, 2017)</w:t>
            </w:r>
          </w:p>
        </w:tc>
        <w:tc>
          <w:tcPr>
            <w:tcW w:w="3450" w:type="dxa"/>
            <w:tcBorders/>
            <w:hideMark/>
          </w:tcPr>
          <w:p w14:paraId="1AE2229F">
            <w:pPr>
              <w:pStyle w:val="style0"/>
              <w:spacing w:lineRule="auto" w:line="360"/>
              <w:rPr>
                <w:rFonts w:ascii="Arial" w:cs="Arial" w:eastAsia="Times New Roman" w:hAnsi="Arial"/>
                <w:szCs w:val="24"/>
              </w:rPr>
            </w:pPr>
            <w:r>
              <w:rPr>
                <w:rFonts w:ascii="Arial" w:cs="Arial" w:eastAsia="Times New Roman" w:hAnsi="Arial"/>
                <w:szCs w:val="24"/>
              </w:rPr>
              <w:t>The study is useful for explaining the reciprocal nature of data-driven personalisation: customers may exchange information when they perceive sufficient value. Nevertheless, it does not directly establish that personalised discounts themselves generate loyalty.</w:t>
            </w:r>
          </w:p>
        </w:tc>
      </w:tr>
      <w:tr w14:paraId="2D0C3FB1">
        <w:tblPrEx/>
        <w:trPr/>
        <w:tc>
          <w:tcPr>
            <w:tcW w:w="2322" w:type="dxa"/>
            <w:tcBorders/>
            <w:hideMark/>
          </w:tcPr>
          <w:p w14:paraId="54783FE0">
            <w:pPr>
              <w:pStyle w:val="style0"/>
              <w:spacing w:lineRule="auto" w:line="360"/>
              <w:rPr>
                <w:rFonts w:ascii="Arial" w:cs="Arial" w:eastAsia="Times New Roman" w:hAnsi="Arial"/>
                <w:szCs w:val="24"/>
              </w:rPr>
            </w:pPr>
            <w:r>
              <w:rPr>
                <w:rFonts w:ascii="Arial" w:cs="Arial" w:eastAsia="Times New Roman" w:hAnsi="Arial"/>
                <w:b/>
                <w:bCs/>
                <w:szCs w:val="24"/>
              </w:rPr>
              <w:t>Aguirre et al. (2015)</w:t>
            </w:r>
            <w:r>
              <w:rPr>
                <w:rFonts w:ascii="Arial" w:cs="Arial" w:eastAsia="Times New Roman" w:hAnsi="Arial"/>
                <w:szCs w:val="24"/>
              </w:rPr>
              <w:t xml:space="preserve"> – Personalisation and privacy</w:t>
            </w:r>
          </w:p>
        </w:tc>
        <w:tc>
          <w:tcPr>
            <w:tcW w:w="2195" w:type="dxa"/>
            <w:tcBorders/>
            <w:hideMark/>
          </w:tcPr>
          <w:p w14:paraId="243767B1">
            <w:pPr>
              <w:pStyle w:val="style0"/>
              <w:spacing w:lineRule="auto" w:line="360"/>
              <w:rPr>
                <w:rFonts w:ascii="Arial" w:cs="Arial" w:eastAsia="Times New Roman" w:hAnsi="Arial"/>
                <w:szCs w:val="24"/>
              </w:rPr>
            </w:pPr>
            <w:r>
              <w:rPr>
                <w:rFonts w:ascii="Arial" w:cs="Arial" w:eastAsia="Times New Roman" w:hAnsi="Arial"/>
                <w:szCs w:val="24"/>
              </w:rPr>
              <w:t xml:space="preserve">Field evidence and three experiments examining personalisation alongside different </w:t>
            </w:r>
            <w:r>
              <w:rPr>
                <w:rFonts w:ascii="Arial" w:cs="Arial" w:eastAsia="Times New Roman" w:hAnsi="Arial"/>
                <w:szCs w:val="24"/>
              </w:rPr>
              <w:t>approaches to information collection.</w:t>
            </w:r>
          </w:p>
        </w:tc>
        <w:tc>
          <w:tcPr>
            <w:tcW w:w="0" w:type="auto"/>
            <w:tcBorders/>
            <w:hideMark/>
          </w:tcPr>
          <w:p w14:paraId="7C91B9AE">
            <w:pPr>
              <w:pStyle w:val="style0"/>
              <w:spacing w:lineRule="auto" w:line="360"/>
              <w:rPr>
                <w:rFonts w:ascii="Arial" w:cs="Arial" w:eastAsia="Times New Roman" w:hAnsi="Arial"/>
                <w:szCs w:val="24"/>
              </w:rPr>
            </w:pPr>
            <w:r>
              <w:rPr>
                <w:rFonts w:ascii="Arial" w:cs="Arial" w:eastAsia="Times New Roman" w:hAnsi="Arial"/>
                <w:szCs w:val="24"/>
              </w:rPr>
              <w:t xml:space="preserve">Covert information collection increased feelings of vulnerability and reduced responses to personalised </w:t>
            </w:r>
            <w:r>
              <w:rPr>
                <w:rFonts w:ascii="Arial" w:cs="Arial" w:eastAsia="Times New Roman" w:hAnsi="Arial"/>
                <w:szCs w:val="24"/>
              </w:rPr>
              <w:t>advertising, whereas transparency and trust-building measures reduced these negative reactions. (Aguirre et al., 2015)</w:t>
            </w:r>
          </w:p>
        </w:tc>
        <w:tc>
          <w:tcPr>
            <w:tcW w:w="3450" w:type="dxa"/>
            <w:tcBorders/>
            <w:hideMark/>
          </w:tcPr>
          <w:p w14:paraId="7D8D33E1">
            <w:pPr>
              <w:pStyle w:val="style0"/>
              <w:spacing w:lineRule="auto" w:line="360"/>
              <w:rPr>
                <w:rFonts w:ascii="Arial" w:cs="Arial" w:eastAsia="Times New Roman" w:hAnsi="Arial"/>
                <w:szCs w:val="24"/>
              </w:rPr>
            </w:pPr>
            <w:r>
              <w:rPr>
                <w:rFonts w:ascii="Arial" w:cs="Arial" w:eastAsia="Times New Roman" w:hAnsi="Arial"/>
                <w:szCs w:val="24"/>
              </w:rPr>
              <w:t xml:space="preserve">The experimental design strengthens the evidence for a privacy–personalisation relationship. However, advertising response is not equivalent to enduring </w:t>
            </w:r>
            <w:r>
              <w:rPr>
                <w:rFonts w:ascii="Arial" w:cs="Arial" w:eastAsia="Times New Roman" w:hAnsi="Arial"/>
                <w:szCs w:val="24"/>
              </w:rPr>
              <w:t>supermarket loyalty, and the study should not be used as evidence that satisfaction mediates loyalty.</w:t>
            </w:r>
          </w:p>
        </w:tc>
      </w:tr>
      <w:tr w14:paraId="6358AA8D">
        <w:tblPrEx/>
        <w:trPr/>
        <w:tc>
          <w:tcPr>
            <w:tcW w:w="2322" w:type="dxa"/>
            <w:tcBorders/>
            <w:hideMark/>
          </w:tcPr>
          <w:p w14:paraId="49F43401">
            <w:pPr>
              <w:pStyle w:val="style0"/>
              <w:spacing w:lineRule="auto" w:line="360"/>
              <w:rPr>
                <w:rFonts w:ascii="Arial" w:cs="Arial" w:eastAsia="Times New Roman" w:hAnsi="Arial"/>
                <w:szCs w:val="24"/>
              </w:rPr>
            </w:pPr>
            <w:r>
              <w:rPr>
                <w:rFonts w:ascii="Arial" w:cs="Arial" w:eastAsia="Times New Roman" w:hAnsi="Arial"/>
                <w:b/>
                <w:bCs/>
                <w:szCs w:val="24"/>
              </w:rPr>
              <w:t>Richards, Liaukonyte and Streletskaya (2016)</w:t>
            </w:r>
            <w:r>
              <w:rPr>
                <w:rFonts w:ascii="Arial" w:cs="Arial" w:eastAsia="Times New Roman" w:hAnsi="Arial"/>
                <w:szCs w:val="24"/>
              </w:rPr>
              <w:t xml:space="preserve"> – Personalised pricing and fairness</w:t>
            </w:r>
          </w:p>
        </w:tc>
        <w:tc>
          <w:tcPr>
            <w:tcW w:w="2195" w:type="dxa"/>
            <w:tcBorders/>
            <w:hideMark/>
          </w:tcPr>
          <w:p w14:paraId="387BE7E0">
            <w:pPr>
              <w:pStyle w:val="style0"/>
              <w:spacing w:lineRule="auto" w:line="360"/>
              <w:rPr>
                <w:rFonts w:ascii="Arial" w:cs="Arial" w:eastAsia="Times New Roman" w:hAnsi="Arial"/>
                <w:szCs w:val="24"/>
              </w:rPr>
            </w:pPr>
            <w:r>
              <w:rPr>
                <w:rFonts w:ascii="Arial" w:cs="Arial" w:eastAsia="Times New Roman" w:hAnsi="Arial"/>
                <w:szCs w:val="24"/>
              </w:rPr>
              <w:t>Consumer pricing experiments examining unequal prices and different forms of customer participation in price setting.</w:t>
            </w:r>
          </w:p>
        </w:tc>
        <w:tc>
          <w:tcPr>
            <w:tcW w:w="0" w:type="auto"/>
            <w:tcBorders/>
            <w:hideMark/>
          </w:tcPr>
          <w:p w14:paraId="047B4A3B">
            <w:pPr>
              <w:pStyle w:val="style0"/>
              <w:spacing w:lineRule="auto" w:line="360"/>
              <w:rPr>
                <w:rFonts w:ascii="Arial" w:cs="Arial" w:eastAsia="Times New Roman" w:hAnsi="Arial"/>
                <w:szCs w:val="24"/>
              </w:rPr>
            </w:pPr>
            <w:r>
              <w:rPr>
                <w:rFonts w:ascii="Arial" w:cs="Arial" w:eastAsia="Times New Roman" w:hAnsi="Arial"/>
                <w:szCs w:val="24"/>
              </w:rPr>
              <w:t>Customer reactions to price differences depend partly on whether individuals perceive themselves as benefiting or being disadvantaged. (Richards, Liaukonyte and Streletskaya, 2016)</w:t>
            </w:r>
          </w:p>
        </w:tc>
        <w:tc>
          <w:tcPr>
            <w:tcW w:w="3450" w:type="dxa"/>
            <w:tcBorders/>
            <w:hideMark/>
          </w:tcPr>
          <w:p w14:paraId="08DB6259">
            <w:pPr>
              <w:pStyle w:val="style0"/>
              <w:spacing w:lineRule="auto" w:line="360"/>
              <w:rPr>
                <w:rFonts w:ascii="Arial" w:cs="Arial" w:eastAsia="Times New Roman" w:hAnsi="Arial"/>
                <w:szCs w:val="24"/>
              </w:rPr>
            </w:pPr>
            <w:r>
              <w:rPr>
                <w:rFonts w:ascii="Arial" w:cs="Arial" w:eastAsia="Times New Roman" w:hAnsi="Arial"/>
                <w:szCs w:val="24"/>
              </w:rPr>
              <w:t>The study supports the importance of perceived fairness but concerns negotiated and differentiated prices rather than supermarket loyalty pricing. Its findings therefore require contextual interpretation when applied to grocery loyalty schemes.</w:t>
            </w:r>
          </w:p>
        </w:tc>
      </w:tr>
      <w:tr w14:paraId="485D2539">
        <w:tblPrEx/>
        <w:trPr/>
        <w:tc>
          <w:tcPr>
            <w:tcW w:w="2322" w:type="dxa"/>
            <w:tcBorders/>
            <w:hideMark/>
          </w:tcPr>
          <w:p w14:paraId="5B93C23B">
            <w:pPr>
              <w:pStyle w:val="style0"/>
              <w:spacing w:lineRule="auto" w:line="360"/>
              <w:rPr>
                <w:rFonts w:ascii="Arial" w:cs="Arial" w:eastAsia="Times New Roman" w:hAnsi="Arial"/>
                <w:szCs w:val="24"/>
              </w:rPr>
            </w:pPr>
            <w:r>
              <w:rPr>
                <w:rFonts w:ascii="Arial" w:cs="Arial" w:eastAsia="Times New Roman" w:hAnsi="Arial"/>
                <w:b/>
                <w:bCs/>
                <w:szCs w:val="24"/>
              </w:rPr>
              <w:t>Hufnagel, Schwaiger and Weritz (2022)</w:t>
            </w:r>
            <w:r>
              <w:rPr>
                <w:rFonts w:ascii="Arial" w:cs="Arial" w:eastAsia="Times New Roman" w:hAnsi="Arial"/>
                <w:szCs w:val="24"/>
              </w:rPr>
              <w:t xml:space="preserve"> – Consumer reactions to personalised prices</w:t>
            </w:r>
          </w:p>
        </w:tc>
        <w:tc>
          <w:tcPr>
            <w:tcW w:w="2195" w:type="dxa"/>
            <w:tcBorders/>
            <w:hideMark/>
          </w:tcPr>
          <w:p w14:paraId="4E8F378F">
            <w:pPr>
              <w:pStyle w:val="style0"/>
              <w:spacing w:lineRule="auto" w:line="360"/>
              <w:rPr>
                <w:rFonts w:ascii="Arial" w:cs="Arial" w:eastAsia="Times New Roman" w:hAnsi="Arial"/>
                <w:szCs w:val="24"/>
              </w:rPr>
            </w:pPr>
            <w:r>
              <w:rPr>
                <w:rFonts w:ascii="Arial" w:cs="Arial" w:eastAsia="Times New Roman" w:hAnsi="Arial"/>
                <w:szCs w:val="24"/>
              </w:rPr>
              <w:t>Three online experiments investigating personalised prices that could favour or disadvantage customers.</w:t>
            </w:r>
          </w:p>
        </w:tc>
        <w:tc>
          <w:tcPr>
            <w:tcW w:w="0" w:type="auto"/>
            <w:tcBorders/>
            <w:hideMark/>
          </w:tcPr>
          <w:p w14:paraId="675358E4">
            <w:pPr>
              <w:pStyle w:val="style0"/>
              <w:spacing w:lineRule="auto" w:line="360"/>
              <w:rPr>
                <w:rFonts w:ascii="Arial" w:cs="Arial" w:eastAsia="Times New Roman" w:hAnsi="Arial"/>
                <w:szCs w:val="24"/>
              </w:rPr>
            </w:pPr>
            <w:r>
              <w:rPr>
                <w:rFonts w:ascii="Arial" w:cs="Arial" w:eastAsia="Times New Roman" w:hAnsi="Arial"/>
                <w:szCs w:val="24"/>
              </w:rPr>
              <w:t xml:space="preserve">Personalised price discrimination generated adverse attitudinal and behavioural responses, with fairness perceptions helping to explain these reactions. (Hufnagel, </w:t>
            </w:r>
            <w:r>
              <w:rPr>
                <w:rFonts w:ascii="Arial" w:cs="Arial" w:eastAsia="Times New Roman" w:hAnsi="Arial"/>
                <w:szCs w:val="24"/>
              </w:rPr>
              <w:t>Schwaiger and Weritz, 2022)</w:t>
            </w:r>
          </w:p>
        </w:tc>
        <w:tc>
          <w:tcPr>
            <w:tcW w:w="3450" w:type="dxa"/>
            <w:tcBorders/>
            <w:hideMark/>
          </w:tcPr>
          <w:p w14:paraId="03860AE8">
            <w:pPr>
              <w:pStyle w:val="style0"/>
              <w:spacing w:lineRule="auto" w:line="360"/>
              <w:rPr>
                <w:rFonts w:ascii="Arial" w:cs="Arial" w:eastAsia="Times New Roman" w:hAnsi="Arial"/>
                <w:szCs w:val="24"/>
              </w:rPr>
            </w:pPr>
            <w:r>
              <w:rPr>
                <w:rFonts w:ascii="Arial" w:cs="Arial" w:eastAsia="Times New Roman" w:hAnsi="Arial"/>
                <w:szCs w:val="24"/>
              </w:rPr>
              <w:t>This provides useful counterevidence to the assumption that a personalised price is automatically beneficial. However, individual price discrimination differs from common supermarket membership pricing, so the findings cannot be transferred without qualification.</w:t>
            </w:r>
          </w:p>
        </w:tc>
      </w:tr>
      <w:tr w14:paraId="4371424B">
        <w:tblPrEx/>
        <w:trPr/>
        <w:tc>
          <w:tcPr>
            <w:tcW w:w="2322" w:type="dxa"/>
            <w:tcBorders/>
            <w:hideMark/>
          </w:tcPr>
          <w:p w14:paraId="3869C55D">
            <w:pPr>
              <w:pStyle w:val="style0"/>
              <w:spacing w:lineRule="auto" w:line="360"/>
              <w:rPr>
                <w:rFonts w:ascii="Arial" w:cs="Arial" w:eastAsia="Times New Roman" w:hAnsi="Arial"/>
                <w:szCs w:val="24"/>
              </w:rPr>
            </w:pPr>
            <w:r>
              <w:rPr>
                <w:rFonts w:ascii="Arial" w:cs="Arial" w:eastAsia="Times New Roman" w:hAnsi="Arial"/>
                <w:b/>
                <w:bCs/>
                <w:szCs w:val="24"/>
              </w:rPr>
              <w:t>Hride, Ferdousi and Jasimuddin (2022)</w:t>
            </w:r>
            <w:r>
              <w:rPr>
                <w:rFonts w:ascii="Arial" w:cs="Arial" w:eastAsia="Times New Roman" w:hAnsi="Arial"/>
                <w:szCs w:val="24"/>
              </w:rPr>
              <w:t xml:space="preserve"> – Fairness, trust and satisfaction</w:t>
            </w:r>
          </w:p>
        </w:tc>
        <w:tc>
          <w:tcPr>
            <w:tcW w:w="2195" w:type="dxa"/>
            <w:tcBorders/>
            <w:hideMark/>
          </w:tcPr>
          <w:p w14:paraId="4CC54977">
            <w:pPr>
              <w:pStyle w:val="style0"/>
              <w:spacing w:lineRule="auto" w:line="360"/>
              <w:rPr>
                <w:rFonts w:ascii="Arial" w:cs="Arial" w:eastAsia="Times New Roman" w:hAnsi="Arial"/>
                <w:szCs w:val="24"/>
              </w:rPr>
            </w:pPr>
            <w:r>
              <w:rPr>
                <w:rFonts w:ascii="Arial" w:cs="Arial" w:eastAsia="Times New Roman" w:hAnsi="Arial"/>
                <w:szCs w:val="24"/>
              </w:rPr>
              <w:t>Questionnaire study of 171 Facebook-commerce users in Bangladesh, analysed using structural equation modelling.</w:t>
            </w:r>
          </w:p>
        </w:tc>
        <w:tc>
          <w:tcPr>
            <w:tcW w:w="0" w:type="auto"/>
            <w:tcBorders/>
            <w:hideMark/>
          </w:tcPr>
          <w:p w14:paraId="47A03B6A">
            <w:pPr>
              <w:pStyle w:val="style0"/>
              <w:spacing w:lineRule="auto" w:line="360"/>
              <w:rPr>
                <w:rFonts w:ascii="Arial" w:cs="Arial" w:eastAsia="Times New Roman" w:hAnsi="Arial"/>
                <w:szCs w:val="24"/>
              </w:rPr>
            </w:pPr>
            <w:r>
              <w:rPr>
                <w:rFonts w:ascii="Arial" w:cs="Arial" w:eastAsia="Times New Roman" w:hAnsi="Arial"/>
                <w:szCs w:val="24"/>
              </w:rPr>
              <w:t>Perceived price fairness was positively related to satisfaction, trust and loyalty. However, satisfaction and trust did not mediate the fairness–loyalty relationship. (Hride, Ferdousi and Jasimuddin, 2022)</w:t>
            </w:r>
          </w:p>
        </w:tc>
        <w:tc>
          <w:tcPr>
            <w:tcW w:w="3450" w:type="dxa"/>
            <w:tcBorders/>
            <w:hideMark/>
          </w:tcPr>
          <w:p w14:paraId="69141B89">
            <w:pPr>
              <w:pStyle w:val="style0"/>
              <w:spacing w:lineRule="auto" w:line="360"/>
              <w:rPr>
                <w:rFonts w:ascii="Arial" w:cs="Arial" w:eastAsia="Times New Roman" w:hAnsi="Arial"/>
                <w:szCs w:val="24"/>
              </w:rPr>
            </w:pPr>
            <w:r>
              <w:rPr>
                <w:rFonts w:ascii="Arial" w:cs="Arial" w:eastAsia="Times New Roman" w:hAnsi="Arial"/>
                <w:szCs w:val="24"/>
              </w:rPr>
              <w:t>This is valuable counterevidence because it demonstrates that positive relationships between variables do not necessarily establish mediation. The Facebook-commerce setting and relatively small sample limit direct application to established UK grocery programmes.</w:t>
            </w:r>
          </w:p>
        </w:tc>
      </w:tr>
      <w:tr w14:paraId="3F6C9D3D">
        <w:tblPrEx/>
        <w:trPr/>
        <w:tc>
          <w:tcPr>
            <w:tcW w:w="2322" w:type="dxa"/>
            <w:tcBorders/>
            <w:hideMark/>
          </w:tcPr>
          <w:p w14:paraId="6B0903D2">
            <w:pPr>
              <w:pStyle w:val="style0"/>
              <w:spacing w:lineRule="auto" w:line="360"/>
              <w:rPr>
                <w:rFonts w:ascii="Arial" w:cs="Arial" w:eastAsia="Times New Roman" w:hAnsi="Arial"/>
                <w:szCs w:val="24"/>
              </w:rPr>
            </w:pPr>
            <w:r>
              <w:rPr>
                <w:rFonts w:ascii="Arial" w:cs="Arial" w:eastAsia="Times New Roman" w:hAnsi="Arial"/>
                <w:b/>
                <w:bCs/>
                <w:szCs w:val="24"/>
              </w:rPr>
              <w:t>Alagarsamy, Mehrolia and Singh (2021)</w:t>
            </w:r>
            <w:r>
              <w:rPr>
                <w:rFonts w:ascii="Arial" w:cs="Arial" w:eastAsia="Times New Roman" w:hAnsi="Arial"/>
                <w:szCs w:val="24"/>
              </w:rPr>
              <w:t xml:space="preserve"> – Relationship quality in online grocery retail</w:t>
            </w:r>
          </w:p>
        </w:tc>
        <w:tc>
          <w:tcPr>
            <w:tcW w:w="2195" w:type="dxa"/>
            <w:tcBorders/>
            <w:hideMark/>
          </w:tcPr>
          <w:p w14:paraId="53E4818E">
            <w:pPr>
              <w:pStyle w:val="style0"/>
              <w:spacing w:lineRule="auto" w:line="360"/>
              <w:rPr>
                <w:rFonts w:ascii="Arial" w:cs="Arial" w:eastAsia="Times New Roman" w:hAnsi="Arial"/>
                <w:szCs w:val="24"/>
              </w:rPr>
            </w:pPr>
            <w:r>
              <w:rPr>
                <w:rFonts w:ascii="Arial" w:cs="Arial" w:eastAsia="Times New Roman" w:hAnsi="Arial"/>
                <w:szCs w:val="24"/>
              </w:rPr>
              <w:t>Questionnaire study of 316 shoppers aged 20–35 across five Bangalore clusters, analysed using structural equation modelling.</w:t>
            </w:r>
          </w:p>
        </w:tc>
        <w:tc>
          <w:tcPr>
            <w:tcW w:w="0" w:type="auto"/>
            <w:tcBorders/>
            <w:hideMark/>
          </w:tcPr>
          <w:p w14:paraId="004AFE94">
            <w:pPr>
              <w:pStyle w:val="style0"/>
              <w:spacing w:lineRule="auto" w:line="360"/>
              <w:rPr>
                <w:rFonts w:ascii="Arial" w:cs="Arial" w:eastAsia="Times New Roman" w:hAnsi="Arial"/>
                <w:szCs w:val="24"/>
              </w:rPr>
            </w:pPr>
            <w:r>
              <w:rPr>
                <w:rFonts w:ascii="Arial" w:cs="Arial" w:eastAsia="Times New Roman" w:hAnsi="Arial"/>
                <w:szCs w:val="24"/>
              </w:rPr>
              <w:t xml:space="preserve">Relationship quality mediated the relationship between relational bonds and loyalty. Financial, empathy and social bonds contributed differently, while convenience and structural bonds did not directly influence trust or loyalty. (Alagarsamy, </w:t>
            </w:r>
            <w:r>
              <w:rPr>
                <w:rFonts w:ascii="Arial" w:cs="Arial" w:eastAsia="Times New Roman" w:hAnsi="Arial"/>
                <w:szCs w:val="24"/>
              </w:rPr>
              <w:t>Mehrolia and Singh, 2021)</w:t>
            </w:r>
          </w:p>
        </w:tc>
        <w:tc>
          <w:tcPr>
            <w:tcW w:w="3450" w:type="dxa"/>
            <w:tcBorders/>
            <w:hideMark/>
          </w:tcPr>
          <w:p w14:paraId="58152D02">
            <w:pPr>
              <w:pStyle w:val="style0"/>
              <w:spacing w:lineRule="auto" w:line="360"/>
              <w:rPr>
                <w:rFonts w:ascii="Arial" w:cs="Arial" w:eastAsia="Times New Roman" w:hAnsi="Arial"/>
                <w:szCs w:val="24"/>
              </w:rPr>
            </w:pPr>
            <w:r>
              <w:rPr>
                <w:rFonts w:ascii="Arial" w:cs="Arial" w:eastAsia="Times New Roman" w:hAnsi="Arial"/>
                <w:szCs w:val="24"/>
              </w:rPr>
              <w:t>The findings reinforce the argument that loyalty extends beyond monetary incentives. However, the restricted age group and single-city setting constrain generalisation, while relational bonds are broader than personalised offers.</w:t>
            </w:r>
          </w:p>
        </w:tc>
      </w:tr>
      <w:tr w14:paraId="3EDB900A">
        <w:tblPrEx/>
        <w:trPr/>
        <w:tc>
          <w:tcPr>
            <w:tcW w:w="2322" w:type="dxa"/>
            <w:tcBorders/>
            <w:hideMark/>
          </w:tcPr>
          <w:p w14:paraId="44D90A85">
            <w:pPr>
              <w:pStyle w:val="style0"/>
              <w:spacing w:lineRule="auto" w:line="360"/>
              <w:rPr>
                <w:rFonts w:ascii="Arial" w:cs="Arial" w:eastAsia="Times New Roman" w:hAnsi="Arial"/>
                <w:szCs w:val="24"/>
              </w:rPr>
            </w:pPr>
            <w:r>
              <w:rPr>
                <w:rFonts w:ascii="Arial" w:cs="Arial" w:eastAsia="Times New Roman" w:hAnsi="Arial"/>
                <w:b/>
                <w:bCs/>
                <w:szCs w:val="24"/>
              </w:rPr>
              <w:t>Hassan, Abdelraouf and El-Shihy (2025)</w:t>
            </w:r>
            <w:r>
              <w:rPr>
                <w:rFonts w:ascii="Arial" w:cs="Arial" w:eastAsia="Times New Roman" w:hAnsi="Arial"/>
                <w:szCs w:val="24"/>
              </w:rPr>
              <w:t xml:space="preserve"> – Personalisation, trust and satisfaction</w:t>
            </w:r>
          </w:p>
        </w:tc>
        <w:tc>
          <w:tcPr>
            <w:tcW w:w="2195" w:type="dxa"/>
            <w:tcBorders/>
            <w:hideMark/>
          </w:tcPr>
          <w:p w14:paraId="55757698">
            <w:pPr>
              <w:pStyle w:val="style0"/>
              <w:spacing w:lineRule="auto" w:line="360"/>
              <w:rPr>
                <w:rFonts w:ascii="Arial" w:cs="Arial" w:eastAsia="Times New Roman" w:hAnsi="Arial"/>
                <w:szCs w:val="24"/>
              </w:rPr>
            </w:pPr>
            <w:r>
              <w:rPr>
                <w:rFonts w:ascii="Arial" w:cs="Arial" w:eastAsia="Times New Roman" w:hAnsi="Arial"/>
                <w:szCs w:val="24"/>
              </w:rPr>
              <w:t>Online survey of 729 Egyptian users of AI recommendations, analysed through structural equation modelling.</w:t>
            </w:r>
          </w:p>
        </w:tc>
        <w:tc>
          <w:tcPr>
            <w:tcW w:w="0" w:type="auto"/>
            <w:tcBorders/>
            <w:hideMark/>
          </w:tcPr>
          <w:p w14:paraId="16537CBD">
            <w:pPr>
              <w:pStyle w:val="style0"/>
              <w:spacing w:lineRule="auto" w:line="360"/>
              <w:rPr>
                <w:rFonts w:ascii="Arial" w:cs="Arial" w:eastAsia="Times New Roman" w:hAnsi="Arial"/>
                <w:szCs w:val="24"/>
              </w:rPr>
            </w:pPr>
            <w:r>
              <w:rPr>
                <w:rFonts w:ascii="Arial" w:cs="Arial" w:eastAsia="Times New Roman" w:hAnsi="Arial"/>
                <w:szCs w:val="24"/>
              </w:rPr>
              <w:t>Trust was positively associated with satisfaction and loyalty, with satisfaction partially mediating the effect. The detailed results also reported negative moderation of the trust–satisfaction relationship, indicating that the relationship is more complex than a uniformly positive effect. (Hassan, Abdelraouf and El-Shihy, 2025)</w:t>
            </w:r>
          </w:p>
        </w:tc>
        <w:tc>
          <w:tcPr>
            <w:tcW w:w="3450" w:type="dxa"/>
            <w:tcBorders/>
            <w:hideMark/>
          </w:tcPr>
          <w:p w14:paraId="1BE51822">
            <w:pPr>
              <w:pStyle w:val="style0"/>
              <w:spacing w:lineRule="auto" w:line="360"/>
              <w:rPr>
                <w:rFonts w:ascii="Arial" w:cs="Arial" w:eastAsia="Times New Roman" w:hAnsi="Arial"/>
                <w:szCs w:val="24"/>
              </w:rPr>
            </w:pPr>
            <w:r>
              <w:rPr>
                <w:rFonts w:ascii="Arial" w:cs="Arial" w:eastAsia="Times New Roman" w:hAnsi="Arial"/>
                <w:szCs w:val="24"/>
              </w:rPr>
              <w:t>The study closely corresponds with the present research variables and supports a conditional interpretation of personalisation. Nevertheless, its AI-recommendation context and purposive online sample limit direct transfer to supermarket loyalty pricing.</w:t>
            </w:r>
          </w:p>
        </w:tc>
      </w:tr>
      <w:tr w14:paraId="4A9C29E4">
        <w:tblPrEx/>
        <w:trPr/>
        <w:tc>
          <w:tcPr>
            <w:tcW w:w="2322" w:type="dxa"/>
            <w:tcBorders/>
            <w:hideMark/>
          </w:tcPr>
          <w:p w14:paraId="0831B89C">
            <w:pPr>
              <w:pStyle w:val="style0"/>
              <w:spacing w:lineRule="auto" w:line="360"/>
              <w:rPr>
                <w:rFonts w:ascii="Arial" w:cs="Arial" w:eastAsia="Times New Roman" w:hAnsi="Arial"/>
                <w:szCs w:val="24"/>
              </w:rPr>
            </w:pPr>
            <w:r>
              <w:rPr>
                <w:rFonts w:ascii="Arial" w:cs="Arial" w:eastAsia="Times New Roman" w:hAnsi="Arial"/>
                <w:b/>
                <w:bCs/>
                <w:szCs w:val="24"/>
              </w:rPr>
              <w:t>Alisa and Agus (2025)</w:t>
            </w:r>
            <w:r>
              <w:rPr>
                <w:rFonts w:ascii="Arial" w:cs="Arial" w:eastAsia="Times New Roman" w:hAnsi="Arial"/>
                <w:szCs w:val="24"/>
              </w:rPr>
              <w:t xml:space="preserve"> – Trust, satisfaction and repurchase</w:t>
            </w:r>
          </w:p>
        </w:tc>
        <w:tc>
          <w:tcPr>
            <w:tcW w:w="2195" w:type="dxa"/>
            <w:tcBorders/>
            <w:hideMark/>
          </w:tcPr>
          <w:p w14:paraId="7683FE81">
            <w:pPr>
              <w:pStyle w:val="style0"/>
              <w:spacing w:lineRule="auto" w:line="360"/>
              <w:rPr>
                <w:rFonts w:ascii="Arial" w:cs="Arial" w:eastAsia="Times New Roman" w:hAnsi="Arial"/>
                <w:szCs w:val="24"/>
              </w:rPr>
            </w:pPr>
            <w:r>
              <w:rPr>
                <w:rFonts w:ascii="Arial" w:cs="Arial" w:eastAsia="Times New Roman" w:hAnsi="Arial"/>
                <w:szCs w:val="24"/>
              </w:rPr>
              <w:t xml:space="preserve">Partial least squares structural-equation modelling involving 340 upper-middle-class Indonesian e-commerce consumers in the </w:t>
            </w:r>
            <w:r>
              <w:rPr>
                <w:rFonts w:ascii="Arial" w:cs="Arial" w:eastAsia="Times New Roman" w:hAnsi="Arial"/>
                <w:szCs w:val="24"/>
              </w:rPr>
              <w:t>home-and-living sector.</w:t>
            </w:r>
          </w:p>
        </w:tc>
        <w:tc>
          <w:tcPr>
            <w:tcW w:w="0" w:type="auto"/>
            <w:tcBorders/>
            <w:hideMark/>
          </w:tcPr>
          <w:p w14:paraId="40C77FCB">
            <w:pPr>
              <w:pStyle w:val="style0"/>
              <w:spacing w:lineRule="auto" w:line="360"/>
              <w:rPr>
                <w:rFonts w:ascii="Arial" w:cs="Arial" w:eastAsia="Times New Roman" w:hAnsi="Arial"/>
                <w:szCs w:val="24"/>
              </w:rPr>
            </w:pPr>
            <w:r>
              <w:rPr>
                <w:rFonts w:ascii="Arial" w:cs="Arial" w:eastAsia="Times New Roman" w:hAnsi="Arial"/>
                <w:szCs w:val="24"/>
              </w:rPr>
              <w:t xml:space="preserve">Satisfaction was identified as a major driver of repurchase intention, while perceived privacy and security contributed positively to </w:t>
            </w:r>
            <w:r>
              <w:rPr>
                <w:rFonts w:ascii="Arial" w:cs="Arial" w:eastAsia="Times New Roman" w:hAnsi="Arial"/>
                <w:szCs w:val="24"/>
              </w:rPr>
              <w:t>satisfaction. Personalisation did not have a statistically significant effect in the reported model. (Alisa and Agus, 2025)</w:t>
            </w:r>
          </w:p>
        </w:tc>
        <w:tc>
          <w:tcPr>
            <w:tcW w:w="3450" w:type="dxa"/>
            <w:tcBorders/>
            <w:hideMark/>
          </w:tcPr>
          <w:p w14:paraId="407E5BFF">
            <w:pPr>
              <w:pStyle w:val="style0"/>
              <w:spacing w:lineRule="auto" w:line="360"/>
              <w:rPr>
                <w:rFonts w:ascii="Arial" w:cs="Arial" w:eastAsia="Times New Roman" w:hAnsi="Arial"/>
                <w:szCs w:val="24"/>
              </w:rPr>
            </w:pPr>
            <w:r>
              <w:rPr>
                <w:rFonts w:ascii="Arial" w:cs="Arial" w:eastAsia="Times New Roman" w:hAnsi="Arial"/>
                <w:szCs w:val="24"/>
              </w:rPr>
              <w:t xml:space="preserve">The non-significant personalisation finding is particularly useful because it prevents the literature review from presenting only positive evidence. However, repurchase intention differs from customer loyalty, and the Indonesian e-commerce </w:t>
            </w:r>
            <w:r>
              <w:rPr>
                <w:rFonts w:ascii="Arial" w:cs="Arial" w:eastAsia="Times New Roman" w:hAnsi="Arial"/>
                <w:szCs w:val="24"/>
              </w:rPr>
              <w:t>context limits direct application to UK grocery retail.</w:t>
            </w:r>
          </w:p>
        </w:tc>
      </w:tr>
    </w:tbl>
    <w:p w14:paraId="4111DDAF">
      <w:pPr>
        <w:pStyle w:val="style34"/>
        <w:keepNext/>
        <w:spacing w:lineRule="auto" w:line="360"/>
        <w:rPr>
          <w:rFonts w:ascii="Arial" w:cs="Arial" w:hAnsi="Arial"/>
          <w:i w:val="false"/>
          <w:iCs w:val="false"/>
          <w:sz w:val="24"/>
          <w:szCs w:val="24"/>
        </w:rPr>
      </w:pPr>
    </w:p>
    <w:bookmarkStart w:id="42" w:name="_Toc240449018"/>
    <w:p w14:paraId="13021B87">
      <w:pPr>
        <w:pStyle w:val="style0"/>
        <w:spacing w:lineRule="auto" w:line="360"/>
        <w:jc w:val="center"/>
        <w:rPr>
          <w:rFonts w:ascii="Arial" w:cs="Arial" w:hAnsi="Arial"/>
        </w:rPr>
      </w:pPr>
      <w:r>
        <w:rPr>
          <w:rFonts w:ascii="Arial" w:cs="Arial" w:hAnsi="Arial"/>
        </w:rPr>
        <w:t xml:space="preserve">Table </w:t>
      </w:r>
      <w:r>
        <w:rPr>
          <w:rFonts w:ascii="Arial" w:cs="Arial" w:hAnsi="Arial"/>
        </w:rPr>
        <w:fldChar w:fldCharType="begin"/>
      </w:r>
      <w:r>
        <w:rPr>
          <w:rFonts w:ascii="Arial" w:cs="Arial" w:hAnsi="Arial"/>
        </w:rPr>
        <w:instrText xml:space="preserve"> SEQ Table \* ARABIC </w:instrText>
      </w:r>
      <w:r>
        <w:rPr>
          <w:rFonts w:ascii="Arial" w:cs="Arial" w:hAnsi="Arial"/>
        </w:rPr>
        <w:fldChar w:fldCharType="separate"/>
      </w:r>
      <w:r>
        <w:rPr>
          <w:rFonts w:ascii="Arial" w:cs="Arial" w:hAnsi="Arial"/>
          <w:noProof/>
        </w:rPr>
        <w:t>1</w:t>
      </w:r>
      <w:r>
        <w:rPr>
          <w:rFonts w:ascii="Arial" w:cs="Arial" w:hAnsi="Arial"/>
        </w:rPr>
        <w:fldChar w:fldCharType="end"/>
      </w:r>
      <w:r>
        <w:rPr>
          <w:rFonts w:ascii="Arial" w:cs="Arial" w:hAnsi="Arial"/>
        </w:rPr>
        <w:t>: Table of Summary of Literature:  Critical Literature Synthesis of Personalisation and Customer Loyalty</w:t>
      </w:r>
      <w:bookmarkEnd w:id="42"/>
      <w:r>
        <w:rPr>
          <w:rFonts w:ascii="Arial" w:cs="Arial" w:hAnsi="Arial"/>
        </w:rPr>
        <w:t xml:space="preserve"> </w:t>
      </w:r>
    </w:p>
    <w:p w14:paraId="6943EDAF">
      <w:pPr>
        <w:pStyle w:val="style0"/>
        <w:spacing w:lineRule="auto" w:line="360"/>
        <w:rPr>
          <w:rFonts w:ascii="Arial" w:cs="Arial" w:hAnsi="Arial"/>
        </w:rPr>
      </w:pPr>
      <w:r>
        <w:rPr>
          <w:rFonts w:ascii="Arial" w:cs="Arial" w:hAnsi="Arial"/>
        </w:rPr>
        <w:t>The literature suggests that the most suitable foundation for this dissertation is the cross-relationship between the three variables of offer relevance, perceived value, fairness, and customer trust in the UK grocery retail environment. There is no evidence that personalisation always enhances loyalty, nor do studies appear to measure customer satisfaction as a mediator across all relationships. Results also underscore the need to differentiate between loyalty-programme participation, customer purchasing behaviour, and deeper attitudinal loyalty, as these outcomes may reflect different types of customer response. For the dissertation's secondary qualitative case-study design, these relationships serve as analytical themes for interpreting evidence across the five cases, not as variables that can be statistically tested for effect or mediatio</w:t>
      </w:r>
      <w:r>
        <w:rPr>
          <w:rFonts w:ascii="Arial" w:cs="Arial" w:hAnsi="Arial"/>
        </w:rPr>
        <w:t>n</w:t>
      </w:r>
      <w:r>
        <w:rPr>
          <w:rFonts w:ascii="Arial" w:cs="Arial" w:hAnsi="Arial"/>
        </w:rPr>
        <w:br w:type="page"/>
      </w:r>
    </w:p>
    <w:bookmarkStart w:id="43" w:name="_Toc238767123"/>
    <w:bookmarkStart w:id="44" w:name="_Toc240496633"/>
    <w:p w14:paraId="4768FE43">
      <w:pPr>
        <w:pStyle w:val="style1"/>
        <w:spacing w:lineRule="auto" w:line="360"/>
        <w:jc w:val="both"/>
        <w:rPr>
          <w:rFonts w:ascii="Arial" w:cs="Arial" w:hAnsi="Arial"/>
          <w:lang w:val="en-GB"/>
        </w:rPr>
      </w:pPr>
      <w:r>
        <w:rPr>
          <w:rFonts w:ascii="Arial" w:cs="Arial" w:hAnsi="Arial"/>
          <w:lang w:val="en-GB"/>
        </w:rPr>
        <w:t>Chapter 3: Research Methodology</w:t>
      </w:r>
      <w:bookmarkEnd w:id="43"/>
      <w:bookmarkEnd w:id="44"/>
    </w:p>
    <w:bookmarkStart w:id="45" w:name="_Toc238767124"/>
    <w:bookmarkStart w:id="46" w:name="_Toc240496634"/>
    <w:p w14:paraId="21EF37F8">
      <w:pPr>
        <w:pStyle w:val="style2"/>
        <w:spacing w:lineRule="auto" w:line="360"/>
        <w:rPr>
          <w:rFonts w:ascii="Arial" w:cs="Arial" w:hAnsi="Arial"/>
        </w:rPr>
      </w:pPr>
      <w:r>
        <w:rPr>
          <w:rFonts w:ascii="Arial" w:cs="Arial" w:hAnsi="Arial"/>
        </w:rPr>
        <w:t>3.1 Introduction</w:t>
      </w:r>
      <w:bookmarkEnd w:id="45"/>
      <w:bookmarkEnd w:id="46"/>
      <w:r>
        <w:rPr>
          <w:rFonts w:ascii="Arial" w:cs="Arial" w:hAnsi="Arial"/>
        </w:rPr>
        <w:t xml:space="preserve"> </w:t>
      </w:r>
    </w:p>
    <w:p w14:paraId="7142E096">
      <w:pPr>
        <w:pStyle w:val="style0"/>
        <w:spacing w:lineRule="auto" w:line="360"/>
        <w:rPr>
          <w:rFonts w:ascii="Arial" w:cs="Arial" w:hAnsi="Arial"/>
        </w:rPr>
      </w:pPr>
      <w:r>
        <w:rPr>
          <w:rFonts w:ascii="Arial" w:cs="Arial" w:hAnsi="Arial"/>
        </w:rPr>
        <w:t>This chapter explains and justifies the methodology used to discuss the effect of personalised offers on customer loyalty in the UK grocery retail industry. This study examines whether the personalisation of the offer in the form of relevance, perceived reward value, perceived fairness and customer trust is relevant in the explanation of customer loyalty and whether customer satisfaction is a mediator between the personalisation of the offer and customer loyalty. These choices in this chapter, which relate to this requirement of analysis, are derived from what was discovered during the literature review: the empirically under-researched dimensions of the sector, namely an interpretivist philosophy, an inductive approach, and a qualitative thematic synthesis of secondary sources.</w:t>
      </w:r>
    </w:p>
    <w:p w14:paraId="1F04125A">
      <w:pPr>
        <w:pStyle w:val="style0"/>
        <w:spacing w:lineRule="auto" w:line="360"/>
        <w:jc w:val="center"/>
        <w:rPr>
          <w:rFonts w:ascii="Arial" w:cs="Arial" w:hAnsi="Arial"/>
        </w:rPr>
      </w:pPr>
      <w:r>
        <w:rPr>
          <w:rFonts w:ascii="Arial" w:cs="Arial" w:hAnsi="Arial"/>
          <w:noProof/>
        </w:rPr>
        <w:drawing>
          <wp:inline distL="0" distT="0" distB="0" distR="0">
            <wp:extent cx="6883699" cy="3375660"/>
            <wp:effectExtent l="0" t="0" r="0" b="0"/>
            <wp:docPr id="1035" name="Picture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2"/>
                    <pic:cNvPicPr/>
                  </pic:nvPicPr>
                  <pic:blipFill>
                    <a:blip r:embed="rId3" cstate="print"/>
                    <a:srcRect l="0" t="0" r="0" b="0"/>
                    <a:stretch/>
                  </pic:blipFill>
                  <pic:spPr>
                    <a:xfrm rot="0">
                      <a:off x="0" y="0"/>
                      <a:ext cx="6883699" cy="3375660"/>
                    </a:xfrm>
                    <a:prstGeom prst="rect"/>
                  </pic:spPr>
                </pic:pic>
              </a:graphicData>
            </a:graphic>
          </wp:inline>
        </w:drawing>
      </w:r>
    </w:p>
    <w:bookmarkStart w:id="47" w:name="_Toc240449021"/>
    <w:p w14:paraId="5CDEB08E">
      <w:pPr>
        <w:pStyle w:val="style34"/>
        <w:spacing w:lineRule="auto" w:line="360"/>
        <w:jc w:val="center"/>
        <w:rPr>
          <w:rFonts w:ascii="Arial" w:cs="Arial" w:hAnsi="Arial"/>
          <w:i w:val="false"/>
          <w:iCs w:val="false"/>
          <w:noProof/>
          <w:color w:val="auto"/>
          <w:sz w:val="24"/>
          <w:szCs w:val="24"/>
        </w:rPr>
      </w:pPr>
      <w:r>
        <w:rPr>
          <w:rFonts w:ascii="Arial" w:cs="Arial" w:hAnsi="Arial"/>
          <w:i w:val="false"/>
          <w:iCs w:val="false"/>
          <w:color w:val="auto"/>
          <w:sz w:val="24"/>
          <w:szCs w:val="24"/>
        </w:rPr>
        <w:t xml:space="preserve">Figure </w:t>
      </w:r>
      <w:r>
        <w:rPr>
          <w:rFonts w:ascii="Arial" w:cs="Arial" w:hAnsi="Arial"/>
          <w:i w:val="false"/>
          <w:iCs w:val="false"/>
          <w:color w:val="auto"/>
          <w:sz w:val="24"/>
          <w:szCs w:val="24"/>
        </w:rPr>
        <w:fldChar w:fldCharType="begin"/>
      </w:r>
      <w:r>
        <w:rPr>
          <w:rFonts w:ascii="Arial" w:cs="Arial" w:hAnsi="Arial"/>
          <w:i w:val="false"/>
          <w:iCs w:val="false"/>
          <w:color w:val="auto"/>
          <w:sz w:val="24"/>
          <w:szCs w:val="24"/>
        </w:rPr>
        <w:instrText xml:space="preserve"> SEQ Figure \* ARABIC </w:instrText>
      </w:r>
      <w:r>
        <w:rPr>
          <w:rFonts w:ascii="Arial" w:cs="Arial" w:hAnsi="Arial"/>
          <w:i w:val="false"/>
          <w:iCs w:val="false"/>
          <w:color w:val="auto"/>
          <w:sz w:val="24"/>
          <w:szCs w:val="24"/>
        </w:rPr>
        <w:fldChar w:fldCharType="separate"/>
      </w:r>
      <w:r>
        <w:rPr>
          <w:rFonts w:ascii="Arial" w:cs="Arial" w:hAnsi="Arial"/>
          <w:i w:val="false"/>
          <w:iCs w:val="false"/>
          <w:noProof/>
          <w:color w:val="auto"/>
          <w:sz w:val="24"/>
          <w:szCs w:val="24"/>
        </w:rPr>
        <w:t>2</w:t>
      </w:r>
      <w:r>
        <w:rPr>
          <w:rFonts w:ascii="Arial" w:cs="Arial" w:hAnsi="Arial"/>
          <w:i w:val="false"/>
          <w:iCs w:val="false"/>
          <w:color w:val="auto"/>
          <w:sz w:val="24"/>
          <w:szCs w:val="24"/>
        </w:rPr>
        <w:fldChar w:fldCharType="end"/>
      </w:r>
      <w:r>
        <w:rPr>
          <w:rFonts w:ascii="Arial" w:cs="Arial" w:hAnsi="Arial"/>
          <w:i w:val="false"/>
          <w:iCs w:val="false"/>
          <w:noProof/>
          <w:color w:val="auto"/>
          <w:sz w:val="24"/>
          <w:szCs w:val="24"/>
        </w:rPr>
        <w:t>: Research Onion (Saunders et al., 2023)</w:t>
      </w:r>
      <w:bookmarkEnd w:id="47"/>
    </w:p>
    <w:p w14:paraId="05357741">
      <w:pPr>
        <w:pStyle w:val="style0"/>
        <w:spacing w:lineRule="auto" w:line="360"/>
        <w:rPr>
          <w:rFonts w:ascii="Arial" w:cs="Arial" w:hAnsi="Arial"/>
        </w:rPr>
      </w:pPr>
    </w:p>
    <w:bookmarkStart w:id="48" w:name="_Toc238767125"/>
    <w:bookmarkStart w:id="49" w:name="_Toc240496635"/>
    <w:p w14:paraId="2DAEBCE0">
      <w:pPr>
        <w:pStyle w:val="style2"/>
        <w:spacing w:lineRule="auto" w:line="360"/>
        <w:rPr>
          <w:rFonts w:ascii="Arial" w:cs="Arial" w:hAnsi="Arial"/>
        </w:rPr>
      </w:pPr>
      <w:r>
        <w:rPr>
          <w:rFonts w:ascii="Arial" w:cs="Arial" w:hAnsi="Arial"/>
        </w:rPr>
        <w:t>3.2 Research Philosophy, Approach and Design</w:t>
      </w:r>
      <w:bookmarkEnd w:id="48"/>
      <w:bookmarkEnd w:id="49"/>
      <w:r>
        <w:rPr>
          <w:rFonts w:ascii="Arial" w:cs="Arial" w:hAnsi="Arial"/>
        </w:rPr>
        <w:t xml:space="preserve"> </w:t>
      </w:r>
    </w:p>
    <w:bookmarkStart w:id="50" w:name="_Toc238767126"/>
    <w:bookmarkStart w:id="51" w:name="_Toc240496636"/>
    <w:p w14:paraId="2390A3E2">
      <w:pPr>
        <w:pStyle w:val="style3"/>
        <w:rPr>
          <w:rFonts w:ascii="Arial" w:cs="Arial" w:hAnsi="Arial"/>
          <w:lang w:val="en-GB"/>
        </w:rPr>
      </w:pPr>
      <w:r>
        <w:rPr>
          <w:rFonts w:ascii="Arial" w:cs="Arial" w:hAnsi="Arial"/>
          <w:lang w:val="en-GB"/>
        </w:rPr>
        <w:t>3.2.1 Research Philosophy</w:t>
      </w:r>
      <w:bookmarkEnd w:id="50"/>
      <w:bookmarkEnd w:id="51"/>
      <w:r>
        <w:rPr>
          <w:rFonts w:ascii="Arial" w:cs="Arial" w:hAnsi="Arial"/>
          <w:lang w:val="en-GB"/>
        </w:rPr>
        <w:t xml:space="preserve"> </w:t>
      </w:r>
    </w:p>
    <w:p w14:paraId="7EEBEC04">
      <w:pPr>
        <w:pStyle w:val="style0"/>
        <w:spacing w:lineRule="auto" w:line="360"/>
        <w:rPr>
          <w:rFonts w:ascii="Arial" w:cs="Arial" w:hAnsi="Arial"/>
        </w:rPr>
      </w:pPr>
      <w:r>
        <w:rPr>
          <w:rFonts w:ascii="Arial" w:cs="Arial" w:hAnsi="Arial"/>
        </w:rPr>
        <w:t xml:space="preserve">This study uses an interpretivist philosophy because it aims to understand how personalised offers affect customer loyalty in the UK grocery retail sector and to explore the meaning, perception, strategy, and organisational practice of data-driven personalisation. Social and organisational reality is not objective, but the product of interaction between organisations, customers, technologies, and the broader market environment (Saunders and Darabi, 2024), which is central to interpretivism. Interpretivism does not seek to discover universal causal relationships through numeric quantification, as positivist approaches do, but it acknowledges that developing customer loyalty is a complex process of relations (Patel and Patel, 2019). </w:t>
      </w:r>
    </w:p>
    <w:p w14:paraId="3BCA4A44">
      <w:pPr>
        <w:pStyle w:val="style0"/>
        <w:spacing w:lineRule="auto" w:line="360"/>
        <w:rPr>
          <w:rFonts w:ascii="Arial" w:cs="Arial" w:hAnsi="Arial"/>
        </w:rPr>
      </w:pPr>
      <w:r>
        <w:rPr>
          <w:rFonts w:ascii="Arial" w:cs="Arial" w:hAnsi="Arial"/>
        </w:rPr>
        <w:t>According to Wickham (2019), the secondary-data interpretivist approach allows the researcher to analyse the existing literature through various lenses such as academic, retailer, industry, and regulatory. This is especially true because personalised loyalty programs exist in broader ecosystems that include technology vendors, retailers, consumers, and regulators. However, interpretivism also has drawbacks, as interpretation can be subjective and depend on the researcher's judgement; therefore, it must be transparent and systematic in its analytical procedures (Ryan, 2018).</w:t>
      </w:r>
    </w:p>
    <w:bookmarkStart w:id="52" w:name="_Toc238767127"/>
    <w:bookmarkStart w:id="53" w:name="_Toc240496637"/>
    <w:p w14:paraId="5A8FF36F">
      <w:pPr>
        <w:pStyle w:val="style3"/>
        <w:rPr>
          <w:rFonts w:ascii="Arial" w:cs="Arial" w:hAnsi="Arial"/>
          <w:lang w:val="en-GB"/>
        </w:rPr>
      </w:pPr>
      <w:r>
        <w:rPr>
          <w:rFonts w:ascii="Arial" w:cs="Arial" w:hAnsi="Arial"/>
          <w:lang w:val="en-GB"/>
        </w:rPr>
        <w:t>3.2.2 Research Approach</w:t>
      </w:r>
      <w:bookmarkEnd w:id="52"/>
      <w:bookmarkEnd w:id="53"/>
      <w:r>
        <w:rPr>
          <w:rFonts w:ascii="Arial" w:cs="Arial" w:hAnsi="Arial"/>
          <w:lang w:val="en-GB"/>
        </w:rPr>
        <w:t xml:space="preserve"> </w:t>
      </w:r>
    </w:p>
    <w:p w14:paraId="5F7AD645">
      <w:pPr>
        <w:pStyle w:val="style0"/>
        <w:spacing w:lineRule="auto" w:line="360"/>
        <w:rPr>
          <w:rFonts w:ascii="Arial" w:cs="Arial" w:hAnsi="Arial"/>
        </w:rPr>
      </w:pPr>
      <w:r>
        <w:rPr>
          <w:rFonts w:ascii="Arial" w:cs="Arial" w:hAnsi="Arial"/>
        </w:rPr>
        <w:t xml:space="preserve">The study uses an inductive approach, as it seeks to </w:t>
      </w:r>
      <w:r>
        <w:rPr>
          <w:rFonts w:ascii="Arial" w:cs="Arial" w:hAnsi="Arial"/>
        </w:rPr>
        <w:t>understand</w:t>
      </w:r>
      <w:r>
        <w:rPr>
          <w:rFonts w:ascii="Arial" w:cs="Arial" w:hAnsi="Arial"/>
        </w:rPr>
        <w:t xml:space="preserve"> the role of personalised offers in customer loyalty by identifying patterns and themes emerging from the collected evidence, rather than testing a specific hypothesis. Saunders et al. (2023) state that inductive reasoning transitions from observation and empirical evidence to theory. </w:t>
      </w:r>
    </w:p>
    <w:p w14:paraId="067AF2F5">
      <w:pPr>
        <w:pStyle w:val="style0"/>
        <w:spacing w:lineRule="auto" w:line="360"/>
        <w:rPr>
          <w:rFonts w:ascii="Arial" w:cs="Arial" w:hAnsi="Arial"/>
        </w:rPr>
      </w:pPr>
      <w:r>
        <w:rPr>
          <w:rFonts w:ascii="Arial" w:cs="Arial" w:hAnsi="Arial"/>
        </w:rPr>
        <w:t>The inductive approach enables the research to examine how personalisation strategies integrate into the wider loyalty strategies used by UK grocery retailers and how these strategies relate to one another (Kim, 2021). The study does not assume that personalisation automatically leads to customer loyalty; it questions whether evidence shows it helps, or whether it creates conflicts between commercial goals and customer expectations.</w:t>
      </w:r>
    </w:p>
    <w:p w14:paraId="38ADBF20">
      <w:pPr>
        <w:pStyle w:val="style0"/>
        <w:spacing w:lineRule="auto" w:line="360"/>
        <w:rPr>
          <w:rFonts w:ascii="Arial" w:cs="Arial" w:hAnsi="Arial"/>
        </w:rPr>
      </w:pPr>
      <w:r>
        <w:rPr>
          <w:rFonts w:ascii="Arial" w:cs="Arial" w:hAnsi="Arial"/>
        </w:rPr>
        <w:t>However, as per Laari (2025), if inductive research is not theory-based, it can become descriptive. Hence, it is not a study that examines the evidence in a completely unorganised manner.</w:t>
      </w:r>
    </w:p>
    <w:bookmarkStart w:id="54" w:name="_Toc238767128"/>
    <w:bookmarkStart w:id="55" w:name="_Toc240496638"/>
    <w:p w14:paraId="7C8A1114">
      <w:pPr>
        <w:pStyle w:val="style3"/>
        <w:rPr>
          <w:rFonts w:ascii="Arial" w:cs="Arial" w:hAnsi="Arial"/>
          <w:lang w:val="en-GB"/>
        </w:rPr>
      </w:pPr>
      <w:r>
        <w:rPr>
          <w:rFonts w:ascii="Arial" w:cs="Arial" w:hAnsi="Arial"/>
          <w:lang w:val="en-GB"/>
        </w:rPr>
        <w:t>3.2.3 Research Design</w:t>
      </w:r>
      <w:bookmarkEnd w:id="54"/>
      <w:bookmarkEnd w:id="55"/>
      <w:r>
        <w:rPr>
          <w:rFonts w:ascii="Arial" w:cs="Arial" w:hAnsi="Arial"/>
          <w:lang w:val="en-GB"/>
        </w:rPr>
        <w:t xml:space="preserve"> </w:t>
      </w:r>
    </w:p>
    <w:p w14:paraId="1BCFC227">
      <w:pPr>
        <w:pStyle w:val="style0"/>
        <w:spacing w:lineRule="auto" w:line="360"/>
        <w:rPr>
          <w:rFonts w:ascii="Arial" w:cs="Arial" w:hAnsi="Arial"/>
        </w:rPr>
      </w:pPr>
      <w:r>
        <w:rPr>
          <w:rFonts w:ascii="Arial" w:cs="Arial" w:hAnsi="Arial"/>
        </w:rPr>
        <w:t xml:space="preserve">This dissertation is a qualitative secondary research using case study analysis. The qualitative design is used because the study </w:t>
      </w:r>
      <w:r>
        <w:rPr>
          <w:rFonts w:ascii="Arial" w:cs="Arial" w:hAnsi="Arial"/>
        </w:rPr>
        <w:t>focuses on understanding strategic practice, organisational decision-making, and mechanisms of customer relationships, which</w:t>
      </w:r>
      <w:r>
        <w:rPr>
          <w:rFonts w:ascii="Arial" w:cs="Arial" w:hAnsi="Arial"/>
        </w:rPr>
        <w:t xml:space="preserve"> are not statistical relationships to measure. According to Saunders et al (2023), secondary research involves analysing data collected and published by other researchers, organisations, or institutions. Secondary evidence in this study includes peer-reviewed academic research, supermarket annual reports, information from supermarket loyalty programmes, regulatory documents, industry publications, and publicly available corporate communications (Cheong et al., 2023). </w:t>
      </w:r>
    </w:p>
    <w:bookmarkStart w:id="56" w:name="_Toc238767129"/>
    <w:bookmarkStart w:id="57" w:name="_Toc240496639"/>
    <w:p w14:paraId="33DF9ECF">
      <w:pPr>
        <w:pStyle w:val="style2"/>
        <w:spacing w:lineRule="auto" w:line="360"/>
        <w:rPr>
          <w:rFonts w:ascii="Arial" w:cs="Arial" w:hAnsi="Arial"/>
        </w:rPr>
      </w:pPr>
      <w:r>
        <w:rPr>
          <w:rFonts w:ascii="Arial" w:cs="Arial" w:hAnsi="Arial"/>
        </w:rPr>
        <w:t>3.3 Research Strategy and Justification</w:t>
      </w:r>
      <w:bookmarkEnd w:id="56"/>
      <w:bookmarkEnd w:id="57"/>
      <w:r>
        <w:rPr>
          <w:rFonts w:ascii="Arial" w:cs="Arial" w:hAnsi="Arial"/>
        </w:rPr>
        <w:t xml:space="preserve"> </w:t>
      </w:r>
    </w:p>
    <w:p w14:paraId="24DC451D">
      <w:pPr>
        <w:pStyle w:val="style0"/>
        <w:spacing w:lineRule="auto" w:line="360"/>
        <w:rPr>
          <w:rFonts w:ascii="Arial" w:cs="Arial" w:hAnsi="Arial"/>
        </w:rPr>
      </w:pPr>
      <w:r>
        <w:rPr>
          <w:rFonts w:ascii="Arial" w:cs="Arial" w:hAnsi="Arial"/>
        </w:rPr>
        <w:t xml:space="preserve">This research is qualitative secondary research that uses systematic analysis of documentary evidence. </w:t>
      </w:r>
      <w:r>
        <w:rPr>
          <w:rFonts w:ascii="Arial" w:cs="Arial" w:hAnsi="Arial"/>
        </w:rPr>
        <w:t xml:space="preserve">According to Wickham (2019), </w:t>
      </w:r>
      <w:r>
        <w:rPr>
          <w:rFonts w:ascii="Arial" w:cs="Arial" w:hAnsi="Arial"/>
        </w:rPr>
        <w:t>s</w:t>
      </w:r>
      <w:r>
        <w:rPr>
          <w:rFonts w:ascii="Arial" w:cs="Arial" w:hAnsi="Arial"/>
        </w:rPr>
        <w:t>econdary research involves re-analysing and interpreting data previously collected, published, and made freely available by other researchers, organisations, and institutions. This approach suits this dissertation, which examines the impact of personalised offers on customer loyalty in the UK grocery retail sector by reviewing current knowledge, strategic practices, and documented evidence of customer-related impact.</w:t>
      </w:r>
    </w:p>
    <w:p w14:paraId="3154422D">
      <w:pPr>
        <w:pStyle w:val="style0"/>
        <w:spacing w:lineRule="auto" w:line="360"/>
        <w:rPr>
          <w:rFonts w:ascii="Arial" w:cs="Arial" w:hAnsi="Arial"/>
        </w:rPr>
      </w:pPr>
      <w:r>
        <w:rPr>
          <w:rFonts w:ascii="Arial" w:cs="Arial" w:hAnsi="Arial"/>
        </w:rPr>
        <w:t>Secondary research is appropriate for this research topic. Personalisation in groceries has multiple facets, including customer data analytics, artificial intelligence, loyalty programs, consumer perceptions, and retail strategy. These dimensions cannot be understood from single measurements alone; they are embedded in the wider technological, social, and organisational context. Secondary data can also provide access to a broader range of perspectives, such as academic research, industry reports, regulatory reports, retailer publications, and so on, which help provide a broader understanding of the phenomenon (Saunders et al., 2023)</w:t>
      </w:r>
    </w:p>
    <w:p w14:paraId="087B8D9F">
      <w:pPr>
        <w:pStyle w:val="style0"/>
        <w:spacing w:lineRule="auto" w:line="360"/>
        <w:rPr>
          <w:rFonts w:ascii="Arial" w:cs="Arial" w:hAnsi="Arial"/>
        </w:rPr>
      </w:pPr>
      <w:r>
        <w:rPr>
          <w:rFonts w:ascii="Arial" w:cs="Arial" w:hAnsi="Arial"/>
        </w:rPr>
        <w:t xml:space="preserve">One major benefit of secondary research is that it allows researchers to examine how personalised loyalty programmes have evolved (Saharan et al., 2024). UK grocery retailers have implemented and progressively evolved loyalty programmes for several years; thus, existing documents provide valuable evidence of the strategic evolution, customer engagement practices, and challenges of data-driven personalisation. </w:t>
      </w:r>
    </w:p>
    <w:bookmarkStart w:id="58" w:name="_Toc238767130"/>
    <w:bookmarkStart w:id="59" w:name="_Toc240496640"/>
    <w:p w14:paraId="051A3C39">
      <w:pPr>
        <w:pStyle w:val="style2"/>
        <w:spacing w:lineRule="auto" w:line="360"/>
        <w:rPr>
          <w:rFonts w:ascii="Arial" w:cs="Arial" w:hAnsi="Arial"/>
        </w:rPr>
      </w:pPr>
      <w:r>
        <w:rPr>
          <w:rFonts w:ascii="Arial" w:cs="Arial" w:hAnsi="Arial"/>
        </w:rPr>
        <w:t xml:space="preserve">3.4 </w:t>
      </w:r>
      <w:bookmarkEnd w:id="58"/>
      <w:r>
        <w:rPr>
          <w:rFonts w:ascii="Arial" w:cs="Arial" w:hAnsi="Arial"/>
        </w:rPr>
        <w:t xml:space="preserve">Case </w:t>
      </w:r>
      <w:r>
        <w:rPr>
          <w:rFonts w:ascii="Arial" w:cs="Arial" w:hAnsi="Arial"/>
        </w:rPr>
        <w:t>Selection</w:t>
      </w:r>
      <w:r>
        <w:rPr>
          <w:rFonts w:ascii="Arial" w:cs="Arial" w:hAnsi="Arial"/>
        </w:rPr>
        <w:t xml:space="preserve"> and </w:t>
      </w:r>
      <w:r>
        <w:rPr>
          <w:rFonts w:ascii="Arial" w:cs="Arial" w:hAnsi="Arial"/>
        </w:rPr>
        <w:t>Sampling</w:t>
      </w:r>
      <w:r>
        <w:rPr>
          <w:rFonts w:ascii="Arial" w:cs="Arial" w:hAnsi="Arial"/>
        </w:rPr>
        <w:t xml:space="preserve"> Strategy</w:t>
      </w:r>
      <w:bookmarkEnd w:id="59"/>
    </w:p>
    <w:p w14:paraId="550C7561">
      <w:pPr>
        <w:pStyle w:val="style0"/>
        <w:spacing w:lineRule="auto" w:line="360"/>
        <w:rPr>
          <w:rFonts w:ascii="Arial" w:cs="Arial" w:hAnsi="Arial"/>
        </w:rPr>
      </w:pPr>
      <w:r>
        <w:rPr>
          <w:rFonts w:ascii="Arial" w:cs="Arial" w:hAnsi="Arial"/>
        </w:rPr>
        <w:t>This research uses purposive sampling to identify cases that provide meaningful insights into the effect of personalised offers on customer loyalty in the UK grocery retail industry. Purposive case selection, in contrast to probability sampling, selects information-rich cases to develop a theoretical understanding and analytical generalisation (</w:t>
      </w:r>
      <w:r>
        <w:rPr>
          <w:rFonts w:ascii="Arial" w:cs="Arial" w:hAnsi="Arial"/>
        </w:rPr>
        <w:t>Bouncken, Czakon and Schmitt, 2026</w:t>
      </w:r>
      <w:r>
        <w:rPr>
          <w:rFonts w:ascii="Arial" w:cs="Arial" w:hAnsi="Arial"/>
        </w:rPr>
        <w:t>). The cases used in this research were selected because they can shed light on the link between personalisation practices and customer loyalty outcomes in an organisational context, as the research investigates how personalised loyalty is designed, implemented, and experienced within organisations.</w:t>
      </w:r>
    </w:p>
    <w:p w14:paraId="48DDA4F0">
      <w:pPr>
        <w:pStyle w:val="style0"/>
        <w:spacing w:lineRule="auto" w:line="360"/>
        <w:rPr>
          <w:rFonts w:ascii="Arial" w:cs="Arial" w:hAnsi="Arial"/>
        </w:rPr>
      </w:pPr>
      <w:r>
        <w:rPr>
          <w:rFonts w:ascii="Arial" w:cs="Arial" w:hAnsi="Arial"/>
        </w:rPr>
        <w:t>The case selection process is based on several criteria. First, relevance is a must-have, and selected companies should have an active loyalty programme that involves customer data, personalised promotions, targeted rewards, or a digital platform to influence purchasing</w:t>
      </w:r>
      <w:r>
        <w:rPr>
          <w:rFonts w:ascii="Arial" w:cs="Arial" w:hAnsi="Arial"/>
        </w:rPr>
        <w:t xml:space="preserve"> </w:t>
      </w:r>
      <w:r>
        <w:rPr>
          <w:rFonts w:ascii="Arial" w:cs="Arial" w:hAnsi="Arial"/>
        </w:rPr>
        <w:t>(</w:t>
      </w:r>
      <w:r>
        <w:rPr>
          <w:rFonts w:ascii="Arial" w:cs="Arial" w:hAnsi="Arial"/>
        </w:rPr>
        <w:t>Yin, 2018)</w:t>
      </w:r>
      <w:r>
        <w:rPr>
          <w:rFonts w:ascii="Arial" w:cs="Arial" w:hAnsi="Arial"/>
        </w:rPr>
        <w:t>. This means all cases align directly with the research goals related to offer relevance, perceived reward value, fairness, trust, satisfaction, and loyalty.</w:t>
      </w:r>
    </w:p>
    <w:p w14:paraId="6ED84FFD">
      <w:pPr>
        <w:pStyle w:val="style0"/>
        <w:spacing w:lineRule="auto" w:line="360"/>
        <w:rPr>
          <w:rFonts w:ascii="Arial" w:cs="Arial" w:hAnsi="Arial"/>
        </w:rPr>
      </w:pPr>
      <w:r>
        <w:rPr>
          <w:rFonts w:ascii="Arial" w:cs="Arial" w:hAnsi="Arial"/>
        </w:rPr>
        <w:t>Secondly, there must be information richness. For selected cases, there must be adequate publicly available secondary sources of information, such as annual reports, company publications, information on loyalty programmes, industry reports and reputable business analysis</w:t>
      </w:r>
      <w:r>
        <w:rPr>
          <w:rFonts w:ascii="Arial" w:cs="Arial" w:hAnsi="Arial"/>
        </w:rPr>
        <w:t xml:space="preserve"> </w:t>
      </w:r>
      <w:r>
        <w:rPr>
          <w:rFonts w:ascii="Arial" w:cs="Arial" w:hAnsi="Arial"/>
        </w:rPr>
        <w:t>(</w:t>
      </w:r>
      <w:r>
        <w:rPr>
          <w:rFonts w:ascii="Arial" w:cs="Arial" w:hAnsi="Arial"/>
        </w:rPr>
        <w:t>Viera, 2023)</w:t>
      </w:r>
      <w:r>
        <w:rPr>
          <w:rFonts w:ascii="Arial" w:cs="Arial" w:hAnsi="Arial"/>
        </w:rPr>
        <w:t>. This criterion allows for a more in-depth analysis of the issues faced by the organisation, the strategies implemented, and their results, rather than an analysis limited to descriptions of loyalty initiatives.</w:t>
      </w:r>
    </w:p>
    <w:p w14:paraId="3458CB99">
      <w:pPr>
        <w:pStyle w:val="style0"/>
        <w:spacing w:lineRule="auto" w:line="360"/>
        <w:rPr>
          <w:rFonts w:ascii="Arial" w:cs="Arial" w:hAnsi="Arial"/>
        </w:rPr>
      </w:pPr>
      <w:r>
        <w:rPr>
          <w:rFonts w:ascii="Arial" w:cs="Arial" w:hAnsi="Arial"/>
        </w:rPr>
        <w:t>Thirdly, case diversity facilitates comparative analysis</w:t>
      </w:r>
      <w:r>
        <w:rPr>
          <w:rFonts w:ascii="Arial" w:cs="Arial" w:hAnsi="Arial"/>
        </w:rPr>
        <w:t xml:space="preserve"> </w:t>
      </w:r>
      <w:r>
        <w:rPr>
          <w:rFonts w:ascii="Arial" w:cs="Arial" w:hAnsi="Arial"/>
        </w:rPr>
        <w:t>(</w:t>
      </w:r>
      <w:r>
        <w:rPr>
          <w:rFonts w:ascii="Arial" w:cs="Arial" w:hAnsi="Arial"/>
        </w:rPr>
        <w:t>Yin, 2018)</w:t>
      </w:r>
      <w:r>
        <w:rPr>
          <w:rFonts w:ascii="Arial" w:cs="Arial" w:hAnsi="Arial"/>
        </w:rPr>
        <w:t xml:space="preserve">. The chosen retailers span different levels of organisation, competitive landscapes, and retailer loyalty programme focus within the UK grocery market. Tesco Clubcard, Sainsbury's Nectar, Lidl Plus, Morrisons More, and Asda Rewards offer different approaches to programme </w:t>
      </w:r>
      <w:r>
        <w:rPr>
          <w:rFonts w:ascii="Arial" w:cs="Arial" w:hAnsi="Arial"/>
        </w:rPr>
        <w:t>design, digital ‘maturity' and customer engagement strategies. This variety can be used to assess if the same personalisation approaches yield similar results, or if results vary based on organisational capabilities and strategy.</w:t>
      </w:r>
    </w:p>
    <w:p w14:paraId="5F9958CE">
      <w:pPr>
        <w:pStyle w:val="style0"/>
        <w:spacing w:lineRule="auto" w:line="360"/>
        <w:rPr>
          <w:rFonts w:ascii="Arial" w:cs="Arial" w:hAnsi="Arial"/>
        </w:rPr>
      </w:pPr>
      <w:r>
        <w:rPr>
          <w:rFonts w:ascii="Arial" w:cs="Arial" w:hAnsi="Arial"/>
        </w:rPr>
        <w:t xml:space="preserve">Lastly, credibility and currency </w:t>
      </w:r>
      <w:r>
        <w:rPr>
          <w:rFonts w:ascii="Arial" w:cs="Arial" w:hAnsi="Arial"/>
        </w:rPr>
        <w:t>underpin</w:t>
      </w:r>
      <w:r>
        <w:rPr>
          <w:rFonts w:ascii="Arial" w:cs="Arial" w:hAnsi="Arial"/>
        </w:rPr>
        <w:t xml:space="preserve"> case selection. Grocery </w:t>
      </w:r>
      <w:r>
        <w:rPr>
          <w:rFonts w:ascii="Arial" w:cs="Arial" w:hAnsi="Arial"/>
        </w:rPr>
        <w:t>r</w:t>
      </w:r>
      <w:r>
        <w:rPr>
          <w:rFonts w:ascii="Arial" w:cs="Arial" w:hAnsi="Arial"/>
        </w:rPr>
        <w:t xml:space="preserve">etail </w:t>
      </w:r>
      <w:r>
        <w:rPr>
          <w:rFonts w:ascii="Arial" w:cs="Arial" w:hAnsi="Arial"/>
        </w:rPr>
        <w:t>p</w:t>
      </w:r>
      <w:r>
        <w:rPr>
          <w:rFonts w:ascii="Arial" w:cs="Arial" w:hAnsi="Arial"/>
        </w:rPr>
        <w:t xml:space="preserve">ersonalisation </w:t>
      </w:r>
      <w:r>
        <w:rPr>
          <w:rFonts w:ascii="Arial" w:cs="Arial" w:hAnsi="Arial"/>
        </w:rPr>
        <w:t>c</w:t>
      </w:r>
      <w:r>
        <w:rPr>
          <w:rFonts w:ascii="Arial" w:cs="Arial" w:hAnsi="Arial"/>
        </w:rPr>
        <w:t xml:space="preserve">ases draw on current developments in the grocery retail industry and include valid, secondary sources. The chosen cases </w:t>
      </w:r>
      <w:r>
        <w:rPr>
          <w:rFonts w:ascii="Arial" w:cs="Arial" w:hAnsi="Arial"/>
        </w:rPr>
        <w:t>therefore represent</w:t>
      </w:r>
      <w:r>
        <w:rPr>
          <w:rFonts w:ascii="Arial" w:cs="Arial" w:hAnsi="Arial"/>
        </w:rPr>
        <w:t xml:space="preserve"> current trends retailers face, including competition, shifting consumer expectations, and the rise of data-driven marketing.</w:t>
      </w:r>
    </w:p>
    <w:p w14:paraId="1F4A76A3">
      <w:pPr>
        <w:pStyle w:val="style0"/>
        <w:spacing w:lineRule="auto" w:line="360"/>
        <w:rPr>
          <w:rFonts w:ascii="Arial" w:cs="Arial" w:hAnsi="Arial"/>
        </w:rPr>
      </w:pPr>
      <w:r>
        <w:rPr>
          <w:rFonts w:ascii="Arial" w:cs="Arial" w:hAnsi="Arial"/>
        </w:rPr>
        <w:t xml:space="preserve">The selected cases are not necessarily statistically representative of all </w:t>
      </w:r>
      <w:r>
        <w:rPr>
          <w:rFonts w:ascii="Arial" w:cs="Arial" w:hAnsi="Arial"/>
        </w:rPr>
        <w:t>UK grocery retailers</w:t>
      </w:r>
      <w:r>
        <w:rPr>
          <w:rFonts w:ascii="Arial" w:cs="Arial" w:hAnsi="Arial"/>
        </w:rPr>
        <w:t xml:space="preserve">. Rather, through analytical generalisation, as </w:t>
      </w:r>
      <w:r>
        <w:rPr>
          <w:rFonts w:ascii="Arial" w:cs="Arial" w:hAnsi="Arial"/>
        </w:rPr>
        <w:t>argued</w:t>
      </w:r>
      <w:r>
        <w:rPr>
          <w:rFonts w:ascii="Arial" w:cs="Arial" w:hAnsi="Arial"/>
        </w:rPr>
        <w:t xml:space="preserve"> by Yin (2018), patterns derived from the case analysis can help explain the conditions under which personalised offers affect customer loyalty. Case profiles and findings are provided in detail in Chapter 4.</w:t>
      </w:r>
      <w:r>
        <w:rPr>
          <w:rFonts w:ascii="Arial" w:cs="Arial" w:hAnsi="Arial"/>
        </w:rPr>
        <w:t xml:space="preserve"> </w:t>
      </w:r>
    </w:p>
    <w:p w14:paraId="1168E347">
      <w:pPr>
        <w:pStyle w:val="style0"/>
        <w:spacing w:lineRule="auto" w:line="360"/>
        <w:rPr>
          <w:rFonts w:ascii="Arial" w:cs="Arial" w:hAnsi="Arial"/>
          <w:b/>
          <w:bCs/>
          <w:u w:val="single"/>
        </w:rPr>
      </w:pPr>
      <w:r>
        <w:rPr>
          <w:rFonts w:ascii="Arial" w:cs="Arial" w:hAnsi="Arial"/>
          <w:b/>
          <w:bCs/>
          <w:u w:val="single"/>
        </w:rPr>
        <w:t>Selected</w:t>
      </w:r>
      <w:r>
        <w:rPr>
          <w:rFonts w:ascii="Arial" w:cs="Arial" w:hAnsi="Arial"/>
          <w:b/>
          <w:bCs/>
          <w:u w:val="single"/>
        </w:rPr>
        <w:t xml:space="preserve"> Case </w:t>
      </w:r>
      <w:r>
        <w:rPr>
          <w:rFonts w:ascii="Arial" w:cs="Arial" w:hAnsi="Arial"/>
          <w:b/>
          <w:bCs/>
          <w:u w:val="single"/>
        </w:rPr>
        <w:t>Studies</w:t>
      </w:r>
      <w:r>
        <w:rPr>
          <w:rFonts w:ascii="Arial" w:cs="Arial" w:hAnsi="Arial"/>
          <w:b/>
          <w:bCs/>
          <w:u w:val="single"/>
        </w:rPr>
        <w:t xml:space="preserve"> and Rationale for </w:t>
      </w:r>
      <w:r>
        <w:rPr>
          <w:rFonts w:ascii="Arial" w:cs="Arial" w:hAnsi="Arial"/>
          <w:b/>
          <w:bCs/>
          <w:u w:val="single"/>
        </w:rPr>
        <w:t>Selection</w:t>
      </w:r>
      <w:r>
        <w:rPr>
          <w:rFonts w:ascii="Arial" w:cs="Arial" w:hAnsi="Arial"/>
          <w:b/>
          <w:bCs/>
          <w:u w:val="single"/>
        </w:rPr>
        <w:t xml:space="preserve"> </w:t>
      </w:r>
    </w:p>
    <w:tbl>
      <w:tblPr>
        <w:tblStyle w:val="style154"/>
        <w:tblW w:w="0" w:type="auto"/>
        <w:jc w:val="center"/>
        <w:tblLook w:val="04A0" w:firstRow="1" w:lastRow="0" w:firstColumn="1" w:lastColumn="0" w:noHBand="0" w:noVBand="1"/>
      </w:tblPr>
      <w:tblGrid>
        <w:gridCol w:w="1510"/>
        <w:gridCol w:w="1637"/>
        <w:gridCol w:w="3486"/>
        <w:gridCol w:w="2725"/>
      </w:tblGrid>
      <w:tr w14:paraId="0DD11AD9">
        <w:trPr>
          <w:jc w:val="center"/>
        </w:trPr>
        <w:tc>
          <w:tcPr>
            <w:tcW w:w="0" w:type="auto"/>
            <w:tcBorders/>
            <w:hideMark/>
          </w:tcPr>
          <w:p w14:paraId="7E57C8B8">
            <w:pPr>
              <w:pStyle w:val="style0"/>
              <w:spacing w:lineRule="auto" w:line="360"/>
              <w:jc w:val="center"/>
              <w:rPr>
                <w:rFonts w:ascii="Arial" w:cs="Arial" w:eastAsia="Times New Roman" w:hAnsi="Arial"/>
                <w:b/>
                <w:bCs/>
                <w:szCs w:val="24"/>
              </w:rPr>
            </w:pPr>
            <w:r>
              <w:rPr>
                <w:rFonts w:ascii="Arial" w:cs="Arial" w:eastAsia="Times New Roman" w:hAnsi="Arial"/>
                <w:b/>
                <w:bCs/>
                <w:szCs w:val="24"/>
              </w:rPr>
              <w:t>Case Study</w:t>
            </w:r>
          </w:p>
        </w:tc>
        <w:tc>
          <w:tcPr>
            <w:tcW w:w="0" w:type="auto"/>
            <w:tcBorders/>
            <w:hideMark/>
          </w:tcPr>
          <w:p w14:paraId="08BC289E">
            <w:pPr>
              <w:pStyle w:val="style0"/>
              <w:spacing w:lineRule="auto" w:line="360"/>
              <w:jc w:val="center"/>
              <w:rPr>
                <w:rFonts w:ascii="Arial" w:cs="Arial" w:eastAsia="Times New Roman" w:hAnsi="Arial"/>
                <w:b/>
                <w:bCs/>
                <w:szCs w:val="24"/>
              </w:rPr>
            </w:pPr>
            <w:r>
              <w:rPr>
                <w:rFonts w:ascii="Arial" w:cs="Arial" w:eastAsia="Times New Roman" w:hAnsi="Arial"/>
                <w:b/>
                <w:bCs/>
                <w:szCs w:val="24"/>
              </w:rPr>
              <w:t>Loyalty Programme</w:t>
            </w:r>
          </w:p>
        </w:tc>
        <w:tc>
          <w:tcPr>
            <w:tcW w:w="0" w:type="auto"/>
            <w:tcBorders/>
            <w:hideMark/>
          </w:tcPr>
          <w:p w14:paraId="356EECEC">
            <w:pPr>
              <w:pStyle w:val="style0"/>
              <w:spacing w:lineRule="auto" w:line="360"/>
              <w:jc w:val="center"/>
              <w:rPr>
                <w:rFonts w:ascii="Arial" w:cs="Arial" w:eastAsia="Times New Roman" w:hAnsi="Arial"/>
                <w:b/>
                <w:bCs/>
                <w:szCs w:val="24"/>
              </w:rPr>
            </w:pPr>
            <w:r>
              <w:rPr>
                <w:rFonts w:ascii="Arial" w:cs="Arial" w:eastAsia="Times New Roman" w:hAnsi="Arial"/>
                <w:b/>
                <w:bCs/>
                <w:szCs w:val="24"/>
              </w:rPr>
              <w:t>Rationale for Selection</w:t>
            </w:r>
          </w:p>
        </w:tc>
        <w:tc>
          <w:tcPr>
            <w:tcW w:w="0" w:type="auto"/>
            <w:tcBorders/>
            <w:hideMark/>
          </w:tcPr>
          <w:p w14:paraId="7B83E40F">
            <w:pPr>
              <w:pStyle w:val="style0"/>
              <w:spacing w:lineRule="auto" w:line="360"/>
              <w:jc w:val="center"/>
              <w:rPr>
                <w:rFonts w:ascii="Arial" w:cs="Arial" w:eastAsia="Times New Roman" w:hAnsi="Arial"/>
                <w:b/>
                <w:bCs/>
                <w:szCs w:val="24"/>
              </w:rPr>
            </w:pPr>
            <w:r>
              <w:rPr>
                <w:rFonts w:ascii="Arial" w:cs="Arial" w:eastAsia="Times New Roman" w:hAnsi="Arial"/>
                <w:b/>
                <w:bCs/>
                <w:szCs w:val="24"/>
              </w:rPr>
              <w:t>Key Characteristics</w:t>
            </w:r>
          </w:p>
        </w:tc>
      </w:tr>
      <w:tr w14:paraId="21D5B900">
        <w:tblPrEx/>
        <w:trPr>
          <w:jc w:val="center"/>
        </w:trPr>
        <w:tc>
          <w:tcPr>
            <w:tcW w:w="0" w:type="auto"/>
            <w:tcBorders/>
            <w:hideMark/>
          </w:tcPr>
          <w:p w14:paraId="29FFB300">
            <w:pPr>
              <w:pStyle w:val="style0"/>
              <w:spacing w:lineRule="auto" w:line="360"/>
              <w:rPr>
                <w:rFonts w:ascii="Arial" w:cs="Arial" w:eastAsia="Times New Roman" w:hAnsi="Arial"/>
                <w:szCs w:val="24"/>
              </w:rPr>
            </w:pPr>
            <w:r>
              <w:rPr>
                <w:rFonts w:ascii="Arial" w:cs="Arial" w:eastAsia="Times New Roman" w:hAnsi="Arial"/>
                <w:b/>
                <w:bCs/>
                <w:szCs w:val="24"/>
              </w:rPr>
              <w:t>Tesco</w:t>
            </w:r>
          </w:p>
        </w:tc>
        <w:tc>
          <w:tcPr>
            <w:tcW w:w="0" w:type="auto"/>
            <w:tcBorders/>
            <w:hideMark/>
          </w:tcPr>
          <w:p w14:paraId="5182DB5E">
            <w:pPr>
              <w:pStyle w:val="style0"/>
              <w:spacing w:lineRule="auto" w:line="360"/>
              <w:rPr>
                <w:rFonts w:ascii="Arial" w:cs="Arial" w:eastAsia="Times New Roman" w:hAnsi="Arial"/>
                <w:szCs w:val="24"/>
              </w:rPr>
            </w:pPr>
            <w:r>
              <w:rPr>
                <w:rFonts w:ascii="Arial" w:cs="Arial" w:eastAsia="Times New Roman" w:hAnsi="Arial"/>
                <w:szCs w:val="24"/>
              </w:rPr>
              <w:t>Tesco Clubcard</w:t>
            </w:r>
          </w:p>
        </w:tc>
        <w:tc>
          <w:tcPr>
            <w:tcW w:w="0" w:type="auto"/>
            <w:tcBorders/>
            <w:hideMark/>
          </w:tcPr>
          <w:p w14:paraId="24269338">
            <w:pPr>
              <w:pStyle w:val="style0"/>
              <w:spacing w:lineRule="auto" w:line="360"/>
              <w:rPr>
                <w:rFonts w:ascii="Arial" w:cs="Arial" w:eastAsia="Times New Roman" w:hAnsi="Arial"/>
                <w:szCs w:val="24"/>
              </w:rPr>
            </w:pPr>
            <w:r>
              <w:rPr>
                <w:rFonts w:ascii="Arial" w:cs="Arial" w:eastAsia="Times New Roman" w:hAnsi="Arial"/>
                <w:szCs w:val="24"/>
              </w:rPr>
              <w:t>Selected because Tesco represents one of the most established and data-driven loyalty programmes in UK grocery retail. Clubcard provides a rich example of how customer transaction data are used to develop personalised offers and loyalty-based pricing strategies.</w:t>
            </w:r>
          </w:p>
        </w:tc>
        <w:tc>
          <w:tcPr>
            <w:tcW w:w="0" w:type="auto"/>
            <w:tcBorders/>
            <w:hideMark/>
          </w:tcPr>
          <w:p w14:paraId="76EA9EA9">
            <w:pPr>
              <w:pStyle w:val="style0"/>
              <w:spacing w:lineRule="auto" w:line="360"/>
              <w:rPr>
                <w:rFonts w:ascii="Arial" w:cs="Arial" w:eastAsia="Times New Roman" w:hAnsi="Arial"/>
                <w:szCs w:val="24"/>
              </w:rPr>
            </w:pPr>
            <w:r>
              <w:rPr>
                <w:rFonts w:ascii="Arial" w:cs="Arial" w:eastAsia="Times New Roman" w:hAnsi="Arial"/>
                <w:szCs w:val="24"/>
              </w:rPr>
              <w:t>UK’s largest supermarket retailer; long-established loyalty ecosystem; extensive use of customer analytics and personalised promotions.</w:t>
            </w:r>
          </w:p>
        </w:tc>
      </w:tr>
      <w:tr w14:paraId="66F1E3C4">
        <w:tblPrEx/>
        <w:trPr>
          <w:jc w:val="center"/>
        </w:trPr>
        <w:tc>
          <w:tcPr>
            <w:tcW w:w="0" w:type="auto"/>
            <w:tcBorders/>
            <w:hideMark/>
          </w:tcPr>
          <w:p w14:paraId="1F26F55E">
            <w:pPr>
              <w:pStyle w:val="style0"/>
              <w:spacing w:lineRule="auto" w:line="360"/>
              <w:rPr>
                <w:rFonts w:ascii="Arial" w:cs="Arial" w:eastAsia="Times New Roman" w:hAnsi="Arial"/>
                <w:szCs w:val="24"/>
              </w:rPr>
            </w:pPr>
            <w:r>
              <w:rPr>
                <w:rFonts w:ascii="Arial" w:cs="Arial" w:eastAsia="Times New Roman" w:hAnsi="Arial"/>
                <w:b/>
                <w:bCs/>
                <w:szCs w:val="24"/>
              </w:rPr>
              <w:t>Sainsbury’s</w:t>
            </w:r>
          </w:p>
        </w:tc>
        <w:tc>
          <w:tcPr>
            <w:tcW w:w="0" w:type="auto"/>
            <w:tcBorders/>
            <w:hideMark/>
          </w:tcPr>
          <w:p w14:paraId="349FCBC0">
            <w:pPr>
              <w:pStyle w:val="style0"/>
              <w:spacing w:lineRule="auto" w:line="360"/>
              <w:rPr>
                <w:rFonts w:ascii="Arial" w:cs="Arial" w:eastAsia="Times New Roman" w:hAnsi="Arial"/>
                <w:szCs w:val="24"/>
              </w:rPr>
            </w:pPr>
            <w:r>
              <w:rPr>
                <w:rFonts w:ascii="Arial" w:cs="Arial" w:eastAsia="Times New Roman" w:hAnsi="Arial"/>
                <w:szCs w:val="24"/>
              </w:rPr>
              <w:t>Nectar</w:t>
            </w:r>
          </w:p>
        </w:tc>
        <w:tc>
          <w:tcPr>
            <w:tcW w:w="0" w:type="auto"/>
            <w:tcBorders/>
            <w:hideMark/>
          </w:tcPr>
          <w:p w14:paraId="71584BDB">
            <w:pPr>
              <w:pStyle w:val="style0"/>
              <w:spacing w:lineRule="auto" w:line="360"/>
              <w:rPr>
                <w:rFonts w:ascii="Arial" w:cs="Arial" w:eastAsia="Times New Roman" w:hAnsi="Arial"/>
                <w:szCs w:val="24"/>
              </w:rPr>
            </w:pPr>
            <w:r>
              <w:rPr>
                <w:rFonts w:ascii="Arial" w:cs="Arial" w:eastAsia="Times New Roman" w:hAnsi="Arial"/>
                <w:szCs w:val="24"/>
              </w:rPr>
              <w:t xml:space="preserve">Selected because Sainsbury’s provides evidence of a major retailer using loyalty data to </w:t>
            </w:r>
            <w:r>
              <w:rPr>
                <w:rFonts w:ascii="Arial" w:cs="Arial" w:eastAsia="Times New Roman" w:hAnsi="Arial"/>
                <w:szCs w:val="24"/>
              </w:rPr>
              <w:t>develop personalised rewards and digital customer engagement strategies. Nectar enables examination of personalised pricing and customer value creation.</w:t>
            </w:r>
          </w:p>
        </w:tc>
        <w:tc>
          <w:tcPr>
            <w:tcW w:w="0" w:type="auto"/>
            <w:tcBorders/>
            <w:hideMark/>
          </w:tcPr>
          <w:p w14:paraId="6362F8DB">
            <w:pPr>
              <w:pStyle w:val="style0"/>
              <w:spacing w:lineRule="auto" w:line="360"/>
              <w:rPr>
                <w:rFonts w:ascii="Arial" w:cs="Arial" w:eastAsia="Times New Roman" w:hAnsi="Arial"/>
                <w:szCs w:val="24"/>
              </w:rPr>
            </w:pPr>
            <w:r>
              <w:rPr>
                <w:rFonts w:ascii="Arial" w:cs="Arial" w:eastAsia="Times New Roman" w:hAnsi="Arial"/>
                <w:szCs w:val="24"/>
              </w:rPr>
              <w:t xml:space="preserve">Major UK supermarket; established loyalty programme; integration </w:t>
            </w:r>
            <w:r>
              <w:rPr>
                <w:rFonts w:ascii="Arial" w:cs="Arial" w:eastAsia="Times New Roman" w:hAnsi="Arial"/>
                <w:szCs w:val="24"/>
              </w:rPr>
              <w:t>of Nectar data across grocery and related retail services.</w:t>
            </w:r>
          </w:p>
        </w:tc>
      </w:tr>
      <w:tr w14:paraId="1891AA05">
        <w:tblPrEx/>
        <w:trPr>
          <w:jc w:val="center"/>
        </w:trPr>
        <w:tc>
          <w:tcPr>
            <w:tcW w:w="0" w:type="auto"/>
            <w:tcBorders/>
            <w:hideMark/>
          </w:tcPr>
          <w:p w14:paraId="68BBB9DB">
            <w:pPr>
              <w:pStyle w:val="style0"/>
              <w:spacing w:lineRule="auto" w:line="360"/>
              <w:rPr>
                <w:rFonts w:ascii="Arial" w:cs="Arial" w:eastAsia="Times New Roman" w:hAnsi="Arial"/>
                <w:szCs w:val="24"/>
              </w:rPr>
            </w:pPr>
            <w:r>
              <w:rPr>
                <w:rFonts w:ascii="Arial" w:cs="Arial" w:eastAsia="Times New Roman" w:hAnsi="Arial"/>
                <w:b/>
                <w:bCs/>
                <w:szCs w:val="24"/>
              </w:rPr>
              <w:t>Lidl</w:t>
            </w:r>
          </w:p>
        </w:tc>
        <w:tc>
          <w:tcPr>
            <w:tcW w:w="0" w:type="auto"/>
            <w:tcBorders/>
            <w:hideMark/>
          </w:tcPr>
          <w:p w14:paraId="04D5F6BB">
            <w:pPr>
              <w:pStyle w:val="style0"/>
              <w:spacing w:lineRule="auto" w:line="360"/>
              <w:rPr>
                <w:rFonts w:ascii="Arial" w:cs="Arial" w:eastAsia="Times New Roman" w:hAnsi="Arial"/>
                <w:szCs w:val="24"/>
              </w:rPr>
            </w:pPr>
            <w:r>
              <w:rPr>
                <w:rFonts w:ascii="Arial" w:cs="Arial" w:eastAsia="Times New Roman" w:hAnsi="Arial"/>
                <w:szCs w:val="24"/>
              </w:rPr>
              <w:t>Lidl Plus</w:t>
            </w:r>
          </w:p>
        </w:tc>
        <w:tc>
          <w:tcPr>
            <w:tcW w:w="0" w:type="auto"/>
            <w:tcBorders/>
            <w:hideMark/>
          </w:tcPr>
          <w:p w14:paraId="1F671431">
            <w:pPr>
              <w:pStyle w:val="style0"/>
              <w:spacing w:lineRule="auto" w:line="360"/>
              <w:rPr>
                <w:rFonts w:ascii="Arial" w:cs="Arial" w:eastAsia="Times New Roman" w:hAnsi="Arial"/>
                <w:szCs w:val="24"/>
              </w:rPr>
            </w:pPr>
            <w:r>
              <w:rPr>
                <w:rFonts w:ascii="Arial" w:cs="Arial" w:eastAsia="Times New Roman" w:hAnsi="Arial"/>
                <w:szCs w:val="24"/>
              </w:rPr>
              <w:t>Selected because Lidl provides a contrasting case from traditional supermarket loyalty models. Its app-based loyalty approach demonstrates how a discount retailer uses digital personalisation while maintaining a low-price positioning.</w:t>
            </w:r>
          </w:p>
        </w:tc>
        <w:tc>
          <w:tcPr>
            <w:tcW w:w="0" w:type="auto"/>
            <w:tcBorders/>
            <w:hideMark/>
          </w:tcPr>
          <w:p w14:paraId="507E4E60">
            <w:pPr>
              <w:pStyle w:val="style0"/>
              <w:spacing w:lineRule="auto" w:line="360"/>
              <w:rPr>
                <w:rFonts w:ascii="Arial" w:cs="Arial" w:eastAsia="Times New Roman" w:hAnsi="Arial"/>
                <w:szCs w:val="24"/>
              </w:rPr>
            </w:pPr>
            <w:r>
              <w:rPr>
                <w:rFonts w:ascii="Arial" w:cs="Arial" w:eastAsia="Times New Roman" w:hAnsi="Arial"/>
                <w:szCs w:val="24"/>
              </w:rPr>
              <w:t>Discount supermarket model; digital-first loyalty application; focus on personalised coupons and customer engagement.</w:t>
            </w:r>
          </w:p>
        </w:tc>
      </w:tr>
      <w:tr w14:paraId="277C7454">
        <w:tblPrEx/>
        <w:trPr>
          <w:jc w:val="center"/>
        </w:trPr>
        <w:tc>
          <w:tcPr>
            <w:tcW w:w="0" w:type="auto"/>
            <w:tcBorders/>
            <w:hideMark/>
          </w:tcPr>
          <w:p w14:paraId="27343FEF">
            <w:pPr>
              <w:pStyle w:val="style0"/>
              <w:spacing w:lineRule="auto" w:line="360"/>
              <w:rPr>
                <w:rFonts w:ascii="Arial" w:cs="Arial" w:eastAsia="Times New Roman" w:hAnsi="Arial"/>
                <w:szCs w:val="24"/>
              </w:rPr>
            </w:pPr>
            <w:r>
              <w:rPr>
                <w:rFonts w:ascii="Arial" w:cs="Arial" w:eastAsia="Times New Roman" w:hAnsi="Arial"/>
                <w:b/>
                <w:bCs/>
                <w:szCs w:val="24"/>
              </w:rPr>
              <w:t>Morrisons</w:t>
            </w:r>
          </w:p>
        </w:tc>
        <w:tc>
          <w:tcPr>
            <w:tcW w:w="0" w:type="auto"/>
            <w:tcBorders/>
            <w:hideMark/>
          </w:tcPr>
          <w:p w14:paraId="1A857D8E">
            <w:pPr>
              <w:pStyle w:val="style0"/>
              <w:spacing w:lineRule="auto" w:line="360"/>
              <w:rPr>
                <w:rFonts w:ascii="Arial" w:cs="Arial" w:eastAsia="Times New Roman" w:hAnsi="Arial"/>
                <w:szCs w:val="24"/>
              </w:rPr>
            </w:pPr>
            <w:r>
              <w:rPr>
                <w:rFonts w:ascii="Arial" w:cs="Arial" w:eastAsia="Times New Roman" w:hAnsi="Arial"/>
                <w:szCs w:val="24"/>
              </w:rPr>
              <w:t>Morrisons More</w:t>
            </w:r>
          </w:p>
        </w:tc>
        <w:tc>
          <w:tcPr>
            <w:tcW w:w="0" w:type="auto"/>
            <w:tcBorders/>
            <w:hideMark/>
          </w:tcPr>
          <w:p w14:paraId="0E2E803D">
            <w:pPr>
              <w:pStyle w:val="style0"/>
              <w:spacing w:lineRule="auto" w:line="360"/>
              <w:rPr>
                <w:rFonts w:ascii="Arial" w:cs="Arial" w:eastAsia="Times New Roman" w:hAnsi="Arial"/>
                <w:szCs w:val="24"/>
              </w:rPr>
            </w:pPr>
            <w:r>
              <w:rPr>
                <w:rFonts w:ascii="Arial" w:cs="Arial" w:eastAsia="Times New Roman" w:hAnsi="Arial"/>
                <w:szCs w:val="24"/>
              </w:rPr>
              <w:t>Selected because Morrisons illustrates the adoption of digital loyalty capabilities by a retailer operating under competitive pressure from both traditional supermarkets and discount retailers.</w:t>
            </w:r>
          </w:p>
        </w:tc>
        <w:tc>
          <w:tcPr>
            <w:tcW w:w="0" w:type="auto"/>
            <w:tcBorders/>
            <w:hideMark/>
          </w:tcPr>
          <w:p w14:paraId="28FA5ADC">
            <w:pPr>
              <w:pStyle w:val="style0"/>
              <w:spacing w:lineRule="auto" w:line="360"/>
              <w:rPr>
                <w:rFonts w:ascii="Arial" w:cs="Arial" w:eastAsia="Times New Roman" w:hAnsi="Arial"/>
                <w:szCs w:val="24"/>
              </w:rPr>
            </w:pPr>
            <w:r>
              <w:rPr>
                <w:rFonts w:ascii="Arial" w:cs="Arial" w:eastAsia="Times New Roman" w:hAnsi="Arial"/>
                <w:szCs w:val="24"/>
              </w:rPr>
              <w:t>Established UK supermarket; digital loyalty development; personalised rewards and customer communication through mobile platforms.</w:t>
            </w:r>
          </w:p>
        </w:tc>
      </w:tr>
      <w:tr w14:paraId="19EBB7D9">
        <w:tblPrEx/>
        <w:trPr>
          <w:jc w:val="center"/>
        </w:trPr>
        <w:tc>
          <w:tcPr>
            <w:tcW w:w="0" w:type="auto"/>
            <w:tcBorders/>
            <w:hideMark/>
          </w:tcPr>
          <w:p w14:paraId="6C877C27">
            <w:pPr>
              <w:pStyle w:val="style0"/>
              <w:spacing w:lineRule="auto" w:line="360"/>
              <w:rPr>
                <w:rFonts w:ascii="Arial" w:cs="Arial" w:eastAsia="Times New Roman" w:hAnsi="Arial"/>
                <w:szCs w:val="24"/>
              </w:rPr>
            </w:pPr>
            <w:r>
              <w:rPr>
                <w:rFonts w:ascii="Arial" w:cs="Arial" w:eastAsia="Times New Roman" w:hAnsi="Arial"/>
                <w:b/>
                <w:bCs/>
                <w:szCs w:val="24"/>
              </w:rPr>
              <w:t>Asda</w:t>
            </w:r>
          </w:p>
        </w:tc>
        <w:tc>
          <w:tcPr>
            <w:tcW w:w="0" w:type="auto"/>
            <w:tcBorders/>
            <w:hideMark/>
          </w:tcPr>
          <w:p w14:paraId="24B2C281">
            <w:pPr>
              <w:pStyle w:val="style0"/>
              <w:spacing w:lineRule="auto" w:line="360"/>
              <w:rPr>
                <w:rFonts w:ascii="Arial" w:cs="Arial" w:eastAsia="Times New Roman" w:hAnsi="Arial"/>
                <w:szCs w:val="24"/>
              </w:rPr>
            </w:pPr>
            <w:r>
              <w:rPr>
                <w:rFonts w:ascii="Arial" w:cs="Arial" w:eastAsia="Times New Roman" w:hAnsi="Arial"/>
                <w:szCs w:val="24"/>
              </w:rPr>
              <w:t>Asda Rewards</w:t>
            </w:r>
          </w:p>
        </w:tc>
        <w:tc>
          <w:tcPr>
            <w:tcW w:w="0" w:type="auto"/>
            <w:tcBorders/>
            <w:hideMark/>
          </w:tcPr>
          <w:p w14:paraId="78DC9CB6">
            <w:pPr>
              <w:pStyle w:val="style0"/>
              <w:spacing w:lineRule="auto" w:line="360"/>
              <w:rPr>
                <w:rFonts w:ascii="Arial" w:cs="Arial" w:eastAsia="Times New Roman" w:hAnsi="Arial"/>
                <w:szCs w:val="24"/>
              </w:rPr>
            </w:pPr>
            <w:r>
              <w:rPr>
                <w:rFonts w:ascii="Arial" w:cs="Arial" w:eastAsia="Times New Roman" w:hAnsi="Arial"/>
                <w:szCs w:val="24"/>
              </w:rPr>
              <w:t xml:space="preserve">Selected because Asda represents a recent transformation of loyalty strategy through a digital rewards model. The case provides insight into how retailers redesign loyalty </w:t>
            </w:r>
            <w:r>
              <w:rPr>
                <w:rFonts w:ascii="Arial" w:cs="Arial" w:eastAsia="Times New Roman" w:hAnsi="Arial"/>
                <w:szCs w:val="24"/>
              </w:rPr>
              <w:t>programmes to increase customer engagement.</w:t>
            </w:r>
          </w:p>
        </w:tc>
        <w:tc>
          <w:tcPr>
            <w:tcW w:w="0" w:type="auto"/>
            <w:tcBorders/>
            <w:hideMark/>
          </w:tcPr>
          <w:p w14:paraId="4274E7C1">
            <w:pPr>
              <w:pStyle w:val="style0"/>
              <w:spacing w:lineRule="auto" w:line="360"/>
              <w:rPr>
                <w:rFonts w:ascii="Arial" w:cs="Arial" w:eastAsia="Times New Roman" w:hAnsi="Arial"/>
                <w:szCs w:val="24"/>
              </w:rPr>
            </w:pPr>
            <w:r>
              <w:rPr>
                <w:rFonts w:ascii="Arial" w:cs="Arial" w:eastAsia="Times New Roman" w:hAnsi="Arial"/>
                <w:szCs w:val="24"/>
              </w:rPr>
              <w:t>Major UK supermarket; mobile-based rewards system; focus on digital engagement and personalised missions.</w:t>
            </w:r>
          </w:p>
        </w:tc>
      </w:tr>
      <w:bookmarkStart w:id="60" w:name="_Toc240041386"/>
      <w:bookmarkStart w:id="61" w:name="_Toc240448533"/>
      <w:bookmarkStart w:id="62" w:name="_Toc240449019"/>
    </w:tbl>
    <w:p w14:paraId="1AA6F29A">
      <w:pPr>
        <w:pStyle w:val="style0"/>
        <w:spacing w:lineRule="auto" w:line="360"/>
        <w:jc w:val="center"/>
        <w:rPr>
          <w:rFonts w:ascii="Arial" w:cs="Arial" w:hAnsi="Arial"/>
        </w:rPr>
      </w:pPr>
      <w:r>
        <w:rPr>
          <w:rFonts w:ascii="Arial" w:cs="Arial" w:hAnsi="Arial"/>
          <w:szCs w:val="24"/>
        </w:rPr>
        <w:t xml:space="preserve">Table </w:t>
      </w:r>
      <w:r>
        <w:rPr>
          <w:rFonts w:ascii="Arial" w:cs="Arial" w:hAnsi="Arial"/>
          <w:i/>
          <w:iCs/>
          <w:szCs w:val="24"/>
        </w:rPr>
        <w:fldChar w:fldCharType="begin"/>
      </w:r>
      <w:r>
        <w:rPr>
          <w:rFonts w:ascii="Arial" w:cs="Arial" w:hAnsi="Arial"/>
          <w:szCs w:val="24"/>
        </w:rPr>
        <w:instrText xml:space="preserve"> SEQ Table \* ARABIC </w:instrText>
      </w:r>
      <w:r>
        <w:rPr>
          <w:rFonts w:ascii="Arial" w:cs="Arial" w:hAnsi="Arial"/>
          <w:i/>
          <w:iCs/>
          <w:szCs w:val="24"/>
        </w:rPr>
        <w:fldChar w:fldCharType="separate"/>
      </w:r>
      <w:r>
        <w:rPr>
          <w:rFonts w:ascii="Arial" w:cs="Arial" w:hAnsi="Arial"/>
          <w:noProof/>
          <w:szCs w:val="24"/>
        </w:rPr>
        <w:t>2</w:t>
      </w:r>
      <w:r>
        <w:rPr>
          <w:rFonts w:ascii="Arial" w:cs="Arial" w:hAnsi="Arial"/>
          <w:i/>
          <w:iCs/>
          <w:szCs w:val="24"/>
        </w:rPr>
        <w:fldChar w:fldCharType="end"/>
      </w:r>
      <w:r>
        <w:rPr>
          <w:rFonts w:ascii="Arial" w:cs="Arial" w:hAnsi="Arial"/>
          <w:szCs w:val="24"/>
        </w:rPr>
        <w:t>: Selected Case Studies for Rationale</w:t>
      </w:r>
      <w:bookmarkEnd w:id="60"/>
      <w:bookmarkEnd w:id="61"/>
      <w:bookmarkEnd w:id="62"/>
    </w:p>
    <w:p w14:paraId="4466AE0D">
      <w:pPr>
        <w:pStyle w:val="style0"/>
        <w:spacing w:lineRule="auto" w:line="360"/>
        <w:rPr>
          <w:rFonts w:ascii="Arial" w:cs="Arial" w:hAnsi="Arial"/>
        </w:rPr>
      </w:pPr>
      <w:r>
        <w:rPr>
          <w:rFonts w:ascii="Arial" w:cs="Arial" w:hAnsi="Arial"/>
        </w:rPr>
        <w:t>Five instances were selected to illustrate differences in organisational size, maturity of the loyalty program, strategic positioning and digital competence. Tesco and Sainsbury's have more sophisticated data-driven loyalty ecosystems, while Lidl, Morrisons and Asda have different approaches to developing their digital loyalty and to engaging their consumers. This variation enables a cross-case analysis of the impact of organisational contexts on implementing personalised offers and outcomes (Yin, 2018).</w:t>
      </w:r>
    </w:p>
    <w:bookmarkStart w:id="63" w:name="_Toc238767131"/>
    <w:bookmarkStart w:id="64" w:name="_Toc240496641"/>
    <w:p w14:paraId="0EB4A674">
      <w:pPr>
        <w:pStyle w:val="style2"/>
        <w:spacing w:lineRule="auto" w:line="360"/>
        <w:rPr>
          <w:rFonts w:ascii="Arial" w:cs="Arial" w:hAnsi="Arial"/>
        </w:rPr>
      </w:pPr>
      <w:r>
        <w:rPr>
          <w:rFonts w:ascii="Arial" w:cs="Arial" w:hAnsi="Arial"/>
        </w:rPr>
        <w:t xml:space="preserve">3.5 Data </w:t>
      </w:r>
      <w:bookmarkEnd w:id="63"/>
      <w:r>
        <w:rPr>
          <w:rFonts w:ascii="Arial" w:cs="Arial" w:hAnsi="Arial"/>
        </w:rPr>
        <w:t>Sources and Data Collection</w:t>
      </w:r>
      <w:bookmarkEnd w:id="64"/>
      <w:r>
        <w:rPr>
          <w:rFonts w:ascii="Arial" w:cs="Arial" w:hAnsi="Arial"/>
        </w:rPr>
        <w:t xml:space="preserve"> </w:t>
      </w:r>
    </w:p>
    <w:p w14:paraId="5914BA30">
      <w:pPr>
        <w:pStyle w:val="style0"/>
        <w:spacing w:lineRule="auto" w:line="360"/>
        <w:rPr>
          <w:rFonts w:ascii="Arial" w:cs="Arial" w:hAnsi="Arial"/>
        </w:rPr>
      </w:pPr>
      <w:r>
        <w:rPr>
          <w:rFonts w:ascii="Arial" w:cs="Arial" w:hAnsi="Arial"/>
        </w:rPr>
        <w:t xml:space="preserve">The research </w:t>
      </w:r>
      <w:r>
        <w:rPr>
          <w:rFonts w:ascii="Arial" w:cs="Arial" w:hAnsi="Arial"/>
        </w:rPr>
        <w:t>uses multiple types of secondary data to create detailed case studies of personalised offer strategies in the UK grocery retail sector</w:t>
      </w:r>
      <w:r>
        <w:rPr>
          <w:rFonts w:ascii="Arial" w:cs="Arial" w:hAnsi="Arial"/>
        </w:rPr>
        <w:t xml:space="preserve">. Multiple </w:t>
      </w:r>
      <w:r>
        <w:rPr>
          <w:rFonts w:ascii="Arial" w:cs="Arial" w:hAnsi="Arial"/>
        </w:rPr>
        <w:t xml:space="preserve">secondary data sources are used because case study research assumes that </w:t>
      </w:r>
      <w:r>
        <w:rPr>
          <w:rFonts w:ascii="Arial" w:cs="Arial" w:hAnsi="Arial"/>
        </w:rPr>
        <w:t>complex organisational phenomena require</w:t>
      </w:r>
      <w:r>
        <w:rPr>
          <w:rFonts w:ascii="Arial" w:cs="Arial" w:hAnsi="Arial"/>
        </w:rPr>
        <w:t xml:space="preserve"> rich, contextual evidence to understand</w:t>
      </w:r>
      <w:r>
        <w:rPr>
          <w:rFonts w:ascii="Arial" w:cs="Arial" w:hAnsi="Arial"/>
        </w:rPr>
        <w:t xml:space="preserve"> (Yin, 2018). This study, however, </w:t>
      </w:r>
      <w:r>
        <w:rPr>
          <w:rFonts w:ascii="Arial" w:cs="Arial" w:hAnsi="Arial"/>
        </w:rPr>
        <w:t>does not necessarily treat secondary data sources as equally objective; they vary in how they are used, the confidence that can be placed in them, and potential</w:t>
      </w:r>
      <w:r>
        <w:rPr>
          <w:rFonts w:ascii="Arial" w:cs="Arial" w:hAnsi="Arial"/>
        </w:rPr>
        <w:t xml:space="preserve"> biases.</w:t>
      </w:r>
    </w:p>
    <w:p w14:paraId="0B37A154">
      <w:pPr>
        <w:pStyle w:val="style0"/>
        <w:spacing w:lineRule="auto" w:line="360"/>
        <w:rPr>
          <w:rFonts w:ascii="Arial" w:cs="Arial" w:hAnsi="Arial"/>
        </w:rPr>
      </w:pPr>
      <w:r>
        <w:rPr>
          <w:rFonts w:ascii="Arial" w:cs="Arial" w:hAnsi="Arial"/>
        </w:rPr>
        <w:t>The first are company annual reports, investor presentations and official strategic documents. Companies produce them formally, and they may include audited financial information</w:t>
      </w:r>
      <w:r>
        <w:rPr>
          <w:rFonts w:ascii="Arial" w:cs="Arial" w:hAnsi="Arial"/>
        </w:rPr>
        <w:t xml:space="preserve">, making them reliable sources for information on organisational strategy, digital investments, loyalty programme development, and performance indicators </w:t>
      </w:r>
      <w:r>
        <w:rPr>
          <w:rFonts w:ascii="Arial" w:cs="Arial" w:hAnsi="Arial"/>
        </w:rPr>
        <w:t>(Saunders et al., 2023)</w:t>
      </w:r>
      <w:r>
        <w:rPr>
          <w:rFonts w:ascii="Arial" w:cs="Arial" w:hAnsi="Arial"/>
        </w:rPr>
        <w:t>. However, these documents are written mainly for shareholders and others outside the organisation and may highlight strategic successes but may not delve into implementation difficulties or failures.</w:t>
      </w:r>
    </w:p>
    <w:p w14:paraId="316FCAB8">
      <w:pPr>
        <w:pStyle w:val="style0"/>
        <w:spacing w:lineRule="auto" w:line="360"/>
        <w:rPr>
          <w:rFonts w:ascii="Arial" w:cs="Arial" w:hAnsi="Arial"/>
        </w:rPr>
      </w:pPr>
      <w:r>
        <w:rPr>
          <w:rFonts w:ascii="Arial" w:cs="Arial" w:hAnsi="Arial"/>
        </w:rPr>
        <w:t xml:space="preserve">The second group </w:t>
      </w:r>
      <w:r>
        <w:rPr>
          <w:rFonts w:ascii="Arial" w:cs="Arial" w:hAnsi="Arial"/>
        </w:rPr>
        <w:t>includes company websites, press releases,</w:t>
      </w:r>
      <w:r>
        <w:rPr>
          <w:rFonts w:ascii="Arial" w:cs="Arial" w:hAnsi="Arial"/>
        </w:rPr>
        <w:t xml:space="preserve"> and public presentations. These sources offer direct insights into how retailers communicate personalised loyalty programs, including program features, customer benefits, and technological advancements. However, they can be affected by self-presentation bias, as organisations </w:t>
      </w:r>
      <w:r>
        <w:rPr>
          <w:rFonts w:ascii="Arial" w:cs="Arial" w:hAnsi="Arial"/>
        </w:rPr>
        <w:t>may present their initiatives in a positive light rather than highlighting areas where they fall short.</w:t>
      </w:r>
    </w:p>
    <w:p w14:paraId="03539477">
      <w:pPr>
        <w:pStyle w:val="style0"/>
        <w:spacing w:lineRule="auto" w:line="360"/>
        <w:rPr>
          <w:rFonts w:ascii="Arial" w:cs="Arial" w:hAnsi="Arial"/>
        </w:rPr>
      </w:pPr>
      <w:r>
        <w:rPr>
          <w:rFonts w:ascii="Arial" w:cs="Arial" w:hAnsi="Arial"/>
        </w:rPr>
        <w:t xml:space="preserve">The third category comprises business press, trade magazines and industry reports. Retail publications and market analysis offer viewpoints separate from the firm and from </w:t>
      </w:r>
      <w:r>
        <w:rPr>
          <w:rFonts w:ascii="Arial" w:cs="Arial" w:hAnsi="Arial"/>
        </w:rPr>
        <w:t>those within it</w:t>
      </w:r>
      <w:r>
        <w:rPr>
          <w:rFonts w:ascii="Arial" w:cs="Arial" w:hAnsi="Arial"/>
        </w:rPr>
        <w:t xml:space="preserve">. They </w:t>
      </w:r>
      <w:r>
        <w:rPr>
          <w:rFonts w:ascii="Arial" w:cs="Arial" w:hAnsi="Arial"/>
        </w:rPr>
        <w:t>offer strong outside analysis of company strategies, but may not always provide detailed explanations of operations,</w:t>
      </w:r>
      <w:r>
        <w:rPr>
          <w:rFonts w:ascii="Arial" w:cs="Arial" w:hAnsi="Arial"/>
        </w:rPr>
        <w:t xml:space="preserve"> and coverage may be shallow.</w:t>
      </w:r>
    </w:p>
    <w:p w14:paraId="379AECBA">
      <w:pPr>
        <w:pStyle w:val="style0"/>
        <w:spacing w:lineRule="auto" w:line="360"/>
        <w:rPr>
          <w:rFonts w:ascii="Arial" w:cs="Arial" w:hAnsi="Arial"/>
        </w:rPr>
      </w:pPr>
      <w:r>
        <w:rPr>
          <w:rFonts w:ascii="Arial" w:cs="Arial" w:hAnsi="Arial"/>
        </w:rPr>
        <w:t xml:space="preserve">Academic journal articles and market research reports are in the fourth category. </w:t>
      </w:r>
      <w:r>
        <w:rPr>
          <w:rFonts w:ascii="Arial" w:cs="Arial" w:hAnsi="Arial"/>
        </w:rPr>
        <w:t xml:space="preserve">Academic literature provides theoretical foundations </w:t>
      </w:r>
      <w:r>
        <w:rPr>
          <w:rFonts w:ascii="Arial" w:cs="Arial" w:hAnsi="Arial"/>
        </w:rPr>
        <w:t>for concepts of personalisation, customer loyalty, trust, and satisfaction, while</w:t>
      </w:r>
      <w:r>
        <w:rPr>
          <w:rFonts w:ascii="Arial" w:cs="Arial" w:hAnsi="Arial"/>
        </w:rPr>
        <w:t xml:space="preserve"> analyst reports provide</w:t>
      </w:r>
      <w:r>
        <w:rPr>
          <w:rFonts w:ascii="Arial" w:cs="Arial" w:hAnsi="Arial"/>
        </w:rPr>
        <w:t xml:space="preserve"> industry benchmarks and </w:t>
      </w:r>
      <w:r>
        <w:rPr>
          <w:rFonts w:ascii="Arial" w:cs="Arial" w:hAnsi="Arial"/>
        </w:rPr>
        <w:t>market-level</w:t>
      </w:r>
      <w:r>
        <w:rPr>
          <w:rFonts w:ascii="Arial" w:cs="Arial" w:hAnsi="Arial"/>
        </w:rPr>
        <w:t xml:space="preserve"> insights. However, aggregated industry reports may lack sufficient company-level detail, and academic literature may include studies from contexts other than grocery retail</w:t>
      </w:r>
      <w:r>
        <w:rPr>
          <w:rFonts w:ascii="Arial" w:cs="Arial" w:hAnsi="Arial"/>
        </w:rPr>
        <w:t xml:space="preserve"> that require</w:t>
      </w:r>
      <w:r>
        <w:rPr>
          <w:rFonts w:ascii="Arial" w:cs="Arial" w:hAnsi="Arial"/>
        </w:rPr>
        <w:t xml:space="preserve"> careful interpretation.</w:t>
      </w:r>
    </w:p>
    <w:p w14:paraId="208A0B56">
      <w:pPr>
        <w:pStyle w:val="style0"/>
        <w:spacing w:lineRule="auto" w:line="360"/>
        <w:rPr>
          <w:rFonts w:ascii="Arial" w:cs="Arial" w:hAnsi="Arial"/>
        </w:rPr>
      </w:pPr>
      <w:r>
        <w:rPr>
          <w:rFonts w:ascii="Arial" w:cs="Arial" w:hAnsi="Arial"/>
        </w:rPr>
        <w:t xml:space="preserve">Data collection </w:t>
      </w:r>
      <w:r>
        <w:rPr>
          <w:rFonts w:ascii="Arial" w:cs="Arial" w:hAnsi="Arial"/>
        </w:rPr>
        <w:t>involved identifying suitable grocery stores in the UK and sourcing relevant evidence from publicly accessible sources, including</w:t>
      </w:r>
      <w:r>
        <w:rPr>
          <w:rFonts w:ascii="Arial" w:cs="Arial" w:hAnsi="Arial"/>
        </w:rPr>
        <w:t xml:space="preserve"> company websites, academic databases, </w:t>
      </w:r>
      <w:r>
        <w:rPr>
          <w:rFonts w:ascii="Arial" w:cs="Arial" w:hAnsi="Arial"/>
        </w:rPr>
        <w:t xml:space="preserve">and </w:t>
      </w:r>
      <w:r>
        <w:rPr>
          <w:rFonts w:ascii="Arial" w:cs="Arial" w:hAnsi="Arial"/>
        </w:rPr>
        <w:t xml:space="preserve">industry and business publications. The sources were arranged </w:t>
      </w:r>
      <w:r>
        <w:rPr>
          <w:rFonts w:ascii="Arial" w:cs="Arial" w:hAnsi="Arial"/>
        </w:rPr>
        <w:t>into individual case studies and grouped under the headings of background, challenge, approach, and outcomes, in line</w:t>
      </w:r>
      <w:r>
        <w:rPr>
          <w:rFonts w:ascii="Arial" w:cs="Arial" w:hAnsi="Arial"/>
        </w:rPr>
        <w:t xml:space="preserve"> with the analytical structure developed in the framework. This systematic organisation </w:t>
      </w:r>
      <w:r>
        <w:rPr>
          <w:rFonts w:ascii="Arial" w:cs="Arial" w:hAnsi="Arial"/>
        </w:rPr>
        <w:t>enhances transparency and supports</w:t>
      </w:r>
      <w:r>
        <w:rPr>
          <w:rFonts w:ascii="Arial" w:cs="Arial" w:hAnsi="Arial"/>
        </w:rPr>
        <w:t xml:space="preserve"> replication of the research process (Yin, 2018).</w:t>
      </w:r>
    </w:p>
    <w:bookmarkStart w:id="65" w:name="_Toc238767132"/>
    <w:bookmarkStart w:id="66" w:name="_Toc240496642"/>
    <w:p w14:paraId="65949A84">
      <w:pPr>
        <w:pStyle w:val="style2"/>
        <w:spacing w:lineRule="auto" w:line="360"/>
        <w:rPr>
          <w:rFonts w:ascii="Arial" w:cs="Arial" w:hAnsi="Arial"/>
        </w:rPr>
      </w:pPr>
      <w:r>
        <w:rPr>
          <w:rFonts w:ascii="Arial" w:cs="Arial" w:hAnsi="Arial"/>
        </w:rPr>
        <w:t xml:space="preserve">3.6 Data </w:t>
      </w:r>
      <w:bookmarkEnd w:id="65"/>
      <w:r>
        <w:rPr>
          <w:rFonts w:ascii="Arial" w:cs="Arial" w:hAnsi="Arial"/>
        </w:rPr>
        <w:t>Analysis Approach</w:t>
      </w:r>
      <w:bookmarkEnd w:id="66"/>
      <w:r>
        <w:rPr>
          <w:rFonts w:ascii="Arial" w:cs="Arial" w:hAnsi="Arial"/>
        </w:rPr>
        <w:t xml:space="preserve"> </w:t>
      </w:r>
    </w:p>
    <w:p w14:paraId="6632E2C2">
      <w:pPr>
        <w:pStyle w:val="style0"/>
        <w:spacing w:lineRule="auto" w:line="360"/>
        <w:rPr>
          <w:rFonts w:ascii="Arial" w:cs="Arial" w:hAnsi="Arial"/>
        </w:rPr>
      </w:pPr>
      <w:r>
        <w:rPr>
          <w:rFonts w:ascii="Arial" w:cs="Arial" w:hAnsi="Arial"/>
        </w:rPr>
        <w:t>For secondary data, the analysis follows the conceptual framework developed in Chapter 2</w:t>
      </w:r>
      <w:r>
        <w:rPr>
          <w:rFonts w:ascii="Arial" w:cs="Arial" w:hAnsi="Arial"/>
        </w:rPr>
        <w:t xml:space="preserve">. The framework offers analytical guidance </w:t>
      </w:r>
      <w:r>
        <w:rPr>
          <w:rFonts w:ascii="Arial" w:cs="Arial" w:hAnsi="Arial"/>
        </w:rPr>
        <w:t>by focusing on the relevance of the offers, the perceived value of the reward, perceived fairness, customer trust, customer satisfaction,</w:t>
      </w:r>
      <w:r>
        <w:rPr>
          <w:rFonts w:ascii="Arial" w:cs="Arial" w:hAnsi="Arial"/>
        </w:rPr>
        <w:t xml:space="preserve"> and customer loyalty. </w:t>
      </w:r>
      <w:r>
        <w:rPr>
          <w:rFonts w:ascii="Arial" w:cs="Arial" w:hAnsi="Arial"/>
        </w:rPr>
        <w:t xml:space="preserve">However, the analysis </w:t>
      </w:r>
      <w:r>
        <w:rPr>
          <w:rFonts w:ascii="Arial" w:cs="Arial" w:hAnsi="Arial"/>
        </w:rPr>
        <w:t>uses abductive logic, in which</w:t>
      </w:r>
      <w:r>
        <w:rPr>
          <w:rFonts w:ascii="Arial" w:cs="Arial" w:hAnsi="Arial"/>
        </w:rPr>
        <w:t xml:space="preserve"> existing theoretical frameworks provide a lens through which the cases are interpreted while also allowing</w:t>
      </w:r>
      <w:r>
        <w:rPr>
          <w:rFonts w:ascii="Arial" w:cs="Arial" w:hAnsi="Arial"/>
        </w:rPr>
        <w:t xml:space="preserve"> new patterns and insights to emerge from the cases (Saunders</w:t>
      </w:r>
      <w:r>
        <w:rPr>
          <w:rFonts w:ascii="Arial" w:cs="Arial" w:hAnsi="Arial"/>
        </w:rPr>
        <w:t xml:space="preserve"> et al., </w:t>
      </w:r>
      <w:r>
        <w:rPr>
          <w:rFonts w:ascii="Arial" w:cs="Arial" w:hAnsi="Arial"/>
        </w:rPr>
        <w:t>2023). This approach is appropriate because</w:t>
      </w:r>
      <w:r>
        <w:rPr>
          <w:rFonts w:ascii="Arial" w:cs="Arial" w:hAnsi="Arial"/>
        </w:rPr>
        <w:t xml:space="preserve"> some case study research moves</w:t>
      </w:r>
      <w:r>
        <w:rPr>
          <w:rFonts w:ascii="Arial" w:cs="Arial" w:hAnsi="Arial"/>
        </w:rPr>
        <w:t xml:space="preserve"> between theory and empirical data to deepen understanding of the complexity of the phenomenon under study</w:t>
      </w:r>
      <w:r>
        <w:rPr>
          <w:rFonts w:ascii="Arial" w:cs="Arial" w:hAnsi="Arial"/>
        </w:rPr>
        <w:t xml:space="preserve"> (</w:t>
      </w:r>
      <w:r>
        <w:rPr>
          <w:rFonts w:ascii="Arial" w:cs="Arial" w:hAnsi="Arial"/>
        </w:rPr>
        <w:t>Viera, 2023</w:t>
      </w:r>
      <w:r>
        <w:rPr>
          <w:rFonts w:ascii="Arial" w:cs="Arial" w:hAnsi="Arial"/>
        </w:rPr>
        <w:t>).</w:t>
      </w:r>
    </w:p>
    <w:p w14:paraId="21BB657C">
      <w:pPr>
        <w:pStyle w:val="style0"/>
        <w:spacing w:lineRule="auto" w:line="360"/>
        <w:rPr>
          <w:rFonts w:ascii="Arial" w:cs="Arial" w:hAnsi="Arial"/>
        </w:rPr>
      </w:pPr>
      <w:r>
        <w:rPr>
          <w:rFonts w:ascii="Arial" w:cs="Arial" w:hAnsi="Arial"/>
        </w:rPr>
        <w:t xml:space="preserve">For each retailer case, the </w:t>
      </w:r>
      <w:r>
        <w:rPr>
          <w:rFonts w:ascii="Arial" w:cs="Arial" w:hAnsi="Arial"/>
        </w:rPr>
        <w:t>case analysis follows the structure laid out in chapter 4: background, challenge/</w:t>
      </w:r>
      <w:r>
        <w:rPr>
          <w:rFonts w:ascii="Arial" w:cs="Arial" w:hAnsi="Arial"/>
        </w:rPr>
        <w:t xml:space="preserve">opportunity, approach and implementation, outcomes. This </w:t>
      </w:r>
      <w:r>
        <w:rPr>
          <w:rFonts w:ascii="Arial" w:cs="Arial" w:hAnsi="Arial"/>
        </w:rPr>
        <w:t>ensures consistency across cases and highlights</w:t>
      </w:r>
      <w:r>
        <w:rPr>
          <w:rFonts w:ascii="Arial" w:cs="Arial" w:hAnsi="Arial"/>
        </w:rPr>
        <w:t xml:space="preserve"> differences in strategic context and implementation approaches. Using a pre-defined structure </w:t>
      </w:r>
      <w:r>
        <w:rPr>
          <w:rFonts w:ascii="Arial" w:cs="Arial" w:hAnsi="Arial"/>
        </w:rPr>
        <w:t>reduces</w:t>
      </w:r>
      <w:r>
        <w:rPr>
          <w:rFonts w:ascii="Arial" w:cs="Arial" w:hAnsi="Arial"/>
        </w:rPr>
        <w:t xml:space="preserve"> description and promotes analytical interpretation of how and why personalised offers affect customer loyalty.</w:t>
      </w:r>
    </w:p>
    <w:p w14:paraId="4D1D619D">
      <w:pPr>
        <w:pStyle w:val="style0"/>
        <w:spacing w:lineRule="auto" w:line="360"/>
        <w:rPr>
          <w:rFonts w:ascii="Arial" w:cs="Arial" w:hAnsi="Arial"/>
        </w:rPr>
      </w:pPr>
      <w:r>
        <w:rPr>
          <w:rFonts w:ascii="Arial" w:cs="Arial" w:hAnsi="Arial"/>
        </w:rPr>
        <w:t>First</w:t>
      </w:r>
      <w:r>
        <w:rPr>
          <w:rFonts w:ascii="Arial" w:cs="Arial" w:hAnsi="Arial"/>
        </w:rPr>
        <w:t xml:space="preserve">, the retailers are analysed </w:t>
      </w:r>
      <w:r>
        <w:rPr>
          <w:rFonts w:ascii="Arial" w:cs="Arial" w:hAnsi="Arial"/>
        </w:rPr>
        <w:t>individually</w:t>
      </w:r>
      <w:r>
        <w:rPr>
          <w:rFonts w:ascii="Arial" w:cs="Arial" w:hAnsi="Arial"/>
        </w:rPr>
        <w:t xml:space="preserve">. A range of </w:t>
      </w:r>
      <w:r>
        <w:rPr>
          <w:rFonts w:ascii="Arial" w:cs="Arial" w:hAnsi="Arial"/>
        </w:rPr>
        <w:t>company documents, industry publications,</w:t>
      </w:r>
      <w:r>
        <w:rPr>
          <w:rFonts w:ascii="Arial" w:cs="Arial" w:hAnsi="Arial"/>
        </w:rPr>
        <w:t xml:space="preserve"> and academic research is collated to provide a consistent story for each case. This process enables the research to explore the mechanisms of the personalised offer development and </w:t>
      </w:r>
      <w:r>
        <w:rPr>
          <w:rFonts w:ascii="Arial" w:cs="Arial" w:hAnsi="Arial"/>
        </w:rPr>
        <w:t>implementation</w:t>
      </w:r>
      <w:r>
        <w:rPr>
          <w:rFonts w:ascii="Arial" w:cs="Arial" w:hAnsi="Arial"/>
        </w:rPr>
        <w:t xml:space="preserve">. To enhance credibility and </w:t>
      </w:r>
      <w:r>
        <w:rPr>
          <w:rFonts w:ascii="Arial" w:cs="Arial" w:hAnsi="Arial"/>
        </w:rPr>
        <w:t>mitigate reliance on potentially biased organisational narratives, the study uses source triangulation</w:t>
      </w:r>
      <w:r>
        <w:rPr>
          <w:rFonts w:ascii="Arial" w:cs="Arial" w:hAnsi="Arial"/>
        </w:rPr>
        <w:t xml:space="preserve"> by comparing information from multiple sources (Yin, 2018).</w:t>
      </w:r>
    </w:p>
    <w:p w14:paraId="7B36B553">
      <w:pPr>
        <w:pStyle w:val="style0"/>
        <w:spacing w:lineRule="auto" w:line="360"/>
        <w:rPr>
          <w:rFonts w:ascii="Arial" w:cs="Arial" w:hAnsi="Arial"/>
        </w:rPr>
      </w:pPr>
      <w:r>
        <w:rPr>
          <w:rFonts w:ascii="Arial" w:cs="Arial" w:hAnsi="Arial"/>
        </w:rPr>
        <w:t xml:space="preserve">After individual case analysis, </w:t>
      </w:r>
      <w:r>
        <w:rPr>
          <w:rFonts w:ascii="Arial" w:cs="Arial" w:hAnsi="Arial"/>
        </w:rPr>
        <w:t xml:space="preserve">the study conducts cross-case analysis to identify similarities, differences, and contextual factors affecting </w:t>
      </w:r>
      <w:r>
        <w:rPr>
          <w:rFonts w:ascii="Arial" w:cs="Arial" w:hAnsi="Arial"/>
        </w:rPr>
        <w:t xml:space="preserve">outcomes. </w:t>
      </w:r>
      <w:r>
        <w:rPr>
          <w:rFonts w:ascii="Arial" w:cs="Arial" w:hAnsi="Arial"/>
        </w:rPr>
        <w:t xml:space="preserve">Cragun et al (2015) </w:t>
      </w:r>
      <w:r>
        <w:rPr>
          <w:rFonts w:ascii="Arial" w:cs="Arial" w:hAnsi="Arial"/>
        </w:rPr>
        <w:t xml:space="preserve">assert </w:t>
      </w:r>
      <w:r>
        <w:rPr>
          <w:rFonts w:ascii="Arial" w:cs="Arial" w:hAnsi="Arial"/>
        </w:rPr>
        <w:t>that cross-case comparison can be beneficial because it allows the researcher to identify themes and build more robust theories from</w:t>
      </w:r>
      <w:r>
        <w:rPr>
          <w:rFonts w:ascii="Arial" w:cs="Arial" w:hAnsi="Arial"/>
        </w:rPr>
        <w:t xml:space="preserve"> qualitative data. As a result, cases are compared based on strategic triggers, implementation strategies, customer value creation, trust and fairness aspects, and outcomes of customer loyalty.</w:t>
      </w:r>
    </w:p>
    <w:p w14:paraId="371B297E">
      <w:pPr>
        <w:pStyle w:val="style0"/>
        <w:spacing w:lineRule="auto" w:line="360"/>
        <w:rPr>
          <w:rFonts w:ascii="Arial" w:cs="Arial" w:hAnsi="Arial"/>
        </w:rPr>
      </w:pPr>
      <w:r>
        <w:rPr>
          <w:rFonts w:ascii="Arial" w:cs="Arial" w:hAnsi="Arial"/>
        </w:rPr>
        <w:t>This cross-case synthesis provides</w:t>
      </w:r>
      <w:r>
        <w:rPr>
          <w:rFonts w:ascii="Arial" w:cs="Arial" w:hAnsi="Arial"/>
        </w:rPr>
        <w:t xml:space="preserve"> the basis for interpreting the findings in Chapter 5 in light of existing literature and theory. The analysis is not intended to provide statistical generalisation but </w:t>
      </w:r>
      <w:r>
        <w:rPr>
          <w:rFonts w:ascii="Arial" w:cs="Arial" w:hAnsi="Arial"/>
        </w:rPr>
        <w:t>to gain analytical insights into the conditions that make personalised offers possible and</w:t>
      </w:r>
      <w:r>
        <w:rPr>
          <w:rFonts w:ascii="Arial" w:cs="Arial" w:hAnsi="Arial"/>
        </w:rPr>
        <w:t xml:space="preserve"> contribute to the development of customer loyalty in the grocery retail context (Yin, 2018).</w:t>
      </w:r>
      <w:bookmarkStart w:id="67" w:name="_Toc238767133"/>
    </w:p>
    <w:p w14:paraId="0F99B74A">
      <w:pPr>
        <w:pStyle w:val="style0"/>
        <w:spacing w:lineRule="auto" w:line="360"/>
        <w:rPr>
          <w:rFonts w:ascii="Arial" w:cs="Arial" w:hAnsi="Arial"/>
        </w:rPr>
      </w:pPr>
    </w:p>
    <w:p w14:paraId="60D815A5">
      <w:pPr>
        <w:pStyle w:val="style0"/>
        <w:spacing w:lineRule="auto" w:line="360"/>
        <w:rPr>
          <w:rFonts w:ascii="Arial" w:cs="Arial" w:hAnsi="Arial"/>
        </w:rPr>
      </w:pPr>
    </w:p>
    <w:p w14:paraId="5461B76A">
      <w:pPr>
        <w:pStyle w:val="style0"/>
        <w:spacing w:lineRule="auto" w:line="360"/>
        <w:rPr>
          <w:rFonts w:ascii="Arial" w:cs="Arial" w:hAnsi="Arial"/>
        </w:rPr>
      </w:pPr>
    </w:p>
    <w:bookmarkStart w:id="68" w:name="_Toc240496643"/>
    <w:p w14:paraId="3CD36984">
      <w:pPr>
        <w:pStyle w:val="style2"/>
        <w:spacing w:lineRule="auto" w:line="360"/>
        <w:rPr>
          <w:rFonts w:ascii="Arial" w:cs="Arial" w:hAnsi="Arial"/>
        </w:rPr>
      </w:pPr>
      <w:r>
        <w:rPr>
          <w:rFonts w:ascii="Arial" w:cs="Arial" w:hAnsi="Arial"/>
        </w:rPr>
        <w:t>3.7 Research Quality and Rigour</w:t>
      </w:r>
      <w:bookmarkEnd w:id="67"/>
      <w:bookmarkEnd w:id="68"/>
      <w:r>
        <w:rPr>
          <w:rFonts w:ascii="Arial" w:cs="Arial" w:hAnsi="Arial"/>
        </w:rPr>
        <w:t xml:space="preserve"> </w:t>
      </w:r>
    </w:p>
    <w:p w14:paraId="1583B723">
      <w:pPr>
        <w:pStyle w:val="style0"/>
        <w:spacing w:lineRule="auto" w:line="360"/>
        <w:rPr>
          <w:rFonts w:ascii="Arial" w:cs="Arial" w:hAnsi="Arial"/>
        </w:rPr>
      </w:pPr>
      <w:r>
        <w:rPr>
          <w:rFonts w:ascii="Arial" w:cs="Arial" w:hAnsi="Arial"/>
        </w:rPr>
        <w:t>Quality and rigour are crucial in a qualitative secondary study, as the results are built by selecting, interpreting, and synthesising previous work (Johnson, Adkins  and Chauvin¸2020)</w:t>
      </w:r>
    </w:p>
    <w:p w14:paraId="79156672">
      <w:pPr>
        <w:pStyle w:val="style0"/>
        <w:spacing w:lineRule="auto" w:line="360"/>
        <w:rPr>
          <w:rFonts w:ascii="Arial" w:cs="Arial" w:hAnsi="Arial"/>
        </w:rPr>
      </w:pPr>
      <w:r>
        <w:rPr>
          <w:rFonts w:ascii="Arial" w:cs="Arial" w:hAnsi="Arial"/>
        </w:rPr>
        <w:t>Data triangulation increases data credibility. The research draws on multiple sources, including academic papers, corporate documents, industry reports, and regulatory documents. This will minimise the risk of a biased or incomplete interpretation.</w:t>
      </w:r>
    </w:p>
    <w:p w14:paraId="45080E1D">
      <w:pPr>
        <w:pStyle w:val="style0"/>
        <w:spacing w:lineRule="auto" w:line="360"/>
        <w:rPr>
          <w:rFonts w:ascii="Arial" w:cs="Arial" w:hAnsi="Arial"/>
        </w:rPr>
      </w:pPr>
      <w:r>
        <w:rPr>
          <w:rFonts w:ascii="Arial" w:cs="Arial" w:hAnsi="Arial"/>
        </w:rPr>
        <w:t xml:space="preserve">Transparency in the research process supports dependability (Saunders et al., 2023). The study </w:t>
      </w:r>
      <w:r>
        <w:rPr>
          <w:rFonts w:ascii="Arial" w:cs="Arial" w:hAnsi="Arial"/>
        </w:rPr>
        <w:t>clearly outlines its source selection</w:t>
      </w:r>
      <w:r>
        <w:rPr>
          <w:rFonts w:ascii="Arial" w:cs="Arial" w:hAnsi="Arial"/>
        </w:rPr>
        <w:t>, analytical process, and theme development. Standardising the analysis supports methodological reliability.</w:t>
      </w:r>
    </w:p>
    <w:p w14:paraId="61123B2F">
      <w:pPr>
        <w:pStyle w:val="style0"/>
        <w:spacing w:lineRule="auto" w:line="360"/>
        <w:rPr>
          <w:rFonts w:ascii="Arial" w:cs="Arial" w:hAnsi="Arial"/>
        </w:rPr>
      </w:pPr>
      <w:r>
        <w:rPr>
          <w:rFonts w:ascii="Arial" w:cs="Arial" w:hAnsi="Arial"/>
        </w:rPr>
        <w:t>Confirmability is addressed by ensuring interpretations are based on available evidence, not assumptions. Themes are built from patterns in the data and conclusions are substantiated with suitable academic and organisational evidence.</w:t>
      </w:r>
    </w:p>
    <w:p w14:paraId="13757350">
      <w:pPr>
        <w:pStyle w:val="style0"/>
        <w:spacing w:lineRule="auto" w:line="360"/>
        <w:rPr>
          <w:rFonts w:ascii="Arial" w:cs="Arial" w:hAnsi="Arial"/>
        </w:rPr>
      </w:pPr>
      <w:r>
        <w:rPr>
          <w:rFonts w:ascii="Arial" w:cs="Arial" w:hAnsi="Arial"/>
        </w:rPr>
        <w:t>Transferability is not a statistical generalisation in qualitative research. This study does not claim that the results apply to all grocery shoppers in the UK</w:t>
      </w:r>
      <w:r>
        <w:rPr>
          <w:rFonts w:ascii="Arial" w:cs="Arial" w:hAnsi="Arial"/>
        </w:rPr>
        <w:t>; instead, it</w:t>
      </w:r>
      <w:r>
        <w:rPr>
          <w:rFonts w:ascii="Arial" w:cs="Arial" w:hAnsi="Arial"/>
        </w:rPr>
        <w:t xml:space="preserve"> offers analytical insights into how personalised offers work in </w:t>
      </w:r>
      <w:r>
        <w:rPr>
          <w:rFonts w:ascii="Arial" w:cs="Arial" w:hAnsi="Arial"/>
        </w:rPr>
        <w:t>grocery retail</w:t>
      </w:r>
      <w:r>
        <w:rPr>
          <w:rFonts w:ascii="Arial" w:cs="Arial" w:hAnsi="Arial"/>
        </w:rPr>
        <w:t>. A detailed explanation of the research context helps readers judge the results' relevance to other settings.</w:t>
      </w:r>
    </w:p>
    <w:bookmarkStart w:id="69" w:name="_Toc238767134"/>
    <w:bookmarkStart w:id="70" w:name="_Toc240496644"/>
    <w:p w14:paraId="1BD5737F">
      <w:pPr>
        <w:pStyle w:val="style2"/>
        <w:spacing w:lineRule="auto" w:line="360"/>
        <w:rPr>
          <w:rFonts w:ascii="Arial" w:cs="Arial" w:hAnsi="Arial"/>
        </w:rPr>
      </w:pPr>
      <w:r>
        <w:rPr>
          <w:rFonts w:ascii="Arial" w:cs="Arial" w:hAnsi="Arial"/>
        </w:rPr>
        <w:t>3.8 Ethical Considerations</w:t>
      </w:r>
      <w:bookmarkEnd w:id="69"/>
      <w:bookmarkEnd w:id="70"/>
    </w:p>
    <w:p w14:paraId="66BC81C9">
      <w:pPr>
        <w:pStyle w:val="style0"/>
        <w:spacing w:lineRule="auto" w:line="360"/>
        <w:rPr>
          <w:rFonts w:ascii="Arial" w:cs="Arial" w:hAnsi="Arial"/>
        </w:rPr>
      </w:pPr>
      <w:r>
        <w:rPr>
          <w:rFonts w:ascii="Arial" w:cs="Arial" w:hAnsi="Arial"/>
        </w:rPr>
        <w:t xml:space="preserve">Ethical principles matter here, as in all research; even though this research does not include direct contact with human participants, it is still important to analyse secondary data. All information used in this dissertation has been sourced from publicly published sources, such as academic publications, organisational reports, regulatory documents and industry research. First, sources must be represented accurately. Appropriate referencing of all sources is required to recognise the original authors and to avoid plagiarism. The research avoids selective use of evidence and aims for a balanced interpretation, considering both positive and negative views on personalised loyalty strategies. The second is issues of research integrity. Company publications may include promotional statements; research questions the statements made within them. Evidence </w:t>
      </w:r>
      <w:r>
        <w:rPr>
          <w:rFonts w:ascii="Arial" w:cs="Arial" w:hAnsi="Arial"/>
        </w:rPr>
        <w:t xml:space="preserve">from Sanajri et </w:t>
      </w:r>
      <w:r>
        <w:rPr>
          <w:rFonts w:ascii="Arial" w:cs="Arial" w:hAnsi="Arial"/>
        </w:rPr>
        <w:t>al. (2024) shows that the study analyses these publications in context and notes potential commercial motivations behind the communications</w:t>
      </w:r>
      <w:r>
        <w:rPr>
          <w:rFonts w:ascii="Arial" w:cs="Arial" w:hAnsi="Arial"/>
        </w:rPr>
        <w:t>. Another factor is organisational sensitivity. The findings focus on strategic practices and industry implications, not specific organisations. Lastly, the research follows institutional ethical standards for the responsible use of secondary information. Because no personal data is collected or processed, confidentiality and informed consent risks are minimal (Taquette and Borges da Matta Souza¸2022)</w:t>
      </w:r>
    </w:p>
    <w:bookmarkStart w:id="71" w:name="_Toc238767135"/>
    <w:bookmarkStart w:id="72" w:name="_Toc240496645"/>
    <w:p w14:paraId="68CBF421">
      <w:pPr>
        <w:pStyle w:val="style2"/>
        <w:spacing w:lineRule="auto" w:line="360"/>
        <w:rPr>
          <w:rFonts w:ascii="Arial" w:cs="Arial" w:hAnsi="Arial"/>
        </w:rPr>
      </w:pPr>
      <w:r>
        <w:rPr>
          <w:rFonts w:ascii="Arial" w:cs="Arial" w:hAnsi="Arial"/>
        </w:rPr>
        <w:t>3.9 Chapter Summary</w:t>
      </w:r>
      <w:bookmarkEnd w:id="71"/>
      <w:bookmarkEnd w:id="72"/>
      <w:r>
        <w:rPr>
          <w:rFonts w:ascii="Arial" w:cs="Arial" w:hAnsi="Arial"/>
        </w:rPr>
        <w:t xml:space="preserve"> </w:t>
      </w:r>
    </w:p>
    <w:p w14:paraId="3F0ADD3D">
      <w:pPr>
        <w:pStyle w:val="style0"/>
        <w:spacing w:lineRule="auto" w:line="360"/>
        <w:rPr>
          <w:rFonts w:ascii="Arial" w:cs="Arial" w:hAnsi="Arial"/>
        </w:rPr>
      </w:pPr>
      <w:r>
        <w:rPr>
          <w:rFonts w:ascii="Arial" w:cs="Arial" w:hAnsi="Arial"/>
        </w:rPr>
        <w:t xml:space="preserve">This chapter </w:t>
      </w:r>
      <w:r>
        <w:rPr>
          <w:rFonts w:ascii="Arial" w:cs="Arial" w:hAnsi="Arial"/>
        </w:rPr>
        <w:t>sets</w:t>
      </w:r>
      <w:r>
        <w:rPr>
          <w:rFonts w:ascii="Arial" w:cs="Arial" w:hAnsi="Arial"/>
        </w:rPr>
        <w:t xml:space="preserve"> out the methodological approach used to examine the effect of personalised offers on customer loyalty in the UK grocery retail industry</w:t>
      </w:r>
      <w:r>
        <w:rPr>
          <w:rFonts w:ascii="Arial" w:cs="Arial" w:hAnsi="Arial"/>
        </w:rPr>
        <w:t xml:space="preserve">. The research </w:t>
      </w:r>
      <w:r>
        <w:rPr>
          <w:rFonts w:ascii="Arial" w:cs="Arial" w:hAnsi="Arial"/>
        </w:rPr>
        <w:t xml:space="preserve">uses an interpretivist philosophy and an inductive approach, </w:t>
      </w:r>
      <w:r>
        <w:rPr>
          <w:rFonts w:ascii="Arial" w:cs="Arial" w:hAnsi="Arial"/>
        </w:rPr>
        <w:t>aiming</w:t>
      </w:r>
      <w:r>
        <w:rPr>
          <w:rFonts w:ascii="Arial" w:cs="Arial" w:hAnsi="Arial"/>
        </w:rPr>
        <w:t xml:space="preserve"> to understand how retailers create and implement personalised loyalty strategies within</w:t>
      </w:r>
      <w:r>
        <w:rPr>
          <w:rFonts w:ascii="Arial" w:cs="Arial" w:hAnsi="Arial"/>
        </w:rPr>
        <w:t xml:space="preserve"> their market and organisational environments. The study </w:t>
      </w:r>
      <w:r>
        <w:rPr>
          <w:rFonts w:ascii="Arial" w:cs="Arial" w:hAnsi="Arial"/>
        </w:rPr>
        <w:t>uses qualitative secondary research and case study analysis, drawing on academic literature, company publications, company reports, industry reports, regulatory documents,</w:t>
      </w:r>
      <w:r>
        <w:rPr>
          <w:rFonts w:ascii="Arial" w:cs="Arial" w:hAnsi="Arial"/>
        </w:rPr>
        <w:t xml:space="preserve"> and other publicly available sources.</w:t>
      </w:r>
      <w:r>
        <w:rPr>
          <w:rFonts w:ascii="Arial" w:cs="Arial" w:hAnsi="Arial"/>
        </w:rPr>
        <w:t xml:space="preserve"> </w:t>
      </w:r>
      <w:r>
        <w:rPr>
          <w:rFonts w:ascii="Arial" w:cs="Arial" w:hAnsi="Arial"/>
        </w:rPr>
        <w:t xml:space="preserve">The chapter </w:t>
      </w:r>
      <w:r>
        <w:rPr>
          <w:rFonts w:ascii="Arial" w:cs="Arial" w:hAnsi="Arial"/>
        </w:rPr>
        <w:t>describes</w:t>
      </w:r>
      <w:r>
        <w:rPr>
          <w:rFonts w:ascii="Arial" w:cs="Arial" w:hAnsi="Arial"/>
        </w:rPr>
        <w:t xml:space="preserve"> </w:t>
      </w:r>
      <w:r>
        <w:rPr>
          <w:rFonts w:ascii="Arial" w:cs="Arial" w:hAnsi="Arial"/>
        </w:rPr>
        <w:t>how the study selected and analysed</w:t>
      </w:r>
      <w:r>
        <w:rPr>
          <w:rFonts w:ascii="Arial" w:cs="Arial" w:hAnsi="Arial"/>
        </w:rPr>
        <w:t xml:space="preserve"> secondary data </w:t>
      </w:r>
      <w:r>
        <w:rPr>
          <w:rFonts w:ascii="Arial" w:cs="Arial" w:hAnsi="Arial"/>
        </w:rPr>
        <w:t>through individual case studies and cross-case comparisons</w:t>
      </w:r>
      <w:r>
        <w:rPr>
          <w:rFonts w:ascii="Arial" w:cs="Arial" w:hAnsi="Arial"/>
        </w:rPr>
        <w:t xml:space="preserve">. The analysis </w:t>
      </w:r>
      <w:r>
        <w:rPr>
          <w:rFonts w:ascii="Arial" w:cs="Arial" w:hAnsi="Arial"/>
        </w:rPr>
        <w:t>examines how personalised offer relevance, perceived reward value, perceived fairness, customer trust, satisfaction, and customer loyalty outcomes vary across</w:t>
      </w:r>
      <w:r>
        <w:rPr>
          <w:rFonts w:ascii="Arial" w:cs="Arial" w:hAnsi="Arial"/>
        </w:rPr>
        <w:t xml:space="preserve"> grocery retailers. Source evaluation, triangulation, transparency</w:t>
      </w:r>
      <w:r>
        <w:rPr>
          <w:rFonts w:ascii="Arial" w:cs="Arial" w:hAnsi="Arial"/>
        </w:rPr>
        <w:t>, and ethical use of publicly available information are important methods that support</w:t>
      </w:r>
      <w:r>
        <w:rPr>
          <w:rFonts w:ascii="Arial" w:cs="Arial" w:hAnsi="Arial"/>
        </w:rPr>
        <w:t xml:space="preserve"> research quality. The findings are presented in selected case studies of </w:t>
      </w:r>
      <w:r>
        <w:rPr>
          <w:rFonts w:ascii="Arial" w:cs="Arial" w:hAnsi="Arial"/>
        </w:rPr>
        <w:t>UK grocery retailers,</w:t>
      </w:r>
      <w:r>
        <w:rPr>
          <w:rFonts w:ascii="Arial" w:cs="Arial" w:hAnsi="Arial"/>
        </w:rPr>
        <w:t xml:space="preserve"> and </w:t>
      </w:r>
      <w:r>
        <w:rPr>
          <w:rFonts w:ascii="Arial" w:cs="Arial" w:hAnsi="Arial"/>
        </w:rPr>
        <w:t>the next chapter compares their personalised offer strategies and results</w:t>
      </w:r>
      <w:r>
        <w:rPr>
          <w:rFonts w:ascii="Arial" w:cs="Arial" w:hAnsi="Arial"/>
        </w:rPr>
        <w:t>.</w:t>
      </w:r>
      <w:bookmarkStart w:id="73" w:name="_Toc238767136"/>
    </w:p>
    <w:p w14:paraId="23ECC1B5">
      <w:pPr>
        <w:pStyle w:val="style0"/>
        <w:jc w:val="left"/>
        <w:rPr>
          <w:rFonts w:ascii="Arial" w:cs="Arial" w:hAnsi="Arial"/>
        </w:rPr>
      </w:pPr>
      <w:r>
        <w:rPr>
          <w:rFonts w:ascii="Arial" w:cs="Arial" w:hAnsi="Arial"/>
        </w:rPr>
        <w:br w:type="page"/>
      </w:r>
    </w:p>
    <w:bookmarkStart w:id="74" w:name="_Toc240496646"/>
    <w:p w14:paraId="69FEDAE3">
      <w:pPr>
        <w:pStyle w:val="style1"/>
        <w:spacing w:lineRule="auto" w:line="360"/>
        <w:jc w:val="both"/>
        <w:rPr>
          <w:rFonts w:ascii="Arial" w:cs="Arial" w:hAnsi="Arial"/>
          <w:lang w:val="en-GB"/>
        </w:rPr>
      </w:pPr>
      <w:r>
        <w:rPr>
          <w:rFonts w:ascii="Arial" w:cs="Arial" w:hAnsi="Arial"/>
          <w:lang w:val="en-GB"/>
        </w:rPr>
        <w:t>Chapter 4: Findings</w:t>
      </w:r>
      <w:bookmarkEnd w:id="74"/>
      <w:r>
        <w:rPr>
          <w:rFonts w:ascii="Arial" w:cs="Arial" w:hAnsi="Arial"/>
          <w:lang w:val="en-GB"/>
        </w:rPr>
        <w:t xml:space="preserve"> </w:t>
      </w:r>
      <w:bookmarkEnd w:id="73"/>
    </w:p>
    <w:bookmarkStart w:id="75" w:name="_Toc240496647"/>
    <w:p w14:paraId="1C39DE16">
      <w:pPr>
        <w:pStyle w:val="style2"/>
        <w:spacing w:lineRule="auto" w:line="360"/>
        <w:rPr>
          <w:rFonts w:ascii="Arial" w:cs="Arial" w:hAnsi="Arial"/>
        </w:rPr>
      </w:pPr>
      <w:r>
        <w:rPr>
          <w:rFonts w:ascii="Arial" w:cs="Arial" w:hAnsi="Arial"/>
        </w:rPr>
        <w:t xml:space="preserve">4.1 </w:t>
      </w:r>
      <w:r>
        <w:rPr>
          <w:rFonts w:ascii="Arial" w:cs="Arial" w:hAnsi="Arial"/>
        </w:rPr>
        <w:t>Introduction</w:t>
      </w:r>
      <w:bookmarkEnd w:id="75"/>
      <w:r>
        <w:rPr>
          <w:rFonts w:ascii="Arial" w:cs="Arial" w:hAnsi="Arial"/>
        </w:rPr>
        <w:t xml:space="preserve"> </w:t>
      </w:r>
    </w:p>
    <w:p w14:paraId="2B569ED6">
      <w:pPr>
        <w:pStyle w:val="style0"/>
        <w:spacing w:lineRule="auto" w:line="360"/>
        <w:rPr>
          <w:rFonts w:ascii="Arial" w:cs="Arial" w:hAnsi="Arial"/>
        </w:rPr>
      </w:pPr>
      <w:r>
        <w:rPr>
          <w:rFonts w:ascii="Arial" w:cs="Arial" w:hAnsi="Arial"/>
        </w:rPr>
        <w:t xml:space="preserve">The secondary data analysis is structured as a series of case studies on the UK grocery retail sector, using a range of personalised offer strategies. This chapter </w:t>
      </w:r>
      <w:r>
        <w:rPr>
          <w:rFonts w:ascii="Arial" w:cs="Arial" w:hAnsi="Arial"/>
        </w:rPr>
        <w:t>illustrates how loyalty programmes, customer information, and digitalisation support the creation of personalised offers and strengthen customer relationships for</w:t>
      </w:r>
      <w:r>
        <w:rPr>
          <w:rFonts w:ascii="Arial" w:cs="Arial" w:hAnsi="Arial"/>
        </w:rPr>
        <w:t xml:space="preserve"> key supermarket retailers. The findings are based on secondary sources, including public sources such as company annual reports, official publications, industry reports, and reputable business sources. The chapter explores three </w:t>
      </w:r>
      <w:r>
        <w:rPr>
          <w:rFonts w:ascii="Arial" w:cs="Arial" w:hAnsi="Arial"/>
        </w:rPr>
        <w:t>leading UK grocery retailers</w:t>
      </w:r>
      <w:r>
        <w:rPr>
          <w:rFonts w:ascii="Arial" w:cs="Arial" w:hAnsi="Arial"/>
        </w:rPr>
        <w:t xml:space="preserve">: Tesco, Sainsbury's, and Lidl. These companies were chosen to show how different methods of loyalty personalisation are implemented and because they have a history of providing customer analytics tools for their data personalisation programmes, whether on the app, online, or via a more traditional loyalty card. The company background section of each case study describes the </w:t>
      </w:r>
      <w:r>
        <w:rPr>
          <w:rFonts w:ascii="Arial" w:cs="Arial" w:hAnsi="Arial"/>
        </w:rPr>
        <w:t>company's background</w:t>
      </w:r>
      <w:r>
        <w:rPr>
          <w:rFonts w:ascii="Arial" w:cs="Arial" w:hAnsi="Arial"/>
        </w:rPr>
        <w:t>.</w:t>
      </w:r>
      <w:r>
        <w:rPr>
          <w:rFonts w:ascii="Arial" w:cs="Arial" w:hAnsi="Arial"/>
        </w:rPr>
        <w:t xml:space="preserve"> </w:t>
      </w:r>
      <w:r>
        <w:rPr>
          <w:rFonts w:ascii="Arial" w:cs="Arial" w:hAnsi="Arial"/>
        </w:rPr>
        <w:t xml:space="preserve">The strategic challenge or opportunity section of each case study </w:t>
      </w:r>
      <w:r>
        <w:rPr>
          <w:rFonts w:ascii="Arial" w:cs="Arial" w:hAnsi="Arial"/>
        </w:rPr>
        <w:t>summarises</w:t>
      </w:r>
      <w:r>
        <w:rPr>
          <w:rFonts w:ascii="Arial" w:cs="Arial" w:hAnsi="Arial"/>
        </w:rPr>
        <w:t xml:space="preserve"> the challenge or opportunity that the company faced. The cases illustrate the use of personalised offers and set the base for the cross-case analysis and discussion in future chapters.</w:t>
      </w:r>
    </w:p>
    <w:bookmarkStart w:id="76" w:name="_Toc240496648"/>
    <w:p w14:paraId="18FA7670">
      <w:pPr>
        <w:pStyle w:val="style2"/>
        <w:spacing w:lineRule="auto" w:line="360"/>
        <w:rPr>
          <w:rFonts w:ascii="Arial" w:cs="Arial" w:hAnsi="Arial"/>
        </w:rPr>
      </w:pPr>
      <w:r>
        <w:rPr>
          <w:rFonts w:ascii="Arial" w:cs="Arial" w:hAnsi="Arial"/>
        </w:rPr>
        <w:t xml:space="preserve">4.2 </w:t>
      </w:r>
      <w:r>
        <w:rPr>
          <w:rFonts w:ascii="Arial" w:cs="Arial" w:hAnsi="Arial"/>
        </w:rPr>
        <w:t>Case Study 1: Tesco Clubcard</w:t>
      </w:r>
      <w:bookmarkEnd w:id="76"/>
    </w:p>
    <w:bookmarkStart w:id="77" w:name="_Toc240496649"/>
    <w:p w14:paraId="4B345652">
      <w:pPr>
        <w:pStyle w:val="style3"/>
        <w:rPr>
          <w:rFonts w:ascii="Arial" w:cs="Arial" w:hAnsi="Arial"/>
          <w:lang w:val="en-GB"/>
        </w:rPr>
      </w:pPr>
      <w:r>
        <w:rPr>
          <w:rFonts w:ascii="Arial" w:cs="Arial" w:hAnsi="Arial"/>
          <w:lang w:val="en-GB"/>
        </w:rPr>
        <w:t>4.2.1 Background</w:t>
      </w:r>
      <w:bookmarkEnd w:id="77"/>
      <w:r>
        <w:rPr>
          <w:rFonts w:ascii="Arial" w:cs="Arial" w:hAnsi="Arial"/>
          <w:lang w:val="en-GB"/>
        </w:rPr>
        <w:t xml:space="preserve"> </w:t>
      </w:r>
    </w:p>
    <w:p w14:paraId="1E5B06D9">
      <w:pPr>
        <w:pStyle w:val="style0"/>
        <w:spacing w:lineRule="auto" w:line="360"/>
        <w:rPr>
          <w:rFonts w:ascii="Arial" w:cs="Arial" w:hAnsi="Arial"/>
        </w:rPr>
      </w:pPr>
      <w:r>
        <w:rPr>
          <w:rFonts w:ascii="Arial" w:cs="Arial" w:hAnsi="Arial"/>
        </w:rPr>
        <w:t xml:space="preserve">Tesco is the UK's biggest supermarket, and also has a strong presence in all grocery retail, web retail, monetary services and convenience formats. </w:t>
      </w:r>
      <w:r>
        <w:rPr>
          <w:rFonts w:ascii="Arial" w:cs="Arial" w:hAnsi="Arial"/>
        </w:rPr>
        <w:t xml:space="preserve">Its loyalty scheme, Clubcard, introduced in 1995, </w:t>
      </w:r>
      <w:r>
        <w:rPr>
          <w:rFonts w:ascii="Arial" w:cs="Arial" w:hAnsi="Arial"/>
        </w:rPr>
        <w:t>has become</w:t>
      </w:r>
      <w:r>
        <w:rPr>
          <w:rFonts w:ascii="Arial" w:cs="Arial" w:hAnsi="Arial"/>
        </w:rPr>
        <w:t xml:space="preserve"> a major part of Tesco's customer relationship strategy. The programme allows Tesco to gather </w:t>
      </w:r>
      <w:r>
        <w:rPr>
          <w:rFonts w:ascii="Arial" w:cs="Arial" w:hAnsi="Arial"/>
        </w:rPr>
        <w:t>purchase data and offer personalised discounts, suggestions, and rewards through</w:t>
      </w:r>
      <w:r>
        <w:rPr>
          <w:rFonts w:ascii="Arial" w:cs="Arial" w:hAnsi="Arial"/>
        </w:rPr>
        <w:t xml:space="preserve"> digital platforms (Muldoon, 2025</w:t>
      </w:r>
      <w:r>
        <w:rPr>
          <w:rFonts w:ascii="Arial" w:cs="Arial" w:hAnsi="Arial"/>
        </w:rPr>
        <w:t>)</w:t>
      </w:r>
      <w:r>
        <w:rPr>
          <w:rFonts w:ascii="Arial" w:cs="Arial" w:hAnsi="Arial"/>
        </w:rPr>
        <w:t xml:space="preserve">. </w:t>
      </w:r>
      <w:r>
        <w:rPr>
          <w:rFonts w:ascii="Arial" w:cs="Arial" w:hAnsi="Arial"/>
        </w:rPr>
        <w:t>Willing (2026</w:t>
      </w:r>
      <w:r>
        <w:rPr>
          <w:rFonts w:ascii="Arial" w:cs="Arial" w:hAnsi="Arial"/>
        </w:rPr>
        <w:t>)</w:t>
      </w:r>
      <w:r>
        <w:rPr>
          <w:rFonts w:ascii="Arial" w:cs="Arial" w:hAnsi="Arial"/>
        </w:rPr>
        <w:t xml:space="preserve"> states that Tesco has</w:t>
      </w:r>
      <w:r>
        <w:rPr>
          <w:rFonts w:ascii="Arial" w:cs="Arial" w:hAnsi="Arial"/>
        </w:rPr>
        <w:t xml:space="preserve"> provided a service to</w:t>
      </w:r>
      <w:r>
        <w:rPr>
          <w:rFonts w:ascii="Arial" w:cs="Arial" w:hAnsi="Arial"/>
        </w:rPr>
        <w:t xml:space="preserve"> 24</w:t>
      </w:r>
      <w:r>
        <w:rPr>
          <w:rFonts w:ascii="Arial" w:cs="Arial" w:hAnsi="Arial"/>
        </w:rPr>
        <w:t xml:space="preserve"> </w:t>
      </w:r>
      <w:r>
        <w:rPr>
          <w:rFonts w:ascii="Arial" w:cs="Arial" w:hAnsi="Arial"/>
        </w:rPr>
        <w:t xml:space="preserve">million homes via its loyalty programs, including Clubcard, which it said </w:t>
      </w:r>
      <w:r>
        <w:rPr>
          <w:rFonts w:ascii="Arial" w:cs="Arial" w:hAnsi="Arial"/>
        </w:rPr>
        <w:t>is a significant capability for understanding customer behaviour and enhancing the customer shopping experience.</w:t>
      </w:r>
    </w:p>
    <w:p w14:paraId="2EEA2621">
      <w:pPr>
        <w:pStyle w:val="style0"/>
        <w:spacing w:lineRule="auto" w:line="360"/>
        <w:rPr>
          <w:rFonts w:ascii="Arial" w:cs="Arial" w:hAnsi="Arial"/>
        </w:rPr>
      </w:pPr>
    </w:p>
    <w:bookmarkStart w:id="78" w:name="_Toc240496650"/>
    <w:p w14:paraId="35D25E51">
      <w:pPr>
        <w:pStyle w:val="style3"/>
        <w:rPr>
          <w:rFonts w:ascii="Arial" w:cs="Arial" w:hAnsi="Arial"/>
          <w:lang w:val="en-GB"/>
        </w:rPr>
      </w:pPr>
      <w:r>
        <w:rPr>
          <w:rFonts w:ascii="Arial" w:cs="Arial" w:hAnsi="Arial"/>
          <w:lang w:val="en-GB"/>
        </w:rPr>
        <w:t xml:space="preserve">4.2.2 </w:t>
      </w:r>
      <w:r>
        <w:rPr>
          <w:rFonts w:ascii="Arial" w:cs="Arial" w:hAnsi="Arial"/>
          <w:lang w:val="en-GB"/>
        </w:rPr>
        <w:t>Challenges/Opportunity</w:t>
      </w:r>
      <w:bookmarkEnd w:id="78"/>
    </w:p>
    <w:p w14:paraId="1BD02DA0">
      <w:pPr>
        <w:pStyle w:val="style0"/>
        <w:spacing w:lineRule="auto" w:line="360"/>
        <w:rPr>
          <w:rFonts w:ascii="Arial" w:cs="Arial" w:hAnsi="Arial"/>
        </w:rPr>
      </w:pPr>
      <w:r>
        <w:rPr>
          <w:rFonts w:ascii="Arial" w:cs="Arial" w:hAnsi="Arial"/>
        </w:rPr>
        <w:t xml:space="preserve">Tesco's grocery sector is </w:t>
      </w:r>
      <w:r>
        <w:rPr>
          <w:rFonts w:ascii="Arial" w:cs="Arial" w:hAnsi="Arial"/>
        </w:rPr>
        <w:t>highly competitive, with intense competition from</w:t>
      </w:r>
      <w:r>
        <w:rPr>
          <w:rFonts w:ascii="Arial" w:cs="Arial" w:hAnsi="Arial"/>
        </w:rPr>
        <w:t xml:space="preserve"> discount retailers like Aldi and Lidl. The challenge for the company was to keep customers loyal and meet growing consumer sensitivity towards value and affordability of the household. </w:t>
      </w:r>
      <w:r>
        <w:rPr>
          <w:rFonts w:ascii="Arial" w:cs="Arial" w:hAnsi="Arial"/>
        </w:rPr>
        <w:t>Traditional mass promotions offered limited differentiation and were essentially the same for all customers (Shelper, 2026)</w:t>
      </w:r>
      <w:r>
        <w:rPr>
          <w:rFonts w:ascii="Arial" w:cs="Arial" w:hAnsi="Arial"/>
        </w:rPr>
        <w:t xml:space="preserve">. Tesco saw an opportunity to leverage customer information to offer customers more </w:t>
      </w:r>
      <w:r>
        <w:rPr>
          <w:rFonts w:ascii="Arial" w:cs="Arial" w:hAnsi="Arial"/>
        </w:rPr>
        <w:t>personalised</w:t>
      </w:r>
      <w:r>
        <w:rPr>
          <w:rFonts w:ascii="Arial" w:cs="Arial" w:hAnsi="Arial"/>
        </w:rPr>
        <w:t xml:space="preserve"> rewards and better relationships with customers. The challenge was to </w:t>
      </w:r>
      <w:r>
        <w:rPr>
          <w:rFonts w:ascii="Arial" w:cs="Arial" w:hAnsi="Arial"/>
        </w:rPr>
        <w:t>ensure the personalisation provided customer value and that customers trusted how their</w:t>
      </w:r>
      <w:r>
        <w:rPr>
          <w:rFonts w:ascii="Arial" w:cs="Arial" w:hAnsi="Arial"/>
        </w:rPr>
        <w:t xml:space="preserve"> data was used.</w:t>
      </w:r>
    </w:p>
    <w:bookmarkStart w:id="79" w:name="_Toc240496651"/>
    <w:p w14:paraId="6F3EC3A3">
      <w:pPr>
        <w:pStyle w:val="style3"/>
        <w:rPr>
          <w:rFonts w:ascii="Arial" w:cs="Arial" w:hAnsi="Arial"/>
          <w:lang w:val="en-GB"/>
        </w:rPr>
      </w:pPr>
      <w:r>
        <w:rPr>
          <w:rFonts w:ascii="Arial" w:cs="Arial" w:hAnsi="Arial"/>
          <w:lang w:val="en-GB"/>
        </w:rPr>
        <w:t>4.2.3 Approach and Implementation</w:t>
      </w:r>
      <w:bookmarkEnd w:id="79"/>
      <w:r>
        <w:rPr>
          <w:rFonts w:ascii="Arial" w:cs="Arial" w:hAnsi="Arial"/>
          <w:lang w:val="en-GB"/>
        </w:rPr>
        <w:t xml:space="preserve"> </w:t>
      </w:r>
    </w:p>
    <w:p w14:paraId="2B2423D5">
      <w:pPr>
        <w:pStyle w:val="style0"/>
        <w:spacing w:lineRule="auto" w:line="360"/>
        <w:rPr>
          <w:rFonts w:ascii="Arial" w:cs="Arial" w:hAnsi="Arial"/>
        </w:rPr>
      </w:pPr>
      <w:r>
        <w:rPr>
          <w:rFonts w:ascii="Arial" w:cs="Arial" w:hAnsi="Arial"/>
        </w:rPr>
        <w:t xml:space="preserve">Clubcard evolved into a data-driven loyalty program, targeting purchases based on customer buying history and insights. </w:t>
      </w:r>
      <w:r>
        <w:rPr>
          <w:rFonts w:ascii="Arial" w:cs="Arial" w:hAnsi="Arial"/>
        </w:rPr>
        <w:t>According to Carroll (2023), t</w:t>
      </w:r>
      <w:r>
        <w:rPr>
          <w:rFonts w:ascii="Arial" w:cs="Arial" w:hAnsi="Arial"/>
        </w:rPr>
        <w:t>he launch of Clubcard Prices enabled club members to get special discounts on certain items</w:t>
      </w:r>
      <w:r>
        <w:rPr>
          <w:rFonts w:ascii="Arial" w:cs="Arial" w:hAnsi="Arial"/>
        </w:rPr>
        <w:t>,</w:t>
      </w:r>
      <w:r>
        <w:rPr>
          <w:rFonts w:ascii="Arial" w:cs="Arial" w:hAnsi="Arial"/>
        </w:rPr>
        <w:t xml:space="preserve"> </w:t>
      </w:r>
      <w:r>
        <w:rPr>
          <w:rFonts w:ascii="Arial" w:cs="Arial" w:hAnsi="Arial"/>
        </w:rPr>
        <w:t>seamlessly adding loyalty rewards to</w:t>
      </w:r>
      <w:r>
        <w:rPr>
          <w:rFonts w:ascii="Arial" w:cs="Arial" w:hAnsi="Arial"/>
        </w:rPr>
        <w:t xml:space="preserve"> the purchasing process. Customers </w:t>
      </w:r>
      <w:r>
        <w:rPr>
          <w:rFonts w:ascii="Arial" w:cs="Arial" w:hAnsi="Arial"/>
        </w:rPr>
        <w:t>no longer receive generic promotional communications, but tailored offers based on their buying habits through</w:t>
      </w:r>
      <w:r>
        <w:rPr>
          <w:rFonts w:ascii="Arial" w:cs="Arial" w:hAnsi="Arial"/>
        </w:rPr>
        <w:t xml:space="preserve"> the Tesco Clubcard app. The company also </w:t>
      </w:r>
      <w:r>
        <w:rPr>
          <w:rFonts w:ascii="Arial" w:cs="Arial" w:hAnsi="Arial"/>
        </w:rPr>
        <w:t>expanded its use of digital technologies, leveraging loyalty information, online grocery services,</w:t>
      </w:r>
      <w:r>
        <w:rPr>
          <w:rFonts w:ascii="Arial" w:cs="Arial" w:hAnsi="Arial"/>
        </w:rPr>
        <w:t xml:space="preserve"> and customer analytics</w:t>
      </w:r>
      <w:r>
        <w:rPr>
          <w:rFonts w:ascii="Arial" w:cs="Arial" w:hAnsi="Arial"/>
        </w:rPr>
        <w:t xml:space="preserve"> (Alabdali, 2026)</w:t>
      </w:r>
      <w:r>
        <w:rPr>
          <w:rFonts w:ascii="Arial" w:cs="Arial" w:hAnsi="Arial"/>
        </w:rPr>
        <w:t xml:space="preserve">. </w:t>
      </w:r>
      <w:r>
        <w:rPr>
          <w:rFonts w:ascii="Arial" w:cs="Arial" w:hAnsi="Arial"/>
        </w:rPr>
        <w:t xml:space="preserve">Tesco's annual reports note data and personalisation as key factors in its efforts to enhance </w:t>
      </w:r>
      <w:r>
        <w:rPr>
          <w:rFonts w:ascii="Arial" w:cs="Arial" w:hAnsi="Arial"/>
        </w:rPr>
        <w:t xml:space="preserve">customer experience and engagement. The retailer has also worked </w:t>
      </w:r>
      <w:r>
        <w:rPr>
          <w:rFonts w:ascii="Arial" w:cs="Arial" w:hAnsi="Arial"/>
        </w:rPr>
        <w:t>to deliver value by offering personalised pricing, especially when inflation is a concern, as it has shifted its focus to affordability for</w:t>
      </w:r>
      <w:r>
        <w:rPr>
          <w:rFonts w:ascii="Arial" w:cs="Arial" w:hAnsi="Arial"/>
        </w:rPr>
        <w:t xml:space="preserve"> consumers. But Tesco's strategy has </w:t>
      </w:r>
      <w:r>
        <w:rPr>
          <w:rFonts w:ascii="Arial" w:cs="Arial" w:hAnsi="Arial"/>
        </w:rPr>
        <w:t>also had to consider fairness to customers alongside</w:t>
      </w:r>
      <w:r>
        <w:rPr>
          <w:rFonts w:ascii="Arial" w:cs="Arial" w:hAnsi="Arial"/>
        </w:rPr>
        <w:t xml:space="preserve"> commercial goals. Personalised loyalty pricing can also generate extra value for members, and it can </w:t>
      </w:r>
      <w:r>
        <w:rPr>
          <w:rFonts w:ascii="Arial" w:cs="Arial" w:hAnsi="Arial"/>
        </w:rPr>
        <w:t>raise</w:t>
      </w:r>
      <w:r>
        <w:rPr>
          <w:rFonts w:ascii="Arial" w:cs="Arial" w:hAnsi="Arial"/>
        </w:rPr>
        <w:t xml:space="preserve"> questions about the differences between loyalty members and non-members. Hence, transparency and communication are important elements of Tesco's loyalty strategy.</w:t>
      </w:r>
    </w:p>
    <w:bookmarkStart w:id="80" w:name="_Toc240496652"/>
    <w:p w14:paraId="0983ADA7">
      <w:pPr>
        <w:pStyle w:val="style3"/>
        <w:rPr>
          <w:rFonts w:ascii="Arial" w:cs="Arial" w:hAnsi="Arial"/>
          <w:lang w:val="en-GB"/>
        </w:rPr>
      </w:pPr>
      <w:r>
        <w:rPr>
          <w:rFonts w:ascii="Arial" w:cs="Arial" w:hAnsi="Arial"/>
          <w:lang w:val="en-GB"/>
        </w:rPr>
        <w:t>4.2.4 Outcomes and Results</w:t>
      </w:r>
      <w:bookmarkEnd w:id="80"/>
    </w:p>
    <w:p w14:paraId="59E25DAB">
      <w:pPr>
        <w:pStyle w:val="style0"/>
        <w:spacing w:lineRule="auto" w:line="360"/>
        <w:rPr>
          <w:rFonts w:ascii="Arial" w:cs="Arial" w:hAnsi="Arial"/>
        </w:rPr>
      </w:pPr>
      <w:r>
        <w:rPr>
          <w:rFonts w:ascii="Arial" w:cs="Arial" w:hAnsi="Arial"/>
        </w:rPr>
        <w:t xml:space="preserve">Overall, Tesco's Clubcard strategy has </w:t>
      </w:r>
      <w:r>
        <w:rPr>
          <w:rFonts w:ascii="Arial" w:cs="Arial" w:hAnsi="Arial"/>
        </w:rPr>
        <w:t>increased customer engagement and helped it</w:t>
      </w:r>
      <w:r>
        <w:rPr>
          <w:rFonts w:ascii="Arial" w:cs="Arial" w:hAnsi="Arial"/>
        </w:rPr>
        <w:t xml:space="preserve"> become the </w:t>
      </w:r>
      <w:r>
        <w:rPr>
          <w:rFonts w:ascii="Arial" w:cs="Arial" w:hAnsi="Arial"/>
        </w:rPr>
        <w:t>UK's top supermarket retailer</w:t>
      </w:r>
      <w:r>
        <w:rPr>
          <w:rFonts w:ascii="Arial" w:cs="Arial" w:hAnsi="Arial"/>
        </w:rPr>
        <w:t>. In 202</w:t>
      </w:r>
      <w:r>
        <w:rPr>
          <w:rFonts w:ascii="Arial" w:cs="Arial" w:hAnsi="Arial"/>
        </w:rPr>
        <w:t>5</w:t>
      </w:r>
      <w:r>
        <w:rPr>
          <w:rFonts w:ascii="Arial" w:cs="Arial" w:hAnsi="Arial"/>
        </w:rPr>
        <w:t>/2</w:t>
      </w:r>
      <w:r>
        <w:rPr>
          <w:rFonts w:ascii="Arial" w:cs="Arial" w:hAnsi="Arial"/>
        </w:rPr>
        <w:t>6</w:t>
      </w:r>
      <w:r>
        <w:rPr>
          <w:rFonts w:ascii="Arial" w:cs="Arial" w:hAnsi="Arial"/>
        </w:rPr>
        <w:t>, Tesco's UK and Republic of Ireland sales reached over £6</w:t>
      </w:r>
      <w:r>
        <w:rPr>
          <w:rFonts w:ascii="Arial" w:cs="Arial" w:hAnsi="Arial"/>
        </w:rPr>
        <w:t>6.59</w:t>
      </w:r>
      <w:r>
        <w:rPr>
          <w:rFonts w:ascii="Arial" w:cs="Arial" w:hAnsi="Arial"/>
        </w:rPr>
        <w:t xml:space="preserve"> billion, with </w:t>
      </w:r>
      <w:r>
        <w:rPr>
          <w:rFonts w:ascii="Arial" w:cs="Arial" w:hAnsi="Arial"/>
        </w:rPr>
        <w:t xml:space="preserve">high </w:t>
      </w:r>
      <w:r>
        <w:rPr>
          <w:rFonts w:ascii="Arial" w:cs="Arial" w:hAnsi="Arial"/>
        </w:rPr>
        <w:t>loyalty activity within its loyalty ecosystem (</w:t>
      </w:r>
      <w:r>
        <w:rPr>
          <w:rFonts w:ascii="Arial" w:cs="Arial" w:hAnsi="Arial"/>
        </w:rPr>
        <w:t>LSE</w:t>
      </w:r>
      <w:r>
        <w:rPr>
          <w:rFonts w:ascii="Arial" w:cs="Arial" w:hAnsi="Arial"/>
        </w:rPr>
        <w:t>, 202</w:t>
      </w:r>
      <w:r>
        <w:rPr>
          <w:rFonts w:ascii="Arial" w:cs="Arial" w:hAnsi="Arial"/>
        </w:rPr>
        <w:t>6</w:t>
      </w:r>
      <w:r>
        <w:rPr>
          <w:rFonts w:ascii="Arial" w:cs="Arial" w:hAnsi="Arial"/>
        </w:rPr>
        <w:t xml:space="preserve">). </w:t>
      </w:r>
      <w:r>
        <w:rPr>
          <w:rFonts w:ascii="Arial" w:cs="Arial" w:hAnsi="Arial"/>
        </w:rPr>
        <w:t xml:space="preserve"> </w:t>
      </w:r>
    </w:p>
    <w:p w14:paraId="42380C88">
      <w:pPr>
        <w:pStyle w:val="style0"/>
        <w:spacing w:lineRule="auto" w:line="360"/>
        <w:rPr>
          <w:rFonts w:ascii="Arial" w:cs="Arial" w:hAnsi="Arial"/>
        </w:rPr>
      </w:pPr>
    </w:p>
    <w:p w14:paraId="372444EE">
      <w:pPr>
        <w:pStyle w:val="style0"/>
        <w:spacing w:lineRule="auto" w:line="360"/>
        <w:rPr>
          <w:rFonts w:ascii="Arial" w:cs="Arial" w:hAnsi="Arial"/>
        </w:rPr>
      </w:pPr>
    </w:p>
    <w:p w14:paraId="207EDEB7">
      <w:pPr>
        <w:pStyle w:val="style0"/>
        <w:spacing w:lineRule="auto" w:line="360"/>
        <w:jc w:val="center"/>
        <w:rPr>
          <w:rFonts w:ascii="Arial" w:cs="Arial" w:hAnsi="Arial"/>
        </w:rPr>
      </w:pPr>
      <w:r>
        <w:rPr>
          <w:rFonts w:ascii="Arial" w:cs="Arial" w:hAnsi="Arial"/>
          <w:noProof/>
        </w:rPr>
        <w:drawing>
          <wp:inline distL="0" distT="0" distB="0" distR="0">
            <wp:extent cx="5501640" cy="3097611"/>
            <wp:effectExtent l="0" t="0" r="3810" b="7620"/>
            <wp:docPr id="1036"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9"/>
                    <pic:cNvPicPr/>
                  </pic:nvPicPr>
                  <pic:blipFill>
                    <a:blip r:embed="rId4" cstate="print"/>
                    <a:srcRect l="0" t="0" r="0" b="0"/>
                    <a:stretch/>
                  </pic:blipFill>
                  <pic:spPr>
                    <a:xfrm rot="0">
                      <a:off x="0" y="0"/>
                      <a:ext cx="5501640" cy="3097611"/>
                    </a:xfrm>
                    <a:prstGeom prst="rect"/>
                  </pic:spPr>
                </pic:pic>
              </a:graphicData>
            </a:graphic>
          </wp:inline>
        </w:drawing>
      </w:r>
    </w:p>
    <w:bookmarkStart w:id="81" w:name="_Toc240449022"/>
    <w:p w14:paraId="53BB2D24">
      <w:pPr>
        <w:pStyle w:val="style34"/>
        <w:spacing w:lineRule="auto" w:line="360"/>
        <w:jc w:val="center"/>
        <w:rPr>
          <w:rFonts w:ascii="Arial" w:cs="Arial" w:hAnsi="Arial"/>
          <w:i w:val="false"/>
          <w:iCs w:val="false"/>
          <w:color w:val="auto"/>
          <w:sz w:val="24"/>
          <w:szCs w:val="24"/>
        </w:rPr>
      </w:pPr>
      <w:r>
        <w:rPr>
          <w:rFonts w:ascii="Arial" w:cs="Arial" w:hAnsi="Arial"/>
          <w:i w:val="false"/>
          <w:iCs w:val="false"/>
          <w:color w:val="auto"/>
          <w:sz w:val="24"/>
          <w:szCs w:val="24"/>
        </w:rPr>
        <w:t xml:space="preserve">Figure </w:t>
      </w:r>
      <w:r>
        <w:rPr>
          <w:rFonts w:ascii="Arial" w:cs="Arial" w:hAnsi="Arial"/>
          <w:i w:val="false"/>
          <w:iCs w:val="false"/>
          <w:color w:val="auto"/>
          <w:sz w:val="24"/>
          <w:szCs w:val="24"/>
        </w:rPr>
        <w:fldChar w:fldCharType="begin"/>
      </w:r>
      <w:r>
        <w:rPr>
          <w:rFonts w:ascii="Arial" w:cs="Arial" w:hAnsi="Arial"/>
          <w:i w:val="false"/>
          <w:iCs w:val="false"/>
          <w:color w:val="auto"/>
          <w:sz w:val="24"/>
          <w:szCs w:val="24"/>
        </w:rPr>
        <w:instrText xml:space="preserve"> SEQ Figure \* ARABIC </w:instrText>
      </w:r>
      <w:r>
        <w:rPr>
          <w:rFonts w:ascii="Arial" w:cs="Arial" w:hAnsi="Arial"/>
          <w:i w:val="false"/>
          <w:iCs w:val="false"/>
          <w:color w:val="auto"/>
          <w:sz w:val="24"/>
          <w:szCs w:val="24"/>
        </w:rPr>
        <w:fldChar w:fldCharType="separate"/>
      </w:r>
      <w:r>
        <w:rPr>
          <w:rFonts w:ascii="Arial" w:cs="Arial" w:hAnsi="Arial"/>
          <w:i w:val="false"/>
          <w:iCs w:val="false"/>
          <w:noProof/>
          <w:color w:val="auto"/>
          <w:sz w:val="24"/>
          <w:szCs w:val="24"/>
        </w:rPr>
        <w:t>3</w:t>
      </w:r>
      <w:r>
        <w:rPr>
          <w:rFonts w:ascii="Arial" w:cs="Arial" w:hAnsi="Arial"/>
          <w:i w:val="false"/>
          <w:iCs w:val="false"/>
          <w:color w:val="auto"/>
          <w:sz w:val="24"/>
          <w:szCs w:val="24"/>
        </w:rPr>
        <w:fldChar w:fldCharType="end"/>
      </w:r>
      <w:r>
        <w:rPr>
          <w:rFonts w:ascii="Arial" w:cs="Arial" w:hAnsi="Arial"/>
          <w:i w:val="false"/>
          <w:iCs w:val="false"/>
          <w:color w:val="auto"/>
          <w:sz w:val="24"/>
          <w:szCs w:val="24"/>
        </w:rPr>
        <w:t>: Tesco sales revenue (TRADING ECONOMICS, 2026)</w:t>
      </w:r>
      <w:bookmarkEnd w:id="81"/>
    </w:p>
    <w:p w14:paraId="270A354E">
      <w:pPr>
        <w:pStyle w:val="style0"/>
        <w:spacing w:lineRule="auto" w:line="360"/>
        <w:rPr>
          <w:rFonts w:ascii="Arial" w:cs="Arial" w:hAnsi="Arial"/>
        </w:rPr>
      </w:pPr>
      <w:r>
        <w:rPr>
          <w:rFonts w:ascii="Arial" w:cs="Arial" w:hAnsi="Arial"/>
        </w:rPr>
        <w:t xml:space="preserve">In addition, Tesco </w:t>
      </w:r>
      <w:r>
        <w:rPr>
          <w:rFonts w:ascii="Arial" w:cs="Arial" w:hAnsi="Arial"/>
        </w:rPr>
        <w:t>expanded its loyalty-driven offerings, with</w:t>
      </w:r>
      <w:r>
        <w:rPr>
          <w:rFonts w:ascii="Arial" w:cs="Arial" w:hAnsi="Arial"/>
        </w:rPr>
        <w:t xml:space="preserve"> more than 10,000 Clubcard Prices and 3,000 Everyday Low Price products (Fibre2fashion, 2026).</w:t>
      </w:r>
      <w:r>
        <w:rPr>
          <w:rFonts w:ascii="Arial" w:cs="Arial" w:hAnsi="Arial"/>
        </w:rPr>
        <w:t xml:space="preserve"> </w:t>
      </w:r>
      <w:r>
        <w:rPr>
          <w:rFonts w:ascii="Arial" w:cs="Arial" w:hAnsi="Arial"/>
        </w:rPr>
        <w:t xml:space="preserve">Personalised offers are key to retaining customers, with Clubcard Prices and digital loyalty offerings continuing to grow. However, </w:t>
      </w:r>
      <w:r>
        <w:rPr>
          <w:rFonts w:ascii="Arial" w:cs="Arial" w:hAnsi="Arial"/>
        </w:rPr>
        <w:t>the results suggest that personalisation exists within a broader context of other factors, such as price competitiveness, convenience,</w:t>
      </w:r>
      <w:r>
        <w:rPr>
          <w:rFonts w:ascii="Arial" w:cs="Arial" w:hAnsi="Arial"/>
        </w:rPr>
        <w:t xml:space="preserve"> and trust.</w:t>
      </w:r>
    </w:p>
    <w:p w14:paraId="149784C4">
      <w:pPr>
        <w:pStyle w:val="style0"/>
        <w:spacing w:lineRule="auto" w:line="360"/>
        <w:jc w:val="left"/>
        <w:rPr>
          <w:rFonts w:ascii="Arial" w:cs="Arial" w:hAnsi="Arial"/>
        </w:rPr>
      </w:pPr>
      <w:r>
        <w:rPr>
          <w:rFonts w:ascii="Arial" w:cs="Arial" w:hAnsi="Arial"/>
        </w:rPr>
        <w:br w:type="page"/>
      </w:r>
    </w:p>
    <w:bookmarkStart w:id="82" w:name="_Toc240496653"/>
    <w:p w14:paraId="419DEAAE">
      <w:pPr>
        <w:pStyle w:val="style2"/>
        <w:spacing w:lineRule="auto" w:line="360"/>
        <w:rPr>
          <w:rFonts w:ascii="Arial" w:cs="Arial" w:hAnsi="Arial"/>
        </w:rPr>
      </w:pPr>
      <w:r>
        <w:rPr>
          <w:rFonts w:ascii="Arial" w:cs="Arial" w:hAnsi="Arial"/>
        </w:rPr>
        <w:t>4.3</w:t>
      </w:r>
      <w:r>
        <w:rPr>
          <w:rFonts w:ascii="Arial" w:cs="Arial" w:hAnsi="Arial"/>
        </w:rPr>
        <w:t xml:space="preserve"> </w:t>
      </w:r>
      <w:r>
        <w:rPr>
          <w:rFonts w:ascii="Arial" w:cs="Arial" w:hAnsi="Arial"/>
        </w:rPr>
        <w:t xml:space="preserve">Case Study 2: </w:t>
      </w:r>
      <w:r>
        <w:rPr>
          <w:rFonts w:ascii="Arial" w:cs="Arial" w:hAnsi="Arial"/>
        </w:rPr>
        <w:t>Sainsbury's</w:t>
      </w:r>
      <w:r>
        <w:rPr>
          <w:rFonts w:ascii="Arial" w:cs="Arial" w:hAnsi="Arial"/>
        </w:rPr>
        <w:t xml:space="preserve"> Nectar</w:t>
      </w:r>
      <w:bookmarkEnd w:id="82"/>
    </w:p>
    <w:bookmarkStart w:id="83" w:name="_Toc240496654"/>
    <w:p w14:paraId="364D0715">
      <w:pPr>
        <w:pStyle w:val="style3"/>
        <w:rPr>
          <w:rFonts w:ascii="Arial" w:cs="Arial" w:hAnsi="Arial"/>
          <w:lang w:val="en-GB"/>
        </w:rPr>
      </w:pPr>
      <w:r>
        <w:rPr>
          <w:rFonts w:ascii="Arial" w:cs="Arial" w:hAnsi="Arial"/>
          <w:lang w:val="en-GB"/>
        </w:rPr>
        <w:t>4.3.1 Background</w:t>
      </w:r>
      <w:bookmarkEnd w:id="83"/>
    </w:p>
    <w:p w14:paraId="08BFDDF9">
      <w:pPr>
        <w:pStyle w:val="style0"/>
        <w:spacing w:lineRule="auto" w:line="360"/>
        <w:rPr>
          <w:rFonts w:ascii="Arial" w:cs="Arial" w:hAnsi="Arial"/>
        </w:rPr>
      </w:pPr>
      <w:r>
        <w:rPr>
          <w:rFonts w:ascii="Arial" w:cs="Arial" w:hAnsi="Arial"/>
        </w:rPr>
        <w:t xml:space="preserve">Sainsbury's is the UK's top grocery store with supermarkets, convenience stores, grocery delivery services and financial services. Sainsbury's' Nectar loyalty initiative, which was launched in 2002, was fully owned by Sainsbury's in 2018 and is now a key part of the customer engagement strategy. </w:t>
      </w:r>
      <w:r>
        <w:rPr>
          <w:rFonts w:ascii="Arial" w:cs="Arial" w:hAnsi="Arial"/>
        </w:rPr>
        <w:t xml:space="preserve">Sainsbury's delivers personalised discounts and rewards </w:t>
      </w:r>
      <w:r>
        <w:rPr>
          <w:rFonts w:ascii="Arial" w:cs="Arial" w:hAnsi="Arial"/>
        </w:rPr>
        <w:t>through Nectar Prices and the Nectar app, which leverage</w:t>
      </w:r>
      <w:r>
        <w:rPr>
          <w:rFonts w:ascii="Arial" w:cs="Arial" w:hAnsi="Arial"/>
        </w:rPr>
        <w:t xml:space="preserve"> customers'</w:t>
      </w:r>
      <w:r>
        <w:rPr>
          <w:rFonts w:ascii="Arial" w:cs="Arial" w:hAnsi="Arial"/>
        </w:rPr>
        <w:t xml:space="preserve"> purchasing data</w:t>
      </w:r>
      <w:r>
        <w:rPr>
          <w:rFonts w:ascii="Arial" w:cs="Arial" w:hAnsi="Arial"/>
        </w:rPr>
        <w:t xml:space="preserve"> (Roberts, 2024)</w:t>
      </w:r>
      <w:r>
        <w:rPr>
          <w:rFonts w:ascii="Arial" w:cs="Arial" w:hAnsi="Arial"/>
        </w:rPr>
        <w:t xml:space="preserve">. </w:t>
      </w:r>
    </w:p>
    <w:bookmarkStart w:id="84" w:name="_Toc240496655"/>
    <w:p w14:paraId="26F5AD79">
      <w:pPr>
        <w:pStyle w:val="style3"/>
        <w:rPr>
          <w:rFonts w:ascii="Arial" w:cs="Arial" w:hAnsi="Arial"/>
          <w:lang w:val="en-GB"/>
        </w:rPr>
      </w:pPr>
      <w:r>
        <w:rPr>
          <w:rFonts w:ascii="Arial" w:cs="Arial" w:hAnsi="Arial"/>
          <w:lang w:val="en-GB"/>
        </w:rPr>
        <w:t xml:space="preserve">4.3.2 </w:t>
      </w:r>
      <w:r>
        <w:rPr>
          <w:rFonts w:ascii="Arial" w:cs="Arial" w:hAnsi="Arial"/>
          <w:lang w:val="en-GB"/>
        </w:rPr>
        <w:t>Challenges/Opportunity</w:t>
      </w:r>
      <w:bookmarkEnd w:id="84"/>
    </w:p>
    <w:p w14:paraId="15195827">
      <w:pPr>
        <w:pStyle w:val="style0"/>
        <w:spacing w:lineRule="auto" w:line="360"/>
        <w:rPr>
          <w:rFonts w:ascii="Arial" w:cs="Arial" w:hAnsi="Arial"/>
        </w:rPr>
      </w:pPr>
      <w:r>
        <w:rPr>
          <w:rFonts w:ascii="Arial" w:cs="Arial" w:hAnsi="Arial"/>
        </w:rPr>
        <w:t xml:space="preserve">Sainsbury's has been under growing pressure from conventional supermarkets, as well as price-based supermarkets like discount </w:t>
      </w:r>
      <w:r>
        <w:rPr>
          <w:rFonts w:ascii="Arial" w:cs="Arial" w:hAnsi="Arial"/>
        </w:rPr>
        <w:t>stores</w:t>
      </w:r>
      <w:r>
        <w:rPr>
          <w:rFonts w:ascii="Arial" w:cs="Arial" w:hAnsi="Arial"/>
        </w:rPr>
        <w:t xml:space="preserve"> Aldi and Lidl, which continue to grow their market share. </w:t>
      </w:r>
      <w:r>
        <w:rPr>
          <w:rFonts w:ascii="Arial" w:cs="Arial" w:hAnsi="Arial"/>
        </w:rPr>
        <w:t xml:space="preserve">Sainsbury's challenge </w:t>
      </w:r>
      <w:r>
        <w:rPr>
          <w:rFonts w:ascii="Arial" w:cs="Arial" w:hAnsi="Arial"/>
        </w:rPr>
        <w:t>was to win back customers without simply cutting</w:t>
      </w:r>
      <w:r>
        <w:rPr>
          <w:rFonts w:ascii="Arial" w:cs="Arial" w:hAnsi="Arial"/>
        </w:rPr>
        <w:t xml:space="preserve"> prices. The company saw that it could </w:t>
      </w:r>
      <w:r>
        <w:rPr>
          <w:rFonts w:ascii="Arial" w:cs="Arial" w:hAnsi="Arial"/>
        </w:rPr>
        <w:t xml:space="preserve">use Nectar data </w:t>
      </w:r>
      <w:r>
        <w:rPr>
          <w:rFonts w:ascii="Arial" w:cs="Arial" w:hAnsi="Arial"/>
        </w:rPr>
        <w:t>to understand customer shopping habits better</w:t>
      </w:r>
      <w:r>
        <w:rPr>
          <w:rFonts w:ascii="Arial" w:cs="Arial" w:hAnsi="Arial"/>
        </w:rPr>
        <w:t xml:space="preserve"> and make more relevant offers</w:t>
      </w:r>
      <w:r>
        <w:rPr>
          <w:rFonts w:ascii="Arial" w:cs="Arial" w:hAnsi="Arial"/>
        </w:rPr>
        <w:t xml:space="preserve">. But whether personalised rewards were </w:t>
      </w:r>
      <w:r>
        <w:rPr>
          <w:rFonts w:ascii="Arial" w:cs="Arial" w:hAnsi="Arial"/>
        </w:rPr>
        <w:t xml:space="preserve">effective depended on whether customers saw the offer as a valuable reward rather than </w:t>
      </w:r>
      <w:r>
        <w:rPr>
          <w:rFonts w:ascii="Arial" w:cs="Arial" w:hAnsi="Arial"/>
        </w:rPr>
        <w:t>another marketing device.</w:t>
      </w:r>
    </w:p>
    <w:bookmarkStart w:id="85" w:name="_Toc240496656"/>
    <w:p w14:paraId="1EF1793E">
      <w:pPr>
        <w:pStyle w:val="style3"/>
        <w:rPr>
          <w:rFonts w:ascii="Arial" w:cs="Arial" w:hAnsi="Arial"/>
          <w:lang w:val="en-GB"/>
        </w:rPr>
      </w:pPr>
      <w:r>
        <w:rPr>
          <w:rFonts w:ascii="Arial" w:cs="Arial" w:hAnsi="Arial"/>
          <w:lang w:val="en-GB"/>
        </w:rPr>
        <w:t>4.3.3 Approach and Implementation</w:t>
      </w:r>
      <w:bookmarkEnd w:id="85"/>
      <w:r>
        <w:rPr>
          <w:rFonts w:ascii="Arial" w:cs="Arial" w:hAnsi="Arial"/>
          <w:lang w:val="en-GB"/>
        </w:rPr>
        <w:t xml:space="preserve"> </w:t>
      </w:r>
    </w:p>
    <w:p w14:paraId="42030E15">
      <w:pPr>
        <w:pStyle w:val="style0"/>
        <w:spacing w:lineRule="auto" w:line="360"/>
        <w:rPr>
          <w:rFonts w:ascii="Arial" w:cs="Arial" w:hAnsi="Arial"/>
        </w:rPr>
      </w:pPr>
      <w:r>
        <w:rPr>
          <w:rFonts w:ascii="Arial" w:cs="Arial" w:hAnsi="Arial"/>
        </w:rPr>
        <w:t>In response, Sainsbury's created a more personalised digital loyalty platform called</w:t>
      </w:r>
      <w:r>
        <w:rPr>
          <w:rFonts w:ascii="Arial" w:cs="Arial" w:hAnsi="Arial"/>
        </w:rPr>
        <w:t xml:space="preserve"> Nectar. </w:t>
      </w:r>
      <w:r>
        <w:rPr>
          <w:rFonts w:ascii="Arial" w:cs="Arial" w:hAnsi="Arial"/>
        </w:rPr>
        <w:t xml:space="preserve">A key development is the launch of Nectar Prices in 2022, which lets customers </w:t>
      </w:r>
      <w:r>
        <w:rPr>
          <w:rFonts w:ascii="Arial" w:cs="Arial" w:hAnsi="Arial"/>
        </w:rPr>
        <w:t xml:space="preserve">enjoy discounted prices on specific items at the point of sale using their Nectar card and/or the Nectar app. </w:t>
      </w:r>
      <w:r>
        <w:rPr>
          <w:rFonts w:ascii="Arial" w:cs="Arial" w:hAnsi="Arial"/>
        </w:rPr>
        <w:t xml:space="preserve">According to Corbin (2023), </w:t>
      </w:r>
      <w:r>
        <w:rPr>
          <w:rFonts w:ascii="Arial" w:cs="Arial" w:hAnsi="Arial"/>
        </w:rPr>
        <w:t>Nectar Prices are not based on points</w:t>
      </w:r>
      <w:r>
        <w:rPr>
          <w:rFonts w:ascii="Arial" w:cs="Arial" w:hAnsi="Arial"/>
        </w:rPr>
        <w:t xml:space="preserve">; they </w:t>
      </w:r>
      <w:r>
        <w:rPr>
          <w:rFonts w:ascii="Arial" w:cs="Arial" w:hAnsi="Arial"/>
        </w:rPr>
        <w:t xml:space="preserve">directly link loyalty membership to </w:t>
      </w:r>
      <w:r>
        <w:rPr>
          <w:rFonts w:ascii="Arial" w:cs="Arial" w:hAnsi="Arial"/>
        </w:rPr>
        <w:t>checkout rewards</w:t>
      </w:r>
      <w:r>
        <w:rPr>
          <w:rFonts w:ascii="Arial" w:cs="Arial" w:hAnsi="Arial"/>
        </w:rPr>
        <w:t>.</w:t>
      </w:r>
      <w:r>
        <w:rPr>
          <w:rFonts w:ascii="Arial" w:cs="Arial" w:hAnsi="Arial"/>
        </w:rPr>
        <w:t xml:space="preserve"> </w:t>
      </w:r>
      <w:r>
        <w:rPr>
          <w:rFonts w:ascii="Arial" w:cs="Arial" w:hAnsi="Arial"/>
        </w:rPr>
        <w:t xml:space="preserve">The Nectar app </w:t>
      </w:r>
      <w:r>
        <w:rPr>
          <w:rFonts w:ascii="Arial" w:cs="Arial" w:hAnsi="Arial"/>
        </w:rPr>
        <w:t>uses customer transaction information to offer tailored recommendations based on</w:t>
      </w:r>
      <w:r>
        <w:rPr>
          <w:rFonts w:ascii="Arial" w:cs="Arial" w:hAnsi="Arial"/>
        </w:rPr>
        <w:t xml:space="preserve"> shopping history</w:t>
      </w:r>
      <w:r>
        <w:rPr>
          <w:rFonts w:ascii="Arial" w:cs="Arial" w:hAnsi="Arial"/>
        </w:rPr>
        <w:t xml:space="preserve"> (Webb, 2024)</w:t>
      </w:r>
      <w:r>
        <w:rPr>
          <w:rFonts w:ascii="Arial" w:cs="Arial" w:hAnsi="Arial"/>
        </w:rPr>
        <w:t xml:space="preserve">. Sainsbury's </w:t>
      </w:r>
      <w:r>
        <w:rPr>
          <w:rFonts w:ascii="Arial" w:cs="Arial" w:hAnsi="Arial"/>
        </w:rPr>
        <w:t>has</w:t>
      </w:r>
      <w:r>
        <w:rPr>
          <w:rFonts w:ascii="Arial" w:cs="Arial" w:hAnsi="Arial"/>
        </w:rPr>
        <w:t xml:space="preserve"> framed this as a way to enhance the customer experience by making offers more relevant</w:t>
      </w:r>
      <w:r>
        <w:rPr>
          <w:rFonts w:ascii="Arial" w:cs="Arial" w:hAnsi="Arial"/>
        </w:rPr>
        <w:t xml:space="preserve"> and less reliant on generic,</w:t>
      </w:r>
      <w:r>
        <w:rPr>
          <w:rFonts w:ascii="Arial" w:cs="Arial" w:hAnsi="Arial"/>
        </w:rPr>
        <w:t xml:space="preserve"> non-targeted discounts. The company has also rolled out Nectar data across its grocery and Argos businesses, providing a broader picture of their buying habits</w:t>
      </w:r>
      <w:r>
        <w:rPr>
          <w:rFonts w:ascii="Arial" w:cs="Arial" w:hAnsi="Arial"/>
        </w:rPr>
        <w:t xml:space="preserve"> (Sainsbury's, 2025)</w:t>
      </w:r>
      <w:r>
        <w:rPr>
          <w:rFonts w:ascii="Arial" w:cs="Arial" w:hAnsi="Arial"/>
        </w:rPr>
        <w:t xml:space="preserve">. </w:t>
      </w:r>
      <w:r>
        <w:rPr>
          <w:rFonts w:ascii="Arial" w:cs="Arial" w:hAnsi="Arial"/>
        </w:rPr>
        <w:t>However, i</w:t>
      </w:r>
      <w:r>
        <w:rPr>
          <w:rFonts w:ascii="Arial" w:cs="Arial" w:hAnsi="Arial"/>
        </w:rPr>
        <w:t xml:space="preserve">t can also pose strategic problems. Retailers can use personalised loyalty pricing to drive engagement and participation, but </w:t>
      </w:r>
      <w:r>
        <w:rPr>
          <w:rFonts w:ascii="Arial" w:cs="Arial" w:hAnsi="Arial"/>
        </w:rPr>
        <w:t>they must be transparent to avoid perceptions that they are</w:t>
      </w:r>
      <w:r>
        <w:rPr>
          <w:rFonts w:ascii="Arial" w:cs="Arial" w:hAnsi="Arial"/>
        </w:rPr>
        <w:t xml:space="preserve"> giving different customers disparate value.</w:t>
      </w:r>
    </w:p>
    <w:bookmarkStart w:id="86" w:name="_Toc240496657"/>
    <w:p w14:paraId="0A401612">
      <w:pPr>
        <w:pStyle w:val="style3"/>
        <w:rPr>
          <w:rFonts w:ascii="Arial" w:cs="Arial" w:hAnsi="Arial"/>
          <w:lang w:val="en-GB"/>
        </w:rPr>
      </w:pPr>
      <w:r>
        <w:rPr>
          <w:rFonts w:ascii="Arial" w:cs="Arial" w:hAnsi="Arial"/>
          <w:lang w:val="en-GB"/>
        </w:rPr>
        <w:t>4.3.4 Outcomes and Results</w:t>
      </w:r>
      <w:bookmarkEnd w:id="86"/>
    </w:p>
    <w:p w14:paraId="24D14727">
      <w:pPr>
        <w:pStyle w:val="style0"/>
        <w:spacing w:lineRule="auto" w:line="360"/>
        <w:rPr>
          <w:rFonts w:ascii="Arial" w:cs="Arial" w:hAnsi="Arial"/>
        </w:rPr>
      </w:pPr>
      <w:r>
        <w:rPr>
          <w:rFonts w:ascii="Arial" w:cs="Arial" w:hAnsi="Arial"/>
        </w:rPr>
        <w:t xml:space="preserve">Sainsbury's </w:t>
      </w:r>
      <w:r>
        <w:rPr>
          <w:rFonts w:ascii="Arial" w:cs="Arial" w:hAnsi="Arial"/>
        </w:rPr>
        <w:t>has seen more customer engagement after developing Nectar Prices and its</w:t>
      </w:r>
      <w:r>
        <w:rPr>
          <w:rFonts w:ascii="Arial" w:cs="Arial" w:hAnsi="Arial"/>
        </w:rPr>
        <w:t xml:space="preserve"> broader customer loyalty plan</w:t>
      </w:r>
      <w:r>
        <w:rPr>
          <w:rFonts w:ascii="Arial" w:cs="Arial" w:hAnsi="Arial"/>
        </w:rPr>
        <w:t>.</w:t>
      </w:r>
      <w:r>
        <w:rPr>
          <w:rFonts w:ascii="Arial" w:cs="Arial" w:hAnsi="Arial"/>
        </w:rPr>
        <w:t xml:space="preserve"> </w:t>
      </w:r>
      <w:r>
        <w:rPr>
          <w:rFonts w:ascii="Arial" w:cs="Arial" w:hAnsi="Arial"/>
        </w:rPr>
        <w:t xml:space="preserve">Sainsbury plc's </w:t>
      </w:r>
      <w:r>
        <w:rPr>
          <w:rFonts w:ascii="Arial" w:cs="Arial" w:hAnsi="Arial"/>
        </w:rPr>
        <w:t xml:space="preserve">grocery sales </w:t>
      </w:r>
      <w:r>
        <w:rPr>
          <w:rFonts w:ascii="Arial" w:cs="Arial" w:hAnsi="Arial"/>
        </w:rPr>
        <w:t>for FY 2025/26 stood at £25.90 billion</w:t>
      </w:r>
      <w:r>
        <w:rPr>
          <w:rFonts w:ascii="Arial" w:cs="Arial" w:hAnsi="Arial"/>
        </w:rPr>
        <w:t>,</w:t>
      </w:r>
      <w:r>
        <w:rPr>
          <w:rFonts w:ascii="Arial" w:cs="Arial" w:hAnsi="Arial"/>
        </w:rPr>
        <w:t xml:space="preserve"> </w:t>
      </w:r>
      <w:r>
        <w:rPr>
          <w:rFonts w:ascii="Arial" w:cs="Arial" w:hAnsi="Arial"/>
        </w:rPr>
        <w:t>up 5.2% from</w:t>
      </w:r>
      <w:r>
        <w:rPr>
          <w:rFonts w:ascii="Arial" w:cs="Arial" w:hAnsi="Arial"/>
        </w:rPr>
        <w:t xml:space="preserve"> the same period last year</w:t>
      </w:r>
      <w:r>
        <w:rPr>
          <w:rFonts w:ascii="Arial" w:cs="Arial" w:hAnsi="Arial"/>
        </w:rPr>
        <w:t xml:space="preserve"> (Directors Talk, 2026)</w:t>
      </w:r>
      <w:r>
        <w:rPr>
          <w:rFonts w:ascii="Arial" w:cs="Arial" w:hAnsi="Arial"/>
        </w:rPr>
        <w:t>.</w:t>
      </w:r>
      <w:r>
        <w:rPr>
          <w:rFonts w:ascii="Arial" w:cs="Arial" w:hAnsi="Arial"/>
        </w:rPr>
        <w:t xml:space="preserve"> </w:t>
      </w:r>
      <w:r>
        <w:rPr>
          <w:rFonts w:ascii="Arial" w:cs="Arial" w:hAnsi="Arial"/>
        </w:rPr>
        <w:t xml:space="preserve">Sainsbury's </w:t>
      </w:r>
      <w:r>
        <w:rPr>
          <w:rFonts w:ascii="Arial" w:cs="Arial" w:hAnsi="Arial"/>
        </w:rPr>
        <w:t>reported</w:t>
      </w:r>
      <w:r>
        <w:rPr>
          <w:rFonts w:ascii="Arial" w:cs="Arial" w:hAnsi="Arial"/>
        </w:rPr>
        <w:t xml:space="preserve"> that more than 18 million people are </w:t>
      </w:r>
      <w:r>
        <w:rPr>
          <w:rFonts w:ascii="Arial" w:cs="Arial" w:hAnsi="Arial"/>
        </w:rPr>
        <w:t>Nectar members</w:t>
      </w:r>
      <w:r>
        <w:rPr>
          <w:rFonts w:ascii="Arial" w:cs="Arial" w:hAnsi="Arial"/>
        </w:rPr>
        <w:t>, making it one of the UK's biggest loyalty initiatives</w:t>
      </w:r>
      <w:r>
        <w:rPr>
          <w:rFonts w:ascii="Arial" w:cs="Arial" w:hAnsi="Arial"/>
        </w:rPr>
        <w:t xml:space="preserve"> (Roberts, 2024)</w:t>
      </w:r>
      <w:r>
        <w:rPr>
          <w:rFonts w:ascii="Arial" w:cs="Arial" w:hAnsi="Arial"/>
        </w:rPr>
        <w:t>.</w:t>
      </w:r>
      <w:r>
        <w:rPr>
          <w:rFonts w:ascii="Arial" w:cs="Arial" w:hAnsi="Arial"/>
        </w:rPr>
        <w:t xml:space="preserve"> Sainsbury's made </w:t>
      </w:r>
      <w:r>
        <w:rPr>
          <w:rFonts w:ascii="Arial" w:cs="Arial" w:hAnsi="Arial"/>
        </w:rPr>
        <w:t>major progress in FY25/26 in volume market share, with figures back to</w:t>
      </w:r>
      <w:r>
        <w:rPr>
          <w:rFonts w:ascii="Arial" w:cs="Arial" w:hAnsi="Arial"/>
        </w:rPr>
        <w:t xml:space="preserve"> 12.9% for the first time in 10 years. The company has been profitable for six quarters in a row, which has been the success of </w:t>
      </w:r>
      <w:r>
        <w:rPr>
          <w:rFonts w:ascii="Arial" w:cs="Arial" w:hAnsi="Arial"/>
        </w:rPr>
        <w:t xml:space="preserve">the </w:t>
      </w:r>
      <w:r>
        <w:rPr>
          <w:rFonts w:ascii="Arial" w:cs="Arial" w:hAnsi="Arial"/>
        </w:rPr>
        <w:t>"food first" strategy.</w:t>
      </w:r>
    </w:p>
    <w:p w14:paraId="514D7C2E">
      <w:pPr>
        <w:pStyle w:val="style0"/>
        <w:spacing w:lineRule="auto" w:line="360"/>
        <w:jc w:val="center"/>
        <w:rPr>
          <w:rFonts w:ascii="Arial" w:cs="Arial" w:hAnsi="Arial"/>
        </w:rPr>
      </w:pPr>
      <w:r>
        <w:rPr>
          <w:rFonts w:ascii="Arial" w:cs="Arial" w:hAnsi="Arial"/>
          <w:noProof/>
        </w:rPr>
        <w:drawing>
          <wp:inline distL="0" distT="0" distB="0" distR="0">
            <wp:extent cx="5553075" cy="3714750"/>
            <wp:effectExtent l="0" t="0" r="9525" b="0"/>
            <wp:docPr id="1037"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0"/>
                    <pic:cNvPicPr/>
                  </pic:nvPicPr>
                  <pic:blipFill>
                    <a:blip r:embed="rId5" cstate="print"/>
                    <a:srcRect l="0" t="0" r="0" b="0"/>
                    <a:stretch/>
                  </pic:blipFill>
                  <pic:spPr>
                    <a:xfrm rot="0">
                      <a:off x="0" y="0"/>
                      <a:ext cx="5553075" cy="3714750"/>
                    </a:xfrm>
                    <a:prstGeom prst="rect"/>
                  </pic:spPr>
                </pic:pic>
              </a:graphicData>
            </a:graphic>
          </wp:inline>
        </w:drawing>
      </w:r>
    </w:p>
    <w:bookmarkStart w:id="87" w:name="_Toc240449023"/>
    <w:p w14:paraId="095FF43F">
      <w:pPr>
        <w:pStyle w:val="style34"/>
        <w:spacing w:lineRule="auto" w:line="360"/>
        <w:jc w:val="center"/>
        <w:rPr>
          <w:rFonts w:ascii="Arial" w:cs="Arial" w:hAnsi="Arial"/>
          <w:i w:val="false"/>
          <w:iCs w:val="false"/>
          <w:color w:val="auto"/>
          <w:sz w:val="24"/>
          <w:szCs w:val="24"/>
        </w:rPr>
      </w:pPr>
      <w:r>
        <w:rPr>
          <w:rFonts w:ascii="Arial" w:cs="Arial" w:hAnsi="Arial"/>
          <w:i w:val="false"/>
          <w:iCs w:val="false"/>
          <w:color w:val="auto"/>
          <w:sz w:val="24"/>
          <w:szCs w:val="24"/>
        </w:rPr>
        <w:t xml:space="preserve">Figure </w:t>
      </w:r>
      <w:r>
        <w:rPr>
          <w:rFonts w:ascii="Arial" w:cs="Arial" w:hAnsi="Arial"/>
          <w:i w:val="false"/>
          <w:iCs w:val="false"/>
          <w:color w:val="auto"/>
          <w:sz w:val="24"/>
          <w:szCs w:val="24"/>
        </w:rPr>
        <w:fldChar w:fldCharType="begin"/>
      </w:r>
      <w:r>
        <w:rPr>
          <w:rFonts w:ascii="Arial" w:cs="Arial" w:hAnsi="Arial"/>
          <w:i w:val="false"/>
          <w:iCs w:val="false"/>
          <w:color w:val="auto"/>
          <w:sz w:val="24"/>
          <w:szCs w:val="24"/>
        </w:rPr>
        <w:instrText xml:space="preserve"> SEQ Figure \* ARABIC </w:instrText>
      </w:r>
      <w:r>
        <w:rPr>
          <w:rFonts w:ascii="Arial" w:cs="Arial" w:hAnsi="Arial"/>
          <w:i w:val="false"/>
          <w:iCs w:val="false"/>
          <w:color w:val="auto"/>
          <w:sz w:val="24"/>
          <w:szCs w:val="24"/>
        </w:rPr>
        <w:fldChar w:fldCharType="separate"/>
      </w:r>
      <w:r>
        <w:rPr>
          <w:rFonts w:ascii="Arial" w:cs="Arial" w:hAnsi="Arial"/>
          <w:i w:val="false"/>
          <w:iCs w:val="false"/>
          <w:noProof/>
          <w:color w:val="auto"/>
          <w:sz w:val="24"/>
          <w:szCs w:val="24"/>
        </w:rPr>
        <w:t>4</w:t>
      </w:r>
      <w:r>
        <w:rPr>
          <w:rFonts w:ascii="Arial" w:cs="Arial" w:hAnsi="Arial"/>
          <w:i w:val="false"/>
          <w:iCs w:val="false"/>
          <w:color w:val="auto"/>
          <w:sz w:val="24"/>
          <w:szCs w:val="24"/>
        </w:rPr>
        <w:fldChar w:fldCharType="end"/>
      </w:r>
      <w:r>
        <w:rPr>
          <w:rFonts w:ascii="Arial" w:cs="Arial" w:hAnsi="Arial"/>
          <w:i w:val="false"/>
          <w:iCs w:val="false"/>
          <w:color w:val="auto"/>
          <w:sz w:val="24"/>
          <w:szCs w:val="24"/>
        </w:rPr>
        <w:t>: Sainsbury’s market share in the last 10 years (Investing.com, 2026)</w:t>
      </w:r>
      <w:bookmarkEnd w:id="87"/>
    </w:p>
    <w:p w14:paraId="5A678F11">
      <w:pPr>
        <w:pStyle w:val="style0"/>
        <w:spacing w:lineRule="auto" w:line="360"/>
        <w:jc w:val="left"/>
        <w:rPr>
          <w:rFonts w:ascii="Arial" w:cs="Arial" w:hAnsi="Arial"/>
        </w:rPr>
      </w:pPr>
      <w:r>
        <w:rPr>
          <w:rFonts w:ascii="Arial" w:cs="Arial" w:hAnsi="Arial"/>
        </w:rPr>
        <w:br w:type="page"/>
      </w:r>
    </w:p>
    <w:bookmarkStart w:id="88" w:name="_Toc240496658"/>
    <w:p w14:paraId="798B5DEC">
      <w:pPr>
        <w:pStyle w:val="style2"/>
        <w:spacing w:lineRule="auto" w:line="360"/>
        <w:rPr>
          <w:rFonts w:ascii="Arial" w:cs="Arial" w:hAnsi="Arial"/>
        </w:rPr>
      </w:pPr>
      <w:r>
        <w:rPr>
          <w:rFonts w:ascii="Arial" w:cs="Arial" w:hAnsi="Arial"/>
        </w:rPr>
        <w:t xml:space="preserve">4.4 Case Study 3: Lidl </w:t>
      </w:r>
      <w:r>
        <w:rPr>
          <w:rFonts w:ascii="Arial" w:cs="Arial" w:hAnsi="Arial"/>
        </w:rPr>
        <w:t>Plus</w:t>
      </w:r>
      <w:bookmarkEnd w:id="88"/>
      <w:r>
        <w:rPr>
          <w:rFonts w:ascii="Arial" w:cs="Arial" w:hAnsi="Arial"/>
        </w:rPr>
        <w:t xml:space="preserve"> </w:t>
      </w:r>
    </w:p>
    <w:bookmarkStart w:id="89" w:name="_Toc240496659"/>
    <w:p w14:paraId="1BF91DB7">
      <w:pPr>
        <w:pStyle w:val="style3"/>
        <w:rPr>
          <w:rFonts w:ascii="Arial" w:cs="Arial" w:hAnsi="Arial"/>
          <w:lang w:val="en-GB"/>
        </w:rPr>
      </w:pPr>
      <w:r>
        <w:rPr>
          <w:rFonts w:ascii="Arial" w:cs="Arial" w:hAnsi="Arial"/>
          <w:lang w:val="en-GB"/>
        </w:rPr>
        <w:t>4.4.1 Background</w:t>
      </w:r>
      <w:bookmarkEnd w:id="89"/>
    </w:p>
    <w:p w14:paraId="27737742">
      <w:pPr>
        <w:pStyle w:val="style0"/>
        <w:spacing w:lineRule="auto" w:line="360"/>
        <w:rPr>
          <w:rFonts w:ascii="Arial" w:cs="Arial" w:hAnsi="Arial"/>
        </w:rPr>
      </w:pPr>
      <w:r>
        <w:rPr>
          <w:rFonts w:ascii="Arial" w:cs="Arial" w:hAnsi="Arial"/>
        </w:rPr>
        <w:t xml:space="preserve">Lidl GB, a part of the Schwarz Group, is one of the largest low-cost grocery chains in the UK. Unlike other supermarket loyalty programs, Lidl has historically competed primarily via a low-price business model rather than reward-based membership. Lidl Plus, a digital loyalty program with digital receipts, customised discounts, promotional prizes, and customer data collection, was introduced in the UK in 2020. </w:t>
      </w:r>
      <w:r>
        <w:rPr>
          <w:rFonts w:ascii="Arial" w:cs="Arial" w:hAnsi="Arial"/>
        </w:rPr>
        <w:t>With this project, Lidl aims to maintain its image as a low-cost supermarket while strengthening customer connections</w:t>
      </w:r>
      <w:r>
        <w:rPr>
          <w:rFonts w:ascii="Arial" w:cs="Arial" w:hAnsi="Arial"/>
        </w:rPr>
        <w:t>.</w:t>
      </w:r>
    </w:p>
    <w:bookmarkStart w:id="90" w:name="_Toc240496660"/>
    <w:p w14:paraId="6520DFE0">
      <w:pPr>
        <w:pStyle w:val="style3"/>
        <w:rPr>
          <w:rFonts w:ascii="Arial" w:cs="Arial" w:hAnsi="Arial"/>
          <w:lang w:val="en-GB"/>
        </w:rPr>
      </w:pPr>
      <w:r>
        <w:rPr>
          <w:rFonts w:ascii="Arial" w:cs="Arial" w:hAnsi="Arial"/>
          <w:lang w:val="en-GB"/>
        </w:rPr>
        <w:t>4.4.2</w:t>
      </w:r>
      <w:r>
        <w:rPr>
          <w:rFonts w:ascii="Arial" w:cs="Arial" w:hAnsi="Arial"/>
          <w:lang w:val="en-GB"/>
        </w:rPr>
        <w:t xml:space="preserve"> </w:t>
      </w:r>
      <w:r>
        <w:rPr>
          <w:rFonts w:ascii="Arial" w:cs="Arial" w:hAnsi="Arial"/>
          <w:lang w:val="en-GB"/>
        </w:rPr>
        <w:t>Challenges/Opportunity</w:t>
      </w:r>
      <w:bookmarkEnd w:id="90"/>
    </w:p>
    <w:p w14:paraId="0AC9D3FD">
      <w:pPr>
        <w:pStyle w:val="style0"/>
        <w:spacing w:lineRule="auto" w:line="360"/>
        <w:rPr>
          <w:rFonts w:ascii="Arial" w:cs="Arial" w:hAnsi="Arial"/>
        </w:rPr>
      </w:pPr>
      <w:r>
        <w:rPr>
          <w:rFonts w:ascii="Arial" w:cs="Arial" w:hAnsi="Arial"/>
        </w:rPr>
        <w:t>Lidl's rapid growth and Aldi's expansion put greater pressure on traditional supermarkets, but Lidl also needed to increase customer participation without abandoning</w:t>
      </w:r>
      <w:r>
        <w:rPr>
          <w:rFonts w:ascii="Arial" w:cs="Arial" w:hAnsi="Arial"/>
        </w:rPr>
        <w:t xml:space="preserve"> its low-cost business model. Discount businesses used to rely more on price competitiveness than on careful customer service. Lidl Plus makes it feasible to collect customer information, increase online interaction, and provide targeted incentives. The challenge, however, was ensuring that personalisation added value without complicating processes or undermining Lidl's clear value proposition.</w:t>
      </w:r>
    </w:p>
    <w:bookmarkStart w:id="91" w:name="_Toc240496661"/>
    <w:p w14:paraId="30C47F7C">
      <w:pPr>
        <w:pStyle w:val="style3"/>
        <w:rPr>
          <w:rFonts w:ascii="Arial" w:cs="Arial" w:hAnsi="Arial"/>
          <w:lang w:val="en-GB"/>
        </w:rPr>
      </w:pPr>
      <w:r>
        <w:rPr>
          <w:rFonts w:ascii="Arial" w:cs="Arial" w:hAnsi="Arial"/>
          <w:lang w:val="en-GB"/>
        </w:rPr>
        <w:t xml:space="preserve">4.4.3 Approach and </w:t>
      </w:r>
      <w:r>
        <w:rPr>
          <w:rFonts w:ascii="Arial" w:cs="Arial" w:hAnsi="Arial"/>
          <w:lang w:val="en-GB"/>
        </w:rPr>
        <w:t>Impleme</w:t>
      </w:r>
      <w:r>
        <w:rPr>
          <w:rFonts w:ascii="Arial" w:cs="Arial" w:hAnsi="Arial"/>
          <w:lang w:val="en-GB"/>
        </w:rPr>
        <w:t>n</w:t>
      </w:r>
      <w:r>
        <w:rPr>
          <w:rFonts w:ascii="Arial" w:cs="Arial" w:hAnsi="Arial"/>
          <w:lang w:val="en-GB"/>
        </w:rPr>
        <w:t>tation</w:t>
      </w:r>
      <w:bookmarkEnd w:id="91"/>
      <w:r>
        <w:rPr>
          <w:rFonts w:ascii="Arial" w:cs="Arial" w:hAnsi="Arial"/>
          <w:lang w:val="en-GB"/>
        </w:rPr>
        <w:t xml:space="preserve"> </w:t>
      </w:r>
    </w:p>
    <w:p w14:paraId="3AB4D840">
      <w:pPr>
        <w:pStyle w:val="style0"/>
        <w:spacing w:lineRule="auto" w:line="360"/>
        <w:rPr>
          <w:rFonts w:ascii="Arial" w:cs="Arial" w:hAnsi="Arial"/>
        </w:rPr>
      </w:pPr>
      <w:r>
        <w:rPr>
          <w:rFonts w:ascii="Arial" w:cs="Arial" w:hAnsi="Arial"/>
        </w:rPr>
        <w:t xml:space="preserve">Lidl introduced Lidl Plus as a mobile-focused loyalty program instead of a conventional points system. Customers use a smartphone app for digital coupons, rewards, and personalised offers. This </w:t>
      </w:r>
      <w:r>
        <w:rPr>
          <w:rFonts w:ascii="Arial" w:cs="Arial" w:hAnsi="Arial"/>
        </w:rPr>
        <w:t>approach enables Lidl to collect transaction data and gain insights into customer shopping habits</w:t>
      </w:r>
      <w:r>
        <w:rPr>
          <w:rFonts w:ascii="Arial" w:cs="Arial" w:hAnsi="Arial"/>
        </w:rPr>
        <w:t xml:space="preserve"> while staying true to its promise of low prices.</w:t>
      </w:r>
    </w:p>
    <w:p w14:paraId="2F67BD77">
      <w:pPr>
        <w:pStyle w:val="style0"/>
        <w:spacing w:lineRule="auto" w:line="360"/>
        <w:rPr>
          <w:rFonts w:ascii="Arial" w:cs="Arial" w:hAnsi="Arial"/>
        </w:rPr>
      </w:pPr>
      <w:r>
        <w:rPr>
          <w:rFonts w:ascii="Arial" w:cs="Arial" w:hAnsi="Arial"/>
        </w:rPr>
        <w:t xml:space="preserve">The company has introduced Lidl Plus in its international markets, making the app a key connection between customers and stores. Lidl in the UK has introduced an app that offers customers special discounts and extra perks. </w:t>
      </w:r>
      <w:r>
        <w:rPr>
          <w:rFonts w:ascii="Arial" w:cs="Arial" w:hAnsi="Arial"/>
        </w:rPr>
        <w:t>This strategy differs</w:t>
      </w:r>
      <w:r>
        <w:rPr>
          <w:rFonts w:ascii="Arial" w:cs="Arial" w:hAnsi="Arial"/>
        </w:rPr>
        <w:t xml:space="preserve"> from Tesco Clubcard and Nectar because Lidl focuses on everyday low prices rather than personalised pricing as its key benefit, while also offering extra digital rewards.</w:t>
      </w:r>
    </w:p>
    <w:bookmarkStart w:id="92" w:name="_Toc240496662"/>
    <w:p w14:paraId="5C874893">
      <w:pPr>
        <w:pStyle w:val="style3"/>
        <w:rPr>
          <w:rFonts w:ascii="Arial" w:cs="Arial" w:hAnsi="Arial"/>
          <w:lang w:val="en-GB"/>
        </w:rPr>
      </w:pPr>
      <w:r>
        <w:rPr>
          <w:rFonts w:ascii="Arial" w:cs="Arial" w:hAnsi="Arial"/>
          <w:lang w:val="en-GB"/>
        </w:rPr>
        <w:t xml:space="preserve">4.4.4 </w:t>
      </w:r>
      <w:r>
        <w:rPr>
          <w:rFonts w:ascii="Arial" w:cs="Arial" w:hAnsi="Arial"/>
          <w:lang w:val="en-GB"/>
        </w:rPr>
        <w:t>Outcome and</w:t>
      </w:r>
      <w:r>
        <w:rPr>
          <w:rFonts w:ascii="Arial" w:cs="Arial" w:hAnsi="Arial"/>
          <w:lang w:val="en-GB"/>
        </w:rPr>
        <w:t xml:space="preserve"> Results</w:t>
      </w:r>
      <w:bookmarkEnd w:id="92"/>
      <w:r>
        <w:rPr>
          <w:rFonts w:ascii="Arial" w:cs="Arial" w:hAnsi="Arial"/>
          <w:lang w:val="en-GB"/>
        </w:rPr>
        <w:t xml:space="preserve"> </w:t>
      </w:r>
    </w:p>
    <w:p w14:paraId="7BD65983">
      <w:pPr>
        <w:pStyle w:val="style0"/>
        <w:spacing w:lineRule="auto" w:line="360"/>
        <w:rPr>
          <w:rFonts w:ascii="Arial" w:cs="Arial" w:hAnsi="Arial"/>
        </w:rPr>
      </w:pPr>
      <w:r>
        <w:rPr>
          <w:rFonts w:ascii="Arial" w:cs="Arial" w:hAnsi="Arial"/>
        </w:rPr>
        <w:t xml:space="preserve">Lidl Plus has enhanced Lidl's digital interaction and </w:t>
      </w:r>
      <w:r>
        <w:rPr>
          <w:rFonts w:ascii="Arial" w:cs="Arial" w:hAnsi="Arial"/>
        </w:rPr>
        <w:t>given it</w:t>
      </w:r>
      <w:r>
        <w:rPr>
          <w:rFonts w:ascii="Arial" w:cs="Arial" w:hAnsi="Arial"/>
        </w:rPr>
        <w:t xml:space="preserve"> a tool for direct interaction with consumers. </w:t>
      </w:r>
      <w:r>
        <w:rPr>
          <w:rFonts w:ascii="Arial" w:cs="Arial" w:hAnsi="Arial"/>
        </w:rPr>
        <w:t xml:space="preserve">Cherian (2026) asserts that </w:t>
      </w:r>
      <w:r>
        <w:rPr>
          <w:rFonts w:ascii="Arial" w:cs="Arial" w:hAnsi="Arial"/>
        </w:rPr>
        <w:t xml:space="preserve">Lidl </w:t>
      </w:r>
      <w:r>
        <w:rPr>
          <w:rFonts w:ascii="Arial" w:cs="Arial" w:hAnsi="Arial"/>
        </w:rPr>
        <w:t xml:space="preserve">continues to grow its business in the </w:t>
      </w:r>
      <w:r>
        <w:rPr>
          <w:rFonts w:ascii="Arial" w:cs="Arial" w:hAnsi="Arial"/>
        </w:rPr>
        <w:t xml:space="preserve">UK, with over 1,000 stores in the UK in 2024, and remains a significant discount supermarket </w:t>
      </w:r>
      <w:r>
        <w:rPr>
          <w:rFonts w:ascii="Arial" w:cs="Arial" w:hAnsi="Arial"/>
        </w:rPr>
        <w:t xml:space="preserve">competitor. </w:t>
      </w:r>
      <w:r>
        <w:rPr>
          <w:rFonts w:ascii="Arial" w:cs="Arial" w:hAnsi="Arial"/>
        </w:rPr>
        <w:t>Internationally</w:t>
      </w:r>
      <w:r>
        <w:rPr>
          <w:rFonts w:ascii="Arial" w:cs="Arial" w:hAnsi="Arial"/>
        </w:rPr>
        <w:t xml:space="preserve">, Lidl reported </w:t>
      </w:r>
      <w:r>
        <w:rPr>
          <w:rFonts w:ascii="Arial" w:cs="Arial" w:hAnsi="Arial"/>
        </w:rPr>
        <w:t xml:space="preserve">that its Lidl Plus platform has </w:t>
      </w:r>
      <w:r>
        <w:rPr>
          <w:rFonts w:ascii="Arial" w:cs="Arial" w:hAnsi="Arial"/>
        </w:rPr>
        <w:t xml:space="preserve">more than 120 million registered users in 30+ countries.  </w:t>
      </w:r>
      <w:r>
        <w:rPr>
          <w:rFonts w:ascii="Arial" w:cs="Arial" w:hAnsi="Arial"/>
        </w:rPr>
        <w:t xml:space="preserve">As per </w:t>
      </w:r>
      <w:r>
        <w:rPr>
          <w:rFonts w:ascii="Arial" w:cs="Arial" w:hAnsi="Arial"/>
        </w:rPr>
        <w:t>a report by Bathgate (2026), more than 60% (3 in 5) of UK households shop online at Lidl.</w:t>
      </w:r>
      <w:r>
        <w:rPr>
          <w:rFonts w:ascii="Arial" w:cs="Arial" w:hAnsi="Arial"/>
        </w:rPr>
        <w:t xml:space="preserve"> Industry estimates suggest that millions of people in the UK use Lidl Plus, and it ranks among the top 10 retail apps in Great Britain. Plus, Lidl GB's net switching wins from the UK's main grocery brands year-on-year were in excess of £661 million, highlighting that Lidl Plus is proving to keep </w:t>
      </w:r>
      <w:r>
        <w:rPr>
          <w:rFonts w:ascii="Arial" w:cs="Arial" w:hAnsi="Arial"/>
        </w:rPr>
        <w:t>price-conscious</w:t>
      </w:r>
      <w:r>
        <w:rPr>
          <w:rFonts w:ascii="Arial" w:cs="Arial" w:hAnsi="Arial"/>
        </w:rPr>
        <w:t xml:space="preserve"> shoppers in the fold</w:t>
      </w:r>
      <w:r>
        <w:rPr>
          <w:rFonts w:ascii="Arial" w:cs="Arial" w:hAnsi="Arial"/>
        </w:rPr>
        <w:t xml:space="preserve"> (Nirman, 2026). </w:t>
      </w:r>
      <w:r>
        <w:rPr>
          <w:rFonts w:ascii="Arial" w:cs="Arial" w:hAnsi="Arial"/>
        </w:rPr>
        <w:t>Aldi remained fourth in the UK grocery market, increasing its expenditure share from 11.1% in 2024Q3 to 11.2% in 2025Q3 (Volpe, 2025)</w:t>
      </w:r>
    </w:p>
    <w:p w14:paraId="6E611019">
      <w:pPr>
        <w:pStyle w:val="style0"/>
        <w:spacing w:lineRule="auto" w:line="360"/>
        <w:jc w:val="center"/>
        <w:rPr>
          <w:rFonts w:ascii="Arial" w:cs="Arial" w:hAnsi="Arial"/>
        </w:rPr>
      </w:pPr>
      <w:r>
        <w:rPr>
          <w:rFonts w:ascii="Arial" w:cs="Arial" w:hAnsi="Arial"/>
          <w:noProof/>
        </w:rPr>
        <w:drawing>
          <wp:inline distL="0" distT="0" distB="0" distR="0">
            <wp:extent cx="5212080" cy="2989707"/>
            <wp:effectExtent l="0" t="0" r="7620" b="1270"/>
            <wp:docPr id="1038"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1"/>
                    <pic:cNvPicPr/>
                  </pic:nvPicPr>
                  <pic:blipFill>
                    <a:blip r:embed="rId6" cstate="print"/>
                    <a:srcRect l="0" t="0" r="0" b="0"/>
                    <a:stretch/>
                  </pic:blipFill>
                  <pic:spPr>
                    <a:xfrm rot="0">
                      <a:off x="0" y="0"/>
                      <a:ext cx="5212080" cy="2989707"/>
                    </a:xfrm>
                    <a:prstGeom prst="rect"/>
                  </pic:spPr>
                </pic:pic>
              </a:graphicData>
            </a:graphic>
          </wp:inline>
        </w:drawing>
      </w:r>
    </w:p>
    <w:bookmarkStart w:id="93" w:name="_Toc240449024"/>
    <w:p w14:paraId="6934F72A">
      <w:pPr>
        <w:pStyle w:val="style34"/>
        <w:spacing w:lineRule="auto" w:line="360"/>
        <w:jc w:val="center"/>
        <w:rPr>
          <w:rFonts w:ascii="Arial" w:cs="Arial" w:hAnsi="Arial"/>
          <w:i w:val="false"/>
          <w:iCs w:val="false"/>
          <w:sz w:val="24"/>
          <w:szCs w:val="24"/>
        </w:rPr>
      </w:pPr>
      <w:r>
        <w:rPr>
          <w:rFonts w:ascii="Arial" w:cs="Arial" w:hAnsi="Arial"/>
          <w:i w:val="false"/>
          <w:iCs w:val="false"/>
          <w:sz w:val="24"/>
          <w:szCs w:val="24"/>
        </w:rPr>
        <w:t xml:space="preserve">Figure </w:t>
      </w:r>
      <w:r>
        <w:rPr>
          <w:rFonts w:ascii="Arial" w:cs="Arial" w:hAnsi="Arial"/>
          <w:i w:val="false"/>
          <w:iCs w:val="false"/>
          <w:sz w:val="24"/>
          <w:szCs w:val="24"/>
        </w:rPr>
        <w:fldChar w:fldCharType="begin"/>
      </w:r>
      <w:r>
        <w:rPr>
          <w:rFonts w:ascii="Arial" w:cs="Arial" w:hAnsi="Arial"/>
          <w:i w:val="false"/>
          <w:iCs w:val="false"/>
          <w:sz w:val="24"/>
          <w:szCs w:val="24"/>
        </w:rPr>
        <w:instrText xml:space="preserve"> SEQ Figure \* ARABIC </w:instrText>
      </w:r>
      <w:r>
        <w:rPr>
          <w:rFonts w:ascii="Arial" w:cs="Arial" w:hAnsi="Arial"/>
          <w:i w:val="false"/>
          <w:iCs w:val="false"/>
          <w:sz w:val="24"/>
          <w:szCs w:val="24"/>
        </w:rPr>
        <w:fldChar w:fldCharType="separate"/>
      </w:r>
      <w:r>
        <w:rPr>
          <w:rFonts w:ascii="Arial" w:cs="Arial" w:hAnsi="Arial"/>
          <w:i w:val="false"/>
          <w:iCs w:val="false"/>
          <w:noProof/>
          <w:sz w:val="24"/>
          <w:szCs w:val="24"/>
        </w:rPr>
        <w:t>5</w:t>
      </w:r>
      <w:r>
        <w:rPr>
          <w:rFonts w:ascii="Arial" w:cs="Arial" w:hAnsi="Arial"/>
          <w:i w:val="false"/>
          <w:iCs w:val="false"/>
          <w:sz w:val="24"/>
          <w:szCs w:val="24"/>
        </w:rPr>
        <w:fldChar w:fldCharType="end"/>
      </w:r>
      <w:r>
        <w:rPr>
          <w:rFonts w:ascii="Arial" w:cs="Arial" w:hAnsi="Arial"/>
          <w:i w:val="false"/>
          <w:iCs w:val="false"/>
          <w:sz w:val="24"/>
          <w:szCs w:val="24"/>
        </w:rPr>
        <w:t>: UK grocery brand market share (Volpe, 2025)</w:t>
      </w:r>
      <w:bookmarkEnd w:id="93"/>
    </w:p>
    <w:p w14:paraId="521559BD">
      <w:pPr>
        <w:pStyle w:val="style0"/>
        <w:spacing w:lineRule="auto" w:line="360"/>
        <w:jc w:val="left"/>
        <w:rPr>
          <w:rFonts w:ascii="Arial" w:cs="Arial" w:hAnsi="Arial"/>
        </w:rPr>
      </w:pPr>
    </w:p>
    <w:p w14:paraId="32AD3652">
      <w:pPr>
        <w:pStyle w:val="style0"/>
        <w:spacing w:lineRule="auto" w:line="360"/>
        <w:jc w:val="left"/>
        <w:rPr>
          <w:rFonts w:ascii="Arial" w:cs="Arial" w:hAnsi="Arial"/>
        </w:rPr>
      </w:pPr>
    </w:p>
    <w:p w14:paraId="1F485DD9">
      <w:pPr>
        <w:pStyle w:val="style0"/>
        <w:spacing w:lineRule="auto" w:line="360"/>
        <w:jc w:val="left"/>
        <w:rPr>
          <w:rFonts w:ascii="Arial" w:cs="Arial" w:hAnsi="Arial"/>
        </w:rPr>
      </w:pPr>
    </w:p>
    <w:p w14:paraId="14B9B28D">
      <w:pPr>
        <w:pStyle w:val="style0"/>
        <w:spacing w:lineRule="auto" w:line="360"/>
        <w:jc w:val="left"/>
        <w:rPr>
          <w:rFonts w:ascii="Arial" w:cs="Arial" w:hAnsi="Arial"/>
        </w:rPr>
      </w:pPr>
    </w:p>
    <w:p w14:paraId="26D019D5">
      <w:pPr>
        <w:pStyle w:val="style0"/>
        <w:spacing w:lineRule="auto" w:line="360"/>
        <w:jc w:val="left"/>
        <w:rPr>
          <w:rFonts w:ascii="Arial" w:cs="Arial" w:hAnsi="Arial"/>
        </w:rPr>
      </w:pPr>
    </w:p>
    <w:bookmarkStart w:id="94" w:name="_Toc240496663"/>
    <w:p w14:paraId="4A65AF94">
      <w:pPr>
        <w:pStyle w:val="style2"/>
        <w:spacing w:lineRule="auto" w:line="360"/>
        <w:rPr>
          <w:rFonts w:ascii="Arial" w:cs="Arial" w:hAnsi="Arial"/>
        </w:rPr>
      </w:pPr>
      <w:r>
        <w:rPr>
          <w:rFonts w:ascii="Arial" w:cs="Arial" w:hAnsi="Arial"/>
        </w:rPr>
        <w:t xml:space="preserve">4.5 Case </w:t>
      </w:r>
      <w:r>
        <w:rPr>
          <w:rFonts w:ascii="Arial" w:cs="Arial" w:hAnsi="Arial"/>
        </w:rPr>
        <w:t>Study</w:t>
      </w:r>
      <w:r>
        <w:rPr>
          <w:rFonts w:ascii="Arial" w:cs="Arial" w:hAnsi="Arial"/>
        </w:rPr>
        <w:t xml:space="preserve"> </w:t>
      </w:r>
      <w:r>
        <w:rPr>
          <w:rFonts w:ascii="Arial" w:cs="Arial" w:hAnsi="Arial"/>
        </w:rPr>
        <w:t xml:space="preserve">4: </w:t>
      </w:r>
      <w:r>
        <w:rPr>
          <w:rFonts w:ascii="Arial" w:cs="Arial" w:hAnsi="Arial"/>
        </w:rPr>
        <w:t>Morrisons More</w:t>
      </w:r>
      <w:bookmarkEnd w:id="94"/>
      <w:r>
        <w:rPr>
          <w:rFonts w:ascii="Arial" w:cs="Arial" w:hAnsi="Arial"/>
        </w:rPr>
        <w:t xml:space="preserve"> </w:t>
      </w:r>
    </w:p>
    <w:bookmarkStart w:id="95" w:name="_Toc240496664"/>
    <w:p w14:paraId="3FF2D532">
      <w:pPr>
        <w:pStyle w:val="style3"/>
        <w:rPr>
          <w:rFonts w:ascii="Arial" w:cs="Arial" w:hAnsi="Arial"/>
          <w:lang w:val="en-GB"/>
        </w:rPr>
      </w:pPr>
      <w:r>
        <w:rPr>
          <w:rFonts w:ascii="Arial" w:cs="Arial" w:hAnsi="Arial"/>
          <w:lang w:val="en-GB"/>
        </w:rPr>
        <w:t>4.5.1 Background</w:t>
      </w:r>
      <w:bookmarkEnd w:id="95"/>
      <w:r>
        <w:rPr>
          <w:rFonts w:ascii="Arial" w:cs="Arial" w:hAnsi="Arial"/>
          <w:lang w:val="en-GB"/>
        </w:rPr>
        <w:t xml:space="preserve"> </w:t>
      </w:r>
    </w:p>
    <w:p w14:paraId="76BC02EC">
      <w:pPr>
        <w:pStyle w:val="style0"/>
        <w:spacing w:lineRule="auto" w:line="360"/>
        <w:jc w:val="left"/>
        <w:rPr>
          <w:rFonts w:ascii="Arial" w:cs="Arial" w:hAnsi="Arial"/>
        </w:rPr>
      </w:pPr>
      <w:r>
        <w:rPr>
          <w:rFonts w:ascii="Arial" w:cs="Arial" w:hAnsi="Arial"/>
        </w:rPr>
        <w:t xml:space="preserve">Morrisons is a UK-based </w:t>
      </w:r>
      <w:r>
        <w:rPr>
          <w:rFonts w:ascii="Arial" w:cs="Arial" w:hAnsi="Arial"/>
        </w:rPr>
        <w:t>supermarket chain with supermarkets, convenience stores,</w:t>
      </w:r>
      <w:r>
        <w:rPr>
          <w:rFonts w:ascii="Arial" w:cs="Arial" w:hAnsi="Arial"/>
        </w:rPr>
        <w:t xml:space="preserve"> and online grocery stores. The company launched a new Morrisons More loyalty programme that replaces its earlier Match &amp; More loyalty package and is digital-based</w:t>
      </w:r>
      <w:r>
        <w:rPr>
          <w:rFonts w:ascii="Arial" w:cs="Arial" w:hAnsi="Arial"/>
        </w:rPr>
        <w:t xml:space="preserve"> (Smithers, 2015)</w:t>
      </w:r>
      <w:r>
        <w:rPr>
          <w:rFonts w:ascii="Arial" w:cs="Arial" w:hAnsi="Arial"/>
        </w:rPr>
        <w:t xml:space="preserve">. The programme tailors offers for customers and creates digital coupons and rewards via the Morrisons More app. Through the programme, Morrisons has </w:t>
      </w:r>
      <w:r>
        <w:rPr>
          <w:rFonts w:ascii="Arial" w:cs="Arial" w:hAnsi="Arial"/>
        </w:rPr>
        <w:t>successfully incorporated it into</w:t>
      </w:r>
      <w:r>
        <w:rPr>
          <w:rFonts w:ascii="Arial" w:cs="Arial" w:hAnsi="Arial"/>
        </w:rPr>
        <w:t xml:space="preserve"> its customer engagement strategy </w:t>
      </w:r>
      <w:r>
        <w:rPr>
          <w:rFonts w:ascii="Arial" w:cs="Arial" w:hAnsi="Arial"/>
        </w:rPr>
        <w:t>in</w:t>
      </w:r>
      <w:r>
        <w:rPr>
          <w:rFonts w:ascii="Arial" w:cs="Arial" w:hAnsi="Arial"/>
        </w:rPr>
        <w:t xml:space="preserve"> an increasingly data-driven grocery market (</w:t>
      </w:r>
      <w:r>
        <w:rPr>
          <w:rFonts w:ascii="Arial" w:cs="Arial" w:hAnsi="Arial"/>
        </w:rPr>
        <w:t>Das</w:t>
      </w:r>
      <w:r>
        <w:rPr>
          <w:rFonts w:ascii="Arial" w:cs="Arial" w:hAnsi="Arial"/>
        </w:rPr>
        <w:t>, 2025).</w:t>
      </w:r>
    </w:p>
    <w:bookmarkStart w:id="96" w:name="_Toc240496665"/>
    <w:p w14:paraId="2B1EAC99">
      <w:pPr>
        <w:pStyle w:val="style3"/>
        <w:rPr>
          <w:rFonts w:ascii="Arial" w:cs="Arial" w:hAnsi="Arial"/>
          <w:lang w:val="en-GB"/>
        </w:rPr>
      </w:pPr>
      <w:r>
        <w:rPr>
          <w:rFonts w:ascii="Arial" w:cs="Arial" w:hAnsi="Arial"/>
          <w:lang w:val="en-GB"/>
        </w:rPr>
        <w:t>4.5.2 Challenges/Opportunity</w:t>
      </w:r>
      <w:bookmarkEnd w:id="96"/>
    </w:p>
    <w:p w14:paraId="05E08B60">
      <w:pPr>
        <w:pStyle w:val="style0"/>
        <w:spacing w:lineRule="auto" w:line="360"/>
        <w:jc w:val="left"/>
        <w:rPr>
          <w:rFonts w:ascii="Arial" w:cs="Arial" w:hAnsi="Arial"/>
        </w:rPr>
      </w:pPr>
      <w:r>
        <w:rPr>
          <w:rFonts w:ascii="Arial" w:cs="Arial" w:hAnsi="Arial"/>
        </w:rPr>
        <w:t xml:space="preserve">Morrisons' operating environment has been </w:t>
      </w:r>
      <w:r>
        <w:rPr>
          <w:rFonts w:ascii="Arial" w:cs="Arial" w:hAnsi="Arial"/>
        </w:rPr>
        <w:t xml:space="preserve">highly competitive, as it has faced rivals such as larger grocery stores like Tesco and Sainsbury's, which have built sophisticated loyalty programs, and discount chain retailers that </w:t>
      </w:r>
      <w:r>
        <w:rPr>
          <w:rFonts w:ascii="Arial" w:cs="Arial" w:hAnsi="Arial"/>
        </w:rPr>
        <w:t xml:space="preserve">have put more pressure on </w:t>
      </w:r>
      <w:r>
        <w:rPr>
          <w:rFonts w:ascii="Arial" w:cs="Arial" w:hAnsi="Arial"/>
        </w:rPr>
        <w:t xml:space="preserve">price and value perception. </w:t>
      </w:r>
      <w:r>
        <w:rPr>
          <w:rFonts w:ascii="Arial" w:cs="Arial" w:hAnsi="Arial"/>
        </w:rPr>
        <w:t>Morrisons' challenge was to boost customer retention and engagement through its</w:t>
      </w:r>
      <w:r>
        <w:rPr>
          <w:rFonts w:ascii="Arial" w:cs="Arial" w:hAnsi="Arial"/>
        </w:rPr>
        <w:t xml:space="preserve"> digital channel while standing out from </w:t>
      </w:r>
      <w:r>
        <w:rPr>
          <w:rFonts w:ascii="Arial" w:cs="Arial" w:hAnsi="Arial"/>
        </w:rPr>
        <w:t>competitors. The More programme created an opportunity to collect customer insights and provide more relevant promotions</w:t>
      </w:r>
      <w:r>
        <w:rPr>
          <w:rFonts w:ascii="Arial" w:cs="Arial" w:hAnsi="Arial"/>
        </w:rPr>
        <w:t xml:space="preserve"> (Das, 2025)</w:t>
      </w:r>
      <w:r>
        <w:rPr>
          <w:rFonts w:ascii="Arial" w:cs="Arial" w:hAnsi="Arial"/>
        </w:rPr>
        <w:t xml:space="preserve">. But Morrisons had to </w:t>
      </w:r>
      <w:r>
        <w:rPr>
          <w:rFonts w:ascii="Arial" w:cs="Arial" w:hAnsi="Arial"/>
        </w:rPr>
        <w:t xml:space="preserve">ensure the customer rewards had real substance, rather than </w:t>
      </w:r>
      <w:r>
        <w:rPr>
          <w:rFonts w:ascii="Arial" w:cs="Arial" w:hAnsi="Arial"/>
        </w:rPr>
        <w:t xml:space="preserve">making customers more reliant on </w:t>
      </w:r>
      <w:r>
        <w:rPr>
          <w:rFonts w:ascii="Arial" w:cs="Arial" w:hAnsi="Arial"/>
        </w:rPr>
        <w:t>promotions.</w:t>
      </w:r>
    </w:p>
    <w:bookmarkStart w:id="97" w:name="_Toc240496666"/>
    <w:p w14:paraId="588A0AC9">
      <w:pPr>
        <w:pStyle w:val="style3"/>
        <w:rPr>
          <w:rFonts w:ascii="Arial" w:cs="Arial" w:hAnsi="Arial"/>
          <w:lang w:val="en-GB"/>
        </w:rPr>
      </w:pPr>
      <w:r>
        <w:rPr>
          <w:rFonts w:ascii="Arial" w:cs="Arial" w:hAnsi="Arial"/>
          <w:lang w:val="en-GB"/>
        </w:rPr>
        <w:t xml:space="preserve">4.5.3 Approach and </w:t>
      </w:r>
      <w:r>
        <w:rPr>
          <w:rFonts w:ascii="Arial" w:cs="Arial" w:hAnsi="Arial"/>
          <w:lang w:val="en-GB"/>
        </w:rPr>
        <w:t>Implementation</w:t>
      </w:r>
      <w:bookmarkEnd w:id="97"/>
      <w:r>
        <w:rPr>
          <w:rFonts w:ascii="Arial" w:cs="Arial" w:hAnsi="Arial"/>
          <w:lang w:val="en-GB"/>
        </w:rPr>
        <w:t xml:space="preserve"> </w:t>
      </w:r>
    </w:p>
    <w:p w14:paraId="02BDA970">
      <w:pPr>
        <w:pStyle w:val="style0"/>
        <w:spacing w:lineRule="auto" w:line="360"/>
        <w:jc w:val="left"/>
        <w:rPr>
          <w:rFonts w:ascii="Arial" w:cs="Arial" w:hAnsi="Arial"/>
        </w:rPr>
      </w:pPr>
      <w:r>
        <w:rPr>
          <w:rFonts w:ascii="Arial" w:cs="Arial" w:hAnsi="Arial"/>
        </w:rPr>
        <w:t>Morrisons More is a loyalty digital platform created by Morrisons based on offers tailored to each customer. The mobile app offers customers digital coupons, tailored rewards and promotions based on their buying habits. This approach lets Morrisons shift from blanket promotions to more targeted communication.</w:t>
      </w:r>
    </w:p>
    <w:p w14:paraId="6404095B">
      <w:pPr>
        <w:pStyle w:val="style0"/>
        <w:spacing w:lineRule="auto" w:line="360"/>
        <w:jc w:val="left"/>
        <w:rPr>
          <w:rFonts w:ascii="Arial" w:cs="Arial" w:hAnsi="Arial"/>
        </w:rPr>
      </w:pPr>
      <w:r>
        <w:rPr>
          <w:rFonts w:ascii="Arial" w:cs="Arial" w:hAnsi="Arial"/>
        </w:rPr>
        <w:t xml:space="preserve">The retailer has also integrated loyalty activity into its overall digital strategy, including online grocery services and customer relationship management. By customising offers in response to customers' growing expectations, especially when food price inflation is high, the supermarket can better meet these expectations and </w:t>
      </w:r>
      <w:r>
        <w:rPr>
          <w:rFonts w:ascii="Arial" w:cs="Arial" w:hAnsi="Arial"/>
        </w:rPr>
        <w:t xml:space="preserve">satisfy </w:t>
      </w:r>
      <w:r>
        <w:rPr>
          <w:rFonts w:ascii="Arial" w:cs="Arial" w:hAnsi="Arial"/>
        </w:rPr>
        <w:t>demand for value for money.</w:t>
      </w:r>
    </w:p>
    <w:bookmarkStart w:id="98" w:name="_Toc240496667"/>
    <w:p w14:paraId="362D1BC1">
      <w:pPr>
        <w:pStyle w:val="style3"/>
        <w:rPr>
          <w:rFonts w:ascii="Arial" w:cs="Arial" w:hAnsi="Arial"/>
          <w:lang w:val="en-GB"/>
        </w:rPr>
      </w:pPr>
      <w:r>
        <w:rPr>
          <w:rFonts w:ascii="Arial" w:cs="Arial" w:hAnsi="Arial"/>
          <w:lang w:val="en-GB"/>
        </w:rPr>
        <w:t>4.5.4 Outcomes and Results</w:t>
      </w:r>
      <w:bookmarkEnd w:id="98"/>
      <w:r>
        <w:rPr>
          <w:rFonts w:ascii="Arial" w:cs="Arial" w:hAnsi="Arial"/>
          <w:lang w:val="en-GB"/>
        </w:rPr>
        <w:t xml:space="preserve"> </w:t>
      </w:r>
    </w:p>
    <w:p w14:paraId="4C2F578E">
      <w:pPr>
        <w:pStyle w:val="style0"/>
        <w:spacing w:lineRule="auto" w:line="360"/>
        <w:jc w:val="left"/>
        <w:rPr>
          <w:rFonts w:ascii="Arial" w:cs="Arial" w:hAnsi="Arial"/>
        </w:rPr>
      </w:pPr>
      <w:r>
        <w:rPr>
          <w:rFonts w:ascii="Arial" w:cs="Arial" w:hAnsi="Arial"/>
        </w:rPr>
        <w:t xml:space="preserve">As per IGD (2026), the Morrisons e More Card loyalty program made up 78% of its sales. The growing share of sales linked to the card shows its impressive performance and growing appeal among shoppers, rising from 68% at the close of the 2024 financial year to 76% by the end of January.   Morrisons More has improved the company's ability to connect with customers online and provide personalised rewards. The program </w:t>
      </w:r>
      <w:r>
        <w:rPr>
          <w:rFonts w:ascii="Arial" w:cs="Arial" w:hAnsi="Arial"/>
        </w:rPr>
        <w:t>helps Morrisons improve</w:t>
      </w:r>
      <w:r>
        <w:rPr>
          <w:rFonts w:ascii="Arial" w:cs="Arial" w:hAnsi="Arial"/>
        </w:rPr>
        <w:t xml:space="preserve"> customer relationships through data-focused marketing.</w:t>
      </w:r>
    </w:p>
    <w:bookmarkStart w:id="99" w:name="_Toc240496668"/>
    <w:p w14:paraId="57D9C8C9">
      <w:pPr>
        <w:pStyle w:val="style2"/>
        <w:spacing w:lineRule="auto" w:line="360"/>
        <w:rPr>
          <w:rFonts w:ascii="Arial" w:cs="Arial" w:hAnsi="Arial"/>
        </w:rPr>
      </w:pPr>
      <w:r>
        <w:rPr>
          <w:rFonts w:ascii="Arial" w:cs="Arial" w:hAnsi="Arial"/>
        </w:rPr>
        <w:t>4.6 Case Study 5: ASDA</w:t>
      </w:r>
      <w:r>
        <w:rPr>
          <w:rFonts w:ascii="Arial" w:cs="Arial" w:hAnsi="Arial"/>
        </w:rPr>
        <w:t xml:space="preserve"> Rewards</w:t>
      </w:r>
      <w:bookmarkEnd w:id="99"/>
      <w:r>
        <w:rPr>
          <w:rFonts w:ascii="Arial" w:cs="Arial" w:hAnsi="Arial"/>
        </w:rPr>
        <w:t xml:space="preserve"> </w:t>
      </w:r>
    </w:p>
    <w:bookmarkStart w:id="100" w:name="_Toc240496669"/>
    <w:p w14:paraId="71213F2D">
      <w:pPr>
        <w:pStyle w:val="style3"/>
        <w:rPr>
          <w:rFonts w:ascii="Arial" w:cs="Arial" w:hAnsi="Arial"/>
          <w:lang w:val="en-GB"/>
        </w:rPr>
      </w:pPr>
      <w:r>
        <w:rPr>
          <w:rFonts w:ascii="Arial" w:cs="Arial" w:hAnsi="Arial"/>
          <w:lang w:val="en-GB"/>
        </w:rPr>
        <w:t>4.6.1 Introduction</w:t>
      </w:r>
      <w:bookmarkEnd w:id="100"/>
      <w:r>
        <w:rPr>
          <w:rFonts w:ascii="Arial" w:cs="Arial" w:hAnsi="Arial"/>
          <w:lang w:val="en-GB"/>
        </w:rPr>
        <w:t xml:space="preserve"> </w:t>
      </w:r>
    </w:p>
    <w:p w14:paraId="5C2FDA3A">
      <w:pPr>
        <w:pStyle w:val="style0"/>
        <w:spacing w:lineRule="auto" w:line="360"/>
        <w:rPr>
          <w:rFonts w:ascii="Arial" w:cs="Arial" w:hAnsi="Arial"/>
        </w:rPr>
      </w:pPr>
      <w:r>
        <w:rPr>
          <w:rFonts w:ascii="Arial" w:cs="Arial" w:hAnsi="Arial"/>
        </w:rPr>
        <w:t xml:space="preserve">Asda is one of the UK's biggest supermarket, convenience and online grocery retailers. Asda introduced its new digital rewards system, Asda Rewards, in 2022, </w:t>
      </w:r>
      <w:r>
        <w:rPr>
          <w:rFonts w:ascii="Arial" w:cs="Arial" w:hAnsi="Arial"/>
        </w:rPr>
        <w:t>ending its</w:t>
      </w:r>
      <w:r>
        <w:rPr>
          <w:rFonts w:ascii="Arial" w:cs="Arial" w:hAnsi="Arial"/>
        </w:rPr>
        <w:t xml:space="preserve"> traditional loyalty strategy</w:t>
      </w:r>
      <w:r>
        <w:rPr>
          <w:rFonts w:ascii="Arial" w:cs="Arial" w:hAnsi="Arial"/>
        </w:rPr>
        <w:t xml:space="preserve"> (Alexander, 2026). </w:t>
      </w:r>
      <w:r>
        <w:rPr>
          <w:rFonts w:ascii="Arial" w:cs="Arial" w:hAnsi="Arial"/>
        </w:rPr>
        <w:t xml:space="preserve">The programme </w:t>
      </w:r>
      <w:r>
        <w:rPr>
          <w:rFonts w:ascii="Arial" w:cs="Arial" w:hAnsi="Arial"/>
        </w:rPr>
        <w:t>lets customers earn “pounds not points” by</w:t>
      </w:r>
      <w:r>
        <w:rPr>
          <w:rFonts w:ascii="Arial" w:cs="Arial" w:hAnsi="Arial"/>
        </w:rPr>
        <w:t xml:space="preserve"> spending money, completing missions, and interacting with selected products. The initiative is Asda's bid to update customer engagement by leveraging a mobile loyalty ecosystem.</w:t>
      </w:r>
    </w:p>
    <w:bookmarkStart w:id="101" w:name="_Toc240496670"/>
    <w:p w14:paraId="32D3DACF">
      <w:pPr>
        <w:pStyle w:val="style3"/>
        <w:rPr>
          <w:rFonts w:ascii="Arial" w:cs="Arial" w:hAnsi="Arial"/>
          <w:lang w:val="en-GB"/>
        </w:rPr>
      </w:pPr>
      <w:r>
        <w:rPr>
          <w:rFonts w:ascii="Arial" w:cs="Arial" w:hAnsi="Arial"/>
          <w:lang w:val="en-GB"/>
        </w:rPr>
        <w:t>4.6.2 Challenges/Opportunity</w:t>
      </w:r>
      <w:bookmarkEnd w:id="101"/>
    </w:p>
    <w:p w14:paraId="6C71112F">
      <w:pPr>
        <w:pStyle w:val="style0"/>
        <w:spacing w:lineRule="auto" w:line="360"/>
        <w:rPr>
          <w:rFonts w:ascii="Arial" w:cs="Arial" w:hAnsi="Arial"/>
        </w:rPr>
      </w:pPr>
      <w:r>
        <w:rPr>
          <w:rFonts w:ascii="Arial" w:cs="Arial" w:hAnsi="Arial"/>
        </w:rPr>
        <w:t>Discount stores Aldi and Lidl, as well as the established loyalty schemes Tesco Clubcard and Nectar, were beginning to compete with Asda. The challenge was to develop a loyalty proposition that drove customer engagement and helped Asda stand out from the competition. Asda had an opportunity to implement a simpler, more instant reward system, as most grocery stores already used point-based systems. But the company had to prove it was building enough loyal customers, not just customers doing “promotional” things.</w:t>
      </w:r>
    </w:p>
    <w:bookmarkStart w:id="102" w:name="_Toc240496671"/>
    <w:p w14:paraId="7BBFB4E8">
      <w:pPr>
        <w:pStyle w:val="style3"/>
        <w:rPr>
          <w:rFonts w:ascii="Arial" w:cs="Arial" w:hAnsi="Arial"/>
          <w:lang w:val="en-GB"/>
        </w:rPr>
      </w:pPr>
      <w:r>
        <w:rPr>
          <w:rFonts w:ascii="Arial" w:cs="Arial" w:hAnsi="Arial"/>
          <w:lang w:val="en-GB"/>
        </w:rPr>
        <w:t xml:space="preserve">4.6.3 </w:t>
      </w:r>
      <w:r>
        <w:rPr>
          <w:rFonts w:ascii="Arial" w:cs="Arial" w:hAnsi="Arial"/>
          <w:lang w:val="en-GB"/>
        </w:rPr>
        <w:t>Approach and Implementation</w:t>
      </w:r>
      <w:bookmarkEnd w:id="102"/>
      <w:r>
        <w:rPr>
          <w:rFonts w:ascii="Arial" w:cs="Arial" w:hAnsi="Arial"/>
          <w:lang w:val="en-GB"/>
        </w:rPr>
        <w:t xml:space="preserve"> </w:t>
      </w:r>
    </w:p>
    <w:p w14:paraId="5F853AB3">
      <w:pPr>
        <w:pStyle w:val="style0"/>
        <w:spacing w:lineRule="auto" w:line="360"/>
        <w:rPr>
          <w:rFonts w:ascii="Arial" w:cs="Arial" w:hAnsi="Arial"/>
        </w:rPr>
      </w:pPr>
      <w:r>
        <w:rPr>
          <w:rFonts w:ascii="Arial" w:cs="Arial" w:hAnsi="Arial"/>
        </w:rPr>
        <w:t>To launch Asda Rewards, a new digital-first loyalty scheme with direct rewards. Customers earn money - not points</w:t>
      </w:r>
      <w:r>
        <w:rPr>
          <w:rFonts w:ascii="Arial" w:cs="Arial" w:hAnsi="Arial"/>
        </w:rPr>
        <w:t xml:space="preserve">- </w:t>
      </w:r>
      <w:r>
        <w:rPr>
          <w:rFonts w:ascii="Arial" w:cs="Arial" w:hAnsi="Arial"/>
        </w:rPr>
        <w:t>in a virtual ‘Cashpot' that can be redeemed for purchases from stores or online</w:t>
      </w:r>
      <w:r>
        <w:rPr>
          <w:rFonts w:ascii="Arial" w:cs="Arial" w:hAnsi="Arial"/>
        </w:rPr>
        <w:t xml:space="preserve"> (Wilderness, 2026)</w:t>
      </w:r>
      <w:r>
        <w:rPr>
          <w:rFonts w:ascii="Arial" w:cs="Arial" w:hAnsi="Arial"/>
        </w:rPr>
        <w:t>. The programme also offers personalised missions that encourage customers to buy certain products</w:t>
      </w:r>
      <w:r>
        <w:rPr>
          <w:rFonts w:ascii="Arial" w:cs="Arial" w:hAnsi="Arial"/>
        </w:rPr>
        <w:t xml:space="preserve"> or categories and create opportunities for specific customer engagement</w:t>
      </w:r>
      <w:r>
        <w:rPr>
          <w:rFonts w:ascii="Arial" w:cs="Arial" w:hAnsi="Arial"/>
        </w:rPr>
        <w:t>.</w:t>
      </w:r>
    </w:p>
    <w:p w14:paraId="7D557EC6">
      <w:pPr>
        <w:pStyle w:val="style0"/>
        <w:spacing w:lineRule="auto" w:line="360"/>
        <w:rPr>
          <w:rFonts w:ascii="Arial" w:cs="Arial" w:hAnsi="Arial"/>
        </w:rPr>
      </w:pPr>
      <w:r>
        <w:rPr>
          <w:rFonts w:ascii="Arial" w:cs="Arial" w:hAnsi="Arial"/>
        </w:rPr>
        <w:t xml:space="preserve">The programme has helped the company </w:t>
      </w:r>
      <w:r>
        <w:rPr>
          <w:rFonts w:ascii="Arial" w:cs="Arial" w:hAnsi="Arial"/>
        </w:rPr>
        <w:t>boost customer engagement with its digital channels and better understand</w:t>
      </w:r>
      <w:r>
        <w:rPr>
          <w:rFonts w:ascii="Arial" w:cs="Arial" w:hAnsi="Arial"/>
        </w:rPr>
        <w:t xml:space="preserve"> shopping habits</w:t>
      </w:r>
      <w:r>
        <w:rPr>
          <w:rFonts w:ascii="Arial" w:cs="Arial" w:hAnsi="Arial"/>
        </w:rPr>
        <w:t xml:space="preserve"> (ASDA, 2023)</w:t>
      </w:r>
      <w:r>
        <w:rPr>
          <w:rFonts w:ascii="Arial" w:cs="Arial" w:hAnsi="Arial"/>
        </w:rPr>
        <w:t xml:space="preserve">. This method is part of a larger trend in grocery stores </w:t>
      </w:r>
      <w:r>
        <w:rPr>
          <w:rFonts w:ascii="Arial" w:cs="Arial" w:hAnsi="Arial"/>
        </w:rPr>
        <w:t xml:space="preserve">integrating loyalty with the analytics tools they </w:t>
      </w:r>
      <w:r>
        <w:rPr>
          <w:rFonts w:ascii="Arial" w:cs="Arial" w:hAnsi="Arial"/>
        </w:rPr>
        <w:t>offer.</w:t>
      </w:r>
    </w:p>
    <w:p w14:paraId="2FFAFAC6">
      <w:pPr>
        <w:pStyle w:val="style0"/>
        <w:spacing w:lineRule="auto" w:line="360"/>
        <w:rPr>
          <w:rFonts w:ascii="Arial" w:cs="Arial" w:hAnsi="Arial"/>
        </w:rPr>
      </w:pPr>
      <w:r>
        <w:rPr>
          <w:rFonts w:ascii="Arial" w:cs="Arial" w:hAnsi="Arial"/>
        </w:rPr>
        <w:t>This tactic contrasts with Tesco and Sainsbury's, which prioritise personalised pricing, with greater emphasis on reward build-up</w:t>
      </w:r>
      <w:r>
        <w:rPr>
          <w:rFonts w:ascii="Arial" w:cs="Arial" w:hAnsi="Arial"/>
        </w:rPr>
        <w:t xml:space="preserve"> and gamification. However, the same </w:t>
      </w:r>
      <w:r>
        <w:rPr>
          <w:rFonts w:ascii="Arial" w:cs="Arial" w:hAnsi="Arial"/>
        </w:rPr>
        <w:t>question arises: whether financial incentives drive long-term emotional loyalty or only</w:t>
      </w:r>
      <w:r>
        <w:rPr>
          <w:rFonts w:ascii="Arial" w:cs="Arial" w:hAnsi="Arial"/>
        </w:rPr>
        <w:t xml:space="preserve"> short-term purchases</w:t>
      </w:r>
      <w:r>
        <w:rPr>
          <w:rFonts w:ascii="Arial" w:cs="Arial" w:hAnsi="Arial"/>
        </w:rPr>
        <w:t>.</w:t>
      </w:r>
    </w:p>
    <w:bookmarkStart w:id="103" w:name="_Toc240496672"/>
    <w:p w14:paraId="0553999D">
      <w:pPr>
        <w:pStyle w:val="style3"/>
        <w:rPr>
          <w:rFonts w:ascii="Arial" w:cs="Arial" w:hAnsi="Arial"/>
          <w:lang w:val="en-GB"/>
        </w:rPr>
      </w:pPr>
      <w:r>
        <w:rPr>
          <w:rFonts w:ascii="Arial" w:cs="Arial" w:hAnsi="Arial"/>
          <w:lang w:val="en-GB"/>
        </w:rPr>
        <w:t xml:space="preserve">4.6.4 </w:t>
      </w:r>
      <w:r>
        <w:rPr>
          <w:rFonts w:ascii="Arial" w:cs="Arial" w:hAnsi="Arial"/>
          <w:lang w:val="en-GB"/>
        </w:rPr>
        <w:t>Outcomes</w:t>
      </w:r>
      <w:r>
        <w:rPr>
          <w:rFonts w:ascii="Arial" w:cs="Arial" w:hAnsi="Arial"/>
          <w:lang w:val="en-GB"/>
        </w:rPr>
        <w:t xml:space="preserve"> and </w:t>
      </w:r>
      <w:r>
        <w:rPr>
          <w:rFonts w:ascii="Arial" w:cs="Arial" w:hAnsi="Arial"/>
          <w:lang w:val="en-GB"/>
        </w:rPr>
        <w:t>Results</w:t>
      </w:r>
      <w:bookmarkEnd w:id="103"/>
      <w:r>
        <w:rPr>
          <w:rFonts w:ascii="Arial" w:cs="Arial" w:hAnsi="Arial"/>
          <w:lang w:val="en-GB"/>
        </w:rPr>
        <w:t xml:space="preserve"> </w:t>
      </w:r>
    </w:p>
    <w:p w14:paraId="38E9D838">
      <w:pPr>
        <w:pStyle w:val="style0"/>
        <w:spacing w:lineRule="auto" w:line="360"/>
        <w:rPr>
          <w:rFonts w:ascii="Arial" w:cs="Arial" w:hAnsi="Arial"/>
        </w:rPr>
      </w:pPr>
      <w:r>
        <w:rPr>
          <w:rFonts w:ascii="Arial" w:cs="Arial" w:hAnsi="Arial"/>
        </w:rPr>
        <w:t>Two</w:t>
      </w:r>
      <w:r>
        <w:rPr>
          <w:rFonts w:ascii="Arial" w:cs="Arial" w:hAnsi="Arial"/>
        </w:rPr>
        <w:t xml:space="preserve"> years after its launch </w:t>
      </w:r>
      <w:r>
        <w:rPr>
          <w:rFonts w:ascii="Arial" w:cs="Arial" w:hAnsi="Arial"/>
        </w:rPr>
        <w:t>nationwide</w:t>
      </w:r>
      <w:r>
        <w:rPr>
          <w:rFonts w:ascii="Arial" w:cs="Arial" w:hAnsi="Arial"/>
        </w:rPr>
        <w:t xml:space="preserve">, Asda Rewards grew to about 6 million active users </w:t>
      </w:r>
      <w:r>
        <w:rPr>
          <w:rFonts w:ascii="Arial" w:cs="Arial" w:hAnsi="Arial"/>
        </w:rPr>
        <w:t>(</w:t>
      </w:r>
      <w:r>
        <w:rPr>
          <w:rFonts w:ascii="Arial" w:cs="Arial" w:hAnsi="Arial"/>
        </w:rPr>
        <w:t>Eagle Eye, 2026). The loyalty platform quickly grew to represent more than half (52%) of all sales transactions across Asda's stores and online channels. Asda shoppers earned and used more than £410 million in Cashpot rewards in just 20 months since its launch, up from £200 million in the first year</w:t>
      </w:r>
      <w:r>
        <w:rPr>
          <w:rFonts w:ascii="Arial" w:cs="Arial" w:hAnsi="Arial"/>
        </w:rPr>
        <w:t xml:space="preserve"> (Radojev, 2024)</w:t>
      </w:r>
    </w:p>
    <w:bookmarkStart w:id="104" w:name="_Toc240496673"/>
    <w:p w14:paraId="6D777409">
      <w:pPr>
        <w:pStyle w:val="style2"/>
        <w:spacing w:lineRule="auto" w:line="360"/>
        <w:rPr>
          <w:rFonts w:ascii="Arial" w:cs="Arial" w:hAnsi="Arial"/>
        </w:rPr>
      </w:pPr>
      <w:r>
        <w:rPr>
          <w:rFonts w:ascii="Arial" w:cs="Arial" w:hAnsi="Arial"/>
        </w:rPr>
        <w:t xml:space="preserve">4.7 Summary of </w:t>
      </w:r>
      <w:r>
        <w:rPr>
          <w:rFonts w:ascii="Arial" w:cs="Arial" w:hAnsi="Arial"/>
        </w:rPr>
        <w:t>Cross Case Analysis</w:t>
      </w:r>
      <w:bookmarkEnd w:id="104"/>
      <w:r>
        <w:rPr>
          <w:rFonts w:ascii="Arial" w:cs="Arial" w:hAnsi="Arial"/>
        </w:rPr>
        <w:t xml:space="preserve"> </w:t>
      </w:r>
    </w:p>
    <w:bookmarkStart w:id="105" w:name="_Toc240496674"/>
    <w:p w14:paraId="098A2DC7">
      <w:pPr>
        <w:pStyle w:val="style3"/>
        <w:rPr>
          <w:rFonts w:ascii="Arial" w:cs="Arial" w:hAnsi="Arial"/>
          <w:lang w:val="en-GB"/>
        </w:rPr>
      </w:pPr>
      <w:r>
        <w:rPr>
          <w:rFonts w:ascii="Arial" w:cs="Arial" w:hAnsi="Arial"/>
          <w:lang w:val="en-GB"/>
        </w:rPr>
        <w:t xml:space="preserve">4.7.1 </w:t>
      </w:r>
      <w:r>
        <w:rPr>
          <w:rFonts w:ascii="Arial" w:cs="Arial" w:hAnsi="Arial"/>
          <w:lang w:val="en-GB"/>
        </w:rPr>
        <w:t>Recurring Triggers Across Cases</w:t>
      </w:r>
      <w:bookmarkEnd w:id="105"/>
      <w:r>
        <w:rPr>
          <w:rFonts w:ascii="Arial" w:cs="Arial" w:hAnsi="Arial"/>
          <w:lang w:val="en-GB"/>
        </w:rPr>
        <w:t xml:space="preserve"> </w:t>
      </w:r>
    </w:p>
    <w:p w14:paraId="67688C4B">
      <w:pPr>
        <w:pStyle w:val="style0"/>
        <w:spacing w:lineRule="auto" w:line="360"/>
        <w:rPr>
          <w:rFonts w:ascii="Arial" w:cs="Arial" w:hAnsi="Arial"/>
        </w:rPr>
      </w:pPr>
      <w:r>
        <w:rPr>
          <w:rStyle w:val="style4102"/>
          <w:rFonts w:ascii="Arial" w:cs="Arial" w:hAnsi="Arial"/>
        </w:rPr>
        <w:t>Whether at Tesco, Sainsbury's, Lidl, Morrisons or Asda, high levels of grocery competition, evolving customer values and convenience and the need for digital customer engagement were all common factors.</w:t>
      </w:r>
      <w:r>
        <w:rPr>
          <w:rFonts w:ascii="Arial" w:cs="Arial" w:hAnsi="Arial"/>
        </w:rPr>
        <w:t xml:space="preserve"> </w:t>
      </w:r>
      <w:r>
        <w:rPr>
          <w:rStyle w:val="style4102"/>
          <w:rFonts w:ascii="Arial" w:cs="Arial" w:hAnsi="Arial"/>
        </w:rPr>
        <w:t>The cases show that loyalty programmes were created not just for rewards, but also to improve customer data capabilities and address changing shopping behaviours.</w:t>
      </w:r>
      <w:r>
        <w:rPr>
          <w:rFonts w:ascii="Arial" w:cs="Arial" w:hAnsi="Arial"/>
        </w:rPr>
        <w:t xml:space="preserve"> </w:t>
      </w:r>
      <w:r>
        <w:rPr>
          <w:rStyle w:val="style4102"/>
          <w:rFonts w:ascii="Arial" w:cs="Arial" w:hAnsi="Arial"/>
        </w:rPr>
        <w:t>However, personalisation appears to have been implemented alongside broader competitive pressures, not as a standalone approach.</w:t>
      </w:r>
      <w:r>
        <w:rPr>
          <w:rFonts w:ascii="Arial" w:cs="Arial" w:hAnsi="Arial"/>
        </w:rPr>
        <w:t xml:space="preserve"> </w:t>
      </w:r>
    </w:p>
    <w:bookmarkStart w:id="106" w:name="_Toc240496675"/>
    <w:p w14:paraId="2A4FF265">
      <w:pPr>
        <w:pStyle w:val="style3"/>
        <w:rPr>
          <w:rFonts w:ascii="Arial" w:cs="Arial" w:hAnsi="Arial"/>
          <w:lang w:val="en-GB"/>
        </w:rPr>
      </w:pPr>
      <w:r>
        <w:rPr>
          <w:rFonts w:ascii="Arial" w:cs="Arial" w:hAnsi="Arial"/>
          <w:lang w:val="en-GB"/>
        </w:rPr>
        <w:t>4.7.2</w:t>
      </w:r>
      <w:r>
        <w:rPr>
          <w:rFonts w:ascii="Arial" w:cs="Arial" w:hAnsi="Arial"/>
          <w:lang w:val="en-GB"/>
        </w:rPr>
        <w:t xml:space="preserve"> Common Response Patterns</w:t>
      </w:r>
      <w:bookmarkEnd w:id="106"/>
    </w:p>
    <w:p w14:paraId="6CC36948">
      <w:pPr>
        <w:pStyle w:val="style0"/>
        <w:spacing w:lineRule="auto" w:line="360"/>
        <w:rPr>
          <w:rFonts w:ascii="Arial" w:cs="Arial" w:hAnsi="Arial"/>
        </w:rPr>
      </w:pPr>
      <w:r>
        <w:rPr>
          <w:rStyle w:val="style4102"/>
          <w:rFonts w:ascii="Arial" w:cs="Arial" w:hAnsi="Arial"/>
        </w:rPr>
        <w:t>Loyalty programs paired with mobile apps, customer information, and rewards were common responses.</w:t>
      </w:r>
      <w:r>
        <w:rPr>
          <w:rFonts w:ascii="Arial" w:cs="Arial" w:hAnsi="Arial"/>
        </w:rPr>
        <w:t xml:space="preserve"> </w:t>
      </w:r>
      <w:r>
        <w:rPr>
          <w:rStyle w:val="style4102"/>
          <w:rFonts w:ascii="Arial" w:cs="Arial" w:hAnsi="Arial"/>
        </w:rPr>
        <w:t>Tesco and Sainsbury's created personalised pricing offers, while Lidl, Morrisons, and Asda increasingly leveraged digital platforms to provide customers with coupons, rewards, and communications.</w:t>
      </w:r>
      <w:r>
        <w:rPr>
          <w:rFonts w:ascii="Arial" w:cs="Arial" w:hAnsi="Arial"/>
        </w:rPr>
        <w:t xml:space="preserve"> </w:t>
      </w:r>
      <w:r>
        <w:rPr>
          <w:rStyle w:val="style4102"/>
          <w:rFonts w:ascii="Arial" w:cs="Arial" w:hAnsi="Arial"/>
        </w:rPr>
        <w:t>As such, implementation was not a stand-alone promotional action, but a process of technological development and a shift in customer engagement.</w:t>
      </w:r>
    </w:p>
    <w:bookmarkStart w:id="107" w:name="_Toc240496676"/>
    <w:p w14:paraId="7C1CFB28">
      <w:pPr>
        <w:pStyle w:val="style3"/>
        <w:rPr>
          <w:rFonts w:ascii="Arial" w:cs="Arial" w:hAnsi="Arial"/>
          <w:lang w:val="en-GB"/>
        </w:rPr>
      </w:pPr>
      <w:r>
        <w:rPr>
          <w:rFonts w:ascii="Arial" w:cs="Arial" w:hAnsi="Arial"/>
          <w:lang w:val="en-GB"/>
        </w:rPr>
        <w:t>4.7.3 Major Differences Between the Five Cases</w:t>
      </w:r>
      <w:bookmarkEnd w:id="107"/>
    </w:p>
    <w:p w14:paraId="08E362A3">
      <w:pPr>
        <w:pStyle w:val="style0"/>
        <w:spacing w:lineRule="auto" w:line="360"/>
        <w:rPr>
          <w:rFonts w:ascii="Arial" w:cs="Arial" w:hAnsi="Arial"/>
        </w:rPr>
      </w:pPr>
      <w:r>
        <w:rPr>
          <w:rFonts w:ascii="Arial" w:cs="Arial" w:hAnsi="Arial"/>
        </w:rPr>
        <w:t>The cases varied in programme maturity, how the programme was positioned, and the clarity of reported outcomes. Compared with the other major supermarket chains, Tesco and Sainsbury's offered fairly comprehensive evidence of data-driven loyalty activity, while programme-level evidence was not as readily available for the other three chains (Lidl, Morrisons and Asda).</w:t>
      </w:r>
    </w:p>
    <w:bookmarkStart w:id="108" w:name="_Toc240496677"/>
    <w:p w14:paraId="005080AB">
      <w:pPr>
        <w:pStyle w:val="style3"/>
        <w:rPr>
          <w:rFonts w:ascii="Arial" w:cs="Arial" w:hAnsi="Arial"/>
          <w:lang w:val="en-GB"/>
        </w:rPr>
      </w:pPr>
      <w:r>
        <w:rPr>
          <w:rFonts w:ascii="Arial" w:cs="Arial" w:hAnsi="Arial"/>
          <w:lang w:val="en-GB"/>
        </w:rPr>
        <w:t xml:space="preserve">4.7.4 Emerging </w:t>
      </w:r>
      <w:r>
        <w:rPr>
          <w:rFonts w:ascii="Arial" w:cs="Arial" w:hAnsi="Arial"/>
          <w:lang w:val="en-GB"/>
        </w:rPr>
        <w:t>Relationship</w:t>
      </w:r>
      <w:r>
        <w:rPr>
          <w:rFonts w:ascii="Arial" w:cs="Arial" w:hAnsi="Arial"/>
          <w:lang w:val="en-GB"/>
        </w:rPr>
        <w:t xml:space="preserve"> Between </w:t>
      </w:r>
      <w:r>
        <w:rPr>
          <w:rFonts w:ascii="Arial" w:cs="Arial" w:hAnsi="Arial"/>
          <w:lang w:val="en-GB"/>
        </w:rPr>
        <w:t>Execution</w:t>
      </w:r>
      <w:r>
        <w:rPr>
          <w:rFonts w:ascii="Arial" w:cs="Arial" w:hAnsi="Arial"/>
          <w:lang w:val="en-GB"/>
        </w:rPr>
        <w:t xml:space="preserve"> and Results</w:t>
      </w:r>
      <w:bookmarkEnd w:id="108"/>
      <w:r>
        <w:rPr>
          <w:rFonts w:ascii="Arial" w:cs="Arial" w:hAnsi="Arial"/>
          <w:lang w:val="en-GB"/>
        </w:rPr>
        <w:t xml:space="preserve"> </w:t>
      </w:r>
    </w:p>
    <w:p w14:paraId="21826993">
      <w:pPr>
        <w:pStyle w:val="style0"/>
        <w:spacing w:lineRule="auto" w:line="360"/>
        <w:rPr>
          <w:rFonts w:ascii="Arial" w:cs="Arial" w:hAnsi="Arial"/>
        </w:rPr>
      </w:pPr>
      <w:r>
        <w:rPr>
          <w:rFonts w:ascii="Arial" w:cs="Arial" w:hAnsi="Arial"/>
        </w:rPr>
        <w:t>The cases suggest that better digital integration and customer engagement is linked to more tangible results. But when retailers report fewer programme-specific KPIs, the impact of personalisation on long-term loyalty is not as clear.</w:t>
      </w:r>
    </w:p>
    <w:bookmarkStart w:id="109" w:name="_Toc240496678"/>
    <w:p w14:paraId="1167B1D4">
      <w:pPr>
        <w:pStyle w:val="style2"/>
        <w:spacing w:lineRule="auto" w:line="360"/>
        <w:rPr>
          <w:rFonts w:ascii="Arial" w:cs="Arial" w:hAnsi="Arial"/>
        </w:rPr>
      </w:pPr>
      <w:r>
        <w:rPr>
          <w:rFonts w:ascii="Arial" w:cs="Arial" w:hAnsi="Arial"/>
        </w:rPr>
        <w:t>4.8 Chapter Summary</w:t>
      </w:r>
      <w:bookmarkEnd w:id="109"/>
      <w:r>
        <w:rPr>
          <w:rFonts w:ascii="Arial" w:cs="Arial" w:hAnsi="Arial"/>
        </w:rPr>
        <w:t xml:space="preserve"> </w:t>
      </w:r>
    </w:p>
    <w:p w14:paraId="78E80673">
      <w:pPr>
        <w:pStyle w:val="style0"/>
        <w:spacing w:lineRule="auto" w:line="360"/>
        <w:rPr>
          <w:rFonts w:ascii="Arial" w:cs="Arial" w:hAnsi="Arial"/>
        </w:rPr>
      </w:pPr>
      <w:r>
        <w:rPr>
          <w:rFonts w:ascii="Arial" w:cs="Arial" w:hAnsi="Arial"/>
        </w:rPr>
        <w:t xml:space="preserve">The chapter included five case studies of personalised loyalty strategies in the UK grocery retailing market: Tesco Clubcard, Sainsbury's Nectar, Lidl Plus, Morrisons More and Asda Rewards. The results show a widespread </w:t>
      </w:r>
      <w:r>
        <w:rPr>
          <w:rFonts w:ascii="Arial" w:cs="Arial" w:hAnsi="Arial"/>
        </w:rPr>
        <w:t>shift from traditional loyalty to digitally facilitated programmes based on customer data, personalisation,</w:t>
      </w:r>
      <w:r>
        <w:rPr>
          <w:rFonts w:ascii="Arial" w:cs="Arial" w:hAnsi="Arial"/>
        </w:rPr>
        <w:t xml:space="preserve"> and mobile engagement. However, the two strategies are somewhat different: Tesco and Sainsbury's have created more mature personalised pricing offers, while Lidl, Morrisons and Asda are more focused on rewards through the app and engage customers. An important caveat arises from the evidence as well: data which are publicly available do not always distinguish the impact of individual loyalty programmes from long-term customer loyalty. The results of these findings are used as the empirical foundation in comparing the cross-case evidence with the literature and conceptual framework in Chapter 5.</w:t>
      </w:r>
    </w:p>
    <w:p w14:paraId="586DB011">
      <w:pPr>
        <w:pStyle w:val="style0"/>
        <w:spacing w:lineRule="auto" w:line="360"/>
        <w:jc w:val="left"/>
        <w:rPr>
          <w:rFonts w:ascii="Arial" w:cs="Arial" w:hAnsi="Arial"/>
        </w:rPr>
      </w:pPr>
      <w:r>
        <w:rPr>
          <w:rFonts w:ascii="Arial" w:cs="Arial" w:hAnsi="Arial"/>
        </w:rPr>
        <w:br w:type="page"/>
      </w:r>
    </w:p>
    <w:bookmarkStart w:id="110" w:name="_Toc240496679"/>
    <w:p w14:paraId="739ED4B0">
      <w:pPr>
        <w:pStyle w:val="style1"/>
        <w:spacing w:lineRule="auto" w:line="360"/>
        <w:jc w:val="both"/>
        <w:rPr>
          <w:rFonts w:ascii="Arial" w:cs="Arial" w:hAnsi="Arial"/>
          <w:lang w:val="en-GB"/>
        </w:rPr>
      </w:pPr>
      <w:r>
        <w:rPr>
          <w:rFonts w:ascii="Arial" w:cs="Arial" w:hAnsi="Arial"/>
          <w:lang w:val="en-GB"/>
        </w:rPr>
        <w:t xml:space="preserve">Chapter 5: Discussion </w:t>
      </w:r>
      <w:r>
        <w:rPr>
          <w:rFonts w:ascii="Arial" w:cs="Arial" w:hAnsi="Arial"/>
          <w:lang w:val="en-GB"/>
        </w:rPr>
        <w:t>and Analysis</w:t>
      </w:r>
      <w:bookmarkEnd w:id="110"/>
      <w:r>
        <w:rPr>
          <w:rFonts w:ascii="Arial" w:cs="Arial" w:hAnsi="Arial"/>
          <w:lang w:val="en-GB"/>
        </w:rPr>
        <w:t xml:space="preserve"> </w:t>
      </w:r>
    </w:p>
    <w:bookmarkStart w:id="111" w:name="_Toc240496680"/>
    <w:p w14:paraId="69B6D66D">
      <w:pPr>
        <w:pStyle w:val="style2"/>
        <w:spacing w:lineRule="auto" w:line="360"/>
        <w:rPr>
          <w:rFonts w:ascii="Arial" w:cs="Arial" w:hAnsi="Arial"/>
        </w:rPr>
      </w:pPr>
      <w:r>
        <w:rPr>
          <w:rFonts w:ascii="Arial" w:cs="Arial" w:hAnsi="Arial"/>
        </w:rPr>
        <w:t>5.1 Purpose and Positioning</w:t>
      </w:r>
      <w:bookmarkEnd w:id="111"/>
      <w:r>
        <w:rPr>
          <w:rFonts w:ascii="Arial" w:cs="Arial" w:hAnsi="Arial"/>
        </w:rPr>
        <w:t xml:space="preserve"> </w:t>
      </w:r>
    </w:p>
    <w:p w14:paraId="4DB58361">
      <w:pPr>
        <w:pStyle w:val="style0"/>
        <w:spacing w:lineRule="auto" w:line="360"/>
        <w:rPr>
          <w:rFonts w:ascii="Arial" w:cs="Arial" w:hAnsi="Arial"/>
        </w:rPr>
      </w:pPr>
      <w:r>
        <w:rPr>
          <w:rFonts w:ascii="Arial" w:cs="Arial" w:hAnsi="Arial"/>
        </w:rPr>
        <w:t>In this chapter, the results of the case studies in Chapter 4 are critically interpreted in the light of the literature and the conceptual framework that was developed in Chapter 2. The aim is</w:t>
      </w:r>
      <w:r>
        <w:rPr>
          <w:rFonts w:ascii="Arial" w:cs="Arial" w:hAnsi="Arial"/>
        </w:rPr>
        <w:t xml:space="preserve"> not</w:t>
      </w:r>
      <w:r>
        <w:rPr>
          <w:rFonts w:ascii="Arial" w:cs="Arial" w:hAnsi="Arial"/>
        </w:rPr>
        <w:t xml:space="preserve"> to present the findings from the individual companies</w:t>
      </w:r>
      <w:r>
        <w:rPr>
          <w:rFonts w:ascii="Arial" w:cs="Arial" w:hAnsi="Arial"/>
        </w:rPr>
        <w:t>:</w:t>
      </w:r>
      <w:r>
        <w:rPr>
          <w:rFonts w:ascii="Arial" w:cs="Arial" w:hAnsi="Arial"/>
        </w:rPr>
        <w:t>Tesco, Sainsbury's, Lidl, Morrisons and Asda  again, but to draw the threads together from the evidence and make a judgment about the effect of personalised offers on customer loyalty in UK grocery retail. Analysis thus examines the overlap with existing work, the differences, and the possible contextual factors to explain those differences.</w:t>
      </w:r>
    </w:p>
    <w:p w14:paraId="46D0045C">
      <w:pPr>
        <w:pStyle w:val="style0"/>
        <w:spacing w:lineRule="auto" w:line="360"/>
        <w:rPr>
          <w:rFonts w:ascii="Arial" w:cs="Arial" w:hAnsi="Arial"/>
        </w:rPr>
      </w:pPr>
      <w:r>
        <w:rPr>
          <w:rFonts w:ascii="Arial" w:cs="Arial" w:hAnsi="Arial"/>
        </w:rPr>
        <w:t xml:space="preserve">Overall, the results confirm the argument presented in Chapter 2 that personalisation </w:t>
      </w:r>
      <w:r>
        <w:rPr>
          <w:rFonts w:ascii="Arial" w:cs="Arial" w:hAnsi="Arial"/>
        </w:rPr>
        <w:t>does not generate</w:t>
      </w:r>
      <w:r>
        <w:rPr>
          <w:rFonts w:ascii="Arial" w:cs="Arial" w:hAnsi="Arial"/>
        </w:rPr>
        <w:t xml:space="preserve"> loyalty per se. Instead, it seems to rely on customers' perceived relevance and value of offers, and their belief in the fairness and data practices that support them. This understanding aligns with literature highlighting a relationship between relevance, perceived value, fairness, trust, and satisfaction in customer reactions to personalised retailing (Bleier and Eisenbeiss, 2015; Meyer-Waarden, Bruwer and Galan, 2023; Hufnagel, Schwaiger and Weritz, 2022).</w:t>
      </w:r>
    </w:p>
    <w:p w14:paraId="4D3042E0">
      <w:pPr>
        <w:pStyle w:val="style0"/>
        <w:spacing w:lineRule="auto" w:line="360"/>
        <w:rPr>
          <w:rFonts w:ascii="Arial" w:cs="Arial" w:hAnsi="Arial"/>
        </w:rPr>
      </w:pPr>
      <w:r>
        <w:rPr>
          <w:rFonts w:ascii="Arial" w:cs="Arial" w:hAnsi="Arial"/>
        </w:rPr>
        <w:t xml:space="preserve">Meanwhile, the five cases highlight an interesting qualification. Evidence of customer engagement, programme participation, and purchasing behaviour is usually the most direct, while evidence of lasting attitudinal loyalty is much less direct. This distinction matters because earlier studies also caution against associating loyalty-programme membership or repeat purchases with actual loyalty to the retailer (Närvänen et al., 2020; Chen, Evanschitzky and Blut, 2026). Hence, personalisation is not an adequate account of loyalty in </w:t>
      </w:r>
      <w:r>
        <w:rPr>
          <w:rFonts w:ascii="Arial" w:cs="Arial" w:hAnsi="Arial"/>
        </w:rPr>
        <w:t>itself</w:t>
      </w:r>
      <w:r>
        <w:rPr>
          <w:rFonts w:ascii="Arial" w:cs="Arial" w:hAnsi="Arial"/>
        </w:rPr>
        <w:t>, but rather a possible means of enhancing loyalty.</w:t>
      </w:r>
    </w:p>
    <w:bookmarkStart w:id="112" w:name="_Toc240496681"/>
    <w:p w14:paraId="71053EBD">
      <w:pPr>
        <w:pStyle w:val="style2"/>
        <w:spacing w:lineRule="auto" w:line="360"/>
        <w:rPr>
          <w:rFonts w:ascii="Arial" w:cs="Arial" w:hAnsi="Arial"/>
        </w:rPr>
      </w:pPr>
      <w:r>
        <w:rPr>
          <w:rFonts w:ascii="Arial" w:cs="Arial" w:hAnsi="Arial"/>
        </w:rPr>
        <w:t>5.2 Analytical Framework and Logic</w:t>
      </w:r>
      <w:bookmarkEnd w:id="112"/>
      <w:r>
        <w:rPr>
          <w:rFonts w:ascii="Arial" w:cs="Arial" w:hAnsi="Arial"/>
        </w:rPr>
        <w:t xml:space="preserve"> </w:t>
      </w:r>
    </w:p>
    <w:p w14:paraId="397DD165">
      <w:pPr>
        <w:pStyle w:val="style0"/>
        <w:spacing w:lineRule="auto" w:line="360"/>
        <w:rPr>
          <w:rFonts w:ascii="Arial" w:cs="Arial" w:hAnsi="Arial"/>
        </w:rPr>
      </w:pPr>
      <w:r>
        <w:rPr>
          <w:rFonts w:ascii="Arial" w:cs="Arial" w:hAnsi="Arial"/>
        </w:rPr>
        <w:t xml:space="preserve">The analysis takes into account the Commitment–Trust Theory of Relationship Marketing, Oliver's Customer Loyalty Model and the conceptual framework developed in Chapter 2, mainly. The conceptual model suggests that personalised offer relevance, perceived reward value, perceived fairness, and customer trust influence customer loyalty through both direct and indirect links with customer satisfaction. This provides a framework for </w:t>
      </w:r>
      <w:r>
        <w:rPr>
          <w:rFonts w:ascii="Arial" w:cs="Arial" w:hAnsi="Arial"/>
        </w:rPr>
        <w:t>understanding the five cases, as retailers differ in how they use customer data in offers, rewards, and digital experiences.</w:t>
      </w:r>
    </w:p>
    <w:p w14:paraId="112E9F11">
      <w:pPr>
        <w:pStyle w:val="style0"/>
        <w:spacing w:lineRule="auto" w:line="360"/>
        <w:rPr>
          <w:rFonts w:ascii="Arial" w:cs="Arial" w:hAnsi="Arial"/>
        </w:rPr>
      </w:pPr>
      <w:r>
        <w:rPr>
          <w:rFonts w:ascii="Arial" w:cs="Arial" w:hAnsi="Arial"/>
        </w:rPr>
        <w:t xml:space="preserve">Commitment–Trust Theory is relevant to the dimension of trust. The relationship-marketing approach focuses on the importance of trust and commitment in sustaining a long-term effective relationship. The cases in the present writing are, however, indicative of the ways in which trust can not be thought of separately from value and relevance. A customer could have a positive image of a supermarket and change to another outlet because of competitive pricing or convenient deals. </w:t>
      </w:r>
      <w:r>
        <w:rPr>
          <w:rFonts w:ascii="Arial" w:cs="Arial" w:hAnsi="Arial"/>
        </w:rPr>
        <w:t>Similarly</w:t>
      </w:r>
      <w:r>
        <w:rPr>
          <w:rFonts w:ascii="Arial" w:cs="Arial" w:hAnsi="Arial"/>
        </w:rPr>
        <w:t xml:space="preserve">, </w:t>
      </w:r>
      <w:r>
        <w:rPr>
          <w:rFonts w:ascii="Arial" w:cs="Arial" w:hAnsi="Arial"/>
        </w:rPr>
        <w:t xml:space="preserve">Lv and Liu </w:t>
      </w:r>
      <w:r>
        <w:rPr>
          <w:rFonts w:ascii="Arial" w:cs="Arial" w:hAnsi="Arial"/>
        </w:rPr>
        <w:t xml:space="preserve"> (</w:t>
      </w:r>
      <w:r>
        <w:rPr>
          <w:rFonts w:ascii="Arial" w:cs="Arial" w:hAnsi="Arial"/>
        </w:rPr>
        <w:t>2022</w:t>
      </w:r>
      <w:r>
        <w:rPr>
          <w:rFonts w:ascii="Arial" w:cs="Arial" w:hAnsi="Arial"/>
        </w:rPr>
        <w:t>) differentiates between deeper loyalty and behaviour that occurs only because of situational or economic benefits.</w:t>
      </w:r>
    </w:p>
    <w:p w14:paraId="03A36ECB">
      <w:pPr>
        <w:pStyle w:val="style0"/>
        <w:spacing w:lineRule="auto" w:line="360"/>
        <w:rPr>
          <w:rFonts w:ascii="Arial" w:cs="Arial" w:hAnsi="Arial"/>
        </w:rPr>
      </w:pPr>
      <w:r>
        <w:rPr>
          <w:rFonts w:ascii="Arial" w:cs="Arial" w:hAnsi="Arial"/>
        </w:rPr>
        <w:t>The conceptual framework offers initial analytical categories</w:t>
      </w:r>
      <w:r>
        <w:rPr>
          <w:rFonts w:ascii="Arial" w:cs="Arial" w:hAnsi="Arial"/>
        </w:rPr>
        <w:t>,</w:t>
      </w:r>
      <w:r>
        <w:rPr>
          <w:rFonts w:ascii="Arial" w:cs="Arial" w:hAnsi="Arial"/>
        </w:rPr>
        <w:t xml:space="preserve"> but the cases are also looked at for patterns that might change the proposed relationships. This aligns with the methodology used in Chapter 3, where theory is used to interpret, while evidence from individual cases may add to and/or explain the theory. </w:t>
      </w:r>
      <w:r>
        <w:rPr>
          <w:rFonts w:ascii="Arial" w:cs="Arial" w:hAnsi="Arial"/>
        </w:rPr>
        <w:t xml:space="preserve">The following five aspects </w:t>
      </w:r>
      <w:r>
        <w:rPr>
          <w:rFonts w:ascii="Arial" w:cs="Arial" w:hAnsi="Arial"/>
        </w:rPr>
        <w:t>focus the discussion: offer relevance and engagement; reward value and loyalty; fairness and trust; satisfaction and loyalty formation; and digital capability and organisational context.</w:t>
      </w:r>
    </w:p>
    <w:bookmarkStart w:id="113" w:name="_Toc240496682"/>
    <w:p w14:paraId="79D36FE2">
      <w:pPr>
        <w:pStyle w:val="style2"/>
        <w:spacing w:lineRule="auto" w:line="360"/>
        <w:rPr>
          <w:rFonts w:ascii="Arial" w:cs="Arial" w:hAnsi="Arial"/>
        </w:rPr>
      </w:pPr>
      <w:r>
        <w:rPr>
          <w:rFonts w:ascii="Arial" w:cs="Arial" w:hAnsi="Arial"/>
        </w:rPr>
        <w:t xml:space="preserve">5.3 </w:t>
      </w:r>
      <w:r>
        <w:rPr>
          <w:rFonts w:ascii="Arial" w:cs="Arial" w:hAnsi="Arial"/>
        </w:rPr>
        <w:t>Cross-Case Synthesis</w:t>
      </w:r>
      <w:r>
        <w:rPr>
          <w:rFonts w:ascii="Arial" w:cs="Arial" w:hAnsi="Arial"/>
        </w:rPr>
        <w:t>: Comparison and Contrasts with Literature</w:t>
      </w:r>
      <w:bookmarkEnd w:id="113"/>
      <w:r>
        <w:rPr>
          <w:rFonts w:ascii="Arial" w:cs="Arial" w:hAnsi="Arial"/>
        </w:rPr>
        <w:t xml:space="preserve"> </w:t>
      </w:r>
    </w:p>
    <w:bookmarkStart w:id="114" w:name="_Toc240496683"/>
    <w:p w14:paraId="7338D833">
      <w:pPr>
        <w:pStyle w:val="style3"/>
        <w:rPr>
          <w:rFonts w:ascii="Arial" w:cs="Arial" w:hAnsi="Arial"/>
          <w:lang w:val="en-GB"/>
        </w:rPr>
      </w:pPr>
      <w:r>
        <w:rPr>
          <w:rFonts w:ascii="Arial" w:cs="Arial" w:hAnsi="Arial"/>
          <w:lang w:val="en-GB"/>
        </w:rPr>
        <w:t xml:space="preserve">5.3.1 </w:t>
      </w:r>
      <w:r>
        <w:rPr>
          <w:rFonts w:ascii="Arial" w:cs="Arial" w:hAnsi="Arial"/>
          <w:lang w:val="en-GB"/>
        </w:rPr>
        <w:t xml:space="preserve">Customer </w:t>
      </w:r>
      <w:r>
        <w:rPr>
          <w:rFonts w:ascii="Arial" w:cs="Arial" w:hAnsi="Arial"/>
          <w:lang w:val="en-GB"/>
        </w:rPr>
        <w:t>Offer Relevance</w:t>
      </w:r>
      <w:r>
        <w:rPr>
          <w:rFonts w:ascii="Arial" w:cs="Arial" w:hAnsi="Arial"/>
          <w:lang w:val="en-GB"/>
        </w:rPr>
        <w:t xml:space="preserve"> and </w:t>
      </w:r>
      <w:r>
        <w:rPr>
          <w:rFonts w:ascii="Arial" w:cs="Arial" w:hAnsi="Arial"/>
          <w:lang w:val="en-GB"/>
        </w:rPr>
        <w:t>Customer Engagement</w:t>
      </w:r>
      <w:bookmarkEnd w:id="114"/>
      <w:r>
        <w:rPr>
          <w:rFonts w:ascii="Arial" w:cs="Arial" w:hAnsi="Arial"/>
          <w:lang w:val="en-GB"/>
        </w:rPr>
        <w:t xml:space="preserve"> </w:t>
      </w:r>
    </w:p>
    <w:p w14:paraId="4E6471EC">
      <w:pPr>
        <w:pStyle w:val="style0"/>
        <w:spacing w:lineRule="auto" w:line="360"/>
        <w:rPr>
          <w:rFonts w:ascii="Arial" w:cs="Arial" w:hAnsi="Arial"/>
        </w:rPr>
      </w:pPr>
      <w:r>
        <w:rPr>
          <w:rFonts w:ascii="Arial" w:cs="Arial" w:hAnsi="Arial"/>
        </w:rPr>
        <w:t>The literature generally accepts that value is added to personalisation when customers perceive communications and offers as relevant to their needs, previous shopping habits, and preferences. However, when consumers feel the communication is relevant and trust conditions are favourable, personalisation can boost advertising effectiveness, as demonstrated by Bleier and Eisenbeiss (2015). Likewise, Oancea (2021) and Lv and Liu (2022) highlight perceived relevance instead of personalisation technology. This difference matters because even sophisticated technology does not necessarily mean customers receive useful offers.</w:t>
      </w:r>
    </w:p>
    <w:p w14:paraId="27E0E427">
      <w:pPr>
        <w:pStyle w:val="style0"/>
        <w:spacing w:lineRule="auto" w:line="360"/>
        <w:rPr>
          <w:rFonts w:ascii="Arial" w:cs="Arial" w:hAnsi="Arial"/>
        </w:rPr>
      </w:pPr>
      <w:r>
        <w:rPr>
          <w:rFonts w:ascii="Arial" w:cs="Arial" w:hAnsi="Arial"/>
        </w:rPr>
        <w:t xml:space="preserve">The five cases broadly support this. Examples of how transaction and loyalty information can be leveraged to give targeted offers and loyalty prices are obvious with Tesco and Sainsbury's. Lidl Plus, Morrisons More and Asda Rewards are also digital platforms that </w:t>
      </w:r>
      <w:r>
        <w:rPr>
          <w:rFonts w:ascii="Arial" w:cs="Arial" w:hAnsi="Arial"/>
        </w:rPr>
        <w:t>offer customers coupons, rewards and personalised interactions. This strategic pivot is the same across cases, from one-to-one mass promotions to customer engagement that leverages data.</w:t>
      </w:r>
    </w:p>
    <w:p w14:paraId="62F35E21">
      <w:pPr>
        <w:pStyle w:val="style0"/>
        <w:spacing w:lineRule="auto" w:line="360"/>
        <w:rPr>
          <w:rFonts w:ascii="Arial" w:cs="Arial" w:hAnsi="Arial"/>
        </w:rPr>
      </w:pPr>
      <w:r>
        <w:rPr>
          <w:rFonts w:ascii="Arial" w:cs="Arial" w:hAnsi="Arial"/>
        </w:rPr>
        <w:t>The cases, however, call into question the notion that increased personalisation equates to increased loyalty. Personalised offers can entice interaction with an app or a specific purchase without changing the customer's underlying preference for the retailer. This distinction follows Närvänen et al. (2020), who show that repeated retail purchases can mean different things, such as routine, convenience, and genuine commitment. Therefore, the case evidence suggests a stronger correlation between personalisation and engagement than between personalisation and long-term loyalty.</w:t>
      </w:r>
      <w:r>
        <w:rPr>
          <w:rFonts w:ascii="Arial" w:cs="Arial" w:hAnsi="Arial"/>
        </w:rPr>
        <w:t xml:space="preserve"> </w:t>
      </w:r>
    </w:p>
    <w:p w14:paraId="1D36BC3F">
      <w:pPr>
        <w:pStyle w:val="style0"/>
        <w:spacing w:lineRule="auto" w:line="360"/>
        <w:rPr>
          <w:rFonts w:ascii="Arial" w:cs="Arial" w:hAnsi="Arial"/>
        </w:rPr>
      </w:pPr>
      <w:r>
        <w:rPr>
          <w:rFonts w:ascii="Arial" w:cs="Arial" w:hAnsi="Arial"/>
        </w:rPr>
        <w:t xml:space="preserve">Personalisation hinges on the quality and the interpretation of customer data. An offer based on historical purchasing behaviour can reveal a customer's purchase history, not what they need now. Therefore, personalisation seems </w:t>
      </w:r>
      <w:r>
        <w:rPr>
          <w:rFonts w:ascii="Arial" w:cs="Arial" w:hAnsi="Arial"/>
        </w:rPr>
        <w:t>most beneficial when it turns data into timely, relevant offers, not when it relies on</w:t>
      </w:r>
      <w:r>
        <w:rPr>
          <w:rFonts w:ascii="Arial" w:cs="Arial" w:hAnsi="Arial"/>
        </w:rPr>
        <w:t xml:space="preserve"> data-driven targeting alone.</w:t>
      </w:r>
    </w:p>
    <w:bookmarkStart w:id="115" w:name="_Toc240496684"/>
    <w:p w14:paraId="73FF98F2">
      <w:pPr>
        <w:pStyle w:val="style3"/>
        <w:rPr>
          <w:rFonts w:ascii="Arial" w:cs="Arial" w:hAnsi="Arial"/>
          <w:lang w:val="en-GB"/>
        </w:rPr>
      </w:pPr>
      <w:r>
        <w:rPr>
          <w:rFonts w:ascii="Arial" w:cs="Arial" w:hAnsi="Arial"/>
          <w:lang w:val="en-GB"/>
        </w:rPr>
        <w:t>5.3.</w:t>
      </w:r>
      <w:r>
        <w:rPr>
          <w:rFonts w:ascii="Arial" w:cs="Arial" w:hAnsi="Arial"/>
          <w:lang w:val="en-GB"/>
        </w:rPr>
        <w:t xml:space="preserve">2 </w:t>
      </w:r>
      <w:r>
        <w:rPr>
          <w:rFonts w:ascii="Arial" w:cs="Arial" w:hAnsi="Arial"/>
          <w:lang w:val="en-GB"/>
        </w:rPr>
        <w:t>Perceived</w:t>
      </w:r>
      <w:r>
        <w:rPr>
          <w:rFonts w:ascii="Arial" w:cs="Arial" w:hAnsi="Arial"/>
          <w:lang w:val="en-GB"/>
        </w:rPr>
        <w:t xml:space="preserve"> Reward </w:t>
      </w:r>
      <w:r>
        <w:rPr>
          <w:rFonts w:ascii="Arial" w:cs="Arial" w:hAnsi="Arial"/>
          <w:lang w:val="en-GB"/>
        </w:rPr>
        <w:t>Value</w:t>
      </w:r>
      <w:r>
        <w:rPr>
          <w:rFonts w:ascii="Arial" w:cs="Arial" w:hAnsi="Arial"/>
          <w:lang w:val="en-GB"/>
        </w:rPr>
        <w:t xml:space="preserve"> and </w:t>
      </w:r>
      <w:r>
        <w:rPr>
          <w:rFonts w:ascii="Arial" w:cs="Arial" w:hAnsi="Arial"/>
          <w:lang w:val="en-GB"/>
        </w:rPr>
        <w:t>Loyalty</w:t>
      </w:r>
      <w:bookmarkEnd w:id="115"/>
      <w:r>
        <w:rPr>
          <w:rFonts w:ascii="Arial" w:cs="Arial" w:hAnsi="Arial"/>
          <w:lang w:val="en-GB"/>
        </w:rPr>
        <w:t xml:space="preserve"> </w:t>
      </w:r>
    </w:p>
    <w:p w14:paraId="28509E63">
      <w:pPr>
        <w:pStyle w:val="style0"/>
        <w:spacing w:lineRule="auto" w:line="360"/>
        <w:rPr>
          <w:rFonts w:ascii="Arial" w:cs="Arial" w:hAnsi="Arial"/>
        </w:rPr>
      </w:pPr>
      <w:r>
        <w:rPr>
          <w:rFonts w:ascii="Arial" w:cs="Arial" w:hAnsi="Arial"/>
        </w:rPr>
        <w:t xml:space="preserve">The second relationship is to perceived reward value. Studies also show that </w:t>
      </w:r>
      <w:r>
        <w:rPr>
          <w:rFonts w:ascii="Arial" w:cs="Arial" w:hAnsi="Arial"/>
        </w:rPr>
        <w:t xml:space="preserve">economic and non-economic benefits </w:t>
      </w:r>
      <w:r>
        <w:rPr>
          <w:rFonts w:ascii="Arial" w:cs="Arial" w:hAnsi="Arial"/>
        </w:rPr>
        <w:t xml:space="preserve">can enhance participation in loyalty programs. Meyer-Waarden, Bruwer and Galan (2023) concluded that perceived programme value leads to engagement and </w:t>
      </w:r>
      <w:r>
        <w:rPr>
          <w:rFonts w:ascii="Arial" w:cs="Arial" w:hAnsi="Arial"/>
        </w:rPr>
        <w:t>programme-</w:t>
      </w:r>
      <w:r>
        <w:rPr>
          <w:rFonts w:ascii="Arial" w:cs="Arial" w:hAnsi="Arial"/>
        </w:rPr>
        <w:t xml:space="preserve"> and brand-related outcomes. Perceived value is also related to satisfaction and willingness to share information, as in Leppäniemi, Karjaluoto and Saarijärvi (2017). The results indicate that if a customer receives a </w:t>
      </w:r>
      <w:r>
        <w:rPr>
          <w:rFonts w:ascii="Arial" w:cs="Arial" w:hAnsi="Arial"/>
        </w:rPr>
        <w:t>highly valuable benefit, they may accept exchanging their personal information</w:t>
      </w:r>
      <w:r>
        <w:rPr>
          <w:rFonts w:ascii="Arial" w:cs="Arial" w:hAnsi="Arial"/>
        </w:rPr>
        <w:t>.</w:t>
      </w:r>
    </w:p>
    <w:p w14:paraId="18F36D63">
      <w:pPr>
        <w:pStyle w:val="style0"/>
        <w:spacing w:lineRule="auto" w:line="360"/>
        <w:rPr>
          <w:rFonts w:ascii="Arial" w:cs="Arial" w:hAnsi="Arial"/>
        </w:rPr>
      </w:pPr>
      <w:r>
        <w:rPr>
          <w:rFonts w:ascii="Arial" w:cs="Arial" w:hAnsi="Arial"/>
        </w:rPr>
        <w:t xml:space="preserve">Overall, the </w:t>
      </w:r>
      <w:r>
        <w:rPr>
          <w:rFonts w:ascii="Arial" w:cs="Arial" w:hAnsi="Arial"/>
        </w:rPr>
        <w:t>evidence supports this argument. Tesco Clubcard Prices and Nectar Prices offer instant value</w:t>
      </w:r>
      <w:r>
        <w:rPr>
          <w:rFonts w:ascii="Arial" w:cs="Arial" w:hAnsi="Arial"/>
        </w:rPr>
        <w:t>,</w:t>
      </w:r>
      <w:r>
        <w:rPr>
          <w:rFonts w:ascii="Arial" w:cs="Arial" w:hAnsi="Arial"/>
        </w:rPr>
        <w:t xml:space="preserve"> and Lidl Plus and Asda Rewards offer rewards and digital coupons for added value. Morrisons More also capitalises on personalised rewards to enhance customer engagement. The common denominator is that personalisation is linked to </w:t>
      </w:r>
      <w:r>
        <w:rPr>
          <w:rFonts w:ascii="Arial" w:cs="Arial" w:hAnsi="Arial"/>
        </w:rPr>
        <w:t>clear customer value,</w:t>
      </w:r>
      <w:r>
        <w:rPr>
          <w:rFonts w:ascii="Arial" w:cs="Arial" w:hAnsi="Arial"/>
        </w:rPr>
        <w:t xml:space="preserve"> not just technology.</w:t>
      </w:r>
    </w:p>
    <w:p w14:paraId="30388ABE">
      <w:pPr>
        <w:pStyle w:val="style0"/>
        <w:spacing w:lineRule="auto" w:line="360"/>
        <w:rPr>
          <w:rFonts w:ascii="Arial" w:cs="Arial" w:hAnsi="Arial"/>
        </w:rPr>
      </w:pPr>
      <w:r>
        <w:rPr>
          <w:rFonts w:ascii="Arial" w:cs="Arial" w:hAnsi="Arial"/>
        </w:rPr>
        <w:t xml:space="preserve">However, </w:t>
      </w:r>
      <w:r>
        <w:rPr>
          <w:rFonts w:ascii="Arial" w:cs="Arial" w:hAnsi="Arial"/>
        </w:rPr>
        <w:t>the value–loyalty relationship has a serious drawback, as seen in these</w:t>
      </w:r>
      <w:r>
        <w:rPr>
          <w:rFonts w:ascii="Arial" w:cs="Arial" w:hAnsi="Arial"/>
        </w:rPr>
        <w:t xml:space="preserve"> cases. Rewards can motivate customers to change their short-term buying habits, but they do</w:t>
      </w:r>
      <w:r>
        <w:rPr>
          <w:rFonts w:ascii="Arial" w:cs="Arial" w:hAnsi="Arial"/>
        </w:rPr>
        <w:t xml:space="preserve"> </w:t>
      </w:r>
      <w:r>
        <w:rPr>
          <w:rFonts w:ascii="Arial" w:cs="Arial" w:hAnsi="Arial"/>
        </w:rPr>
        <w:t>no</w:t>
      </w:r>
      <w:r>
        <w:rPr>
          <w:rFonts w:ascii="Arial" w:cs="Arial" w:hAnsi="Arial"/>
        </w:rPr>
        <w:t xml:space="preserve">t necessarily lead to lasting commitment. This concern is shared by  Meyer-Waarden, Bruwer and Galan (2023), </w:t>
      </w:r>
      <w:r>
        <w:rPr>
          <w:rFonts w:ascii="Arial" w:cs="Arial" w:hAnsi="Arial"/>
        </w:rPr>
        <w:t>who indicate that the value of a loyalty programme does not necessarily translate</w:t>
      </w:r>
      <w:r>
        <w:rPr>
          <w:rFonts w:ascii="Arial" w:cs="Arial" w:hAnsi="Arial"/>
        </w:rPr>
        <w:t xml:space="preserve"> directly into loyalty behaviour among customers. With so much competition in the grocery market, a customer can utilise their </w:t>
      </w:r>
      <w:r>
        <w:rPr>
          <w:rFonts w:ascii="Arial" w:cs="Arial" w:hAnsi="Arial"/>
        </w:rPr>
        <w:t>Clubcard</w:t>
      </w:r>
      <w:r>
        <w:rPr>
          <w:rFonts w:ascii="Arial" w:cs="Arial" w:hAnsi="Arial"/>
        </w:rPr>
        <w:t xml:space="preserve"> Prices today, Nectar Prices tomorrow, and Lidl Plus on another shopping trip. Reward value as a basis for exclusive loyalty is less likely to be present in grocery retail than in other forms of retailing, because the switching costs are low.</w:t>
      </w:r>
    </w:p>
    <w:p w14:paraId="2C696B09">
      <w:pPr>
        <w:pStyle w:val="style0"/>
        <w:spacing w:lineRule="auto" w:line="360"/>
        <w:rPr>
          <w:rFonts w:ascii="Arial" w:cs="Arial" w:hAnsi="Arial"/>
        </w:rPr>
      </w:pPr>
      <w:r>
        <w:rPr>
          <w:rFonts w:ascii="Arial" w:cs="Arial" w:hAnsi="Arial"/>
        </w:rPr>
        <w:t xml:space="preserve">There is also evidence </w:t>
      </w:r>
      <w:r>
        <w:rPr>
          <w:rFonts w:ascii="Arial" w:cs="Arial" w:hAnsi="Arial"/>
        </w:rPr>
        <w:t>that reward value is relative</w:t>
      </w:r>
      <w:r>
        <w:rPr>
          <w:rFonts w:ascii="Arial" w:cs="Arial" w:hAnsi="Arial"/>
        </w:rPr>
        <w:t>. A small discount on a product</w:t>
      </w:r>
      <w:r>
        <w:rPr>
          <w:rFonts w:ascii="Arial" w:cs="Arial" w:hAnsi="Arial"/>
        </w:rPr>
        <w:t xml:space="preserve"> people often buy might sound more valuable than a big discount on a product</w:t>
      </w:r>
      <w:r>
        <w:rPr>
          <w:rFonts w:ascii="Arial" w:cs="Arial" w:hAnsi="Arial"/>
        </w:rPr>
        <w:t xml:space="preserve"> people do not buy. Therefore, </w:t>
      </w:r>
      <w:r>
        <w:rPr>
          <w:rFonts w:ascii="Arial" w:cs="Arial" w:hAnsi="Arial"/>
        </w:rPr>
        <w:t>reward value and offer relevance are correlated</w:t>
      </w:r>
      <w:r>
        <w:rPr>
          <w:rFonts w:ascii="Arial" w:cs="Arial" w:hAnsi="Arial"/>
        </w:rPr>
        <w:t xml:space="preserve">. This </w:t>
      </w:r>
      <w:r>
        <w:rPr>
          <w:rFonts w:ascii="Arial" w:cs="Arial" w:hAnsi="Arial"/>
        </w:rPr>
        <w:t>modifies the conceptual model by proposing that, rather than being separate dimensions, relevance can influence how customers interpret</w:t>
      </w:r>
      <w:r>
        <w:rPr>
          <w:rFonts w:ascii="Arial" w:cs="Arial" w:hAnsi="Arial"/>
        </w:rPr>
        <w:t xml:space="preserve"> reward value.</w:t>
      </w:r>
    </w:p>
    <w:p w14:paraId="476C26C1">
      <w:pPr>
        <w:pStyle w:val="style0"/>
        <w:spacing w:lineRule="auto" w:line="360"/>
        <w:rPr>
          <w:rFonts w:ascii="Arial" w:cs="Arial" w:hAnsi="Arial"/>
        </w:rPr>
      </w:pPr>
      <w:r>
        <w:rPr>
          <w:rFonts w:ascii="Arial" w:cs="Arial" w:hAnsi="Arial"/>
        </w:rPr>
        <w:t>These cases allow for a conditional relationship between rewards and loyalty: rewards are more likely to benefit loyalty if they are relevant, meaningful,</w:t>
      </w:r>
      <w:r>
        <w:rPr>
          <w:rFonts w:ascii="Arial" w:cs="Arial" w:hAnsi="Arial"/>
        </w:rPr>
        <w:t xml:space="preserve"> and part of a positive overall shopping experience. Discounts, on the other hand, can lead to price-seeking behaviour if </w:t>
      </w:r>
      <w:r>
        <w:rPr>
          <w:rFonts w:ascii="Arial" w:cs="Arial" w:hAnsi="Arial"/>
        </w:rPr>
        <w:t>relied on too heavily</w:t>
      </w:r>
      <w:r>
        <w:rPr>
          <w:rFonts w:ascii="Arial" w:cs="Arial" w:hAnsi="Arial"/>
        </w:rPr>
        <w:t>, which is not suitable.</w:t>
      </w:r>
      <w:r>
        <w:rPr>
          <w:rFonts w:ascii="Arial" w:cs="Arial" w:hAnsi="Arial"/>
        </w:rPr>
        <w:t xml:space="preserve"> </w:t>
      </w:r>
      <w:r>
        <w:rPr>
          <w:rFonts w:ascii="Arial" w:cs="Arial" w:hAnsi="Arial"/>
        </w:rPr>
        <w:t xml:space="preserve">Reward value can </w:t>
      </w:r>
      <w:r>
        <w:rPr>
          <w:rFonts w:ascii="Arial" w:cs="Arial" w:hAnsi="Arial"/>
        </w:rPr>
        <w:t>increase interest and repurchase, whereas linking it to the broader relationship and making it relevant to the customer is more likely to build brand loyalty</w:t>
      </w:r>
      <w:r>
        <w:rPr>
          <w:rFonts w:ascii="Arial" w:cs="Arial" w:hAnsi="Arial"/>
        </w:rPr>
        <w:t>.</w:t>
      </w:r>
    </w:p>
    <w:bookmarkStart w:id="116" w:name="_Toc240496685"/>
    <w:p w14:paraId="5C7F55A1">
      <w:pPr>
        <w:pStyle w:val="style3"/>
        <w:rPr>
          <w:rFonts w:ascii="Arial" w:cs="Arial" w:hAnsi="Arial"/>
          <w:lang w:val="en-GB"/>
        </w:rPr>
      </w:pPr>
      <w:r>
        <w:rPr>
          <w:rFonts w:ascii="Arial" w:cs="Arial" w:hAnsi="Arial"/>
          <w:lang w:val="en-GB"/>
        </w:rPr>
        <w:t xml:space="preserve">5.3.3 </w:t>
      </w:r>
      <w:r>
        <w:rPr>
          <w:rFonts w:ascii="Arial" w:cs="Arial" w:hAnsi="Arial"/>
          <w:lang w:val="en-GB"/>
        </w:rPr>
        <w:t>Perceived</w:t>
      </w:r>
      <w:r>
        <w:rPr>
          <w:rFonts w:ascii="Arial" w:cs="Arial" w:hAnsi="Arial"/>
          <w:lang w:val="en-GB"/>
        </w:rPr>
        <w:t xml:space="preserve"> Fairness, </w:t>
      </w:r>
      <w:r>
        <w:rPr>
          <w:rFonts w:ascii="Arial" w:cs="Arial" w:hAnsi="Arial"/>
          <w:lang w:val="en-GB"/>
        </w:rPr>
        <w:t>Transparency</w:t>
      </w:r>
      <w:r>
        <w:rPr>
          <w:rFonts w:ascii="Arial" w:cs="Arial" w:hAnsi="Arial"/>
          <w:lang w:val="en-GB"/>
        </w:rPr>
        <w:t xml:space="preserve"> and </w:t>
      </w:r>
      <w:r>
        <w:rPr>
          <w:rFonts w:ascii="Arial" w:cs="Arial" w:hAnsi="Arial"/>
          <w:lang w:val="en-GB"/>
        </w:rPr>
        <w:t>Consumer</w:t>
      </w:r>
      <w:r>
        <w:rPr>
          <w:rFonts w:ascii="Arial" w:cs="Arial" w:hAnsi="Arial"/>
          <w:lang w:val="en-GB"/>
        </w:rPr>
        <w:t xml:space="preserve"> Trust</w:t>
      </w:r>
      <w:bookmarkEnd w:id="116"/>
      <w:r>
        <w:rPr>
          <w:rFonts w:ascii="Arial" w:cs="Arial" w:hAnsi="Arial"/>
          <w:lang w:val="en-GB"/>
        </w:rPr>
        <w:t xml:space="preserve"> </w:t>
      </w:r>
    </w:p>
    <w:p w14:paraId="5EDCA47C">
      <w:pPr>
        <w:pStyle w:val="style0"/>
        <w:spacing w:lineRule="auto" w:line="360"/>
        <w:rPr>
          <w:rFonts w:ascii="Arial" w:cs="Arial" w:hAnsi="Arial"/>
        </w:rPr>
      </w:pPr>
      <w:r>
        <w:rPr>
          <w:rFonts w:ascii="Arial" w:cs="Arial" w:hAnsi="Arial"/>
        </w:rPr>
        <w:t>Fairness and trust are essential components in a value-based approach to personalisation. The literature indicates that consumers evaluate not only the benefits they receive but also whether the process feels fair. Hufnagel, Schwaiger, and Weritz (2022) point out that how consumers view price fairness significantly affects their responses to personalised pricing. Hride, Ferdousi, and Jasimuddin (2022) discover that price fairness is associated with higher satisfaction, trust, and loyalty. Aguirre et al. (2015) note that personalisation may cause privacy concerns and feelings of vulnerability when consumers perceive data collection as intrusive.</w:t>
      </w:r>
    </w:p>
    <w:p w14:paraId="5C27912B">
      <w:pPr>
        <w:pStyle w:val="style0"/>
        <w:spacing w:lineRule="auto" w:line="360"/>
        <w:rPr>
          <w:rFonts w:ascii="Arial" w:cs="Arial" w:hAnsi="Arial"/>
        </w:rPr>
      </w:pPr>
      <w:r>
        <w:rPr>
          <w:rFonts w:ascii="Arial" w:cs="Arial" w:hAnsi="Arial"/>
        </w:rPr>
        <w:t xml:space="preserve">The Chapter 4 cases illustrate this tension in a straightforward manner. Tesco and Sainsbury’s have introduced loyalty prices for everyday grocery shopping, highlighting personalisation during the purchase process. This clarifies the benefit while also </w:t>
      </w:r>
      <w:r>
        <w:rPr>
          <w:rFonts w:ascii="Arial" w:cs="Arial" w:hAnsi="Arial"/>
        </w:rPr>
        <w:t>emphasising the distinctions between members and non-members. The CMA's recent examination of loyalty pricing is significant as it highlights that consumer concerns extend beyond merely having a discount; perceptions of price value and the fairness of loyalty pricing are also crucial factors (CMA, 2024; CMA, 2026).</w:t>
      </w:r>
    </w:p>
    <w:p w14:paraId="1340206A">
      <w:pPr>
        <w:pStyle w:val="style0"/>
        <w:spacing w:lineRule="auto" w:line="360"/>
        <w:rPr>
          <w:rFonts w:ascii="Arial" w:cs="Arial" w:hAnsi="Arial"/>
        </w:rPr>
      </w:pPr>
      <w:r>
        <w:rPr>
          <w:rFonts w:ascii="Arial" w:cs="Arial" w:hAnsi="Arial"/>
        </w:rPr>
        <w:t>Trust serves a purpose beyond being merely an ethical concern. It is necessary for using customer data effectively. If customers trust that their data is handled responsibly, sharing information for personalised benefits can appear reasonable. If using the same data feels excessive, confusing, or exploitative, personalisation could damage the relationship rather than enhance it.</w:t>
      </w:r>
    </w:p>
    <w:p w14:paraId="09C83DE9">
      <w:pPr>
        <w:pStyle w:val="style0"/>
        <w:spacing w:lineRule="auto" w:line="360"/>
        <w:rPr>
          <w:rFonts w:ascii="Arial" w:cs="Arial" w:hAnsi="Arial"/>
        </w:rPr>
      </w:pPr>
      <w:r>
        <w:rPr>
          <w:rFonts w:ascii="Arial" w:cs="Arial" w:hAnsi="Arial"/>
        </w:rPr>
        <w:t>The cases show differences in how they present evidence. Tesco and Sainsbury’s offer plenty of information about their loyalty programs, whereas Lidl, Morrisons, and Asda share fewer specific details about how their programs perform. This does</w:t>
      </w:r>
      <w:r>
        <w:rPr>
          <w:rFonts w:ascii="Arial" w:cs="Arial" w:hAnsi="Arial"/>
        </w:rPr>
        <w:t xml:space="preserve"> no</w:t>
      </w:r>
      <w:r>
        <w:rPr>
          <w:rFonts w:ascii="Arial" w:cs="Arial" w:hAnsi="Arial"/>
        </w:rPr>
        <w:t xml:space="preserve">t imply that the latter programs are any less effective. It highlights the importance of being cautious </w:t>
      </w:r>
      <w:r>
        <w:rPr>
          <w:rFonts w:ascii="Arial" w:cs="Arial" w:hAnsi="Arial"/>
        </w:rPr>
        <w:t>about effectiveness claims when organisations present information differently</w:t>
      </w:r>
      <w:r>
        <w:rPr>
          <w:rFonts w:ascii="Arial" w:cs="Arial" w:hAnsi="Arial"/>
        </w:rPr>
        <w:t>.</w:t>
      </w:r>
    </w:p>
    <w:p w14:paraId="70C8F5AC">
      <w:pPr>
        <w:pStyle w:val="style0"/>
        <w:spacing w:lineRule="auto" w:line="360"/>
        <w:rPr>
          <w:rFonts w:ascii="Arial" w:cs="Arial" w:hAnsi="Arial"/>
        </w:rPr>
      </w:pPr>
      <w:r>
        <w:rPr>
          <w:rFonts w:ascii="Arial" w:cs="Arial" w:hAnsi="Arial"/>
        </w:rPr>
        <w:t xml:space="preserve">The evidence enhances the theory by establishing fairness and trust as essential components for continuous personalisation. While relevance and reward can attract engagement, </w:t>
      </w:r>
      <w:r>
        <w:rPr>
          <w:rFonts w:ascii="Arial" w:cs="Arial" w:hAnsi="Arial"/>
        </w:rPr>
        <w:t>fair processes and information are</w:t>
      </w:r>
      <w:r>
        <w:rPr>
          <w:rFonts w:ascii="Arial" w:cs="Arial" w:hAnsi="Arial"/>
        </w:rPr>
        <w:t xml:space="preserve"> essential in deciding whether customers continue to participate. </w:t>
      </w:r>
    </w:p>
    <w:bookmarkStart w:id="117" w:name="_Toc240496686"/>
    <w:p w14:paraId="7EA18936">
      <w:pPr>
        <w:pStyle w:val="style3"/>
        <w:rPr>
          <w:rFonts w:ascii="Arial" w:cs="Arial" w:hAnsi="Arial"/>
          <w:lang w:val="en-GB"/>
        </w:rPr>
      </w:pPr>
      <w:r>
        <w:rPr>
          <w:rFonts w:ascii="Arial" w:cs="Arial" w:hAnsi="Arial"/>
          <w:lang w:val="en-GB"/>
        </w:rPr>
        <w:t xml:space="preserve">5.3.4 Customer </w:t>
      </w:r>
      <w:r>
        <w:rPr>
          <w:rFonts w:ascii="Arial" w:cs="Arial" w:hAnsi="Arial"/>
          <w:lang w:val="en-GB"/>
        </w:rPr>
        <w:t>Satisfaction</w:t>
      </w:r>
      <w:r>
        <w:rPr>
          <w:rFonts w:ascii="Arial" w:cs="Arial" w:hAnsi="Arial"/>
          <w:lang w:val="en-GB"/>
        </w:rPr>
        <w:t xml:space="preserve"> and Loyalty Formation</w:t>
      </w:r>
      <w:bookmarkEnd w:id="117"/>
      <w:r>
        <w:rPr>
          <w:rFonts w:ascii="Arial" w:cs="Arial" w:hAnsi="Arial"/>
          <w:lang w:val="en-GB"/>
        </w:rPr>
        <w:t xml:space="preserve"> </w:t>
      </w:r>
    </w:p>
    <w:p w14:paraId="52F52266">
      <w:pPr>
        <w:pStyle w:val="style0"/>
        <w:spacing w:lineRule="auto" w:line="360"/>
        <w:rPr>
          <w:rFonts w:ascii="Arial" w:cs="Arial" w:hAnsi="Arial"/>
        </w:rPr>
      </w:pPr>
      <w:r>
        <w:rPr>
          <w:rFonts w:ascii="Arial" w:cs="Arial" w:hAnsi="Arial"/>
        </w:rPr>
        <w:t xml:space="preserve">The conceptual approach assumes that, between the perception of personalised offers and loyalty, customer satisfaction can act as a mediating variable. </w:t>
      </w:r>
      <w:r>
        <w:rPr>
          <w:rFonts w:ascii="Arial" w:cs="Arial" w:hAnsi="Arial"/>
        </w:rPr>
        <w:t xml:space="preserve">Cross-case evidence and the literature support </w:t>
      </w:r>
      <w:r>
        <w:rPr>
          <w:rFonts w:ascii="Arial" w:cs="Arial" w:hAnsi="Arial"/>
        </w:rPr>
        <w:t>this proposition. For instance, Dlamini and Chinje (2019) say that satisfaction is a significant factor of the influence of loyalty programmes on repeat purchases and Daud et al. (2018) suggest there are indirect and direct relationships between trust, usefulness, satisfaction and loyalty.</w:t>
      </w:r>
    </w:p>
    <w:p w14:paraId="21357C72">
      <w:pPr>
        <w:pStyle w:val="style0"/>
        <w:spacing w:lineRule="auto" w:line="360"/>
        <w:rPr>
          <w:rFonts w:ascii="Arial" w:cs="Arial" w:hAnsi="Arial"/>
        </w:rPr>
      </w:pPr>
      <w:r>
        <w:rPr>
          <w:rFonts w:ascii="Arial" w:cs="Arial" w:hAnsi="Arial"/>
        </w:rPr>
        <w:t xml:space="preserve">The five cases suggest that satisfaction is better understood as an intermediate evaluation rather than as being an automatic result of personalisation. Rather, a relevant offer might </w:t>
      </w:r>
      <w:r>
        <w:rPr>
          <w:rFonts w:ascii="Arial" w:cs="Arial" w:hAnsi="Arial"/>
        </w:rPr>
        <w:t>increase perceived usefulness, a valuable reward might increase perceived benefit, and fair treatment might reduce dissatisfaction</w:t>
      </w:r>
      <w:r>
        <w:rPr>
          <w:rFonts w:ascii="Arial" w:cs="Arial" w:hAnsi="Arial"/>
        </w:rPr>
        <w:t xml:space="preserve">. These assessments may be part </w:t>
      </w:r>
      <w:r>
        <w:rPr>
          <w:rFonts w:ascii="Arial" w:cs="Arial" w:hAnsi="Arial"/>
        </w:rPr>
        <w:t>of a positive shopping experience. But contentment is</w:t>
      </w:r>
      <w:r>
        <w:rPr>
          <w:rFonts w:ascii="Arial" w:cs="Arial" w:hAnsi="Arial"/>
        </w:rPr>
        <w:t xml:space="preserve"> no</w:t>
      </w:r>
      <w:r>
        <w:rPr>
          <w:rFonts w:ascii="Arial" w:cs="Arial" w:hAnsi="Arial"/>
        </w:rPr>
        <w:t>t enough to stop switching if there</w:t>
      </w:r>
      <w:r>
        <w:rPr>
          <w:rFonts w:ascii="Arial" w:cs="Arial" w:hAnsi="Arial"/>
        </w:rPr>
        <w:t xml:space="preserve"> i</w:t>
      </w:r>
      <w:r>
        <w:rPr>
          <w:rFonts w:ascii="Arial" w:cs="Arial" w:hAnsi="Arial"/>
        </w:rPr>
        <w:t>s a better offer from another supermarket, one that offers greater convenience, rewards or prices.</w:t>
      </w:r>
    </w:p>
    <w:p w14:paraId="5EC0B2DB">
      <w:pPr>
        <w:pStyle w:val="style0"/>
        <w:spacing w:lineRule="auto" w:line="360"/>
        <w:rPr>
          <w:rFonts w:ascii="Arial" w:cs="Arial" w:hAnsi="Arial"/>
        </w:rPr>
      </w:pPr>
      <w:r>
        <w:rPr>
          <w:rFonts w:ascii="Arial" w:cs="Arial" w:hAnsi="Arial"/>
        </w:rPr>
        <w:t xml:space="preserve">This result is in line with the concept of different stages of loyalty development as proposed by Oliver (1999). While an economic or cognitive assessment may provide a first-cut guide to preference, </w:t>
      </w:r>
      <w:r>
        <w:rPr>
          <w:rFonts w:ascii="Arial" w:cs="Arial" w:hAnsi="Arial"/>
        </w:rPr>
        <w:t>it cannot capture the affect and behavioural preferences required for loyalty</w:t>
      </w:r>
      <w:r>
        <w:rPr>
          <w:rFonts w:ascii="Arial" w:cs="Arial" w:hAnsi="Arial"/>
        </w:rPr>
        <w:t xml:space="preserve">. In the grocery retail sector, customers may </w:t>
      </w:r>
      <w:r>
        <w:rPr>
          <w:rFonts w:ascii="Arial" w:cs="Arial" w:hAnsi="Arial"/>
        </w:rPr>
        <w:t xml:space="preserve">be loyal to multiple supermarkets, as it is easier </w:t>
      </w:r>
      <w:r>
        <w:rPr>
          <w:rFonts w:ascii="Arial" w:cs="Arial" w:hAnsi="Arial"/>
        </w:rPr>
        <w:t>to switch between them than in industries with high switching costs.</w:t>
      </w:r>
    </w:p>
    <w:p w14:paraId="324E6CCE">
      <w:pPr>
        <w:pStyle w:val="style0"/>
        <w:spacing w:lineRule="auto" w:line="360"/>
        <w:rPr>
          <w:rFonts w:ascii="Arial" w:cs="Arial" w:hAnsi="Arial"/>
        </w:rPr>
      </w:pPr>
      <w:r>
        <w:rPr>
          <w:rFonts w:ascii="Arial" w:cs="Arial" w:hAnsi="Arial"/>
        </w:rPr>
        <w:t xml:space="preserve">The evidence thus indicates that satisfaction can be a mechanism, but not a mediator, in all cases. The connection seems to be dependent on the overall customer experience and competition. This </w:t>
      </w:r>
      <w:r>
        <w:rPr>
          <w:rFonts w:ascii="Arial" w:cs="Arial" w:hAnsi="Arial"/>
        </w:rPr>
        <w:t>is also</w:t>
      </w:r>
      <w:r>
        <w:rPr>
          <w:rFonts w:ascii="Arial" w:cs="Arial" w:hAnsi="Arial"/>
        </w:rPr>
        <w:t xml:space="preserve"> why evidence of successful personalised promotions should not be seen as evidence of long-term loyalty. Positive feedback </w:t>
      </w:r>
      <w:r>
        <w:rPr>
          <w:rFonts w:ascii="Arial" w:cs="Arial" w:hAnsi="Arial"/>
        </w:rPr>
        <w:t>from personalised offers can lead to increased loyalty, especially when a customer is satisfied, but competition can disrupt it</w:t>
      </w:r>
      <w:r>
        <w:rPr>
          <w:rFonts w:ascii="Arial" w:cs="Arial" w:hAnsi="Arial"/>
        </w:rPr>
        <w:t>.</w:t>
      </w:r>
    </w:p>
    <w:bookmarkStart w:id="118" w:name="_Toc240496687"/>
    <w:p w14:paraId="13C0D466">
      <w:pPr>
        <w:pStyle w:val="style3"/>
        <w:rPr>
          <w:rFonts w:ascii="Arial" w:cs="Arial" w:hAnsi="Arial"/>
          <w:lang w:val="en-GB"/>
        </w:rPr>
      </w:pPr>
      <w:r>
        <w:rPr>
          <w:rFonts w:ascii="Arial" w:cs="Arial" w:hAnsi="Arial"/>
          <w:lang w:val="en-GB"/>
        </w:rPr>
        <w:t xml:space="preserve">5.3.5 Digital </w:t>
      </w:r>
      <w:r>
        <w:rPr>
          <w:rFonts w:ascii="Arial" w:cs="Arial" w:hAnsi="Arial"/>
          <w:lang w:val="en-GB"/>
        </w:rPr>
        <w:t>Capability</w:t>
      </w:r>
      <w:r>
        <w:rPr>
          <w:rFonts w:ascii="Arial" w:cs="Arial" w:hAnsi="Arial"/>
          <w:lang w:val="en-GB"/>
        </w:rPr>
        <w:t xml:space="preserve"> and </w:t>
      </w:r>
      <w:r>
        <w:rPr>
          <w:rFonts w:ascii="Arial" w:cs="Arial" w:hAnsi="Arial"/>
          <w:lang w:val="en-GB"/>
        </w:rPr>
        <w:t>Contextual Differences</w:t>
      </w:r>
      <w:bookmarkEnd w:id="118"/>
    </w:p>
    <w:p w14:paraId="504492C9">
      <w:pPr>
        <w:pStyle w:val="style0"/>
        <w:spacing w:lineRule="auto" w:line="360"/>
        <w:rPr>
          <w:rFonts w:ascii="Arial" w:cs="Arial" w:hAnsi="Arial"/>
        </w:rPr>
      </w:pPr>
      <w:r>
        <w:rPr>
          <w:rFonts w:ascii="Arial" w:cs="Arial" w:hAnsi="Arial"/>
        </w:rPr>
        <w:t>The last cross-case question is related to organisational capability. The five retailers have different loyalty schemes, so it is not possible to gauge the extent of personalisation without considering digital maturity and business model. Tesco and Sainsbury's are relatively well-established loyalty programs, offering a mix of transactional data, mobile apps and personalised pricing. Lidl's is more akin to a discount retail proposition, with engagement via app, whereas Morrisons and Asda have built their own digital reward systems.</w:t>
      </w:r>
    </w:p>
    <w:p w14:paraId="6FFDCF49">
      <w:pPr>
        <w:pStyle w:val="style0"/>
        <w:spacing w:lineRule="auto" w:line="360"/>
        <w:rPr>
          <w:rFonts w:ascii="Arial" w:cs="Arial" w:hAnsi="Arial"/>
        </w:rPr>
      </w:pPr>
      <w:r>
        <w:rPr>
          <w:rFonts w:ascii="Arial" w:cs="Arial" w:hAnsi="Arial"/>
        </w:rPr>
        <w:t xml:space="preserve">This variation contributes to the view that personalisation should be seen as an organisation's capacity, not just a marketing tool. As retailers rely on advanced analytics to </w:t>
      </w:r>
      <w:r>
        <w:rPr>
          <w:rFonts w:ascii="Arial" w:cs="Arial" w:hAnsi="Arial"/>
        </w:rPr>
        <w:t>improve targeting, they also need</w:t>
      </w:r>
      <w:r>
        <w:rPr>
          <w:rFonts w:ascii="Arial" w:cs="Arial" w:hAnsi="Arial"/>
        </w:rPr>
        <w:t xml:space="preserve"> integrated data, digital interfaces, and the right reward and governance structures. Research in data-driven marketing also suggests that data usefulness depends on an organisation's ability to turn data into actionable customer experiences.</w:t>
      </w:r>
    </w:p>
    <w:p w14:paraId="424D39AD">
      <w:pPr>
        <w:pStyle w:val="style0"/>
        <w:spacing w:lineRule="auto" w:line="360"/>
        <w:rPr>
          <w:rFonts w:ascii="Arial" w:cs="Arial" w:hAnsi="Arial"/>
        </w:rPr>
      </w:pPr>
      <w:r>
        <w:rPr>
          <w:rFonts w:ascii="Arial" w:cs="Arial" w:hAnsi="Arial"/>
        </w:rPr>
        <w:t>The cases also highlight market context. Personalised rewards may have more impact in the grocery retail sector, where they influence immediate price sensitivity, but price sensitivity can also drive switching between retailers. Thus the competitive situation simultaneously enhances the interest in personalisation and restricts its potential to develop exclusive loyalty.</w:t>
      </w:r>
    </w:p>
    <w:p w14:paraId="1CD39C9A">
      <w:pPr>
        <w:pStyle w:val="style0"/>
        <w:spacing w:lineRule="auto" w:line="360"/>
        <w:rPr>
          <w:rFonts w:ascii="Arial" w:cs="Arial" w:hAnsi="Arial"/>
        </w:rPr>
      </w:pPr>
      <w:r>
        <w:rPr>
          <w:rFonts w:ascii="Arial" w:cs="Arial" w:hAnsi="Arial"/>
        </w:rPr>
        <w:t xml:space="preserve">The evidence also underscores a methodological </w:t>
      </w:r>
      <w:r>
        <w:rPr>
          <w:rFonts w:ascii="Arial" w:cs="Arial" w:hAnsi="Arial"/>
        </w:rPr>
        <w:t>point: companies can demonstrate outcomes more easily when they report them publicly than</w:t>
      </w:r>
      <w:r>
        <w:rPr>
          <w:rFonts w:ascii="Arial" w:cs="Arial" w:hAnsi="Arial"/>
        </w:rPr>
        <w:t xml:space="preserve"> when they do</w:t>
      </w:r>
      <w:r>
        <w:rPr>
          <w:rFonts w:ascii="Arial" w:cs="Arial" w:hAnsi="Arial"/>
        </w:rPr>
        <w:t xml:space="preserve"> not</w:t>
      </w:r>
      <w:r>
        <w:rPr>
          <w:rFonts w:ascii="Arial" w:cs="Arial" w:hAnsi="Arial"/>
        </w:rPr>
        <w:t>. This makes Tesco and Sainsbury’s easier to assess than Lidl, Morrisons and Asda</w:t>
      </w:r>
      <w:r>
        <w:rPr>
          <w:rFonts w:ascii="Arial" w:cs="Arial" w:hAnsi="Arial"/>
        </w:rPr>
        <w:t>,</w:t>
      </w:r>
      <w:r>
        <w:rPr>
          <w:rFonts w:ascii="Arial" w:cs="Arial" w:hAnsi="Arial"/>
        </w:rPr>
        <w:t xml:space="preserve"> but </w:t>
      </w:r>
      <w:r>
        <w:rPr>
          <w:rFonts w:ascii="Arial" w:cs="Arial" w:hAnsi="Arial"/>
        </w:rPr>
        <w:t>partly because of disclosure rather than</w:t>
      </w:r>
      <w:r>
        <w:rPr>
          <w:rFonts w:ascii="Arial" w:cs="Arial" w:hAnsi="Arial"/>
        </w:rPr>
        <w:t xml:space="preserve"> performance. Cross-case conclusions should therefore </w:t>
      </w:r>
      <w:r>
        <w:rPr>
          <w:rFonts w:ascii="Arial" w:cs="Arial" w:hAnsi="Arial"/>
        </w:rPr>
        <w:t>distinguish</w:t>
      </w:r>
      <w:r>
        <w:rPr>
          <w:rFonts w:ascii="Arial" w:cs="Arial" w:hAnsi="Arial"/>
        </w:rPr>
        <w:t xml:space="preserve"> between observed effectiveness and observable evidence of effectiveness. Digital capability is a means to personalisation, but </w:t>
      </w:r>
      <w:r>
        <w:rPr>
          <w:rFonts w:ascii="Arial" w:cs="Arial" w:hAnsi="Arial"/>
        </w:rPr>
        <w:t xml:space="preserve">its impact on loyalty depends on the business model, competitive environment, data capability, and the </w:t>
      </w:r>
      <w:r>
        <w:rPr>
          <w:rFonts w:ascii="Arial" w:cs="Arial" w:hAnsi="Arial"/>
        </w:rPr>
        <w:t>credibility of publicly visible evidence.</w:t>
      </w:r>
    </w:p>
    <w:bookmarkStart w:id="119" w:name="_Toc240496688"/>
    <w:p w14:paraId="40D629C6">
      <w:pPr>
        <w:pStyle w:val="style2"/>
        <w:spacing w:lineRule="auto" w:line="360"/>
        <w:rPr>
          <w:rFonts w:ascii="Arial" w:cs="Arial" w:hAnsi="Arial"/>
        </w:rPr>
      </w:pPr>
      <w:r>
        <w:rPr>
          <w:rFonts w:ascii="Arial" w:cs="Arial" w:hAnsi="Arial"/>
        </w:rPr>
        <w:t xml:space="preserve">5.4 </w:t>
      </w:r>
      <w:r>
        <w:rPr>
          <w:rFonts w:ascii="Arial" w:cs="Arial" w:hAnsi="Arial"/>
        </w:rPr>
        <w:t>Integration to the Conceptual Model and Poirposition</w:t>
      </w:r>
      <w:r>
        <w:rPr>
          <w:rFonts w:ascii="Arial" w:cs="Arial" w:hAnsi="Arial"/>
        </w:rPr>
        <w:t>s</w:t>
      </w:r>
      <w:bookmarkEnd w:id="119"/>
    </w:p>
    <w:p w14:paraId="771B034D">
      <w:pPr>
        <w:pStyle w:val="style0"/>
        <w:spacing w:lineRule="auto" w:line="360"/>
        <w:rPr>
          <w:rFonts w:ascii="Arial" w:cs="Arial" w:hAnsi="Arial"/>
        </w:rPr>
      </w:pPr>
      <w:r>
        <w:rPr>
          <w:rFonts w:ascii="Arial" w:cs="Arial" w:hAnsi="Arial"/>
        </w:rPr>
        <w:t>The cross-case findings support the conceptual model developed in Chapter 2, but they also suggest that the proposed relationships should be treated as conditional, not linear. The evidence supports the proposition that personalised relevance, perceived reward value, perceived fairness, and customer trust may lead to desirable customer reactions. But the cases do not show that these factors, taken separately and automatically create long-term customer loyalty. Relevance in personalised offers seems to affect customer engagement in two ways: first, it makes something more useful for the people who receive it, and second, it makes them feel more engaged in the promotion. But the evidence indicates that relevance is a prerequisite but not a sufficient basis for loyalty. Second, perceived reward value is strongly linked to immediate customer benefits and purchase incentives, and it can only produce long-lasting loyalty as long as supermarkets offer other incentives. Third, fairness and trust seem to be critical boundary conditions. Personalisation is more likely to foster a positive relationship if customers feel that pricing and data use are understandable and fair. Lastly, customer satisfaction seems to offer a potential mechanism for how positive evaluations might lead to loyalty, but the case evidence does not provide a mediation.</w:t>
      </w:r>
    </w:p>
    <w:p w14:paraId="0202D966">
      <w:pPr>
        <w:pStyle w:val="style0"/>
        <w:spacing w:lineRule="auto" w:line="360"/>
        <w:rPr>
          <w:rFonts w:ascii="Arial" w:cs="Arial" w:hAnsi="Arial"/>
        </w:rPr>
      </w:pPr>
      <w:r>
        <w:rPr>
          <w:rFonts w:ascii="Arial" w:cs="Arial" w:hAnsi="Arial"/>
        </w:rPr>
        <w:t>S</w:t>
      </w:r>
      <w:r>
        <w:rPr>
          <w:rFonts w:ascii="Arial" w:cs="Arial" w:hAnsi="Arial"/>
        </w:rPr>
        <w:t>o,</w:t>
      </w:r>
      <w:r>
        <w:rPr>
          <w:rFonts w:ascii="Arial" w:cs="Arial" w:hAnsi="Arial"/>
        </w:rPr>
        <w:t xml:space="preserve"> when personalised offers are relevant, useful to their recipients, fairly executed and trusted, they are most likely to contribute to building loyalty. If one of these conditions is missing, the personalisation may lead to engagement but not to greater loyalty.</w:t>
      </w:r>
    </w:p>
    <w:bookmarkStart w:id="120" w:name="_Toc240496689"/>
    <w:p w14:paraId="300E4CA0">
      <w:pPr>
        <w:pStyle w:val="style2"/>
        <w:spacing w:lineRule="auto" w:line="360"/>
        <w:rPr>
          <w:rFonts w:ascii="Arial" w:cs="Arial" w:hAnsi="Arial"/>
        </w:rPr>
      </w:pPr>
      <w:r>
        <w:rPr>
          <w:rFonts w:ascii="Arial" w:cs="Arial" w:hAnsi="Arial"/>
        </w:rPr>
        <w:t>5.5 Robustness Considerations</w:t>
      </w:r>
      <w:bookmarkEnd w:id="120"/>
      <w:r>
        <w:rPr>
          <w:rFonts w:ascii="Arial" w:cs="Arial" w:hAnsi="Arial"/>
        </w:rPr>
        <w:t xml:space="preserve"> </w:t>
      </w:r>
    </w:p>
    <w:p w14:paraId="7D97E943">
      <w:pPr>
        <w:pStyle w:val="style0"/>
        <w:spacing w:lineRule="auto" w:line="360"/>
        <w:rPr>
          <w:rFonts w:ascii="Arial" w:cs="Arial" w:hAnsi="Arial"/>
        </w:rPr>
      </w:pPr>
      <w:r>
        <w:rPr>
          <w:rFonts w:ascii="Arial" w:cs="Arial" w:hAnsi="Arial"/>
        </w:rPr>
        <w:t xml:space="preserve">The findings are subject to </w:t>
      </w:r>
      <w:r>
        <w:rPr>
          <w:rFonts w:ascii="Arial" w:cs="Arial" w:hAnsi="Arial"/>
        </w:rPr>
        <w:t>several limitations</w:t>
      </w:r>
      <w:r>
        <w:rPr>
          <w:rFonts w:ascii="Arial" w:cs="Arial" w:hAnsi="Arial"/>
        </w:rPr>
        <w:t xml:space="preserve">. Firstly, only secondary research sources have been used, which can include publication and attribution bias. Successful loyalty programs are more likely to be highlighted in company annual reports and press releases than less successful programs are, or even negative customer responses. Findings about </w:t>
      </w:r>
      <w:r>
        <w:rPr>
          <w:rFonts w:ascii="Arial" w:cs="Arial" w:hAnsi="Arial"/>
        </w:rPr>
        <w:t>reported improvements should therefore not be taken</w:t>
      </w:r>
      <w:r>
        <w:rPr>
          <w:rFonts w:ascii="Arial" w:cs="Arial" w:hAnsi="Arial"/>
        </w:rPr>
        <w:t xml:space="preserve"> as evidence of causal effectiveness. </w:t>
      </w:r>
      <w:r>
        <w:rPr>
          <w:rFonts w:ascii="Arial" w:cs="Arial" w:hAnsi="Arial"/>
        </w:rPr>
        <w:t>Second, comparability is complicated because the 5 retailers disclose different information</w:t>
      </w:r>
      <w:r>
        <w:rPr>
          <w:rFonts w:ascii="Arial" w:cs="Arial" w:hAnsi="Arial"/>
        </w:rPr>
        <w:t xml:space="preserve">. Tesco and Sainsbury's </w:t>
      </w:r>
      <w:r>
        <w:rPr>
          <w:rFonts w:ascii="Arial" w:cs="Arial" w:hAnsi="Arial"/>
        </w:rPr>
        <w:t>provide fairly comprehensive details on their loyalty programmes, while publicly available programme-specific KPIs</w:t>
      </w:r>
      <w:r>
        <w:rPr>
          <w:rFonts w:ascii="Arial" w:cs="Arial" w:hAnsi="Arial"/>
        </w:rPr>
        <w:t xml:space="preserve"> for Lidl Plus, Morrisons More and Asda Rewards are more limited. </w:t>
      </w:r>
      <w:r>
        <w:rPr>
          <w:rFonts w:ascii="Arial" w:cs="Arial" w:hAnsi="Arial"/>
        </w:rPr>
        <w:t>The lack of an outcome report should not therefore be viewed as an indicator of a programme's failure</w:t>
      </w:r>
      <w:r>
        <w:rPr>
          <w:rFonts w:ascii="Arial" w:cs="Arial" w:hAnsi="Arial"/>
        </w:rPr>
        <w:t xml:space="preserve">. These restrictions can be alleviated, but not completely removed, using triangulation. If </w:t>
      </w:r>
      <w:r>
        <w:rPr>
          <w:rFonts w:ascii="Arial" w:cs="Arial" w:hAnsi="Arial"/>
        </w:rPr>
        <w:t>companies' claims conflict with evidence from regulators, industry reporting,</w:t>
      </w:r>
      <w:r>
        <w:rPr>
          <w:rFonts w:ascii="Arial" w:cs="Arial" w:hAnsi="Arial"/>
        </w:rPr>
        <w:t xml:space="preserve"> or academic research, then more weight can be given to the industry claims. Triangulation across multiple sources enhances the credibility of the </w:t>
      </w:r>
      <w:r>
        <w:rPr>
          <w:rFonts w:ascii="Arial" w:cs="Arial" w:hAnsi="Arial"/>
        </w:rPr>
        <w:t>case study</w:t>
      </w:r>
      <w:r>
        <w:rPr>
          <w:rFonts w:ascii="Arial" w:cs="Arial" w:hAnsi="Arial"/>
        </w:rPr>
        <w:t xml:space="preserve">, according to Yin (2018), because it lessens reliance on any one source. </w:t>
      </w:r>
      <w:r>
        <w:rPr>
          <w:rFonts w:ascii="Arial" w:cs="Arial" w:hAnsi="Arial"/>
        </w:rPr>
        <w:t>However, the results should be taken with a grain of analytical salt</w:t>
      </w:r>
      <w:r>
        <w:rPr>
          <w:rFonts w:ascii="Arial" w:cs="Arial" w:hAnsi="Arial"/>
        </w:rPr>
        <w:t xml:space="preserve"> rather than as statistically representative.</w:t>
      </w:r>
    </w:p>
    <w:bookmarkStart w:id="121" w:name="_Toc240496690"/>
    <w:p w14:paraId="3020A2BF">
      <w:pPr>
        <w:pStyle w:val="style2"/>
        <w:spacing w:lineRule="auto" w:line="360"/>
        <w:rPr>
          <w:rFonts w:ascii="Arial" w:cs="Arial" w:hAnsi="Arial"/>
        </w:rPr>
      </w:pPr>
      <w:r>
        <w:rPr>
          <w:rFonts w:ascii="Arial" w:cs="Arial" w:hAnsi="Arial"/>
        </w:rPr>
        <w:t>5.6 Practical Synthesis</w:t>
      </w:r>
      <w:bookmarkEnd w:id="121"/>
      <w:r>
        <w:rPr>
          <w:rFonts w:ascii="Arial" w:cs="Arial" w:hAnsi="Arial"/>
        </w:rPr>
        <w:t xml:space="preserve"> </w:t>
      </w:r>
    </w:p>
    <w:p w14:paraId="55952BDA">
      <w:pPr>
        <w:pStyle w:val="style0"/>
        <w:spacing w:lineRule="auto" w:line="360"/>
        <w:rPr>
          <w:rFonts w:ascii="Arial" w:cs="Arial" w:hAnsi="Arial"/>
        </w:rPr>
      </w:pPr>
      <w:r>
        <w:rPr>
          <w:rStyle w:val="style4102"/>
          <w:rFonts w:ascii="Arial" w:cs="Arial" w:hAnsi="Arial"/>
        </w:rPr>
        <w:t>Based on the cross-case evidence, four practical implications emerge for UK grocery retailers. Based on the cross-case evidence, four practical implications emerge for UK grocery retailers.</w:t>
      </w:r>
      <w:r>
        <w:rPr>
          <w:rFonts w:ascii="Arial" w:cs="Arial" w:hAnsi="Arial"/>
        </w:rPr>
        <w:t xml:space="preserve"> </w:t>
      </w:r>
      <w:r>
        <w:rPr>
          <w:rStyle w:val="style4102"/>
          <w:rFonts w:ascii="Arial" w:cs="Arial" w:hAnsi="Arial"/>
        </w:rPr>
        <w:t>Personalisation must be more about relevance than technology.</w:t>
      </w:r>
      <w:r>
        <w:rPr>
          <w:rFonts w:ascii="Arial" w:cs="Arial" w:hAnsi="Arial"/>
        </w:rPr>
        <w:t xml:space="preserve"> </w:t>
      </w:r>
      <w:r>
        <w:rPr>
          <w:rStyle w:val="style4102"/>
          <w:rFonts w:ascii="Arial" w:cs="Arial" w:hAnsi="Arial"/>
        </w:rPr>
        <w:t>Retailers should determine whether targeted offers align with customers' needs at that moment, or whether they are simply more personalised communication.</w:t>
      </w:r>
      <w:r>
        <w:rPr>
          <w:rFonts w:ascii="Arial" w:cs="Arial" w:hAnsi="Arial"/>
        </w:rPr>
        <w:t xml:space="preserve"> </w:t>
      </w:r>
      <w:r>
        <w:rPr>
          <w:rStyle w:val="style4102"/>
          <w:rFonts w:ascii="Arial" w:cs="Arial" w:hAnsi="Arial"/>
        </w:rPr>
        <w:t>Perceived usefulness and satisfaction are likely to be higher when the offer is relevant.</w:t>
      </w:r>
      <w:r>
        <w:rPr>
          <w:rFonts w:ascii="Arial" w:cs="Arial" w:hAnsi="Arial"/>
        </w:rPr>
        <w:t xml:space="preserve"> </w:t>
      </w:r>
      <w:r>
        <w:rPr>
          <w:rStyle w:val="style4102"/>
          <w:rFonts w:ascii="Arial" w:cs="Arial" w:hAnsi="Arial"/>
        </w:rPr>
        <w:t>Secondly, rewards should have immediate value as well as relationship value.</w:t>
      </w:r>
      <w:r>
        <w:rPr>
          <w:rFonts w:ascii="Arial" w:cs="Arial" w:hAnsi="Arial"/>
        </w:rPr>
        <w:t xml:space="preserve"> </w:t>
      </w:r>
      <w:r>
        <w:rPr>
          <w:rStyle w:val="style4102"/>
          <w:rFonts w:ascii="Arial" w:cs="Arial" w:hAnsi="Arial"/>
        </w:rPr>
        <w:t>The cases suggest that discounts can drive purchases, but too much of a good thing can change customers' purchasing habits.</w:t>
      </w:r>
      <w:r>
        <w:rPr>
          <w:rFonts w:ascii="Arial" w:cs="Arial" w:hAnsi="Arial"/>
        </w:rPr>
        <w:t xml:space="preserve"> </w:t>
      </w:r>
      <w:r>
        <w:rPr>
          <w:rStyle w:val="style4102"/>
          <w:rFonts w:ascii="Arial" w:cs="Arial" w:hAnsi="Arial"/>
        </w:rPr>
        <w:t xml:space="preserve">Retailers must therefore create a synergy of financial value plus </w:t>
      </w:r>
      <w:r>
        <w:rPr>
          <w:rStyle w:val="style4102"/>
          <w:rFonts w:ascii="Arial" w:cs="Arial" w:hAnsi="Arial"/>
        </w:rPr>
        <w:t>convenience, and recognition plus personalised experiences.</w:t>
      </w:r>
      <w:r>
        <w:rPr>
          <w:rFonts w:ascii="Arial" w:cs="Arial" w:hAnsi="Arial"/>
        </w:rPr>
        <w:t xml:space="preserve"> </w:t>
      </w:r>
      <w:r>
        <w:rPr>
          <w:rStyle w:val="style4102"/>
          <w:rFonts w:ascii="Arial" w:cs="Arial" w:hAnsi="Arial"/>
        </w:rPr>
        <w:t xml:space="preserve">Third, </w:t>
      </w:r>
      <w:r>
        <w:rPr>
          <w:rStyle w:val="style4102"/>
          <w:rFonts w:ascii="Arial" w:cs="Arial" w:hAnsi="Arial"/>
        </w:rPr>
        <w:t>retailers should recognise fairness and transparency</w:t>
      </w:r>
      <w:r>
        <w:rPr>
          <w:rStyle w:val="style4102"/>
          <w:rFonts w:ascii="Arial" w:cs="Arial" w:hAnsi="Arial"/>
        </w:rPr>
        <w:t xml:space="preserve"> as commercial needs, not merely compliance needs.</w:t>
      </w:r>
      <w:r>
        <w:rPr>
          <w:rFonts w:ascii="Arial" w:cs="Arial" w:hAnsi="Arial"/>
        </w:rPr>
        <w:t xml:space="preserve"> </w:t>
      </w:r>
      <w:r>
        <w:rPr>
          <w:rStyle w:val="style4102"/>
          <w:rFonts w:ascii="Arial" w:cs="Arial" w:hAnsi="Arial"/>
        </w:rPr>
        <w:t>Loyalty pricing can create value for members, but unexplained differences between customers can lead to perceptions of unfairness.</w:t>
      </w:r>
      <w:r>
        <w:rPr>
          <w:rFonts w:ascii="Arial" w:cs="Arial" w:hAnsi="Arial"/>
        </w:rPr>
        <w:t xml:space="preserve"> </w:t>
      </w:r>
      <w:r>
        <w:rPr>
          <w:rStyle w:val="style4102"/>
          <w:rFonts w:ascii="Arial" w:cs="Arial" w:hAnsi="Arial"/>
        </w:rPr>
        <w:t>Clear communication about eligibility, pricing, and how customer information is used can then maintain trust and continued participation</w:t>
      </w:r>
      <w:r>
        <w:rPr>
          <w:rStyle w:val="style4102"/>
          <w:rFonts w:ascii="Arial" w:cs="Arial" w:hAnsi="Arial"/>
        </w:rPr>
        <w:t>.</w:t>
      </w:r>
      <w:r>
        <w:rPr>
          <w:rFonts w:ascii="Arial" w:cs="Arial" w:hAnsi="Arial"/>
        </w:rPr>
        <w:t xml:space="preserve"> </w:t>
      </w:r>
      <w:r>
        <w:rPr>
          <w:rStyle w:val="style4102"/>
          <w:rFonts w:ascii="Arial" w:cs="Arial" w:hAnsi="Arial"/>
        </w:rPr>
        <w:t>Fourth, retailers need to take a multi-faceted approach to assessing loyalty programmes, not just transaction growth.</w:t>
      </w:r>
      <w:r>
        <w:rPr>
          <w:rFonts w:ascii="Arial" w:cs="Arial" w:hAnsi="Arial"/>
        </w:rPr>
        <w:t xml:space="preserve"> </w:t>
      </w:r>
      <w:r>
        <w:rPr>
          <w:rStyle w:val="style4102"/>
          <w:rFonts w:ascii="Arial" w:cs="Arial" w:hAnsi="Arial"/>
        </w:rPr>
        <w:t>Helpful metrics include offer redemption, digital engagement, customer retention, satisfaction, and repeat purchases.</w:t>
      </w:r>
      <w:r>
        <w:rPr>
          <w:rFonts w:ascii="Arial" w:cs="Arial" w:hAnsi="Arial"/>
        </w:rPr>
        <w:t xml:space="preserve"> </w:t>
      </w:r>
      <w:r>
        <w:rPr>
          <w:rStyle w:val="style4102"/>
          <w:rFonts w:ascii="Arial" w:cs="Arial" w:hAnsi="Arial"/>
        </w:rPr>
        <w:t>So,</w:t>
      </w:r>
      <w:r>
        <w:rPr>
          <w:rStyle w:val="style4102"/>
          <w:rFonts w:ascii="Arial" w:cs="Arial" w:hAnsi="Arial"/>
        </w:rPr>
        <w:t xml:space="preserve"> retailers should view personalisation as a relationship marketing capability, not just a promotional tool.</w:t>
      </w:r>
      <w:r>
        <w:rPr>
          <w:rFonts w:ascii="Arial" w:cs="Arial" w:hAnsi="Arial"/>
        </w:rPr>
        <w:t xml:space="preserve"> </w:t>
      </w:r>
    </w:p>
    <w:bookmarkStart w:id="122" w:name="_Toc240496691"/>
    <w:p w14:paraId="79C85879">
      <w:pPr>
        <w:pStyle w:val="style2"/>
        <w:spacing w:lineRule="auto" w:line="360"/>
        <w:rPr>
          <w:rFonts w:ascii="Arial" w:cs="Arial" w:hAnsi="Arial"/>
        </w:rPr>
      </w:pPr>
      <w:r>
        <w:rPr>
          <w:rFonts w:ascii="Arial" w:cs="Arial" w:hAnsi="Arial"/>
        </w:rPr>
        <w:t>5.7 Chapter Summary</w:t>
      </w:r>
      <w:bookmarkEnd w:id="122"/>
      <w:r>
        <w:rPr>
          <w:rFonts w:ascii="Arial" w:cs="Arial" w:hAnsi="Arial"/>
        </w:rPr>
        <w:t xml:space="preserve"> </w:t>
      </w:r>
    </w:p>
    <w:p w14:paraId="63D106FD">
      <w:pPr>
        <w:pStyle w:val="style0"/>
        <w:spacing w:lineRule="auto" w:line="360"/>
        <w:rPr>
          <w:rStyle w:val="style4102"/>
          <w:rFonts w:ascii="Arial" w:cs="Arial" w:hAnsi="Arial"/>
        </w:rPr>
      </w:pPr>
      <w:r>
        <w:rPr>
          <w:rStyle w:val="style4102"/>
          <w:rFonts w:ascii="Arial" w:cs="Arial" w:hAnsi="Arial"/>
        </w:rPr>
        <w:t>The five case studies were critically analysed with respect to literature and conceptual framework developed in chapter 2.</w:t>
      </w:r>
      <w:r>
        <w:rPr>
          <w:rFonts w:ascii="Arial" w:cs="Arial" w:hAnsi="Arial"/>
        </w:rPr>
        <w:t xml:space="preserve"> </w:t>
      </w:r>
      <w:r>
        <w:rPr>
          <w:rStyle w:val="style4102"/>
          <w:rFonts w:ascii="Arial" w:cs="Arial" w:hAnsi="Arial"/>
        </w:rPr>
        <w:t>The analysis suggests the argument that relevance, reward value, fairness and trust are contributing factors to the response of the customer is valid and has been shown to be conditional.</w:t>
      </w:r>
      <w:r>
        <w:rPr>
          <w:rFonts w:ascii="Arial" w:cs="Arial" w:hAnsi="Arial"/>
        </w:rPr>
        <w:t xml:space="preserve"> </w:t>
      </w:r>
      <w:r>
        <w:rPr>
          <w:rStyle w:val="style4102"/>
          <w:rFonts w:ascii="Arial" w:cs="Arial" w:hAnsi="Arial"/>
        </w:rPr>
        <w:t>Although Personalised offers can lead to high engagement and offer instant economic return, this is not a direct correlation to customer loyalty.</w:t>
      </w:r>
      <w:r>
        <w:rPr>
          <w:rFonts w:ascii="Arial" w:cs="Arial" w:hAnsi="Arial"/>
        </w:rPr>
        <w:t xml:space="preserve"> </w:t>
      </w:r>
      <w:r>
        <w:rPr>
          <w:rStyle w:val="style4102"/>
          <w:rFonts w:ascii="Arial" w:cs="Arial" w:hAnsi="Arial"/>
        </w:rPr>
        <w:t>The cross case evidence clearly reinforces the relevance, fairness and trust of the issues.</w:t>
      </w:r>
      <w:r>
        <w:rPr>
          <w:rFonts w:ascii="Arial" w:cs="Arial" w:hAnsi="Arial"/>
        </w:rPr>
        <w:t xml:space="preserve"> </w:t>
      </w:r>
      <w:r>
        <w:rPr>
          <w:rStyle w:val="style4102"/>
          <w:rFonts w:ascii="Arial" w:cs="Arial" w:hAnsi="Arial"/>
        </w:rPr>
        <w:t>Rewards seem to be more effective when they have a substance - when they match customer needs, and fairness and transparency of the data used plays a role in the perception of personalisation as a legitimate form of data use.</w:t>
      </w:r>
      <w:r>
        <w:rPr>
          <w:rFonts w:ascii="Arial" w:cs="Arial" w:hAnsi="Arial"/>
        </w:rPr>
        <w:t xml:space="preserve"> </w:t>
      </w:r>
      <w:r>
        <w:rPr>
          <w:rStyle w:val="style4102"/>
          <w:rFonts w:ascii="Arial" w:cs="Arial" w:hAnsi="Arial"/>
        </w:rPr>
        <w:t>These positive ratings can lead to customer loyalty, but competitive switching and competing value propositions can get in the way.</w:t>
      </w:r>
      <w:r>
        <w:rPr>
          <w:rFonts w:ascii="Arial" w:cs="Arial" w:hAnsi="Arial"/>
        </w:rPr>
        <w:t xml:space="preserve"> </w:t>
      </w:r>
      <w:r>
        <w:rPr>
          <w:rStyle w:val="style4102"/>
          <w:rFonts w:ascii="Arial" w:cs="Arial" w:hAnsi="Arial"/>
        </w:rPr>
        <w:t>The conceptual model is hence developed from a fairly linear relationship to a conditional process in which customer value, satisfaction, trust and fairness are linked to competitive and organisational conditions.</w:t>
      </w:r>
      <w:r>
        <w:rPr>
          <w:rFonts w:ascii="Arial" w:cs="Arial" w:hAnsi="Arial"/>
        </w:rPr>
        <w:t xml:space="preserve"> </w:t>
      </w:r>
      <w:r>
        <w:rPr>
          <w:rStyle w:val="style4102"/>
          <w:rFonts w:ascii="Arial" w:cs="Arial" w:hAnsi="Arial"/>
        </w:rPr>
        <w:t>The chapter also found limitations due to secondary-data bias and company disclosure issues.</w:t>
      </w:r>
      <w:r>
        <w:rPr>
          <w:rFonts w:ascii="Arial" w:cs="Arial" w:hAnsi="Arial"/>
        </w:rPr>
        <w:t xml:space="preserve"> </w:t>
      </w:r>
      <w:r>
        <w:rPr>
          <w:rStyle w:val="style4102"/>
          <w:rFonts w:ascii="Arial" w:cs="Arial" w:hAnsi="Arial"/>
        </w:rPr>
        <w:t>Chapter 6 uses the results to develop the study's theoretical and managerial implications</w:t>
      </w:r>
      <w:r>
        <w:rPr>
          <w:rStyle w:val="style4102"/>
          <w:rFonts w:ascii="Arial" w:cs="Arial" w:hAnsi="Arial"/>
        </w:rPr>
        <w:t>.</w:t>
      </w:r>
    </w:p>
    <w:p w14:paraId="379DEB1C">
      <w:pPr>
        <w:pStyle w:val="style0"/>
        <w:spacing w:lineRule="auto" w:line="360"/>
        <w:jc w:val="left"/>
        <w:rPr>
          <w:rStyle w:val="style4102"/>
          <w:rFonts w:ascii="Arial" w:cs="Arial" w:hAnsi="Arial"/>
        </w:rPr>
      </w:pPr>
      <w:r>
        <w:rPr>
          <w:rStyle w:val="style4102"/>
          <w:rFonts w:ascii="Arial" w:cs="Arial" w:hAnsi="Arial"/>
        </w:rPr>
        <w:br w:type="page"/>
      </w:r>
    </w:p>
    <w:bookmarkStart w:id="123" w:name="_Toc240496692"/>
    <w:p w14:paraId="0AA65041">
      <w:pPr>
        <w:pStyle w:val="style1"/>
        <w:spacing w:lineRule="auto" w:line="360"/>
        <w:jc w:val="both"/>
        <w:rPr>
          <w:rStyle w:val="style4102"/>
          <w:rFonts w:ascii="Arial" w:cs="Arial" w:hAnsi="Arial"/>
          <w:lang w:val="en-GB"/>
        </w:rPr>
      </w:pPr>
      <w:r>
        <w:rPr>
          <w:rStyle w:val="style4102"/>
          <w:rFonts w:ascii="Arial" w:cs="Arial" w:hAnsi="Arial"/>
          <w:lang w:val="en-GB"/>
        </w:rPr>
        <w:t xml:space="preserve">Chapter 6: </w:t>
      </w:r>
      <w:r>
        <w:rPr>
          <w:rStyle w:val="style4102"/>
          <w:rFonts w:ascii="Arial" w:cs="Arial" w:hAnsi="Arial"/>
          <w:lang w:val="en-GB"/>
        </w:rPr>
        <w:t>Conclusion</w:t>
      </w:r>
      <w:bookmarkEnd w:id="123"/>
      <w:r>
        <w:rPr>
          <w:rStyle w:val="style4102"/>
          <w:rFonts w:ascii="Arial" w:cs="Arial" w:hAnsi="Arial"/>
          <w:lang w:val="en-GB"/>
        </w:rPr>
        <w:t xml:space="preserve"> </w:t>
      </w:r>
    </w:p>
    <w:bookmarkStart w:id="124" w:name="_Toc240496693"/>
    <w:p w14:paraId="27FA4D67">
      <w:pPr>
        <w:pStyle w:val="style2"/>
        <w:spacing w:lineRule="auto" w:line="360"/>
        <w:rPr>
          <w:rStyle w:val="style4102"/>
          <w:rFonts w:ascii="Arial" w:cs="Arial" w:hAnsi="Arial"/>
        </w:rPr>
      </w:pPr>
      <w:r>
        <w:rPr>
          <w:rStyle w:val="style4102"/>
          <w:rFonts w:ascii="Arial" w:cs="Arial" w:hAnsi="Arial"/>
        </w:rPr>
        <w:t>6.1 Introduction</w:t>
      </w:r>
      <w:bookmarkEnd w:id="124"/>
      <w:r>
        <w:rPr>
          <w:rStyle w:val="style4102"/>
          <w:rFonts w:ascii="Arial" w:cs="Arial" w:hAnsi="Arial"/>
        </w:rPr>
        <w:t xml:space="preserve"> </w:t>
      </w:r>
    </w:p>
    <w:p w14:paraId="2915E9C3">
      <w:pPr>
        <w:pStyle w:val="style0"/>
        <w:spacing w:lineRule="auto" w:line="360"/>
        <w:rPr>
          <w:rStyle w:val="style4102"/>
          <w:rFonts w:ascii="Arial" w:cs="Arial" w:hAnsi="Arial"/>
        </w:rPr>
      </w:pPr>
      <w:r>
        <w:rPr>
          <w:rStyle w:val="style4102"/>
          <w:rFonts w:ascii="Arial" w:cs="Arial" w:hAnsi="Arial"/>
        </w:rPr>
        <w:t>This chapter summarises the key findings, theoretical contribution, managerial implications, limitations and future research opportunities for this study.</w:t>
      </w:r>
      <w:r>
        <w:rPr>
          <w:rFonts w:ascii="Arial" w:cs="Arial" w:hAnsi="Arial"/>
        </w:rPr>
        <w:t xml:space="preserve"> </w:t>
      </w:r>
      <w:r>
        <w:rPr>
          <w:rStyle w:val="style4102"/>
          <w:rFonts w:ascii="Arial" w:cs="Arial" w:hAnsi="Arial"/>
        </w:rPr>
        <w:t>This study used qualitative secondary data analysis of 5 UK grocery retailers (Tesco, Sainsbury's, Lidl, Morrisons, Asda), to analyse the relationship between personalised offers and customer loyalty in the grocery retail market.</w:t>
      </w:r>
      <w:r>
        <w:rPr>
          <w:rFonts w:ascii="Arial" w:cs="Arial" w:hAnsi="Arial"/>
        </w:rPr>
        <w:t xml:space="preserve"> </w:t>
      </w:r>
      <w:r>
        <w:rPr>
          <w:rStyle w:val="style4102"/>
          <w:rFonts w:ascii="Arial" w:cs="Arial" w:hAnsi="Arial"/>
        </w:rPr>
        <w:t>Rather than treating personalisation as a natural path to loyalty, the research explored the circumstances under which personalised offers can deliver real customer value and improve the retailer-customer relationship</w:t>
      </w:r>
      <w:r>
        <w:rPr>
          <w:rStyle w:val="style4102"/>
          <w:rFonts w:ascii="Arial" w:cs="Arial" w:hAnsi="Arial"/>
        </w:rPr>
        <w:t>.</w:t>
      </w:r>
      <w:r>
        <w:rPr>
          <w:rFonts w:ascii="Arial" w:cs="Arial" w:hAnsi="Arial"/>
        </w:rPr>
        <w:t xml:space="preserve"> </w:t>
      </w:r>
      <w:r>
        <w:rPr>
          <w:rStyle w:val="style4102"/>
          <w:rFonts w:ascii="Arial" w:cs="Arial" w:hAnsi="Arial"/>
        </w:rPr>
        <w:t>Chapter 4 provided the empirical findings based on the five cases</w:t>
      </w:r>
      <w:r>
        <w:rPr>
          <w:rStyle w:val="style4102"/>
          <w:rFonts w:ascii="Arial" w:cs="Arial" w:hAnsi="Arial"/>
        </w:rPr>
        <w:t>, and Chapter 5 critically analysed</w:t>
      </w:r>
      <w:r>
        <w:rPr>
          <w:rStyle w:val="style4102"/>
          <w:rFonts w:ascii="Arial" w:cs="Arial" w:hAnsi="Arial"/>
        </w:rPr>
        <w:t xml:space="preserve"> the findings from the five cases with reference to the literature and the conceptual framework.</w:t>
      </w:r>
      <w:r>
        <w:rPr>
          <w:rFonts w:ascii="Arial" w:cs="Arial" w:hAnsi="Arial"/>
        </w:rPr>
        <w:t xml:space="preserve"> </w:t>
      </w:r>
      <w:r>
        <w:rPr>
          <w:rStyle w:val="style4102"/>
          <w:rFonts w:ascii="Arial" w:cs="Arial" w:hAnsi="Arial"/>
        </w:rPr>
        <w:t>The overall message is that personalisation helps to build customer loyalty, but only if it makes sense within a customer-fair/ trusting relationship.</w:t>
      </w:r>
      <w:r>
        <w:rPr>
          <w:rFonts w:ascii="Arial" w:cs="Arial" w:hAnsi="Arial"/>
        </w:rPr>
        <w:t xml:space="preserve"> </w:t>
      </w:r>
      <w:r>
        <w:rPr>
          <w:rStyle w:val="style4102"/>
          <w:rFonts w:ascii="Arial" w:cs="Arial" w:hAnsi="Arial"/>
        </w:rPr>
        <w:t>Rewards and special deals can help promote engagement and sales, but they are not enough to ensure long-term loyalty.</w:t>
      </w:r>
      <w:r>
        <w:rPr>
          <w:rFonts w:ascii="Arial" w:cs="Arial" w:hAnsi="Arial"/>
        </w:rPr>
        <w:t xml:space="preserve"> </w:t>
      </w:r>
      <w:r>
        <w:rPr>
          <w:rStyle w:val="style4102"/>
          <w:rFonts w:ascii="Arial" w:cs="Arial" w:hAnsi="Arial"/>
        </w:rPr>
        <w:t xml:space="preserve">Hence, the effect of personalisation </w:t>
      </w:r>
      <w:r>
        <w:rPr>
          <w:rStyle w:val="style4102"/>
          <w:rFonts w:ascii="Arial" w:cs="Arial" w:hAnsi="Arial"/>
        </w:rPr>
        <w:t>depends on relevance, perceived value, satisfaction, trust, fairness,</w:t>
      </w:r>
      <w:r>
        <w:rPr>
          <w:rStyle w:val="style4102"/>
          <w:rFonts w:ascii="Arial" w:cs="Arial" w:hAnsi="Arial"/>
        </w:rPr>
        <w:t xml:space="preserve"> and overall competition.</w:t>
      </w:r>
    </w:p>
    <w:bookmarkStart w:id="125" w:name="_Toc240496694"/>
    <w:p w14:paraId="563C242E">
      <w:pPr>
        <w:pStyle w:val="style2"/>
        <w:spacing w:lineRule="auto" w:line="360"/>
        <w:rPr>
          <w:rStyle w:val="style4102"/>
          <w:rFonts w:ascii="Arial" w:cs="Arial" w:hAnsi="Arial"/>
        </w:rPr>
      </w:pPr>
      <w:r>
        <w:rPr>
          <w:rStyle w:val="style4102"/>
          <w:rFonts w:ascii="Arial" w:cs="Arial" w:hAnsi="Arial"/>
        </w:rPr>
        <w:t xml:space="preserve">6.2 </w:t>
      </w:r>
      <w:r>
        <w:rPr>
          <w:rStyle w:val="style4102"/>
          <w:rFonts w:ascii="Arial" w:cs="Arial" w:hAnsi="Arial"/>
        </w:rPr>
        <w:t xml:space="preserve">Brief </w:t>
      </w:r>
      <w:r>
        <w:rPr>
          <w:rStyle w:val="style4102"/>
          <w:rFonts w:ascii="Arial" w:cs="Arial" w:hAnsi="Arial"/>
        </w:rPr>
        <w:t xml:space="preserve">Summary of Key </w:t>
      </w:r>
      <w:r>
        <w:rPr>
          <w:rStyle w:val="style4102"/>
          <w:rFonts w:ascii="Arial" w:cs="Arial" w:hAnsi="Arial"/>
        </w:rPr>
        <w:t>Findings</w:t>
      </w:r>
      <w:bookmarkEnd w:id="125"/>
    </w:p>
    <w:p w14:paraId="0130CF7E">
      <w:pPr>
        <w:pStyle w:val="style0"/>
        <w:spacing w:lineRule="auto" w:line="360"/>
        <w:rPr>
          <w:rStyle w:val="style4102"/>
          <w:rFonts w:ascii="Arial" w:cs="Arial" w:hAnsi="Arial"/>
        </w:rPr>
      </w:pPr>
      <w:r>
        <w:rPr>
          <w:rStyle w:val="style4102"/>
          <w:rFonts w:ascii="Arial" w:cs="Arial" w:hAnsi="Arial"/>
        </w:rPr>
        <w:t xml:space="preserve">Personalisation is not enough; relevance </w:t>
      </w:r>
      <w:r>
        <w:rPr>
          <w:rStyle w:val="style4102"/>
          <w:rFonts w:ascii="Arial" w:cs="Arial" w:hAnsi="Arial"/>
        </w:rPr>
        <w:t>matters more</w:t>
      </w:r>
      <w:r>
        <w:rPr>
          <w:rStyle w:val="style4102"/>
          <w:rFonts w:ascii="Arial" w:cs="Arial" w:hAnsi="Arial"/>
        </w:rPr>
        <w:t>.</w:t>
      </w:r>
      <w:r>
        <w:rPr>
          <w:rFonts w:ascii="Arial" w:cs="Arial" w:hAnsi="Arial"/>
        </w:rPr>
        <w:t xml:space="preserve"> </w:t>
      </w:r>
      <w:r>
        <w:rPr>
          <w:rStyle w:val="style4102"/>
          <w:rFonts w:ascii="Arial" w:cs="Arial" w:hAnsi="Arial"/>
        </w:rPr>
        <w:t>In all cases, personalised offers were most significant when customer information was translated into offers relevant to shopping needs.</w:t>
      </w:r>
      <w:r>
        <w:rPr>
          <w:rFonts w:ascii="Arial" w:cs="Arial" w:hAnsi="Arial"/>
        </w:rPr>
        <w:t xml:space="preserve"> </w:t>
      </w:r>
      <w:r>
        <w:rPr>
          <w:rStyle w:val="style4102"/>
          <w:rFonts w:ascii="Arial" w:cs="Arial" w:hAnsi="Arial"/>
        </w:rPr>
        <w:t>Personalisation thus creates value not just through techno-sophistication but through usefulness.</w:t>
      </w:r>
      <w:r>
        <w:rPr>
          <w:rFonts w:ascii="Arial" w:cs="Arial" w:hAnsi="Arial"/>
        </w:rPr>
        <w:t xml:space="preserve"> </w:t>
      </w:r>
      <w:r>
        <w:rPr>
          <w:rStyle w:val="style4102"/>
          <w:rFonts w:ascii="Arial" w:cs="Arial" w:hAnsi="Arial"/>
        </w:rPr>
        <w:t>Rewards create engagement more easily than loyalty.</w:t>
      </w:r>
      <w:r>
        <w:rPr>
          <w:rFonts w:ascii="Arial" w:cs="Arial" w:hAnsi="Arial"/>
        </w:rPr>
        <w:t xml:space="preserve"> </w:t>
      </w:r>
      <w:r>
        <w:rPr>
          <w:rStyle w:val="style4102"/>
          <w:rFonts w:ascii="Arial" w:cs="Arial" w:hAnsi="Arial"/>
        </w:rPr>
        <w:t>Financial incentives and digital rewards such as Tesco Clubcard Prices, Nectar Prices, Lidl Plus and Morrisons More and Asda Rewards are evidence of the power of financial incentives to increase buying and programme participation.</w:t>
      </w:r>
      <w:r>
        <w:rPr>
          <w:rFonts w:ascii="Arial" w:cs="Arial" w:hAnsi="Arial"/>
        </w:rPr>
        <w:t xml:space="preserve"> </w:t>
      </w:r>
      <w:r>
        <w:rPr>
          <w:rStyle w:val="style4102"/>
          <w:rFonts w:ascii="Arial" w:cs="Arial" w:hAnsi="Arial"/>
        </w:rPr>
        <w:t xml:space="preserve">But the evidence does not support the assumption </w:t>
      </w:r>
      <w:r>
        <w:rPr>
          <w:rStyle w:val="style4102"/>
          <w:rFonts w:ascii="Arial" w:cs="Arial" w:hAnsi="Arial"/>
        </w:rPr>
        <w:t>that repeat purchases or participation reflect</w:t>
      </w:r>
      <w:r>
        <w:rPr>
          <w:rStyle w:val="style4102"/>
          <w:rFonts w:ascii="Arial" w:cs="Arial" w:hAnsi="Arial"/>
        </w:rPr>
        <w:t xml:space="preserve"> ongoing attitudinal loyalty.</w:t>
      </w:r>
      <w:r>
        <w:rPr>
          <w:rFonts w:ascii="Arial" w:cs="Arial" w:hAnsi="Arial"/>
        </w:rPr>
        <w:t xml:space="preserve"> </w:t>
      </w:r>
      <w:r>
        <w:rPr>
          <w:rStyle w:val="style4102"/>
          <w:rFonts w:ascii="Arial" w:cs="Arial" w:hAnsi="Arial"/>
        </w:rPr>
        <w:t>The success for personalisation depends on trust and fairness.</w:t>
      </w:r>
      <w:r>
        <w:rPr>
          <w:rFonts w:ascii="Arial" w:cs="Arial" w:hAnsi="Arial"/>
        </w:rPr>
        <w:t xml:space="preserve"> </w:t>
      </w:r>
      <w:r>
        <w:rPr>
          <w:rStyle w:val="style4102"/>
          <w:rFonts w:ascii="Arial" w:cs="Arial" w:hAnsi="Arial"/>
        </w:rPr>
        <w:t>Personalised pricing and data-driven offers create value exchange between retailer and customer; however, customers must believe that their data is being used in a valuable way and that different offers are legitimate.</w:t>
      </w:r>
      <w:r>
        <w:rPr>
          <w:rFonts w:ascii="Arial" w:cs="Arial" w:hAnsi="Arial"/>
        </w:rPr>
        <w:t xml:space="preserve"> </w:t>
      </w:r>
      <w:r>
        <w:rPr>
          <w:rStyle w:val="style4102"/>
          <w:rFonts w:ascii="Arial" w:cs="Arial" w:hAnsi="Arial"/>
        </w:rPr>
        <w:t xml:space="preserve">This </w:t>
      </w:r>
      <w:r>
        <w:rPr>
          <w:rStyle w:val="style4102"/>
          <w:rFonts w:ascii="Arial" w:cs="Arial" w:hAnsi="Arial"/>
        </w:rPr>
        <w:t xml:space="preserve">supports the relevance of trust and perceived fairness, as shown in </w:t>
      </w:r>
      <w:r>
        <w:rPr>
          <w:rStyle w:val="style4102"/>
          <w:rFonts w:ascii="Arial" w:cs="Arial" w:hAnsi="Arial"/>
        </w:rPr>
        <w:t xml:space="preserve">research </w:t>
      </w:r>
      <w:r>
        <w:rPr>
          <w:rStyle w:val="style4102"/>
          <w:rFonts w:ascii="Arial" w:cs="Arial" w:hAnsi="Arial"/>
        </w:rPr>
        <w:t>on relationship marketing</w:t>
      </w:r>
      <w:r>
        <w:rPr>
          <w:rStyle w:val="style4102"/>
          <w:rFonts w:ascii="Arial" w:cs="Arial" w:hAnsi="Arial"/>
        </w:rPr>
        <w:t xml:space="preserve"> (Hufnagel, Schwaiger </w:t>
      </w:r>
      <w:r>
        <w:rPr>
          <w:rStyle w:val="style4102"/>
          <w:rFonts w:ascii="Arial" w:cs="Arial" w:hAnsi="Arial"/>
        </w:rPr>
        <w:t>and Weritz, 2022).</w:t>
      </w:r>
      <w:r>
        <w:rPr>
          <w:rFonts w:ascii="Arial" w:cs="Arial" w:hAnsi="Arial"/>
        </w:rPr>
        <w:t xml:space="preserve"> </w:t>
      </w:r>
      <w:r>
        <w:rPr>
          <w:rStyle w:val="style4102"/>
          <w:rFonts w:ascii="Arial" w:cs="Arial" w:hAnsi="Arial"/>
        </w:rPr>
        <w:t>The strength of the relationship depends on the context.</w:t>
      </w:r>
      <w:r>
        <w:rPr>
          <w:rFonts w:ascii="Arial" w:cs="Arial" w:hAnsi="Arial"/>
        </w:rPr>
        <w:t xml:space="preserve"> </w:t>
      </w:r>
      <w:r>
        <w:rPr>
          <w:rStyle w:val="style4102"/>
          <w:rFonts w:ascii="Arial" w:cs="Arial" w:hAnsi="Arial"/>
        </w:rPr>
        <w:t>Competitive intensity, digital capability, and low switching costs limit the level of personalisation that can achieve exclusive loyalty</w:t>
      </w:r>
      <w:r>
        <w:rPr>
          <w:rStyle w:val="style4102"/>
          <w:rFonts w:ascii="Arial" w:cs="Arial" w:hAnsi="Arial"/>
        </w:rPr>
        <w:t>.</w:t>
      </w:r>
      <w:r>
        <w:rPr>
          <w:rFonts w:ascii="Arial" w:cs="Arial" w:hAnsi="Arial"/>
        </w:rPr>
        <w:t xml:space="preserve"> </w:t>
      </w:r>
      <w:r>
        <w:rPr>
          <w:rStyle w:val="style4102"/>
          <w:rFonts w:ascii="Arial" w:cs="Arial" w:hAnsi="Arial"/>
        </w:rPr>
        <w:t xml:space="preserve">Therefore, personalisation </w:t>
      </w:r>
      <w:r>
        <w:rPr>
          <w:rStyle w:val="style4102"/>
          <w:rFonts w:ascii="Arial" w:cs="Arial" w:hAnsi="Arial"/>
        </w:rPr>
        <w:t>should be seen as part of a broader customer value proposition, not a replacement for competitive pricing, convenience,</w:t>
      </w:r>
      <w:r>
        <w:rPr>
          <w:rStyle w:val="style4102"/>
          <w:rFonts w:ascii="Arial" w:cs="Arial" w:hAnsi="Arial"/>
        </w:rPr>
        <w:t xml:space="preserve"> and service</w:t>
      </w:r>
      <w:r>
        <w:rPr>
          <w:rStyle w:val="style4102"/>
          <w:rFonts w:ascii="Arial" w:cs="Arial" w:hAnsi="Arial"/>
        </w:rPr>
        <w:t>.</w:t>
      </w:r>
    </w:p>
    <w:bookmarkStart w:id="126" w:name="_Toc240496695"/>
    <w:p w14:paraId="6EC9C092">
      <w:pPr>
        <w:pStyle w:val="style2"/>
        <w:spacing w:lineRule="auto" w:line="360"/>
        <w:rPr>
          <w:rStyle w:val="style4102"/>
          <w:rFonts w:ascii="Arial" w:cs="Arial" w:hAnsi="Arial"/>
        </w:rPr>
      </w:pPr>
      <w:r>
        <w:rPr>
          <w:rStyle w:val="style4102"/>
          <w:rFonts w:ascii="Arial" w:cs="Arial" w:hAnsi="Arial"/>
        </w:rPr>
        <w:t xml:space="preserve">6.3 </w:t>
      </w:r>
      <w:r>
        <w:rPr>
          <w:rStyle w:val="style4102"/>
          <w:rFonts w:ascii="Arial" w:cs="Arial" w:hAnsi="Arial"/>
        </w:rPr>
        <w:t>Theoretical</w:t>
      </w:r>
      <w:r>
        <w:rPr>
          <w:rStyle w:val="style4102"/>
          <w:rFonts w:ascii="Arial" w:cs="Arial" w:hAnsi="Arial"/>
        </w:rPr>
        <w:t xml:space="preserve"> Implications</w:t>
      </w:r>
      <w:bookmarkEnd w:id="126"/>
      <w:r>
        <w:rPr>
          <w:rStyle w:val="style4102"/>
          <w:rFonts w:ascii="Arial" w:cs="Arial" w:hAnsi="Arial"/>
        </w:rPr>
        <w:t xml:space="preserve"> </w:t>
      </w:r>
    </w:p>
    <w:bookmarkStart w:id="127" w:name="_Toc240496696"/>
    <w:p w14:paraId="5B69EB7B">
      <w:pPr>
        <w:pStyle w:val="style3"/>
        <w:rPr>
          <w:rStyle w:val="style4102"/>
          <w:rFonts w:ascii="Arial" w:cs="Arial" w:hAnsi="Arial"/>
          <w:lang w:val="en-GB"/>
        </w:rPr>
      </w:pPr>
      <w:r>
        <w:rPr>
          <w:rStyle w:val="style4102"/>
          <w:rFonts w:ascii="Arial" w:cs="Arial" w:hAnsi="Arial"/>
          <w:lang w:val="en-GB"/>
        </w:rPr>
        <w:t xml:space="preserve">6.3.1 Extending the Commitment Trust </w:t>
      </w:r>
      <w:r>
        <w:rPr>
          <w:rStyle w:val="style4102"/>
          <w:rFonts w:ascii="Arial" w:cs="Arial" w:hAnsi="Arial"/>
          <w:lang w:val="en-GB"/>
        </w:rPr>
        <w:t>Perspective</w:t>
      </w:r>
      <w:bookmarkEnd w:id="127"/>
    </w:p>
    <w:p w14:paraId="3BF49423">
      <w:pPr>
        <w:pStyle w:val="style0"/>
        <w:spacing w:lineRule="auto" w:line="360"/>
        <w:rPr>
          <w:rStyle w:val="style4102"/>
          <w:rFonts w:ascii="Arial" w:cs="Arial" w:hAnsi="Arial"/>
        </w:rPr>
      </w:pPr>
      <w:r>
        <w:rPr>
          <w:rStyle w:val="style4102"/>
          <w:rFonts w:ascii="Arial" w:cs="Arial" w:hAnsi="Arial"/>
        </w:rPr>
        <w:t>The first theoretical contribution highlights the importance of trust in personalised retailing relationships. Commitment–Trust Theory states that relationship marketing success is based on two things: customers are willing to keep doing business with the exchange partner if he or she is trustworthy and treats the customer with honour and integrity (</w:t>
      </w:r>
      <w:r>
        <w:rPr>
          <w:rFonts w:ascii="Arial" w:cs="Arial" w:hAnsi="Arial"/>
        </w:rPr>
        <w:t>Badrinarayanan and Ramachandran</w:t>
      </w:r>
      <w:r>
        <w:rPr>
          <w:rStyle w:val="style4102"/>
          <w:rFonts w:ascii="Arial" w:cs="Arial" w:hAnsi="Arial"/>
        </w:rPr>
        <w:t xml:space="preserve">, </w:t>
      </w:r>
      <w:r>
        <w:rPr>
          <w:rStyle w:val="style4102"/>
          <w:rFonts w:ascii="Arial" w:cs="Arial" w:hAnsi="Arial"/>
        </w:rPr>
        <w:t>2024</w:t>
      </w:r>
      <w:r>
        <w:rPr>
          <w:rStyle w:val="style4102"/>
          <w:rFonts w:ascii="Arial" w:cs="Arial" w:hAnsi="Arial"/>
        </w:rPr>
        <w:t>). The results support this claim and refine our understanding of data-driven grocery retail.</w:t>
      </w:r>
    </w:p>
    <w:p w14:paraId="30E3E10D">
      <w:pPr>
        <w:pStyle w:val="style0"/>
        <w:spacing w:lineRule="auto" w:line="360"/>
        <w:rPr>
          <w:rStyle w:val="style4102"/>
          <w:rFonts w:ascii="Arial" w:cs="Arial" w:hAnsi="Arial"/>
        </w:rPr>
      </w:pPr>
      <w:r>
        <w:rPr>
          <w:rStyle w:val="style4102"/>
          <w:rFonts w:ascii="Arial" w:cs="Arial" w:hAnsi="Arial"/>
        </w:rPr>
        <w:t xml:space="preserve">The 5 cases show that trust is not the result of a good loyalty programme alone. Retailers rely heavily on transactional data to decide what offers to extend to individual shoppers. This is essentially a trade-off; Customers give up behaviour in exchange for more relevant or better financial benefits from the retailer. Personalisation can improve the relationship where the exchange is seen as transparent and mutually beneficial. The same process can reduce trust when customers feel they are being monitored too much, treated unfairly, or when data is used in an unclear way. </w:t>
      </w:r>
    </w:p>
    <w:p w14:paraId="66A9076F">
      <w:pPr>
        <w:pStyle w:val="style0"/>
        <w:spacing w:lineRule="auto" w:line="360"/>
        <w:rPr>
          <w:rStyle w:val="style4102"/>
          <w:rFonts w:ascii="Arial" w:cs="Arial" w:hAnsi="Arial"/>
        </w:rPr>
      </w:pPr>
      <w:r>
        <w:rPr>
          <w:rStyle w:val="style4102"/>
          <w:rFonts w:ascii="Arial" w:cs="Arial" w:hAnsi="Arial"/>
        </w:rPr>
        <w:t>This goes beyond the traditional customer-to-trust-to-personalisation relationship-marketing metric and places trust somewhere between the customer and the response to personalisation. This interpretation aligns with Aguirre et al. (2015), who find that personalisation can become less effective when it raises privacy concerns, and with Hufnagel, Schwaiger and Weritz (2022), who argue that fairness matters in personalised pricing contexts.</w:t>
      </w:r>
    </w:p>
    <w:p w14:paraId="5C47F930">
      <w:pPr>
        <w:pStyle w:val="style0"/>
        <w:jc w:val="left"/>
        <w:rPr>
          <w:rStyle w:val="style4102"/>
          <w:rFonts w:ascii="Arial" w:cs="Arial" w:hAnsi="Arial"/>
        </w:rPr>
      </w:pPr>
      <w:r>
        <w:rPr>
          <w:rStyle w:val="style4102"/>
          <w:rFonts w:ascii="Arial" w:cs="Arial" w:hAnsi="Arial"/>
        </w:rPr>
        <w:br w:type="page"/>
      </w:r>
    </w:p>
    <w:bookmarkStart w:id="128" w:name="_Toc240496697"/>
    <w:p w14:paraId="4A17E29B">
      <w:pPr>
        <w:pStyle w:val="style3"/>
        <w:rPr>
          <w:rStyle w:val="style4102"/>
          <w:rFonts w:ascii="Arial" w:cs="Arial" w:hAnsi="Arial"/>
          <w:lang w:val="en-GB"/>
        </w:rPr>
      </w:pPr>
      <w:r>
        <w:rPr>
          <w:rStyle w:val="style4102"/>
          <w:rFonts w:ascii="Arial" w:cs="Arial" w:hAnsi="Arial"/>
          <w:lang w:val="en-GB"/>
        </w:rPr>
        <w:t>6.3.</w:t>
      </w:r>
      <w:r>
        <w:rPr>
          <w:rStyle w:val="style4102"/>
          <w:rFonts w:ascii="Arial" w:cs="Arial" w:hAnsi="Arial"/>
          <w:lang w:val="en-GB"/>
        </w:rPr>
        <w:t>2</w:t>
      </w:r>
      <w:r>
        <w:rPr>
          <w:rStyle w:val="style4102"/>
          <w:rFonts w:ascii="Arial" w:cs="Arial" w:hAnsi="Arial"/>
          <w:lang w:val="en-GB"/>
        </w:rPr>
        <w:t xml:space="preserve"> Re</w:t>
      </w:r>
      <w:r>
        <w:rPr>
          <w:rStyle w:val="style4102"/>
          <w:rFonts w:ascii="Arial" w:cs="Arial" w:hAnsi="Arial"/>
          <w:lang w:val="en-GB"/>
        </w:rPr>
        <w:t>f</w:t>
      </w:r>
      <w:r>
        <w:rPr>
          <w:rStyle w:val="style4102"/>
          <w:rFonts w:ascii="Arial" w:cs="Arial" w:hAnsi="Arial"/>
          <w:lang w:val="en-GB"/>
        </w:rPr>
        <w:t>in</w:t>
      </w:r>
      <w:r>
        <w:rPr>
          <w:rStyle w:val="style4102"/>
          <w:rFonts w:ascii="Arial" w:cs="Arial" w:hAnsi="Arial"/>
          <w:lang w:val="en-GB"/>
        </w:rPr>
        <w:t>in</w:t>
      </w:r>
      <w:r>
        <w:rPr>
          <w:rStyle w:val="style4102"/>
          <w:rFonts w:ascii="Arial" w:cs="Arial" w:hAnsi="Arial"/>
          <w:lang w:val="en-GB"/>
        </w:rPr>
        <w:t xml:space="preserve">g the </w:t>
      </w:r>
      <w:r>
        <w:rPr>
          <w:rStyle w:val="style4102"/>
          <w:rFonts w:ascii="Arial" w:cs="Arial" w:hAnsi="Arial"/>
          <w:lang w:val="en-GB"/>
        </w:rPr>
        <w:t>Value-Loyalty Relationship</w:t>
      </w:r>
      <w:bookmarkEnd w:id="128"/>
    </w:p>
    <w:p w14:paraId="0206E062">
      <w:pPr>
        <w:pStyle w:val="style0"/>
        <w:spacing w:lineRule="auto" w:line="360"/>
        <w:rPr>
          <w:rStyle w:val="style4102"/>
          <w:rFonts w:ascii="Arial" w:cs="Arial" w:hAnsi="Arial"/>
        </w:rPr>
      </w:pPr>
      <w:r>
        <w:rPr>
          <w:rStyle w:val="style4102"/>
          <w:rFonts w:ascii="Arial" w:cs="Arial" w:hAnsi="Arial"/>
        </w:rPr>
        <w:t>The second contribution is to the perceived reward value. Most of the existing literature on loyalty programmes acknowledges that providing rewards can contribute to programme engagement and enhance customer value (Meyer-Waarden, Bruwer and Galan, 2023). The cases confirm this relationship, especially when the retailers offer immediate and clear benefits.</w:t>
      </w:r>
    </w:p>
    <w:p w14:paraId="503B3F46">
      <w:pPr>
        <w:pStyle w:val="style0"/>
        <w:spacing w:lineRule="auto" w:line="360"/>
        <w:rPr>
          <w:rStyle w:val="style4102"/>
          <w:rFonts w:ascii="Arial" w:cs="Arial" w:hAnsi="Arial"/>
        </w:rPr>
      </w:pPr>
      <w:r>
        <w:rPr>
          <w:rStyle w:val="style4102"/>
          <w:rFonts w:ascii="Arial" w:cs="Arial" w:hAnsi="Arial"/>
        </w:rPr>
        <w:t xml:space="preserve">But the results run counter to a more firm belief that the value of the reward will correspond with the value of the loyalty. The supermarket shoppers can use multiple loyalty programs at once, and they can easily compare supermarkets for their best prices. A customer might therefore appreciate a discount on their purchases with Tesco Clubcard without </w:t>
      </w:r>
      <w:r>
        <w:rPr>
          <w:rStyle w:val="style4102"/>
          <w:rFonts w:ascii="Arial" w:cs="Arial" w:hAnsi="Arial"/>
        </w:rPr>
        <w:t>being a loyal Tesco customer</w:t>
      </w:r>
      <w:r>
        <w:rPr>
          <w:rStyle w:val="style4102"/>
          <w:rFonts w:ascii="Arial" w:cs="Arial" w:hAnsi="Arial"/>
        </w:rPr>
        <w:t>.</w:t>
      </w:r>
    </w:p>
    <w:p w14:paraId="28C220E0">
      <w:pPr>
        <w:pStyle w:val="style0"/>
        <w:spacing w:lineRule="auto" w:line="360"/>
        <w:rPr>
          <w:rStyle w:val="style4102"/>
          <w:rFonts w:ascii="Arial" w:cs="Arial" w:hAnsi="Arial"/>
        </w:rPr>
      </w:pPr>
      <w:r>
        <w:rPr>
          <w:rStyle w:val="style4102"/>
          <w:rFonts w:ascii="Arial" w:cs="Arial" w:hAnsi="Arial"/>
        </w:rPr>
        <w:t>Theoretically</w:t>
      </w:r>
      <w:r>
        <w:rPr>
          <w:rStyle w:val="style4102"/>
          <w:rFonts w:ascii="Arial" w:cs="Arial" w:hAnsi="Arial"/>
        </w:rPr>
        <w:t>, this distinction matters</w:t>
      </w:r>
      <w:r>
        <w:rPr>
          <w:rStyle w:val="style4102"/>
          <w:rFonts w:ascii="Arial" w:cs="Arial" w:hAnsi="Arial"/>
        </w:rPr>
        <w:t xml:space="preserve">. Research indicates that </w:t>
      </w:r>
      <w:r>
        <w:rPr>
          <w:rStyle w:val="style4102"/>
          <w:rFonts w:ascii="Arial" w:cs="Arial" w:hAnsi="Arial"/>
        </w:rPr>
        <w:t xml:space="preserve">reward value relates more to behavioural engagement </w:t>
      </w:r>
      <w:r>
        <w:rPr>
          <w:rStyle w:val="style4102"/>
          <w:rFonts w:ascii="Arial" w:cs="Arial" w:hAnsi="Arial"/>
        </w:rPr>
        <w:t>than to attitudinal loyalty. Price can affect what customers buy and where they go on a single shopping trip, but more positive experiences build greater loyalty that ultimately can lead to more loyalty.</w:t>
      </w:r>
    </w:p>
    <w:p w14:paraId="207773AA">
      <w:pPr>
        <w:pStyle w:val="style0"/>
        <w:spacing w:lineRule="auto" w:line="360"/>
        <w:rPr>
          <w:rStyle w:val="style4102"/>
          <w:rFonts w:ascii="Arial" w:cs="Arial" w:hAnsi="Arial"/>
        </w:rPr>
      </w:pPr>
      <w:r>
        <w:rPr>
          <w:rStyle w:val="style4102"/>
          <w:rFonts w:ascii="Arial" w:cs="Arial" w:hAnsi="Arial"/>
        </w:rPr>
        <w:t xml:space="preserve">The Oliver loyalty framework can help explain this. The </w:t>
      </w:r>
      <w:r>
        <w:rPr>
          <w:rStyle w:val="style4102"/>
          <w:rFonts w:ascii="Arial" w:cs="Arial" w:hAnsi="Arial"/>
        </w:rPr>
        <w:t>stages of loyalty progress from the cognitive through the affective, to the conative,</w:t>
      </w:r>
      <w:r>
        <w:rPr>
          <w:rStyle w:val="style4102"/>
          <w:rFonts w:ascii="Arial" w:cs="Arial" w:hAnsi="Arial"/>
        </w:rPr>
        <w:t xml:space="preserve"> and finally to </w:t>
      </w:r>
      <w:r>
        <w:rPr>
          <w:rStyle w:val="style4102"/>
          <w:rFonts w:ascii="Arial" w:cs="Arial" w:hAnsi="Arial"/>
        </w:rPr>
        <w:t>behavioural</w:t>
      </w:r>
      <w:r>
        <w:rPr>
          <w:rStyle w:val="style4102"/>
          <w:rFonts w:ascii="Arial" w:cs="Arial" w:hAnsi="Arial"/>
        </w:rPr>
        <w:t xml:space="preserve">. The case evidence suggests that </w:t>
      </w:r>
      <w:r>
        <w:rPr>
          <w:rStyle w:val="style4102"/>
          <w:rFonts w:ascii="Arial" w:cs="Arial" w:hAnsi="Arial"/>
        </w:rPr>
        <w:t>while a retailer's offer can be enhanced by personalising rewards, satisfaction and continued positive experiences are required to move</w:t>
      </w:r>
      <w:r>
        <w:rPr>
          <w:rStyle w:val="style4102"/>
          <w:rFonts w:ascii="Arial" w:cs="Arial" w:hAnsi="Arial"/>
        </w:rPr>
        <w:t xml:space="preserve"> the loyalty relationship to a higher level.</w:t>
      </w:r>
      <w:r>
        <w:rPr>
          <w:rStyle w:val="style4102"/>
          <w:rFonts w:ascii="Arial" w:cs="Arial" w:hAnsi="Arial"/>
        </w:rPr>
        <w:t xml:space="preserve"> </w:t>
      </w:r>
      <w:r>
        <w:rPr>
          <w:rStyle w:val="style4102"/>
          <w:rFonts w:ascii="Arial" w:cs="Arial" w:hAnsi="Arial"/>
        </w:rPr>
        <w:t xml:space="preserve">Therefore, </w:t>
      </w:r>
      <w:r>
        <w:rPr>
          <w:rStyle w:val="style4102"/>
          <w:rFonts w:ascii="Arial" w:cs="Arial" w:hAnsi="Arial"/>
        </w:rPr>
        <w:t xml:space="preserve">this contribution is not intended to oppose the value-loyalty connection, but </w:t>
      </w:r>
      <w:r>
        <w:rPr>
          <w:rStyle w:val="style4102"/>
          <w:rFonts w:ascii="Arial" w:cs="Arial" w:hAnsi="Arial"/>
        </w:rPr>
        <w:t>to refine it.</w:t>
      </w:r>
    </w:p>
    <w:bookmarkStart w:id="129" w:name="_Toc240496698"/>
    <w:p w14:paraId="029ED558">
      <w:pPr>
        <w:pStyle w:val="style3"/>
        <w:rPr>
          <w:rStyle w:val="style4102"/>
          <w:rFonts w:ascii="Arial" w:cs="Arial" w:hAnsi="Arial"/>
          <w:lang w:val="en-GB"/>
        </w:rPr>
      </w:pPr>
      <w:r>
        <w:rPr>
          <w:rStyle w:val="style4102"/>
          <w:rFonts w:ascii="Arial" w:cs="Arial" w:hAnsi="Arial"/>
          <w:lang w:val="en-GB"/>
        </w:rPr>
        <w:t>6</w:t>
      </w:r>
      <w:r>
        <w:rPr>
          <w:rStyle w:val="style4102"/>
          <w:rFonts w:ascii="Arial" w:cs="Arial" w:hAnsi="Arial"/>
          <w:lang w:val="en-GB"/>
        </w:rPr>
        <w:t>.6.3</w:t>
      </w:r>
      <w:r>
        <w:rPr>
          <w:rStyle w:val="style4102"/>
          <w:rFonts w:ascii="Arial" w:cs="Arial" w:hAnsi="Arial"/>
          <w:lang w:val="en-GB"/>
        </w:rPr>
        <w:t xml:space="preserve"> Integrative Refinement of </w:t>
      </w:r>
      <w:r>
        <w:rPr>
          <w:rStyle w:val="style4102"/>
          <w:rFonts w:ascii="Arial" w:cs="Arial" w:hAnsi="Arial"/>
          <w:lang w:val="en-GB"/>
        </w:rPr>
        <w:t>Conceptual</w:t>
      </w:r>
      <w:r>
        <w:rPr>
          <w:rStyle w:val="style4102"/>
          <w:rFonts w:ascii="Arial" w:cs="Arial" w:hAnsi="Arial"/>
          <w:lang w:val="en-GB"/>
        </w:rPr>
        <w:t xml:space="preserve"> Model</w:t>
      </w:r>
      <w:bookmarkEnd w:id="129"/>
      <w:r>
        <w:rPr>
          <w:rStyle w:val="style4102"/>
          <w:rFonts w:ascii="Arial" w:cs="Arial" w:hAnsi="Arial"/>
          <w:lang w:val="en-GB"/>
        </w:rPr>
        <w:t xml:space="preserve"> </w:t>
      </w:r>
    </w:p>
    <w:p w14:paraId="7F947123">
      <w:pPr>
        <w:pStyle w:val="style0"/>
        <w:spacing w:lineRule="auto" w:line="360"/>
        <w:rPr>
          <w:rStyle w:val="style4102"/>
          <w:rFonts w:ascii="Arial" w:cs="Arial" w:hAnsi="Arial"/>
        </w:rPr>
      </w:pPr>
      <w:r>
        <w:rPr>
          <w:rStyle w:val="style4102"/>
          <w:rFonts w:ascii="Arial" w:cs="Arial" w:hAnsi="Arial"/>
        </w:rPr>
        <w:t>This</w:t>
      </w:r>
      <w:r>
        <w:rPr>
          <w:rStyle w:val="style4102"/>
          <w:rFonts w:ascii="Arial" w:cs="Arial" w:hAnsi="Arial"/>
        </w:rPr>
        <w:t xml:space="preserve"> theoretical contribution integrates these relationships into a more complex conceptual sequence. In an original framework, the constructs related to personalisation were regarded as significant influences on loyalty. The results indicate that these relationships should be interpreted as connected stages. </w:t>
      </w:r>
    </w:p>
    <w:p w14:paraId="37185277">
      <w:pPr>
        <w:pStyle w:val="style0"/>
        <w:spacing w:lineRule="auto" w:line="360"/>
        <w:rPr>
          <w:rStyle w:val="style4102"/>
          <w:rFonts w:ascii="Arial" w:cs="Arial" w:hAnsi="Arial"/>
        </w:rPr>
      </w:pPr>
      <w:r>
        <w:rPr>
          <w:rStyle w:val="style4102"/>
          <w:rFonts w:ascii="Arial" w:cs="Arial" w:hAnsi="Arial"/>
        </w:rPr>
        <w:t xml:space="preserve">This refinement adds to the literature because it moves away from the assumption that better personalisation leads to better loyalty. Rather, it points to a conditional value–trust </w:t>
      </w:r>
      <w:r>
        <w:rPr>
          <w:rStyle w:val="style4102"/>
          <w:rFonts w:ascii="Arial" w:cs="Arial" w:hAnsi="Arial"/>
        </w:rPr>
        <w:t>mechanism. Personalisation provides an opportunity to build loyalty</w:t>
      </w:r>
      <w:r>
        <w:rPr>
          <w:rStyle w:val="style4102"/>
          <w:rFonts w:ascii="Arial" w:cs="Arial" w:hAnsi="Arial"/>
        </w:rPr>
        <w:t xml:space="preserve"> </w:t>
      </w:r>
      <w:r>
        <w:rPr>
          <w:rStyle w:val="style4102"/>
          <w:rFonts w:ascii="Arial" w:cs="Arial" w:hAnsi="Arial"/>
        </w:rPr>
        <w:t>but only customers can decide whether it is a real opportunity.</w:t>
      </w:r>
    </w:p>
    <w:p w14:paraId="7CCB175A">
      <w:pPr>
        <w:pStyle w:val="style0"/>
        <w:spacing w:lineRule="auto" w:line="360"/>
        <w:rPr>
          <w:rStyle w:val="style4102"/>
          <w:rFonts w:ascii="Arial" w:cs="Arial" w:hAnsi="Arial"/>
        </w:rPr>
      </w:pPr>
      <w:r>
        <w:rPr>
          <w:rStyle w:val="style4102"/>
          <w:rFonts w:ascii="Arial" w:cs="Arial" w:hAnsi="Arial"/>
        </w:rPr>
        <w:t>This interpretation is most generalisable in highly competitive retail settings with loyalty programmes digitally linked to the shopping experience, where consumers have several options. It must be used more carefully in industries with higher switching costs, less competition, and fundamentally different types of customer relationships.</w:t>
      </w:r>
    </w:p>
    <w:bookmarkStart w:id="130" w:name="_Toc240496699"/>
    <w:p w14:paraId="296ABCC2">
      <w:pPr>
        <w:pStyle w:val="style2"/>
        <w:spacing w:lineRule="auto" w:line="360"/>
        <w:rPr>
          <w:rStyle w:val="style4102"/>
          <w:rFonts w:ascii="Arial" w:cs="Arial" w:hAnsi="Arial"/>
        </w:rPr>
      </w:pPr>
      <w:r>
        <w:rPr>
          <w:rStyle w:val="style4102"/>
          <w:rFonts w:ascii="Arial" w:cs="Arial" w:hAnsi="Arial"/>
        </w:rPr>
        <w:t xml:space="preserve">6.4 Managerial </w:t>
      </w:r>
      <w:r>
        <w:rPr>
          <w:rStyle w:val="style4102"/>
          <w:rFonts w:ascii="Arial" w:cs="Arial" w:hAnsi="Arial"/>
        </w:rPr>
        <w:t>Implications</w:t>
      </w:r>
      <w:bookmarkEnd w:id="130"/>
      <w:r>
        <w:rPr>
          <w:rStyle w:val="style4102"/>
          <w:rFonts w:ascii="Arial" w:cs="Arial" w:hAnsi="Arial"/>
        </w:rPr>
        <w:t xml:space="preserve"> </w:t>
      </w:r>
    </w:p>
    <w:bookmarkStart w:id="131" w:name="_Toc240496700"/>
    <w:p w14:paraId="103F06EB">
      <w:pPr>
        <w:pStyle w:val="style3"/>
        <w:rPr>
          <w:rStyle w:val="style4102"/>
          <w:rFonts w:ascii="Arial" w:cs="Arial" w:hAnsi="Arial"/>
          <w:lang w:val="en-GB"/>
        </w:rPr>
      </w:pPr>
      <w:r>
        <w:rPr>
          <w:rStyle w:val="style4102"/>
          <w:rFonts w:ascii="Arial" w:cs="Arial" w:hAnsi="Arial"/>
          <w:lang w:val="en-GB"/>
        </w:rPr>
        <w:t xml:space="preserve">6.4.1 Ensuring </w:t>
      </w:r>
      <w:r>
        <w:rPr>
          <w:rStyle w:val="style4102"/>
          <w:rFonts w:ascii="Arial" w:cs="Arial" w:hAnsi="Arial"/>
          <w:lang w:val="en-GB"/>
        </w:rPr>
        <w:t>Relevance</w:t>
      </w:r>
      <w:r>
        <w:rPr>
          <w:rStyle w:val="style4102"/>
          <w:rFonts w:ascii="Arial" w:cs="Arial" w:hAnsi="Arial"/>
          <w:lang w:val="en-GB"/>
        </w:rPr>
        <w:t xml:space="preserve"> as the </w:t>
      </w:r>
      <w:r>
        <w:rPr>
          <w:rStyle w:val="style4102"/>
          <w:rFonts w:ascii="Arial" w:cs="Arial" w:hAnsi="Arial"/>
          <w:lang w:val="en-GB"/>
        </w:rPr>
        <w:t>Primary Objective</w:t>
      </w:r>
      <w:bookmarkEnd w:id="131"/>
    </w:p>
    <w:p w14:paraId="72EEC17A">
      <w:pPr>
        <w:pStyle w:val="style0"/>
        <w:spacing w:lineRule="auto" w:line="360"/>
        <w:rPr>
          <w:rStyle w:val="style4102"/>
          <w:rFonts w:ascii="Arial" w:cs="Arial" w:hAnsi="Arial"/>
        </w:rPr>
      </w:pPr>
      <w:r>
        <w:rPr>
          <w:rStyle w:val="style4102"/>
          <w:rFonts w:ascii="Arial" w:cs="Arial" w:hAnsi="Arial"/>
        </w:rPr>
        <w:t xml:space="preserve">Retailers now need to </w:t>
      </w:r>
      <w:r>
        <w:rPr>
          <w:rStyle w:val="style4102"/>
          <w:rFonts w:ascii="Arial" w:cs="Arial" w:hAnsi="Arial"/>
        </w:rPr>
        <w:t>consider how they can use personalisation to tailor offers to individual customers, rather than trying to add as many as possible</w:t>
      </w:r>
      <w:r>
        <w:rPr>
          <w:rStyle w:val="style4102"/>
          <w:rFonts w:ascii="Arial" w:cs="Arial" w:hAnsi="Arial"/>
        </w:rPr>
        <w:t>. Where possible, merge transaction history with contextual information to ensure offers reflect more recent preferences rather than historical ones. Managers should track redemption rates, incremental purchases, repeat engagement and customer satisfaction, not the number of customised offers sent. If a lot of communication is exchanged with low redemption and/or low satisfaction, it indicates that personalisation is not adding value.</w:t>
      </w:r>
    </w:p>
    <w:bookmarkStart w:id="132" w:name="_Toc240496701"/>
    <w:p w14:paraId="76A6119B">
      <w:pPr>
        <w:pStyle w:val="style3"/>
        <w:rPr>
          <w:rStyle w:val="style4102"/>
          <w:rFonts w:ascii="Arial" w:cs="Arial" w:hAnsi="Arial"/>
          <w:lang w:val="en-GB"/>
        </w:rPr>
      </w:pPr>
      <w:r>
        <w:rPr>
          <w:rStyle w:val="style4102"/>
          <w:rFonts w:ascii="Arial" w:cs="Arial" w:hAnsi="Arial"/>
          <w:lang w:val="en-GB"/>
        </w:rPr>
        <w:t xml:space="preserve">6.4.2. </w:t>
      </w:r>
      <w:r>
        <w:rPr>
          <w:rStyle w:val="style4102"/>
          <w:rFonts w:ascii="Arial" w:cs="Arial" w:hAnsi="Arial"/>
          <w:lang w:val="en-GB"/>
        </w:rPr>
        <w:t xml:space="preserve">Moving </w:t>
      </w:r>
      <w:r>
        <w:rPr>
          <w:rStyle w:val="style4102"/>
          <w:rFonts w:ascii="Arial" w:cs="Arial" w:hAnsi="Arial"/>
          <w:lang w:val="en-GB"/>
        </w:rPr>
        <w:t>Beyond</w:t>
      </w:r>
      <w:r>
        <w:rPr>
          <w:rStyle w:val="style4102"/>
          <w:rFonts w:ascii="Arial" w:cs="Arial" w:hAnsi="Arial"/>
          <w:lang w:val="en-GB"/>
        </w:rPr>
        <w:t xml:space="preserve"> Discount Dependency</w:t>
      </w:r>
      <w:bookmarkEnd w:id="132"/>
    </w:p>
    <w:p w14:paraId="2C9905CC">
      <w:pPr>
        <w:pStyle w:val="style0"/>
        <w:spacing w:lineRule="auto" w:line="360"/>
        <w:rPr>
          <w:rStyle w:val="style4102"/>
          <w:rFonts w:ascii="Arial" w:cs="Arial" w:hAnsi="Arial"/>
        </w:rPr>
      </w:pPr>
      <w:r>
        <w:rPr>
          <w:rStyle w:val="style4102"/>
          <w:rFonts w:ascii="Arial" w:cs="Arial" w:hAnsi="Arial"/>
        </w:rPr>
        <w:t>While the cases demonstrate the instant gratification of monetary incentives, too much focus on discounts can lead to transactional, not relational loyalty. Retailers should, therefore, package personalised price benefits with recognition, convenience, tailored recommendations and other experiential benefits.</w:t>
      </w:r>
      <w:r>
        <w:rPr>
          <w:rStyle w:val="style4102"/>
          <w:rFonts w:ascii="Arial" w:cs="Arial" w:hAnsi="Arial"/>
        </w:rPr>
        <w:t xml:space="preserve"> </w:t>
      </w:r>
      <w:r>
        <w:rPr>
          <w:rStyle w:val="style4102"/>
          <w:rFonts w:ascii="Arial" w:cs="Arial" w:hAnsi="Arial"/>
        </w:rPr>
        <w:t>The goal should be to make the customer feel that the retailer understands his or her needs, not just what he or she is likely to purchase.</w:t>
      </w:r>
    </w:p>
    <w:bookmarkStart w:id="133" w:name="_Toc240496702"/>
    <w:p w14:paraId="05801DDB">
      <w:pPr>
        <w:pStyle w:val="style3"/>
        <w:rPr>
          <w:rStyle w:val="style4102"/>
          <w:rFonts w:ascii="Arial" w:cs="Arial" w:hAnsi="Arial"/>
          <w:lang w:val="en-GB"/>
        </w:rPr>
      </w:pPr>
      <w:r>
        <w:rPr>
          <w:rStyle w:val="style4102"/>
          <w:rFonts w:ascii="Arial" w:cs="Arial" w:hAnsi="Arial"/>
          <w:lang w:val="en-GB"/>
        </w:rPr>
        <w:t xml:space="preserve">6.4.3 Building </w:t>
      </w:r>
      <w:r>
        <w:rPr>
          <w:rStyle w:val="style4102"/>
          <w:rFonts w:ascii="Arial" w:cs="Arial" w:hAnsi="Arial"/>
          <w:lang w:val="en-GB"/>
        </w:rPr>
        <w:t>Strategic</w:t>
      </w:r>
      <w:r>
        <w:rPr>
          <w:rStyle w:val="style4102"/>
          <w:rFonts w:ascii="Arial" w:cs="Arial" w:hAnsi="Arial"/>
          <w:lang w:val="en-GB"/>
        </w:rPr>
        <w:t xml:space="preserve"> </w:t>
      </w:r>
      <w:r>
        <w:rPr>
          <w:rStyle w:val="style4102"/>
          <w:rFonts w:ascii="Arial" w:cs="Arial" w:hAnsi="Arial"/>
          <w:lang w:val="en-GB"/>
        </w:rPr>
        <w:t>C</w:t>
      </w:r>
      <w:r>
        <w:rPr>
          <w:rStyle w:val="style4102"/>
          <w:rFonts w:ascii="Arial" w:cs="Arial" w:hAnsi="Arial"/>
          <w:lang w:val="en-GB"/>
        </w:rPr>
        <w:t>apabilities of Fairness and Transparency</w:t>
      </w:r>
      <w:bookmarkEnd w:id="133"/>
    </w:p>
    <w:p w14:paraId="57AEB3F3">
      <w:pPr>
        <w:pStyle w:val="style0"/>
        <w:spacing w:lineRule="auto" w:line="360"/>
        <w:rPr>
          <w:rStyle w:val="style4102"/>
          <w:rFonts w:ascii="Arial" w:cs="Arial" w:hAnsi="Arial"/>
        </w:rPr>
      </w:pPr>
      <w:r>
        <w:rPr>
          <w:rStyle w:val="style4102"/>
          <w:rFonts w:ascii="Arial" w:cs="Arial" w:hAnsi="Arial"/>
        </w:rPr>
        <w:t xml:space="preserve">Managers should </w:t>
      </w:r>
      <w:r>
        <w:rPr>
          <w:rStyle w:val="style4102"/>
          <w:rFonts w:ascii="Arial" w:cs="Arial" w:hAnsi="Arial"/>
        </w:rPr>
        <w:t xml:space="preserve">clearly explain the rationale for specific offers </w:t>
      </w:r>
      <w:r>
        <w:rPr>
          <w:rStyle w:val="style4102"/>
          <w:rFonts w:ascii="Arial" w:cs="Arial" w:hAnsi="Arial"/>
        </w:rPr>
        <w:t>and how loyalty pricing works. This is becoming a more important consideration, because personalised pricing is becoming the norm in the grocery sector.</w:t>
      </w:r>
      <w:r>
        <w:rPr>
          <w:rStyle w:val="style4102"/>
          <w:rFonts w:ascii="Arial" w:cs="Arial" w:hAnsi="Arial"/>
        </w:rPr>
        <w:t xml:space="preserve"> </w:t>
      </w:r>
      <w:r>
        <w:rPr>
          <w:rStyle w:val="style4102"/>
          <w:rFonts w:ascii="Arial" w:cs="Arial" w:hAnsi="Arial"/>
        </w:rPr>
        <w:t xml:space="preserve">Retailers should keep track </w:t>
      </w:r>
      <w:r>
        <w:rPr>
          <w:rStyle w:val="style4102"/>
          <w:rFonts w:ascii="Arial" w:cs="Arial" w:hAnsi="Arial"/>
        </w:rPr>
        <w:t xml:space="preserve">of complaints, customer trust measures, opt-outs, privacy considerations, and the </w:t>
      </w:r>
      <w:r>
        <w:rPr>
          <w:rStyle w:val="style4102"/>
          <w:rFonts w:ascii="Arial" w:cs="Arial" w:hAnsi="Arial"/>
        </w:rPr>
        <w:t xml:space="preserve">customer satisfaction gap between loyalty and non-loyalty customers. </w:t>
      </w:r>
    </w:p>
    <w:bookmarkStart w:id="134" w:name="_Toc240496703"/>
    <w:p w14:paraId="2E79EBE1">
      <w:pPr>
        <w:pStyle w:val="style3"/>
        <w:rPr>
          <w:rStyle w:val="style4102"/>
          <w:rFonts w:ascii="Arial" w:cs="Arial" w:hAnsi="Arial"/>
          <w:lang w:val="en-GB"/>
        </w:rPr>
      </w:pPr>
      <w:r>
        <w:rPr>
          <w:rStyle w:val="style4102"/>
          <w:rFonts w:ascii="Arial" w:cs="Arial" w:hAnsi="Arial"/>
          <w:lang w:val="en-GB"/>
        </w:rPr>
        <w:t>6.4.</w:t>
      </w:r>
      <w:r>
        <w:rPr>
          <w:rStyle w:val="style4102"/>
          <w:rFonts w:ascii="Arial" w:cs="Arial" w:hAnsi="Arial"/>
          <w:lang w:val="en-GB"/>
        </w:rPr>
        <w:t>4</w:t>
      </w:r>
      <w:r>
        <w:rPr>
          <w:rStyle w:val="style4102"/>
          <w:rFonts w:ascii="Arial" w:cs="Arial" w:hAnsi="Arial"/>
          <w:lang w:val="en-GB"/>
        </w:rPr>
        <w:t xml:space="preserve"> Integrating </w:t>
      </w:r>
      <w:r>
        <w:rPr>
          <w:rStyle w:val="style4102"/>
          <w:rFonts w:ascii="Arial" w:cs="Arial" w:hAnsi="Arial"/>
          <w:lang w:val="en-GB"/>
        </w:rPr>
        <w:t>L</w:t>
      </w:r>
      <w:r>
        <w:rPr>
          <w:rStyle w:val="style4102"/>
          <w:rFonts w:ascii="Arial" w:cs="Arial" w:hAnsi="Arial"/>
          <w:lang w:val="en-GB"/>
        </w:rPr>
        <w:t xml:space="preserve">oyalty </w:t>
      </w:r>
      <w:r>
        <w:rPr>
          <w:rStyle w:val="style4102"/>
          <w:rFonts w:ascii="Arial" w:cs="Arial" w:hAnsi="Arial"/>
          <w:lang w:val="en-GB"/>
        </w:rPr>
        <w:t>D</w:t>
      </w:r>
      <w:r>
        <w:rPr>
          <w:rStyle w:val="style4102"/>
          <w:rFonts w:ascii="Arial" w:cs="Arial" w:hAnsi="Arial"/>
          <w:lang w:val="en-GB"/>
        </w:rPr>
        <w:t xml:space="preserve">ata throughout the </w:t>
      </w:r>
      <w:r>
        <w:rPr>
          <w:rStyle w:val="style4102"/>
          <w:rFonts w:ascii="Arial" w:cs="Arial" w:hAnsi="Arial"/>
          <w:lang w:val="en-GB"/>
        </w:rPr>
        <w:t>Cu</w:t>
      </w:r>
      <w:r>
        <w:rPr>
          <w:rStyle w:val="style4102"/>
          <w:rFonts w:ascii="Arial" w:cs="Arial" w:hAnsi="Arial"/>
          <w:lang w:val="en-GB"/>
        </w:rPr>
        <w:t xml:space="preserve">stomer </w:t>
      </w:r>
      <w:r>
        <w:rPr>
          <w:rStyle w:val="style4102"/>
          <w:rFonts w:ascii="Arial" w:cs="Arial" w:hAnsi="Arial"/>
          <w:lang w:val="en-GB"/>
        </w:rPr>
        <w:t>J</w:t>
      </w:r>
      <w:r>
        <w:rPr>
          <w:rStyle w:val="style4102"/>
          <w:rFonts w:ascii="Arial" w:cs="Arial" w:hAnsi="Arial"/>
          <w:lang w:val="en-GB"/>
        </w:rPr>
        <w:t>ourney</w:t>
      </w:r>
      <w:bookmarkEnd w:id="134"/>
    </w:p>
    <w:p w14:paraId="6C22D574">
      <w:pPr>
        <w:pStyle w:val="style0"/>
        <w:spacing w:lineRule="auto" w:line="360"/>
        <w:rPr>
          <w:rStyle w:val="style4102"/>
          <w:rFonts w:ascii="Arial" w:cs="Arial" w:hAnsi="Arial"/>
        </w:rPr>
      </w:pPr>
      <w:r>
        <w:rPr>
          <w:rStyle w:val="style4102"/>
          <w:rFonts w:ascii="Arial" w:cs="Arial" w:hAnsi="Arial"/>
        </w:rPr>
        <w:t xml:space="preserve">The five cases demonstrate the increasing importance of mobile applications and digital loyalty platforms. But gathering additional data is not enough. Retailers </w:t>
      </w:r>
      <w:r>
        <w:rPr>
          <w:rStyle w:val="style4102"/>
          <w:rFonts w:ascii="Arial" w:cs="Arial" w:hAnsi="Arial"/>
        </w:rPr>
        <w:t>need integrated systems that turn</w:t>
      </w:r>
      <w:r>
        <w:rPr>
          <w:rStyle w:val="style4102"/>
          <w:rFonts w:ascii="Arial" w:cs="Arial" w:hAnsi="Arial"/>
        </w:rPr>
        <w:t xml:space="preserve"> data into actionable customer experiences.</w:t>
      </w:r>
      <w:r>
        <w:rPr>
          <w:rStyle w:val="style4102"/>
          <w:rFonts w:ascii="Arial" w:cs="Arial" w:hAnsi="Arial"/>
        </w:rPr>
        <w:t xml:space="preserve">  </w:t>
      </w:r>
      <w:r>
        <w:rPr>
          <w:rStyle w:val="style4102"/>
          <w:rFonts w:ascii="Arial" w:cs="Arial" w:hAnsi="Arial"/>
        </w:rPr>
        <w:t>Investing should be on data quality, system integration, analytics capability and employee capability, and not just app functionality. Key performance indicators are: programme usage, offer redemption, digital engagement, customer retention and satisfaction.</w:t>
      </w:r>
    </w:p>
    <w:bookmarkStart w:id="135" w:name="_Toc240496704"/>
    <w:p w14:paraId="7CA6AE33">
      <w:pPr>
        <w:pStyle w:val="style2"/>
        <w:spacing w:lineRule="auto" w:line="360"/>
        <w:rPr>
          <w:rStyle w:val="style4102"/>
          <w:rFonts w:ascii="Arial" w:cs="Arial" w:hAnsi="Arial"/>
        </w:rPr>
      </w:pPr>
      <w:r>
        <w:rPr>
          <w:rStyle w:val="style4102"/>
          <w:rFonts w:ascii="Arial" w:cs="Arial" w:hAnsi="Arial"/>
        </w:rPr>
        <w:t xml:space="preserve">6.5 </w:t>
      </w:r>
      <w:r>
        <w:rPr>
          <w:rStyle w:val="style4102"/>
          <w:rFonts w:ascii="Arial" w:cs="Arial" w:hAnsi="Arial"/>
        </w:rPr>
        <w:t>Limitations</w:t>
      </w:r>
      <w:r>
        <w:rPr>
          <w:rStyle w:val="style4102"/>
          <w:rFonts w:ascii="Arial" w:cs="Arial" w:hAnsi="Arial"/>
        </w:rPr>
        <w:t xml:space="preserve"> and </w:t>
      </w:r>
      <w:r>
        <w:rPr>
          <w:rStyle w:val="style4102"/>
          <w:rFonts w:ascii="Arial" w:cs="Arial" w:hAnsi="Arial"/>
        </w:rPr>
        <w:t>Directions</w:t>
      </w:r>
      <w:r>
        <w:rPr>
          <w:rStyle w:val="style4102"/>
          <w:rFonts w:ascii="Arial" w:cs="Arial" w:hAnsi="Arial"/>
        </w:rPr>
        <w:t xml:space="preserve"> for Future </w:t>
      </w:r>
      <w:r>
        <w:rPr>
          <w:rStyle w:val="style4102"/>
          <w:rFonts w:ascii="Arial" w:cs="Arial" w:hAnsi="Arial"/>
        </w:rPr>
        <w:t>Research</w:t>
      </w:r>
      <w:bookmarkEnd w:id="135"/>
      <w:r>
        <w:rPr>
          <w:rStyle w:val="style4102"/>
          <w:rFonts w:ascii="Arial" w:cs="Arial" w:hAnsi="Arial"/>
        </w:rPr>
        <w:t xml:space="preserve"> </w:t>
      </w:r>
    </w:p>
    <w:p w14:paraId="7490A000">
      <w:pPr>
        <w:pStyle w:val="style0"/>
        <w:spacing w:lineRule="auto" w:line="360"/>
        <w:rPr>
          <w:rStyle w:val="style4102"/>
          <w:rFonts w:ascii="Arial" w:cs="Arial" w:hAnsi="Arial"/>
        </w:rPr>
      </w:pPr>
      <w:r>
        <w:rPr>
          <w:rStyle w:val="style4102"/>
          <w:rFonts w:ascii="Arial" w:cs="Arial" w:hAnsi="Arial"/>
        </w:rPr>
        <w:t>This study has a couple of drawbacks. Firstly, it is a secondary analysis, which is dependent on the availability and quality of secondary sources of evidence that have been published. Company reports/promotional materials may highlight successful outcomes, leading to publication bias and/or attribution bias. Some retailers do not have any specific KPIs either, so it is not possible to make a direct comparison between cases. The study is also limited to the UK grocery market. As a result, the findings are likely to be strongly dependent on the nature of this market – high competition, high turnover and low switching costs. They must not be taken for granted to apply to other industries. Moreover, the case-study approach does not allow for definitive causal relationships to be determined. For instance, if sales improve after launching a personalised loyalty program, it</w:t>
      </w:r>
      <w:r>
        <w:rPr>
          <w:rStyle w:val="style4102"/>
          <w:rFonts w:ascii="Arial" w:cs="Arial" w:hAnsi="Arial"/>
        </w:rPr>
        <w:t xml:space="preserve"> i</w:t>
      </w:r>
      <w:r>
        <w:rPr>
          <w:rStyle w:val="style4102"/>
          <w:rFonts w:ascii="Arial" w:cs="Arial" w:hAnsi="Arial"/>
        </w:rPr>
        <w:t>s impossible to conclude that this is due to the personalisation; pricing, inflation, expansion of stores, economic conditions and other marketing efforts can have an impact on the sales performance.</w:t>
      </w:r>
    </w:p>
    <w:p w14:paraId="6A23609D">
      <w:pPr>
        <w:pStyle w:val="style0"/>
        <w:spacing w:lineRule="auto" w:line="360"/>
        <w:rPr>
          <w:rStyle w:val="style4102"/>
          <w:rFonts w:ascii="Arial" w:cs="Arial" w:hAnsi="Arial"/>
        </w:rPr>
      </w:pPr>
      <w:r>
        <w:rPr>
          <w:rStyle w:val="style4102"/>
          <w:rFonts w:ascii="Arial" w:cs="Arial" w:hAnsi="Arial"/>
        </w:rPr>
        <w:t xml:space="preserve">Longitudinal and </w:t>
      </w:r>
      <w:r>
        <w:rPr>
          <w:rStyle w:val="style4102"/>
          <w:rFonts w:ascii="Arial" w:cs="Arial" w:hAnsi="Arial"/>
        </w:rPr>
        <w:t>mixed-methods</w:t>
      </w:r>
      <w:r>
        <w:rPr>
          <w:rStyle w:val="style4102"/>
          <w:rFonts w:ascii="Arial" w:cs="Arial" w:hAnsi="Arial"/>
        </w:rPr>
        <w:t xml:space="preserve"> research should be explored in future research to overcome these limitations.</w:t>
      </w:r>
      <w:r>
        <w:rPr>
          <w:rFonts w:ascii="Arial" w:cs="Arial" w:hAnsi="Arial"/>
        </w:rPr>
        <w:t xml:space="preserve"> </w:t>
      </w:r>
      <w:r>
        <w:rPr>
          <w:rStyle w:val="style4102"/>
          <w:rFonts w:ascii="Arial" w:cs="Arial" w:hAnsi="Arial"/>
        </w:rPr>
        <w:t>It would be interesting to investigate whether personalised offers lead to permanent or temporary effects on sales behaviour in panel data.</w:t>
      </w:r>
      <w:r>
        <w:rPr>
          <w:rFonts w:ascii="Arial" w:cs="Arial" w:hAnsi="Arial"/>
        </w:rPr>
        <w:t xml:space="preserve"> </w:t>
      </w:r>
      <w:r>
        <w:rPr>
          <w:rStyle w:val="style4102"/>
          <w:rFonts w:ascii="Arial" w:cs="Arial" w:hAnsi="Arial"/>
        </w:rPr>
        <w:t>Field experiments can also control for the customer characteristics and compare personalised and non-personalised offers, enabling more powerful causal inferences.</w:t>
      </w:r>
      <w:r>
        <w:rPr>
          <w:rFonts w:ascii="Arial" w:cs="Arial" w:hAnsi="Arial"/>
        </w:rPr>
        <w:t xml:space="preserve"> </w:t>
      </w:r>
      <w:r>
        <w:rPr>
          <w:rStyle w:val="style4102"/>
          <w:rFonts w:ascii="Arial" w:cs="Arial" w:hAnsi="Arial"/>
        </w:rPr>
        <w:t xml:space="preserve">Additionally, qualitative interviews could explore </w:t>
      </w:r>
      <w:r>
        <w:rPr>
          <w:rStyle w:val="style4102"/>
          <w:rFonts w:ascii="Arial" w:cs="Arial" w:hAnsi="Arial"/>
        </w:rPr>
        <w:t>what fairness, trust, and value mean in the context of personalised pricing</w:t>
      </w:r>
      <w:r>
        <w:rPr>
          <w:rStyle w:val="style4102"/>
          <w:rFonts w:ascii="Arial" w:cs="Arial" w:hAnsi="Arial"/>
        </w:rPr>
        <w:t>.</w:t>
      </w:r>
      <w:r>
        <w:rPr>
          <w:rFonts w:ascii="Arial" w:cs="Arial" w:hAnsi="Arial"/>
        </w:rPr>
        <w:t xml:space="preserve"> </w:t>
      </w:r>
      <w:r>
        <w:rPr>
          <w:rStyle w:val="style4102"/>
          <w:rFonts w:ascii="Arial" w:cs="Arial" w:hAnsi="Arial"/>
        </w:rPr>
        <w:t>Further research is also needed to determine if the refined model is different for different demographic groups, different retail outlets, and different countries.</w:t>
      </w:r>
      <w:r>
        <w:rPr>
          <w:rFonts w:ascii="Arial" w:cs="Arial" w:hAnsi="Arial"/>
        </w:rPr>
        <w:t xml:space="preserve"> </w:t>
      </w:r>
      <w:r>
        <w:rPr>
          <w:rStyle w:val="style4102"/>
          <w:rFonts w:ascii="Arial" w:cs="Arial" w:hAnsi="Arial"/>
        </w:rPr>
        <w:t xml:space="preserve">In particular, researchers could gain insight </w:t>
      </w:r>
      <w:r>
        <w:rPr>
          <w:rStyle w:val="style4102"/>
          <w:rFonts w:ascii="Arial" w:cs="Arial" w:hAnsi="Arial"/>
        </w:rPr>
        <w:t xml:space="preserve">by studying how supermarket stores compare </w:t>
      </w:r>
      <w:r>
        <w:rPr>
          <w:rStyle w:val="style4102"/>
          <w:rFonts w:ascii="Arial" w:cs="Arial" w:hAnsi="Arial"/>
        </w:rPr>
        <w:t>with online-only stores in terms of the strength of the personalisation-loyalty link resulting from greater</w:t>
      </w:r>
      <w:r>
        <w:rPr>
          <w:rStyle w:val="style4102"/>
          <w:rFonts w:ascii="Arial" w:cs="Arial" w:hAnsi="Arial"/>
        </w:rPr>
        <w:t xml:space="preserve"> digital integration.</w:t>
      </w:r>
    </w:p>
    <w:bookmarkStart w:id="136" w:name="_Toc240496705"/>
    <w:p w14:paraId="7733B605">
      <w:pPr>
        <w:pStyle w:val="style2"/>
        <w:spacing w:lineRule="auto" w:line="360"/>
        <w:rPr>
          <w:rStyle w:val="style4102"/>
          <w:rFonts w:ascii="Arial" w:cs="Arial" w:hAnsi="Arial"/>
        </w:rPr>
      </w:pPr>
      <w:r>
        <w:rPr>
          <w:rStyle w:val="style4102"/>
          <w:rFonts w:ascii="Arial" w:cs="Arial" w:hAnsi="Arial"/>
        </w:rPr>
        <w:t>6.6 C</w:t>
      </w:r>
      <w:r>
        <w:rPr>
          <w:rStyle w:val="style4102"/>
          <w:rFonts w:ascii="Arial" w:cs="Arial" w:hAnsi="Arial"/>
        </w:rPr>
        <w:t>los</w:t>
      </w:r>
      <w:r>
        <w:rPr>
          <w:rStyle w:val="style4102"/>
          <w:rFonts w:ascii="Arial" w:cs="Arial" w:hAnsi="Arial"/>
        </w:rPr>
        <w:t>i</w:t>
      </w:r>
      <w:r>
        <w:rPr>
          <w:rStyle w:val="style4102"/>
          <w:rFonts w:ascii="Arial" w:cs="Arial" w:hAnsi="Arial"/>
        </w:rPr>
        <w:t>ng Statement</w:t>
      </w:r>
      <w:bookmarkEnd w:id="136"/>
      <w:r>
        <w:rPr>
          <w:rStyle w:val="style4102"/>
          <w:rFonts w:ascii="Arial" w:cs="Arial" w:hAnsi="Arial"/>
        </w:rPr>
        <w:t xml:space="preserve"> </w:t>
      </w:r>
    </w:p>
    <w:p w14:paraId="733AF958">
      <w:pPr>
        <w:pStyle w:val="style0"/>
        <w:spacing w:lineRule="auto" w:line="360"/>
        <w:rPr>
          <w:rStyle w:val="style4102"/>
          <w:rFonts w:ascii="Arial" w:cs="Arial" w:hAnsi="Arial"/>
        </w:rPr>
      </w:pPr>
      <w:r>
        <w:rPr>
          <w:rStyle w:val="style4102"/>
          <w:rFonts w:ascii="Arial" w:cs="Arial" w:hAnsi="Arial"/>
        </w:rPr>
        <w:t>This study shows that personalised offers can no longer be considered a sure means to customer loyalty and are not just a short-term tool for promotion.</w:t>
      </w:r>
      <w:r>
        <w:rPr>
          <w:rFonts w:ascii="Arial" w:cs="Arial" w:hAnsi="Arial"/>
        </w:rPr>
        <w:t xml:space="preserve"> </w:t>
      </w:r>
      <w:r>
        <w:rPr>
          <w:rStyle w:val="style4102"/>
          <w:rFonts w:ascii="Arial" w:cs="Arial" w:hAnsi="Arial"/>
        </w:rPr>
        <w:t>It</w:t>
      </w:r>
      <w:r>
        <w:rPr>
          <w:rStyle w:val="style4102"/>
          <w:rFonts w:ascii="Arial" w:cs="Arial" w:hAnsi="Arial"/>
        </w:rPr>
        <w:t xml:space="preserve"> i</w:t>
      </w:r>
      <w:r>
        <w:rPr>
          <w:rStyle w:val="style4102"/>
          <w:rFonts w:ascii="Arial" w:cs="Arial" w:hAnsi="Arial"/>
        </w:rPr>
        <w:t>s their ability to link customer data to the value that</w:t>
      </w:r>
      <w:r>
        <w:rPr>
          <w:rStyle w:val="style4102"/>
          <w:rFonts w:ascii="Arial" w:cs="Arial" w:hAnsi="Arial"/>
        </w:rPr>
        <w:t xml:space="preserve"> i</w:t>
      </w:r>
      <w:r>
        <w:rPr>
          <w:rStyle w:val="style4102"/>
          <w:rFonts w:ascii="Arial" w:cs="Arial" w:hAnsi="Arial"/>
        </w:rPr>
        <w:t>s relevant to them, without compromising fairness, trust or the overall experience.</w:t>
      </w:r>
      <w:r>
        <w:rPr>
          <w:rFonts w:ascii="Arial" w:cs="Arial" w:hAnsi="Arial"/>
        </w:rPr>
        <w:t xml:space="preserve"> </w:t>
      </w:r>
      <w:r>
        <w:rPr>
          <w:rStyle w:val="style4102"/>
          <w:rFonts w:ascii="Arial" w:cs="Arial" w:hAnsi="Arial"/>
        </w:rPr>
        <w:t>The core of the research thus is a new conditional approach to personalisation: when personalised offers are seen as relevant, valuable and legitimate for customers and when the retailer has the digital tools to implement them well</w:t>
      </w:r>
      <w:r>
        <w:rPr>
          <w:rStyle w:val="style4102"/>
          <w:rFonts w:ascii="Arial" w:cs="Arial" w:hAnsi="Arial"/>
        </w:rPr>
        <w:t>,</w:t>
      </w:r>
      <w:r>
        <w:rPr>
          <w:rStyle w:val="style4102"/>
          <w:rFonts w:ascii="Arial" w:cs="Arial" w:hAnsi="Arial"/>
        </w:rPr>
        <w:t xml:space="preserve"> these efforts can deepen customer loyalty.</w:t>
      </w:r>
      <w:r>
        <w:rPr>
          <w:rFonts w:ascii="Arial" w:cs="Arial" w:hAnsi="Arial"/>
        </w:rPr>
        <w:t xml:space="preserve"> </w:t>
      </w:r>
      <w:r>
        <w:rPr>
          <w:rStyle w:val="style4102"/>
          <w:rFonts w:ascii="Arial" w:cs="Arial" w:hAnsi="Arial"/>
        </w:rPr>
        <w:t>Managers will learn that it is not more personalisation that is the aim</w:t>
      </w:r>
      <w:r>
        <w:rPr>
          <w:rStyle w:val="style4102"/>
          <w:rFonts w:ascii="Arial" w:cs="Arial" w:hAnsi="Arial"/>
        </w:rPr>
        <w:t>;</w:t>
      </w:r>
      <w:r>
        <w:rPr>
          <w:rStyle w:val="style4102"/>
          <w:rFonts w:ascii="Arial" w:cs="Arial" w:hAnsi="Arial"/>
        </w:rPr>
        <w:t xml:space="preserve"> it</w:t>
      </w:r>
      <w:r>
        <w:rPr>
          <w:rStyle w:val="style4102"/>
          <w:rFonts w:ascii="Arial" w:cs="Arial" w:hAnsi="Arial"/>
        </w:rPr>
        <w:t xml:space="preserve"> i</w:t>
      </w:r>
      <w:r>
        <w:rPr>
          <w:rStyle w:val="style4102"/>
          <w:rFonts w:ascii="Arial" w:cs="Arial" w:hAnsi="Arial"/>
        </w:rPr>
        <w:t>s better personalisation that customers know and care about.</w:t>
      </w:r>
    </w:p>
    <w:p w14:paraId="6EE23CE5">
      <w:pPr>
        <w:pStyle w:val="style0"/>
        <w:spacing w:lineRule="auto" w:line="360"/>
        <w:jc w:val="left"/>
        <w:rPr>
          <w:rStyle w:val="style4102"/>
          <w:rFonts w:ascii="Arial" w:cs="Arial" w:hAnsi="Arial"/>
        </w:rPr>
      </w:pPr>
      <w:r>
        <w:rPr>
          <w:rStyle w:val="style4102"/>
          <w:rFonts w:ascii="Arial" w:cs="Arial" w:hAnsi="Arial"/>
        </w:rPr>
        <w:br w:type="page"/>
      </w:r>
    </w:p>
    <w:bookmarkStart w:id="137" w:name="_Toc240496706"/>
    <w:p w14:paraId="010B7950">
      <w:pPr>
        <w:pStyle w:val="style1"/>
        <w:spacing w:lineRule="auto" w:line="360"/>
        <w:jc w:val="both"/>
        <w:rPr>
          <w:rFonts w:ascii="Arial" w:cs="Arial" w:hAnsi="Arial"/>
          <w:lang w:val="en-GB"/>
        </w:rPr>
      </w:pPr>
      <w:r>
        <w:rPr>
          <w:rStyle w:val="style4102"/>
          <w:rFonts w:ascii="Arial" w:cs="Arial" w:hAnsi="Arial"/>
          <w:lang w:val="en-GB"/>
        </w:rPr>
        <w:t>References</w:t>
      </w:r>
      <w:bookmarkEnd w:id="137"/>
    </w:p>
    <w:p w14:paraId="1B442728">
      <w:pPr>
        <w:pStyle w:val="style0"/>
        <w:spacing w:lineRule="auto" w:line="360"/>
        <w:rPr>
          <w:rFonts w:ascii="Arial" w:cs="Arial" w:hAnsi="Arial"/>
        </w:rPr>
      </w:pPr>
      <w:r>
        <w:rPr>
          <w:rFonts w:ascii="Arial" w:cs="Arial" w:hAnsi="Arial"/>
        </w:rPr>
        <w:t xml:space="preserve">Aguirre, E. </w:t>
      </w:r>
      <w:r>
        <w:rPr>
          <w:rFonts w:ascii="Arial" w:cs="Arial" w:hAnsi="Arial"/>
          <w:i/>
          <w:iCs/>
        </w:rPr>
        <w:t>et al.</w:t>
      </w:r>
      <w:r>
        <w:rPr>
          <w:rFonts w:ascii="Arial" w:cs="Arial" w:hAnsi="Arial"/>
        </w:rPr>
        <w:t xml:space="preserve"> (2015) “Unravelling the personalisation paradox: The effect of information collection and trust-building strategies on online advertisement effectiveness,” </w:t>
      </w:r>
      <w:r>
        <w:rPr>
          <w:rFonts w:ascii="Arial" w:cs="Arial" w:hAnsi="Arial"/>
          <w:i/>
          <w:iCs/>
        </w:rPr>
        <w:t>Journal of Retailing</w:t>
      </w:r>
      <w:r>
        <w:rPr>
          <w:rFonts w:ascii="Arial" w:cs="Arial" w:hAnsi="Arial"/>
        </w:rPr>
        <w:t xml:space="preserve">, 91(1), pp. 34–49. Available at: </w:t>
      </w:r>
      <w:r>
        <w:rPr/>
        <w:fldChar w:fldCharType="begin"/>
      </w:r>
      <w:r>
        <w:instrText xml:space="preserve"> HYPERLINK "https://doi.org/10.1016/j.jretai.2014.09.005" </w:instrText>
      </w:r>
      <w:r>
        <w:rPr/>
        <w:fldChar w:fldCharType="separate"/>
      </w:r>
      <w:r>
        <w:rPr>
          <w:rStyle w:val="style85"/>
          <w:rFonts w:ascii="Arial" w:cs="Arial" w:hAnsi="Arial"/>
        </w:rPr>
        <w:t>https://doi.org/10.1016/j.jretai.2014.09.005</w:t>
      </w:r>
      <w:r>
        <w:rPr/>
        <w:fldChar w:fldCharType="end"/>
      </w:r>
      <w:r>
        <w:rPr>
          <w:rFonts w:ascii="Arial" w:cs="Arial" w:hAnsi="Arial"/>
        </w:rPr>
        <w:t xml:space="preserve">.  </w:t>
      </w:r>
    </w:p>
    <w:p w14:paraId="27D534F4">
      <w:pPr>
        <w:pStyle w:val="style0"/>
        <w:spacing w:lineRule="auto" w:line="360"/>
        <w:rPr>
          <w:rFonts w:ascii="Arial" w:cs="Arial" w:hAnsi="Arial"/>
        </w:rPr>
      </w:pPr>
      <w:r>
        <w:rPr>
          <w:rFonts w:ascii="Arial" w:cs="Arial" w:hAnsi="Arial"/>
        </w:rPr>
        <w:t xml:space="preserve">Alagarsamy, S., Mehrolia, S. and Singh, B. (2021) “Mediating effect of brand relationship quality on relational bonds and online grocery retailer loyalty,” </w:t>
      </w:r>
      <w:r>
        <w:rPr>
          <w:rFonts w:ascii="Arial" w:cs="Arial" w:hAnsi="Arial"/>
          <w:i/>
          <w:iCs/>
        </w:rPr>
        <w:t>Journal of Internet Commerce</w:t>
      </w:r>
      <w:r>
        <w:rPr>
          <w:rFonts w:ascii="Arial" w:cs="Arial" w:hAnsi="Arial"/>
        </w:rPr>
        <w:t xml:space="preserve">, 20(2), pp. 246–272. Available at: </w:t>
      </w:r>
      <w:r>
        <w:rPr/>
        <w:fldChar w:fldCharType="begin"/>
      </w:r>
      <w:r>
        <w:instrText xml:space="preserve"> HYPERLINK "https://doi.org/10.1080/15332861.2020.1868213" </w:instrText>
      </w:r>
      <w:r>
        <w:rPr/>
        <w:fldChar w:fldCharType="separate"/>
      </w:r>
      <w:r>
        <w:rPr>
          <w:rStyle w:val="style85"/>
          <w:rFonts w:ascii="Arial" w:cs="Arial" w:hAnsi="Arial"/>
        </w:rPr>
        <w:t>https://doi.org/10.1080/15332861.2020.1868213</w:t>
      </w:r>
      <w:r>
        <w:rPr/>
        <w:fldChar w:fldCharType="end"/>
      </w:r>
      <w:r>
        <w:rPr>
          <w:rFonts w:ascii="Arial" w:cs="Arial" w:hAnsi="Arial"/>
        </w:rPr>
        <w:t xml:space="preserve">. </w:t>
      </w:r>
    </w:p>
    <w:p w14:paraId="4AEEFDFC">
      <w:pPr>
        <w:pStyle w:val="style0"/>
        <w:spacing w:lineRule="auto" w:line="360"/>
        <w:rPr>
          <w:rFonts w:ascii="Arial" w:cs="Arial" w:hAnsi="Arial"/>
        </w:rPr>
      </w:pPr>
      <w:r>
        <w:rPr>
          <w:rFonts w:ascii="Arial" w:cs="Arial" w:hAnsi="Arial"/>
        </w:rPr>
        <w:t xml:space="preserve">Ali, F. (2026) “Sample size practices and guidelines in services marketing survey research,” </w:t>
      </w:r>
      <w:r>
        <w:rPr>
          <w:rFonts w:ascii="Arial" w:cs="Arial" w:hAnsi="Arial"/>
          <w:i/>
          <w:iCs/>
        </w:rPr>
        <w:t>Service Industries Journal</w:t>
      </w:r>
      <w:r>
        <w:rPr>
          <w:rFonts w:ascii="Arial" w:cs="Arial" w:hAnsi="Arial"/>
        </w:rPr>
        <w:t xml:space="preserve">, 46(7–8), pp. 623–648. Available at: </w:t>
      </w:r>
      <w:r>
        <w:rPr/>
        <w:fldChar w:fldCharType="begin"/>
      </w:r>
      <w:r>
        <w:instrText xml:space="preserve"> HYPERLINK "https://doi.org/10.1080/02642069.2026.2612706" </w:instrText>
      </w:r>
      <w:r>
        <w:rPr/>
        <w:fldChar w:fldCharType="separate"/>
      </w:r>
      <w:r>
        <w:rPr>
          <w:rStyle w:val="style85"/>
          <w:rFonts w:ascii="Arial" w:cs="Arial" w:hAnsi="Arial"/>
        </w:rPr>
        <w:t>https://doi.org/10.1080/02642069.2026.2612706</w:t>
      </w:r>
      <w:r>
        <w:rPr/>
        <w:fldChar w:fldCharType="end"/>
      </w:r>
      <w:r>
        <w:rPr>
          <w:rFonts w:ascii="Arial" w:cs="Arial" w:hAnsi="Arial"/>
        </w:rPr>
        <w:t xml:space="preserve">. </w:t>
      </w:r>
    </w:p>
    <w:p w14:paraId="4D9292E6">
      <w:pPr>
        <w:pStyle w:val="style0"/>
        <w:spacing w:lineRule="auto" w:line="360"/>
        <w:rPr>
          <w:rFonts w:ascii="Arial" w:cs="Arial" w:hAnsi="Arial"/>
        </w:rPr>
      </w:pPr>
      <w:r>
        <w:rPr>
          <w:rFonts w:ascii="Arial" w:cs="Arial" w:hAnsi="Arial"/>
        </w:rPr>
        <w:t xml:space="preserve">Alisa, T. and Agus, A.A. (2025) “The mediating effects of trust and satisfaction on E-commerce repurchase under deflationary economic conditions,” </w:t>
      </w:r>
      <w:r>
        <w:rPr>
          <w:rFonts w:ascii="Arial" w:cs="Arial" w:hAnsi="Arial"/>
          <w:i/>
          <w:iCs/>
        </w:rPr>
        <w:t>Jurnal Ilmiah Manajemen Kesatuan</w:t>
      </w:r>
      <w:r>
        <w:rPr>
          <w:rFonts w:ascii="Arial" w:cs="Arial" w:hAnsi="Arial"/>
        </w:rPr>
        <w:t xml:space="preserve">, 13(4), pp. 2119–2132. Available at: </w:t>
      </w:r>
      <w:r>
        <w:rPr/>
        <w:fldChar w:fldCharType="begin"/>
      </w:r>
      <w:r>
        <w:instrText xml:space="preserve"> HYPERLINK "https://doi.org/10.37641/jimkes.v13i4.3409" </w:instrText>
      </w:r>
      <w:r>
        <w:rPr/>
        <w:fldChar w:fldCharType="separate"/>
      </w:r>
      <w:r>
        <w:rPr>
          <w:rStyle w:val="style85"/>
          <w:rFonts w:ascii="Arial" w:cs="Arial" w:hAnsi="Arial"/>
        </w:rPr>
        <w:t>https://doi.org/10.37641/jimkes.v13i4.3409</w:t>
      </w:r>
      <w:r>
        <w:rPr/>
        <w:fldChar w:fldCharType="end"/>
      </w:r>
      <w:r>
        <w:rPr>
          <w:rFonts w:ascii="Arial" w:cs="Arial" w:hAnsi="Arial"/>
        </w:rPr>
        <w:t xml:space="preserve">. </w:t>
      </w:r>
    </w:p>
    <w:p w14:paraId="61688565">
      <w:pPr>
        <w:pStyle w:val="style0"/>
        <w:spacing w:lineRule="auto" w:line="360"/>
        <w:rPr>
          <w:rFonts w:ascii="Arial" w:cs="Arial" w:hAnsi="Arial"/>
        </w:rPr>
      </w:pPr>
      <w:r>
        <w:rPr>
          <w:rFonts w:ascii="Arial" w:cs="Arial" w:hAnsi="Arial"/>
        </w:rPr>
        <w:t xml:space="preserve">Anıl Konuk, F. (2022) “Trust transfer, price fairness and brand loyalty: the moderating influence of private label product type,” </w:t>
      </w:r>
      <w:r>
        <w:rPr>
          <w:rFonts w:ascii="Arial" w:cs="Arial" w:hAnsi="Arial"/>
          <w:i/>
          <w:iCs/>
        </w:rPr>
        <w:t>International Journal of Retail &amp; Distribution Management</w:t>
      </w:r>
      <w:r>
        <w:rPr>
          <w:rFonts w:ascii="Arial" w:cs="Arial" w:hAnsi="Arial"/>
        </w:rPr>
        <w:t xml:space="preserve">, 50(5), pp. 658–674. Available at: </w:t>
      </w:r>
      <w:r>
        <w:rPr/>
        <w:fldChar w:fldCharType="begin"/>
      </w:r>
      <w:r>
        <w:instrText xml:space="preserve"> HYPERLINK "https://doi.org/10.1108/ijrdm-03-2021-0138" </w:instrText>
      </w:r>
      <w:r>
        <w:rPr/>
        <w:fldChar w:fldCharType="separate"/>
      </w:r>
      <w:r>
        <w:rPr>
          <w:rStyle w:val="style85"/>
          <w:rFonts w:ascii="Arial" w:cs="Arial" w:hAnsi="Arial"/>
        </w:rPr>
        <w:t>https://doi.org/10.1108/ijrdm-03-2021-0138</w:t>
      </w:r>
      <w:r>
        <w:rPr/>
        <w:fldChar w:fldCharType="end"/>
      </w:r>
      <w:r>
        <w:rPr>
          <w:rFonts w:ascii="Arial" w:cs="Arial" w:hAnsi="Arial"/>
        </w:rPr>
        <w:t xml:space="preserve">. </w:t>
      </w:r>
    </w:p>
    <w:p w14:paraId="01D25926">
      <w:pPr>
        <w:pStyle w:val="style0"/>
        <w:spacing w:lineRule="auto" w:line="360"/>
        <w:rPr>
          <w:rFonts w:ascii="Arial" w:cs="Arial" w:hAnsi="Arial"/>
          <w:lang w:val="en-US"/>
        </w:rPr>
      </w:pPr>
      <w:r>
        <w:rPr>
          <w:rFonts w:ascii="Arial" w:cs="Arial" w:hAnsi="Arial"/>
          <w:lang w:val="en-US"/>
        </w:rPr>
        <w:t xml:space="preserve">Anshar, D. </w:t>
      </w:r>
      <w:r>
        <w:rPr>
          <w:rFonts w:ascii="Arial" w:cs="Arial" w:hAnsi="Arial"/>
          <w:i/>
          <w:iCs/>
          <w:lang w:val="en-US"/>
        </w:rPr>
        <w:t>et al.</w:t>
      </w:r>
      <w:r>
        <w:rPr>
          <w:rFonts w:ascii="Arial" w:cs="Arial" w:hAnsi="Arial"/>
          <w:lang w:val="en-US"/>
        </w:rPr>
        <w:t xml:space="preserve"> (2018) “Impact of customer trust toward loyalty: the mediating role of perceived usefulness and satisfaction,” </w:t>
      </w:r>
      <w:r>
        <w:rPr>
          <w:rFonts w:ascii="Arial" w:cs="Arial" w:hAnsi="Arial"/>
          <w:i/>
          <w:iCs/>
          <w:lang w:val="en-US"/>
        </w:rPr>
        <w:t>Journal of Business &amp; Retail Management Research</w:t>
      </w:r>
      <w:r>
        <w:rPr>
          <w:rFonts w:ascii="Arial" w:cs="Arial" w:hAnsi="Arial"/>
          <w:lang w:val="en-US"/>
        </w:rPr>
        <w:t xml:space="preserve">, 13(02). Available at: </w:t>
      </w:r>
      <w:r>
        <w:rPr/>
        <w:fldChar w:fldCharType="begin"/>
      </w:r>
      <w:r>
        <w:instrText xml:space="preserve"> HYPERLINK "https://doi.org/10.24052/jbrmr/v13is02/art-21" </w:instrText>
      </w:r>
      <w:r>
        <w:rPr/>
        <w:fldChar w:fldCharType="separate"/>
      </w:r>
      <w:r>
        <w:rPr>
          <w:rStyle w:val="style85"/>
          <w:rFonts w:ascii="Arial" w:cs="Arial" w:hAnsi="Arial"/>
          <w:lang w:val="en-US"/>
        </w:rPr>
        <w:t>https://doi.org/10.24052/jbrmr/v13is02/art-21</w:t>
      </w:r>
      <w:r>
        <w:rPr/>
        <w:fldChar w:fldCharType="end"/>
      </w:r>
      <w:r>
        <w:rPr>
          <w:rFonts w:ascii="Arial" w:cs="Arial" w:hAnsi="Arial"/>
          <w:lang w:val="en-US"/>
        </w:rPr>
        <w:t xml:space="preserve">. </w:t>
      </w:r>
    </w:p>
    <w:p w14:paraId="7DB2B807">
      <w:pPr>
        <w:pStyle w:val="style0"/>
        <w:spacing w:lineRule="auto" w:line="360"/>
        <w:rPr>
          <w:rFonts w:ascii="Arial" w:cs="Arial" w:hAnsi="Arial"/>
        </w:rPr>
      </w:pPr>
      <w:r>
        <w:rPr>
          <w:rFonts w:ascii="Arial" w:cs="Arial" w:hAnsi="Arial"/>
        </w:rPr>
        <w:t xml:space="preserve">ASDA (2023) </w:t>
      </w:r>
      <w:r>
        <w:rPr>
          <w:rFonts w:ascii="Arial" w:cs="Arial" w:hAnsi="Arial"/>
          <w:i/>
          <w:iCs/>
        </w:rPr>
        <w:t>Asda Rewards Review (2026): Is the Loyalty Card Worth It?</w:t>
      </w:r>
      <w:r>
        <w:rPr>
          <w:rFonts w:ascii="Arial" w:cs="Arial" w:hAnsi="Arial"/>
        </w:rPr>
        <w:t xml:space="preserve">, </w:t>
      </w:r>
      <w:r>
        <w:rPr>
          <w:rFonts w:ascii="Arial" w:cs="Arial" w:hAnsi="Arial"/>
          <w:i/>
          <w:iCs/>
        </w:rPr>
        <w:t>Asda.com</w:t>
      </w:r>
      <w:r>
        <w:rPr>
          <w:rFonts w:ascii="Arial" w:cs="Arial" w:hAnsi="Arial"/>
        </w:rPr>
        <w:t xml:space="preserve">. Available at: </w:t>
      </w:r>
      <w:r>
        <w:rPr/>
        <w:fldChar w:fldCharType="begin"/>
      </w:r>
      <w:r>
        <w:instrText xml:space="preserve"> HYPERLINK "https://corporate.asda.com/newsroom/2023/06/08/asda-customers-earn-over-100m-through-popular-rewards-app" </w:instrText>
      </w:r>
      <w:r>
        <w:rPr/>
        <w:fldChar w:fldCharType="separate"/>
      </w:r>
      <w:r>
        <w:rPr>
          <w:rStyle w:val="style85"/>
          <w:rFonts w:ascii="Arial" w:cs="Arial" w:hAnsi="Arial"/>
        </w:rPr>
        <w:t>https://corporate.asda.com/newsroom/2023/06/08/asda-customers-earn-over-100m-through-popular-rewards-app</w:t>
      </w:r>
      <w:r>
        <w:rPr/>
        <w:fldChar w:fldCharType="end"/>
      </w:r>
      <w:r>
        <w:rPr>
          <w:rFonts w:ascii="Arial" w:cs="Arial" w:hAnsi="Arial"/>
        </w:rPr>
        <w:t xml:space="preserve">  (Accessed: September 5, 2026).</w:t>
      </w:r>
    </w:p>
    <w:p w14:paraId="4C4AF1B6">
      <w:pPr>
        <w:pStyle w:val="style0"/>
        <w:spacing w:lineRule="auto" w:line="360"/>
        <w:rPr>
          <w:rFonts w:ascii="Arial" w:cs="Arial" w:hAnsi="Arial"/>
        </w:rPr>
      </w:pPr>
      <w:r>
        <w:rPr>
          <w:rFonts w:ascii="Arial" w:cs="Arial" w:hAnsi="Arial"/>
        </w:rPr>
        <w:t xml:space="preserve">Badrinarayanan, V. and Ramachandran, I. (2024) “Relational exchanges in the sales domain: A review and research agenda through the lens of commitment-trust theory of relationship marketing,” </w:t>
      </w:r>
      <w:r>
        <w:rPr>
          <w:rFonts w:ascii="Arial" w:cs="Arial" w:hAnsi="Arial"/>
          <w:i/>
          <w:iCs/>
        </w:rPr>
        <w:t>Journal of Business Research</w:t>
      </w:r>
      <w:r>
        <w:rPr>
          <w:rFonts w:ascii="Arial" w:cs="Arial" w:hAnsi="Arial"/>
        </w:rPr>
        <w:t>, 177.</w:t>
      </w:r>
    </w:p>
    <w:p w14:paraId="7227A5C3">
      <w:pPr>
        <w:pStyle w:val="style0"/>
        <w:spacing w:lineRule="auto" w:line="360"/>
        <w:rPr>
          <w:rFonts w:ascii="Arial" w:cs="Arial" w:hAnsi="Arial"/>
        </w:rPr>
      </w:pPr>
      <w:r>
        <w:rPr>
          <w:rFonts w:ascii="Arial" w:cs="Arial" w:hAnsi="Arial"/>
        </w:rPr>
        <w:t xml:space="preserve">Bandi, N., Cohen, M.C. and Ray, S. (2024) “Behavioral retail operations: Tactics to win customers,” </w:t>
      </w:r>
      <w:r>
        <w:rPr>
          <w:rFonts w:ascii="Arial" w:cs="Arial" w:hAnsi="Arial"/>
          <w:i/>
          <w:iCs/>
        </w:rPr>
        <w:t>Foundations and Trends® in Technology Information and Operations Management</w:t>
      </w:r>
      <w:r>
        <w:rPr>
          <w:rFonts w:ascii="Arial" w:cs="Arial" w:hAnsi="Arial"/>
        </w:rPr>
        <w:t>, 18(3–4), pp. 214–420. Available at: https://doi.org/10.1561/0200000111.</w:t>
      </w:r>
    </w:p>
    <w:p w14:paraId="760F1117">
      <w:pPr>
        <w:pStyle w:val="style0"/>
        <w:spacing w:lineRule="auto" w:line="360"/>
        <w:rPr>
          <w:rFonts w:ascii="Arial" w:cs="Arial" w:hAnsi="Arial"/>
        </w:rPr>
      </w:pPr>
      <w:r>
        <w:rPr>
          <w:rFonts w:ascii="Arial" w:cs="Arial" w:hAnsi="Arial"/>
        </w:rPr>
        <w:t xml:space="preserve">Bathgate, R. (2026) </w:t>
      </w:r>
      <w:r>
        <w:rPr>
          <w:rFonts w:ascii="Arial" w:cs="Arial" w:hAnsi="Arial"/>
          <w:i/>
          <w:iCs/>
        </w:rPr>
        <w:t>Lidl takes title of fifth-largest supermarket in the UK</w:t>
      </w:r>
      <w:r>
        <w:rPr>
          <w:rFonts w:ascii="Arial" w:cs="Arial" w:hAnsi="Arial"/>
        </w:rPr>
        <w:t xml:space="preserve">, </w:t>
      </w:r>
      <w:r>
        <w:rPr>
          <w:rFonts w:ascii="Arial" w:cs="Arial" w:hAnsi="Arial"/>
          <w:i/>
          <w:iCs/>
        </w:rPr>
        <w:t>Retail Systems</w:t>
      </w:r>
      <w:r>
        <w:rPr>
          <w:rFonts w:ascii="Arial" w:cs="Arial" w:hAnsi="Arial"/>
        </w:rPr>
        <w:t xml:space="preserve">. Available at: </w:t>
      </w:r>
      <w:r>
        <w:rPr/>
        <w:fldChar w:fldCharType="begin"/>
      </w:r>
      <w:r>
        <w:instrText xml:space="preserve"> HYPERLINK "https://retail-systems.com/rs/Lidl_Takes_Title_Of_Fifth_Largest_Supermarket_In_The_UK.php" </w:instrText>
      </w:r>
      <w:r>
        <w:rPr/>
        <w:fldChar w:fldCharType="separate"/>
      </w:r>
      <w:r>
        <w:rPr>
          <w:rStyle w:val="style85"/>
          <w:rFonts w:ascii="Arial" w:cs="Arial" w:hAnsi="Arial"/>
        </w:rPr>
        <w:t>https://retail-systems.com/rs/Lidl_Takes_Title_Of_Fifth_Largest_Supermarket_In_The_UK.php</w:t>
      </w:r>
      <w:r>
        <w:rPr/>
        <w:fldChar w:fldCharType="end"/>
      </w:r>
      <w:r>
        <w:rPr>
          <w:rFonts w:ascii="Arial" w:cs="Arial" w:hAnsi="Arial"/>
        </w:rPr>
        <w:t xml:space="preserve">  (Accessed: September 4, 2026).</w:t>
      </w:r>
    </w:p>
    <w:p w14:paraId="3B0F84E2">
      <w:pPr>
        <w:pStyle w:val="style0"/>
        <w:spacing w:lineRule="auto" w:line="360"/>
        <w:rPr>
          <w:rFonts w:ascii="Arial" w:cs="Arial" w:hAnsi="Arial"/>
        </w:rPr>
      </w:pPr>
      <w:r>
        <w:rPr>
          <w:rFonts w:ascii="Arial" w:cs="Arial" w:hAnsi="Arial"/>
        </w:rPr>
        <w:t xml:space="preserve">Belli, A. </w:t>
      </w:r>
      <w:r>
        <w:rPr>
          <w:rFonts w:ascii="Arial" w:cs="Arial" w:hAnsi="Arial"/>
          <w:i/>
          <w:iCs/>
        </w:rPr>
        <w:t>et al.</w:t>
      </w:r>
      <w:r>
        <w:rPr>
          <w:rFonts w:ascii="Arial" w:cs="Arial" w:hAnsi="Arial"/>
        </w:rPr>
        <w:t xml:space="preserve"> (2022) “40 years of loyalty programs: how effective are they? Generalizations from a meta-analysis,” </w:t>
      </w:r>
      <w:r>
        <w:rPr>
          <w:rFonts w:ascii="Arial" w:cs="Arial" w:hAnsi="Arial"/>
          <w:i/>
          <w:iCs/>
        </w:rPr>
        <w:t>Journal of the Academy of Marketing Science</w:t>
      </w:r>
      <w:r>
        <w:rPr>
          <w:rFonts w:ascii="Arial" w:cs="Arial" w:hAnsi="Arial"/>
        </w:rPr>
        <w:t xml:space="preserve">, 50(1), pp. 147–173. Available at: </w:t>
      </w:r>
      <w:r>
        <w:rPr/>
        <w:fldChar w:fldCharType="begin"/>
      </w:r>
      <w:r>
        <w:instrText xml:space="preserve"> HYPERLINK "https://doi.org/10.1007/s11747-021-00804-z" </w:instrText>
      </w:r>
      <w:r>
        <w:rPr/>
        <w:fldChar w:fldCharType="separate"/>
      </w:r>
      <w:r>
        <w:rPr>
          <w:rStyle w:val="style85"/>
          <w:rFonts w:ascii="Arial" w:cs="Arial" w:hAnsi="Arial"/>
        </w:rPr>
        <w:t>https://doi.org/10.1007/s11747-021-00804-z</w:t>
      </w:r>
      <w:r>
        <w:rPr/>
        <w:fldChar w:fldCharType="end"/>
      </w:r>
      <w:r>
        <w:rPr>
          <w:rFonts w:ascii="Arial" w:cs="Arial" w:hAnsi="Arial"/>
        </w:rPr>
        <w:t xml:space="preserve">. </w:t>
      </w:r>
    </w:p>
    <w:p w14:paraId="5D69B0BC">
      <w:pPr>
        <w:pStyle w:val="style0"/>
        <w:spacing w:lineRule="auto" w:line="360"/>
        <w:rPr>
          <w:rFonts w:ascii="Arial" w:cs="Arial" w:hAnsi="Arial"/>
        </w:rPr>
      </w:pPr>
      <w:r>
        <w:rPr>
          <w:rFonts w:ascii="Arial" w:cs="Arial" w:hAnsi="Arial"/>
        </w:rPr>
        <w:t xml:space="preserve">Bleier, A. and Eisenbeiss, M. (2015) “Personalized online advertising effectiveness: The interplay of what, when, and where,” </w:t>
      </w:r>
      <w:r>
        <w:rPr>
          <w:rFonts w:ascii="Arial" w:cs="Arial" w:hAnsi="Arial"/>
          <w:i/>
          <w:iCs/>
        </w:rPr>
        <w:t>Marketing Science</w:t>
      </w:r>
      <w:r>
        <w:rPr>
          <w:rFonts w:ascii="Arial" w:cs="Arial" w:hAnsi="Arial"/>
        </w:rPr>
        <w:t xml:space="preserve">, 34(5), pp. 669–688. Available at: </w:t>
      </w:r>
      <w:r>
        <w:rPr/>
        <w:fldChar w:fldCharType="begin"/>
      </w:r>
      <w:r>
        <w:instrText xml:space="preserve"> HYPERLINK "https://doi.org/10.1287/mksc.2015.0930" </w:instrText>
      </w:r>
      <w:r>
        <w:rPr/>
        <w:fldChar w:fldCharType="separate"/>
      </w:r>
      <w:r>
        <w:rPr>
          <w:rStyle w:val="style85"/>
          <w:rFonts w:ascii="Arial" w:cs="Arial" w:hAnsi="Arial"/>
        </w:rPr>
        <w:t>https://doi.org/10.1287/mksc.2015.0930</w:t>
      </w:r>
      <w:r>
        <w:rPr/>
        <w:fldChar w:fldCharType="end"/>
      </w:r>
      <w:r>
        <w:rPr>
          <w:rFonts w:ascii="Arial" w:cs="Arial" w:hAnsi="Arial"/>
        </w:rPr>
        <w:t xml:space="preserve">. </w:t>
      </w:r>
    </w:p>
    <w:p w14:paraId="3AAE05F2">
      <w:pPr>
        <w:pStyle w:val="style0"/>
        <w:spacing w:lineRule="auto" w:line="360"/>
        <w:rPr>
          <w:rFonts w:ascii="Arial" w:cs="Arial" w:hAnsi="Arial"/>
        </w:rPr>
      </w:pPr>
      <w:r>
        <w:rPr>
          <w:rFonts w:ascii="Arial" w:cs="Arial" w:hAnsi="Arial"/>
        </w:rPr>
        <w:t xml:space="preserve">Bouncken, R.B., Czakon, W. and Schmitt, F. (2026) “Purposeful sampling and saturation in qualitative research methodologies: recommendations and review,” </w:t>
      </w:r>
      <w:r>
        <w:rPr>
          <w:rFonts w:ascii="Arial" w:cs="Arial" w:hAnsi="Arial"/>
          <w:i/>
          <w:iCs/>
        </w:rPr>
        <w:t>Review of Managerial Science</w:t>
      </w:r>
      <w:r>
        <w:rPr>
          <w:rFonts w:ascii="Arial" w:cs="Arial" w:hAnsi="Arial"/>
        </w:rPr>
        <w:t xml:space="preserve">, 20(2), pp. 579–615. Available at: </w:t>
      </w:r>
      <w:r>
        <w:rPr/>
        <w:fldChar w:fldCharType="begin"/>
      </w:r>
      <w:r>
        <w:instrText xml:space="preserve"> HYPERLINK "https://doi.org/10.1007/s11846-025-00881-2" </w:instrText>
      </w:r>
      <w:r>
        <w:rPr/>
        <w:fldChar w:fldCharType="separate"/>
      </w:r>
      <w:r>
        <w:rPr>
          <w:rStyle w:val="style85"/>
          <w:rFonts w:ascii="Arial" w:cs="Arial" w:hAnsi="Arial"/>
        </w:rPr>
        <w:t>https://doi.org/10.1007/s11846-025-00881-2</w:t>
      </w:r>
      <w:r>
        <w:rPr/>
        <w:fldChar w:fldCharType="end"/>
      </w:r>
      <w:r>
        <w:rPr>
          <w:rFonts w:ascii="Arial" w:cs="Arial" w:hAnsi="Arial"/>
        </w:rPr>
        <w:t xml:space="preserve">. </w:t>
      </w:r>
    </w:p>
    <w:p w14:paraId="4126F319">
      <w:pPr>
        <w:pStyle w:val="style0"/>
        <w:spacing w:lineRule="auto" w:line="360"/>
        <w:rPr>
          <w:rFonts w:ascii="Arial" w:cs="Arial" w:hAnsi="Arial"/>
        </w:rPr>
      </w:pPr>
      <w:r>
        <w:rPr>
          <w:rFonts w:ascii="Arial" w:cs="Arial" w:hAnsi="Arial"/>
        </w:rPr>
        <w:t xml:space="preserve">Brohan, M. (2025) </w:t>
      </w:r>
      <w:r>
        <w:rPr>
          <w:rFonts w:ascii="Arial" w:cs="Arial" w:hAnsi="Arial"/>
          <w:i/>
          <w:iCs/>
        </w:rPr>
        <w:t>Personalization can damage B2B customer loyalty and sales</w:t>
      </w:r>
      <w:r>
        <w:rPr>
          <w:rFonts w:ascii="Arial" w:cs="Arial" w:hAnsi="Arial"/>
        </w:rPr>
        <w:t xml:space="preserve">, </w:t>
      </w:r>
      <w:r>
        <w:rPr>
          <w:rFonts w:ascii="Arial" w:cs="Arial" w:hAnsi="Arial"/>
          <w:i/>
          <w:iCs/>
        </w:rPr>
        <w:t>Digitalcommerce360.com</w:t>
      </w:r>
      <w:r>
        <w:rPr>
          <w:rFonts w:ascii="Arial" w:cs="Arial" w:hAnsi="Arial"/>
        </w:rPr>
        <w:t xml:space="preserve">. Available at: </w:t>
      </w:r>
      <w:r>
        <w:rPr/>
        <w:fldChar w:fldCharType="begin"/>
      </w:r>
      <w:r>
        <w:instrText xml:space="preserve"> HYPERLINK "https://www.digitalcommerce360.com/2025/06/05/personalization-can-damage-b2b-customer-loyalty-sales/" </w:instrText>
      </w:r>
      <w:r>
        <w:rPr/>
        <w:fldChar w:fldCharType="separate"/>
      </w:r>
      <w:r>
        <w:rPr>
          <w:rStyle w:val="style85"/>
          <w:rFonts w:ascii="Arial" w:cs="Arial" w:hAnsi="Arial"/>
        </w:rPr>
        <w:t>https://www.digitalcommerce360.com/2025/06/05/personalization-can-damage-b2b-customer-loyalty-sales/</w:t>
      </w:r>
      <w:r>
        <w:rPr/>
        <w:fldChar w:fldCharType="end"/>
      </w:r>
      <w:r>
        <w:rPr>
          <w:rFonts w:ascii="Arial" w:cs="Arial" w:hAnsi="Arial"/>
        </w:rPr>
        <w:t xml:space="preserve">  </w:t>
      </w:r>
    </w:p>
    <w:p w14:paraId="0E48EC4A">
      <w:pPr>
        <w:pStyle w:val="style0"/>
        <w:spacing w:lineRule="auto" w:line="360"/>
        <w:rPr>
          <w:rFonts w:ascii="Arial" w:cs="Arial" w:hAnsi="Arial"/>
        </w:rPr>
      </w:pPr>
      <w:r>
        <w:rPr>
          <w:rFonts w:ascii="Arial" w:cs="Arial" w:hAnsi="Arial"/>
        </w:rPr>
        <w:t xml:space="preserve">Carroll, N. (2023) </w:t>
      </w:r>
      <w:r>
        <w:rPr>
          <w:rFonts w:ascii="Arial" w:cs="Arial" w:hAnsi="Arial"/>
          <w:i/>
          <w:iCs/>
        </w:rPr>
        <w:t>Tesco’s CMO on making Clubcard stand out in a sea of loyalty schemes</w:t>
      </w:r>
      <w:r>
        <w:rPr>
          <w:rFonts w:ascii="Arial" w:cs="Arial" w:hAnsi="Arial"/>
        </w:rPr>
        <w:t xml:space="preserve">, </w:t>
      </w:r>
      <w:r>
        <w:rPr>
          <w:rFonts w:ascii="Arial" w:cs="Arial" w:hAnsi="Arial"/>
          <w:i/>
          <w:iCs/>
        </w:rPr>
        <w:t>Marketingweek.com</w:t>
      </w:r>
      <w:r>
        <w:rPr>
          <w:rFonts w:ascii="Arial" w:cs="Arial" w:hAnsi="Arial"/>
        </w:rPr>
        <w:t xml:space="preserve">. Available at: </w:t>
      </w:r>
      <w:r>
        <w:rPr/>
        <w:fldChar w:fldCharType="begin"/>
      </w:r>
      <w:r>
        <w:instrText xml:space="preserve"> HYPERLINK "https://www.marketingweek.com/tesco-clubcard-stand-out/" </w:instrText>
      </w:r>
      <w:r>
        <w:rPr/>
        <w:fldChar w:fldCharType="separate"/>
      </w:r>
      <w:r>
        <w:rPr>
          <w:rStyle w:val="style85"/>
          <w:rFonts w:ascii="Arial" w:cs="Arial" w:hAnsi="Arial"/>
        </w:rPr>
        <w:t>https://www.marketingweek.com/tesco-clubcard-stand-out/</w:t>
      </w:r>
      <w:r>
        <w:rPr/>
        <w:fldChar w:fldCharType="end"/>
      </w:r>
      <w:r>
        <w:rPr>
          <w:rFonts w:ascii="Arial" w:cs="Arial" w:hAnsi="Arial"/>
        </w:rPr>
        <w:t xml:space="preserve">  (Accessed: September 4, 2026).</w:t>
      </w:r>
    </w:p>
    <w:p w14:paraId="1E9D7D12">
      <w:pPr>
        <w:pStyle w:val="style0"/>
        <w:spacing w:lineRule="auto" w:line="360"/>
        <w:rPr>
          <w:rFonts w:ascii="Arial" w:cs="Arial" w:hAnsi="Arial"/>
        </w:rPr>
      </w:pPr>
      <w:r>
        <w:rPr>
          <w:rFonts w:ascii="Arial" w:cs="Arial" w:hAnsi="Arial"/>
        </w:rPr>
        <w:t xml:space="preserve">Casaca, J.A. and Miguel, L.P. (2024) “The influence of personalisation on consumer satisfaction: Trends and challenges,” in </w:t>
      </w:r>
      <w:r>
        <w:rPr>
          <w:rFonts w:ascii="Arial" w:cs="Arial" w:hAnsi="Arial"/>
          <w:i/>
          <w:iCs/>
        </w:rPr>
        <w:t>Advances in Marketing, Customer Relationship Management, and E-Services</w:t>
      </w:r>
      <w:r>
        <w:rPr>
          <w:rFonts w:ascii="Arial" w:cs="Arial" w:hAnsi="Arial"/>
        </w:rPr>
        <w:t xml:space="preserve">. IGI Global, pp. 256–292.  </w:t>
      </w:r>
    </w:p>
    <w:p w14:paraId="1AD3D922">
      <w:pPr>
        <w:pStyle w:val="style0"/>
        <w:spacing w:lineRule="auto" w:line="360"/>
        <w:rPr>
          <w:rFonts w:ascii="Arial" w:cs="Arial" w:hAnsi="Arial"/>
        </w:rPr>
      </w:pPr>
      <w:r>
        <w:rPr>
          <w:rFonts w:ascii="Arial" w:cs="Arial" w:hAnsi="Arial"/>
        </w:rPr>
        <w:t xml:space="preserve">Chan, J. (2026) “Compensation request to customer: Comparing the perceived fairness of AI vs. human representatives and the influence of solitude and companionship,” </w:t>
      </w:r>
      <w:r>
        <w:rPr>
          <w:rFonts w:ascii="Arial" w:cs="Arial" w:hAnsi="Arial"/>
          <w:i/>
          <w:iCs/>
        </w:rPr>
        <w:t>International Journal of Hospitality Management</w:t>
      </w:r>
      <w:r>
        <w:rPr>
          <w:rFonts w:ascii="Arial" w:cs="Arial" w:hAnsi="Arial"/>
        </w:rPr>
        <w:t>, 132.</w:t>
      </w:r>
    </w:p>
    <w:p w14:paraId="4C3DACAA">
      <w:pPr>
        <w:pStyle w:val="style0"/>
        <w:spacing w:lineRule="auto" w:line="360"/>
        <w:rPr>
          <w:rFonts w:ascii="Arial" w:cs="Arial" w:hAnsi="Arial"/>
        </w:rPr>
      </w:pPr>
      <w:r>
        <w:rPr>
          <w:rFonts w:ascii="Arial" w:cs="Arial" w:hAnsi="Arial"/>
        </w:rPr>
        <w:t xml:space="preserve">Chandra, S. </w:t>
      </w:r>
      <w:r>
        <w:rPr>
          <w:rFonts w:ascii="Arial" w:cs="Arial" w:hAnsi="Arial"/>
          <w:i/>
          <w:iCs/>
        </w:rPr>
        <w:t>et al.</w:t>
      </w:r>
      <w:r>
        <w:rPr>
          <w:rFonts w:ascii="Arial" w:cs="Arial" w:hAnsi="Arial"/>
        </w:rPr>
        <w:t xml:space="preserve"> (2022) “Personalisation in personalised marketing: Trends and ways forward,” </w:t>
      </w:r>
      <w:r>
        <w:rPr>
          <w:rFonts w:ascii="Arial" w:cs="Arial" w:hAnsi="Arial"/>
          <w:i/>
          <w:iCs/>
        </w:rPr>
        <w:t>Psychology &amp; Marketing</w:t>
      </w:r>
      <w:r>
        <w:rPr>
          <w:rFonts w:ascii="Arial" w:cs="Arial" w:hAnsi="Arial"/>
        </w:rPr>
        <w:t>, 39(8), pp. 1529–1562. Available at: https://doi.org/10.1002/mar.21670.</w:t>
      </w:r>
    </w:p>
    <w:p w14:paraId="7515E240">
      <w:pPr>
        <w:pStyle w:val="style0"/>
        <w:spacing w:lineRule="auto" w:line="360"/>
        <w:rPr>
          <w:rFonts w:ascii="Arial" w:cs="Arial" w:hAnsi="Arial"/>
        </w:rPr>
      </w:pPr>
      <w:r>
        <w:rPr>
          <w:rFonts w:ascii="Arial" w:cs="Arial" w:hAnsi="Arial"/>
        </w:rPr>
        <w:t xml:space="preserve">Chatzoglou, P. </w:t>
      </w:r>
      <w:r>
        <w:rPr>
          <w:rFonts w:ascii="Arial" w:cs="Arial" w:hAnsi="Arial"/>
          <w:i/>
          <w:iCs/>
        </w:rPr>
        <w:t>et al.</w:t>
      </w:r>
      <w:r>
        <w:rPr>
          <w:rFonts w:ascii="Arial" w:cs="Arial" w:hAnsi="Arial"/>
        </w:rPr>
        <w:t xml:space="preserve"> (2022) “Factors affecting repurchase intentions in retail shopping: An empirical study,” </w:t>
      </w:r>
      <w:r>
        <w:rPr>
          <w:rFonts w:ascii="Arial" w:cs="Arial" w:hAnsi="Arial"/>
          <w:i/>
          <w:iCs/>
        </w:rPr>
        <w:t>Heliyon</w:t>
      </w:r>
      <w:r>
        <w:rPr>
          <w:rFonts w:ascii="Arial" w:cs="Arial" w:hAnsi="Arial"/>
        </w:rPr>
        <w:t xml:space="preserve">, 8(9), p. e10619. Available at: </w:t>
      </w:r>
      <w:r>
        <w:rPr/>
        <w:fldChar w:fldCharType="begin"/>
      </w:r>
      <w:r>
        <w:instrText xml:space="preserve"> HYPERLINK "https://doi.org/10.1016/j.heliyon.2022.e10619" </w:instrText>
      </w:r>
      <w:r>
        <w:rPr/>
        <w:fldChar w:fldCharType="separate"/>
      </w:r>
      <w:r>
        <w:rPr>
          <w:rStyle w:val="style85"/>
          <w:rFonts w:ascii="Arial" w:cs="Arial" w:hAnsi="Arial"/>
        </w:rPr>
        <w:t>https://doi.org/10.1016/j.heliyon.2022.e10619</w:t>
      </w:r>
      <w:r>
        <w:rPr/>
        <w:fldChar w:fldCharType="end"/>
      </w:r>
      <w:r>
        <w:rPr>
          <w:rFonts w:ascii="Arial" w:cs="Arial" w:hAnsi="Arial"/>
        </w:rPr>
        <w:t xml:space="preserve">.  </w:t>
      </w:r>
    </w:p>
    <w:p w14:paraId="6395B20D">
      <w:pPr>
        <w:pStyle w:val="style0"/>
        <w:spacing w:lineRule="auto" w:line="360"/>
        <w:rPr>
          <w:rFonts w:ascii="Arial" w:cs="Arial" w:hAnsi="Arial"/>
        </w:rPr>
      </w:pPr>
      <w:r>
        <w:rPr>
          <w:rFonts w:ascii="Arial" w:cs="Arial" w:hAnsi="Arial"/>
        </w:rPr>
        <w:t xml:space="preserve">Chen, R., Evanschitzky, H. and Blut, M. (2026) “Understanding loyalty program effectiveness across the customer journey: A meta-analysis,” </w:t>
      </w:r>
      <w:r>
        <w:rPr>
          <w:rFonts w:ascii="Arial" w:cs="Arial" w:hAnsi="Arial"/>
          <w:i/>
          <w:iCs/>
        </w:rPr>
        <w:t>Journal of Retailing</w:t>
      </w:r>
      <w:r>
        <w:rPr>
          <w:rFonts w:ascii="Arial" w:cs="Arial" w:hAnsi="Arial"/>
        </w:rPr>
        <w:t xml:space="preserve"> [Preprint]. Available at: </w:t>
      </w:r>
      <w:r>
        <w:rPr/>
        <w:fldChar w:fldCharType="begin"/>
      </w:r>
      <w:r>
        <w:instrText xml:space="preserve"> HYPERLINK "https://doi.org/10.1016/j.jretai.2026.07.006" </w:instrText>
      </w:r>
      <w:r>
        <w:rPr/>
        <w:fldChar w:fldCharType="separate"/>
      </w:r>
      <w:r>
        <w:rPr>
          <w:rStyle w:val="style85"/>
          <w:rFonts w:ascii="Arial" w:cs="Arial" w:hAnsi="Arial"/>
        </w:rPr>
        <w:t>https://doi.org/10.1016/j.jretai.2026.07.006</w:t>
      </w:r>
      <w:r>
        <w:rPr/>
        <w:fldChar w:fldCharType="end"/>
      </w:r>
      <w:r>
        <w:rPr>
          <w:rFonts w:ascii="Arial" w:cs="Arial" w:hAnsi="Arial"/>
        </w:rPr>
        <w:t xml:space="preserve">. </w:t>
      </w:r>
    </w:p>
    <w:p w14:paraId="00DC7FDB">
      <w:pPr>
        <w:pStyle w:val="style0"/>
        <w:spacing w:lineRule="auto" w:line="360"/>
        <w:rPr>
          <w:rFonts w:ascii="Arial" w:cs="Arial" w:hAnsi="Arial"/>
        </w:rPr>
      </w:pPr>
      <w:r>
        <w:rPr>
          <w:rFonts w:ascii="Arial" w:cs="Arial" w:hAnsi="Arial"/>
        </w:rPr>
        <w:t xml:space="preserve">Chen, S.-C. (2012) “The customer satisfaction–loyalty relation in an interactive e-service setting: The mediators,” </w:t>
      </w:r>
      <w:r>
        <w:rPr>
          <w:rFonts w:ascii="Arial" w:cs="Arial" w:hAnsi="Arial"/>
          <w:i/>
          <w:iCs/>
        </w:rPr>
        <w:t>Journal of Retailing and Consumer Services</w:t>
      </w:r>
      <w:r>
        <w:rPr>
          <w:rFonts w:ascii="Arial" w:cs="Arial" w:hAnsi="Arial"/>
        </w:rPr>
        <w:t xml:space="preserve">, 19(2), pp. 202–210. Available at: </w:t>
      </w:r>
      <w:r>
        <w:rPr/>
        <w:fldChar w:fldCharType="begin"/>
      </w:r>
      <w:r>
        <w:instrText xml:space="preserve"> HYPERLINK "https://doi.org/10.1016/j.jretconser.2012.01.001" </w:instrText>
      </w:r>
      <w:r>
        <w:rPr/>
        <w:fldChar w:fldCharType="separate"/>
      </w:r>
      <w:r>
        <w:rPr>
          <w:rStyle w:val="style85"/>
          <w:rFonts w:ascii="Arial" w:cs="Arial" w:hAnsi="Arial"/>
        </w:rPr>
        <w:t>https://doi.org/10.1016/j.jretconser.2012.01.001</w:t>
      </w:r>
      <w:r>
        <w:rPr/>
        <w:fldChar w:fldCharType="end"/>
      </w:r>
      <w:r>
        <w:rPr>
          <w:rFonts w:ascii="Arial" w:cs="Arial" w:hAnsi="Arial"/>
        </w:rPr>
        <w:t xml:space="preserve">. </w:t>
      </w:r>
    </w:p>
    <w:p w14:paraId="2621B3F3">
      <w:pPr>
        <w:pStyle w:val="style0"/>
        <w:spacing w:lineRule="auto" w:line="360"/>
        <w:rPr>
          <w:rFonts w:ascii="Arial" w:cs="Arial" w:hAnsi="Arial"/>
        </w:rPr>
      </w:pPr>
      <w:r>
        <w:rPr>
          <w:rFonts w:ascii="Arial" w:cs="Arial" w:hAnsi="Arial"/>
        </w:rPr>
        <w:t xml:space="preserve">Chen, Y., Mandler, T. and Meyer-Waarden, L. (2021) “Three decades of research on loyalty programs: A literature review and future research agenda,” </w:t>
      </w:r>
      <w:r>
        <w:rPr>
          <w:rFonts w:ascii="Arial" w:cs="Arial" w:hAnsi="Arial"/>
          <w:i/>
          <w:iCs/>
        </w:rPr>
        <w:t>Journal of Business Research</w:t>
      </w:r>
      <w:r>
        <w:rPr>
          <w:rFonts w:ascii="Arial" w:cs="Arial" w:hAnsi="Arial"/>
        </w:rPr>
        <w:t xml:space="preserve">, 124, pp. 179–197. Available at: </w:t>
      </w:r>
      <w:r>
        <w:rPr/>
        <w:fldChar w:fldCharType="begin"/>
      </w:r>
      <w:r>
        <w:instrText xml:space="preserve"> HYPERLINK "https://doi.org/10.1016/j.jbusres.2020.11.057" </w:instrText>
      </w:r>
      <w:r>
        <w:rPr/>
        <w:fldChar w:fldCharType="separate"/>
      </w:r>
      <w:r>
        <w:rPr>
          <w:rStyle w:val="style85"/>
          <w:rFonts w:ascii="Arial" w:cs="Arial" w:hAnsi="Arial"/>
        </w:rPr>
        <w:t>https://doi.org/10.1016/j.jbusres.2020.11.057</w:t>
      </w:r>
      <w:r>
        <w:rPr/>
        <w:fldChar w:fldCharType="end"/>
      </w:r>
      <w:r>
        <w:rPr>
          <w:rFonts w:ascii="Arial" w:cs="Arial" w:hAnsi="Arial"/>
        </w:rPr>
        <w:t xml:space="preserve">. </w:t>
      </w:r>
    </w:p>
    <w:p w14:paraId="76013E60">
      <w:pPr>
        <w:pStyle w:val="style0"/>
        <w:spacing w:lineRule="auto" w:line="360"/>
        <w:rPr>
          <w:rFonts w:ascii="Arial" w:cs="Arial" w:hAnsi="Arial"/>
        </w:rPr>
      </w:pPr>
      <w:r>
        <w:rPr>
          <w:rFonts w:ascii="Arial" w:cs="Arial" w:hAnsi="Arial"/>
        </w:rPr>
        <w:t xml:space="preserve">Cheong, H.I. </w:t>
      </w:r>
      <w:r>
        <w:rPr>
          <w:rFonts w:ascii="Arial" w:cs="Arial" w:hAnsi="Arial"/>
          <w:i/>
          <w:iCs/>
        </w:rPr>
        <w:t>et al.</w:t>
      </w:r>
      <w:r>
        <w:rPr>
          <w:rFonts w:ascii="Arial" w:cs="Arial" w:hAnsi="Arial"/>
        </w:rPr>
        <w:t xml:space="preserve"> (2023) “Secondary qualitative research methodology using online data within the context of social sciences,” </w:t>
      </w:r>
      <w:r>
        <w:rPr>
          <w:rFonts w:ascii="Arial" w:cs="Arial" w:hAnsi="Arial"/>
          <w:i/>
          <w:iCs/>
        </w:rPr>
        <w:t>International Journal of Qualitative Methods</w:t>
      </w:r>
      <w:r>
        <w:rPr>
          <w:rFonts w:ascii="Arial" w:cs="Arial" w:hAnsi="Arial"/>
        </w:rPr>
        <w:t>, 22.</w:t>
      </w:r>
    </w:p>
    <w:p w14:paraId="28C2F10F">
      <w:pPr>
        <w:pStyle w:val="style0"/>
        <w:spacing w:lineRule="auto" w:line="360"/>
        <w:rPr>
          <w:rFonts w:ascii="Arial" w:cs="Arial" w:hAnsi="Arial"/>
        </w:rPr>
      </w:pPr>
      <w:r>
        <w:rPr>
          <w:rFonts w:ascii="Arial" w:cs="Arial" w:hAnsi="Arial"/>
        </w:rPr>
        <w:t xml:space="preserve">Cherian, A. (2026) “Can Lidl go urban? Evaluating a small-format convenience store strategy for the UK market.” Available at: </w:t>
      </w:r>
      <w:r>
        <w:rPr/>
        <w:fldChar w:fldCharType="begin"/>
      </w:r>
      <w:r>
        <w:instrText xml:space="preserve"> HYPERLINK "https://doi.org/10.2139/ssrn.6789219" </w:instrText>
      </w:r>
      <w:r>
        <w:rPr/>
        <w:fldChar w:fldCharType="separate"/>
      </w:r>
      <w:r>
        <w:rPr>
          <w:rStyle w:val="style85"/>
          <w:rFonts w:ascii="Arial" w:cs="Arial" w:hAnsi="Arial"/>
        </w:rPr>
        <w:t>https://doi.org/10.2139/ssrn.6789219</w:t>
      </w:r>
      <w:r>
        <w:rPr/>
        <w:fldChar w:fldCharType="end"/>
      </w:r>
      <w:r>
        <w:rPr>
          <w:rFonts w:ascii="Arial" w:cs="Arial" w:hAnsi="Arial"/>
        </w:rPr>
        <w:t xml:space="preserve">. </w:t>
      </w:r>
    </w:p>
    <w:p w14:paraId="59A69833">
      <w:pPr>
        <w:pStyle w:val="style0"/>
        <w:spacing w:lineRule="auto" w:line="360"/>
        <w:rPr>
          <w:rFonts w:ascii="Arial" w:cs="Arial" w:hAnsi="Arial"/>
          <w:lang w:val="en-US"/>
        </w:rPr>
      </w:pPr>
      <w:r>
        <w:rPr>
          <w:rFonts w:ascii="Arial" w:cs="Arial" w:hAnsi="Arial"/>
          <w:lang w:val="en-US"/>
        </w:rPr>
        <w:t xml:space="preserve">Chhabra, S. (2017) “An empirical analysis of the effect of a retailers loyalty programme on their customers’ loyalty,” </w:t>
      </w:r>
      <w:r>
        <w:rPr>
          <w:rFonts w:ascii="Arial" w:cs="Arial" w:hAnsi="Arial"/>
          <w:i/>
          <w:iCs/>
          <w:lang w:val="en-US"/>
        </w:rPr>
        <w:t>Global Business Review</w:t>
      </w:r>
      <w:r>
        <w:rPr>
          <w:rFonts w:ascii="Arial" w:cs="Arial" w:hAnsi="Arial"/>
          <w:lang w:val="en-US"/>
        </w:rPr>
        <w:t xml:space="preserve">, 18(2), pp. 445–464. Available at: </w:t>
      </w:r>
      <w:r>
        <w:rPr/>
        <w:fldChar w:fldCharType="begin"/>
      </w:r>
      <w:r>
        <w:instrText xml:space="preserve"> HYPERLINK "https://doi.org/10.1177/0972150916668612" </w:instrText>
      </w:r>
      <w:r>
        <w:rPr/>
        <w:fldChar w:fldCharType="separate"/>
      </w:r>
      <w:r>
        <w:rPr>
          <w:rStyle w:val="style85"/>
          <w:rFonts w:ascii="Arial" w:cs="Arial" w:hAnsi="Arial"/>
          <w:lang w:val="en-US"/>
        </w:rPr>
        <w:t>https://doi.org/10.1177/0972150916668612</w:t>
      </w:r>
      <w:r>
        <w:rPr/>
        <w:fldChar w:fldCharType="end"/>
      </w:r>
      <w:r>
        <w:rPr>
          <w:rFonts w:ascii="Arial" w:cs="Arial" w:hAnsi="Arial"/>
          <w:lang w:val="en-US"/>
        </w:rPr>
        <w:t xml:space="preserve">. </w:t>
      </w:r>
    </w:p>
    <w:p w14:paraId="6729CEDE">
      <w:pPr>
        <w:pStyle w:val="style0"/>
        <w:spacing w:lineRule="auto" w:line="360"/>
        <w:rPr>
          <w:rFonts w:ascii="Arial" w:cs="Arial" w:hAnsi="Arial"/>
        </w:rPr>
      </w:pPr>
      <w:r>
        <w:rPr>
          <w:rFonts w:ascii="Arial" w:cs="Arial" w:hAnsi="Arial"/>
        </w:rPr>
        <w:t xml:space="preserve">Claydon, L.S. (2015) “Rigour in quantitative research,” </w:t>
      </w:r>
      <w:r>
        <w:rPr>
          <w:rFonts w:ascii="Arial" w:cs="Arial" w:hAnsi="Arial"/>
          <w:i/>
          <w:iCs/>
        </w:rPr>
        <w:t>Nursing Standard (Royal College of Nursing (Great Britain): 1987)</w:t>
      </w:r>
      <w:r>
        <w:rPr>
          <w:rFonts w:ascii="Arial" w:cs="Arial" w:hAnsi="Arial"/>
        </w:rPr>
        <w:t xml:space="preserve">, 29(47), pp. 43–48. Available at: </w:t>
      </w:r>
      <w:r>
        <w:rPr/>
        <w:fldChar w:fldCharType="begin"/>
      </w:r>
      <w:r>
        <w:instrText xml:space="preserve"> HYPERLINK "https://doi.org/10.7748/ns.29.47.43.e8820" </w:instrText>
      </w:r>
      <w:r>
        <w:rPr/>
        <w:fldChar w:fldCharType="separate"/>
      </w:r>
      <w:r>
        <w:rPr>
          <w:rStyle w:val="style85"/>
          <w:rFonts w:ascii="Arial" w:cs="Arial" w:hAnsi="Arial"/>
        </w:rPr>
        <w:t>https://doi.org/10.7748/ns.29.47.43.e8820</w:t>
      </w:r>
      <w:r>
        <w:rPr/>
        <w:fldChar w:fldCharType="end"/>
      </w:r>
      <w:r>
        <w:rPr>
          <w:rFonts w:ascii="Arial" w:cs="Arial" w:hAnsi="Arial"/>
        </w:rPr>
        <w:t xml:space="preserve">. </w:t>
      </w:r>
    </w:p>
    <w:p w14:paraId="49F1FB88">
      <w:pPr>
        <w:pStyle w:val="style0"/>
        <w:spacing w:lineRule="auto" w:line="360"/>
        <w:rPr>
          <w:rFonts w:ascii="Arial" w:cs="Arial" w:hAnsi="Arial"/>
        </w:rPr>
      </w:pPr>
      <w:r>
        <w:rPr>
          <w:rFonts w:ascii="Arial" w:cs="Arial" w:hAnsi="Arial"/>
        </w:rPr>
        <w:t xml:space="preserve">CMA (2024a) </w:t>
      </w:r>
      <w:r>
        <w:rPr>
          <w:rFonts w:ascii="Arial" w:cs="Arial" w:hAnsi="Arial"/>
          <w:i/>
          <w:iCs/>
        </w:rPr>
        <w:t>Groceries: Loyalty prices offer genuine savings, says CMA</w:t>
      </w:r>
      <w:r>
        <w:rPr>
          <w:rFonts w:ascii="Arial" w:cs="Arial" w:hAnsi="Arial"/>
        </w:rPr>
        <w:t xml:space="preserve">, </w:t>
      </w:r>
      <w:r>
        <w:rPr>
          <w:rFonts w:ascii="Arial" w:cs="Arial" w:hAnsi="Arial"/>
          <w:i/>
          <w:iCs/>
        </w:rPr>
        <w:t>Gov.uk</w:t>
      </w:r>
      <w:r>
        <w:rPr>
          <w:rFonts w:ascii="Arial" w:cs="Arial" w:hAnsi="Arial"/>
        </w:rPr>
        <w:t xml:space="preserve">. Available at: </w:t>
      </w:r>
      <w:r>
        <w:rPr/>
        <w:fldChar w:fldCharType="begin"/>
      </w:r>
      <w:r>
        <w:instrText xml:space="preserve"> HYPERLINK "https://www.gov.uk/government/news/groceries-loyalty-prices-offer-genuine-savings-says-cma" </w:instrText>
      </w:r>
      <w:r>
        <w:rPr/>
        <w:fldChar w:fldCharType="separate"/>
      </w:r>
      <w:r>
        <w:rPr>
          <w:rStyle w:val="style85"/>
          <w:rFonts w:ascii="Arial" w:cs="Arial" w:hAnsi="Arial"/>
        </w:rPr>
        <w:t>https://www.gov.uk/government/news/groceries-loyalty-prices-offer-genuine-savings-says-cma</w:t>
      </w:r>
      <w:r>
        <w:rPr/>
        <w:fldChar w:fldCharType="end"/>
      </w:r>
      <w:r>
        <w:rPr>
          <w:rFonts w:ascii="Arial" w:cs="Arial" w:hAnsi="Arial"/>
        </w:rPr>
        <w:t xml:space="preserve">  </w:t>
      </w:r>
    </w:p>
    <w:p w14:paraId="634B64EC">
      <w:pPr>
        <w:pStyle w:val="style0"/>
        <w:spacing w:lineRule="auto" w:line="360"/>
        <w:rPr>
          <w:rFonts w:ascii="Arial" w:cs="Arial" w:hAnsi="Arial"/>
        </w:rPr>
      </w:pPr>
      <w:r>
        <w:rPr>
          <w:rFonts w:ascii="Arial" w:cs="Arial" w:hAnsi="Arial"/>
        </w:rPr>
        <w:t xml:space="preserve">CMA (2024b) </w:t>
      </w:r>
      <w:r>
        <w:rPr>
          <w:rFonts w:ascii="Arial" w:cs="Arial" w:hAnsi="Arial"/>
          <w:i/>
          <w:iCs/>
        </w:rPr>
        <w:t>Research and analysis: Executive summary</w:t>
      </w:r>
      <w:r>
        <w:rPr>
          <w:rFonts w:ascii="Arial" w:cs="Arial" w:hAnsi="Arial"/>
        </w:rPr>
        <w:t xml:space="preserve">, </w:t>
      </w:r>
      <w:r>
        <w:rPr>
          <w:rFonts w:ascii="Arial" w:cs="Arial" w:hAnsi="Arial"/>
          <w:i/>
          <w:iCs/>
        </w:rPr>
        <w:t>Gov.uk</w:t>
      </w:r>
      <w:r>
        <w:rPr>
          <w:rFonts w:ascii="Arial" w:cs="Arial" w:hAnsi="Arial"/>
        </w:rPr>
        <w:t xml:space="preserve">. Available at: </w:t>
      </w:r>
      <w:r>
        <w:rPr/>
        <w:fldChar w:fldCharType="begin"/>
      </w:r>
      <w:r>
        <w:instrText xml:space="preserve"> HYPERLINK "https://www.gov.uk/government/publications/review-of-loyalty-pricing-in-the-groceries-sector/executive-summary" </w:instrText>
      </w:r>
      <w:r>
        <w:rPr/>
        <w:fldChar w:fldCharType="separate"/>
      </w:r>
      <w:r>
        <w:rPr>
          <w:rStyle w:val="style85"/>
          <w:rFonts w:ascii="Arial" w:cs="Arial" w:hAnsi="Arial"/>
        </w:rPr>
        <w:t>https://www.gov.uk/government/publications/review-of-loyalty-pricing-in-the-groceries-sector/executive-summary</w:t>
      </w:r>
      <w:r>
        <w:rPr/>
        <w:fldChar w:fldCharType="end"/>
      </w:r>
      <w:r>
        <w:rPr>
          <w:rFonts w:ascii="Arial" w:cs="Arial" w:hAnsi="Arial"/>
        </w:rPr>
        <w:t xml:space="preserve">  </w:t>
      </w:r>
    </w:p>
    <w:p w14:paraId="5E6BADBD">
      <w:pPr>
        <w:pStyle w:val="style0"/>
        <w:spacing w:lineRule="auto" w:line="360"/>
        <w:rPr>
          <w:rFonts w:ascii="Arial" w:cs="Arial" w:hAnsi="Arial"/>
        </w:rPr>
      </w:pPr>
      <w:r>
        <w:rPr>
          <w:rFonts w:ascii="Arial" w:cs="Arial" w:hAnsi="Arial"/>
        </w:rPr>
        <w:t xml:space="preserve">Coelho, P.S. and Henseler, J. (2012) “Creating customer loyalty through service customisation,” </w:t>
      </w:r>
      <w:r>
        <w:rPr>
          <w:rFonts w:ascii="Arial" w:cs="Arial" w:hAnsi="Arial"/>
          <w:i/>
          <w:iCs/>
        </w:rPr>
        <w:t>European Journal of Marketing</w:t>
      </w:r>
      <w:r>
        <w:rPr>
          <w:rFonts w:ascii="Arial" w:cs="Arial" w:hAnsi="Arial"/>
        </w:rPr>
        <w:t xml:space="preserve">, 46(3/4), pp. 331–356. Available at: </w:t>
      </w:r>
      <w:r>
        <w:rPr/>
        <w:fldChar w:fldCharType="begin"/>
      </w:r>
      <w:r>
        <w:instrText xml:space="preserve"> HYPERLINK "https://doi.org/10.1108/03090561211202503" </w:instrText>
      </w:r>
      <w:r>
        <w:rPr/>
        <w:fldChar w:fldCharType="separate"/>
      </w:r>
      <w:r>
        <w:rPr>
          <w:rStyle w:val="style85"/>
          <w:rFonts w:ascii="Arial" w:cs="Arial" w:hAnsi="Arial"/>
        </w:rPr>
        <w:t>https://doi.org/10.1108/03090561211202503</w:t>
      </w:r>
      <w:r>
        <w:rPr/>
        <w:fldChar w:fldCharType="end"/>
      </w:r>
      <w:r>
        <w:rPr>
          <w:rFonts w:ascii="Arial" w:cs="Arial" w:hAnsi="Arial"/>
        </w:rPr>
        <w:t xml:space="preserve">. </w:t>
      </w:r>
    </w:p>
    <w:p w14:paraId="63F51D1A">
      <w:pPr>
        <w:pStyle w:val="style0"/>
        <w:spacing w:lineRule="auto" w:line="360"/>
        <w:rPr>
          <w:rFonts w:ascii="Arial" w:cs="Arial" w:hAnsi="Arial"/>
        </w:rPr>
      </w:pPr>
      <w:r>
        <w:rPr>
          <w:rFonts w:ascii="Arial" w:cs="Arial" w:hAnsi="Arial"/>
        </w:rPr>
        <w:t xml:space="preserve">Cohen, S.K., Caza, B.B. and Jones, C. (2025) “From puzzling to plausible: The role of abduction in organisational research,” </w:t>
      </w:r>
      <w:r>
        <w:rPr>
          <w:rFonts w:ascii="Arial" w:cs="Arial" w:hAnsi="Arial"/>
          <w:i/>
          <w:iCs/>
        </w:rPr>
        <w:t>Academy of Management Discoveries</w:t>
      </w:r>
      <w:r>
        <w:rPr>
          <w:rFonts w:ascii="Arial" w:cs="Arial" w:hAnsi="Arial"/>
        </w:rPr>
        <w:t xml:space="preserve">, 11(4), pp. 469–478. Available at: </w:t>
      </w:r>
      <w:r>
        <w:rPr/>
        <w:fldChar w:fldCharType="begin"/>
      </w:r>
      <w:r>
        <w:instrText xml:space="preserve"> HYPERLINK "https://doi.org/10.5465/amd.2025.0388" </w:instrText>
      </w:r>
      <w:r>
        <w:rPr/>
        <w:fldChar w:fldCharType="separate"/>
      </w:r>
      <w:r>
        <w:rPr>
          <w:rStyle w:val="style85"/>
          <w:rFonts w:ascii="Arial" w:cs="Arial" w:hAnsi="Arial"/>
        </w:rPr>
        <w:t>https://doi.org/10.5465/amd.2025.0388</w:t>
      </w:r>
      <w:r>
        <w:rPr/>
        <w:fldChar w:fldCharType="end"/>
      </w:r>
      <w:r>
        <w:rPr>
          <w:rFonts w:ascii="Arial" w:cs="Arial" w:hAnsi="Arial"/>
        </w:rPr>
        <w:t xml:space="preserve">. </w:t>
      </w:r>
    </w:p>
    <w:p w14:paraId="4D6A486F">
      <w:pPr>
        <w:pStyle w:val="style0"/>
        <w:spacing w:lineRule="auto" w:line="360"/>
        <w:rPr>
          <w:rFonts w:ascii="Arial" w:cs="Arial" w:hAnsi="Arial"/>
        </w:rPr>
      </w:pPr>
      <w:r>
        <w:rPr>
          <w:rFonts w:ascii="Arial" w:cs="Arial" w:hAnsi="Arial"/>
        </w:rPr>
        <w:t xml:space="preserve">Corbin, T. (2023) </w:t>
      </w:r>
      <w:r>
        <w:rPr>
          <w:rFonts w:ascii="Arial" w:cs="Arial" w:hAnsi="Arial"/>
          <w:i/>
          <w:iCs/>
        </w:rPr>
        <w:t>Sainsbury’s introduces new loyalty initiative “Nectar Prices,”</w:t>
      </w:r>
      <w:r>
        <w:rPr>
          <w:rFonts w:ascii="Arial" w:cs="Arial" w:hAnsi="Arial"/>
        </w:rPr>
        <w:t xml:space="preserve"> </w:t>
      </w:r>
      <w:r>
        <w:rPr>
          <w:rFonts w:ascii="Arial" w:cs="Arial" w:hAnsi="Arial"/>
          <w:i/>
          <w:iCs/>
        </w:rPr>
        <w:t>Talking Retail</w:t>
      </w:r>
      <w:r>
        <w:rPr>
          <w:rFonts w:ascii="Arial" w:cs="Arial" w:hAnsi="Arial"/>
        </w:rPr>
        <w:t xml:space="preserve">. Available at: </w:t>
      </w:r>
      <w:r>
        <w:rPr/>
        <w:fldChar w:fldCharType="begin"/>
      </w:r>
      <w:r>
        <w:instrText xml:space="preserve"> HYPERLINK "https://www.talkingretail.com/news/industry-news/sainsburys-introduces-new-loyalty-initiative-nectar-prices-11-04-2023/" </w:instrText>
      </w:r>
      <w:r>
        <w:rPr/>
        <w:fldChar w:fldCharType="separate"/>
      </w:r>
      <w:r>
        <w:rPr>
          <w:rStyle w:val="style85"/>
          <w:rFonts w:ascii="Arial" w:cs="Arial" w:hAnsi="Arial"/>
        </w:rPr>
        <w:t>https://www.talkingretail.com/news/industry-news/sainsburys-introduces-new-loyalty-initiative-nectar-prices-11-04-2023/</w:t>
      </w:r>
      <w:r>
        <w:rPr/>
        <w:fldChar w:fldCharType="end"/>
      </w:r>
      <w:r>
        <w:rPr>
          <w:rFonts w:ascii="Arial" w:cs="Arial" w:hAnsi="Arial"/>
        </w:rPr>
        <w:t xml:space="preserve">  (Accessed: September 4, 2026).</w:t>
      </w:r>
    </w:p>
    <w:p w14:paraId="0169A9F0">
      <w:pPr>
        <w:pStyle w:val="style0"/>
        <w:spacing w:lineRule="auto" w:line="360"/>
        <w:rPr>
          <w:rFonts w:ascii="Arial" w:cs="Arial" w:hAnsi="Arial"/>
        </w:rPr>
      </w:pPr>
      <w:r>
        <w:rPr>
          <w:rFonts w:ascii="Arial" w:cs="Arial" w:hAnsi="Arial"/>
        </w:rPr>
        <w:t xml:space="preserve">Cragun, D. </w:t>
      </w:r>
      <w:r>
        <w:rPr>
          <w:rFonts w:ascii="Arial" w:cs="Arial" w:hAnsi="Arial"/>
          <w:i/>
          <w:iCs/>
        </w:rPr>
        <w:t>et al.</w:t>
      </w:r>
      <w:r>
        <w:rPr>
          <w:rFonts w:ascii="Arial" w:cs="Arial" w:hAnsi="Arial"/>
        </w:rPr>
        <w:t xml:space="preserve"> (2016) “Qualitative comparative analysis: A hybrid method for identifying factors associated with program effectiveness: A hybrid method for identifying factors associated with program effectiveness,” </w:t>
      </w:r>
      <w:r>
        <w:rPr>
          <w:rFonts w:ascii="Arial" w:cs="Arial" w:hAnsi="Arial"/>
          <w:i/>
          <w:iCs/>
        </w:rPr>
        <w:t>Journal of Mixed Methods Research</w:t>
      </w:r>
      <w:r>
        <w:rPr>
          <w:rFonts w:ascii="Arial" w:cs="Arial" w:hAnsi="Arial"/>
        </w:rPr>
        <w:t xml:space="preserve">, 10(3), pp. 251–272. Available at: </w:t>
      </w:r>
      <w:r>
        <w:rPr/>
        <w:fldChar w:fldCharType="begin"/>
      </w:r>
      <w:r>
        <w:instrText xml:space="preserve"> HYPERLINK "https://doi.org/10.1177/1558689815572023" </w:instrText>
      </w:r>
      <w:r>
        <w:rPr/>
        <w:fldChar w:fldCharType="separate"/>
      </w:r>
      <w:r>
        <w:rPr>
          <w:rStyle w:val="style85"/>
          <w:rFonts w:ascii="Arial" w:cs="Arial" w:hAnsi="Arial"/>
        </w:rPr>
        <w:t>https://doi.org/10.1177/1558689815572023</w:t>
      </w:r>
      <w:r>
        <w:rPr/>
        <w:fldChar w:fldCharType="end"/>
      </w:r>
      <w:r>
        <w:rPr>
          <w:rFonts w:ascii="Arial" w:cs="Arial" w:hAnsi="Arial"/>
        </w:rPr>
        <w:t xml:space="preserve">. </w:t>
      </w:r>
    </w:p>
    <w:p w14:paraId="4DA906F9">
      <w:pPr>
        <w:pStyle w:val="style0"/>
        <w:spacing w:lineRule="auto" w:line="360"/>
        <w:rPr>
          <w:rFonts w:ascii="Arial" w:cs="Arial" w:hAnsi="Arial"/>
          <w:lang w:val="en-US"/>
        </w:rPr>
      </w:pPr>
      <w:r>
        <w:rPr>
          <w:rFonts w:ascii="Arial" w:cs="Arial" w:hAnsi="Arial"/>
          <w:lang w:val="en-US"/>
        </w:rPr>
        <w:t xml:space="preserve">Dado, J., Taborecka-Petrovicova, J. and Rajic, T. (2021) “Towards an integrative framework of relationship quality in a retail setting: Evidence from an emerging economy,” </w:t>
      </w:r>
      <w:r>
        <w:rPr>
          <w:rFonts w:ascii="Arial" w:cs="Arial" w:hAnsi="Arial"/>
          <w:i/>
          <w:iCs/>
          <w:lang w:val="en-US"/>
        </w:rPr>
        <w:t>Management Journal of Sustainable Business and Management Solutions in Emerging Economies</w:t>
      </w:r>
      <w:r>
        <w:rPr>
          <w:rFonts w:ascii="Arial" w:cs="Arial" w:hAnsi="Arial"/>
          <w:lang w:val="en-US"/>
        </w:rPr>
        <w:t xml:space="preserve"> [Preprint]. Available at: </w:t>
      </w:r>
      <w:r>
        <w:rPr/>
        <w:fldChar w:fldCharType="begin"/>
      </w:r>
      <w:r>
        <w:instrText xml:space="preserve"> HYPERLINK "https://doi.org/10.7595/management.fon.2021.0020" </w:instrText>
      </w:r>
      <w:r>
        <w:rPr/>
        <w:fldChar w:fldCharType="separate"/>
      </w:r>
      <w:r>
        <w:rPr>
          <w:rStyle w:val="style85"/>
          <w:rFonts w:ascii="Arial" w:cs="Arial" w:hAnsi="Arial"/>
          <w:lang w:val="en-US"/>
        </w:rPr>
        <w:t>https://doi.org/10.7595/management.fon.2021.0020</w:t>
      </w:r>
      <w:r>
        <w:rPr/>
        <w:fldChar w:fldCharType="end"/>
      </w:r>
      <w:r>
        <w:rPr>
          <w:rFonts w:ascii="Arial" w:cs="Arial" w:hAnsi="Arial"/>
          <w:lang w:val="en-US"/>
        </w:rPr>
        <w:t xml:space="preserve">. </w:t>
      </w:r>
    </w:p>
    <w:p w14:paraId="687D4D6E">
      <w:pPr>
        <w:pStyle w:val="style0"/>
        <w:spacing w:lineRule="auto" w:line="360"/>
        <w:rPr>
          <w:rFonts w:ascii="Arial" w:cs="Arial" w:hAnsi="Arial"/>
        </w:rPr>
      </w:pPr>
      <w:r>
        <w:rPr>
          <w:rFonts w:ascii="Arial" w:cs="Arial" w:hAnsi="Arial"/>
        </w:rPr>
        <w:t xml:space="preserve">Damaschi, G., Aboueldahab, A. and D’Addario, M. (2025) “Decomposing brand loyalty: An examination of loyalty subcomponents, product price range, consumer personality, and willingness to pay,” </w:t>
      </w:r>
      <w:r>
        <w:rPr>
          <w:rFonts w:ascii="Arial" w:cs="Arial" w:hAnsi="Arial"/>
          <w:i/>
          <w:iCs/>
        </w:rPr>
        <w:t>Behavioural Sciences</w:t>
      </w:r>
      <w:r>
        <w:rPr>
          <w:rFonts w:ascii="Arial" w:cs="Arial" w:hAnsi="Arial"/>
        </w:rPr>
        <w:t xml:space="preserve">, 15(2), p. 189. Available at: </w:t>
      </w:r>
      <w:r>
        <w:rPr/>
        <w:fldChar w:fldCharType="begin"/>
      </w:r>
      <w:r>
        <w:instrText xml:space="preserve"> HYPERLINK "https://doi.org/10.3390/bs15020189" </w:instrText>
      </w:r>
      <w:r>
        <w:rPr/>
        <w:fldChar w:fldCharType="separate"/>
      </w:r>
      <w:r>
        <w:rPr>
          <w:rStyle w:val="style85"/>
          <w:rFonts w:ascii="Arial" w:cs="Arial" w:hAnsi="Arial"/>
        </w:rPr>
        <w:t>https://doi.org/10.3390/bs15020189</w:t>
      </w:r>
      <w:r>
        <w:rPr/>
        <w:fldChar w:fldCharType="end"/>
      </w:r>
      <w:r>
        <w:rPr>
          <w:rFonts w:ascii="Arial" w:cs="Arial" w:hAnsi="Arial"/>
        </w:rPr>
        <w:t xml:space="preserve">.  </w:t>
      </w:r>
    </w:p>
    <w:p w14:paraId="2A106B80">
      <w:pPr>
        <w:pStyle w:val="style0"/>
        <w:spacing w:lineRule="auto" w:line="360"/>
        <w:rPr>
          <w:rFonts w:ascii="Arial" w:cs="Arial" w:hAnsi="Arial"/>
        </w:rPr>
      </w:pPr>
      <w:r>
        <w:rPr>
          <w:rFonts w:ascii="Arial" w:cs="Arial" w:hAnsi="Arial"/>
        </w:rPr>
        <w:t xml:space="preserve">Das, D. (2025) </w:t>
      </w:r>
      <w:r>
        <w:rPr>
          <w:rFonts w:ascii="Arial" w:cs="Arial" w:hAnsi="Arial"/>
          <w:i/>
          <w:iCs/>
        </w:rPr>
        <w:t>Deliveroo adds ‘Morrisons More’ loyalty scheme</w:t>
      </w:r>
      <w:r>
        <w:rPr>
          <w:rFonts w:ascii="Arial" w:cs="Arial" w:hAnsi="Arial"/>
        </w:rPr>
        <w:t xml:space="preserve">, </w:t>
      </w:r>
      <w:r>
        <w:rPr>
          <w:rFonts w:ascii="Arial" w:cs="Arial" w:hAnsi="Arial"/>
          <w:i/>
          <w:iCs/>
        </w:rPr>
        <w:t>ESM Magazine</w:t>
      </w:r>
      <w:r>
        <w:rPr>
          <w:rFonts w:ascii="Arial" w:cs="Arial" w:hAnsi="Arial"/>
        </w:rPr>
        <w:t xml:space="preserve">. Available at: </w:t>
      </w:r>
      <w:r>
        <w:rPr/>
        <w:fldChar w:fldCharType="begin"/>
      </w:r>
      <w:r>
        <w:instrText xml:space="preserve"> HYPERLINK "https://www.esmmagazine.com/technology/deliveroo-adds-morrisons-more-loyalty-scheme-285551" </w:instrText>
      </w:r>
      <w:r>
        <w:rPr/>
        <w:fldChar w:fldCharType="separate"/>
      </w:r>
      <w:r>
        <w:rPr>
          <w:rStyle w:val="style85"/>
          <w:rFonts w:ascii="Arial" w:cs="Arial" w:hAnsi="Arial"/>
        </w:rPr>
        <w:t>https://www.esmmagazine.com/technology/deliveroo-adds-morrisons-more-loyalty-scheme-285551</w:t>
      </w:r>
      <w:r>
        <w:rPr/>
        <w:fldChar w:fldCharType="end"/>
      </w:r>
      <w:r>
        <w:rPr>
          <w:rFonts w:ascii="Arial" w:cs="Arial" w:hAnsi="Arial"/>
        </w:rPr>
        <w:t xml:space="preserve">  (Accessed: September 4, 2026).</w:t>
      </w:r>
    </w:p>
    <w:p w14:paraId="52F8CE9D">
      <w:pPr>
        <w:pStyle w:val="style0"/>
        <w:spacing w:lineRule="auto" w:line="360"/>
        <w:rPr>
          <w:rFonts w:ascii="Arial" w:cs="Arial" w:hAnsi="Arial"/>
        </w:rPr>
      </w:pPr>
      <w:r>
        <w:rPr>
          <w:rFonts w:ascii="Arial" w:cs="Arial" w:hAnsi="Arial"/>
        </w:rPr>
        <w:t xml:space="preserve">Directors Talk (2026) </w:t>
      </w:r>
      <w:r>
        <w:rPr>
          <w:rFonts w:ascii="Arial" w:cs="Arial" w:hAnsi="Arial"/>
          <w:i/>
          <w:iCs/>
        </w:rPr>
        <w:t>Sainsbury’s reports FY 2025/26 results with grocery sales up 5.2%</w:t>
      </w:r>
      <w:r>
        <w:rPr>
          <w:rFonts w:ascii="Arial" w:cs="Arial" w:hAnsi="Arial"/>
        </w:rPr>
        <w:t xml:space="preserve">, </w:t>
      </w:r>
      <w:r>
        <w:rPr>
          <w:rFonts w:ascii="Arial" w:cs="Arial" w:hAnsi="Arial"/>
          <w:i/>
          <w:iCs/>
        </w:rPr>
        <w:t>Directorstalkinterviews.com</w:t>
      </w:r>
      <w:r>
        <w:rPr>
          <w:rFonts w:ascii="Arial" w:cs="Arial" w:hAnsi="Arial"/>
        </w:rPr>
        <w:t xml:space="preserve">. Available at: </w:t>
      </w:r>
      <w:r>
        <w:rPr/>
        <w:fldChar w:fldCharType="begin"/>
      </w:r>
      <w:r>
        <w:instrText xml:space="preserve"> HYPERLINK "https://www.directorstalkinterviews.com/sainsbury-s-reports-fy-202526-results-with-grocery-sales-up-5-2/4121249804" \l ":~:text=Sainsbury's%20reports%20FY%202025%2F26%20results%20with%20grocery,*%20April%2023%2C%202026.%20*%207%3A38%20am" </w:instrText>
      </w:r>
      <w:r>
        <w:rPr/>
        <w:fldChar w:fldCharType="separate"/>
      </w:r>
      <w:r>
        <w:rPr>
          <w:rStyle w:val="style85"/>
          <w:rFonts w:ascii="Arial" w:cs="Arial" w:hAnsi="Arial"/>
        </w:rPr>
        <w:t>https://www.directorstalkinterviews.com/sainsbury-s-reports-fy-202526-results-with-grocery-sales-up-5-2/4121249804#:~:text=Sainsbury's%20reports%20FY%202025%2F26%20results%20with%20grocery,*%20April%2023%2C%202026.%20*%207%3A38%20am</w:t>
      </w:r>
      <w:r>
        <w:rPr/>
        <w:fldChar w:fldCharType="end"/>
      </w:r>
      <w:r>
        <w:rPr>
          <w:rFonts w:ascii="Arial" w:cs="Arial" w:hAnsi="Arial"/>
        </w:rPr>
        <w:t>.  (Accessed: September 4, 2026).</w:t>
      </w:r>
    </w:p>
    <w:p w14:paraId="2E1B30F5">
      <w:pPr>
        <w:pStyle w:val="style0"/>
        <w:spacing w:lineRule="auto" w:line="360"/>
        <w:rPr>
          <w:rFonts w:ascii="Arial" w:cs="Arial" w:hAnsi="Arial"/>
        </w:rPr>
      </w:pPr>
      <w:r>
        <w:rPr>
          <w:rFonts w:ascii="Arial" w:cs="Arial" w:hAnsi="Arial"/>
        </w:rPr>
        <w:t xml:space="preserve">Divakaran, P. (2025) </w:t>
      </w:r>
      <w:r>
        <w:rPr>
          <w:rFonts w:ascii="Arial" w:cs="Arial" w:hAnsi="Arial"/>
          <w:i/>
          <w:iCs/>
        </w:rPr>
        <w:t>Research methodology: Business administration</w:t>
      </w:r>
      <w:r>
        <w:rPr>
          <w:rFonts w:ascii="Arial" w:cs="Arial" w:hAnsi="Arial"/>
        </w:rPr>
        <w:t>. Independently Published.</w:t>
      </w:r>
    </w:p>
    <w:p w14:paraId="6431EB43">
      <w:pPr>
        <w:pStyle w:val="style0"/>
        <w:spacing w:lineRule="auto" w:line="360"/>
        <w:rPr>
          <w:rFonts w:ascii="Arial" w:cs="Arial" w:hAnsi="Arial"/>
        </w:rPr>
      </w:pPr>
      <w:r>
        <w:rPr>
          <w:rFonts w:ascii="Arial" w:cs="Arial" w:hAnsi="Arial"/>
        </w:rPr>
        <w:t xml:space="preserve">Dlamini, S. and Chinje, N.B. (2019) “The influence of loyalty programs on South African Youth’s repeat purchase behaviour,” </w:t>
      </w:r>
      <w:r>
        <w:rPr>
          <w:rFonts w:ascii="Arial" w:cs="Arial" w:hAnsi="Arial"/>
          <w:i/>
          <w:iCs/>
        </w:rPr>
        <w:t>Journal of Business &amp; Retail Management Research</w:t>
      </w:r>
      <w:r>
        <w:rPr>
          <w:rFonts w:ascii="Arial" w:cs="Arial" w:hAnsi="Arial"/>
        </w:rPr>
        <w:t xml:space="preserve">, 13(03). Available at: </w:t>
      </w:r>
      <w:r>
        <w:rPr/>
        <w:fldChar w:fldCharType="begin"/>
      </w:r>
      <w:r>
        <w:instrText xml:space="preserve"> HYPERLINK "https://doi.org/10.24052/jbrmr/v13is03/art-21" </w:instrText>
      </w:r>
      <w:r>
        <w:rPr/>
        <w:fldChar w:fldCharType="separate"/>
      </w:r>
      <w:r>
        <w:rPr>
          <w:rStyle w:val="style85"/>
          <w:rFonts w:ascii="Arial" w:cs="Arial" w:hAnsi="Arial"/>
        </w:rPr>
        <w:t>https://doi.org/10.24052/jbrmr/v13is03/art-21</w:t>
      </w:r>
      <w:r>
        <w:rPr/>
        <w:fldChar w:fldCharType="end"/>
      </w:r>
      <w:r>
        <w:rPr>
          <w:rFonts w:ascii="Arial" w:cs="Arial" w:hAnsi="Arial"/>
        </w:rPr>
        <w:t xml:space="preserve">. </w:t>
      </w:r>
    </w:p>
    <w:p w14:paraId="6A1B5562">
      <w:pPr>
        <w:pStyle w:val="style0"/>
        <w:spacing w:lineRule="auto" w:line="360"/>
        <w:rPr>
          <w:rFonts w:ascii="Arial" w:cs="Arial" w:hAnsi="Arial"/>
        </w:rPr>
      </w:pPr>
      <w:r>
        <w:rPr>
          <w:rFonts w:ascii="Arial" w:cs="Arial" w:hAnsi="Arial"/>
        </w:rPr>
        <w:t>Dorotic, M., Bijmolt, T.H.A. and Verhoef, P.C. (2012) “Loyalty programmes: Current knowledge and research directions</w:t>
      </w:r>
      <w:r>
        <w:rPr>
          <w:rFonts w:ascii="Arial" w:cs="Arial" w:hAnsi="Arial"/>
          <w:vertAlign w:val="superscript"/>
        </w:rPr>
        <w:t>*</w:t>
      </w:r>
      <w:r>
        <w:rPr>
          <w:rFonts w:ascii="Arial" w:cs="Arial" w:hAnsi="Arial"/>
        </w:rPr>
        <w:t xml:space="preserve">: Loyalty programmes: An overview and research directions,” </w:t>
      </w:r>
      <w:r>
        <w:rPr>
          <w:rFonts w:ascii="Arial" w:cs="Arial" w:hAnsi="Arial"/>
          <w:i/>
          <w:iCs/>
        </w:rPr>
        <w:t>International Journal of Management Reviews</w:t>
      </w:r>
      <w:r>
        <w:rPr>
          <w:rFonts w:ascii="Arial" w:cs="Arial" w:hAnsi="Arial"/>
        </w:rPr>
        <w:t xml:space="preserve">, 14(3), pp. 217–237. Available at: </w:t>
      </w:r>
      <w:r>
        <w:rPr/>
        <w:fldChar w:fldCharType="begin"/>
      </w:r>
      <w:r>
        <w:instrText xml:space="preserve"> HYPERLINK "https://doi.org/10.1111/j.1468-2370.2011.00314.x" </w:instrText>
      </w:r>
      <w:r>
        <w:rPr/>
        <w:fldChar w:fldCharType="separate"/>
      </w:r>
      <w:r>
        <w:rPr>
          <w:rStyle w:val="style85"/>
          <w:rFonts w:ascii="Arial" w:cs="Arial" w:hAnsi="Arial"/>
        </w:rPr>
        <w:t>https://doi.org/10.1111/j.1468-2370.2011.00314.x</w:t>
      </w:r>
      <w:r>
        <w:rPr/>
        <w:fldChar w:fldCharType="end"/>
      </w:r>
      <w:r>
        <w:rPr>
          <w:rFonts w:ascii="Arial" w:cs="Arial" w:hAnsi="Arial"/>
        </w:rPr>
        <w:t xml:space="preserve">. </w:t>
      </w:r>
    </w:p>
    <w:p w14:paraId="35A78DF5">
      <w:pPr>
        <w:pStyle w:val="style0"/>
        <w:spacing w:lineRule="auto" w:line="360"/>
        <w:rPr>
          <w:rFonts w:ascii="Arial" w:cs="Arial" w:hAnsi="Arial"/>
        </w:rPr>
      </w:pPr>
      <w:r>
        <w:rPr>
          <w:rFonts w:ascii="Arial" w:cs="Arial" w:hAnsi="Arial"/>
        </w:rPr>
        <w:t xml:space="preserve">Drèze, X. and Nunes, J.C. (2011) “Recurring goals and learning: The impact of successful reward attainment on purchase behavior,” </w:t>
      </w:r>
      <w:r>
        <w:rPr>
          <w:rFonts w:ascii="Arial" w:cs="Arial" w:hAnsi="Arial"/>
          <w:i/>
          <w:iCs/>
        </w:rPr>
        <w:t>JMR, Journal of Marketing Research</w:t>
      </w:r>
      <w:r>
        <w:rPr>
          <w:rFonts w:ascii="Arial" w:cs="Arial" w:hAnsi="Arial"/>
        </w:rPr>
        <w:t xml:space="preserve">, 48(2), pp. 268–281. Available at: </w:t>
      </w:r>
      <w:r>
        <w:rPr/>
        <w:fldChar w:fldCharType="begin"/>
      </w:r>
      <w:r>
        <w:instrText xml:space="preserve"> HYPERLINK "https://doi.org/10.1509/jmkr.48.2.268" </w:instrText>
      </w:r>
      <w:r>
        <w:rPr/>
        <w:fldChar w:fldCharType="separate"/>
      </w:r>
      <w:r>
        <w:rPr>
          <w:rStyle w:val="style85"/>
          <w:rFonts w:ascii="Arial" w:cs="Arial" w:hAnsi="Arial"/>
        </w:rPr>
        <w:t>https://doi.org/10.1509/jmkr.48.2.268</w:t>
      </w:r>
      <w:r>
        <w:rPr/>
        <w:fldChar w:fldCharType="end"/>
      </w:r>
      <w:r>
        <w:rPr>
          <w:rFonts w:ascii="Arial" w:cs="Arial" w:hAnsi="Arial"/>
        </w:rPr>
        <w:t xml:space="preserve">. </w:t>
      </w:r>
    </w:p>
    <w:p w14:paraId="77FDC56B">
      <w:pPr>
        <w:pStyle w:val="style0"/>
        <w:spacing w:lineRule="auto" w:line="360"/>
        <w:rPr>
          <w:rFonts w:ascii="Arial" w:cs="Arial" w:hAnsi="Arial"/>
        </w:rPr>
      </w:pPr>
      <w:r>
        <w:rPr>
          <w:rFonts w:ascii="Arial" w:cs="Arial" w:hAnsi="Arial"/>
        </w:rPr>
        <w:t xml:space="preserve">Eagle Eye (2026) </w:t>
      </w:r>
      <w:r>
        <w:rPr>
          <w:rFonts w:ascii="Arial" w:cs="Arial" w:hAnsi="Arial"/>
          <w:i/>
          <w:iCs/>
        </w:rPr>
        <w:t>ASDA Rewards loyalty program</w:t>
      </w:r>
      <w:r>
        <w:rPr>
          <w:rFonts w:ascii="Arial" w:cs="Arial" w:hAnsi="Arial"/>
        </w:rPr>
        <w:t xml:space="preserve">, </w:t>
      </w:r>
      <w:r>
        <w:rPr>
          <w:rFonts w:ascii="Arial" w:cs="Arial" w:hAnsi="Arial"/>
          <w:i/>
          <w:iCs/>
        </w:rPr>
        <w:t>Eagle Eye</w:t>
      </w:r>
      <w:r>
        <w:rPr>
          <w:rFonts w:ascii="Arial" w:cs="Arial" w:hAnsi="Arial"/>
        </w:rPr>
        <w:t xml:space="preserve">. Available at: </w:t>
      </w:r>
      <w:r>
        <w:rPr/>
        <w:fldChar w:fldCharType="begin"/>
      </w:r>
      <w:r>
        <w:instrText xml:space="preserve"> HYPERLINK "https://eagleeye.com/case-studies/asda-rewards" </w:instrText>
      </w:r>
      <w:r>
        <w:rPr/>
        <w:fldChar w:fldCharType="separate"/>
      </w:r>
      <w:r>
        <w:rPr>
          <w:rStyle w:val="style85"/>
          <w:rFonts w:ascii="Arial" w:cs="Arial" w:hAnsi="Arial"/>
        </w:rPr>
        <w:t>https://eagleeye.com/case-studies/asda-rewards</w:t>
      </w:r>
      <w:r>
        <w:rPr/>
        <w:fldChar w:fldCharType="end"/>
      </w:r>
      <w:r>
        <w:rPr>
          <w:rFonts w:ascii="Arial" w:cs="Arial" w:hAnsi="Arial"/>
        </w:rPr>
        <w:t xml:space="preserve">  (Accessed: September 5, 2026).</w:t>
      </w:r>
    </w:p>
    <w:p w14:paraId="5D8B9CC5">
      <w:pPr>
        <w:pStyle w:val="style0"/>
        <w:spacing w:lineRule="auto" w:line="360"/>
        <w:rPr>
          <w:rFonts w:ascii="Arial" w:cs="Arial" w:hAnsi="Arial"/>
        </w:rPr>
      </w:pPr>
      <w:r>
        <w:rPr>
          <w:rFonts w:ascii="Arial" w:cs="Arial" w:hAnsi="Arial"/>
        </w:rPr>
        <w:t xml:space="preserve">Ercan, U. </w:t>
      </w:r>
      <w:r>
        <w:rPr>
          <w:rFonts w:ascii="Arial" w:cs="Arial" w:hAnsi="Arial"/>
          <w:i/>
          <w:iCs/>
        </w:rPr>
        <w:t>et al.</w:t>
      </w:r>
      <w:r>
        <w:rPr>
          <w:rFonts w:ascii="Arial" w:cs="Arial" w:hAnsi="Arial"/>
        </w:rPr>
        <w:t xml:space="preserve"> (2025) “Price promotion effect on purchase behavior under the time limit/pressure,” </w:t>
      </w:r>
      <w:r>
        <w:rPr>
          <w:rFonts w:ascii="Arial" w:cs="Arial" w:hAnsi="Arial"/>
          <w:i/>
          <w:iCs/>
        </w:rPr>
        <w:t>SAGE Open</w:t>
      </w:r>
      <w:r>
        <w:rPr>
          <w:rFonts w:ascii="Arial" w:cs="Arial" w:hAnsi="Arial"/>
        </w:rPr>
        <w:t xml:space="preserve">, 15(1). Available at: </w:t>
      </w:r>
      <w:r>
        <w:rPr/>
        <w:fldChar w:fldCharType="begin"/>
      </w:r>
      <w:r>
        <w:instrText xml:space="preserve"> HYPERLINK "https://doi.org/10.1177/21582440251327270" </w:instrText>
      </w:r>
      <w:r>
        <w:rPr/>
        <w:fldChar w:fldCharType="separate"/>
      </w:r>
      <w:r>
        <w:rPr>
          <w:rStyle w:val="style85"/>
          <w:rFonts w:ascii="Arial" w:cs="Arial" w:hAnsi="Arial"/>
        </w:rPr>
        <w:t>https://doi.org/10.1177/21582440251327270</w:t>
      </w:r>
      <w:r>
        <w:rPr/>
        <w:fldChar w:fldCharType="end"/>
      </w:r>
      <w:r>
        <w:rPr>
          <w:rFonts w:ascii="Arial" w:cs="Arial" w:hAnsi="Arial"/>
        </w:rPr>
        <w:t xml:space="preserve">. </w:t>
      </w:r>
    </w:p>
    <w:p w14:paraId="500A17FE">
      <w:pPr>
        <w:pStyle w:val="style0"/>
        <w:spacing w:lineRule="auto" w:line="360"/>
        <w:rPr>
          <w:rFonts w:ascii="Arial" w:cs="Arial" w:hAnsi="Arial"/>
        </w:rPr>
      </w:pPr>
      <w:r>
        <w:rPr>
          <w:rFonts w:ascii="Arial" w:cs="Arial" w:hAnsi="Arial"/>
        </w:rPr>
        <w:t xml:space="preserve">Fibre2fashion (2026) </w:t>
      </w:r>
      <w:r>
        <w:rPr>
          <w:rFonts w:ascii="Arial" w:cs="Arial" w:hAnsi="Arial"/>
          <w:i/>
          <w:iCs/>
        </w:rPr>
        <w:t>UK’s Tesco posts steady FY 2025-26 growth; revenue reaches $99.5 bn</w:t>
      </w:r>
      <w:r>
        <w:rPr>
          <w:rFonts w:ascii="Arial" w:cs="Arial" w:hAnsi="Arial"/>
        </w:rPr>
        <w:t xml:space="preserve">, </w:t>
      </w:r>
      <w:r>
        <w:rPr>
          <w:rFonts w:ascii="Arial" w:cs="Arial" w:hAnsi="Arial"/>
          <w:i/>
          <w:iCs/>
        </w:rPr>
        <w:t>Fibre2fashion.com</w:t>
      </w:r>
      <w:r>
        <w:rPr>
          <w:rFonts w:ascii="Arial" w:cs="Arial" w:hAnsi="Arial"/>
        </w:rPr>
        <w:t xml:space="preserve">. Available at: </w:t>
      </w:r>
      <w:r>
        <w:rPr/>
        <w:fldChar w:fldCharType="begin"/>
      </w:r>
      <w:r>
        <w:instrText xml:space="preserve"> HYPERLINK "https://www.fibre2fashion.com/news/retail-results/uk-s-tesco-posts-steady-fy-2025-26-growth-revenue-reaches-99-5-bn-309780-newsdetails.html" </w:instrText>
      </w:r>
      <w:r>
        <w:rPr/>
        <w:fldChar w:fldCharType="separate"/>
      </w:r>
      <w:r>
        <w:rPr>
          <w:rStyle w:val="style85"/>
          <w:rFonts w:ascii="Arial" w:cs="Arial" w:hAnsi="Arial"/>
        </w:rPr>
        <w:t>https://www.fibre2fashion.com/news/retail-results/uk-s-tesco-posts-steady-fy-2025-26-growth-revenue-reaches-99-5-bn-309780-newsdetails.html</w:t>
      </w:r>
      <w:r>
        <w:rPr/>
        <w:fldChar w:fldCharType="end"/>
      </w:r>
      <w:r>
        <w:rPr>
          <w:rFonts w:ascii="Arial" w:cs="Arial" w:hAnsi="Arial"/>
        </w:rPr>
        <w:t xml:space="preserve">  (Accessed: September 4, 2026).</w:t>
      </w:r>
    </w:p>
    <w:p w14:paraId="2E4750BA">
      <w:pPr>
        <w:pStyle w:val="style0"/>
        <w:spacing w:lineRule="auto" w:line="360"/>
        <w:rPr>
          <w:rFonts w:ascii="Arial" w:cs="Arial" w:hAnsi="Arial"/>
        </w:rPr>
      </w:pPr>
      <w:r>
        <w:rPr>
          <w:rFonts w:ascii="Arial" w:cs="Arial" w:hAnsi="Arial"/>
        </w:rPr>
        <w:t xml:space="preserve">Fife, S.T. and Gossner, J.D. (2024) “Deductive qualitative analysis: Evaluating, expanding, and refining theory,” </w:t>
      </w:r>
      <w:r>
        <w:rPr>
          <w:rFonts w:ascii="Arial" w:cs="Arial" w:hAnsi="Arial"/>
          <w:i/>
          <w:iCs/>
        </w:rPr>
        <w:t>International Journal of Qualitative Methods</w:t>
      </w:r>
      <w:r>
        <w:rPr>
          <w:rFonts w:ascii="Arial" w:cs="Arial" w:hAnsi="Arial"/>
        </w:rPr>
        <w:t xml:space="preserve">, 23(16094069241244856). Available at: </w:t>
      </w:r>
      <w:r>
        <w:rPr/>
        <w:fldChar w:fldCharType="begin"/>
      </w:r>
      <w:r>
        <w:instrText xml:space="preserve"> HYPERLINK "https://doi.org/10.1177/16094069241244856" </w:instrText>
      </w:r>
      <w:r>
        <w:rPr/>
        <w:fldChar w:fldCharType="separate"/>
      </w:r>
      <w:r>
        <w:rPr>
          <w:rStyle w:val="style85"/>
          <w:rFonts w:ascii="Arial" w:cs="Arial" w:hAnsi="Arial"/>
        </w:rPr>
        <w:t>https://doi.org/10.1177/16094069241244856</w:t>
      </w:r>
      <w:r>
        <w:rPr/>
        <w:fldChar w:fldCharType="end"/>
      </w:r>
      <w:r>
        <w:rPr>
          <w:rFonts w:ascii="Arial" w:cs="Arial" w:hAnsi="Arial"/>
        </w:rPr>
        <w:t xml:space="preserve">. </w:t>
      </w:r>
    </w:p>
    <w:p w14:paraId="00F0C72A">
      <w:pPr>
        <w:pStyle w:val="style0"/>
        <w:spacing w:lineRule="auto" w:line="360"/>
        <w:rPr>
          <w:rFonts w:ascii="Arial" w:cs="Arial" w:hAnsi="Arial"/>
        </w:rPr>
      </w:pPr>
      <w:r>
        <w:rPr>
          <w:rFonts w:ascii="Arial" w:cs="Arial" w:hAnsi="Arial"/>
        </w:rPr>
        <w:t xml:space="preserve">Filipe, S., Marques, S.H. and Salgueiro, M. de F. (2017) “Customers’ relationship with their grocery store: Direct and moderating effects from store format and loyalty programs,” </w:t>
      </w:r>
      <w:r>
        <w:rPr>
          <w:rFonts w:ascii="Arial" w:cs="Arial" w:hAnsi="Arial"/>
          <w:i/>
          <w:iCs/>
        </w:rPr>
        <w:t>Journal of Retailing and Consumer Services</w:t>
      </w:r>
      <w:r>
        <w:rPr>
          <w:rFonts w:ascii="Arial" w:cs="Arial" w:hAnsi="Arial"/>
        </w:rPr>
        <w:t xml:space="preserve">, 37, pp. 78–88. Available at: </w:t>
      </w:r>
      <w:r>
        <w:rPr/>
        <w:fldChar w:fldCharType="begin"/>
      </w:r>
      <w:r>
        <w:instrText xml:space="preserve"> HYPERLINK "https://doi.org/10.1016/j.jretconser.2017.03.002" </w:instrText>
      </w:r>
      <w:r>
        <w:rPr/>
        <w:fldChar w:fldCharType="separate"/>
      </w:r>
      <w:r>
        <w:rPr>
          <w:rStyle w:val="style85"/>
          <w:rFonts w:ascii="Arial" w:cs="Arial" w:hAnsi="Arial"/>
        </w:rPr>
        <w:t>https://doi.org/10.1016/j.jretconser.2017.03.002</w:t>
      </w:r>
      <w:r>
        <w:rPr/>
        <w:fldChar w:fldCharType="end"/>
      </w:r>
      <w:r>
        <w:rPr>
          <w:rFonts w:ascii="Arial" w:cs="Arial" w:hAnsi="Arial"/>
        </w:rPr>
        <w:t xml:space="preserve">. </w:t>
      </w:r>
    </w:p>
    <w:p w14:paraId="301556B3">
      <w:pPr>
        <w:pStyle w:val="style0"/>
        <w:spacing w:lineRule="auto" w:line="360"/>
        <w:rPr>
          <w:rFonts w:ascii="Arial" w:cs="Arial" w:hAnsi="Arial"/>
        </w:rPr>
      </w:pPr>
      <w:r>
        <w:rPr>
          <w:rFonts w:ascii="Arial" w:cs="Arial" w:hAnsi="Arial"/>
        </w:rPr>
        <w:t xml:space="preserve">Fourie, S., Goldman, M. and McCall, M. (2022) “Designing for loyalty programme effectiveness in the financial services industry,” </w:t>
      </w:r>
      <w:r>
        <w:rPr>
          <w:rFonts w:ascii="Arial" w:cs="Arial" w:hAnsi="Arial"/>
          <w:i/>
          <w:iCs/>
        </w:rPr>
        <w:t>Journal of Financial Services Marketing</w:t>
      </w:r>
      <w:r>
        <w:rPr>
          <w:rFonts w:ascii="Arial" w:cs="Arial" w:hAnsi="Arial"/>
        </w:rPr>
        <w:t xml:space="preserve">, pp. 1–24. Available at: </w:t>
      </w:r>
      <w:r>
        <w:rPr/>
        <w:fldChar w:fldCharType="begin"/>
      </w:r>
      <w:r>
        <w:instrText xml:space="preserve"> HYPERLINK "https://doi.org/10.1057/s41264-022-00158-9" </w:instrText>
      </w:r>
      <w:r>
        <w:rPr/>
        <w:fldChar w:fldCharType="separate"/>
      </w:r>
      <w:r>
        <w:rPr>
          <w:rStyle w:val="style85"/>
          <w:rFonts w:ascii="Arial" w:cs="Arial" w:hAnsi="Arial"/>
        </w:rPr>
        <w:t>https://doi.org/10.1057/s41264-022-00158-9</w:t>
      </w:r>
      <w:r>
        <w:rPr/>
        <w:fldChar w:fldCharType="end"/>
      </w:r>
      <w:r>
        <w:rPr>
          <w:rFonts w:ascii="Arial" w:cs="Arial" w:hAnsi="Arial"/>
        </w:rPr>
        <w:t xml:space="preserve">. </w:t>
      </w:r>
    </w:p>
    <w:p w14:paraId="3DABCC99">
      <w:pPr>
        <w:pStyle w:val="style0"/>
        <w:spacing w:lineRule="auto" w:line="360"/>
        <w:rPr>
          <w:rFonts w:ascii="Arial" w:cs="Arial" w:hAnsi="Arial"/>
        </w:rPr>
      </w:pPr>
      <w:r>
        <w:rPr>
          <w:rFonts w:ascii="Arial" w:cs="Arial" w:hAnsi="Arial"/>
        </w:rPr>
        <w:t xml:space="preserve">García-Salirrosas, E.E. </w:t>
      </w:r>
      <w:r>
        <w:rPr>
          <w:rFonts w:ascii="Arial" w:cs="Arial" w:hAnsi="Arial"/>
          <w:i/>
          <w:iCs/>
        </w:rPr>
        <w:t>et al.</w:t>
      </w:r>
      <w:r>
        <w:rPr>
          <w:rFonts w:ascii="Arial" w:cs="Arial" w:hAnsi="Arial"/>
        </w:rPr>
        <w:t xml:space="preserve"> (2024) “The impact of perceived value on brand image and loyalty: a study of healthy food brands in emerging markets,” </w:t>
      </w:r>
      <w:r>
        <w:rPr>
          <w:rFonts w:ascii="Arial" w:cs="Arial" w:hAnsi="Arial"/>
          <w:i/>
          <w:iCs/>
        </w:rPr>
        <w:t>Frontiers in Nutrition</w:t>
      </w:r>
      <w:r>
        <w:rPr>
          <w:rFonts w:ascii="Arial" w:cs="Arial" w:hAnsi="Arial"/>
        </w:rPr>
        <w:t xml:space="preserve">, 11, p. 1482009. Available at: </w:t>
      </w:r>
      <w:r>
        <w:rPr/>
        <w:fldChar w:fldCharType="begin"/>
      </w:r>
      <w:r>
        <w:instrText xml:space="preserve"> HYPERLINK "https://doi.org/10.3389/fnut.2024.1482009" </w:instrText>
      </w:r>
      <w:r>
        <w:rPr/>
        <w:fldChar w:fldCharType="separate"/>
      </w:r>
      <w:r>
        <w:rPr>
          <w:rStyle w:val="style85"/>
          <w:rFonts w:ascii="Arial" w:cs="Arial" w:hAnsi="Arial"/>
        </w:rPr>
        <w:t>https://doi.org/10.3389/fnut.2024.1482009</w:t>
      </w:r>
      <w:r>
        <w:rPr/>
        <w:fldChar w:fldCharType="end"/>
      </w:r>
      <w:r>
        <w:rPr>
          <w:rFonts w:ascii="Arial" w:cs="Arial" w:hAnsi="Arial"/>
        </w:rPr>
        <w:t xml:space="preserve">. </w:t>
      </w:r>
    </w:p>
    <w:p w14:paraId="02D4D813">
      <w:pPr>
        <w:pStyle w:val="style0"/>
        <w:spacing w:lineRule="auto" w:line="360"/>
        <w:rPr>
          <w:rFonts w:ascii="Arial" w:cs="Arial" w:hAnsi="Arial"/>
        </w:rPr>
      </w:pPr>
      <w:r>
        <w:rPr>
          <w:rFonts w:ascii="Arial" w:cs="Arial" w:hAnsi="Arial"/>
        </w:rPr>
        <w:t xml:space="preserve">Gupta, S., Sharma, L. and Mathew, R. (2025) “Balancing personalisation and privacy in AI-enabled marketing: consumer trust, regulatory impact, and strategic implications – A qualitative study using NVivo,” </w:t>
      </w:r>
      <w:r>
        <w:rPr>
          <w:rFonts w:ascii="Arial" w:cs="Arial" w:hAnsi="Arial"/>
          <w:i/>
          <w:iCs/>
        </w:rPr>
        <w:t>Advances in Consumer Research. Association for Consumer Research (U.S.)</w:t>
      </w:r>
      <w:r>
        <w:rPr>
          <w:rFonts w:ascii="Arial" w:cs="Arial" w:hAnsi="Arial"/>
        </w:rPr>
        <w:t xml:space="preserve">, 2, pp. 46–57. Available at: </w:t>
      </w:r>
      <w:r>
        <w:rPr/>
        <w:fldChar w:fldCharType="begin"/>
      </w:r>
      <w:r>
        <w:instrText xml:space="preserve"> HYPERLINK "https://acr-journal.com/article/balancing-personalization-and-privacy-in-ai-enabled-marketing-consumer-trust-regulatory-impact-and-strategic-implications-a-qualitative-study-using-nvivo-1633/" </w:instrText>
      </w:r>
      <w:r>
        <w:rPr/>
        <w:fldChar w:fldCharType="separate"/>
      </w:r>
      <w:r>
        <w:rPr>
          <w:rStyle w:val="style85"/>
          <w:rFonts w:ascii="Arial" w:cs="Arial" w:hAnsi="Arial"/>
        </w:rPr>
        <w:t>https://acr-journal.com/article/balancing-personalization-and-privacy-in-ai-enabled-marketing-consumer-trust-regulatory-impact-and-strategic-implications-a-qualitative-study-using-nvivo-1633/</w:t>
      </w:r>
      <w:r>
        <w:rPr/>
        <w:fldChar w:fldCharType="end"/>
      </w:r>
      <w:r>
        <w:rPr>
          <w:rFonts w:ascii="Arial" w:cs="Arial" w:hAnsi="Arial"/>
        </w:rPr>
        <w:t xml:space="preserve"> </w:t>
      </w:r>
    </w:p>
    <w:p w14:paraId="3A71FB76">
      <w:pPr>
        <w:pStyle w:val="style0"/>
        <w:spacing w:lineRule="auto" w:line="360"/>
        <w:rPr>
          <w:rFonts w:ascii="Arial" w:cs="Arial" w:hAnsi="Arial"/>
        </w:rPr>
      </w:pPr>
      <w:r>
        <w:rPr>
          <w:rFonts w:ascii="Arial" w:cs="Arial" w:hAnsi="Arial"/>
        </w:rPr>
        <w:t xml:space="preserve">Harris, P. and Khatami, N.A. (2017) “Antecedents of word of mouth behaviour among female grocery shoppers in Iran,” </w:t>
      </w:r>
      <w:r>
        <w:rPr>
          <w:rFonts w:ascii="Arial" w:cs="Arial" w:hAnsi="Arial"/>
          <w:i/>
          <w:iCs/>
        </w:rPr>
        <w:t>Journal of Islamic Marketing</w:t>
      </w:r>
      <w:r>
        <w:rPr>
          <w:rFonts w:ascii="Arial" w:cs="Arial" w:hAnsi="Arial"/>
        </w:rPr>
        <w:t xml:space="preserve">, 8(1), pp. 2–15. Available at: </w:t>
      </w:r>
      <w:r>
        <w:rPr/>
        <w:fldChar w:fldCharType="begin"/>
      </w:r>
      <w:r>
        <w:instrText xml:space="preserve"> HYPERLINK "https://doi.org/10.1108/jima-02-2015-0014" </w:instrText>
      </w:r>
      <w:r>
        <w:rPr/>
        <w:fldChar w:fldCharType="separate"/>
      </w:r>
      <w:r>
        <w:rPr>
          <w:rStyle w:val="style85"/>
          <w:rFonts w:ascii="Arial" w:cs="Arial" w:hAnsi="Arial"/>
        </w:rPr>
        <w:t>https://doi.org/10.1108/jima-02-2015-0014</w:t>
      </w:r>
      <w:r>
        <w:rPr/>
        <w:fldChar w:fldCharType="end"/>
      </w:r>
      <w:r>
        <w:rPr>
          <w:rFonts w:ascii="Arial" w:cs="Arial" w:hAnsi="Arial"/>
        </w:rPr>
        <w:t xml:space="preserve">. </w:t>
      </w:r>
    </w:p>
    <w:p w14:paraId="41C8BE4D">
      <w:pPr>
        <w:pStyle w:val="style0"/>
        <w:spacing w:lineRule="auto" w:line="360"/>
        <w:rPr>
          <w:rFonts w:ascii="Arial" w:cs="Arial" w:hAnsi="Arial"/>
        </w:rPr>
      </w:pPr>
      <w:r>
        <w:rPr>
          <w:rFonts w:ascii="Arial" w:cs="Arial" w:hAnsi="Arial"/>
        </w:rPr>
        <w:t xml:space="preserve">Hassan, N., Abdelraouf, M. and El-Shihy, D. (2025) “The moderating role of personalized recommendations in the trust–satisfaction–loyalty relationship: an empirical study of AI-driven e-commerce,” </w:t>
      </w:r>
      <w:r>
        <w:rPr>
          <w:rFonts w:ascii="Arial" w:cs="Arial" w:hAnsi="Arial"/>
          <w:i/>
          <w:iCs/>
        </w:rPr>
        <w:t>Future Business Journal</w:t>
      </w:r>
      <w:r>
        <w:rPr>
          <w:rFonts w:ascii="Arial" w:cs="Arial" w:hAnsi="Arial"/>
        </w:rPr>
        <w:t xml:space="preserve">, 11(1). Available at: </w:t>
      </w:r>
      <w:r>
        <w:rPr/>
        <w:fldChar w:fldCharType="begin"/>
      </w:r>
      <w:r>
        <w:instrText xml:space="preserve"> HYPERLINK "https://doi.org/10.1186/s43093-025-00476-z" </w:instrText>
      </w:r>
      <w:r>
        <w:rPr/>
        <w:fldChar w:fldCharType="separate"/>
      </w:r>
      <w:r>
        <w:rPr>
          <w:rStyle w:val="style85"/>
          <w:rFonts w:ascii="Arial" w:cs="Arial" w:hAnsi="Arial"/>
        </w:rPr>
        <w:t>https://doi.org/10.1186/s43093-025-00476-z</w:t>
      </w:r>
      <w:r>
        <w:rPr/>
        <w:fldChar w:fldCharType="end"/>
      </w:r>
      <w:r>
        <w:rPr>
          <w:rFonts w:ascii="Arial" w:cs="Arial" w:hAnsi="Arial"/>
        </w:rPr>
        <w:t xml:space="preserve">. </w:t>
      </w:r>
    </w:p>
    <w:p w14:paraId="4D39780C">
      <w:pPr>
        <w:pStyle w:val="style0"/>
        <w:spacing w:lineRule="auto" w:line="360"/>
        <w:rPr>
          <w:rFonts w:ascii="Arial" w:cs="Arial" w:hAnsi="Arial"/>
        </w:rPr>
      </w:pPr>
      <w:r>
        <w:rPr>
          <w:rFonts w:ascii="Arial" w:cs="Arial" w:hAnsi="Arial"/>
        </w:rPr>
        <w:t xml:space="preserve">Haws, K.L. and Bearden, W.O. (2006) “Dynamic pricing and consumer fairness perceptions,” </w:t>
      </w:r>
      <w:r>
        <w:rPr>
          <w:rFonts w:ascii="Arial" w:cs="Arial" w:hAnsi="Arial"/>
          <w:i/>
          <w:iCs/>
        </w:rPr>
        <w:t>The Journal of Consumer Research</w:t>
      </w:r>
      <w:r>
        <w:rPr>
          <w:rFonts w:ascii="Arial" w:cs="Arial" w:hAnsi="Arial"/>
        </w:rPr>
        <w:t xml:space="preserve">, 33(3), pp. 304–311. Available at: </w:t>
      </w:r>
      <w:r>
        <w:rPr/>
        <w:fldChar w:fldCharType="begin"/>
      </w:r>
      <w:r>
        <w:instrText xml:space="preserve"> HYPERLINK "https://doi.org/10.1086/508435" </w:instrText>
      </w:r>
      <w:r>
        <w:rPr/>
        <w:fldChar w:fldCharType="separate"/>
      </w:r>
      <w:r>
        <w:rPr>
          <w:rStyle w:val="style85"/>
          <w:rFonts w:ascii="Arial" w:cs="Arial" w:hAnsi="Arial"/>
        </w:rPr>
        <w:t>https://doi.org/10.1086/508435</w:t>
      </w:r>
      <w:r>
        <w:rPr/>
        <w:fldChar w:fldCharType="end"/>
      </w:r>
      <w:r>
        <w:rPr>
          <w:rFonts w:ascii="Arial" w:cs="Arial" w:hAnsi="Arial"/>
        </w:rPr>
        <w:t xml:space="preserve">. </w:t>
      </w:r>
    </w:p>
    <w:p w14:paraId="30BF49AA">
      <w:pPr>
        <w:pStyle w:val="style0"/>
        <w:spacing w:lineRule="auto" w:line="360"/>
        <w:rPr>
          <w:rFonts w:ascii="Arial" w:cs="Arial" w:hAnsi="Arial"/>
          <w:lang w:val="en-US"/>
        </w:rPr>
      </w:pPr>
      <w:r>
        <w:rPr>
          <w:rFonts w:ascii="Arial" w:cs="Arial" w:hAnsi="Arial"/>
          <w:lang w:val="en-US"/>
        </w:rPr>
        <w:t xml:space="preserve">Hennig-Thurau, T., Gwinner, K.P. and Gremler, D.D. (2002) “Understanding relationship marketing outcomes: An integration of relational benefits and relationship quality,” </w:t>
      </w:r>
      <w:r>
        <w:rPr>
          <w:rFonts w:ascii="Arial" w:cs="Arial" w:hAnsi="Arial"/>
          <w:i/>
          <w:iCs/>
          <w:lang w:val="en-US"/>
        </w:rPr>
        <w:t>Journal of Service Research</w:t>
      </w:r>
      <w:r>
        <w:rPr>
          <w:rFonts w:ascii="Arial" w:cs="Arial" w:hAnsi="Arial"/>
          <w:lang w:val="en-US"/>
        </w:rPr>
        <w:t xml:space="preserve">, 4(3), pp. 230–247. Available at: </w:t>
      </w:r>
      <w:r>
        <w:rPr/>
        <w:fldChar w:fldCharType="begin"/>
      </w:r>
      <w:r>
        <w:instrText xml:space="preserve"> HYPERLINK "https://doi.org/10.1177/1094670502004003006" </w:instrText>
      </w:r>
      <w:r>
        <w:rPr/>
        <w:fldChar w:fldCharType="separate"/>
      </w:r>
      <w:r>
        <w:rPr>
          <w:rStyle w:val="style85"/>
          <w:rFonts w:ascii="Arial" w:cs="Arial" w:hAnsi="Arial"/>
          <w:lang w:val="en-US"/>
        </w:rPr>
        <w:t>https://doi.org/10.1177/1094670502004003006</w:t>
      </w:r>
      <w:r>
        <w:rPr/>
        <w:fldChar w:fldCharType="end"/>
      </w:r>
      <w:r>
        <w:rPr>
          <w:rFonts w:ascii="Arial" w:cs="Arial" w:hAnsi="Arial"/>
          <w:lang w:val="en-US"/>
        </w:rPr>
        <w:t xml:space="preserve">. </w:t>
      </w:r>
    </w:p>
    <w:p w14:paraId="3579C86A">
      <w:pPr>
        <w:pStyle w:val="style0"/>
        <w:spacing w:lineRule="auto" w:line="360"/>
        <w:rPr>
          <w:rFonts w:ascii="Arial" w:cs="Arial" w:hAnsi="Arial"/>
        </w:rPr>
      </w:pPr>
      <w:r>
        <w:rPr>
          <w:rFonts w:ascii="Arial" w:cs="Arial" w:hAnsi="Arial"/>
        </w:rPr>
        <w:t xml:space="preserve">Hidayat, K. and Idrus, M.I. (2023) “The effect of relationship marketing towards switching barrier, customer satisfaction, and customer trust on bank customers,” </w:t>
      </w:r>
      <w:r>
        <w:rPr>
          <w:rFonts w:ascii="Arial" w:cs="Arial" w:hAnsi="Arial"/>
          <w:i/>
          <w:iCs/>
        </w:rPr>
        <w:t>Journal of Innovation and Entrepreneurship</w:t>
      </w:r>
      <w:r>
        <w:rPr>
          <w:rFonts w:ascii="Arial" w:cs="Arial" w:hAnsi="Arial"/>
        </w:rPr>
        <w:t xml:space="preserve">, 12(1), p. 29. Available at: </w:t>
      </w:r>
      <w:r>
        <w:rPr/>
        <w:fldChar w:fldCharType="begin"/>
      </w:r>
      <w:r>
        <w:instrText xml:space="preserve"> HYPERLINK "https://doi.org/10.1186/s13731-023-00270-7" </w:instrText>
      </w:r>
      <w:r>
        <w:rPr/>
        <w:fldChar w:fldCharType="separate"/>
      </w:r>
      <w:r>
        <w:rPr>
          <w:rStyle w:val="style85"/>
          <w:rFonts w:ascii="Arial" w:cs="Arial" w:hAnsi="Arial"/>
        </w:rPr>
        <w:t>https://doi.org/10.1186/s13731-023-00270-7</w:t>
      </w:r>
      <w:r>
        <w:rPr/>
        <w:fldChar w:fldCharType="end"/>
      </w:r>
      <w:r>
        <w:rPr>
          <w:rFonts w:ascii="Arial" w:cs="Arial" w:hAnsi="Arial"/>
        </w:rPr>
        <w:t xml:space="preserve">.  </w:t>
      </w:r>
    </w:p>
    <w:p w14:paraId="1C0A5331">
      <w:pPr>
        <w:pStyle w:val="style0"/>
        <w:spacing w:lineRule="auto" w:line="360"/>
        <w:rPr>
          <w:rFonts w:ascii="Arial" w:cs="Arial" w:hAnsi="Arial"/>
        </w:rPr>
      </w:pPr>
      <w:r>
        <w:rPr>
          <w:rFonts w:ascii="Arial" w:cs="Arial" w:hAnsi="Arial"/>
        </w:rPr>
        <w:t>Hride, F.T., Ferdousi, F. and Jasimuddin, S.M. (2022) “Linking perceived price fairness, customer satisfaction, trust, and loyalty: A structural equation modeling of Facebook-based e-commerce in Bangladesh. Global Business and Organizational Excellence,” 41, pp. 41–54.</w:t>
      </w:r>
    </w:p>
    <w:p w14:paraId="5326399E">
      <w:pPr>
        <w:pStyle w:val="style0"/>
        <w:spacing w:lineRule="auto" w:line="360"/>
        <w:rPr>
          <w:rFonts w:ascii="Arial" w:cs="Arial" w:hAnsi="Arial"/>
        </w:rPr>
      </w:pPr>
      <w:r>
        <w:rPr>
          <w:rFonts w:ascii="Arial" w:cs="Arial" w:hAnsi="Arial"/>
        </w:rPr>
        <w:t xml:space="preserve">Huang, M.-H. and Rust, R.T. (2021) “A strategic framework for artificial intelligence in marketing,” </w:t>
      </w:r>
      <w:r>
        <w:rPr>
          <w:rFonts w:ascii="Arial" w:cs="Arial" w:hAnsi="Arial"/>
          <w:i/>
          <w:iCs/>
        </w:rPr>
        <w:t>Journal of the Academy of Marketing Science</w:t>
      </w:r>
      <w:r>
        <w:rPr>
          <w:rFonts w:ascii="Arial" w:cs="Arial" w:hAnsi="Arial"/>
        </w:rPr>
        <w:t xml:space="preserve">, 49(1), pp. 30–50. Available at: </w:t>
      </w:r>
      <w:r>
        <w:rPr/>
        <w:fldChar w:fldCharType="begin"/>
      </w:r>
      <w:r>
        <w:instrText xml:space="preserve"> HYPERLINK "https://doi.org/10.1007/s11747-020-00749-9" </w:instrText>
      </w:r>
      <w:r>
        <w:rPr/>
        <w:fldChar w:fldCharType="separate"/>
      </w:r>
      <w:r>
        <w:rPr>
          <w:rStyle w:val="style85"/>
          <w:rFonts w:ascii="Arial" w:cs="Arial" w:hAnsi="Arial"/>
        </w:rPr>
        <w:t>https://doi.org/10.1007/s11747-020-00749-9</w:t>
      </w:r>
      <w:r>
        <w:rPr/>
        <w:fldChar w:fldCharType="end"/>
      </w:r>
      <w:r>
        <w:rPr>
          <w:rFonts w:ascii="Arial" w:cs="Arial" w:hAnsi="Arial"/>
        </w:rPr>
        <w:t xml:space="preserve">. </w:t>
      </w:r>
    </w:p>
    <w:p w14:paraId="7C7D52CA">
      <w:pPr>
        <w:pStyle w:val="style0"/>
        <w:spacing w:lineRule="auto" w:line="360"/>
        <w:rPr>
          <w:rFonts w:ascii="Arial" w:cs="Arial" w:hAnsi="Arial"/>
        </w:rPr>
      </w:pPr>
      <w:r>
        <w:rPr>
          <w:rFonts w:ascii="Arial" w:cs="Arial" w:hAnsi="Arial"/>
        </w:rPr>
        <w:t xml:space="preserve">Hufnagel, G., Schwaiger, M. and Weritz, L. (2022) “Seeking the perfect price: Consumer responses to personalized price discrimination in e-commerce,” </w:t>
      </w:r>
      <w:r>
        <w:rPr>
          <w:rFonts w:ascii="Arial" w:cs="Arial" w:hAnsi="Arial"/>
          <w:i/>
          <w:iCs/>
        </w:rPr>
        <w:t>Journal of Business Research</w:t>
      </w:r>
      <w:r>
        <w:rPr>
          <w:rFonts w:ascii="Arial" w:cs="Arial" w:hAnsi="Arial"/>
        </w:rPr>
        <w:t xml:space="preserve">, 143, pp. 346–365. Available at: </w:t>
      </w:r>
      <w:r>
        <w:rPr/>
        <w:fldChar w:fldCharType="begin"/>
      </w:r>
      <w:r>
        <w:instrText xml:space="preserve"> HYPERLINK "https://doi.org/10.1016/j.jbusres.2021.10.002" </w:instrText>
      </w:r>
      <w:r>
        <w:rPr/>
        <w:fldChar w:fldCharType="separate"/>
      </w:r>
      <w:r>
        <w:rPr>
          <w:rStyle w:val="style85"/>
          <w:rFonts w:ascii="Arial" w:cs="Arial" w:hAnsi="Arial"/>
        </w:rPr>
        <w:t>https://doi.org/10.1016/j.jbusres.2021.10.002</w:t>
      </w:r>
      <w:r>
        <w:rPr/>
        <w:fldChar w:fldCharType="end"/>
      </w:r>
      <w:r>
        <w:rPr>
          <w:rFonts w:ascii="Arial" w:cs="Arial" w:hAnsi="Arial"/>
        </w:rPr>
        <w:t xml:space="preserve">. </w:t>
      </w:r>
    </w:p>
    <w:p w14:paraId="6EDDFAE7">
      <w:pPr>
        <w:pStyle w:val="style0"/>
        <w:spacing w:lineRule="auto" w:line="360"/>
        <w:rPr>
          <w:rFonts w:ascii="Arial" w:cs="Arial" w:hAnsi="Arial"/>
        </w:rPr>
      </w:pPr>
      <w:r>
        <w:rPr>
          <w:rFonts w:ascii="Arial" w:cs="Arial" w:hAnsi="Arial"/>
        </w:rPr>
        <w:t xml:space="preserve">Ibrahim, M., Abdallahamed, S. and Adam, D.R. (2018) “Service recovery, perceived fairness, and customer satisfaction in the telecoms sector in Ghana,” </w:t>
      </w:r>
      <w:r>
        <w:rPr>
          <w:rFonts w:ascii="Arial" w:cs="Arial" w:hAnsi="Arial"/>
          <w:i/>
          <w:iCs/>
        </w:rPr>
        <w:t>International Journal of Service Science Management Engineering and Technology</w:t>
      </w:r>
      <w:r>
        <w:rPr>
          <w:rFonts w:ascii="Arial" w:cs="Arial" w:hAnsi="Arial"/>
        </w:rPr>
        <w:t xml:space="preserve">, 9(4), pp. 73–89. Available at: </w:t>
      </w:r>
      <w:r>
        <w:rPr/>
        <w:fldChar w:fldCharType="begin"/>
      </w:r>
      <w:r>
        <w:instrText xml:space="preserve"> HYPERLINK "https://doi.org/10.4018/ijssmet.2018100105" </w:instrText>
      </w:r>
      <w:r>
        <w:rPr/>
        <w:fldChar w:fldCharType="separate"/>
      </w:r>
      <w:r>
        <w:rPr>
          <w:rStyle w:val="style85"/>
          <w:rFonts w:ascii="Arial" w:cs="Arial" w:hAnsi="Arial"/>
        </w:rPr>
        <w:t>https://doi.org/10.4018/ijssmet.2018100105</w:t>
      </w:r>
      <w:r>
        <w:rPr/>
        <w:fldChar w:fldCharType="end"/>
      </w:r>
      <w:r>
        <w:rPr>
          <w:rFonts w:ascii="Arial" w:cs="Arial" w:hAnsi="Arial"/>
        </w:rPr>
        <w:t xml:space="preserve">. </w:t>
      </w:r>
    </w:p>
    <w:p w14:paraId="54EF62EF">
      <w:pPr>
        <w:pStyle w:val="style0"/>
        <w:spacing w:lineRule="auto" w:line="360"/>
        <w:rPr>
          <w:rFonts w:ascii="Arial" w:cs="Arial" w:hAnsi="Arial"/>
        </w:rPr>
      </w:pPr>
      <w:r>
        <w:rPr>
          <w:rFonts w:ascii="Arial" w:cs="Arial" w:hAnsi="Arial"/>
        </w:rPr>
        <w:t xml:space="preserve">IGD (2026) “Taking the More Card loyalty scheme to the next level,” </w:t>
      </w:r>
      <w:r>
        <w:rPr>
          <w:rFonts w:ascii="Arial" w:cs="Arial" w:hAnsi="Arial"/>
          <w:i/>
          <w:iCs/>
        </w:rPr>
        <w:t>Igd.com</w:t>
      </w:r>
      <w:r>
        <w:rPr>
          <w:rFonts w:ascii="Arial" w:cs="Arial" w:hAnsi="Arial"/>
        </w:rPr>
        <w:t xml:space="preserve">, 4 September. Available at: </w:t>
      </w:r>
      <w:r>
        <w:rPr/>
        <w:fldChar w:fldCharType="begin"/>
      </w:r>
      <w:r>
        <w:instrText xml:space="preserve"> HYPERLINK "https://www.igd.com/articles/taking-the-more-card-loyalty-scheme-to-the-next-level/71236" </w:instrText>
      </w:r>
      <w:r>
        <w:rPr/>
        <w:fldChar w:fldCharType="separate"/>
      </w:r>
      <w:r>
        <w:rPr>
          <w:rStyle w:val="style85"/>
          <w:rFonts w:ascii="Arial" w:cs="Arial" w:hAnsi="Arial"/>
        </w:rPr>
        <w:t>https://www.igd.com/articles/taking-the-more-card-loyalty-scheme-to-the-next-level/71236</w:t>
      </w:r>
      <w:r>
        <w:rPr/>
        <w:fldChar w:fldCharType="end"/>
      </w:r>
      <w:r>
        <w:rPr>
          <w:rFonts w:ascii="Arial" w:cs="Arial" w:hAnsi="Arial"/>
        </w:rPr>
        <w:t xml:space="preserve">  (Accessed: September 4, 2026).</w:t>
      </w:r>
    </w:p>
    <w:p w14:paraId="7EB33DC4">
      <w:pPr>
        <w:pStyle w:val="style0"/>
        <w:spacing w:lineRule="auto" w:line="360"/>
        <w:rPr>
          <w:rFonts w:ascii="Arial" w:cs="Arial" w:hAnsi="Arial"/>
        </w:rPr>
      </w:pPr>
      <w:r>
        <w:rPr>
          <w:rFonts w:ascii="Arial" w:cs="Arial" w:hAnsi="Arial"/>
        </w:rPr>
        <w:t xml:space="preserve">Investing.com (2026) </w:t>
      </w:r>
      <w:r>
        <w:rPr>
          <w:rFonts w:ascii="Arial" w:cs="Arial" w:hAnsi="Arial"/>
          <w:i/>
          <w:iCs/>
        </w:rPr>
        <w:t>Sainsbury’s FY25/26 slides: market share peaks despite margin pressure</w:t>
      </w:r>
      <w:r>
        <w:rPr>
          <w:rFonts w:ascii="Arial" w:cs="Arial" w:hAnsi="Arial"/>
        </w:rPr>
        <w:t xml:space="preserve">, </w:t>
      </w:r>
      <w:r>
        <w:rPr>
          <w:rFonts w:ascii="Arial" w:cs="Arial" w:hAnsi="Arial"/>
          <w:i/>
          <w:iCs/>
        </w:rPr>
        <w:t>Investing.com</w:t>
      </w:r>
      <w:r>
        <w:rPr>
          <w:rFonts w:ascii="Arial" w:cs="Arial" w:hAnsi="Arial"/>
        </w:rPr>
        <w:t xml:space="preserve">. Available at: </w:t>
      </w:r>
      <w:r>
        <w:rPr/>
        <w:fldChar w:fldCharType="begin"/>
      </w:r>
      <w:r>
        <w:instrText xml:space="preserve"> HYPERLINK "https://www.investing.com/news/company-news/sainsburys-fy2526-slides-market-share-peaks-despite-margin-pressure-93CH-4631909" </w:instrText>
      </w:r>
      <w:r>
        <w:rPr/>
        <w:fldChar w:fldCharType="separate"/>
      </w:r>
      <w:r>
        <w:rPr>
          <w:rStyle w:val="style85"/>
          <w:rFonts w:ascii="Arial" w:cs="Arial" w:hAnsi="Arial"/>
        </w:rPr>
        <w:t>https://www.investing.com/news/company-news/sainsburys-fy2526-slides-market-share-peaks-despite-margin-pressure-93CH-4631909</w:t>
      </w:r>
      <w:r>
        <w:rPr/>
        <w:fldChar w:fldCharType="end"/>
      </w:r>
      <w:r>
        <w:rPr>
          <w:rFonts w:ascii="Arial" w:cs="Arial" w:hAnsi="Arial"/>
        </w:rPr>
        <w:t xml:space="preserve">  (Accessed: September 4, 2026).</w:t>
      </w:r>
    </w:p>
    <w:p w14:paraId="3D558B54">
      <w:pPr>
        <w:pStyle w:val="style0"/>
        <w:spacing w:lineRule="auto" w:line="360"/>
        <w:rPr>
          <w:rFonts w:ascii="Arial" w:cs="Arial" w:hAnsi="Arial"/>
        </w:rPr>
      </w:pPr>
      <w:r>
        <w:rPr>
          <w:rFonts w:ascii="Arial" w:cs="Arial" w:hAnsi="Arial"/>
        </w:rPr>
        <w:t xml:space="preserve">Jansen, D. (2021) </w:t>
      </w:r>
      <w:r>
        <w:rPr>
          <w:rFonts w:ascii="Arial" w:cs="Arial" w:hAnsi="Arial"/>
          <w:i/>
          <w:iCs/>
        </w:rPr>
        <w:t>Saunders’ Research Onion explained (+ examples)</w:t>
      </w:r>
      <w:r>
        <w:rPr>
          <w:rFonts w:ascii="Arial" w:cs="Arial" w:hAnsi="Arial"/>
        </w:rPr>
        <w:t xml:space="preserve">, </w:t>
      </w:r>
      <w:r>
        <w:rPr>
          <w:rFonts w:ascii="Arial" w:cs="Arial" w:hAnsi="Arial"/>
          <w:i/>
          <w:iCs/>
        </w:rPr>
        <w:t>Grad Coach</w:t>
      </w:r>
      <w:r>
        <w:rPr>
          <w:rFonts w:ascii="Arial" w:cs="Arial" w:hAnsi="Arial"/>
        </w:rPr>
        <w:t xml:space="preserve">. Available at: </w:t>
      </w:r>
      <w:r>
        <w:rPr/>
        <w:fldChar w:fldCharType="begin"/>
      </w:r>
      <w:r>
        <w:instrText xml:space="preserve"> HYPERLINK "https://gradcoach.com/saunders-research-onion/" </w:instrText>
      </w:r>
      <w:r>
        <w:rPr/>
        <w:fldChar w:fldCharType="separate"/>
      </w:r>
      <w:r>
        <w:rPr>
          <w:rStyle w:val="style85"/>
          <w:rFonts w:ascii="Arial" w:cs="Arial" w:hAnsi="Arial"/>
        </w:rPr>
        <w:t>https://gradcoach.com/saunders-research-onion/</w:t>
      </w:r>
      <w:r>
        <w:rPr/>
        <w:fldChar w:fldCharType="end"/>
      </w:r>
      <w:r>
        <w:rPr>
          <w:rFonts w:ascii="Arial" w:cs="Arial" w:hAnsi="Arial"/>
        </w:rPr>
        <w:t xml:space="preserve">  (Accessed: July 27, 2026).</w:t>
      </w:r>
    </w:p>
    <w:p w14:paraId="15CEEA90">
      <w:pPr>
        <w:pStyle w:val="style0"/>
        <w:spacing w:lineRule="auto" w:line="360"/>
        <w:rPr>
          <w:rFonts w:ascii="Arial" w:cs="Arial" w:hAnsi="Arial"/>
        </w:rPr>
      </w:pPr>
      <w:r>
        <w:rPr>
          <w:rFonts w:ascii="Arial" w:cs="Arial" w:hAnsi="Arial"/>
        </w:rPr>
        <w:t xml:space="preserve">Jessop, C., Mezzanzanica, M. and Sivathasan, C. (2024) </w:t>
      </w:r>
      <w:r>
        <w:rPr>
          <w:rFonts w:ascii="Arial" w:cs="Arial" w:hAnsi="Arial"/>
          <w:i/>
          <w:iCs/>
        </w:rPr>
        <w:t>Attitudes towards supermarket loyalty pricing</w:t>
      </w:r>
      <w:r>
        <w:rPr>
          <w:rFonts w:ascii="Arial" w:cs="Arial" w:hAnsi="Arial"/>
        </w:rPr>
        <w:t xml:space="preserve">, </w:t>
      </w:r>
      <w:r>
        <w:rPr>
          <w:rFonts w:ascii="Arial" w:cs="Arial" w:hAnsi="Arial"/>
          <w:i/>
          <w:iCs/>
        </w:rPr>
        <w:t>National Centre for Social Research</w:t>
      </w:r>
      <w:r>
        <w:rPr>
          <w:rFonts w:ascii="Arial" w:cs="Arial" w:hAnsi="Arial"/>
        </w:rPr>
        <w:t xml:space="preserve">. Available at: </w:t>
      </w:r>
      <w:r>
        <w:rPr/>
        <w:fldChar w:fldCharType="begin"/>
      </w:r>
      <w:r>
        <w:instrText xml:space="preserve"> HYPERLINK "https://natcen.ac.uk/publications/attitudes-towards-supermarket-loyalty-pricing" </w:instrText>
      </w:r>
      <w:r>
        <w:rPr/>
        <w:fldChar w:fldCharType="separate"/>
      </w:r>
      <w:r>
        <w:rPr>
          <w:rStyle w:val="style85"/>
          <w:rFonts w:ascii="Arial" w:cs="Arial" w:hAnsi="Arial"/>
        </w:rPr>
        <w:t>https://natcen.ac.uk/publications/attitudes-towards-supermarket-loyalty-pricing</w:t>
      </w:r>
      <w:r>
        <w:rPr/>
        <w:fldChar w:fldCharType="end"/>
      </w:r>
      <w:r>
        <w:rPr>
          <w:rFonts w:ascii="Arial" w:cs="Arial" w:hAnsi="Arial"/>
        </w:rPr>
        <w:t xml:space="preserve">  (Accessed: July 26, 2026).</w:t>
      </w:r>
    </w:p>
    <w:p w14:paraId="3E095002">
      <w:pPr>
        <w:pStyle w:val="style0"/>
        <w:spacing w:lineRule="auto" w:line="360"/>
        <w:rPr>
          <w:rFonts w:ascii="Arial" w:cs="Arial" w:hAnsi="Arial"/>
        </w:rPr>
      </w:pPr>
      <w:r>
        <w:rPr>
          <w:rFonts w:ascii="Arial" w:cs="Arial" w:hAnsi="Arial"/>
        </w:rPr>
        <w:t xml:space="preserve">Johnson, J.L., Adkins, D. and Chauvin, S. (2020) “A review of the quality indicators of rigor in qualitative research,” </w:t>
      </w:r>
      <w:r>
        <w:rPr>
          <w:rFonts w:ascii="Arial" w:cs="Arial" w:hAnsi="Arial"/>
          <w:i/>
          <w:iCs/>
        </w:rPr>
        <w:t>American Journal of Pharmaceutical Education</w:t>
      </w:r>
      <w:r>
        <w:rPr>
          <w:rFonts w:ascii="Arial" w:cs="Arial" w:hAnsi="Arial"/>
        </w:rPr>
        <w:t xml:space="preserve">, 84(1), p. 7120. Available at: </w:t>
      </w:r>
      <w:r>
        <w:rPr/>
        <w:fldChar w:fldCharType="begin"/>
      </w:r>
      <w:r>
        <w:instrText xml:space="preserve"> HYPERLINK "https://doi.org/10.5688/ajpe7120" </w:instrText>
      </w:r>
      <w:r>
        <w:rPr/>
        <w:fldChar w:fldCharType="separate"/>
      </w:r>
      <w:r>
        <w:rPr>
          <w:rStyle w:val="style85"/>
          <w:rFonts w:ascii="Arial" w:cs="Arial" w:hAnsi="Arial"/>
        </w:rPr>
        <w:t>https://doi.org/10.5688/ajpe7120</w:t>
      </w:r>
      <w:r>
        <w:rPr/>
        <w:fldChar w:fldCharType="end"/>
      </w:r>
      <w:r>
        <w:rPr>
          <w:rFonts w:ascii="Arial" w:cs="Arial" w:hAnsi="Arial"/>
        </w:rPr>
        <w:t xml:space="preserve">. </w:t>
      </w:r>
    </w:p>
    <w:p w14:paraId="064F3153">
      <w:pPr>
        <w:pStyle w:val="style0"/>
        <w:spacing w:lineRule="auto" w:line="360"/>
        <w:rPr>
          <w:rFonts w:ascii="Arial" w:cs="Arial" w:hAnsi="Arial"/>
        </w:rPr>
      </w:pPr>
      <w:r>
        <w:rPr>
          <w:rFonts w:ascii="Arial" w:cs="Arial" w:hAnsi="Arial"/>
        </w:rPr>
        <w:t xml:space="preserve">Karlı, H. and Öztaş Karlı, R.G. (2026) “Consumer resistance to parcel lockers: An innovation resistance theory perspective,” </w:t>
      </w:r>
      <w:r>
        <w:rPr>
          <w:rFonts w:ascii="Arial" w:cs="Arial" w:hAnsi="Arial"/>
          <w:i/>
          <w:iCs/>
        </w:rPr>
        <w:t>Cities (London, England)</w:t>
      </w:r>
      <w:r>
        <w:rPr>
          <w:rFonts w:ascii="Arial" w:cs="Arial" w:hAnsi="Arial"/>
        </w:rPr>
        <w:t xml:space="preserve">, 168(106501), p. 106501. Available at: </w:t>
      </w:r>
      <w:r>
        <w:rPr/>
        <w:fldChar w:fldCharType="begin"/>
      </w:r>
      <w:r>
        <w:instrText xml:space="preserve"> HYPERLINK "https://doi.org/10.1016/j.cities.2025.106501" </w:instrText>
      </w:r>
      <w:r>
        <w:rPr/>
        <w:fldChar w:fldCharType="separate"/>
      </w:r>
      <w:r>
        <w:rPr>
          <w:rStyle w:val="style85"/>
          <w:rFonts w:ascii="Arial" w:cs="Arial" w:hAnsi="Arial"/>
        </w:rPr>
        <w:t>https://doi.org/10.1016/j.cities.2025.106501</w:t>
      </w:r>
      <w:r>
        <w:rPr/>
        <w:fldChar w:fldCharType="end"/>
      </w:r>
      <w:r>
        <w:rPr>
          <w:rFonts w:ascii="Arial" w:cs="Arial" w:hAnsi="Arial"/>
        </w:rPr>
        <w:t xml:space="preserve">. </w:t>
      </w:r>
    </w:p>
    <w:p w14:paraId="2723F367">
      <w:pPr>
        <w:pStyle w:val="style0"/>
        <w:spacing w:lineRule="auto" w:line="360"/>
        <w:rPr>
          <w:rFonts w:ascii="Arial" w:cs="Arial" w:hAnsi="Arial"/>
        </w:rPr>
      </w:pPr>
      <w:r>
        <w:rPr>
          <w:rFonts w:ascii="Arial" w:cs="Arial" w:hAnsi="Arial"/>
        </w:rPr>
        <w:t xml:space="preserve">Kelloway, C. (2020) </w:t>
      </w:r>
      <w:r>
        <w:rPr>
          <w:rFonts w:ascii="Arial" w:cs="Arial" w:hAnsi="Arial"/>
          <w:i/>
          <w:iCs/>
        </w:rPr>
        <w:t>Personalization or price discrimination?</w:t>
      </w:r>
      <w:r>
        <w:rPr>
          <w:rFonts w:ascii="Arial" w:cs="Arial" w:hAnsi="Arial"/>
        </w:rPr>
        <w:t xml:space="preserve">, </w:t>
      </w:r>
      <w:r>
        <w:rPr>
          <w:rFonts w:ascii="Arial" w:cs="Arial" w:hAnsi="Arial"/>
          <w:i/>
          <w:iCs/>
        </w:rPr>
        <w:t>Open Markets Institute</w:t>
      </w:r>
      <w:r>
        <w:rPr>
          <w:rFonts w:ascii="Arial" w:cs="Arial" w:hAnsi="Arial"/>
        </w:rPr>
        <w:t xml:space="preserve">. Available at: </w:t>
      </w:r>
      <w:r>
        <w:rPr/>
        <w:fldChar w:fldCharType="begin"/>
      </w:r>
      <w:r>
        <w:instrText xml:space="preserve"> HYPERLINK "https://www.openmarketsinstitute.org/publications/personalization-price-discrimination" </w:instrText>
      </w:r>
      <w:r>
        <w:rPr/>
        <w:fldChar w:fldCharType="separate"/>
      </w:r>
      <w:r>
        <w:rPr>
          <w:rStyle w:val="style85"/>
          <w:rFonts w:ascii="Arial" w:cs="Arial" w:hAnsi="Arial"/>
        </w:rPr>
        <w:t>https://www.openmarketsinstitute.org/publications/personalization-price-discrimination</w:t>
      </w:r>
      <w:r>
        <w:rPr/>
        <w:fldChar w:fldCharType="end"/>
      </w:r>
      <w:r>
        <w:rPr>
          <w:rFonts w:ascii="Arial" w:cs="Arial" w:hAnsi="Arial"/>
        </w:rPr>
        <w:t xml:space="preserve">  (Accessed: July 26, 2026).</w:t>
      </w:r>
    </w:p>
    <w:p w14:paraId="293D7D60">
      <w:pPr>
        <w:pStyle w:val="style0"/>
        <w:spacing w:lineRule="auto" w:line="360"/>
        <w:rPr>
          <w:rFonts w:ascii="Arial" w:cs="Arial" w:hAnsi="Arial"/>
          <w:lang w:val="en-US"/>
        </w:rPr>
      </w:pPr>
      <w:r>
        <w:rPr>
          <w:rFonts w:ascii="Arial" w:cs="Arial" w:hAnsi="Arial"/>
          <w:lang w:val="en-US"/>
        </w:rPr>
        <w:t xml:space="preserve">Khodakarami, F., Andrew Petersen, J. and Venkatesan, R. (2024) “Customer behavior across competitive loyalty programs,” </w:t>
      </w:r>
      <w:r>
        <w:rPr>
          <w:rFonts w:ascii="Arial" w:cs="Arial" w:hAnsi="Arial"/>
          <w:i/>
          <w:iCs/>
          <w:lang w:val="en-US"/>
        </w:rPr>
        <w:t>Journal of the Academy of Marketing Science</w:t>
      </w:r>
      <w:r>
        <w:rPr>
          <w:rFonts w:ascii="Arial" w:cs="Arial" w:hAnsi="Arial"/>
          <w:lang w:val="en-US"/>
        </w:rPr>
        <w:t xml:space="preserve">, 52(3), pp. 892–913. Available at: </w:t>
      </w:r>
      <w:r>
        <w:rPr/>
        <w:fldChar w:fldCharType="begin"/>
      </w:r>
      <w:r>
        <w:instrText xml:space="preserve"> HYPERLINK "https://doi.org/10.1007/s11747-023-00965-z" </w:instrText>
      </w:r>
      <w:r>
        <w:rPr/>
        <w:fldChar w:fldCharType="separate"/>
      </w:r>
      <w:r>
        <w:rPr>
          <w:rStyle w:val="style85"/>
          <w:rFonts w:ascii="Arial" w:cs="Arial" w:hAnsi="Arial"/>
          <w:lang w:val="en-US"/>
        </w:rPr>
        <w:t>https://doi.org/10.1007/s11747-023-00965-z</w:t>
      </w:r>
      <w:r>
        <w:rPr/>
        <w:fldChar w:fldCharType="end"/>
      </w:r>
      <w:r>
        <w:rPr>
          <w:rFonts w:ascii="Arial" w:cs="Arial" w:hAnsi="Arial"/>
          <w:lang w:val="en-US"/>
        </w:rPr>
        <w:t xml:space="preserve">. </w:t>
      </w:r>
    </w:p>
    <w:p w14:paraId="36FFA63D">
      <w:pPr>
        <w:pStyle w:val="style0"/>
        <w:spacing w:lineRule="auto" w:line="360"/>
        <w:rPr>
          <w:rFonts w:ascii="Arial" w:cs="Arial" w:hAnsi="Arial"/>
        </w:rPr>
      </w:pPr>
      <w:r>
        <w:rPr>
          <w:rFonts w:ascii="Arial" w:cs="Arial" w:hAnsi="Arial"/>
        </w:rPr>
        <w:t xml:space="preserve">Kim, S.M. (2021) “Inductive or deductive? Research by maxillofacial surgeons,” </w:t>
      </w:r>
      <w:r>
        <w:rPr>
          <w:rFonts w:ascii="Arial" w:cs="Arial" w:hAnsi="Arial"/>
          <w:i/>
          <w:iCs/>
        </w:rPr>
        <w:t>Journal of the Korean Association of Oral and Maxillofacial Surgeons</w:t>
      </w:r>
      <w:r>
        <w:rPr>
          <w:rFonts w:ascii="Arial" w:cs="Arial" w:hAnsi="Arial"/>
        </w:rPr>
        <w:t xml:space="preserve">, 47(3), pp. 151–152. Available at: </w:t>
      </w:r>
      <w:r>
        <w:rPr/>
        <w:fldChar w:fldCharType="begin"/>
      </w:r>
      <w:r>
        <w:instrText xml:space="preserve"> HYPERLINK "https://doi.org/10.5125/jkaoms.2021.47.3.151" </w:instrText>
      </w:r>
      <w:r>
        <w:rPr/>
        <w:fldChar w:fldCharType="separate"/>
      </w:r>
      <w:r>
        <w:rPr>
          <w:rStyle w:val="style85"/>
          <w:rFonts w:ascii="Arial" w:cs="Arial" w:hAnsi="Arial"/>
        </w:rPr>
        <w:t>https://doi.org/10.5125/jkaoms.2021.47.3.151</w:t>
      </w:r>
      <w:r>
        <w:rPr/>
        <w:fldChar w:fldCharType="end"/>
      </w:r>
      <w:r>
        <w:rPr>
          <w:rFonts w:ascii="Arial" w:cs="Arial" w:hAnsi="Arial"/>
        </w:rPr>
        <w:t xml:space="preserve">. </w:t>
      </w:r>
    </w:p>
    <w:p w14:paraId="08994E40">
      <w:pPr>
        <w:pStyle w:val="style0"/>
        <w:spacing w:lineRule="auto" w:line="360"/>
        <w:rPr>
          <w:rFonts w:ascii="Arial" w:cs="Arial" w:hAnsi="Arial"/>
        </w:rPr>
      </w:pPr>
      <w:r>
        <w:rPr>
          <w:rFonts w:ascii="Arial" w:cs="Arial" w:hAnsi="Arial"/>
        </w:rPr>
        <w:t xml:space="preserve">Kostyal, D.S., Pistrui, B. and Matyusz, Z. (2026) “Retail innovation in Central-Eastern Europe: A mixed-methods exploration of executive and consumer perspectives,” </w:t>
      </w:r>
      <w:r>
        <w:rPr>
          <w:rFonts w:ascii="Arial" w:cs="Arial" w:hAnsi="Arial"/>
          <w:i/>
          <w:iCs/>
        </w:rPr>
        <w:t>Journal of Innovation &amp; Knowledge</w:t>
      </w:r>
      <w:r>
        <w:rPr>
          <w:rFonts w:ascii="Arial" w:cs="Arial" w:hAnsi="Arial"/>
        </w:rPr>
        <w:t xml:space="preserve">, 17(101056), p. 101056. Available at: </w:t>
      </w:r>
      <w:r>
        <w:rPr/>
        <w:fldChar w:fldCharType="begin"/>
      </w:r>
      <w:r>
        <w:instrText xml:space="preserve"> HYPERLINK "https://doi.org/10.1016/j.jik.2026.101056" </w:instrText>
      </w:r>
      <w:r>
        <w:rPr/>
        <w:fldChar w:fldCharType="separate"/>
      </w:r>
      <w:r>
        <w:rPr>
          <w:rStyle w:val="style85"/>
          <w:rFonts w:ascii="Arial" w:cs="Arial" w:hAnsi="Arial"/>
        </w:rPr>
        <w:t>https://doi.org/10.1016/j.jik.2026.101056</w:t>
      </w:r>
      <w:r>
        <w:rPr/>
        <w:fldChar w:fldCharType="end"/>
      </w:r>
      <w:r>
        <w:rPr>
          <w:rFonts w:ascii="Arial" w:cs="Arial" w:hAnsi="Arial"/>
        </w:rPr>
        <w:t xml:space="preserve">. </w:t>
      </w:r>
    </w:p>
    <w:p w14:paraId="7C5BA9CA">
      <w:pPr>
        <w:pStyle w:val="style0"/>
        <w:spacing w:lineRule="auto" w:line="360"/>
        <w:rPr>
          <w:rFonts w:ascii="Arial" w:cs="Arial" w:hAnsi="Arial"/>
        </w:rPr>
      </w:pPr>
      <w:r>
        <w:rPr>
          <w:rFonts w:ascii="Arial" w:cs="Arial" w:hAnsi="Arial"/>
        </w:rPr>
        <w:t xml:space="preserve">Kovalev, V., Novikova, K. and Antineskul, E. (2023) “Efficiency of customer loyalty programmes in the food retail industry,” </w:t>
      </w:r>
      <w:r>
        <w:rPr>
          <w:rFonts w:ascii="Arial" w:cs="Arial" w:hAnsi="Arial"/>
          <w:i/>
          <w:iCs/>
        </w:rPr>
        <w:t>Journal of New Economy</w:t>
      </w:r>
      <w:r>
        <w:rPr>
          <w:rFonts w:ascii="Arial" w:cs="Arial" w:hAnsi="Arial"/>
        </w:rPr>
        <w:t xml:space="preserve">, 23(4), pp. 121–136. Available at: </w:t>
      </w:r>
      <w:r>
        <w:rPr/>
        <w:fldChar w:fldCharType="begin"/>
      </w:r>
      <w:r>
        <w:instrText xml:space="preserve"> HYPERLINK "https://doi.org/10.29141/2658-5081-2022-23-4-6" </w:instrText>
      </w:r>
      <w:r>
        <w:rPr/>
        <w:fldChar w:fldCharType="separate"/>
      </w:r>
      <w:r>
        <w:rPr>
          <w:rStyle w:val="style85"/>
          <w:rFonts w:ascii="Arial" w:cs="Arial" w:hAnsi="Arial"/>
        </w:rPr>
        <w:t>https://doi.org/10.29141/2658-5081-2022-23-4-6</w:t>
      </w:r>
      <w:r>
        <w:rPr/>
        <w:fldChar w:fldCharType="end"/>
      </w:r>
      <w:r>
        <w:rPr>
          <w:rFonts w:ascii="Arial" w:cs="Arial" w:hAnsi="Arial"/>
        </w:rPr>
        <w:t xml:space="preserve">. </w:t>
      </w:r>
    </w:p>
    <w:p w14:paraId="638DA198">
      <w:pPr>
        <w:pStyle w:val="style0"/>
        <w:spacing w:lineRule="auto" w:line="360"/>
        <w:rPr>
          <w:rFonts w:ascii="Arial" w:cs="Arial" w:hAnsi="Arial"/>
        </w:rPr>
      </w:pPr>
      <w:r>
        <w:rPr>
          <w:rFonts w:ascii="Arial" w:cs="Arial" w:hAnsi="Arial"/>
        </w:rPr>
        <w:t xml:space="preserve">Kumar, A., Gupta, S.L. and Kishor, N. (2016) “The antecedents of customer loyalty: Attitudinal and behavioral perspectives based on oliver’s loyalty model,” </w:t>
      </w:r>
      <w:r>
        <w:rPr>
          <w:rFonts w:ascii="Arial" w:cs="Arial" w:hAnsi="Arial"/>
          <w:i/>
          <w:iCs/>
        </w:rPr>
        <w:t>Indian Journal of Marketing</w:t>
      </w:r>
      <w:r>
        <w:rPr>
          <w:rFonts w:ascii="Arial" w:cs="Arial" w:hAnsi="Arial"/>
        </w:rPr>
        <w:t xml:space="preserve">, 46(3), p. 31. Available at: </w:t>
      </w:r>
      <w:r>
        <w:rPr/>
        <w:fldChar w:fldCharType="begin"/>
      </w:r>
      <w:r>
        <w:instrText xml:space="preserve"> HYPERLINK "https://doi.org/10.17010/ijom/2016/v46/i3/88996" </w:instrText>
      </w:r>
      <w:r>
        <w:rPr/>
        <w:fldChar w:fldCharType="separate"/>
      </w:r>
      <w:r>
        <w:rPr>
          <w:rStyle w:val="style85"/>
          <w:rFonts w:ascii="Arial" w:cs="Arial" w:hAnsi="Arial"/>
        </w:rPr>
        <w:t>https://doi.org/10.17010/ijom/2016/v46/i3/88996</w:t>
      </w:r>
      <w:r>
        <w:rPr/>
        <w:fldChar w:fldCharType="end"/>
      </w:r>
      <w:r>
        <w:rPr>
          <w:rFonts w:ascii="Arial" w:cs="Arial" w:hAnsi="Arial"/>
        </w:rPr>
        <w:t xml:space="preserve">. </w:t>
      </w:r>
    </w:p>
    <w:p w14:paraId="4B7D1DC2">
      <w:pPr>
        <w:pStyle w:val="style0"/>
        <w:spacing w:lineRule="auto" w:line="360"/>
        <w:rPr>
          <w:rFonts w:ascii="Arial" w:cs="Arial" w:hAnsi="Arial"/>
        </w:rPr>
      </w:pPr>
      <w:r>
        <w:rPr>
          <w:rFonts w:ascii="Arial" w:cs="Arial" w:hAnsi="Arial"/>
        </w:rPr>
        <w:t xml:space="preserve">Kumar, D. </w:t>
      </w:r>
      <w:r>
        <w:rPr>
          <w:rFonts w:ascii="Arial" w:cs="Arial" w:hAnsi="Arial"/>
          <w:i/>
          <w:iCs/>
        </w:rPr>
        <w:t>et al.</w:t>
      </w:r>
      <w:r>
        <w:rPr>
          <w:rFonts w:ascii="Arial" w:cs="Arial" w:hAnsi="Arial"/>
        </w:rPr>
        <w:t xml:space="preserve"> (2025) “Personalisation vs Privacy: Marketing strategies in the digital age,” </w:t>
      </w:r>
      <w:r>
        <w:rPr>
          <w:rFonts w:ascii="Arial" w:cs="Arial" w:hAnsi="Arial"/>
          <w:i/>
          <w:iCs/>
        </w:rPr>
        <w:t>Journal of Marketing &amp; Social Research</w:t>
      </w:r>
      <w:r>
        <w:rPr>
          <w:rFonts w:ascii="Arial" w:cs="Arial" w:hAnsi="Arial"/>
        </w:rPr>
        <w:t xml:space="preserve">, 2, pp. 177–191. Available at: </w:t>
      </w:r>
      <w:r>
        <w:rPr/>
        <w:fldChar w:fldCharType="begin"/>
      </w:r>
      <w:r>
        <w:instrText xml:space="preserve"> HYPERLINK "https://doi.org/10.61336/jmsr/25-05-20" </w:instrText>
      </w:r>
      <w:r>
        <w:rPr/>
        <w:fldChar w:fldCharType="separate"/>
      </w:r>
      <w:r>
        <w:rPr>
          <w:rStyle w:val="style85"/>
          <w:rFonts w:ascii="Arial" w:cs="Arial" w:hAnsi="Arial"/>
        </w:rPr>
        <w:t>https://doi.org/10.61336/jmsr/25-05-20</w:t>
      </w:r>
      <w:r>
        <w:rPr/>
        <w:fldChar w:fldCharType="end"/>
      </w:r>
      <w:r>
        <w:rPr>
          <w:rFonts w:ascii="Arial" w:cs="Arial" w:hAnsi="Arial"/>
        </w:rPr>
        <w:t xml:space="preserve">. </w:t>
      </w:r>
    </w:p>
    <w:p w14:paraId="19EB77A4">
      <w:pPr>
        <w:pStyle w:val="style0"/>
        <w:spacing w:lineRule="auto" w:line="360"/>
        <w:rPr>
          <w:rFonts w:ascii="Arial" w:cs="Arial" w:hAnsi="Arial"/>
        </w:rPr>
      </w:pPr>
      <w:r>
        <w:rPr>
          <w:rFonts w:ascii="Arial" w:cs="Arial" w:hAnsi="Arial"/>
        </w:rPr>
        <w:t xml:space="preserve">Kumar, V. and Reinartz, W. (2018) </w:t>
      </w:r>
      <w:r>
        <w:rPr>
          <w:rFonts w:ascii="Arial" w:cs="Arial" w:hAnsi="Arial"/>
          <w:i/>
          <w:iCs/>
        </w:rPr>
        <w:t>Customer Relationship Management: Concept, Strategy, and Tools</w:t>
      </w:r>
      <w:r>
        <w:rPr>
          <w:rFonts w:ascii="Arial" w:cs="Arial" w:hAnsi="Arial"/>
        </w:rPr>
        <w:t>. Berlin: Springer.</w:t>
      </w:r>
    </w:p>
    <w:p w14:paraId="79599216">
      <w:pPr>
        <w:pStyle w:val="style0"/>
        <w:spacing w:lineRule="auto" w:line="360"/>
        <w:rPr>
          <w:rFonts w:ascii="Arial" w:cs="Arial" w:hAnsi="Arial"/>
        </w:rPr>
      </w:pPr>
      <w:r>
        <w:rPr>
          <w:rFonts w:ascii="Arial" w:cs="Arial" w:hAnsi="Arial"/>
        </w:rPr>
        <w:t xml:space="preserve">Laari, L. (2025) “Inductive-deductive qualitative data analysis logic in health sciences research: A framework for analysing qualitative data,” </w:t>
      </w:r>
      <w:r>
        <w:rPr>
          <w:rFonts w:ascii="Arial" w:cs="Arial" w:hAnsi="Arial"/>
          <w:i/>
          <w:iCs/>
        </w:rPr>
        <w:t>International Journal of Qualitative Methods</w:t>
      </w:r>
      <w:r>
        <w:rPr>
          <w:rFonts w:ascii="Arial" w:cs="Arial" w:hAnsi="Arial"/>
        </w:rPr>
        <w:t xml:space="preserve">, 24(16094069251381706). Available at: </w:t>
      </w:r>
      <w:r>
        <w:rPr/>
        <w:fldChar w:fldCharType="begin"/>
      </w:r>
      <w:r>
        <w:instrText xml:space="preserve"> HYPERLINK "https://doi.org/10.1177/16094069251381706" </w:instrText>
      </w:r>
      <w:r>
        <w:rPr/>
        <w:fldChar w:fldCharType="separate"/>
      </w:r>
      <w:r>
        <w:rPr>
          <w:rStyle w:val="style85"/>
          <w:rFonts w:ascii="Arial" w:cs="Arial" w:hAnsi="Arial"/>
        </w:rPr>
        <w:t>https://doi.org/10.1177/16094069251381706</w:t>
      </w:r>
      <w:r>
        <w:rPr/>
        <w:fldChar w:fldCharType="end"/>
      </w:r>
      <w:r>
        <w:rPr>
          <w:rFonts w:ascii="Arial" w:cs="Arial" w:hAnsi="Arial"/>
        </w:rPr>
        <w:t xml:space="preserve">. </w:t>
      </w:r>
    </w:p>
    <w:p w14:paraId="7C464914">
      <w:pPr>
        <w:pStyle w:val="style0"/>
        <w:spacing w:lineRule="auto" w:line="360"/>
        <w:rPr>
          <w:rFonts w:ascii="Arial" w:cs="Arial" w:hAnsi="Arial"/>
        </w:rPr>
      </w:pPr>
      <w:r>
        <w:rPr>
          <w:rFonts w:ascii="Arial" w:cs="Arial" w:hAnsi="Arial"/>
        </w:rPr>
        <w:t xml:space="preserve">Larsson, S. and Haresamudram, K. (2024) “Consumer trust and platformised retail personalisation,” in </w:t>
      </w:r>
      <w:r>
        <w:rPr>
          <w:rFonts w:ascii="Arial" w:cs="Arial" w:hAnsi="Arial"/>
          <w:i/>
          <w:iCs/>
        </w:rPr>
        <w:t>The Future of Consumption</w:t>
      </w:r>
      <w:r>
        <w:rPr>
          <w:rFonts w:ascii="Arial" w:cs="Arial" w:hAnsi="Arial"/>
        </w:rPr>
        <w:t>. Cham: Springer International Publishing, pp. 77–94.</w:t>
      </w:r>
    </w:p>
    <w:p w14:paraId="2F6E8478">
      <w:pPr>
        <w:pStyle w:val="style0"/>
        <w:spacing w:lineRule="auto" w:line="360"/>
        <w:rPr>
          <w:rFonts w:ascii="Arial" w:cs="Arial" w:hAnsi="Arial"/>
          <w:lang w:val="en-US"/>
        </w:rPr>
      </w:pPr>
      <w:r>
        <w:rPr>
          <w:rFonts w:ascii="Arial" w:cs="Arial" w:hAnsi="Arial"/>
          <w:lang w:val="en-US"/>
        </w:rPr>
        <w:t xml:space="preserve">Leenheer, J. </w:t>
      </w:r>
      <w:r>
        <w:rPr>
          <w:rFonts w:ascii="Arial" w:cs="Arial" w:hAnsi="Arial"/>
          <w:i/>
          <w:iCs/>
          <w:lang w:val="en-US"/>
        </w:rPr>
        <w:t>et al.</w:t>
      </w:r>
      <w:r>
        <w:rPr>
          <w:rFonts w:ascii="Arial" w:cs="Arial" w:hAnsi="Arial"/>
          <w:lang w:val="en-US"/>
        </w:rPr>
        <w:t xml:space="preserve"> (2007) “Do loyalty programs really enhance behavioral loyalty? An empirical analysis accounting for self-selecting members,” </w:t>
      </w:r>
      <w:r>
        <w:rPr>
          <w:rFonts w:ascii="Arial" w:cs="Arial" w:hAnsi="Arial"/>
          <w:i/>
          <w:iCs/>
          <w:lang w:val="en-US"/>
        </w:rPr>
        <w:t>International Journal of Research in Marketing</w:t>
      </w:r>
      <w:r>
        <w:rPr>
          <w:rFonts w:ascii="Arial" w:cs="Arial" w:hAnsi="Arial"/>
          <w:lang w:val="en-US"/>
        </w:rPr>
        <w:t xml:space="preserve">, 24(1), pp. 31–47. Available at: </w:t>
      </w:r>
      <w:r>
        <w:rPr/>
        <w:fldChar w:fldCharType="begin"/>
      </w:r>
      <w:r>
        <w:instrText xml:space="preserve"> HYPERLINK "https://doi.org/10.1016/j.ijresmar.2006.10.005" </w:instrText>
      </w:r>
      <w:r>
        <w:rPr/>
        <w:fldChar w:fldCharType="separate"/>
      </w:r>
      <w:r>
        <w:rPr>
          <w:rStyle w:val="style85"/>
          <w:rFonts w:ascii="Arial" w:cs="Arial" w:hAnsi="Arial"/>
          <w:lang w:val="en-US"/>
        </w:rPr>
        <w:t>https://doi.org/10.1016/j.ijresmar.2006.10.005</w:t>
      </w:r>
      <w:r>
        <w:rPr/>
        <w:fldChar w:fldCharType="end"/>
      </w:r>
      <w:r>
        <w:rPr>
          <w:rFonts w:ascii="Arial" w:cs="Arial" w:hAnsi="Arial"/>
          <w:lang w:val="en-US"/>
        </w:rPr>
        <w:t xml:space="preserve">. </w:t>
      </w:r>
    </w:p>
    <w:p w14:paraId="3DDCC157">
      <w:pPr>
        <w:pStyle w:val="style0"/>
        <w:spacing w:lineRule="auto" w:line="360"/>
        <w:rPr>
          <w:rFonts w:ascii="Arial" w:cs="Arial" w:hAnsi="Arial"/>
        </w:rPr>
      </w:pPr>
      <w:r>
        <w:rPr>
          <w:rFonts w:ascii="Arial" w:cs="Arial" w:hAnsi="Arial"/>
        </w:rPr>
        <w:t xml:space="preserve">Leppäniemi, M., Karjaluoto, H. and Saarijärvi, H. (2017) “Customer perceived value, satisfaction, and loyalty: the role of willingness to share information,” </w:t>
      </w:r>
      <w:r>
        <w:rPr>
          <w:rFonts w:ascii="Arial" w:cs="Arial" w:hAnsi="Arial"/>
          <w:i/>
          <w:iCs/>
        </w:rPr>
        <w:t>The International Review of Retail Distribution and Consumer Research</w:t>
      </w:r>
      <w:r>
        <w:rPr>
          <w:rFonts w:ascii="Arial" w:cs="Arial" w:hAnsi="Arial"/>
        </w:rPr>
        <w:t xml:space="preserve">, 27(2), pp. 164–188. Available at: </w:t>
      </w:r>
      <w:r>
        <w:rPr/>
        <w:fldChar w:fldCharType="begin"/>
      </w:r>
      <w:r>
        <w:instrText xml:space="preserve"> HYPERLINK "https://doi.org/10.1080/09593969.2016.1251482" </w:instrText>
      </w:r>
      <w:r>
        <w:rPr/>
        <w:fldChar w:fldCharType="separate"/>
      </w:r>
      <w:r>
        <w:rPr>
          <w:rStyle w:val="style85"/>
          <w:rFonts w:ascii="Arial" w:cs="Arial" w:hAnsi="Arial"/>
        </w:rPr>
        <w:t>https://doi.org/10.1080/09593969.2016.1251482</w:t>
      </w:r>
      <w:r>
        <w:rPr/>
        <w:fldChar w:fldCharType="end"/>
      </w:r>
      <w:r>
        <w:rPr>
          <w:rFonts w:ascii="Arial" w:cs="Arial" w:hAnsi="Arial"/>
        </w:rPr>
        <w:t xml:space="preserve">. </w:t>
      </w:r>
    </w:p>
    <w:p w14:paraId="58F206F6">
      <w:pPr>
        <w:pStyle w:val="style0"/>
        <w:spacing w:lineRule="auto" w:line="360"/>
        <w:rPr>
          <w:rFonts w:ascii="Arial" w:cs="Arial" w:hAnsi="Arial"/>
        </w:rPr>
      </w:pPr>
      <w:r>
        <w:rPr>
          <w:rFonts w:ascii="Arial" w:cs="Arial" w:hAnsi="Arial"/>
        </w:rPr>
        <w:t xml:space="preserve">Li, C., Swaminathan, S. and Kim, J. (2025) “Point redemption in loyalty programs: The role of customer relationship characteristics and their implications for service providers,” </w:t>
      </w:r>
      <w:r>
        <w:rPr>
          <w:rFonts w:ascii="Arial" w:cs="Arial" w:hAnsi="Arial"/>
          <w:i/>
          <w:iCs/>
        </w:rPr>
        <w:t>Journal of Service Research</w:t>
      </w:r>
      <w:r>
        <w:rPr>
          <w:rFonts w:ascii="Arial" w:cs="Arial" w:hAnsi="Arial"/>
        </w:rPr>
        <w:t>, 28(4), pp. 652–668. Available at: https://doi.org/10.1177/10946705241246341.</w:t>
      </w:r>
    </w:p>
    <w:p w14:paraId="5801FBD5">
      <w:pPr>
        <w:pStyle w:val="style0"/>
        <w:spacing w:lineRule="auto" w:line="360"/>
        <w:rPr>
          <w:rFonts w:ascii="Arial" w:cs="Arial" w:hAnsi="Arial"/>
        </w:rPr>
      </w:pPr>
      <w:r>
        <w:rPr>
          <w:rFonts w:ascii="Arial" w:cs="Arial" w:hAnsi="Arial"/>
        </w:rPr>
        <w:t xml:space="preserve">Li, D. </w:t>
      </w:r>
      <w:r>
        <w:rPr>
          <w:rFonts w:ascii="Arial" w:cs="Arial" w:hAnsi="Arial"/>
          <w:i/>
          <w:iCs/>
        </w:rPr>
        <w:t>et al.</w:t>
      </w:r>
      <w:r>
        <w:rPr>
          <w:rFonts w:ascii="Arial" w:cs="Arial" w:hAnsi="Arial"/>
        </w:rPr>
        <w:t xml:space="preserve"> (2026) “The shadow of social desirability bias: evidence from reassessing the sources of political trust in China,” </w:t>
      </w:r>
      <w:r>
        <w:rPr>
          <w:rFonts w:ascii="Arial" w:cs="Arial" w:hAnsi="Arial"/>
          <w:i/>
          <w:iCs/>
        </w:rPr>
        <w:t>Political Science Research and Methods</w:t>
      </w:r>
      <w:r>
        <w:rPr>
          <w:rFonts w:ascii="Arial" w:cs="Arial" w:hAnsi="Arial"/>
        </w:rPr>
        <w:t xml:space="preserve">, pp. 1–18. Available at: </w:t>
      </w:r>
      <w:r>
        <w:rPr/>
        <w:fldChar w:fldCharType="begin"/>
      </w:r>
      <w:r>
        <w:instrText xml:space="preserve"> HYPERLINK "https://doi.org/10.1017/psrm.2025.10080" </w:instrText>
      </w:r>
      <w:r>
        <w:rPr/>
        <w:fldChar w:fldCharType="separate"/>
      </w:r>
      <w:r>
        <w:rPr>
          <w:rStyle w:val="style85"/>
          <w:rFonts w:ascii="Arial" w:cs="Arial" w:hAnsi="Arial"/>
        </w:rPr>
        <w:t>https://doi.org/10.1017/psrm.2025.10080</w:t>
      </w:r>
      <w:r>
        <w:rPr/>
        <w:fldChar w:fldCharType="end"/>
      </w:r>
      <w:r>
        <w:rPr>
          <w:rFonts w:ascii="Arial" w:cs="Arial" w:hAnsi="Arial"/>
        </w:rPr>
        <w:t xml:space="preserve">. </w:t>
      </w:r>
    </w:p>
    <w:p w14:paraId="5F270CDE">
      <w:pPr>
        <w:pStyle w:val="style0"/>
        <w:spacing w:lineRule="auto" w:line="360"/>
        <w:rPr>
          <w:rFonts w:ascii="Arial" w:cs="Arial" w:hAnsi="Arial"/>
        </w:rPr>
      </w:pPr>
      <w:r>
        <w:rPr>
          <w:rFonts w:ascii="Arial" w:cs="Arial" w:hAnsi="Arial"/>
        </w:rPr>
        <w:t xml:space="preserve">Li, L., Yuan, L. and Tian, J. (2023) “Influence of online E-commerce interaction on consumer satisfaction based on big data algorithm,” </w:t>
      </w:r>
      <w:r>
        <w:rPr>
          <w:rFonts w:ascii="Arial" w:cs="Arial" w:hAnsi="Arial"/>
          <w:i/>
          <w:iCs/>
        </w:rPr>
        <w:t>Heliyon</w:t>
      </w:r>
      <w:r>
        <w:rPr>
          <w:rFonts w:ascii="Arial" w:cs="Arial" w:hAnsi="Arial"/>
        </w:rPr>
        <w:t xml:space="preserve">, 9(8), p. e18322. Available at: </w:t>
      </w:r>
      <w:r>
        <w:rPr/>
        <w:fldChar w:fldCharType="begin"/>
      </w:r>
      <w:r>
        <w:instrText xml:space="preserve"> HYPERLINK "https://doi.org/10.1016/j.heliyon.2023.e18322" </w:instrText>
      </w:r>
      <w:r>
        <w:rPr/>
        <w:fldChar w:fldCharType="separate"/>
      </w:r>
      <w:r>
        <w:rPr>
          <w:rStyle w:val="style85"/>
          <w:rFonts w:ascii="Arial" w:cs="Arial" w:hAnsi="Arial"/>
        </w:rPr>
        <w:t>https://doi.org/10.1016/j.heliyon.2023.e18322</w:t>
      </w:r>
      <w:r>
        <w:rPr/>
        <w:fldChar w:fldCharType="end"/>
      </w:r>
      <w:r>
        <w:rPr>
          <w:rFonts w:ascii="Arial" w:cs="Arial" w:hAnsi="Arial"/>
        </w:rPr>
        <w:t xml:space="preserve">. </w:t>
      </w:r>
    </w:p>
    <w:p w14:paraId="78258F77">
      <w:pPr>
        <w:pStyle w:val="style0"/>
        <w:spacing w:lineRule="auto" w:line="360"/>
        <w:rPr>
          <w:rFonts w:ascii="Arial" w:cs="Arial" w:hAnsi="Arial"/>
        </w:rPr>
      </w:pPr>
      <w:r>
        <w:rPr>
          <w:rFonts w:ascii="Arial" w:cs="Arial" w:hAnsi="Arial"/>
        </w:rPr>
        <w:t xml:space="preserve">Lim, W.M. (2025) “What is quantitative research? An overview and guidelines,” </w:t>
      </w:r>
      <w:r>
        <w:rPr>
          <w:rFonts w:ascii="Arial" w:cs="Arial" w:hAnsi="Arial"/>
          <w:i/>
          <w:iCs/>
        </w:rPr>
        <w:t>Australasian Marketing Journal (AMJ)</w:t>
      </w:r>
      <w:r>
        <w:rPr>
          <w:rFonts w:ascii="Arial" w:cs="Arial" w:hAnsi="Arial"/>
        </w:rPr>
        <w:t xml:space="preserve">, 33(3), pp. 325–348. Available at: </w:t>
      </w:r>
      <w:r>
        <w:rPr/>
        <w:fldChar w:fldCharType="begin"/>
      </w:r>
      <w:r>
        <w:instrText xml:space="preserve"> HYPERLINK "https://doi.org/10.1177/14413582241264622" </w:instrText>
      </w:r>
      <w:r>
        <w:rPr/>
        <w:fldChar w:fldCharType="separate"/>
      </w:r>
      <w:r>
        <w:rPr>
          <w:rStyle w:val="style85"/>
          <w:rFonts w:ascii="Arial" w:cs="Arial" w:hAnsi="Arial"/>
        </w:rPr>
        <w:t>https://doi.org/10.1177/14413582241264622</w:t>
      </w:r>
      <w:r>
        <w:rPr/>
        <w:fldChar w:fldCharType="end"/>
      </w:r>
      <w:r>
        <w:rPr>
          <w:rFonts w:ascii="Arial" w:cs="Arial" w:hAnsi="Arial"/>
        </w:rPr>
        <w:t xml:space="preserve">. </w:t>
      </w:r>
    </w:p>
    <w:p w14:paraId="53FDBADF">
      <w:pPr>
        <w:pStyle w:val="style0"/>
        <w:spacing w:lineRule="auto" w:line="360"/>
        <w:rPr>
          <w:rFonts w:ascii="Arial" w:cs="Arial" w:hAnsi="Arial"/>
        </w:rPr>
      </w:pPr>
      <w:r>
        <w:rPr>
          <w:rFonts w:ascii="Arial" w:cs="Arial" w:hAnsi="Arial"/>
        </w:rPr>
        <w:t xml:space="preserve">Lin, C. and Bowman, D. (2022) “The impact of introducing a customer loyalty program on category sales and profitability,” </w:t>
      </w:r>
      <w:r>
        <w:rPr>
          <w:rFonts w:ascii="Arial" w:cs="Arial" w:hAnsi="Arial"/>
          <w:i/>
          <w:iCs/>
        </w:rPr>
        <w:t>Journal of Retailing and Consumer Services</w:t>
      </w:r>
      <w:r>
        <w:rPr>
          <w:rFonts w:ascii="Arial" w:cs="Arial" w:hAnsi="Arial"/>
        </w:rPr>
        <w:t xml:space="preserve">, 64(102769), p. 102769. Available at: </w:t>
      </w:r>
      <w:r>
        <w:rPr/>
        <w:fldChar w:fldCharType="begin"/>
      </w:r>
      <w:r>
        <w:instrText xml:space="preserve"> HYPERLINK "https://doi.org/10.1016/j.jretconser.2021.102769" </w:instrText>
      </w:r>
      <w:r>
        <w:rPr/>
        <w:fldChar w:fldCharType="separate"/>
      </w:r>
      <w:r>
        <w:rPr>
          <w:rStyle w:val="style85"/>
          <w:rFonts w:ascii="Arial" w:cs="Arial" w:hAnsi="Arial"/>
        </w:rPr>
        <w:t>https://doi.org/10.1016/j.jretconser.2021.102769</w:t>
      </w:r>
      <w:r>
        <w:rPr/>
        <w:fldChar w:fldCharType="end"/>
      </w:r>
      <w:r>
        <w:rPr>
          <w:rFonts w:ascii="Arial" w:cs="Arial" w:hAnsi="Arial"/>
        </w:rPr>
        <w:t xml:space="preserve">. </w:t>
      </w:r>
    </w:p>
    <w:p w14:paraId="47F6D38E">
      <w:pPr>
        <w:pStyle w:val="style0"/>
        <w:spacing w:lineRule="auto" w:line="360"/>
        <w:rPr>
          <w:rFonts w:ascii="Arial" w:cs="Arial" w:hAnsi="Arial"/>
        </w:rPr>
      </w:pPr>
      <w:r>
        <w:rPr>
          <w:rFonts w:ascii="Arial" w:cs="Arial" w:hAnsi="Arial"/>
        </w:rPr>
        <w:t xml:space="preserve">Lindecrantz, E., Gi, M.T.P., and Zerbi, S. (2020). Personalising the customer experience: Driving differentiation in retail. McKinsey.com. Available at: </w:t>
      </w:r>
      <w:r>
        <w:rPr/>
        <w:fldChar w:fldCharType="begin"/>
      </w:r>
      <w:r>
        <w:instrText xml:space="preserve"> HYPERLINK "https://www.mckinsey.com/industries/retail/our-insights/personalizing-the-customer-experience-driving-differentiation-in-retail" </w:instrText>
      </w:r>
      <w:r>
        <w:rPr/>
        <w:fldChar w:fldCharType="separate"/>
      </w:r>
      <w:r>
        <w:rPr>
          <w:rStyle w:val="style85"/>
          <w:rFonts w:ascii="Arial" w:cs="Arial" w:hAnsi="Arial"/>
        </w:rPr>
        <w:t>https://www.mckinsey.com/industries/retail/our-insights/personalizing-the-customer-experience-driving-differentiation-in-retail</w:t>
      </w:r>
      <w:r>
        <w:rPr/>
        <w:fldChar w:fldCharType="end"/>
      </w:r>
      <w:r>
        <w:rPr>
          <w:rStyle w:val="style85"/>
          <w:rFonts w:ascii="Arial" w:cs="Arial" w:hAnsi="Arial"/>
        </w:rPr>
        <w:t xml:space="preserve"> </w:t>
      </w:r>
    </w:p>
    <w:p w14:paraId="631EC08E">
      <w:pPr>
        <w:pStyle w:val="style0"/>
        <w:spacing w:lineRule="auto" w:line="360"/>
        <w:rPr>
          <w:rFonts w:ascii="Arial" w:cs="Arial" w:hAnsi="Arial"/>
        </w:rPr>
      </w:pPr>
      <w:r>
        <w:rPr>
          <w:rFonts w:ascii="Arial" w:cs="Arial" w:hAnsi="Arial"/>
        </w:rPr>
        <w:t xml:space="preserve">LSE (2026) </w:t>
      </w:r>
      <w:r>
        <w:rPr>
          <w:rFonts w:ascii="Arial" w:cs="Arial" w:hAnsi="Arial"/>
          <w:i/>
          <w:iCs/>
        </w:rPr>
        <w:t>Preliminary Results 2025/26 TESCO PLC</w:t>
      </w:r>
      <w:r>
        <w:rPr>
          <w:rFonts w:ascii="Arial" w:cs="Arial" w:hAnsi="Arial"/>
        </w:rPr>
        <w:t xml:space="preserve">, </w:t>
      </w:r>
      <w:r>
        <w:rPr>
          <w:rFonts w:ascii="Arial" w:cs="Arial" w:hAnsi="Arial"/>
          <w:i/>
          <w:iCs/>
        </w:rPr>
        <w:t>Londonstockexchange.com</w:t>
      </w:r>
      <w:r>
        <w:rPr>
          <w:rFonts w:ascii="Arial" w:cs="Arial" w:hAnsi="Arial"/>
        </w:rPr>
        <w:t xml:space="preserve">. Available at: </w:t>
      </w:r>
      <w:r>
        <w:rPr/>
        <w:fldChar w:fldCharType="begin"/>
      </w:r>
      <w:r>
        <w:instrText xml:space="preserve"> HYPERLINK "https://www.londonstockexchange.com/news-article/TSCO/preliminary-results-2025-26/17549062" </w:instrText>
      </w:r>
      <w:r>
        <w:rPr/>
        <w:fldChar w:fldCharType="separate"/>
      </w:r>
      <w:r>
        <w:rPr>
          <w:rStyle w:val="style85"/>
          <w:rFonts w:ascii="Arial" w:cs="Arial" w:hAnsi="Arial"/>
        </w:rPr>
        <w:t>https://www.londonstockexchange.com/news-article/TSCO/preliminary-results-2025-26/17549062</w:t>
      </w:r>
      <w:r>
        <w:rPr/>
        <w:fldChar w:fldCharType="end"/>
      </w:r>
      <w:r>
        <w:rPr>
          <w:rFonts w:ascii="Arial" w:cs="Arial" w:hAnsi="Arial"/>
        </w:rPr>
        <w:t xml:space="preserve">  (Accessed: September 4, 2026).</w:t>
      </w:r>
    </w:p>
    <w:p w14:paraId="2DCDFCDA">
      <w:pPr>
        <w:pStyle w:val="style0"/>
        <w:spacing w:lineRule="auto" w:line="360"/>
        <w:rPr>
          <w:rFonts w:ascii="Arial" w:cs="Arial" w:hAnsi="Arial"/>
        </w:rPr>
      </w:pPr>
      <w:r>
        <w:rPr>
          <w:rFonts w:ascii="Arial" w:cs="Arial" w:hAnsi="Arial"/>
        </w:rPr>
        <w:t xml:space="preserve">Lv, J. and Liu, X. (2022) “The impact of information overload of E-commerce platform on consumer return intention: Considering the moderating role of perceived environmental effectiveness,” </w:t>
      </w:r>
      <w:r>
        <w:rPr>
          <w:rFonts w:ascii="Arial" w:cs="Arial" w:hAnsi="Arial"/>
          <w:i/>
          <w:iCs/>
        </w:rPr>
        <w:t>International Journal of Environmental Research and Public Health</w:t>
      </w:r>
      <w:r>
        <w:rPr>
          <w:rFonts w:ascii="Arial" w:cs="Arial" w:hAnsi="Arial"/>
        </w:rPr>
        <w:t xml:space="preserve">, 19(13), p. 8060. Available at: </w:t>
      </w:r>
      <w:r>
        <w:rPr/>
        <w:fldChar w:fldCharType="begin"/>
      </w:r>
      <w:r>
        <w:instrText xml:space="preserve"> HYPERLINK "https://doi.org/10.3390/ijerph19138060" </w:instrText>
      </w:r>
      <w:r>
        <w:rPr/>
        <w:fldChar w:fldCharType="separate"/>
      </w:r>
      <w:r>
        <w:rPr>
          <w:rStyle w:val="style85"/>
          <w:rFonts w:ascii="Arial" w:cs="Arial" w:hAnsi="Arial"/>
        </w:rPr>
        <w:t>https://doi.org/10.3390/ijerph19138060</w:t>
      </w:r>
      <w:r>
        <w:rPr/>
        <w:fldChar w:fldCharType="end"/>
      </w:r>
      <w:r>
        <w:rPr>
          <w:rFonts w:ascii="Arial" w:cs="Arial" w:hAnsi="Arial"/>
        </w:rPr>
        <w:t xml:space="preserve">. </w:t>
      </w:r>
    </w:p>
    <w:p w14:paraId="5269F4EF">
      <w:pPr>
        <w:pStyle w:val="style0"/>
        <w:spacing w:lineRule="auto" w:line="360"/>
        <w:rPr>
          <w:rFonts w:ascii="Arial" w:cs="Arial" w:hAnsi="Arial"/>
        </w:rPr>
      </w:pPr>
      <w:r>
        <w:rPr>
          <w:rFonts w:ascii="Arial" w:cs="Arial" w:hAnsi="Arial"/>
        </w:rPr>
        <w:t xml:space="preserve">Martin, K.D. and Murphy, P.E. (2017) “The role of data privacy in marketing,” </w:t>
      </w:r>
      <w:r>
        <w:rPr>
          <w:rFonts w:ascii="Arial" w:cs="Arial" w:hAnsi="Arial"/>
          <w:i/>
          <w:iCs/>
        </w:rPr>
        <w:t>Journal of the Academy of Marketing Science</w:t>
      </w:r>
      <w:r>
        <w:rPr>
          <w:rFonts w:ascii="Arial" w:cs="Arial" w:hAnsi="Arial"/>
        </w:rPr>
        <w:t xml:space="preserve">, 45(2), pp. 135–155. Available at: </w:t>
      </w:r>
      <w:r>
        <w:rPr/>
        <w:fldChar w:fldCharType="begin"/>
      </w:r>
      <w:r>
        <w:instrText xml:space="preserve"> HYPERLINK "https://doi.org/10.1007/s11747-016-0495-4" </w:instrText>
      </w:r>
      <w:r>
        <w:rPr/>
        <w:fldChar w:fldCharType="separate"/>
      </w:r>
      <w:r>
        <w:rPr>
          <w:rStyle w:val="style85"/>
          <w:rFonts w:ascii="Arial" w:cs="Arial" w:hAnsi="Arial"/>
        </w:rPr>
        <w:t>https://doi.org/10.1007/s11747-016-0495-4</w:t>
      </w:r>
      <w:r>
        <w:rPr/>
        <w:fldChar w:fldCharType="end"/>
      </w:r>
      <w:r>
        <w:rPr>
          <w:rFonts w:ascii="Arial" w:cs="Arial" w:hAnsi="Arial"/>
        </w:rPr>
        <w:t xml:space="preserve">. </w:t>
      </w:r>
    </w:p>
    <w:p w14:paraId="45E66870">
      <w:pPr>
        <w:pStyle w:val="style0"/>
        <w:spacing w:lineRule="auto" w:line="360"/>
        <w:rPr>
          <w:rFonts w:ascii="Arial" w:cs="Arial" w:hAnsi="Arial"/>
        </w:rPr>
      </w:pPr>
      <w:r>
        <w:rPr>
          <w:rFonts w:ascii="Arial" w:cs="Arial" w:hAnsi="Arial"/>
        </w:rPr>
        <w:t xml:space="preserve">Mckinsey &amp; Company (2023) </w:t>
      </w:r>
      <w:r>
        <w:rPr>
          <w:rFonts w:ascii="Arial" w:cs="Arial" w:hAnsi="Arial"/>
          <w:i/>
          <w:iCs/>
        </w:rPr>
        <w:t>What is personalization?</w:t>
      </w:r>
      <w:r>
        <w:rPr>
          <w:rFonts w:ascii="Arial" w:cs="Arial" w:hAnsi="Arial"/>
        </w:rPr>
        <w:t xml:space="preserve">, </w:t>
      </w:r>
      <w:r>
        <w:rPr>
          <w:rFonts w:ascii="Arial" w:cs="Arial" w:hAnsi="Arial"/>
          <w:i/>
          <w:iCs/>
        </w:rPr>
        <w:t>Mckinsey.com</w:t>
      </w:r>
      <w:r>
        <w:rPr>
          <w:rFonts w:ascii="Arial" w:cs="Arial" w:hAnsi="Arial"/>
        </w:rPr>
        <w:t xml:space="preserve">. Available at: </w:t>
      </w:r>
      <w:r>
        <w:rPr/>
        <w:fldChar w:fldCharType="begin"/>
      </w:r>
      <w:r>
        <w:instrText xml:space="preserve"> HYPERLINK "https://www.mckinsey.com/featured-insights/mckinsey-explainers/what-is-personalization" </w:instrText>
      </w:r>
      <w:r>
        <w:rPr/>
        <w:fldChar w:fldCharType="separate"/>
      </w:r>
      <w:r>
        <w:rPr>
          <w:rStyle w:val="style85"/>
          <w:rFonts w:ascii="Arial" w:cs="Arial" w:hAnsi="Arial"/>
        </w:rPr>
        <w:t>https://www.mckinsey.com/featured-insights/mckinsey-explainers/what-is-personalization</w:t>
      </w:r>
      <w:r>
        <w:rPr/>
        <w:fldChar w:fldCharType="end"/>
      </w:r>
      <w:r>
        <w:rPr>
          <w:rFonts w:ascii="Arial" w:cs="Arial" w:hAnsi="Arial"/>
        </w:rPr>
        <w:t xml:space="preserve"> </w:t>
      </w:r>
    </w:p>
    <w:p w14:paraId="334174F1">
      <w:pPr>
        <w:pStyle w:val="style0"/>
        <w:spacing w:lineRule="auto" w:line="360"/>
        <w:rPr>
          <w:rFonts w:ascii="Arial" w:cs="Arial" w:hAnsi="Arial"/>
        </w:rPr>
      </w:pPr>
      <w:r>
        <w:rPr>
          <w:rFonts w:ascii="Arial" w:cs="Arial" w:hAnsi="Arial"/>
        </w:rPr>
        <w:t xml:space="preserve">Mellinger, C.D. and Hanson, T.A. (2021) “Methodological considerations for survey research: Validity, reliability, and quantitative analysis,” </w:t>
      </w:r>
      <w:r>
        <w:rPr>
          <w:rFonts w:ascii="Arial" w:cs="Arial" w:hAnsi="Arial"/>
          <w:i/>
          <w:iCs/>
        </w:rPr>
        <w:t>Linguistica Antverpiensia, New Series - Themes in Translation Studies</w:t>
      </w:r>
      <w:r>
        <w:rPr>
          <w:rFonts w:ascii="Arial" w:cs="Arial" w:hAnsi="Arial"/>
        </w:rPr>
        <w:t xml:space="preserve">, 19. Available at: </w:t>
      </w:r>
      <w:r>
        <w:rPr/>
        <w:fldChar w:fldCharType="begin"/>
      </w:r>
      <w:r>
        <w:instrText xml:space="preserve"> HYPERLINK "https://doi.org/10.52034/lanstts.v19i0.549" </w:instrText>
      </w:r>
      <w:r>
        <w:rPr/>
        <w:fldChar w:fldCharType="separate"/>
      </w:r>
      <w:r>
        <w:rPr>
          <w:rStyle w:val="style85"/>
          <w:rFonts w:ascii="Arial" w:cs="Arial" w:hAnsi="Arial"/>
        </w:rPr>
        <w:t>https://doi.org/10.52034/lanstts.v19i0.549</w:t>
      </w:r>
      <w:r>
        <w:rPr/>
        <w:fldChar w:fldCharType="end"/>
      </w:r>
      <w:r>
        <w:rPr>
          <w:rFonts w:ascii="Arial" w:cs="Arial" w:hAnsi="Arial"/>
        </w:rPr>
        <w:t xml:space="preserve">. </w:t>
      </w:r>
    </w:p>
    <w:p w14:paraId="71301CBC">
      <w:pPr>
        <w:pStyle w:val="style0"/>
        <w:spacing w:lineRule="auto" w:line="360"/>
        <w:rPr>
          <w:rFonts w:ascii="Arial" w:cs="Arial" w:hAnsi="Arial"/>
        </w:rPr>
      </w:pPr>
      <w:r>
        <w:rPr>
          <w:rFonts w:ascii="Arial" w:cs="Arial" w:hAnsi="Arial"/>
        </w:rPr>
        <w:t xml:space="preserve">Melnyk, V. and Bijmolt, T. (2015) “The effects of introducing and terminating loyalty programs,” </w:t>
      </w:r>
      <w:r>
        <w:rPr>
          <w:rFonts w:ascii="Arial" w:cs="Arial" w:hAnsi="Arial"/>
          <w:i/>
          <w:iCs/>
        </w:rPr>
        <w:t>European Journal of Marketing</w:t>
      </w:r>
      <w:r>
        <w:rPr>
          <w:rFonts w:ascii="Arial" w:cs="Arial" w:hAnsi="Arial"/>
        </w:rPr>
        <w:t xml:space="preserve">, 49(3/4), pp. 398–419. Available at: </w:t>
      </w:r>
      <w:r>
        <w:rPr/>
        <w:fldChar w:fldCharType="begin"/>
      </w:r>
      <w:r>
        <w:instrText xml:space="preserve"> HYPERLINK "https://doi.org/10.1108/ejm-12-2012-0694" </w:instrText>
      </w:r>
      <w:r>
        <w:rPr/>
        <w:fldChar w:fldCharType="separate"/>
      </w:r>
      <w:r>
        <w:rPr>
          <w:rStyle w:val="style85"/>
          <w:rFonts w:ascii="Arial" w:cs="Arial" w:hAnsi="Arial"/>
        </w:rPr>
        <w:t>https://doi.org/10.1108/ejm-12-2012-0694</w:t>
      </w:r>
      <w:r>
        <w:rPr/>
        <w:fldChar w:fldCharType="end"/>
      </w:r>
      <w:r>
        <w:rPr>
          <w:rFonts w:ascii="Arial" w:cs="Arial" w:hAnsi="Arial"/>
        </w:rPr>
        <w:t xml:space="preserve">. </w:t>
      </w:r>
    </w:p>
    <w:p w14:paraId="5DCB5AAC">
      <w:pPr>
        <w:pStyle w:val="style0"/>
        <w:spacing w:lineRule="auto" w:line="360"/>
        <w:rPr>
          <w:rFonts w:ascii="Arial" w:cs="Arial" w:hAnsi="Arial"/>
        </w:rPr>
      </w:pPr>
      <w:r>
        <w:rPr>
          <w:rFonts w:ascii="Arial" w:cs="Arial" w:hAnsi="Arial"/>
        </w:rPr>
        <w:t xml:space="preserve">Meyer-Waarden, L., Bruwer, J. and Galan, J.-P. (2023) “Loyalty programs, loyalty engagement and customer engagement with the company brand: Consumer-centric behavioral psychology insights from three industries,” </w:t>
      </w:r>
      <w:r>
        <w:rPr>
          <w:rFonts w:ascii="Arial" w:cs="Arial" w:hAnsi="Arial"/>
          <w:i/>
          <w:iCs/>
        </w:rPr>
        <w:t>Journal of Retailing and Consumer Services</w:t>
      </w:r>
      <w:r>
        <w:rPr>
          <w:rFonts w:ascii="Arial" w:cs="Arial" w:hAnsi="Arial"/>
        </w:rPr>
        <w:t xml:space="preserve">, 71(103212), p. 103212. Available at: </w:t>
      </w:r>
      <w:r>
        <w:rPr/>
        <w:fldChar w:fldCharType="begin"/>
      </w:r>
      <w:r>
        <w:instrText xml:space="preserve"> HYPERLINK "https://doi.org/10.1016/j.jretconser.2022.103212" </w:instrText>
      </w:r>
      <w:r>
        <w:rPr/>
        <w:fldChar w:fldCharType="separate"/>
      </w:r>
      <w:r>
        <w:rPr>
          <w:rStyle w:val="style85"/>
          <w:rFonts w:ascii="Arial" w:cs="Arial" w:hAnsi="Arial"/>
        </w:rPr>
        <w:t>https://doi.org/10.1016/j.jretconser.2022.103212</w:t>
      </w:r>
      <w:r>
        <w:rPr/>
        <w:fldChar w:fldCharType="end"/>
      </w:r>
      <w:r>
        <w:rPr>
          <w:rFonts w:ascii="Arial" w:cs="Arial" w:hAnsi="Arial"/>
        </w:rPr>
        <w:t xml:space="preserve">. </w:t>
      </w:r>
    </w:p>
    <w:p w14:paraId="5D62546B">
      <w:pPr>
        <w:pStyle w:val="style0"/>
        <w:spacing w:lineRule="auto" w:line="360"/>
        <w:rPr>
          <w:rFonts w:ascii="Arial" w:cs="Arial" w:hAnsi="Arial"/>
          <w:lang w:val="en-US"/>
        </w:rPr>
      </w:pPr>
      <w:r>
        <w:rPr>
          <w:rFonts w:ascii="Arial" w:cs="Arial" w:hAnsi="Arial"/>
          <w:lang w:val="en-US"/>
        </w:rPr>
        <w:t xml:space="preserve">Mimouni-Chaabane, A. and Volle, P. (2010) “Perceived benefits of loyalty programs: Scale development and implications for relational strategies,” </w:t>
      </w:r>
      <w:r>
        <w:rPr>
          <w:rFonts w:ascii="Arial" w:cs="Arial" w:hAnsi="Arial"/>
          <w:i/>
          <w:iCs/>
          <w:lang w:val="en-US"/>
        </w:rPr>
        <w:t>Journal of Business Research</w:t>
      </w:r>
      <w:r>
        <w:rPr>
          <w:rFonts w:ascii="Arial" w:cs="Arial" w:hAnsi="Arial"/>
          <w:lang w:val="en-US"/>
        </w:rPr>
        <w:t xml:space="preserve">, 63(1), pp. 32–37. Available at: </w:t>
      </w:r>
      <w:r>
        <w:rPr/>
        <w:fldChar w:fldCharType="begin"/>
      </w:r>
      <w:r>
        <w:instrText xml:space="preserve"> HYPERLINK "https://doi.org/10.1016/j.jbusres.2009.01.008" </w:instrText>
      </w:r>
      <w:r>
        <w:rPr/>
        <w:fldChar w:fldCharType="separate"/>
      </w:r>
      <w:r>
        <w:rPr>
          <w:rStyle w:val="style85"/>
          <w:rFonts w:ascii="Arial" w:cs="Arial" w:hAnsi="Arial"/>
          <w:lang w:val="en-US"/>
        </w:rPr>
        <w:t>https://doi.org/10.1016/j.jbusres.2009.01.008</w:t>
      </w:r>
      <w:r>
        <w:rPr/>
        <w:fldChar w:fldCharType="end"/>
      </w:r>
      <w:r>
        <w:rPr>
          <w:rFonts w:ascii="Arial" w:cs="Arial" w:hAnsi="Arial"/>
          <w:lang w:val="en-US"/>
        </w:rPr>
        <w:t xml:space="preserve">. </w:t>
      </w:r>
    </w:p>
    <w:p w14:paraId="204D8835">
      <w:pPr>
        <w:pStyle w:val="style0"/>
        <w:spacing w:lineRule="auto" w:line="360"/>
        <w:rPr>
          <w:rFonts w:ascii="Arial" w:cs="Arial" w:hAnsi="Arial"/>
          <w:lang w:val="en-US"/>
        </w:rPr>
      </w:pPr>
      <w:r>
        <w:rPr>
          <w:rFonts w:ascii="Arial" w:cs="Arial" w:hAnsi="Arial"/>
          <w:lang w:val="en-US"/>
        </w:rPr>
        <w:t xml:space="preserve">Morgan, R.M. and Hunt, S.D. (1994) “The commitment-trust theory of relationship marketing,” </w:t>
      </w:r>
      <w:r>
        <w:rPr>
          <w:rFonts w:ascii="Arial" w:cs="Arial" w:hAnsi="Arial"/>
          <w:i/>
          <w:iCs/>
          <w:lang w:val="en-US"/>
        </w:rPr>
        <w:t>Journal of Marketing</w:t>
      </w:r>
      <w:r>
        <w:rPr>
          <w:rFonts w:ascii="Arial" w:cs="Arial" w:hAnsi="Arial"/>
          <w:lang w:val="en-US"/>
        </w:rPr>
        <w:t xml:space="preserve">, 58(3), pp. 20–38. Available at: </w:t>
      </w:r>
      <w:r>
        <w:rPr/>
        <w:fldChar w:fldCharType="begin"/>
      </w:r>
      <w:r>
        <w:instrText xml:space="preserve"> HYPERLINK "https://doi.org/10.1177/002224299405800302" </w:instrText>
      </w:r>
      <w:r>
        <w:rPr/>
        <w:fldChar w:fldCharType="separate"/>
      </w:r>
      <w:r>
        <w:rPr>
          <w:rStyle w:val="style85"/>
          <w:rFonts w:ascii="Arial" w:cs="Arial" w:hAnsi="Arial"/>
          <w:lang w:val="en-US"/>
        </w:rPr>
        <w:t>https://doi.org/10.1177/002224299405800302</w:t>
      </w:r>
      <w:r>
        <w:rPr/>
        <w:fldChar w:fldCharType="end"/>
      </w:r>
      <w:r>
        <w:rPr>
          <w:rFonts w:ascii="Arial" w:cs="Arial" w:hAnsi="Arial"/>
          <w:lang w:val="en-US"/>
        </w:rPr>
        <w:t xml:space="preserve">. </w:t>
      </w:r>
    </w:p>
    <w:p w14:paraId="596F0BFB">
      <w:pPr>
        <w:pStyle w:val="style0"/>
        <w:spacing w:lineRule="auto" w:line="360"/>
        <w:rPr>
          <w:rFonts w:ascii="Arial" w:cs="Arial" w:hAnsi="Arial"/>
          <w:lang w:val="en-US"/>
        </w:rPr>
      </w:pPr>
      <w:r>
        <w:rPr>
          <w:rFonts w:ascii="Arial" w:cs="Arial" w:hAnsi="Arial"/>
          <w:lang w:val="en-US"/>
        </w:rPr>
        <w:t xml:space="preserve">Muhammad, F., Rozi, F. and Supriyanto, A.S. (2021) “The influence of membership program on customer loyalty mediated by customer satisfaction,” </w:t>
      </w:r>
      <w:r>
        <w:rPr>
          <w:rFonts w:ascii="Arial" w:cs="Arial" w:hAnsi="Arial"/>
          <w:i/>
          <w:iCs/>
          <w:lang w:val="en-US"/>
        </w:rPr>
        <w:t>International Journal of Research in Business and Social Science (2147-4478)</w:t>
      </w:r>
      <w:r>
        <w:rPr>
          <w:rFonts w:ascii="Arial" w:cs="Arial" w:hAnsi="Arial"/>
          <w:lang w:val="en-US"/>
        </w:rPr>
        <w:t xml:space="preserve">, 10(6), pp. 34–41. Available at: </w:t>
      </w:r>
      <w:r>
        <w:rPr/>
        <w:fldChar w:fldCharType="begin"/>
      </w:r>
      <w:r>
        <w:instrText xml:space="preserve"> HYPERLINK "https://doi.org/10.20525/ijrbs.v10i6.1362" </w:instrText>
      </w:r>
      <w:r>
        <w:rPr/>
        <w:fldChar w:fldCharType="separate"/>
      </w:r>
      <w:r>
        <w:rPr>
          <w:rStyle w:val="style85"/>
          <w:rFonts w:ascii="Arial" w:cs="Arial" w:hAnsi="Arial"/>
          <w:lang w:val="en-US"/>
        </w:rPr>
        <w:t>https://doi.org/10.20525/ijrbs.v10i6.1362</w:t>
      </w:r>
      <w:r>
        <w:rPr/>
        <w:fldChar w:fldCharType="end"/>
      </w:r>
      <w:r>
        <w:rPr>
          <w:rFonts w:ascii="Arial" w:cs="Arial" w:hAnsi="Arial"/>
          <w:lang w:val="en-US"/>
        </w:rPr>
        <w:t xml:space="preserve">. </w:t>
      </w:r>
    </w:p>
    <w:p w14:paraId="142B74E7">
      <w:pPr>
        <w:pStyle w:val="style0"/>
        <w:spacing w:lineRule="auto" w:line="360"/>
        <w:rPr>
          <w:rFonts w:ascii="Arial" w:cs="Arial" w:hAnsi="Arial"/>
        </w:rPr>
      </w:pPr>
      <w:r>
        <w:rPr>
          <w:rFonts w:ascii="Arial" w:cs="Arial" w:hAnsi="Arial"/>
        </w:rPr>
        <w:t xml:space="preserve">Mujianto, M. </w:t>
      </w:r>
      <w:r>
        <w:rPr>
          <w:rFonts w:ascii="Arial" w:cs="Arial" w:hAnsi="Arial"/>
          <w:i/>
          <w:iCs/>
        </w:rPr>
        <w:t>et al.</w:t>
      </w:r>
      <w:r>
        <w:rPr>
          <w:rFonts w:ascii="Arial" w:cs="Arial" w:hAnsi="Arial"/>
        </w:rPr>
        <w:t xml:space="preserve"> (2023) “The unraveling loyalty model of traditional retail to suppliers for business sustainability in the digital transformation era: Insight from MSMEs in Indonesia,” </w:t>
      </w:r>
      <w:r>
        <w:rPr>
          <w:rFonts w:ascii="Arial" w:cs="Arial" w:hAnsi="Arial"/>
          <w:i/>
          <w:iCs/>
        </w:rPr>
        <w:t>Sustainability</w:t>
      </w:r>
      <w:r>
        <w:rPr>
          <w:rFonts w:ascii="Arial" w:cs="Arial" w:hAnsi="Arial"/>
        </w:rPr>
        <w:t xml:space="preserve">, 15(3), p. 2827. Available at: </w:t>
      </w:r>
      <w:r>
        <w:rPr/>
        <w:fldChar w:fldCharType="begin"/>
      </w:r>
      <w:r>
        <w:instrText xml:space="preserve"> HYPERLINK "https://doi.org/10.3390/su15032827" </w:instrText>
      </w:r>
      <w:r>
        <w:rPr/>
        <w:fldChar w:fldCharType="separate"/>
      </w:r>
      <w:r>
        <w:rPr>
          <w:rStyle w:val="style85"/>
          <w:rFonts w:ascii="Arial" w:cs="Arial" w:hAnsi="Arial"/>
        </w:rPr>
        <w:t>https://doi.org/10.3390/su15032827</w:t>
      </w:r>
      <w:r>
        <w:rPr/>
        <w:fldChar w:fldCharType="end"/>
      </w:r>
      <w:r>
        <w:rPr>
          <w:rFonts w:ascii="Arial" w:cs="Arial" w:hAnsi="Arial"/>
        </w:rPr>
        <w:t xml:space="preserve">. </w:t>
      </w:r>
    </w:p>
    <w:p w14:paraId="623077CA">
      <w:pPr>
        <w:pStyle w:val="style0"/>
        <w:spacing w:lineRule="auto" w:line="360"/>
        <w:rPr>
          <w:rFonts w:ascii="Arial" w:cs="Arial" w:hAnsi="Arial"/>
        </w:rPr>
      </w:pPr>
      <w:r>
        <w:rPr>
          <w:rFonts w:ascii="Arial" w:cs="Arial" w:hAnsi="Arial"/>
        </w:rPr>
        <w:t xml:space="preserve">Mukti, B.H. (2025) “Methods in health research: Probability and non-probability sampling,” </w:t>
      </w:r>
      <w:r>
        <w:rPr>
          <w:rFonts w:ascii="Arial" w:cs="Arial" w:hAnsi="Arial"/>
          <w:i/>
          <w:iCs/>
        </w:rPr>
        <w:t>Health Sciences International Journal</w:t>
      </w:r>
      <w:r>
        <w:rPr>
          <w:rFonts w:ascii="Arial" w:cs="Arial" w:hAnsi="Arial"/>
        </w:rPr>
        <w:t xml:space="preserve">, 3(2), pp. 220–234. Available at: </w:t>
      </w:r>
      <w:r>
        <w:rPr/>
        <w:fldChar w:fldCharType="begin"/>
      </w:r>
      <w:r>
        <w:instrText xml:space="preserve"> HYPERLINK "https://doi.org/10.71357/hsij.v3i2.64" </w:instrText>
      </w:r>
      <w:r>
        <w:rPr/>
        <w:fldChar w:fldCharType="separate"/>
      </w:r>
      <w:r>
        <w:rPr>
          <w:rStyle w:val="style85"/>
          <w:rFonts w:ascii="Arial" w:cs="Arial" w:hAnsi="Arial"/>
        </w:rPr>
        <w:t>https://doi.org/10.71357/hsij.v3i2.64</w:t>
      </w:r>
      <w:r>
        <w:rPr/>
        <w:fldChar w:fldCharType="end"/>
      </w:r>
      <w:r>
        <w:rPr>
          <w:rFonts w:ascii="Arial" w:cs="Arial" w:hAnsi="Arial"/>
        </w:rPr>
        <w:t xml:space="preserve">. </w:t>
      </w:r>
    </w:p>
    <w:p w14:paraId="78707139">
      <w:pPr>
        <w:pStyle w:val="style0"/>
        <w:spacing w:lineRule="auto" w:line="360"/>
        <w:rPr>
          <w:rFonts w:ascii="Arial" w:cs="Arial" w:hAnsi="Arial"/>
        </w:rPr>
      </w:pPr>
      <w:r>
        <w:rPr>
          <w:rFonts w:ascii="Arial" w:cs="Arial" w:hAnsi="Arial"/>
        </w:rPr>
        <w:t xml:space="preserve">Muldoon, D. (2025) </w:t>
      </w:r>
      <w:r>
        <w:rPr>
          <w:rFonts w:ascii="Arial" w:cs="Arial" w:hAnsi="Arial"/>
          <w:i/>
          <w:iCs/>
        </w:rPr>
        <w:t>Why Tesco Clubcard is a 30-year legacy of supermarket loyalty</w:t>
      </w:r>
      <w:r>
        <w:rPr>
          <w:rFonts w:ascii="Arial" w:cs="Arial" w:hAnsi="Arial"/>
        </w:rPr>
        <w:t xml:space="preserve">, </w:t>
      </w:r>
      <w:r>
        <w:rPr>
          <w:rFonts w:ascii="Arial" w:cs="Arial" w:hAnsi="Arial"/>
          <w:i/>
          <w:iCs/>
        </w:rPr>
        <w:t>The Grocer</w:t>
      </w:r>
      <w:r>
        <w:rPr>
          <w:rFonts w:ascii="Arial" w:cs="Arial" w:hAnsi="Arial"/>
        </w:rPr>
        <w:t xml:space="preserve">. Available at: </w:t>
      </w:r>
      <w:r>
        <w:rPr/>
        <w:fldChar w:fldCharType="begin"/>
      </w:r>
      <w:r>
        <w:instrText xml:space="preserve"> HYPERLINK "https://www.thegrocer.co.uk/comment-and-opinion/why-tesco-clubcard-is-a-30-year-legacy-of-supermarket-loyalty/701617.article" </w:instrText>
      </w:r>
      <w:r>
        <w:rPr/>
        <w:fldChar w:fldCharType="separate"/>
      </w:r>
      <w:r>
        <w:rPr>
          <w:rStyle w:val="style85"/>
          <w:rFonts w:ascii="Arial" w:cs="Arial" w:hAnsi="Arial"/>
        </w:rPr>
        <w:t>https://www.thegrocer.co.uk/comment-and-opinion/why-tesco-clubcard-is-a-30-year-legacy-of-supermarket-loyalty/701617.article</w:t>
      </w:r>
      <w:r>
        <w:rPr/>
        <w:fldChar w:fldCharType="end"/>
      </w:r>
      <w:r>
        <w:rPr>
          <w:rFonts w:ascii="Arial" w:cs="Arial" w:hAnsi="Arial"/>
        </w:rPr>
        <w:t xml:space="preserve">  (Accessed: September 4, 2026).</w:t>
      </w:r>
    </w:p>
    <w:p w14:paraId="0CB486AE">
      <w:pPr>
        <w:pStyle w:val="style0"/>
        <w:spacing w:lineRule="auto" w:line="360"/>
        <w:rPr>
          <w:rFonts w:ascii="Arial" w:cs="Arial" w:hAnsi="Arial"/>
        </w:rPr>
      </w:pPr>
      <w:r>
        <w:rPr>
          <w:rFonts w:ascii="Arial" w:cs="Arial" w:hAnsi="Arial"/>
        </w:rPr>
        <w:t xml:space="preserve">Myftaraj, E. and Trebicka, B. (2023) “Analyzing the impact of loyalty card programs on customer behavior: insights from the Albanian market,” </w:t>
      </w:r>
      <w:r>
        <w:rPr>
          <w:rFonts w:ascii="Arial" w:cs="Arial" w:hAnsi="Arial"/>
          <w:i/>
          <w:iCs/>
        </w:rPr>
        <w:t>F1000Research</w:t>
      </w:r>
      <w:r>
        <w:rPr>
          <w:rFonts w:ascii="Arial" w:cs="Arial" w:hAnsi="Arial"/>
        </w:rPr>
        <w:t xml:space="preserve">, 12, p. 1028. Available at: </w:t>
      </w:r>
      <w:r>
        <w:rPr/>
        <w:fldChar w:fldCharType="begin"/>
      </w:r>
      <w:r>
        <w:instrText xml:space="preserve"> HYPERLINK "https://doi.org/10.12688/f1000research.138185.3" </w:instrText>
      </w:r>
      <w:r>
        <w:rPr/>
        <w:fldChar w:fldCharType="separate"/>
      </w:r>
      <w:r>
        <w:rPr>
          <w:rStyle w:val="style85"/>
          <w:rFonts w:ascii="Arial" w:cs="Arial" w:hAnsi="Arial"/>
        </w:rPr>
        <w:t>https://doi.org/10.12688/f1000research.138185.3</w:t>
      </w:r>
      <w:r>
        <w:rPr/>
        <w:fldChar w:fldCharType="end"/>
      </w:r>
      <w:r>
        <w:rPr>
          <w:rFonts w:ascii="Arial" w:cs="Arial" w:hAnsi="Arial"/>
        </w:rPr>
        <w:t xml:space="preserve">. </w:t>
      </w:r>
    </w:p>
    <w:p w14:paraId="049F7524">
      <w:pPr>
        <w:pStyle w:val="style0"/>
        <w:spacing w:lineRule="auto" w:line="360"/>
        <w:rPr>
          <w:rFonts w:ascii="Arial" w:cs="Arial" w:hAnsi="Arial"/>
        </w:rPr>
      </w:pPr>
      <w:r>
        <w:rPr>
          <w:rFonts w:ascii="Arial" w:cs="Arial" w:hAnsi="Arial"/>
        </w:rPr>
        <w:t xml:space="preserve">Närvänen, E. </w:t>
      </w:r>
      <w:r>
        <w:rPr>
          <w:rFonts w:ascii="Arial" w:cs="Arial" w:hAnsi="Arial"/>
          <w:i/>
          <w:iCs/>
        </w:rPr>
        <w:t>et al.</w:t>
      </w:r>
      <w:r>
        <w:rPr>
          <w:rFonts w:ascii="Arial" w:cs="Arial" w:hAnsi="Arial"/>
        </w:rPr>
        <w:t xml:space="preserve"> (2020) “A meaning-based framework for customer loyalty,” </w:t>
      </w:r>
      <w:r>
        <w:rPr>
          <w:rFonts w:ascii="Arial" w:cs="Arial" w:hAnsi="Arial"/>
          <w:i/>
          <w:iCs/>
        </w:rPr>
        <w:t>International Journal of Retail &amp; Distribution Management</w:t>
      </w:r>
      <w:r>
        <w:rPr>
          <w:rFonts w:ascii="Arial" w:cs="Arial" w:hAnsi="Arial"/>
        </w:rPr>
        <w:t xml:space="preserve">, 48(8), pp. 825–843. Available at: </w:t>
      </w:r>
      <w:r>
        <w:rPr/>
        <w:fldChar w:fldCharType="begin"/>
      </w:r>
      <w:r>
        <w:instrText xml:space="preserve"> HYPERLINK "https://doi.org/10.1108/ijrdm-05-2019-0153" </w:instrText>
      </w:r>
      <w:r>
        <w:rPr/>
        <w:fldChar w:fldCharType="separate"/>
      </w:r>
      <w:r>
        <w:rPr>
          <w:rStyle w:val="style85"/>
          <w:rFonts w:ascii="Arial" w:cs="Arial" w:hAnsi="Arial"/>
        </w:rPr>
        <w:t>https://doi.org/10.1108/ijrdm-05-2019-0153</w:t>
      </w:r>
      <w:r>
        <w:rPr/>
        <w:fldChar w:fldCharType="end"/>
      </w:r>
      <w:r>
        <w:rPr>
          <w:rFonts w:ascii="Arial" w:cs="Arial" w:hAnsi="Arial"/>
        </w:rPr>
        <w:t xml:space="preserve">. </w:t>
      </w:r>
    </w:p>
    <w:p w14:paraId="745D94D5">
      <w:pPr>
        <w:pStyle w:val="style0"/>
        <w:spacing w:lineRule="auto" w:line="360"/>
        <w:rPr>
          <w:rFonts w:ascii="Arial" w:cs="Arial" w:hAnsi="Arial"/>
        </w:rPr>
      </w:pPr>
      <w:r>
        <w:rPr>
          <w:rFonts w:ascii="Arial" w:cs="Arial" w:hAnsi="Arial"/>
        </w:rPr>
        <w:t xml:space="preserve">Neerman, P. (2026) </w:t>
      </w:r>
      <w:r>
        <w:rPr>
          <w:rFonts w:ascii="Arial" w:cs="Arial" w:hAnsi="Arial"/>
          <w:i/>
          <w:iCs/>
        </w:rPr>
        <w:t>Lidl Plus reaches 120 million users following global rollout</w:t>
      </w:r>
      <w:r>
        <w:rPr>
          <w:rFonts w:ascii="Arial" w:cs="Arial" w:hAnsi="Arial"/>
        </w:rPr>
        <w:t xml:space="preserve">, </w:t>
      </w:r>
      <w:r>
        <w:rPr>
          <w:rFonts w:ascii="Arial" w:cs="Arial" w:hAnsi="Arial"/>
          <w:i/>
          <w:iCs/>
        </w:rPr>
        <w:t>RetailDetail EU</w:t>
      </w:r>
      <w:r>
        <w:rPr>
          <w:rFonts w:ascii="Arial" w:cs="Arial" w:hAnsi="Arial"/>
        </w:rPr>
        <w:t xml:space="preserve">. Available at: </w:t>
      </w:r>
      <w:r>
        <w:rPr/>
        <w:fldChar w:fldCharType="begin"/>
      </w:r>
      <w:r>
        <w:instrText xml:space="preserve"> HYPERLINK "https://www.retaildetail.eu/news/food/lidl-plus-reaches-120-million-users-following-global-rollout/" </w:instrText>
      </w:r>
      <w:r>
        <w:rPr/>
        <w:fldChar w:fldCharType="separate"/>
      </w:r>
      <w:r>
        <w:rPr>
          <w:rStyle w:val="style85"/>
          <w:rFonts w:ascii="Arial" w:cs="Arial" w:hAnsi="Arial"/>
        </w:rPr>
        <w:t>https://www.retaildetail.eu/news/food/lidl-plus-reaches-120-million-users-following-global-rollout/</w:t>
      </w:r>
      <w:r>
        <w:rPr/>
        <w:fldChar w:fldCharType="end"/>
      </w:r>
      <w:r>
        <w:rPr>
          <w:rFonts w:ascii="Arial" w:cs="Arial" w:hAnsi="Arial"/>
        </w:rPr>
        <w:t xml:space="preserve">  (Accessed: September 4, 2026).</w:t>
      </w:r>
    </w:p>
    <w:p w14:paraId="45239668">
      <w:pPr>
        <w:pStyle w:val="style0"/>
        <w:spacing w:lineRule="auto" w:line="360"/>
        <w:rPr>
          <w:rFonts w:ascii="Arial" w:cs="Arial" w:hAnsi="Arial"/>
        </w:rPr>
      </w:pPr>
      <w:r>
        <w:rPr>
          <w:rFonts w:ascii="Arial" w:cs="Arial" w:hAnsi="Arial"/>
        </w:rPr>
        <w:t>Neetu, N. and Pandey, A. (2025) “Topic: Enhancing Customer Loyalty through Personalised Experiences in E-Commerce. Advances in Consumer Research,” 2, pp. 1811–1818.</w:t>
      </w:r>
    </w:p>
    <w:p w14:paraId="014DE455">
      <w:pPr>
        <w:pStyle w:val="style0"/>
        <w:spacing w:lineRule="auto" w:line="360"/>
        <w:rPr>
          <w:rFonts w:ascii="Arial" w:cs="Arial" w:hAnsi="Arial"/>
        </w:rPr>
      </w:pPr>
      <w:r>
        <w:rPr>
          <w:rFonts w:ascii="Arial" w:cs="Arial" w:hAnsi="Arial"/>
        </w:rPr>
        <w:t xml:space="preserve">Nishio, K. and Hoshino, T. (2024) “Quantifying the short- and long-term effects of promotional incentives in a loyalty program: Evidence from birthday rewards in a large retail company,” </w:t>
      </w:r>
      <w:r>
        <w:rPr>
          <w:rFonts w:ascii="Arial" w:cs="Arial" w:hAnsi="Arial"/>
          <w:i/>
          <w:iCs/>
        </w:rPr>
        <w:t>Journal of Retailing and Consumer Services</w:t>
      </w:r>
      <w:r>
        <w:rPr>
          <w:rFonts w:ascii="Arial" w:cs="Arial" w:hAnsi="Arial"/>
        </w:rPr>
        <w:t xml:space="preserve">, 81(103957), p. 103957. Available at: </w:t>
      </w:r>
      <w:r>
        <w:rPr/>
        <w:fldChar w:fldCharType="begin"/>
      </w:r>
      <w:r>
        <w:instrText xml:space="preserve"> HYPERLINK "https://doi.org/10.1016/j.jretconser.2024.103957" </w:instrText>
      </w:r>
      <w:r>
        <w:rPr/>
        <w:fldChar w:fldCharType="separate"/>
      </w:r>
      <w:r>
        <w:rPr>
          <w:rStyle w:val="style85"/>
          <w:rFonts w:ascii="Arial" w:cs="Arial" w:hAnsi="Arial"/>
        </w:rPr>
        <w:t>https://doi.org/10.1016/j.jretconser.2024.103957</w:t>
      </w:r>
      <w:r>
        <w:rPr/>
        <w:fldChar w:fldCharType="end"/>
      </w:r>
      <w:r>
        <w:rPr>
          <w:rFonts w:ascii="Arial" w:cs="Arial" w:hAnsi="Arial"/>
        </w:rPr>
        <w:t xml:space="preserve">. </w:t>
      </w:r>
    </w:p>
    <w:p w14:paraId="243D4E79">
      <w:pPr>
        <w:pStyle w:val="style0"/>
        <w:spacing w:lineRule="auto" w:line="360"/>
        <w:rPr>
          <w:rFonts w:ascii="Arial" w:cs="Arial" w:hAnsi="Arial"/>
        </w:rPr>
      </w:pPr>
      <w:r>
        <w:rPr>
          <w:rFonts w:ascii="Arial" w:cs="Arial" w:hAnsi="Arial"/>
        </w:rPr>
        <w:t xml:space="preserve">Oancea, O. (2021) “The implications of behavioural economics for pricing in a world of offer optimisation,” </w:t>
      </w:r>
      <w:r>
        <w:rPr>
          <w:rFonts w:ascii="Arial" w:cs="Arial" w:hAnsi="Arial"/>
          <w:i/>
          <w:iCs/>
        </w:rPr>
        <w:t>Journal of Revenue and Pricing Management</w:t>
      </w:r>
      <w:r>
        <w:rPr>
          <w:rFonts w:ascii="Arial" w:cs="Arial" w:hAnsi="Arial"/>
        </w:rPr>
        <w:t xml:space="preserve">, 20(6), pp. 626–633. Available at: </w:t>
      </w:r>
      <w:r>
        <w:rPr/>
        <w:fldChar w:fldCharType="begin"/>
      </w:r>
      <w:r>
        <w:instrText xml:space="preserve"> HYPERLINK "https://doi.org/10.1057/s41272-021-00348-5" </w:instrText>
      </w:r>
      <w:r>
        <w:rPr/>
        <w:fldChar w:fldCharType="separate"/>
      </w:r>
      <w:r>
        <w:rPr>
          <w:rStyle w:val="style85"/>
          <w:rFonts w:ascii="Arial" w:cs="Arial" w:hAnsi="Arial"/>
        </w:rPr>
        <w:t>https://doi.org/10.1057/s41272-021-00348-5</w:t>
      </w:r>
      <w:r>
        <w:rPr/>
        <w:fldChar w:fldCharType="end"/>
      </w:r>
      <w:r>
        <w:rPr>
          <w:rFonts w:ascii="Arial" w:cs="Arial" w:hAnsi="Arial"/>
        </w:rPr>
        <w:t xml:space="preserve">. </w:t>
      </w:r>
    </w:p>
    <w:p w14:paraId="5EF83745">
      <w:pPr>
        <w:pStyle w:val="style0"/>
        <w:spacing w:lineRule="auto" w:line="360"/>
        <w:rPr>
          <w:rFonts w:ascii="Arial" w:cs="Arial" w:hAnsi="Arial"/>
          <w:lang w:val="en-US"/>
        </w:rPr>
      </w:pPr>
      <w:r>
        <w:rPr>
          <w:rFonts w:ascii="Arial" w:cs="Arial" w:hAnsi="Arial"/>
          <w:lang w:val="en-US"/>
        </w:rPr>
        <w:t xml:space="preserve">Oliver, R.L. (1999) “Whence consumer loyalty?,” </w:t>
      </w:r>
      <w:r>
        <w:rPr>
          <w:rFonts w:ascii="Arial" w:cs="Arial" w:hAnsi="Arial"/>
          <w:i/>
          <w:iCs/>
          <w:lang w:val="en-US"/>
        </w:rPr>
        <w:t>Journal of Marketing</w:t>
      </w:r>
      <w:r>
        <w:rPr>
          <w:rFonts w:ascii="Arial" w:cs="Arial" w:hAnsi="Arial"/>
          <w:lang w:val="en-US"/>
        </w:rPr>
        <w:t xml:space="preserve">, 63(4_suppl1), pp. 33–44. Available at: </w:t>
      </w:r>
      <w:r>
        <w:rPr/>
        <w:fldChar w:fldCharType="begin"/>
      </w:r>
      <w:r>
        <w:instrText xml:space="preserve"> HYPERLINK "https://doi.org/10.1177/00222429990634s105" </w:instrText>
      </w:r>
      <w:r>
        <w:rPr/>
        <w:fldChar w:fldCharType="separate"/>
      </w:r>
      <w:r>
        <w:rPr>
          <w:rStyle w:val="style85"/>
          <w:rFonts w:ascii="Arial" w:cs="Arial" w:hAnsi="Arial"/>
          <w:lang w:val="en-US"/>
        </w:rPr>
        <w:t>https://doi.org/10.1177/00222429990634s105</w:t>
      </w:r>
      <w:r>
        <w:rPr/>
        <w:fldChar w:fldCharType="end"/>
      </w:r>
      <w:r>
        <w:rPr>
          <w:rFonts w:ascii="Arial" w:cs="Arial" w:hAnsi="Arial"/>
          <w:lang w:val="en-US"/>
        </w:rPr>
        <w:t xml:space="preserve">. </w:t>
      </w:r>
    </w:p>
    <w:p w14:paraId="736D4A10">
      <w:pPr>
        <w:pStyle w:val="style0"/>
        <w:spacing w:lineRule="auto" w:line="360"/>
        <w:rPr>
          <w:rFonts w:ascii="Arial" w:cs="Arial" w:hAnsi="Arial"/>
        </w:rPr>
      </w:pPr>
      <w:r>
        <w:rPr>
          <w:rFonts w:ascii="Arial" w:cs="Arial" w:hAnsi="Arial"/>
        </w:rPr>
        <w:t xml:space="preserve">Park, Y.S., Konge, L. and Artino, A.R. (2020) “The positivism paradigm of research,” </w:t>
      </w:r>
      <w:r>
        <w:rPr>
          <w:rFonts w:ascii="Arial" w:cs="Arial" w:hAnsi="Arial"/>
          <w:i/>
          <w:iCs/>
        </w:rPr>
        <w:t>Academic Medicine: Journal of the Association of American Medical Colleges</w:t>
      </w:r>
      <w:r>
        <w:rPr>
          <w:rFonts w:ascii="Arial" w:cs="Arial" w:hAnsi="Arial"/>
        </w:rPr>
        <w:t xml:space="preserve">, 95(5), pp. 690–694. Available at: </w:t>
      </w:r>
      <w:r>
        <w:rPr/>
        <w:fldChar w:fldCharType="begin"/>
      </w:r>
      <w:r>
        <w:instrText xml:space="preserve"> HYPERLINK "https://doi.org/10.1097/acm.0000000000003093" </w:instrText>
      </w:r>
      <w:r>
        <w:rPr/>
        <w:fldChar w:fldCharType="separate"/>
      </w:r>
      <w:r>
        <w:rPr>
          <w:rStyle w:val="style85"/>
          <w:rFonts w:ascii="Arial" w:cs="Arial" w:hAnsi="Arial"/>
        </w:rPr>
        <w:t>https://doi.org/10.1097/acm.0000000000003093</w:t>
      </w:r>
      <w:r>
        <w:rPr/>
        <w:fldChar w:fldCharType="end"/>
      </w:r>
      <w:r>
        <w:rPr>
          <w:rFonts w:ascii="Arial" w:cs="Arial" w:hAnsi="Arial"/>
        </w:rPr>
        <w:t xml:space="preserve">. </w:t>
      </w:r>
    </w:p>
    <w:p w14:paraId="42BF30DD">
      <w:pPr>
        <w:pStyle w:val="style0"/>
        <w:spacing w:lineRule="auto" w:line="360"/>
        <w:rPr>
          <w:rFonts w:ascii="Arial" w:cs="Arial" w:hAnsi="Arial"/>
        </w:rPr>
      </w:pPr>
      <w:r>
        <w:rPr>
          <w:rFonts w:ascii="Arial" w:cs="Arial" w:hAnsi="Arial"/>
        </w:rPr>
        <w:t xml:space="preserve">Patel, M. and Patel, N. (2019) “Exploring research methodology,” </w:t>
      </w:r>
      <w:r>
        <w:rPr>
          <w:rFonts w:ascii="Arial" w:cs="Arial" w:hAnsi="Arial"/>
          <w:i/>
          <w:iCs/>
        </w:rPr>
        <w:t>International Journal of Research and Review</w:t>
      </w:r>
      <w:r>
        <w:rPr>
          <w:rFonts w:ascii="Arial" w:cs="Arial" w:hAnsi="Arial"/>
        </w:rPr>
        <w:t>, 6(3), pp. 48–55.</w:t>
      </w:r>
    </w:p>
    <w:p w14:paraId="3BC25B3D">
      <w:pPr>
        <w:pStyle w:val="style0"/>
        <w:spacing w:lineRule="auto" w:line="360"/>
        <w:rPr>
          <w:rFonts w:ascii="Arial" w:cs="Arial" w:hAnsi="Arial"/>
        </w:rPr>
      </w:pPr>
      <w:r>
        <w:rPr>
          <w:rFonts w:ascii="Arial" w:cs="Arial" w:hAnsi="Arial"/>
        </w:rPr>
        <w:t xml:space="preserve">Pham, Q. </w:t>
      </w:r>
      <w:r>
        <w:rPr>
          <w:rFonts w:ascii="Arial" w:cs="Arial" w:hAnsi="Arial"/>
          <w:i/>
          <w:iCs/>
        </w:rPr>
        <w:t>et al.</w:t>
      </w:r>
      <w:r>
        <w:rPr>
          <w:rFonts w:ascii="Arial" w:cs="Arial" w:hAnsi="Arial"/>
        </w:rPr>
        <w:t xml:space="preserve"> (2018) “Relationship between convenience, perceived value, and repurchase intention in online shopping in Vietnam,” </w:t>
      </w:r>
      <w:r>
        <w:rPr>
          <w:rFonts w:ascii="Arial" w:cs="Arial" w:hAnsi="Arial"/>
          <w:i/>
          <w:iCs/>
        </w:rPr>
        <w:t>Sustainability</w:t>
      </w:r>
      <w:r>
        <w:rPr>
          <w:rFonts w:ascii="Arial" w:cs="Arial" w:hAnsi="Arial"/>
        </w:rPr>
        <w:t xml:space="preserve">, 10(1), p. 156. Available at: </w:t>
      </w:r>
      <w:r>
        <w:rPr/>
        <w:fldChar w:fldCharType="begin"/>
      </w:r>
      <w:r>
        <w:instrText xml:space="preserve"> HYPERLINK "https://doi.org/10.3390/su10010156" </w:instrText>
      </w:r>
      <w:r>
        <w:rPr/>
        <w:fldChar w:fldCharType="separate"/>
      </w:r>
      <w:r>
        <w:rPr>
          <w:rStyle w:val="style85"/>
          <w:rFonts w:ascii="Arial" w:cs="Arial" w:hAnsi="Arial"/>
        </w:rPr>
        <w:t>https://doi.org/10.3390/su10010156</w:t>
      </w:r>
      <w:r>
        <w:rPr/>
        <w:fldChar w:fldCharType="end"/>
      </w:r>
      <w:r>
        <w:rPr>
          <w:rFonts w:ascii="Arial" w:cs="Arial" w:hAnsi="Arial"/>
        </w:rPr>
        <w:t xml:space="preserve">. </w:t>
      </w:r>
    </w:p>
    <w:p w14:paraId="2A32FB8B">
      <w:pPr>
        <w:pStyle w:val="style0"/>
        <w:spacing w:lineRule="auto" w:line="360"/>
        <w:rPr>
          <w:rFonts w:ascii="Arial" w:cs="Arial" w:hAnsi="Arial"/>
          <w:lang w:val="en-US"/>
        </w:rPr>
      </w:pPr>
      <w:r>
        <w:rPr>
          <w:rFonts w:ascii="Arial" w:cs="Arial" w:hAnsi="Arial"/>
          <w:lang w:val="en-US"/>
        </w:rPr>
        <w:t>Pizzutti dos Santos, C. and Basso, K. (2012) “Price unfairness: the indirect effect on switching and negative word</w:t>
      </w:r>
      <w:r>
        <w:rPr>
          <w:rFonts w:ascii="Cambria Math" w:cs="Cambria Math" w:hAnsi="Cambria Math"/>
          <w:lang w:val="en-US"/>
        </w:rPr>
        <w:t>‐</w:t>
      </w:r>
      <w:r>
        <w:rPr>
          <w:rFonts w:ascii="Arial" w:cs="Arial" w:hAnsi="Arial"/>
          <w:lang w:val="en-US"/>
        </w:rPr>
        <w:t>of</w:t>
      </w:r>
      <w:r>
        <w:rPr>
          <w:rFonts w:ascii="Cambria Math" w:cs="Cambria Math" w:hAnsi="Cambria Math"/>
          <w:lang w:val="en-US"/>
        </w:rPr>
        <w:t>‐</w:t>
      </w:r>
      <w:r>
        <w:rPr>
          <w:rFonts w:ascii="Arial" w:cs="Arial" w:hAnsi="Arial"/>
          <w:lang w:val="en-US"/>
        </w:rPr>
        <w:t xml:space="preserve">mouth,” </w:t>
      </w:r>
      <w:r>
        <w:rPr>
          <w:rFonts w:ascii="Arial" w:cs="Arial" w:hAnsi="Arial"/>
          <w:i/>
          <w:iCs/>
          <w:lang w:val="en-US"/>
        </w:rPr>
        <w:t>Journal of Product &amp; Brand Management</w:t>
      </w:r>
      <w:r>
        <w:rPr>
          <w:rFonts w:ascii="Arial" w:cs="Arial" w:hAnsi="Arial"/>
          <w:lang w:val="en-US"/>
        </w:rPr>
        <w:t xml:space="preserve">, 21(7), pp. 547–557. Available at: </w:t>
      </w:r>
      <w:r>
        <w:rPr/>
        <w:fldChar w:fldCharType="begin"/>
      </w:r>
      <w:r>
        <w:instrText xml:space="preserve"> HYPERLINK "https://doi.org/10.1108/10610421211276330" </w:instrText>
      </w:r>
      <w:r>
        <w:rPr/>
        <w:fldChar w:fldCharType="separate"/>
      </w:r>
      <w:r>
        <w:rPr>
          <w:rStyle w:val="style85"/>
          <w:rFonts w:ascii="Arial" w:cs="Arial" w:hAnsi="Arial"/>
          <w:lang w:val="en-US"/>
        </w:rPr>
        <w:t>https://doi.org/10.1108/10610421211276330</w:t>
      </w:r>
      <w:r>
        <w:rPr/>
        <w:fldChar w:fldCharType="end"/>
      </w:r>
      <w:r>
        <w:rPr>
          <w:rFonts w:ascii="Arial" w:cs="Arial" w:hAnsi="Arial"/>
          <w:lang w:val="en-US"/>
        </w:rPr>
        <w:t xml:space="preserve">. </w:t>
      </w:r>
    </w:p>
    <w:p w14:paraId="00E8C8CF">
      <w:pPr>
        <w:pStyle w:val="style0"/>
        <w:spacing w:lineRule="auto" w:line="360"/>
        <w:rPr>
          <w:rFonts w:ascii="Arial" w:cs="Arial" w:hAnsi="Arial"/>
        </w:rPr>
      </w:pPr>
      <w:r>
        <w:rPr>
          <w:rFonts w:ascii="Arial" w:cs="Arial" w:hAnsi="Arial"/>
        </w:rPr>
        <w:t xml:space="preserve">Polas, M.R.H. (2025) “Common method bias in social and behavioral research: Strategic solutions for quantitative research in the doctoral research,” </w:t>
      </w:r>
      <w:r>
        <w:rPr>
          <w:rFonts w:ascii="Arial" w:cs="Arial" w:hAnsi="Arial"/>
          <w:i/>
          <w:iCs/>
        </w:rPr>
        <w:t>Journal of Comprehensive Business Administration Research</w:t>
      </w:r>
    </w:p>
    <w:p w14:paraId="7D6C6159">
      <w:pPr>
        <w:pStyle w:val="style0"/>
        <w:spacing w:lineRule="auto" w:line="360"/>
        <w:rPr>
          <w:rFonts w:ascii="Arial" w:cs="Arial" w:hAnsi="Arial"/>
        </w:rPr>
      </w:pPr>
      <w:r>
        <w:rPr>
          <w:rFonts w:ascii="Arial" w:cs="Arial" w:hAnsi="Arial"/>
        </w:rPr>
        <w:t xml:space="preserve">Priester, A., Robbert, T. and Roth, S. (2020) “A special price just for you: effects of personalised dynamic pricing on consumer fairness perceptions,” </w:t>
      </w:r>
      <w:r>
        <w:rPr>
          <w:rFonts w:ascii="Arial" w:cs="Arial" w:hAnsi="Arial"/>
          <w:i/>
          <w:iCs/>
        </w:rPr>
        <w:t xml:space="preserve">Journal of Revenue and </w:t>
      </w:r>
      <w:r>
        <w:rPr>
          <w:rFonts w:ascii="Arial" w:cs="Arial" w:hAnsi="Arial"/>
          <w:i/>
          <w:iCs/>
        </w:rPr>
        <w:t>Pricing Management</w:t>
      </w:r>
      <w:r>
        <w:rPr>
          <w:rFonts w:ascii="Arial" w:cs="Arial" w:hAnsi="Arial"/>
        </w:rPr>
        <w:t xml:space="preserve">, 19(2), pp. 99–112. Available at: </w:t>
      </w:r>
      <w:r>
        <w:rPr/>
        <w:fldChar w:fldCharType="begin"/>
      </w:r>
      <w:r>
        <w:instrText xml:space="preserve"> HYPERLINK "https://doi.org/10.1057/s41272-019-00224-3" </w:instrText>
      </w:r>
      <w:r>
        <w:rPr/>
        <w:fldChar w:fldCharType="separate"/>
      </w:r>
      <w:r>
        <w:rPr>
          <w:rStyle w:val="style85"/>
          <w:rFonts w:ascii="Arial" w:cs="Arial" w:hAnsi="Arial"/>
        </w:rPr>
        <w:t>https://doi.org/10.1057/s41272-019-00224-3</w:t>
      </w:r>
      <w:r>
        <w:rPr/>
        <w:fldChar w:fldCharType="end"/>
      </w:r>
      <w:r>
        <w:rPr>
          <w:rFonts w:ascii="Arial" w:cs="Arial" w:hAnsi="Arial"/>
        </w:rPr>
        <w:t xml:space="preserve">. </w:t>
      </w:r>
    </w:p>
    <w:p w14:paraId="41DF7D5B">
      <w:pPr>
        <w:pStyle w:val="style0"/>
        <w:spacing w:lineRule="auto" w:line="360"/>
        <w:rPr>
          <w:rFonts w:ascii="Arial" w:cs="Arial" w:hAnsi="Arial"/>
        </w:rPr>
      </w:pPr>
      <w:r>
        <w:rPr>
          <w:rFonts w:ascii="Arial" w:cs="Arial" w:hAnsi="Arial"/>
        </w:rPr>
        <w:t xml:space="preserve">Radojev, H. (2024) </w:t>
      </w:r>
      <w:r>
        <w:rPr>
          <w:rFonts w:ascii="Arial" w:cs="Arial" w:hAnsi="Arial"/>
          <w:i/>
          <w:iCs/>
        </w:rPr>
        <w:t>Asda owner Mohsin Issa blames ‘challenging retail environment’ as total revenues and like-for-like sales slump</w:t>
      </w:r>
      <w:r>
        <w:rPr>
          <w:rFonts w:ascii="Arial" w:cs="Arial" w:hAnsi="Arial"/>
        </w:rPr>
        <w:t xml:space="preserve">, </w:t>
      </w:r>
      <w:r>
        <w:rPr>
          <w:rFonts w:ascii="Arial" w:cs="Arial" w:hAnsi="Arial"/>
          <w:i/>
          <w:iCs/>
        </w:rPr>
        <w:t>Retail Week</w:t>
      </w:r>
      <w:r>
        <w:rPr>
          <w:rFonts w:ascii="Arial" w:cs="Arial" w:hAnsi="Arial"/>
        </w:rPr>
        <w:t xml:space="preserve">. Available at: </w:t>
      </w:r>
      <w:r>
        <w:rPr/>
        <w:fldChar w:fldCharType="begin"/>
      </w:r>
      <w:r>
        <w:instrText xml:space="preserve"> HYPERLINK "https://www.retail-week.com/grocery/asda-owner-has-blamed-the-challenging-retail-environment-as-revenues-and-like-for-likes-slump/7046803.article" </w:instrText>
      </w:r>
      <w:r>
        <w:rPr/>
        <w:fldChar w:fldCharType="separate"/>
      </w:r>
      <w:r>
        <w:rPr>
          <w:rStyle w:val="style85"/>
          <w:rFonts w:ascii="Arial" w:cs="Arial" w:hAnsi="Arial"/>
        </w:rPr>
        <w:t>https://www.retail-week.com/grocery/asda-owner-has-blamed-the-challenging-retail-environment-as-revenues-and-like-for-likes-slump/7046803.article</w:t>
      </w:r>
      <w:r>
        <w:rPr/>
        <w:fldChar w:fldCharType="end"/>
      </w:r>
      <w:r>
        <w:rPr>
          <w:rFonts w:ascii="Arial" w:cs="Arial" w:hAnsi="Arial"/>
        </w:rPr>
        <w:t xml:space="preserve">  (Accessed: September 5, 2026).</w:t>
      </w:r>
    </w:p>
    <w:p w14:paraId="35D8F256">
      <w:pPr>
        <w:pStyle w:val="style0"/>
        <w:spacing w:lineRule="auto" w:line="360"/>
        <w:rPr>
          <w:rFonts w:ascii="Arial" w:cs="Arial" w:hAnsi="Arial"/>
        </w:rPr>
      </w:pPr>
      <w:r>
        <w:rPr>
          <w:rFonts w:ascii="Arial" w:cs="Arial" w:hAnsi="Arial"/>
        </w:rPr>
        <w:t xml:space="preserve">Richards, T.J., Liaukonyte, J. and Streletskaya, N.A. (2016) “Personalized pricing and price fairness,” </w:t>
      </w:r>
      <w:r>
        <w:rPr>
          <w:rFonts w:ascii="Arial" w:cs="Arial" w:hAnsi="Arial"/>
          <w:i/>
          <w:iCs/>
        </w:rPr>
        <w:t>International Journal of Industrial Organization</w:t>
      </w:r>
      <w:r>
        <w:rPr>
          <w:rFonts w:ascii="Arial" w:cs="Arial" w:hAnsi="Arial"/>
        </w:rPr>
        <w:t xml:space="preserve">, 44, pp. 138–153. Available at: </w:t>
      </w:r>
      <w:r>
        <w:rPr/>
        <w:fldChar w:fldCharType="begin"/>
      </w:r>
      <w:r>
        <w:instrText xml:space="preserve"> HYPERLINK "https://doi.org/10.1016/j.ijindorg.2015.11.004" </w:instrText>
      </w:r>
      <w:r>
        <w:rPr/>
        <w:fldChar w:fldCharType="separate"/>
      </w:r>
      <w:r>
        <w:rPr>
          <w:rStyle w:val="style85"/>
          <w:rFonts w:ascii="Arial" w:cs="Arial" w:hAnsi="Arial"/>
        </w:rPr>
        <w:t>https://doi.org/10.1016/j.ijindorg.2015.11.004</w:t>
      </w:r>
      <w:r>
        <w:rPr/>
        <w:fldChar w:fldCharType="end"/>
      </w:r>
      <w:r>
        <w:rPr>
          <w:rFonts w:ascii="Arial" w:cs="Arial" w:hAnsi="Arial"/>
        </w:rPr>
        <w:t xml:space="preserve">. </w:t>
      </w:r>
    </w:p>
    <w:p w14:paraId="5ED5A4C2">
      <w:pPr>
        <w:pStyle w:val="style0"/>
        <w:spacing w:lineRule="auto" w:line="360"/>
        <w:rPr>
          <w:rFonts w:ascii="Arial" w:cs="Arial" w:hAnsi="Arial"/>
        </w:rPr>
      </w:pPr>
      <w:r>
        <w:rPr>
          <w:rFonts w:ascii="Arial" w:cs="Arial" w:hAnsi="Arial"/>
        </w:rPr>
        <w:t xml:space="preserve">Roberts, A. (2024) </w:t>
      </w:r>
      <w:r>
        <w:rPr>
          <w:rFonts w:ascii="Arial" w:cs="Arial" w:hAnsi="Arial"/>
          <w:i/>
          <w:iCs/>
        </w:rPr>
        <w:t>Sainsbury’s personalisation at scale for actionable benefit customer health</w:t>
      </w:r>
      <w:r>
        <w:rPr>
          <w:rFonts w:ascii="Arial" w:cs="Arial" w:hAnsi="Arial"/>
        </w:rPr>
        <w:t xml:space="preserve">, </w:t>
      </w:r>
      <w:r>
        <w:rPr>
          <w:rFonts w:ascii="Arial" w:cs="Arial" w:hAnsi="Arial"/>
          <w:i/>
          <w:iCs/>
        </w:rPr>
        <w:t>DataIQ</w:t>
      </w:r>
      <w:r>
        <w:rPr>
          <w:rFonts w:ascii="Arial" w:cs="Arial" w:hAnsi="Arial"/>
        </w:rPr>
        <w:t xml:space="preserve">. Available at: </w:t>
      </w:r>
      <w:r>
        <w:rPr/>
        <w:fldChar w:fldCharType="begin"/>
      </w:r>
      <w:r>
        <w:instrText xml:space="preserve"> HYPERLINK "https://www.dataiq.global/articles/personalisation-at-scale-sainsburys/" </w:instrText>
      </w:r>
      <w:r>
        <w:rPr/>
        <w:fldChar w:fldCharType="separate"/>
      </w:r>
      <w:r>
        <w:rPr>
          <w:rStyle w:val="style85"/>
          <w:rFonts w:ascii="Arial" w:cs="Arial" w:hAnsi="Arial"/>
        </w:rPr>
        <w:t>https://www.dataiq.global/articles/personalisation-at-scale-sainsburys/</w:t>
      </w:r>
      <w:r>
        <w:rPr/>
        <w:fldChar w:fldCharType="end"/>
      </w:r>
      <w:r>
        <w:rPr>
          <w:rFonts w:ascii="Arial" w:cs="Arial" w:hAnsi="Arial"/>
        </w:rPr>
        <w:t xml:space="preserve">   (Accessed: September 4, 2026).</w:t>
      </w:r>
    </w:p>
    <w:p w14:paraId="451E864F">
      <w:pPr>
        <w:pStyle w:val="style0"/>
        <w:spacing w:lineRule="auto" w:line="360"/>
        <w:rPr>
          <w:rFonts w:ascii="Arial" w:cs="Arial" w:hAnsi="Arial"/>
        </w:rPr>
      </w:pPr>
      <w:r>
        <w:rPr>
          <w:rFonts w:ascii="Arial" w:cs="Arial" w:hAnsi="Arial"/>
        </w:rPr>
        <w:t xml:space="preserve">Robinson, O.C. and Bailey-Rodriguez, D. (2025) “Deductive qualitative research: an integrative approach to designing studies,” </w:t>
      </w:r>
      <w:r>
        <w:rPr>
          <w:rFonts w:ascii="Arial" w:cs="Arial" w:hAnsi="Arial"/>
          <w:i/>
          <w:iCs/>
        </w:rPr>
        <w:t>Qualitative Research in Psychology</w:t>
      </w:r>
      <w:r>
        <w:rPr>
          <w:rFonts w:ascii="Arial" w:cs="Arial" w:hAnsi="Arial"/>
        </w:rPr>
        <w:t xml:space="preserve">, pp. 1–16. Available at: </w:t>
      </w:r>
      <w:r>
        <w:rPr/>
        <w:fldChar w:fldCharType="begin"/>
      </w:r>
      <w:r>
        <w:instrText xml:space="preserve"> HYPERLINK "https://doi.org/10.1080/14780887.2025.2604773" </w:instrText>
      </w:r>
      <w:r>
        <w:rPr/>
        <w:fldChar w:fldCharType="separate"/>
      </w:r>
      <w:r>
        <w:rPr>
          <w:rStyle w:val="style85"/>
          <w:rFonts w:ascii="Arial" w:cs="Arial" w:hAnsi="Arial"/>
        </w:rPr>
        <w:t>https://doi.org/10.1080/14780887.2025.2604773</w:t>
      </w:r>
      <w:r>
        <w:rPr/>
        <w:fldChar w:fldCharType="end"/>
      </w:r>
      <w:r>
        <w:rPr>
          <w:rFonts w:ascii="Arial" w:cs="Arial" w:hAnsi="Arial"/>
        </w:rPr>
        <w:t xml:space="preserve">. </w:t>
      </w:r>
    </w:p>
    <w:p w14:paraId="3F136AC0">
      <w:pPr>
        <w:pStyle w:val="style0"/>
        <w:spacing w:lineRule="auto" w:line="360"/>
        <w:rPr>
          <w:rFonts w:ascii="Arial" w:cs="Arial" w:hAnsi="Arial"/>
        </w:rPr>
      </w:pPr>
      <w:r>
        <w:rPr>
          <w:rFonts w:ascii="Arial" w:cs="Arial" w:hAnsi="Arial"/>
        </w:rPr>
        <w:t xml:space="preserve">Ryan, G. (2018) “Introduction to positivism, interpretivism and critical theory,” </w:t>
      </w:r>
      <w:r>
        <w:rPr>
          <w:rFonts w:ascii="Arial" w:cs="Arial" w:hAnsi="Arial"/>
          <w:i/>
          <w:iCs/>
        </w:rPr>
        <w:t>Nurse Researcher</w:t>
      </w:r>
      <w:r>
        <w:rPr>
          <w:rFonts w:ascii="Arial" w:cs="Arial" w:hAnsi="Arial"/>
        </w:rPr>
        <w:t xml:space="preserve">, 25(4), pp. 14–20. Available at: </w:t>
      </w:r>
      <w:r>
        <w:rPr/>
        <w:fldChar w:fldCharType="begin"/>
      </w:r>
      <w:r>
        <w:instrText xml:space="preserve"> HYPERLINK "https://doi.org/10.7748/nr.2018.e1466" </w:instrText>
      </w:r>
      <w:r>
        <w:rPr/>
        <w:fldChar w:fldCharType="separate"/>
      </w:r>
      <w:r>
        <w:rPr>
          <w:rStyle w:val="style85"/>
          <w:rFonts w:ascii="Arial" w:cs="Arial" w:hAnsi="Arial"/>
        </w:rPr>
        <w:t>https://doi.org/10.7748/nr.2018.e1466</w:t>
      </w:r>
      <w:r>
        <w:rPr/>
        <w:fldChar w:fldCharType="end"/>
      </w:r>
      <w:r>
        <w:rPr>
          <w:rFonts w:ascii="Arial" w:cs="Arial" w:hAnsi="Arial"/>
        </w:rPr>
        <w:t xml:space="preserve">. </w:t>
      </w:r>
    </w:p>
    <w:p w14:paraId="66F330B9">
      <w:pPr>
        <w:pStyle w:val="style0"/>
        <w:spacing w:lineRule="auto" w:line="360"/>
        <w:rPr>
          <w:rFonts w:ascii="Arial" w:cs="Arial" w:hAnsi="Arial"/>
        </w:rPr>
      </w:pPr>
      <w:r>
        <w:rPr>
          <w:rFonts w:ascii="Arial" w:cs="Arial" w:hAnsi="Arial"/>
        </w:rPr>
        <w:t xml:space="preserve">Saharan, V.A. </w:t>
      </w:r>
      <w:r>
        <w:rPr>
          <w:rFonts w:ascii="Arial" w:cs="Arial" w:hAnsi="Arial"/>
          <w:i/>
          <w:iCs/>
        </w:rPr>
        <w:t>et al.</w:t>
      </w:r>
      <w:r>
        <w:rPr>
          <w:rFonts w:ascii="Arial" w:cs="Arial" w:hAnsi="Arial"/>
        </w:rPr>
        <w:t xml:space="preserve"> (2024) “Introduction to research methodology,” in </w:t>
      </w:r>
      <w:r>
        <w:rPr>
          <w:rFonts w:ascii="Arial" w:cs="Arial" w:hAnsi="Arial"/>
          <w:i/>
          <w:iCs/>
        </w:rPr>
        <w:t>Principles of research methodology and ethics in pharmaceutical sciences</w:t>
      </w:r>
      <w:r>
        <w:rPr>
          <w:rFonts w:ascii="Arial" w:cs="Arial" w:hAnsi="Arial"/>
        </w:rPr>
        <w:t>. CRC Press, pp. 1–46.</w:t>
      </w:r>
    </w:p>
    <w:p w14:paraId="1AA11568">
      <w:pPr>
        <w:pStyle w:val="style0"/>
        <w:spacing w:lineRule="auto" w:line="360"/>
        <w:rPr>
          <w:rFonts w:ascii="Arial" w:cs="Arial" w:hAnsi="Arial"/>
        </w:rPr>
      </w:pPr>
      <w:r>
        <w:rPr>
          <w:rFonts w:ascii="Arial" w:cs="Arial" w:hAnsi="Arial"/>
        </w:rPr>
        <w:t xml:space="preserve">Sainsburys (2025) </w:t>
      </w:r>
      <w:r>
        <w:rPr>
          <w:rFonts w:ascii="Arial" w:cs="Arial" w:hAnsi="Arial"/>
          <w:i/>
          <w:iCs/>
        </w:rPr>
        <w:t>Unlock, shop &amp; save: Sainsbury’s rolls out Your Nectar Prices across tills nationwide</w:t>
      </w:r>
      <w:r>
        <w:rPr>
          <w:rFonts w:ascii="Arial" w:cs="Arial" w:hAnsi="Arial"/>
        </w:rPr>
        <w:t xml:space="preserve">, </w:t>
      </w:r>
      <w:r>
        <w:rPr>
          <w:rFonts w:ascii="Arial" w:cs="Arial" w:hAnsi="Arial"/>
          <w:i/>
          <w:iCs/>
        </w:rPr>
        <w:t>Sainsburys.co.uk</w:t>
      </w:r>
      <w:r>
        <w:rPr>
          <w:rFonts w:ascii="Arial" w:cs="Arial" w:hAnsi="Arial"/>
        </w:rPr>
        <w:t xml:space="preserve">. Available at: </w:t>
      </w:r>
      <w:r>
        <w:rPr/>
        <w:fldChar w:fldCharType="begin"/>
      </w:r>
      <w:r>
        <w:instrText xml:space="preserve"> HYPERLINK "https://corporate.sainsburys.co.uk/news/press-releases/unlock-shop-save-sainsburys-rolls-out-your-nectar-prices-across-tills-nationwide/" </w:instrText>
      </w:r>
      <w:r>
        <w:rPr/>
        <w:fldChar w:fldCharType="separate"/>
      </w:r>
      <w:r>
        <w:rPr>
          <w:rStyle w:val="style85"/>
          <w:rFonts w:ascii="Arial" w:cs="Arial" w:hAnsi="Arial"/>
        </w:rPr>
        <w:t>https://corporate.sainsburys.co.uk/news/press-releases/unlock-shop-save-sainsburys-rolls-out-your-nectar-prices-across-tills-nationwide/</w:t>
      </w:r>
      <w:r>
        <w:rPr/>
        <w:fldChar w:fldCharType="end"/>
      </w:r>
      <w:r>
        <w:rPr>
          <w:rFonts w:ascii="Arial" w:cs="Arial" w:hAnsi="Arial"/>
        </w:rPr>
        <w:t xml:space="preserve">  (Accessed: September 4, 2026).</w:t>
      </w:r>
    </w:p>
    <w:p w14:paraId="30BEF559">
      <w:pPr>
        <w:pStyle w:val="style0"/>
        <w:spacing w:lineRule="auto" w:line="360"/>
        <w:rPr>
          <w:rFonts w:ascii="Arial" w:cs="Arial" w:hAnsi="Arial"/>
        </w:rPr>
      </w:pPr>
      <w:r>
        <w:rPr>
          <w:rFonts w:ascii="Arial" w:cs="Arial" w:hAnsi="Arial"/>
        </w:rPr>
        <w:t xml:space="preserve">Salmons, J. (2022) </w:t>
      </w:r>
      <w:r>
        <w:rPr>
          <w:rFonts w:ascii="Arial" w:cs="Arial" w:hAnsi="Arial"/>
          <w:i/>
          <w:iCs/>
        </w:rPr>
        <w:t>The importance of secondary data</w:t>
      </w:r>
      <w:r>
        <w:rPr>
          <w:rFonts w:ascii="Arial" w:cs="Arial" w:hAnsi="Arial"/>
        </w:rPr>
        <w:t xml:space="preserve">, </w:t>
      </w:r>
      <w:r>
        <w:rPr>
          <w:rFonts w:ascii="Arial" w:cs="Arial" w:hAnsi="Arial"/>
          <w:i/>
          <w:iCs/>
        </w:rPr>
        <w:t>Sage Research Methods Community</w:t>
      </w:r>
      <w:r>
        <w:rPr>
          <w:rFonts w:ascii="Arial" w:cs="Arial" w:hAnsi="Arial"/>
        </w:rPr>
        <w:t xml:space="preserve">. Available at: </w:t>
      </w:r>
      <w:r>
        <w:rPr/>
        <w:fldChar w:fldCharType="begin"/>
      </w:r>
      <w:r>
        <w:instrText xml:space="preserve"> HYPERLINK "https://researchmethodscommunity.sagepub.com/blog/the-importance-of-secondary-data" </w:instrText>
      </w:r>
      <w:r>
        <w:rPr/>
        <w:fldChar w:fldCharType="separate"/>
      </w:r>
      <w:r>
        <w:rPr>
          <w:rStyle w:val="style85"/>
          <w:rFonts w:ascii="Arial" w:cs="Arial" w:hAnsi="Arial"/>
        </w:rPr>
        <w:t>https://researchmethodscommunity.sagepub.com/blog/the-importance-of-secondary-data</w:t>
      </w:r>
      <w:r>
        <w:rPr/>
        <w:fldChar w:fldCharType="end"/>
      </w:r>
      <w:r>
        <w:rPr>
          <w:rFonts w:ascii="Arial" w:cs="Arial" w:hAnsi="Arial"/>
        </w:rPr>
        <w:t xml:space="preserve">  (Accessed: August 27, 2026).</w:t>
      </w:r>
    </w:p>
    <w:p w14:paraId="28D72483">
      <w:pPr>
        <w:pStyle w:val="style0"/>
        <w:spacing w:lineRule="auto" w:line="360"/>
        <w:rPr>
          <w:rFonts w:ascii="Arial" w:cs="Arial" w:hAnsi="Arial"/>
        </w:rPr>
      </w:pPr>
      <w:r>
        <w:rPr>
          <w:rFonts w:ascii="Arial" w:cs="Arial" w:hAnsi="Arial"/>
        </w:rPr>
        <w:t xml:space="preserve">Sanjari, M. </w:t>
      </w:r>
      <w:r>
        <w:rPr>
          <w:rFonts w:ascii="Arial" w:cs="Arial" w:hAnsi="Arial"/>
          <w:i/>
          <w:iCs/>
        </w:rPr>
        <w:t>et al.</w:t>
      </w:r>
      <w:r>
        <w:rPr>
          <w:rFonts w:ascii="Arial" w:cs="Arial" w:hAnsi="Arial"/>
        </w:rPr>
        <w:t xml:space="preserve"> (2014) “Ethical challenges of researchers in qualitative studies: the necessity to develop a specific guideline,” </w:t>
      </w:r>
      <w:r>
        <w:rPr>
          <w:rFonts w:ascii="Arial" w:cs="Arial" w:hAnsi="Arial"/>
          <w:i/>
          <w:iCs/>
        </w:rPr>
        <w:t>Journal of Medical Ethics and History of Medicine</w:t>
      </w:r>
      <w:r>
        <w:rPr>
          <w:rFonts w:ascii="Arial" w:cs="Arial" w:hAnsi="Arial"/>
        </w:rPr>
        <w:t>, 7, p. 14.</w:t>
      </w:r>
    </w:p>
    <w:p w14:paraId="056FBCE7">
      <w:pPr>
        <w:pStyle w:val="style0"/>
        <w:spacing w:lineRule="auto" w:line="360"/>
        <w:rPr>
          <w:rFonts w:ascii="Arial" w:cs="Arial" w:hAnsi="Arial"/>
        </w:rPr>
      </w:pPr>
      <w:r>
        <w:rPr>
          <w:rFonts w:ascii="Arial" w:cs="Arial" w:hAnsi="Arial"/>
        </w:rPr>
        <w:t xml:space="preserve">Sansome, K., Wilkie, D. and Conduit, J. (2024) “Beyond information availability: Specifying the dimensions of consumer perceived brand transparency,” </w:t>
      </w:r>
      <w:r>
        <w:rPr>
          <w:rFonts w:ascii="Arial" w:cs="Arial" w:hAnsi="Arial"/>
          <w:i/>
          <w:iCs/>
        </w:rPr>
        <w:t>Journal of Business Research</w:t>
      </w:r>
      <w:r>
        <w:rPr>
          <w:rFonts w:ascii="Arial" w:cs="Arial" w:hAnsi="Arial"/>
        </w:rPr>
        <w:t xml:space="preserve">, 170(114358), p. 114358. Available at: </w:t>
      </w:r>
      <w:r>
        <w:rPr/>
        <w:fldChar w:fldCharType="begin"/>
      </w:r>
      <w:r>
        <w:instrText xml:space="preserve"> HYPERLINK "https://doi.org/10.1016/j.jbusres.2023.114358" </w:instrText>
      </w:r>
      <w:r>
        <w:rPr/>
        <w:fldChar w:fldCharType="separate"/>
      </w:r>
      <w:r>
        <w:rPr>
          <w:rStyle w:val="style85"/>
          <w:rFonts w:ascii="Arial" w:cs="Arial" w:hAnsi="Arial"/>
        </w:rPr>
        <w:t>https://doi.org/10.1016/j.jbusres.2023.114358</w:t>
      </w:r>
      <w:r>
        <w:rPr/>
        <w:fldChar w:fldCharType="end"/>
      </w:r>
      <w:r>
        <w:rPr>
          <w:rFonts w:ascii="Arial" w:cs="Arial" w:hAnsi="Arial"/>
        </w:rPr>
        <w:t xml:space="preserve">. </w:t>
      </w:r>
    </w:p>
    <w:p w14:paraId="2AAE9F32">
      <w:pPr>
        <w:pStyle w:val="style0"/>
        <w:spacing w:lineRule="auto" w:line="360"/>
        <w:rPr>
          <w:rFonts w:ascii="Arial" w:cs="Arial" w:hAnsi="Arial"/>
        </w:rPr>
      </w:pPr>
      <w:r>
        <w:rPr>
          <w:rFonts w:ascii="Arial" w:cs="Arial" w:hAnsi="Arial"/>
        </w:rPr>
        <w:t xml:space="preserve">Saunders, M. </w:t>
      </w:r>
      <w:r>
        <w:rPr>
          <w:rFonts w:ascii="Arial" w:cs="Arial" w:hAnsi="Arial"/>
          <w:i/>
          <w:iCs/>
        </w:rPr>
        <w:t>et al.</w:t>
      </w:r>
      <w:r>
        <w:rPr>
          <w:rFonts w:ascii="Arial" w:cs="Arial" w:hAnsi="Arial"/>
        </w:rPr>
        <w:t xml:space="preserve"> (2023) </w:t>
      </w:r>
      <w:r>
        <w:rPr>
          <w:rFonts w:ascii="Arial" w:cs="Arial" w:hAnsi="Arial"/>
          <w:i/>
          <w:iCs/>
        </w:rPr>
        <w:t>Research Methods for Business Students</w:t>
      </w:r>
      <w:r>
        <w:rPr>
          <w:rFonts w:ascii="Arial" w:cs="Arial" w:hAnsi="Arial"/>
        </w:rPr>
        <w:t>. Upper Saddle River, NJ: Pearson.</w:t>
      </w:r>
    </w:p>
    <w:p w14:paraId="081DFA43">
      <w:pPr>
        <w:pStyle w:val="style0"/>
        <w:spacing w:lineRule="auto" w:line="360"/>
        <w:rPr>
          <w:rFonts w:ascii="Arial" w:cs="Arial" w:hAnsi="Arial"/>
        </w:rPr>
      </w:pPr>
      <w:r>
        <w:rPr>
          <w:rFonts w:ascii="Arial" w:cs="Arial" w:hAnsi="Arial"/>
        </w:rPr>
        <w:t xml:space="preserve">Saunders, M.N. and Darabi, F. (2024) “Using multi-and mixed methods research designs,” in </w:t>
      </w:r>
      <w:r>
        <w:rPr>
          <w:rFonts w:ascii="Arial" w:cs="Arial" w:hAnsi="Arial"/>
          <w:i/>
          <w:iCs/>
        </w:rPr>
        <w:t>Field guide to researching employment and industrial relations</w:t>
      </w:r>
      <w:r>
        <w:rPr>
          <w:rFonts w:ascii="Arial" w:cs="Arial" w:hAnsi="Arial"/>
        </w:rPr>
        <w:t>. Edward Elgar Publishing, pp. 71–87.</w:t>
      </w:r>
    </w:p>
    <w:p w14:paraId="306AA203">
      <w:pPr>
        <w:pStyle w:val="style0"/>
        <w:spacing w:lineRule="auto" w:line="360"/>
        <w:rPr>
          <w:rFonts w:ascii="Arial" w:cs="Arial" w:hAnsi="Arial"/>
        </w:rPr>
      </w:pPr>
      <w:r>
        <w:rPr>
          <w:rFonts w:ascii="Arial" w:cs="Arial" w:hAnsi="Arial"/>
        </w:rPr>
        <w:t xml:space="preserve">Smithers, R. (2015) “What do the changes to Morrisons Match &amp; More loyalty scheme mean?,” </w:t>
      </w:r>
      <w:r>
        <w:rPr>
          <w:rFonts w:ascii="Arial" w:cs="Arial" w:hAnsi="Arial"/>
          <w:i/>
          <w:iCs/>
        </w:rPr>
        <w:t>The Guardian</w:t>
      </w:r>
      <w:r>
        <w:rPr>
          <w:rFonts w:ascii="Arial" w:cs="Arial" w:hAnsi="Arial"/>
        </w:rPr>
        <w:t xml:space="preserve">, 9 October. Available at: </w:t>
      </w:r>
      <w:r>
        <w:rPr/>
        <w:fldChar w:fldCharType="begin"/>
      </w:r>
      <w:r>
        <w:instrText xml:space="preserve"> HYPERLINK "https://www.theguardian.com/money/2015/oct/09/changes-to-morrisons-match-more-loyalty-scheme" </w:instrText>
      </w:r>
      <w:r>
        <w:rPr/>
        <w:fldChar w:fldCharType="separate"/>
      </w:r>
      <w:r>
        <w:rPr>
          <w:rStyle w:val="style85"/>
          <w:rFonts w:ascii="Arial" w:cs="Arial" w:hAnsi="Arial"/>
        </w:rPr>
        <w:t>https://www.theguardian.com/money/2015/oct/09/changes-to-morrisons-match-more-loyalty-scheme</w:t>
      </w:r>
      <w:r>
        <w:rPr/>
        <w:fldChar w:fldCharType="end"/>
      </w:r>
      <w:r>
        <w:rPr>
          <w:rFonts w:ascii="Arial" w:cs="Arial" w:hAnsi="Arial"/>
        </w:rPr>
        <w:t xml:space="preserve">  (Accessed: September 4, 2026).</w:t>
      </w:r>
    </w:p>
    <w:p w14:paraId="05D628BB">
      <w:pPr>
        <w:pStyle w:val="style0"/>
        <w:spacing w:lineRule="auto" w:line="360"/>
        <w:rPr>
          <w:rFonts w:ascii="Arial" w:cs="Arial" w:hAnsi="Arial"/>
          <w:lang w:val="en-US"/>
        </w:rPr>
      </w:pPr>
      <w:r>
        <w:rPr>
          <w:rFonts w:ascii="Arial" w:cs="Arial" w:hAnsi="Arial"/>
          <w:lang w:val="en-US"/>
        </w:rPr>
        <w:t xml:space="preserve">Söderlund, M. and Colliander, J. (2015) “Loyalty program rewards and their impact on perceived justice, customer satisfaction, and repatronize intentions,” </w:t>
      </w:r>
      <w:r>
        <w:rPr>
          <w:rFonts w:ascii="Arial" w:cs="Arial" w:hAnsi="Arial"/>
          <w:i/>
          <w:iCs/>
          <w:lang w:val="en-US"/>
        </w:rPr>
        <w:t>Journal of Retailing and Consumer Services</w:t>
      </w:r>
      <w:r>
        <w:rPr>
          <w:rFonts w:ascii="Arial" w:cs="Arial" w:hAnsi="Arial"/>
          <w:lang w:val="en-US"/>
        </w:rPr>
        <w:t xml:space="preserve">, 25, pp. 47–57. Available at: </w:t>
      </w:r>
      <w:r>
        <w:rPr/>
        <w:fldChar w:fldCharType="begin"/>
      </w:r>
      <w:r>
        <w:instrText xml:space="preserve"> HYPERLINK "https://doi.org/10.1016/j.jretconser.2015.03.005" </w:instrText>
      </w:r>
      <w:r>
        <w:rPr/>
        <w:fldChar w:fldCharType="separate"/>
      </w:r>
      <w:r>
        <w:rPr>
          <w:rStyle w:val="style85"/>
          <w:rFonts w:ascii="Arial" w:cs="Arial" w:hAnsi="Arial"/>
          <w:lang w:val="en-US"/>
        </w:rPr>
        <w:t>https://doi.org/10.1016/j.jretconser.2015.03.005</w:t>
      </w:r>
      <w:r>
        <w:rPr/>
        <w:fldChar w:fldCharType="end"/>
      </w:r>
      <w:r>
        <w:rPr>
          <w:rFonts w:ascii="Arial" w:cs="Arial" w:hAnsi="Arial"/>
          <w:lang w:val="en-US"/>
        </w:rPr>
        <w:t xml:space="preserve">. </w:t>
      </w:r>
    </w:p>
    <w:p w14:paraId="03E54708">
      <w:pPr>
        <w:pStyle w:val="style0"/>
        <w:spacing w:lineRule="auto" w:line="360"/>
        <w:rPr>
          <w:rFonts w:ascii="Arial" w:cs="Arial" w:hAnsi="Arial"/>
        </w:rPr>
      </w:pPr>
      <w:r>
        <w:rPr>
          <w:rFonts w:ascii="Arial" w:cs="Arial" w:hAnsi="Arial"/>
        </w:rPr>
        <w:t xml:space="preserve">Stathopoulou, A. and Balabanis, G. (2016) “The effects of loyalty programs on customer satisfaction, trust, and loyalty toward high- and low-end fashion retailers,” </w:t>
      </w:r>
      <w:r>
        <w:rPr>
          <w:rFonts w:ascii="Arial" w:cs="Arial" w:hAnsi="Arial"/>
          <w:i/>
          <w:iCs/>
        </w:rPr>
        <w:t>Journal of Business Research</w:t>
      </w:r>
      <w:r>
        <w:rPr>
          <w:rFonts w:ascii="Arial" w:cs="Arial" w:hAnsi="Arial"/>
        </w:rPr>
        <w:t xml:space="preserve">, 69(12), pp. 5801–5808. Available at: </w:t>
      </w:r>
      <w:r>
        <w:rPr/>
        <w:fldChar w:fldCharType="begin"/>
      </w:r>
      <w:r>
        <w:instrText xml:space="preserve"> HYPERLINK "https://doi.org/10.1016/j.jbusres.2016.04.177" </w:instrText>
      </w:r>
      <w:r>
        <w:rPr/>
        <w:fldChar w:fldCharType="separate"/>
      </w:r>
      <w:r>
        <w:rPr>
          <w:rStyle w:val="style85"/>
          <w:rFonts w:ascii="Arial" w:cs="Arial" w:hAnsi="Arial"/>
        </w:rPr>
        <w:t>https://doi.org/10.1016/j.jbusres.2016.04.177</w:t>
      </w:r>
      <w:r>
        <w:rPr/>
        <w:fldChar w:fldCharType="end"/>
      </w:r>
      <w:r>
        <w:rPr>
          <w:rFonts w:ascii="Arial" w:cs="Arial" w:hAnsi="Arial"/>
        </w:rPr>
        <w:t xml:space="preserve">. </w:t>
      </w:r>
    </w:p>
    <w:p w14:paraId="0DE2C11F">
      <w:pPr>
        <w:pStyle w:val="style0"/>
        <w:spacing w:lineRule="auto" w:line="360"/>
        <w:rPr>
          <w:rFonts w:ascii="Arial" w:cs="Arial" w:hAnsi="Arial"/>
        </w:rPr>
      </w:pPr>
      <w:r>
        <w:rPr>
          <w:rFonts w:ascii="Arial" w:cs="Arial" w:hAnsi="Arial"/>
        </w:rPr>
        <w:t xml:space="preserve">Stuifbergen, A.K. </w:t>
      </w:r>
      <w:r>
        <w:rPr>
          <w:rFonts w:ascii="Arial" w:cs="Arial" w:hAnsi="Arial"/>
          <w:i/>
          <w:iCs/>
        </w:rPr>
        <w:t>et al.</w:t>
      </w:r>
      <w:r>
        <w:rPr>
          <w:rFonts w:ascii="Arial" w:cs="Arial" w:hAnsi="Arial"/>
        </w:rPr>
        <w:t xml:space="preserve"> (2024) “Nurturing longitudinal samples 2.0,” </w:t>
      </w:r>
      <w:r>
        <w:rPr>
          <w:rFonts w:ascii="Arial" w:cs="Arial" w:hAnsi="Arial"/>
          <w:i/>
          <w:iCs/>
        </w:rPr>
        <w:t>Western Journal of Nursing Research</w:t>
      </w:r>
      <w:r>
        <w:rPr>
          <w:rFonts w:ascii="Arial" w:cs="Arial" w:hAnsi="Arial"/>
        </w:rPr>
        <w:t xml:space="preserve">, 46(10), pp. 831–836. Available at: </w:t>
      </w:r>
      <w:r>
        <w:rPr/>
        <w:fldChar w:fldCharType="begin"/>
      </w:r>
      <w:r>
        <w:instrText xml:space="preserve"> HYPERLINK "https://doi.org/10.1177/01939459241273328" </w:instrText>
      </w:r>
      <w:r>
        <w:rPr/>
        <w:fldChar w:fldCharType="separate"/>
      </w:r>
      <w:r>
        <w:rPr>
          <w:rStyle w:val="style85"/>
          <w:rFonts w:ascii="Arial" w:cs="Arial" w:hAnsi="Arial"/>
        </w:rPr>
        <w:t>https://doi.org/10.1177/01939459241273328</w:t>
      </w:r>
      <w:r>
        <w:rPr/>
        <w:fldChar w:fldCharType="end"/>
      </w:r>
      <w:r>
        <w:rPr>
          <w:rFonts w:ascii="Arial" w:cs="Arial" w:hAnsi="Arial"/>
        </w:rPr>
        <w:t xml:space="preserve">. </w:t>
      </w:r>
    </w:p>
    <w:p w14:paraId="4F17731D">
      <w:pPr>
        <w:pStyle w:val="style0"/>
        <w:spacing w:lineRule="auto" w:line="360"/>
        <w:rPr>
          <w:rFonts w:ascii="Arial" w:cs="Arial" w:hAnsi="Arial"/>
        </w:rPr>
      </w:pPr>
      <w:r>
        <w:rPr>
          <w:rFonts w:ascii="Arial" w:cs="Arial" w:hAnsi="Arial"/>
        </w:rPr>
        <w:t xml:space="preserve">Sy, S.A., Ong, M.A.L. and Li, A.N.T. (2025) “Influence of customer loyalty programs on repeat purchase behaviour: A study on the perspective of Millennials.” Available at: </w:t>
      </w:r>
      <w:r>
        <w:rPr/>
        <w:fldChar w:fldCharType="begin"/>
      </w:r>
      <w:r>
        <w:instrText xml:space="preserve"> HYPERLINK "https://doi.org/10.5281/ZENODO.15829755" </w:instrText>
      </w:r>
      <w:r>
        <w:rPr/>
        <w:fldChar w:fldCharType="separate"/>
      </w:r>
      <w:r>
        <w:rPr>
          <w:rStyle w:val="style85"/>
          <w:rFonts w:ascii="Arial" w:cs="Arial" w:hAnsi="Arial"/>
        </w:rPr>
        <w:t>https://doi.org/10.5281/ZENODO.15829755</w:t>
      </w:r>
      <w:r>
        <w:rPr/>
        <w:fldChar w:fldCharType="end"/>
      </w:r>
      <w:r>
        <w:rPr>
          <w:rFonts w:ascii="Arial" w:cs="Arial" w:hAnsi="Arial"/>
        </w:rPr>
        <w:t xml:space="preserve">. </w:t>
      </w:r>
    </w:p>
    <w:p w14:paraId="51A809DC">
      <w:pPr>
        <w:pStyle w:val="style0"/>
        <w:spacing w:lineRule="auto" w:line="360"/>
        <w:rPr>
          <w:rFonts w:ascii="Arial" w:cs="Arial" w:hAnsi="Arial"/>
        </w:rPr>
      </w:pPr>
      <w:r>
        <w:rPr>
          <w:rFonts w:ascii="Arial" w:cs="Arial" w:hAnsi="Arial"/>
        </w:rPr>
        <w:t xml:space="preserve">Taquette, S.R. and Borges da Matta Souza, L.M. (2022) “Ethical dilemmas in qualitative research: A critical literature review,” </w:t>
      </w:r>
      <w:r>
        <w:rPr>
          <w:rFonts w:ascii="Arial" w:cs="Arial" w:hAnsi="Arial"/>
          <w:i/>
          <w:iCs/>
        </w:rPr>
        <w:t>International Journal of Qualitative Methods</w:t>
      </w:r>
      <w:r>
        <w:rPr>
          <w:rFonts w:ascii="Arial" w:cs="Arial" w:hAnsi="Arial"/>
        </w:rPr>
        <w:t xml:space="preserve">, 21, p. 160940692210787. Available at: </w:t>
      </w:r>
      <w:r>
        <w:rPr/>
        <w:fldChar w:fldCharType="begin"/>
      </w:r>
      <w:r>
        <w:instrText xml:space="preserve"> HYPERLINK "https://doi.org/10.1177/16094069221078731" </w:instrText>
      </w:r>
      <w:r>
        <w:rPr/>
        <w:fldChar w:fldCharType="separate"/>
      </w:r>
      <w:r>
        <w:rPr>
          <w:rStyle w:val="style85"/>
          <w:rFonts w:ascii="Arial" w:cs="Arial" w:hAnsi="Arial"/>
        </w:rPr>
        <w:t>https://doi.org/10.1177/16094069221078731</w:t>
      </w:r>
      <w:r>
        <w:rPr/>
        <w:fldChar w:fldCharType="end"/>
      </w:r>
      <w:r>
        <w:rPr>
          <w:rFonts w:ascii="Arial" w:cs="Arial" w:hAnsi="Arial"/>
        </w:rPr>
        <w:t xml:space="preserve">. </w:t>
      </w:r>
    </w:p>
    <w:p w14:paraId="368F0D19">
      <w:pPr>
        <w:pStyle w:val="style0"/>
        <w:spacing w:lineRule="auto" w:line="360"/>
        <w:rPr>
          <w:rFonts w:ascii="Arial" w:cs="Arial" w:hAnsi="Arial"/>
        </w:rPr>
      </w:pPr>
      <w:r>
        <w:rPr>
          <w:rFonts w:ascii="Arial" w:cs="Arial" w:hAnsi="Arial"/>
        </w:rPr>
        <w:t xml:space="preserve">Tavakol, M. and Dennick, R. (2011) “Making sense of Cronbach’s alpha,” </w:t>
      </w:r>
      <w:r>
        <w:rPr>
          <w:rFonts w:ascii="Arial" w:cs="Arial" w:hAnsi="Arial"/>
          <w:i/>
          <w:iCs/>
        </w:rPr>
        <w:t>International Journal of Medical Education</w:t>
      </w:r>
      <w:r>
        <w:rPr>
          <w:rFonts w:ascii="Arial" w:cs="Arial" w:hAnsi="Arial"/>
        </w:rPr>
        <w:t xml:space="preserve">, 2, pp. 53–55. Available at: </w:t>
      </w:r>
      <w:r>
        <w:rPr/>
        <w:fldChar w:fldCharType="begin"/>
      </w:r>
      <w:r>
        <w:instrText xml:space="preserve"> HYPERLINK "https://doi.org/10.5116/ijme.4dfb.8dfd" </w:instrText>
      </w:r>
      <w:r>
        <w:rPr/>
        <w:fldChar w:fldCharType="separate"/>
      </w:r>
      <w:r>
        <w:rPr>
          <w:rStyle w:val="style85"/>
          <w:rFonts w:ascii="Arial" w:cs="Arial" w:hAnsi="Arial"/>
        </w:rPr>
        <w:t>https://doi.org/10.5116/ijme.4dfb.8dfd</w:t>
      </w:r>
      <w:r>
        <w:rPr/>
        <w:fldChar w:fldCharType="end"/>
      </w:r>
      <w:r>
        <w:rPr>
          <w:rFonts w:ascii="Arial" w:cs="Arial" w:hAnsi="Arial"/>
        </w:rPr>
        <w:t xml:space="preserve">. </w:t>
      </w:r>
    </w:p>
    <w:p w14:paraId="28F63932">
      <w:pPr>
        <w:pStyle w:val="style0"/>
        <w:spacing w:lineRule="auto" w:line="360"/>
        <w:rPr>
          <w:rFonts w:ascii="Arial" w:cs="Arial" w:hAnsi="Arial"/>
          <w:lang w:val="en-US"/>
        </w:rPr>
      </w:pPr>
      <w:r>
        <w:rPr>
          <w:rFonts w:ascii="Arial" w:cs="Arial" w:hAnsi="Arial"/>
          <w:lang w:val="en-US"/>
        </w:rPr>
        <w:t xml:space="preserve">Thomaz, F. </w:t>
      </w:r>
      <w:r>
        <w:rPr>
          <w:rFonts w:ascii="Arial" w:cs="Arial" w:hAnsi="Arial"/>
          <w:i/>
          <w:iCs/>
          <w:lang w:val="en-US"/>
        </w:rPr>
        <w:t>et al.</w:t>
      </w:r>
      <w:r>
        <w:rPr>
          <w:rFonts w:ascii="Arial" w:cs="Arial" w:hAnsi="Arial"/>
          <w:lang w:val="en-US"/>
        </w:rPr>
        <w:t xml:space="preserve"> (2020) “‘Customers’ willingness to disclose personal information throughout the customer purchase journey in retailing: The role of perceived warmth,” </w:t>
      </w:r>
      <w:r>
        <w:rPr>
          <w:rFonts w:ascii="Arial" w:cs="Arial" w:hAnsi="Arial"/>
          <w:i/>
          <w:iCs/>
          <w:lang w:val="en-US"/>
        </w:rPr>
        <w:t>Journal of Retailing</w:t>
      </w:r>
      <w:r>
        <w:rPr>
          <w:rFonts w:ascii="Arial" w:cs="Arial" w:hAnsi="Arial"/>
          <w:lang w:val="en-US"/>
        </w:rPr>
        <w:t>, 96(4), pp. 490–506.</w:t>
      </w:r>
    </w:p>
    <w:p w14:paraId="08FD0716">
      <w:pPr>
        <w:pStyle w:val="style0"/>
        <w:spacing w:lineRule="auto" w:line="360"/>
        <w:rPr>
          <w:rFonts w:ascii="Arial" w:cs="Arial" w:hAnsi="Arial"/>
        </w:rPr>
      </w:pPr>
      <w:r>
        <w:rPr>
          <w:rFonts w:ascii="Arial" w:cs="Arial" w:hAnsi="Arial"/>
        </w:rPr>
        <w:t xml:space="preserve">Tileagă, C. and Oprișan, O. (2021) “Personalisation – A key element in creating better customer experiences,” </w:t>
      </w:r>
      <w:r>
        <w:rPr>
          <w:rFonts w:ascii="Arial" w:cs="Arial" w:hAnsi="Arial"/>
          <w:i/>
          <w:iCs/>
        </w:rPr>
        <w:t>Expert Journal of Business and Management</w:t>
      </w:r>
      <w:r>
        <w:rPr>
          <w:rFonts w:ascii="Arial" w:cs="Arial" w:hAnsi="Arial"/>
        </w:rPr>
        <w:t xml:space="preserve">, 9(2). Available at: </w:t>
      </w:r>
      <w:r>
        <w:rPr/>
        <w:fldChar w:fldCharType="begin"/>
      </w:r>
      <w:r>
        <w:instrText xml:space="preserve"> HYPERLINK "https://business.expertjournals.com/23446781-909/" </w:instrText>
      </w:r>
      <w:r>
        <w:rPr/>
        <w:fldChar w:fldCharType="separate"/>
      </w:r>
      <w:r>
        <w:rPr>
          <w:rStyle w:val="style85"/>
          <w:rFonts w:ascii="Arial" w:cs="Arial" w:hAnsi="Arial"/>
        </w:rPr>
        <w:t>https://business.expertjournals.com/23446781-909/</w:t>
      </w:r>
      <w:r>
        <w:rPr/>
        <w:fldChar w:fldCharType="end"/>
      </w:r>
    </w:p>
    <w:p w14:paraId="6E059B40">
      <w:pPr>
        <w:pStyle w:val="style0"/>
        <w:spacing w:lineRule="auto" w:line="360"/>
        <w:rPr>
          <w:rFonts w:ascii="Arial" w:cs="Arial" w:hAnsi="Arial"/>
        </w:rPr>
      </w:pPr>
      <w:r>
        <w:rPr>
          <w:rFonts w:ascii="Arial" w:cs="Arial" w:hAnsi="Arial"/>
        </w:rPr>
        <w:t xml:space="preserve">TRADING ECONOMICS (2026) “Tesco | TSCO - Sales Revenues.” Available at: </w:t>
      </w:r>
      <w:r>
        <w:rPr/>
        <w:fldChar w:fldCharType="begin"/>
      </w:r>
      <w:r>
        <w:instrText xml:space="preserve"> HYPERLINK "https://tradingeconomics.com/tsco:ln:sales" </w:instrText>
      </w:r>
      <w:r>
        <w:rPr/>
        <w:fldChar w:fldCharType="separate"/>
      </w:r>
      <w:r>
        <w:rPr>
          <w:rStyle w:val="style85"/>
          <w:rFonts w:ascii="Arial" w:cs="Arial" w:hAnsi="Arial"/>
        </w:rPr>
        <w:t>https://tradingeconomics.com/tsco:ln:sales</w:t>
      </w:r>
      <w:r>
        <w:rPr/>
        <w:fldChar w:fldCharType="end"/>
      </w:r>
      <w:r>
        <w:rPr>
          <w:rFonts w:ascii="Arial" w:cs="Arial" w:hAnsi="Arial"/>
        </w:rPr>
        <w:t xml:space="preserve">  (Accessed: September 4, 2026).</w:t>
      </w:r>
    </w:p>
    <w:p w14:paraId="6821D24B">
      <w:pPr>
        <w:pStyle w:val="style0"/>
        <w:spacing w:lineRule="auto" w:line="360"/>
        <w:rPr>
          <w:rFonts w:ascii="Arial" w:cs="Arial" w:hAnsi="Arial"/>
        </w:rPr>
      </w:pPr>
      <w:r>
        <w:rPr>
          <w:rFonts w:ascii="Arial" w:cs="Arial" w:hAnsi="Arial"/>
        </w:rPr>
        <w:t xml:space="preserve">Tripathi, S. (2017) “Et tu, Brute? How unfair!,” </w:t>
      </w:r>
      <w:r>
        <w:rPr>
          <w:rFonts w:ascii="Arial" w:cs="Arial" w:hAnsi="Arial"/>
          <w:i/>
          <w:iCs/>
        </w:rPr>
        <w:t>Journal of Retailing and Consumer Services</w:t>
      </w:r>
      <w:r>
        <w:rPr>
          <w:rFonts w:ascii="Arial" w:cs="Arial" w:hAnsi="Arial"/>
        </w:rPr>
        <w:t xml:space="preserve">, 39, pp. 79–92. Available at: </w:t>
      </w:r>
      <w:r>
        <w:rPr/>
        <w:fldChar w:fldCharType="begin"/>
      </w:r>
      <w:r>
        <w:instrText xml:space="preserve"> HYPERLINK "https://doi.org/10.1016/j.jretconser.2017.07.004" </w:instrText>
      </w:r>
      <w:r>
        <w:rPr/>
        <w:fldChar w:fldCharType="separate"/>
      </w:r>
      <w:r>
        <w:rPr>
          <w:rStyle w:val="style85"/>
          <w:rFonts w:ascii="Arial" w:cs="Arial" w:hAnsi="Arial"/>
        </w:rPr>
        <w:t>https://doi.org/10.1016/j.jretconser.2017.07.004</w:t>
      </w:r>
      <w:r>
        <w:rPr/>
        <w:fldChar w:fldCharType="end"/>
      </w:r>
      <w:r>
        <w:rPr>
          <w:rFonts w:ascii="Arial" w:cs="Arial" w:hAnsi="Arial"/>
        </w:rPr>
        <w:t xml:space="preserve">. </w:t>
      </w:r>
    </w:p>
    <w:p w14:paraId="748D84C0">
      <w:pPr>
        <w:pStyle w:val="style0"/>
        <w:spacing w:lineRule="auto" w:line="360"/>
        <w:rPr>
          <w:rFonts w:ascii="Arial" w:cs="Arial" w:hAnsi="Arial"/>
        </w:rPr>
      </w:pPr>
      <w:r>
        <w:rPr>
          <w:rFonts w:ascii="Arial" w:cs="Arial" w:hAnsi="Arial"/>
        </w:rPr>
        <w:t xml:space="preserve">Tripathi, V.V.R. and Jaiswal, R. (2023) “A study on the influence of loyalty programs on impulsive buying behaviour,” </w:t>
      </w:r>
      <w:r>
        <w:rPr>
          <w:rFonts w:ascii="Arial" w:cs="Arial" w:hAnsi="Arial"/>
          <w:i/>
          <w:iCs/>
        </w:rPr>
        <w:t>COMMERCE RESEARCH REVIEW</w:t>
      </w:r>
      <w:r>
        <w:rPr>
          <w:rFonts w:ascii="Arial" w:cs="Arial" w:hAnsi="Arial"/>
        </w:rPr>
        <w:t xml:space="preserve">, 1(1), pp. 58–72. Available at: </w:t>
      </w:r>
      <w:r>
        <w:rPr/>
        <w:fldChar w:fldCharType="begin"/>
      </w:r>
      <w:r>
        <w:instrText xml:space="preserve"> HYPERLINK "https://doi.org/10.21844/crr.v1i01.1105" </w:instrText>
      </w:r>
      <w:r>
        <w:rPr/>
        <w:fldChar w:fldCharType="separate"/>
      </w:r>
      <w:r>
        <w:rPr>
          <w:rStyle w:val="style85"/>
          <w:rFonts w:ascii="Arial" w:cs="Arial" w:hAnsi="Arial"/>
        </w:rPr>
        <w:t>https://doi.org/10.21844/crr.v1i01.1105</w:t>
      </w:r>
      <w:r>
        <w:rPr/>
        <w:fldChar w:fldCharType="end"/>
      </w:r>
      <w:r>
        <w:rPr>
          <w:rFonts w:ascii="Arial" w:cs="Arial" w:hAnsi="Arial"/>
        </w:rPr>
        <w:t xml:space="preserve">. </w:t>
      </w:r>
    </w:p>
    <w:p w14:paraId="742A9D1A">
      <w:pPr>
        <w:pStyle w:val="style0"/>
        <w:spacing w:lineRule="auto" w:line="360"/>
        <w:rPr>
          <w:rFonts w:ascii="Arial" w:cs="Arial" w:hAnsi="Arial"/>
        </w:rPr>
      </w:pPr>
      <w:r>
        <w:rPr>
          <w:rFonts w:ascii="Arial" w:cs="Arial" w:hAnsi="Arial"/>
        </w:rPr>
        <w:t xml:space="preserve">Viera, C.A. (2023) “Case study as a qualitative research methodology,” </w:t>
      </w:r>
      <w:r>
        <w:rPr>
          <w:rFonts w:ascii="Arial" w:cs="Arial" w:hAnsi="Arial"/>
          <w:i/>
          <w:iCs/>
        </w:rPr>
        <w:t>Performance Improvement</w:t>
      </w:r>
      <w:r>
        <w:rPr>
          <w:rFonts w:ascii="Arial" w:cs="Arial" w:hAnsi="Arial"/>
        </w:rPr>
        <w:t xml:space="preserve">, 62(4), pp. 125–129. Available at: </w:t>
      </w:r>
      <w:r>
        <w:rPr/>
        <w:fldChar w:fldCharType="begin"/>
      </w:r>
      <w:r>
        <w:instrText xml:space="preserve"> HYPERLINK "https://doi.org/10.56811/pfi-23-0005" </w:instrText>
      </w:r>
      <w:r>
        <w:rPr/>
        <w:fldChar w:fldCharType="separate"/>
      </w:r>
      <w:r>
        <w:rPr>
          <w:rStyle w:val="style85"/>
          <w:rFonts w:ascii="Arial" w:cs="Arial" w:hAnsi="Arial"/>
        </w:rPr>
        <w:t>https://doi.org/10.56811/pfi-23-0005</w:t>
      </w:r>
      <w:r>
        <w:rPr/>
        <w:fldChar w:fldCharType="end"/>
      </w:r>
      <w:r>
        <w:rPr>
          <w:rFonts w:ascii="Arial" w:cs="Arial" w:hAnsi="Arial"/>
        </w:rPr>
        <w:t xml:space="preserve">. </w:t>
      </w:r>
    </w:p>
    <w:p w14:paraId="21D9E941">
      <w:pPr>
        <w:pStyle w:val="style0"/>
        <w:spacing w:lineRule="auto" w:line="360"/>
        <w:rPr>
          <w:rFonts w:ascii="Arial" w:cs="Arial" w:hAnsi="Arial"/>
        </w:rPr>
      </w:pPr>
      <w:r>
        <w:rPr>
          <w:rFonts w:ascii="Arial" w:cs="Arial" w:hAnsi="Arial"/>
        </w:rPr>
        <w:t xml:space="preserve">Vishwakarma, D. </w:t>
      </w:r>
      <w:r>
        <w:rPr>
          <w:rFonts w:ascii="Arial" w:cs="Arial" w:hAnsi="Arial"/>
          <w:i/>
          <w:iCs/>
        </w:rPr>
        <w:t>et al.</w:t>
      </w:r>
      <w:r>
        <w:rPr>
          <w:rFonts w:ascii="Arial" w:cs="Arial" w:hAnsi="Arial"/>
        </w:rPr>
        <w:t xml:space="preserve"> (2025) “Personalization vs. Privacy: Marketing Strategies in the Digital Age,” </w:t>
      </w:r>
      <w:r>
        <w:rPr>
          <w:rFonts w:ascii="Arial" w:cs="Arial" w:hAnsi="Arial"/>
          <w:i/>
          <w:iCs/>
        </w:rPr>
        <w:t>Journal of Marketing &amp; Social Research</w:t>
      </w:r>
      <w:r>
        <w:rPr>
          <w:rFonts w:ascii="Arial" w:cs="Arial" w:hAnsi="Arial"/>
        </w:rPr>
        <w:t>, 2(5), pp. 177–191.</w:t>
      </w:r>
    </w:p>
    <w:p w14:paraId="3FD6315D">
      <w:pPr>
        <w:pStyle w:val="style0"/>
        <w:spacing w:lineRule="auto" w:line="360"/>
        <w:rPr>
          <w:rFonts w:ascii="Arial" w:cs="Arial" w:hAnsi="Arial"/>
        </w:rPr>
      </w:pPr>
      <w:r>
        <w:rPr>
          <w:rFonts w:ascii="Arial" w:cs="Arial" w:hAnsi="Arial"/>
        </w:rPr>
        <w:t xml:space="preserve">Volpe, M. (2025) </w:t>
      </w:r>
      <w:r>
        <w:rPr>
          <w:rFonts w:ascii="Arial" w:cs="Arial" w:hAnsi="Arial"/>
          <w:i/>
          <w:iCs/>
        </w:rPr>
        <w:t>Consumer Edge UK grocery market share report - august 2025</w:t>
      </w:r>
      <w:r>
        <w:rPr>
          <w:rFonts w:ascii="Arial" w:cs="Arial" w:hAnsi="Arial"/>
        </w:rPr>
        <w:t xml:space="preserve">, </w:t>
      </w:r>
      <w:r>
        <w:rPr>
          <w:rFonts w:ascii="Arial" w:cs="Arial" w:hAnsi="Arial"/>
          <w:i/>
          <w:iCs/>
        </w:rPr>
        <w:t>Consumer Edge</w:t>
      </w:r>
      <w:r>
        <w:rPr>
          <w:rFonts w:ascii="Arial" w:cs="Arial" w:hAnsi="Arial"/>
        </w:rPr>
        <w:t xml:space="preserve">. Available at: </w:t>
      </w:r>
      <w:r>
        <w:rPr/>
        <w:fldChar w:fldCharType="begin"/>
      </w:r>
      <w:r>
        <w:instrText xml:space="preserve"> HYPERLINK "https://www.consumeredge.com/resources/insights/consumer-edge-uk-grocery-market-share-report-august-2025/" </w:instrText>
      </w:r>
      <w:r>
        <w:rPr/>
        <w:fldChar w:fldCharType="separate"/>
      </w:r>
      <w:r>
        <w:rPr>
          <w:rStyle w:val="style85"/>
          <w:rFonts w:ascii="Arial" w:cs="Arial" w:hAnsi="Arial"/>
        </w:rPr>
        <w:t>https://www.consumeredge.com/resources/insights/consumer-edge-uk-grocery-market-share-report-august-2025/</w:t>
      </w:r>
      <w:r>
        <w:rPr/>
        <w:fldChar w:fldCharType="end"/>
      </w:r>
      <w:r>
        <w:rPr>
          <w:rFonts w:ascii="Arial" w:cs="Arial" w:hAnsi="Arial"/>
        </w:rPr>
        <w:t xml:space="preserve">  (Accessed: September 4, 2026).</w:t>
      </w:r>
    </w:p>
    <w:p w14:paraId="173092F5">
      <w:pPr>
        <w:pStyle w:val="style0"/>
        <w:spacing w:lineRule="auto" w:line="360"/>
        <w:rPr>
          <w:rFonts w:ascii="Arial" w:cs="Arial" w:hAnsi="Arial"/>
        </w:rPr>
      </w:pPr>
      <w:r>
        <w:rPr>
          <w:rFonts w:ascii="Arial" w:cs="Arial" w:hAnsi="Arial"/>
        </w:rPr>
        <w:t xml:space="preserve">Vomberg, A., Homburg, C. and Sarantopoulos, P. (2025) “Algorithmic pricing: Effects on consumer trust and price search,” </w:t>
      </w:r>
      <w:r>
        <w:rPr>
          <w:rFonts w:ascii="Arial" w:cs="Arial" w:hAnsi="Arial"/>
          <w:i/>
          <w:iCs/>
        </w:rPr>
        <w:t>International Journal of Research in Marketing</w:t>
      </w:r>
      <w:r>
        <w:rPr>
          <w:rFonts w:ascii="Arial" w:cs="Arial" w:hAnsi="Arial"/>
        </w:rPr>
        <w:t xml:space="preserve">, 42(4), pp. 1166–1186. Available at: </w:t>
      </w:r>
      <w:r>
        <w:rPr/>
        <w:fldChar w:fldCharType="begin"/>
      </w:r>
      <w:r>
        <w:instrText xml:space="preserve"> HYPERLINK "https://doi.org/10.1016/j.ijresmar.2024.10.006" </w:instrText>
      </w:r>
      <w:r>
        <w:rPr/>
        <w:fldChar w:fldCharType="separate"/>
      </w:r>
      <w:r>
        <w:rPr>
          <w:rStyle w:val="style85"/>
          <w:rFonts w:ascii="Arial" w:cs="Arial" w:hAnsi="Arial"/>
        </w:rPr>
        <w:t>https://doi.org/10.1016/j.ijresmar.2024.10.006</w:t>
      </w:r>
      <w:r>
        <w:rPr/>
        <w:fldChar w:fldCharType="end"/>
      </w:r>
    </w:p>
    <w:p w14:paraId="3D827022">
      <w:pPr>
        <w:pStyle w:val="style0"/>
        <w:spacing w:lineRule="auto" w:line="360"/>
        <w:rPr>
          <w:rFonts w:ascii="Arial" w:cs="Arial" w:hAnsi="Arial"/>
        </w:rPr>
      </w:pPr>
      <w:r>
        <w:rPr>
          <w:rFonts w:ascii="Arial" w:cs="Arial" w:hAnsi="Arial"/>
        </w:rPr>
        <w:t xml:space="preserve">Wait, M. (2022) “Grocery loyalty cards: Do they work? A customer-centred investigation,” </w:t>
      </w:r>
      <w:r>
        <w:rPr>
          <w:rFonts w:ascii="Arial" w:cs="Arial" w:hAnsi="Arial"/>
          <w:i/>
          <w:iCs/>
        </w:rPr>
        <w:t>Acta commercii</w:t>
      </w:r>
      <w:r>
        <w:rPr>
          <w:rFonts w:ascii="Arial" w:cs="Arial" w:hAnsi="Arial"/>
        </w:rPr>
        <w:t xml:space="preserve">, 22(1). Available at: </w:t>
      </w:r>
      <w:r>
        <w:rPr/>
        <w:fldChar w:fldCharType="begin"/>
      </w:r>
      <w:r>
        <w:instrText xml:space="preserve"> HYPERLINK "https://doi.org/10.4102/ac.v22i1.1056" </w:instrText>
      </w:r>
      <w:r>
        <w:rPr/>
        <w:fldChar w:fldCharType="separate"/>
      </w:r>
      <w:r>
        <w:rPr>
          <w:rStyle w:val="style85"/>
          <w:rFonts w:ascii="Arial" w:cs="Arial" w:hAnsi="Arial"/>
        </w:rPr>
        <w:t>https://doi.org/10.4102/ac.v22i1.1056</w:t>
      </w:r>
      <w:r>
        <w:rPr/>
        <w:fldChar w:fldCharType="end"/>
      </w:r>
      <w:r>
        <w:rPr>
          <w:rFonts w:ascii="Arial" w:cs="Arial" w:hAnsi="Arial"/>
        </w:rPr>
        <w:t xml:space="preserve">. </w:t>
      </w:r>
    </w:p>
    <w:p w14:paraId="5014ABDB">
      <w:pPr>
        <w:pStyle w:val="style0"/>
        <w:spacing w:lineRule="auto" w:line="360"/>
        <w:rPr>
          <w:rFonts w:ascii="Arial" w:cs="Arial" w:hAnsi="Arial"/>
        </w:rPr>
      </w:pPr>
      <w:r>
        <w:rPr>
          <w:rFonts w:ascii="Arial" w:cs="Arial" w:hAnsi="Arial"/>
        </w:rPr>
        <w:t xml:space="preserve">Webb, A. (2024) </w:t>
      </w:r>
      <w:r>
        <w:rPr>
          <w:rFonts w:ascii="Arial" w:cs="Arial" w:hAnsi="Arial"/>
          <w:i/>
          <w:iCs/>
        </w:rPr>
        <w:t>Sainsbury’s expands ‘Your Nectar Prices’: what’s changing?</w:t>
      </w:r>
      <w:r>
        <w:rPr>
          <w:rFonts w:ascii="Arial" w:cs="Arial" w:hAnsi="Arial"/>
        </w:rPr>
        <w:t xml:space="preserve">, </w:t>
      </w:r>
      <w:r>
        <w:rPr>
          <w:rFonts w:ascii="Arial" w:cs="Arial" w:hAnsi="Arial"/>
          <w:i/>
          <w:iCs/>
        </w:rPr>
        <w:t>Be Clever With Your Cash</w:t>
      </w:r>
      <w:r>
        <w:rPr>
          <w:rFonts w:ascii="Arial" w:cs="Arial" w:hAnsi="Arial"/>
        </w:rPr>
        <w:t xml:space="preserve">. Available at: </w:t>
      </w:r>
      <w:r>
        <w:rPr/>
        <w:fldChar w:fldCharType="begin"/>
      </w:r>
      <w:r>
        <w:instrText xml:space="preserve"> HYPERLINK "https://becleverwithyourcash.com/your-nectar-prices-explained/" </w:instrText>
      </w:r>
      <w:r>
        <w:rPr/>
        <w:fldChar w:fldCharType="separate"/>
      </w:r>
      <w:r>
        <w:rPr>
          <w:rStyle w:val="style85"/>
          <w:rFonts w:ascii="Arial" w:cs="Arial" w:hAnsi="Arial"/>
        </w:rPr>
        <w:t>https://becleverwithyourcash.com/your-nectar-prices-explained/</w:t>
      </w:r>
      <w:r>
        <w:rPr/>
        <w:fldChar w:fldCharType="end"/>
      </w:r>
      <w:r>
        <w:rPr>
          <w:rFonts w:ascii="Arial" w:cs="Arial" w:hAnsi="Arial"/>
        </w:rPr>
        <w:t xml:space="preserve">  (Accessed: September 4, 2026).</w:t>
      </w:r>
    </w:p>
    <w:p w14:paraId="4411D2CA">
      <w:pPr>
        <w:pStyle w:val="style0"/>
        <w:spacing w:lineRule="auto" w:line="360"/>
        <w:rPr>
          <w:rFonts w:ascii="Arial" w:cs="Arial" w:hAnsi="Arial"/>
        </w:rPr>
      </w:pPr>
      <w:r>
        <w:rPr>
          <w:rFonts w:ascii="Arial" w:cs="Arial" w:hAnsi="Arial"/>
        </w:rPr>
        <w:t xml:space="preserve">Wedel, M. and Kannan, P.K. (2016) “Marketing analytics for data-rich environments,” </w:t>
      </w:r>
      <w:r>
        <w:rPr>
          <w:rFonts w:ascii="Arial" w:cs="Arial" w:hAnsi="Arial"/>
          <w:i/>
          <w:iCs/>
        </w:rPr>
        <w:t>Journal of Marketing</w:t>
      </w:r>
      <w:r>
        <w:rPr>
          <w:rFonts w:ascii="Arial" w:cs="Arial" w:hAnsi="Arial"/>
        </w:rPr>
        <w:t xml:space="preserve">, 80(6), pp. 97–121. Available at: </w:t>
      </w:r>
      <w:r>
        <w:rPr/>
        <w:fldChar w:fldCharType="begin"/>
      </w:r>
      <w:r>
        <w:instrText xml:space="preserve"> HYPERLINK "https://doi.org/10.1509/jm.15.0413" </w:instrText>
      </w:r>
      <w:r>
        <w:rPr/>
        <w:fldChar w:fldCharType="separate"/>
      </w:r>
      <w:r>
        <w:rPr>
          <w:rStyle w:val="style85"/>
          <w:rFonts w:ascii="Arial" w:cs="Arial" w:hAnsi="Arial"/>
        </w:rPr>
        <w:t>https://doi.org/10.1509/jm.15.0413</w:t>
      </w:r>
      <w:r>
        <w:rPr/>
        <w:fldChar w:fldCharType="end"/>
      </w:r>
      <w:r>
        <w:rPr>
          <w:rFonts w:ascii="Arial" w:cs="Arial" w:hAnsi="Arial"/>
        </w:rPr>
        <w:t xml:space="preserve">. </w:t>
      </w:r>
    </w:p>
    <w:p w14:paraId="7AD06E3D">
      <w:pPr>
        <w:pStyle w:val="style0"/>
        <w:spacing w:lineRule="auto" w:line="360"/>
        <w:rPr>
          <w:rFonts w:ascii="Arial" w:cs="Arial" w:hAnsi="Arial"/>
        </w:rPr>
      </w:pPr>
      <w:r>
        <w:rPr>
          <w:rFonts w:ascii="Arial" w:cs="Arial" w:hAnsi="Arial"/>
        </w:rPr>
        <w:t xml:space="preserve">Weidig, J., Weippert, M. and Kuehnl, C. (2024) “Personalized touchpoints and customer experience: A conceptual synthesis,” </w:t>
      </w:r>
      <w:r>
        <w:rPr>
          <w:rFonts w:ascii="Arial" w:cs="Arial" w:hAnsi="Arial"/>
          <w:i/>
          <w:iCs/>
        </w:rPr>
        <w:t>Journal of Business Research</w:t>
      </w:r>
      <w:r>
        <w:rPr>
          <w:rFonts w:ascii="Arial" w:cs="Arial" w:hAnsi="Arial"/>
        </w:rPr>
        <w:t>, 177.</w:t>
      </w:r>
    </w:p>
    <w:p w14:paraId="292218B7">
      <w:pPr>
        <w:pStyle w:val="style0"/>
        <w:spacing w:lineRule="auto" w:line="360"/>
        <w:rPr>
          <w:rFonts w:ascii="Arial" w:cs="Arial" w:hAnsi="Arial"/>
        </w:rPr>
      </w:pPr>
      <w:r>
        <w:rPr>
          <w:rFonts w:ascii="Arial" w:cs="Arial" w:hAnsi="Arial"/>
        </w:rPr>
        <w:t xml:space="preserve">Wickham, R.J. (2019) “Secondary analysis research,” </w:t>
      </w:r>
      <w:r>
        <w:rPr>
          <w:rFonts w:ascii="Arial" w:cs="Arial" w:hAnsi="Arial"/>
          <w:i/>
          <w:iCs/>
        </w:rPr>
        <w:t>Journal of the Advanced Practitioner in Oncology</w:t>
      </w:r>
      <w:r>
        <w:rPr>
          <w:rFonts w:ascii="Arial" w:cs="Arial" w:hAnsi="Arial"/>
        </w:rPr>
        <w:t>, 10(4), pp. 395–400. Available at: https://doi.org/10.6004/jadpro.2019.10.4.7.</w:t>
      </w:r>
    </w:p>
    <w:p w14:paraId="1C1AF661">
      <w:pPr>
        <w:pStyle w:val="style0"/>
        <w:spacing w:lineRule="auto" w:line="360"/>
        <w:rPr>
          <w:rFonts w:ascii="Arial" w:cs="Arial" w:hAnsi="Arial"/>
        </w:rPr>
      </w:pPr>
      <w:r>
        <w:rPr>
          <w:rFonts w:ascii="Arial" w:cs="Arial" w:hAnsi="Arial"/>
        </w:rPr>
        <w:t xml:space="preserve">Wilderness, D. (2026) </w:t>
      </w:r>
      <w:r>
        <w:rPr>
          <w:rFonts w:ascii="Arial" w:cs="Arial" w:hAnsi="Arial"/>
          <w:i/>
          <w:iCs/>
        </w:rPr>
        <w:t>Asda Rewards review 2026: Is the loyalty app worth using?</w:t>
      </w:r>
      <w:r>
        <w:rPr>
          <w:rFonts w:ascii="Arial" w:cs="Arial" w:hAnsi="Arial"/>
        </w:rPr>
        <w:t xml:space="preserve">, </w:t>
      </w:r>
      <w:r>
        <w:rPr>
          <w:rFonts w:ascii="Arial" w:cs="Arial" w:hAnsi="Arial"/>
          <w:i/>
          <w:iCs/>
        </w:rPr>
        <w:t>The Financial Wilderness</w:t>
      </w:r>
      <w:r>
        <w:rPr>
          <w:rFonts w:ascii="Arial" w:cs="Arial" w:hAnsi="Arial"/>
        </w:rPr>
        <w:t xml:space="preserve">. Available at: </w:t>
      </w:r>
      <w:r>
        <w:rPr/>
        <w:fldChar w:fldCharType="begin"/>
      </w:r>
      <w:r>
        <w:instrText xml:space="preserve"> HYPERLINK "https://www.thefinancialwilderness.com/is-asda-rewards-worth-it-review/" </w:instrText>
      </w:r>
      <w:r>
        <w:rPr/>
        <w:fldChar w:fldCharType="separate"/>
      </w:r>
      <w:r>
        <w:rPr>
          <w:rStyle w:val="style85"/>
          <w:rFonts w:ascii="Arial" w:cs="Arial" w:hAnsi="Arial"/>
        </w:rPr>
        <w:t>https://www.thefinancialwilderness.com/is-asda-rewards-worth-it-review/</w:t>
      </w:r>
      <w:r>
        <w:rPr/>
        <w:fldChar w:fldCharType="end"/>
      </w:r>
      <w:r>
        <w:rPr>
          <w:rFonts w:ascii="Arial" w:cs="Arial" w:hAnsi="Arial"/>
        </w:rPr>
        <w:t xml:space="preserve">  (Accessed: September 5, 2026).</w:t>
      </w:r>
    </w:p>
    <w:p w14:paraId="516AAF2B">
      <w:pPr>
        <w:pStyle w:val="style0"/>
        <w:spacing w:lineRule="auto" w:line="360"/>
        <w:rPr>
          <w:rFonts w:ascii="Arial" w:cs="Arial" w:hAnsi="Arial"/>
        </w:rPr>
      </w:pPr>
      <w:r>
        <w:rPr>
          <w:rFonts w:ascii="Arial" w:cs="Arial" w:hAnsi="Arial"/>
        </w:rPr>
        <w:t xml:space="preserve">William, F.K.A. (2024) “Delving into the principles and application of positivism in research: A guide for scholars,” </w:t>
      </w:r>
      <w:r>
        <w:rPr>
          <w:rFonts w:ascii="Arial" w:cs="Arial" w:hAnsi="Arial"/>
          <w:i/>
          <w:iCs/>
        </w:rPr>
        <w:t>International Journal of Research Publications</w:t>
      </w:r>
      <w:r>
        <w:rPr>
          <w:rFonts w:ascii="Arial" w:cs="Arial" w:hAnsi="Arial"/>
        </w:rPr>
        <w:t>, 146(1), pp. 7–13.</w:t>
      </w:r>
    </w:p>
    <w:p w14:paraId="04CEECDA">
      <w:pPr>
        <w:pStyle w:val="style0"/>
        <w:spacing w:lineRule="auto" w:line="360"/>
        <w:rPr>
          <w:rFonts w:ascii="Arial" w:cs="Arial" w:hAnsi="Arial"/>
        </w:rPr>
      </w:pPr>
      <w:r>
        <w:rPr>
          <w:rFonts w:ascii="Arial" w:cs="Arial" w:hAnsi="Arial"/>
        </w:rPr>
        <w:t xml:space="preserve">Willie, M.M. (2009) “Distinguishing between population and target population: A mini review,” </w:t>
      </w:r>
      <w:r>
        <w:rPr>
          <w:rFonts w:ascii="Arial" w:cs="Arial" w:hAnsi="Arial"/>
          <w:i/>
          <w:iCs/>
        </w:rPr>
        <w:t>Article in surgery journal</w:t>
      </w:r>
      <w:r>
        <w:rPr>
          <w:rFonts w:ascii="Arial" w:cs="Arial" w:hAnsi="Arial"/>
        </w:rPr>
        <w:t>, 7.</w:t>
      </w:r>
    </w:p>
    <w:p w14:paraId="11610DB6">
      <w:pPr>
        <w:pStyle w:val="style0"/>
        <w:spacing w:lineRule="auto" w:line="360"/>
        <w:rPr>
          <w:rFonts w:ascii="Arial" w:cs="Arial" w:hAnsi="Arial"/>
        </w:rPr>
      </w:pPr>
      <w:r>
        <w:rPr>
          <w:rFonts w:ascii="Arial" w:cs="Arial" w:hAnsi="Arial"/>
        </w:rPr>
        <w:t xml:space="preserve">Willing, N. (2026) </w:t>
      </w:r>
      <w:r>
        <w:rPr>
          <w:rFonts w:ascii="Arial" w:cs="Arial" w:hAnsi="Arial"/>
          <w:i/>
          <w:iCs/>
        </w:rPr>
        <w:t>U.K. retail loyalty enters AI era as M&amp;S, Tesco and Boots drive hyper-personalization in reward schemes</w:t>
      </w:r>
      <w:r>
        <w:rPr>
          <w:rFonts w:ascii="Arial" w:cs="Arial" w:hAnsi="Arial"/>
        </w:rPr>
        <w:t xml:space="preserve">, </w:t>
      </w:r>
      <w:r>
        <w:rPr>
          <w:rFonts w:ascii="Arial" w:cs="Arial" w:hAnsi="Arial"/>
          <w:i/>
          <w:iCs/>
        </w:rPr>
        <w:t>CX Today</w:t>
      </w:r>
      <w:r>
        <w:rPr>
          <w:rFonts w:ascii="Arial" w:cs="Arial" w:hAnsi="Arial"/>
        </w:rPr>
        <w:t xml:space="preserve">. Available at: </w:t>
      </w:r>
      <w:r>
        <w:rPr/>
        <w:fldChar w:fldCharType="begin"/>
      </w:r>
      <w:r>
        <w:instrText xml:space="preserve"> HYPERLINK "https://www.cxtoday.com/crm/u-k-retail-loyalty-enters-ai-era-as-ms-tesco-and-boots-drive-hyper-personalization-in-reward-schemes/" </w:instrText>
      </w:r>
      <w:r>
        <w:rPr/>
        <w:fldChar w:fldCharType="separate"/>
      </w:r>
      <w:r>
        <w:rPr>
          <w:rStyle w:val="style85"/>
          <w:rFonts w:ascii="Arial" w:cs="Arial" w:hAnsi="Arial"/>
        </w:rPr>
        <w:t>https://www.cxtoday.com/crm/u-k-retail-loyalty-enters-ai-era-as-ms-tesco-and-boots-drive-hyper-personalization-in-reward-schemes/</w:t>
      </w:r>
      <w:r>
        <w:rPr/>
        <w:fldChar w:fldCharType="end"/>
      </w:r>
      <w:r>
        <w:rPr>
          <w:rFonts w:ascii="Arial" w:cs="Arial" w:hAnsi="Arial"/>
        </w:rPr>
        <w:t xml:space="preserve">  (Accessed: September 4, 2026).</w:t>
      </w:r>
    </w:p>
    <w:p w14:paraId="5357C087">
      <w:pPr>
        <w:pStyle w:val="style0"/>
        <w:spacing w:lineRule="auto" w:line="360"/>
        <w:rPr>
          <w:rFonts w:ascii="Arial" w:cs="Arial" w:hAnsi="Arial"/>
        </w:rPr>
      </w:pPr>
      <w:r>
        <w:rPr>
          <w:rFonts w:ascii="Arial" w:cs="Arial" w:hAnsi="Arial"/>
        </w:rPr>
        <w:t xml:space="preserve">Xu, Y. and Chen, L. (2025) “Personalized recommendations and consumer trust: The role of perceived control and locus of control,” </w:t>
      </w:r>
      <w:r>
        <w:rPr>
          <w:rFonts w:ascii="Arial" w:cs="Arial" w:hAnsi="Arial"/>
          <w:i/>
          <w:iCs/>
        </w:rPr>
        <w:t>Acta psychologica</w:t>
      </w:r>
      <w:r>
        <w:rPr>
          <w:rFonts w:ascii="Arial" w:cs="Arial" w:hAnsi="Arial"/>
        </w:rPr>
        <w:t xml:space="preserve">, 261(105936), p. 105936. Available at: </w:t>
      </w:r>
      <w:r>
        <w:rPr/>
        <w:fldChar w:fldCharType="begin"/>
      </w:r>
      <w:r>
        <w:instrText xml:space="preserve"> HYPERLINK "https://doi.org/10.1016/j.actpsy.2025.105936" </w:instrText>
      </w:r>
      <w:r>
        <w:rPr/>
        <w:fldChar w:fldCharType="separate"/>
      </w:r>
      <w:r>
        <w:rPr>
          <w:rStyle w:val="style85"/>
          <w:rFonts w:ascii="Arial" w:cs="Arial" w:hAnsi="Arial"/>
        </w:rPr>
        <w:t>https://doi.org/10.1016/j.actpsy.2025.105936</w:t>
      </w:r>
      <w:r>
        <w:rPr/>
        <w:fldChar w:fldCharType="end"/>
      </w:r>
      <w:r>
        <w:rPr>
          <w:rFonts w:ascii="Arial" w:cs="Arial" w:hAnsi="Arial"/>
        </w:rPr>
        <w:t xml:space="preserve">. </w:t>
      </w:r>
    </w:p>
    <w:p w14:paraId="6881EAD5">
      <w:pPr>
        <w:pStyle w:val="style0"/>
        <w:spacing w:lineRule="auto" w:line="360"/>
        <w:rPr>
          <w:rFonts w:ascii="Arial" w:cs="Arial" w:hAnsi="Arial"/>
        </w:rPr>
      </w:pPr>
      <w:r>
        <w:rPr>
          <w:rFonts w:ascii="Arial" w:cs="Arial" w:hAnsi="Arial"/>
        </w:rPr>
        <w:t xml:space="preserve">Yaqub, R.M.S. and Halim, F. (2018) “Revisiting customer loyalty in telecom sector: Insights from Oliver four-stage loyalty model, EDM and principles of reciprocity,” </w:t>
      </w:r>
      <w:r>
        <w:rPr>
          <w:rFonts w:ascii="Arial" w:cs="Arial" w:hAnsi="Arial"/>
          <w:i/>
          <w:iCs/>
        </w:rPr>
        <w:t>Journal of Marketing Management and Consumer Behavior</w:t>
      </w:r>
      <w:r>
        <w:rPr>
          <w:rFonts w:ascii="Arial" w:cs="Arial" w:hAnsi="Arial"/>
        </w:rPr>
        <w:t>, 2(2), pp. 16–30.</w:t>
      </w:r>
    </w:p>
    <w:p w14:paraId="5B1AEDE1">
      <w:pPr>
        <w:pStyle w:val="style0"/>
        <w:spacing w:lineRule="auto" w:line="360"/>
        <w:rPr>
          <w:rFonts w:ascii="Arial" w:cs="Arial" w:hAnsi="Arial"/>
        </w:rPr>
      </w:pPr>
      <w:r>
        <w:rPr>
          <w:rFonts w:ascii="Arial" w:cs="Arial" w:hAnsi="Arial"/>
        </w:rPr>
        <w:t xml:space="preserve">Yaqub, R.M.S. </w:t>
      </w:r>
      <w:r>
        <w:rPr>
          <w:rFonts w:ascii="Arial" w:cs="Arial" w:hAnsi="Arial"/>
          <w:i/>
          <w:iCs/>
        </w:rPr>
        <w:t>et al.</w:t>
      </w:r>
      <w:r>
        <w:rPr>
          <w:rFonts w:ascii="Arial" w:cs="Arial" w:hAnsi="Arial"/>
        </w:rPr>
        <w:t xml:space="preserve"> (2023) “Oliver’s four-stage loyalty model to assess the impact of Umrah services: Evidence from Umrah travelling agencies operating in Pakistan,” </w:t>
      </w:r>
      <w:r>
        <w:rPr>
          <w:rFonts w:ascii="Arial" w:cs="Arial" w:hAnsi="Arial"/>
          <w:i/>
          <w:iCs/>
        </w:rPr>
        <w:t>Journal of Business and Social Review in Emerging Economies</w:t>
      </w:r>
      <w:r>
        <w:rPr>
          <w:rFonts w:ascii="Arial" w:cs="Arial" w:hAnsi="Arial"/>
        </w:rPr>
        <w:t xml:space="preserve">, 9(1). Available at: </w:t>
      </w:r>
      <w:r>
        <w:rPr/>
        <w:fldChar w:fldCharType="begin"/>
      </w:r>
      <w:r>
        <w:instrText xml:space="preserve"> HYPERLINK "https://doi.org/10.26710/jbsee.v9i1.2537" </w:instrText>
      </w:r>
      <w:r>
        <w:rPr/>
        <w:fldChar w:fldCharType="separate"/>
      </w:r>
      <w:r>
        <w:rPr>
          <w:rStyle w:val="style85"/>
          <w:rFonts w:ascii="Arial" w:cs="Arial" w:hAnsi="Arial"/>
        </w:rPr>
        <w:t>https://doi.org/10.26710/jbsee.v9i1.2537</w:t>
      </w:r>
      <w:r>
        <w:rPr/>
        <w:fldChar w:fldCharType="end"/>
      </w:r>
      <w:r>
        <w:rPr>
          <w:rFonts w:ascii="Arial" w:cs="Arial" w:hAnsi="Arial"/>
        </w:rPr>
        <w:t xml:space="preserve">. </w:t>
      </w:r>
    </w:p>
    <w:p w14:paraId="3324BE49">
      <w:pPr>
        <w:pStyle w:val="style0"/>
        <w:spacing w:lineRule="auto" w:line="360"/>
        <w:rPr>
          <w:rFonts w:ascii="Arial" w:cs="Arial" w:hAnsi="Arial"/>
        </w:rPr>
      </w:pPr>
      <w:r>
        <w:rPr>
          <w:rFonts w:ascii="Arial" w:cs="Arial" w:hAnsi="Arial"/>
        </w:rPr>
        <w:t xml:space="preserve">Yavuz, E.G. (2023) “A theoretical perspective on survey method from quantitative research methods,” </w:t>
      </w:r>
      <w:r>
        <w:rPr>
          <w:rFonts w:ascii="Arial" w:cs="Arial" w:hAnsi="Arial"/>
          <w:i/>
          <w:iCs/>
        </w:rPr>
        <w:t>Universum:Psychology &amp; education</w:t>
      </w:r>
      <w:r>
        <w:rPr>
          <w:rFonts w:ascii="Arial" w:cs="Arial" w:hAnsi="Arial"/>
        </w:rPr>
        <w:t xml:space="preserve">, 106(4). Available at: </w:t>
      </w:r>
      <w:r>
        <w:rPr/>
        <w:fldChar w:fldCharType="begin"/>
      </w:r>
      <w:r>
        <w:instrText xml:space="preserve"> HYPERLINK "https://doi.org/10.32743/unipsy.2023.106.4.15254" </w:instrText>
      </w:r>
      <w:r>
        <w:rPr/>
        <w:fldChar w:fldCharType="separate"/>
      </w:r>
      <w:r>
        <w:rPr>
          <w:rStyle w:val="style85"/>
          <w:rFonts w:ascii="Arial" w:cs="Arial" w:hAnsi="Arial"/>
        </w:rPr>
        <w:t>https://doi.org/10.32743/unipsy.2023.106.4.15254</w:t>
      </w:r>
      <w:r>
        <w:rPr/>
        <w:fldChar w:fldCharType="end"/>
      </w:r>
      <w:r>
        <w:rPr>
          <w:rFonts w:ascii="Arial" w:cs="Arial" w:hAnsi="Arial"/>
        </w:rPr>
        <w:t xml:space="preserve">. </w:t>
      </w:r>
    </w:p>
    <w:p w14:paraId="23A4BF6D">
      <w:pPr>
        <w:pStyle w:val="style0"/>
        <w:spacing w:lineRule="auto" w:line="360"/>
        <w:rPr>
          <w:rFonts w:ascii="Arial" w:cs="Arial" w:hAnsi="Arial"/>
        </w:rPr>
      </w:pPr>
      <w:r>
        <w:rPr>
          <w:rFonts w:ascii="Arial" w:cs="Arial" w:hAnsi="Arial"/>
        </w:rPr>
        <w:t xml:space="preserve">Yin, R.K. (2018) </w:t>
      </w:r>
      <w:r>
        <w:rPr>
          <w:rFonts w:ascii="Arial" w:cs="Arial" w:hAnsi="Arial"/>
          <w:i/>
          <w:iCs/>
        </w:rPr>
        <w:t>Case Study Research and Applications: Design and Methods. 6th edn</w:t>
      </w:r>
      <w:r>
        <w:rPr>
          <w:rFonts w:ascii="Arial" w:cs="Arial" w:hAnsi="Arial"/>
        </w:rPr>
        <w:t>. Thousand Oaks, CA: SAGE Publications.</w:t>
      </w:r>
    </w:p>
    <w:p w14:paraId="02508853">
      <w:pPr>
        <w:pStyle w:val="style0"/>
        <w:spacing w:lineRule="auto" w:line="360"/>
        <w:rPr>
          <w:rFonts w:ascii="Arial" w:cs="Arial" w:hAnsi="Arial"/>
        </w:rPr>
      </w:pPr>
      <w:r>
        <w:rPr>
          <w:rFonts w:ascii="Arial" w:cs="Arial" w:hAnsi="Arial"/>
        </w:rPr>
        <w:t xml:space="preserve">Zeleke, A.A. </w:t>
      </w:r>
      <w:r>
        <w:rPr>
          <w:rFonts w:ascii="Arial" w:cs="Arial" w:hAnsi="Arial"/>
          <w:i/>
          <w:iCs/>
        </w:rPr>
        <w:t>et al.</w:t>
      </w:r>
      <w:r>
        <w:rPr>
          <w:rFonts w:ascii="Arial" w:cs="Arial" w:hAnsi="Arial"/>
        </w:rPr>
        <w:t xml:space="preserve"> (2019) “Evaluation of electronic and paper-pen data capturing tools for data quality in a public health survey in a health and demographic surveillance site, Ethiopia: Randomized controlled crossover health care information technology evaluation,” </w:t>
      </w:r>
      <w:r>
        <w:rPr>
          <w:rFonts w:ascii="Arial" w:cs="Arial" w:hAnsi="Arial"/>
          <w:i/>
          <w:iCs/>
        </w:rPr>
        <w:t>JMIR mHealth and uHealth</w:t>
      </w:r>
      <w:r>
        <w:rPr>
          <w:rFonts w:ascii="Arial" w:cs="Arial" w:hAnsi="Arial"/>
        </w:rPr>
        <w:t xml:space="preserve">, 7(2), p. e10995. Available at: </w:t>
      </w:r>
      <w:r>
        <w:rPr/>
        <w:fldChar w:fldCharType="begin"/>
      </w:r>
      <w:r>
        <w:instrText xml:space="preserve"> HYPERLINK "https://doi.org/10.2196/10995" </w:instrText>
      </w:r>
      <w:r>
        <w:rPr/>
        <w:fldChar w:fldCharType="separate"/>
      </w:r>
      <w:r>
        <w:rPr>
          <w:rStyle w:val="style85"/>
          <w:rFonts w:ascii="Arial" w:cs="Arial" w:hAnsi="Arial"/>
        </w:rPr>
        <w:t>https://doi.org/10.2196/10995</w:t>
      </w:r>
      <w:r>
        <w:rPr/>
        <w:fldChar w:fldCharType="end"/>
      </w:r>
      <w:r>
        <w:rPr>
          <w:rFonts w:ascii="Arial" w:cs="Arial" w:hAnsi="Arial"/>
        </w:rPr>
        <w:t xml:space="preserve">. </w:t>
      </w:r>
    </w:p>
    <w:p w14:paraId="00A417A5">
      <w:pPr>
        <w:pStyle w:val="style0"/>
        <w:spacing w:lineRule="auto" w:line="360"/>
        <w:rPr>
          <w:rFonts w:ascii="Arial" w:cs="Arial" w:hAnsi="Arial"/>
          <w:lang w:val="en-US"/>
        </w:rPr>
      </w:pPr>
    </w:p>
    <w:p w14:paraId="6C306760">
      <w:pPr>
        <w:pStyle w:val="style0"/>
        <w:spacing w:lineRule="auto" w:line="360"/>
        <w:rPr>
          <w:rFonts w:ascii="Arial" w:cs="Arial" w:hAnsi="Arial"/>
        </w:rPr>
      </w:pPr>
    </w:p>
    <w:p w14:paraId="17FAAC10">
      <w:pPr>
        <w:pStyle w:val="style0"/>
        <w:spacing w:lineRule="auto" w:line="360"/>
        <w:rPr>
          <w:rFonts w:ascii="Arial" w:cs="Arial" w:hAnsi="Arial"/>
        </w:rPr>
      </w:pPr>
    </w:p>
    <w:p w14:paraId="06A7A1BB">
      <w:pPr>
        <w:pStyle w:val="style0"/>
        <w:spacing w:lineRule="auto" w:line="360"/>
        <w:rPr>
          <w:rFonts w:ascii="Arial" w:cs="Arial" w:hAnsi="Arial"/>
        </w:rPr>
      </w:pPr>
    </w:p>
    <w:p w14:paraId="67F43416">
      <w:pPr>
        <w:pStyle w:val="style0"/>
        <w:spacing w:lineRule="auto" w:line="360"/>
        <w:rPr>
          <w:rFonts w:ascii="Arial" w:cs="Arial" w:hAnsi="Arial"/>
        </w:rPr>
      </w:pPr>
    </w:p>
    <w:p w14:paraId="49EE71E6">
      <w:pPr>
        <w:pStyle w:val="style0"/>
        <w:spacing w:lineRule="auto" w:line="360"/>
        <w:rPr>
          <w:rStyle w:val="style4102"/>
          <w:rFonts w:ascii="Arial" w:cs="Arial" w:hAnsi="Arial"/>
        </w:rPr>
      </w:pPr>
    </w:p>
    <w:p w14:paraId="05278328">
      <w:pPr>
        <w:pStyle w:val="style0"/>
        <w:spacing w:lineRule="auto" w:line="360"/>
        <w:rPr>
          <w:rFonts w:ascii="Arial" w:cs="Arial" w:hAnsi="Arial"/>
        </w:rPr>
      </w:pPr>
    </w:p>
    <w:p w14:paraId="6AC6376D">
      <w:pPr>
        <w:pStyle w:val="style0"/>
        <w:spacing w:lineRule="auto" w:line="360"/>
        <w:rPr>
          <w:rFonts w:ascii="Arial" w:cs="Arial" w:hAnsi="Arial"/>
        </w:rPr>
      </w:pPr>
    </w:p>
    <w:p w14:paraId="1AD63FF3">
      <w:pPr>
        <w:pStyle w:val="style0"/>
        <w:spacing w:lineRule="auto" w:line="360"/>
        <w:rPr>
          <w:rFonts w:ascii="Arial" w:cs="Arial" w:hAnsi="Arial"/>
        </w:rPr>
      </w:pPr>
    </w:p>
    <w:p w14:paraId="28601354">
      <w:pPr>
        <w:pStyle w:val="style0"/>
        <w:spacing w:lineRule="auto" w:line="360"/>
        <w:rPr>
          <w:rFonts w:ascii="Arial" w:cs="Arial" w:hAnsi="Arial"/>
        </w:rPr>
      </w:pPr>
    </w:p>
    <w:p w14:paraId="08D241BE">
      <w:pPr>
        <w:pStyle w:val="style0"/>
        <w:spacing w:lineRule="auto" w:line="360"/>
        <w:rPr>
          <w:rFonts w:ascii="Arial" w:cs="Arial" w:hAnsi="Arial"/>
        </w:rPr>
      </w:pPr>
    </w:p>
    <w:p w14:paraId="0530C50B">
      <w:pPr>
        <w:pStyle w:val="style0"/>
        <w:spacing w:lineRule="auto" w:line="360"/>
        <w:rPr>
          <w:rFonts w:ascii="Arial" w:cs="Arial" w:hAnsi="Arial"/>
        </w:rPr>
      </w:pPr>
    </w:p>
    <w:p w14:paraId="3B03FCDE">
      <w:pPr>
        <w:pStyle w:val="style0"/>
        <w:spacing w:lineRule="auto" w:line="360"/>
        <w:rPr>
          <w:rFonts w:ascii="Arial" w:cs="Arial" w:hAnsi="Arial"/>
        </w:rPr>
      </w:pPr>
    </w:p>
    <w:p w14:paraId="2308A5E2">
      <w:pPr>
        <w:pStyle w:val="style0"/>
        <w:spacing w:lineRule="auto" w:line="360"/>
        <w:rPr>
          <w:rFonts w:ascii="Arial" w:cs="Arial" w:hAnsi="Arial"/>
        </w:rPr>
      </w:pPr>
    </w:p>
    <w:p w14:paraId="1DD08700">
      <w:pPr>
        <w:pStyle w:val="style0"/>
        <w:spacing w:lineRule="auto" w:line="360"/>
        <w:rPr>
          <w:rFonts w:ascii="Arial" w:cs="Arial" w:hAnsi="Arial"/>
        </w:rPr>
      </w:pPr>
    </w:p>
    <w:p w14:paraId="63D7D1CE">
      <w:pPr>
        <w:pStyle w:val="style0"/>
        <w:spacing w:lineRule="auto" w:line="360"/>
        <w:rPr>
          <w:rFonts w:ascii="Arial" w:cs="Arial" w:hAnsi="Arial"/>
        </w:rPr>
      </w:pPr>
    </w:p>
    <w:p w14:paraId="1F7E72AF">
      <w:pPr>
        <w:pStyle w:val="style0"/>
        <w:spacing w:lineRule="auto" w:line="360"/>
        <w:rPr>
          <w:rFonts w:ascii="Arial" w:cs="Arial" w:hAnsi="Arial"/>
        </w:rPr>
      </w:pPr>
    </w:p>
    <w:sectPr>
      <w:headerReference w:type="even" r:id="rId7"/>
      <w:headerReference w:type="default" r:id="rId8"/>
      <w:footerReference w:type="even" r:id="rId9"/>
      <w:footerReference w:type="default" r:id="rId10"/>
      <w:headerReference w:type="first" r:id="rId1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Math">
    <w:altName w:val="Cambria Math"/>
    <w:panose1 w:val="02040503050004030204"/>
    <w:charset w:val="00"/>
    <w:family w:val="roman"/>
    <w:pitch w:val="variable"/>
    <w:sig w:usb0="E00006FF" w:usb1="420024FF" w:usb2="02000000" w:usb3="00000000" w:csb0="0000019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24D1E0D8">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4022865A">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14:paraId="2AB72F1E">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646F828">
    <w:pPr>
      <w:pStyle w:val="style31"/>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710F8A9">
    <w:pPr>
      <w:pStyle w:val="style31"/>
      <w:rPr/>
    </w:pP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57A63607">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3FA36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F21EF6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jc w:val="both"/>
    </w:pPr>
    <w:rPr>
      <w:rFonts w:ascii="Times New Roman" w:cs="Calibri" w:hAnsi="Times New Roman"/>
      <w:sz w:val="24"/>
      <w:lang w:val="en-GB"/>
    </w:rPr>
  </w:style>
  <w:style w:type="paragraph" w:styleId="style1">
    <w:name w:val="heading 1"/>
    <w:basedOn w:val="style0"/>
    <w:next w:val="style0"/>
    <w:link w:val="style4097"/>
    <w:qFormat/>
    <w:uiPriority w:val="1"/>
    <w:pPr>
      <w:keepNext/>
      <w:keepLines/>
      <w:spacing w:before="240" w:after="0"/>
      <w:jc w:val="left"/>
      <w:outlineLvl w:val="0"/>
    </w:pPr>
    <w:rPr>
      <w:rFonts w:cs="宋体" w:eastAsia="Calibri"/>
      <w:b/>
      <w:sz w:val="32"/>
      <w:szCs w:val="32"/>
      <w:lang w:val="en-US"/>
    </w:rPr>
  </w:style>
  <w:style w:type="paragraph" w:styleId="style2">
    <w:name w:val="heading 2"/>
    <w:basedOn w:val="style0"/>
    <w:next w:val="style0"/>
    <w:link w:val="style4098"/>
    <w:qFormat/>
    <w:uiPriority w:val="9"/>
    <w:pPr>
      <w:keepNext/>
      <w:keepLines/>
      <w:spacing w:before="40" w:after="0"/>
      <w:outlineLvl w:val="1"/>
    </w:pPr>
    <w:rPr>
      <w:b/>
      <w:sz w:val="28"/>
      <w:szCs w:val="26"/>
    </w:rPr>
  </w:style>
  <w:style w:type="paragraph" w:styleId="style3">
    <w:name w:val="heading 3"/>
    <w:basedOn w:val="style0"/>
    <w:next w:val="style0"/>
    <w:link w:val="style4100"/>
    <w:qFormat/>
    <w:uiPriority w:val="9"/>
    <w:pPr>
      <w:keepNext/>
      <w:keepLines/>
      <w:spacing w:before="40" w:after="0" w:lineRule="auto" w:line="360"/>
      <w:outlineLvl w:val="2"/>
    </w:pPr>
    <w:rPr>
      <w:rFonts w:cs="宋体" w:eastAsia="宋体"/>
      <w:b/>
      <w:szCs w:val="24"/>
      <w:lang w:val="en-US"/>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3a34b5ae-8ae4-4cb6-abea-68c127954779"/>
    <w:basedOn w:val="style65"/>
    <w:next w:val="style4097"/>
    <w:link w:val="style1"/>
    <w:uiPriority w:val="1"/>
    <w:rPr>
      <w:rFonts w:ascii="Times New Roman" w:eastAsia="Calibri" w:hAnsi="Times New Roman"/>
      <w:b/>
      <w:sz w:val="32"/>
      <w:szCs w:val="32"/>
    </w:rPr>
  </w:style>
  <w:style w:type="character" w:customStyle="1" w:styleId="style4098">
    <w:name w:val="Heading 2 Char_8bd13d85-29c0-4b81-a0cc-3ec57fa906e6"/>
    <w:basedOn w:val="style65"/>
    <w:next w:val="style4098"/>
    <w:link w:val="style2"/>
    <w:uiPriority w:val="9"/>
    <w:rPr>
      <w:rFonts w:ascii="Times New Roman" w:cs="Calibri" w:eastAsia="Calibri" w:hAnsi="Times New Roman"/>
      <w:b/>
      <w:sz w:val="28"/>
      <w:szCs w:val="26"/>
      <w:lang w:val="en-GB"/>
    </w:rPr>
  </w:style>
  <w:style w:type="paragraph" w:styleId="style62">
    <w:name w:val="Title"/>
    <w:basedOn w:val="style0"/>
    <w:next w:val="style0"/>
    <w:link w:val="style4099"/>
    <w:qFormat/>
    <w:uiPriority w:val="10"/>
    <w:pPr>
      <w:spacing w:after="0" w:lineRule="auto" w:line="240"/>
      <w:contextualSpacing/>
    </w:pPr>
    <w:rPr>
      <w:rFonts w:cs="宋体" w:eastAsia="宋体"/>
      <w:spacing w:val="-10"/>
      <w:kern w:val="28"/>
      <w:sz w:val="28"/>
      <w:szCs w:val="56"/>
    </w:rPr>
  </w:style>
  <w:style w:type="character" w:customStyle="1" w:styleId="style4099">
    <w:name w:val="Title Char_c65f17aa-9060-43d7-824b-e5b48fd9972a"/>
    <w:basedOn w:val="style65"/>
    <w:next w:val="style4099"/>
    <w:link w:val="style62"/>
    <w:uiPriority w:val="10"/>
    <w:rPr>
      <w:rFonts w:ascii="Times New Roman" w:cs="宋体" w:eastAsia="宋体" w:hAnsi="Times New Roman"/>
      <w:spacing w:val="-10"/>
      <w:kern w:val="28"/>
      <w:sz w:val="28"/>
      <w:szCs w:val="56"/>
    </w:rPr>
  </w:style>
  <w:style w:type="character" w:customStyle="1" w:styleId="style4100">
    <w:name w:val="Heading 3 Char_fb3fd346-3f56-4b68-b18b-08fd053264d4"/>
    <w:basedOn w:val="style65"/>
    <w:next w:val="style4100"/>
    <w:link w:val="style3"/>
    <w:uiPriority w:val="9"/>
    <w:rPr>
      <w:rFonts w:ascii="Times New Roman" w:cs="宋体" w:eastAsia="宋体" w:hAnsi="Times New Roman"/>
      <w:b/>
      <w:sz w:val="24"/>
      <w:szCs w:val="24"/>
    </w:rPr>
  </w:style>
  <w:style w:type="character" w:styleId="style85">
    <w:name w:val="Hyperlink"/>
    <w:basedOn w:val="style65"/>
    <w:next w:val="style85"/>
    <w:uiPriority w:val="99"/>
    <w:rPr>
      <w:color w:val="0563c1"/>
      <w:u w:val="single"/>
    </w:rPr>
  </w:style>
  <w:style w:type="character" w:customStyle="1" w:styleId="style4101">
    <w:name w:val="Unresolved Mention"/>
    <w:basedOn w:val="style65"/>
    <w:next w:val="style4101"/>
    <w:uiPriority w:val="99"/>
    <w:rPr>
      <w:color w:val="605e5c"/>
      <w:shd w:val="clear" w:color="auto" w:fill="e1dfdd"/>
    </w:rPr>
  </w:style>
  <w:style w:type="paragraph" w:styleId="style266">
    <w:name w:val="TOC Heading"/>
    <w:basedOn w:val="style1"/>
    <w:next w:val="style0"/>
    <w:qFormat/>
    <w:uiPriority w:val="39"/>
    <w:pPr>
      <w:outlineLvl w:val="9"/>
    </w:pPr>
    <w:rPr>
      <w:rFonts w:ascii="Calibri Light" w:cs="宋体" w:eastAsia="宋体" w:hAnsi="Calibri Light"/>
      <w:b w:val="false"/>
      <w:color w:val="2f5496"/>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paragraph" w:styleId="style179">
    <w:name w:val="List Paragraph"/>
    <w:basedOn w:val="style0"/>
    <w:next w:val="style179"/>
    <w:qFormat/>
    <w:uiPriority w:val="34"/>
    <w:pPr>
      <w:ind w:left="720"/>
      <w:contextualSpacing/>
    </w:pPr>
    <w:rPr/>
  </w:style>
  <w:style w:type="character" w:customStyle="1" w:styleId="style4102">
    <w:name w:val="cursor-pointer"/>
    <w:basedOn w:val="style65"/>
    <w:next w:val="style4102"/>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31">
    <w:name w:val="header"/>
    <w:basedOn w:val="style0"/>
    <w:next w:val="style31"/>
    <w:link w:val="style4103"/>
    <w:uiPriority w:val="99"/>
    <w:pPr>
      <w:tabs>
        <w:tab w:val="center" w:leader="none" w:pos="4680"/>
        <w:tab w:val="right" w:leader="none" w:pos="9360"/>
      </w:tabs>
      <w:spacing w:after="0" w:lineRule="auto" w:line="240"/>
    </w:pPr>
    <w:rPr/>
  </w:style>
  <w:style w:type="character" w:customStyle="1" w:styleId="style4103">
    <w:name w:val="Header Char_0cbac6db-42f1-47b0-bcc3-05c4ae715599"/>
    <w:basedOn w:val="style65"/>
    <w:next w:val="style4103"/>
    <w:link w:val="style31"/>
    <w:uiPriority w:val="99"/>
    <w:rPr>
      <w:rFonts w:ascii="Times New Roman" w:cs="Calibri" w:hAnsi="Times New Roman"/>
      <w:sz w:val="24"/>
      <w:lang w:val="en-GB"/>
    </w:rPr>
  </w:style>
  <w:style w:type="paragraph" w:styleId="style32">
    <w:name w:val="footer"/>
    <w:basedOn w:val="style0"/>
    <w:next w:val="style32"/>
    <w:link w:val="style4104"/>
    <w:uiPriority w:val="99"/>
    <w:pPr>
      <w:tabs>
        <w:tab w:val="center" w:leader="none" w:pos="4680"/>
        <w:tab w:val="right" w:leader="none" w:pos="9360"/>
      </w:tabs>
      <w:spacing w:after="0" w:lineRule="auto" w:line="240"/>
    </w:pPr>
    <w:rPr/>
  </w:style>
  <w:style w:type="character" w:customStyle="1" w:styleId="style4104">
    <w:name w:val="Footer Char_ac6d8181-ecae-4832-8c57-96190b102251"/>
    <w:basedOn w:val="style65"/>
    <w:next w:val="style4104"/>
    <w:link w:val="style32"/>
    <w:uiPriority w:val="99"/>
    <w:rPr>
      <w:rFonts w:ascii="Times New Roman" w:cs="Calibri" w:hAnsi="Times New Roman"/>
      <w:sz w:val="24"/>
      <w:lang w:val="en-GB"/>
    </w:rPr>
  </w:style>
  <w:style w:type="paragraph" w:styleId="style22">
    <w:name w:val="toc 4"/>
    <w:basedOn w:val="style0"/>
    <w:next w:val="style0"/>
    <w:uiPriority w:val="39"/>
    <w:pPr>
      <w:spacing w:after="100"/>
      <w:ind w:left="660"/>
      <w:jc w:val="left"/>
    </w:pPr>
    <w:rPr>
      <w:rFonts w:ascii="Calibri" w:cs="宋体" w:eastAsia="宋体" w:hAnsi="Calibri"/>
      <w:sz w:val="22"/>
      <w:lang w:val="en-US"/>
    </w:rPr>
  </w:style>
  <w:style w:type="paragraph" w:styleId="style23">
    <w:name w:val="toc 5"/>
    <w:basedOn w:val="style0"/>
    <w:next w:val="style0"/>
    <w:uiPriority w:val="39"/>
    <w:pPr>
      <w:spacing w:after="100"/>
      <w:ind w:left="880"/>
      <w:jc w:val="left"/>
    </w:pPr>
    <w:rPr>
      <w:rFonts w:ascii="Calibri" w:cs="宋体" w:eastAsia="宋体" w:hAnsi="Calibri"/>
      <w:sz w:val="22"/>
      <w:lang w:val="en-US"/>
    </w:rPr>
  </w:style>
  <w:style w:type="paragraph" w:styleId="style24">
    <w:name w:val="toc 6"/>
    <w:basedOn w:val="style0"/>
    <w:next w:val="style0"/>
    <w:uiPriority w:val="39"/>
    <w:pPr>
      <w:spacing w:after="100"/>
      <w:ind w:left="1100"/>
      <w:jc w:val="left"/>
    </w:pPr>
    <w:rPr>
      <w:rFonts w:ascii="Calibri" w:cs="宋体" w:eastAsia="宋体" w:hAnsi="Calibri"/>
      <w:sz w:val="22"/>
      <w:lang w:val="en-US"/>
    </w:rPr>
  </w:style>
  <w:style w:type="paragraph" w:styleId="style25">
    <w:name w:val="toc 7"/>
    <w:basedOn w:val="style0"/>
    <w:next w:val="style0"/>
    <w:uiPriority w:val="39"/>
    <w:pPr>
      <w:spacing w:after="100"/>
      <w:ind w:left="1320"/>
      <w:jc w:val="left"/>
    </w:pPr>
    <w:rPr>
      <w:rFonts w:ascii="Calibri" w:cs="宋体" w:eastAsia="宋体" w:hAnsi="Calibri"/>
      <w:sz w:val="22"/>
      <w:lang w:val="en-US"/>
    </w:rPr>
  </w:style>
  <w:style w:type="paragraph" w:styleId="style26">
    <w:name w:val="toc 8"/>
    <w:basedOn w:val="style0"/>
    <w:next w:val="style0"/>
    <w:uiPriority w:val="39"/>
    <w:pPr>
      <w:spacing w:after="100"/>
      <w:ind w:left="1540"/>
      <w:jc w:val="left"/>
    </w:pPr>
    <w:rPr>
      <w:rFonts w:ascii="Calibri" w:cs="宋体" w:eastAsia="宋体" w:hAnsi="Calibri"/>
      <w:sz w:val="22"/>
      <w:lang w:val="en-US"/>
    </w:rPr>
  </w:style>
  <w:style w:type="paragraph" w:styleId="style27">
    <w:name w:val="toc 9"/>
    <w:basedOn w:val="style0"/>
    <w:next w:val="style0"/>
    <w:uiPriority w:val="39"/>
    <w:pPr>
      <w:spacing w:after="100"/>
      <w:ind w:left="1760"/>
      <w:jc w:val="left"/>
    </w:pPr>
    <w:rPr>
      <w:rFonts w:ascii="Calibri" w:cs="宋体" w:eastAsia="宋体" w:hAnsi="Calibri"/>
      <w:sz w:val="22"/>
      <w:lang w:val="en-US"/>
    </w:rPr>
  </w:style>
  <w:style w:type="character" w:styleId="style87">
    <w:name w:val="Strong"/>
    <w:basedOn w:val="style65"/>
    <w:next w:val="style87"/>
    <w:qFormat/>
    <w:uiPriority w:val="22"/>
    <w:rPr>
      <w:b/>
      <w:bCs/>
    </w:rPr>
  </w:style>
  <w:style w:type="paragraph" w:styleId="style34">
    <w:name w:val="caption"/>
    <w:basedOn w:val="style0"/>
    <w:next w:val="style0"/>
    <w:qFormat/>
    <w:uiPriority w:val="35"/>
    <w:pPr>
      <w:spacing w:after="200" w:lineRule="auto" w:line="240"/>
    </w:pPr>
    <w:rPr>
      <w:i/>
      <w:iCs/>
      <w:color w:val="44546a"/>
      <w:sz w:val="18"/>
      <w:szCs w:val="18"/>
    </w:rPr>
  </w:style>
  <w:style w:type="paragraph" w:styleId="style35">
    <w:name w:val="table of figures"/>
    <w:basedOn w:val="style0"/>
    <w:next w:val="style0"/>
    <w:uiPriority w:val="99"/>
    <w:pPr>
      <w:spacing w:after="0"/>
    </w:pPr>
    <w:rPr/>
  </w:style>
  <w:style w:type="character" w:styleId="style86">
    <w:name w:val="FollowedHyperlink"/>
    <w:basedOn w:val="style65"/>
    <w:next w:val="style86"/>
    <w:uiPriority w:val="99"/>
    <w:rPr>
      <w:color w:val="954f72"/>
      <w:u w:val="single"/>
    </w:rPr>
  </w:style>
  <w:style w:type="paragraph" w:customStyle="1" w:styleId="style4105">
    <w:name w:val="Table Paragraph"/>
    <w:basedOn w:val="style0"/>
    <w:next w:val="style4105"/>
    <w:qFormat/>
    <w:uiPriority w:val="1"/>
    <w:pPr>
      <w:widowControl w:val="false"/>
      <w:autoSpaceDE w:val="false"/>
      <w:autoSpaceDN w:val="false"/>
      <w:spacing w:after="0" w:lineRule="auto" w:line="240"/>
      <w:jc w:val="left"/>
    </w:pPr>
    <w:rPr>
      <w:rFonts w:ascii="Arial MT" w:cs="Arial MT" w:eastAsia="Arial MT" w:hAnsi="Arial MT"/>
      <w:sz w:val="22"/>
      <w:lang w:val="en-US"/>
    </w:rPr>
  </w:style>
</w:styles>
</file>

<file path=word/_rels/document.xml.rels><?xml version="1.0" encoding="UTF-8"?>
<Relationships xmlns="http://schemas.openxmlformats.org/package/2006/relationships"><Relationship Id="rId11" Type="http://schemas.openxmlformats.org/officeDocument/2006/relationships/header" Target="header5.xml"/><Relationship Id="rId10" Type="http://schemas.openxmlformats.org/officeDocument/2006/relationships/footer" Target="footer4.xml"/><Relationship Id="rId13" Type="http://schemas.openxmlformats.org/officeDocument/2006/relationships/fontTable" Target="fontTable.xml"/><Relationship Id="rId12" Type="http://schemas.openxmlformats.org/officeDocument/2006/relationships/styles" Target="style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footer" Target="footer3.xml"/><Relationship Id="rId15" Type="http://schemas.openxmlformats.org/officeDocument/2006/relationships/theme" Target="theme/theme1.xml"/><Relationship Id="rId14" Type="http://schemas.openxmlformats.org/officeDocument/2006/relationships/settings" Target="settings.xml"/><Relationship Id="rId16" Type="http://schemas.openxmlformats.org/officeDocument/2006/relationships/customXml" Target="../customXml/item1.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1316E7-9025-4E4D-909E-C5971A1DA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1102</TotalTime>
  <Words>21864</Words>
  <Pages>90</Pages>
  <Characters>141133</Characters>
  <Application>WPS Office</Application>
  <DocSecurity>0</DocSecurity>
  <Paragraphs>803</Paragraphs>
  <ScaleCrop>false</ScaleCrop>
  <LinksUpToDate>false</LinksUpToDate>
  <CharactersWithSpaces>162589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2026-09-01T12:00:00Z</dcterms:created>
  <dc:creator>Md Shah Alam</dc:creator>
  <lastModifiedBy>RMO-NX1</lastModifiedBy>
  <dcterms:modified xsi:type="dcterms:W3CDTF">2026-09-20T22:22:36Z</dcterms:modified>
  <revision>434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4c981693-2864-43d7-8fe8-3aeacf91e97b</vt:lpwstr>
  </property>
  <property fmtid="{D5CDD505-2E9C-101B-9397-08002B2CF9AE}" pid="3" name="ICV">
    <vt:lpwstr>fced7928c1ff4fd7aba2eceef15742d3</vt:lpwstr>
  </property>
</Properties>
</file>