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b/>
          <w:sz w:val="44"/>
          <w:szCs w:val="44"/>
        </w:rPr>
      </w:pPr>
      <w:r>
        <w:rPr>
          <w:b/>
          <w:sz w:val="44"/>
          <w:szCs w:val="44"/>
        </w:rPr>
        <w:t>Assignment Title: Assessment 2</w:t>
      </w:r>
    </w:p>
    <w:p>
      <w:pPr>
        <w:pStyle w:val="style0"/>
        <w:rPr>
          <w:b/>
          <w:sz w:val="44"/>
          <w:szCs w:val="44"/>
          <w:lang w:val="en-US"/>
        </w:rPr>
      </w:pPr>
      <w:r>
        <w:rPr>
          <w:b/>
          <w:sz w:val="44"/>
          <w:szCs w:val="44"/>
        </w:rPr>
        <w:t>Community Engagement</w:t>
      </w:r>
    </w:p>
    <w:p>
      <w:pPr>
        <w:pStyle w:val="style0"/>
        <w:rPr>
          <w:b/>
          <w:sz w:val="44"/>
          <w:szCs w:val="44"/>
          <w:lang w:val="en-US"/>
        </w:rPr>
      </w:pPr>
      <w:r>
        <w:rPr>
          <w:b/>
          <w:sz w:val="44"/>
          <w:szCs w:val="44"/>
          <w:lang w:val="en-US"/>
        </w:rPr>
        <w:t>Student ID: 2124369</w:t>
      </w:r>
    </w:p>
    <w:p>
      <w:pPr>
        <w:pStyle w:val="style0"/>
        <w:rPr>
          <w:b/>
          <w:sz w:val="44"/>
          <w:szCs w:val="44"/>
          <w:lang w:val="en-US"/>
        </w:rPr>
      </w:pPr>
      <w:r>
        <w:rPr>
          <w:b/>
          <w:sz w:val="44"/>
          <w:szCs w:val="44"/>
          <w:lang w:val="en-US"/>
        </w:rPr>
        <w:t xml:space="preserve">Student name: Metodi Katsarev </w:t>
      </w:r>
    </w:p>
    <w:p>
      <w:pPr>
        <w:pStyle w:val="style0"/>
        <w:rPr>
          <w:b/>
          <w:sz w:val="44"/>
          <w:szCs w:val="44"/>
          <w:lang w:val="en-US"/>
        </w:rPr>
      </w:pPr>
      <w:r>
        <w:rPr>
          <w:b/>
          <w:sz w:val="44"/>
          <w:szCs w:val="44"/>
          <w:lang w:val="en-US"/>
        </w:rPr>
        <w:t>Module: Community Engagement</w:t>
      </w:r>
    </w:p>
    <w:p>
      <w:pPr>
        <w:pStyle w:val="style0"/>
        <w:rPr>
          <w:b/>
          <w:sz w:val="44"/>
          <w:szCs w:val="44"/>
          <w:lang w:val="en-US"/>
        </w:rPr>
      </w:pPr>
      <w:r>
        <w:rPr>
          <w:b/>
          <w:sz w:val="44"/>
          <w:szCs w:val="44"/>
          <w:lang w:val="en-US"/>
        </w:rPr>
        <w:t>Module code: LCBB4002</w:t>
      </w:r>
    </w:p>
    <w:p>
      <w:pPr>
        <w:pStyle w:val="style0"/>
        <w:rPr>
          <w:b/>
          <w:sz w:val="44"/>
          <w:szCs w:val="44"/>
          <w:lang w:val="en-US"/>
        </w:rPr>
      </w:pPr>
    </w:p>
    <w:p>
      <w:pPr>
        <w:pStyle w:val="style0"/>
        <w:rPr>
          <w:b/>
          <w:sz w:val="44"/>
          <w:szCs w:val="44"/>
          <w:lang w:val="en-US"/>
        </w:rPr>
      </w:pPr>
      <w:r>
        <w:rPr>
          <w:b/>
          <w:sz w:val="44"/>
          <w:szCs w:val="44"/>
          <w:lang w:val="en-US"/>
        </w:rPr>
        <w:t>Task 2: Reflective Evaluation</w:t>
      </w: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sz w:val="44"/>
          <w:szCs w:val="44"/>
          <w:lang w:val="en-US"/>
        </w:rPr>
      </w:pP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266"/>
        <w:rPr/>
      </w:pPr>
      <w:r>
        <w:t>Contents</w:t>
      </w:r>
    </w:p>
    <w:p>
      <w:pPr>
        <w:pStyle w:val="style19"/>
        <w:tabs>
          <w:tab w:val="right" w:leader="dot" w:pos="9016"/>
        </w:tabs>
        <w:rPr>
          <w:noProof/>
        </w:rPr>
      </w:pPr>
      <w:r>
        <w:rPr/>
        <w:fldChar w:fldCharType="begin"/>
      </w:r>
      <w:r>
        <w:instrText xml:space="preserve"> TOC \o "1-3" \h \z \u </w:instrText>
      </w:r>
      <w:r>
        <w:rPr/>
        <w:fldChar w:fldCharType="separate"/>
      </w:r>
      <w:r>
        <w:rPr/>
        <w:fldChar w:fldCharType="begin"/>
      </w:r>
      <w:r>
        <w:instrText xml:space="preserve"> HYPERLINK \l "_Toc112506055" </w:instrText>
      </w:r>
      <w:r>
        <w:rPr/>
        <w:fldChar w:fldCharType="separate"/>
      </w:r>
      <w:r>
        <w:rPr>
          <w:rStyle w:val="style85"/>
          <w:noProof/>
          <w:lang w:val="en-US"/>
        </w:rPr>
        <w:t>Introduction</w:t>
      </w:r>
      <w:r>
        <w:rPr>
          <w:noProof/>
          <w:webHidden/>
        </w:rPr>
        <w:tab/>
      </w:r>
      <w:r>
        <w:rPr>
          <w:noProof/>
          <w:webHidden/>
        </w:rPr>
        <w:fldChar w:fldCharType="begin"/>
      </w:r>
      <w:r>
        <w:rPr>
          <w:noProof/>
          <w:webHidden/>
        </w:rPr>
        <w:instrText xml:space="preserve"> PAGEREF _Toc112506055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"_Toc112506056" </w:instrText>
      </w:r>
      <w:r>
        <w:rPr/>
        <w:fldChar w:fldCharType="separate"/>
      </w:r>
      <w:r>
        <w:rPr>
          <w:rStyle w:val="style85"/>
          <w:noProof/>
          <w:lang w:val="en-US"/>
        </w:rPr>
        <w:t>Main body</w:t>
      </w:r>
      <w:r>
        <w:rPr>
          <w:noProof/>
          <w:webHidden/>
        </w:rPr>
        <w:tab/>
      </w:r>
      <w:r>
        <w:rPr>
          <w:noProof/>
          <w:webHidden/>
        </w:rPr>
        <w:fldChar w:fldCharType="begin"/>
      </w:r>
      <w:r>
        <w:rPr>
          <w:noProof/>
          <w:webHidden/>
        </w:rPr>
        <w:instrText xml:space="preserve"> PAGEREF _Toc112506056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"_Toc112506057" </w:instrText>
      </w:r>
      <w:r>
        <w:rPr/>
        <w:fldChar w:fldCharType="separate"/>
      </w:r>
      <w:r>
        <w:rPr>
          <w:rStyle w:val="style85"/>
          <w:noProof/>
          <w:lang w:val="en-US"/>
        </w:rPr>
        <w:t>Conclusion</w:t>
      </w:r>
      <w:r>
        <w:rPr>
          <w:noProof/>
          <w:webHidden/>
        </w:rPr>
        <w:tab/>
      </w:r>
      <w:r>
        <w:rPr>
          <w:noProof/>
          <w:webHidden/>
        </w:rPr>
        <w:fldChar w:fldCharType="begin"/>
      </w:r>
      <w:r>
        <w:rPr>
          <w:noProof/>
          <w:webHidden/>
        </w:rPr>
        <w:instrText xml:space="preserve"> PAGEREF _Toc112506057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"_Toc112506058" </w:instrText>
      </w:r>
      <w:r>
        <w:rPr/>
        <w:fldChar w:fldCharType="separate"/>
      </w:r>
      <w:r>
        <w:rPr>
          <w:rStyle w:val="style85"/>
          <w:noProof/>
          <w:lang w:val="en-US"/>
        </w:rPr>
        <w:t>Referencing list</w:t>
      </w:r>
      <w:r>
        <w:rPr>
          <w:noProof/>
          <w:webHidden/>
        </w:rPr>
        <w:tab/>
      </w:r>
      <w:r>
        <w:rPr>
          <w:noProof/>
          <w:webHidden/>
        </w:rPr>
        <w:fldChar w:fldCharType="begin"/>
      </w:r>
      <w:r>
        <w:rPr>
          <w:noProof/>
          <w:webHidden/>
        </w:rPr>
        <w:instrText xml:space="preserve"> PAGEREF _Toc112506058 \h </w:instrText>
      </w:r>
      <w:r>
        <w:rPr>
          <w:noProof/>
          <w:webHidden/>
        </w:rPr>
        <w:fldChar w:fldCharType="separate"/>
      </w:r>
      <w:r>
        <w:rPr>
          <w:noProof/>
          <w:webHidden/>
        </w:rPr>
        <w:t>8</w:t>
      </w:r>
      <w:r>
        <w:rPr>
          <w:noProof/>
          <w:webHidden/>
        </w:rPr>
        <w:fldChar w:fldCharType="end"/>
      </w:r>
      <w:r>
        <w:rPr/>
        <w:fldChar w:fldCharType="end"/>
      </w:r>
    </w:p>
    <w:p>
      <w:pPr>
        <w:pStyle w:val="style0"/>
        <w:rPr/>
      </w:pPr>
      <w:r>
        <w:rPr>
          <w:b/>
          <w:bCs/>
          <w:noProof/>
        </w:rPr>
        <w:fldChar w:fldCharType="end"/>
      </w: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0"/>
        <w:rPr>
          <w:b/>
          <w:color w:val="ff0000"/>
          <w:sz w:val="24"/>
          <w:szCs w:val="24"/>
          <w:lang w:val="en-US"/>
        </w:rPr>
      </w:pPr>
    </w:p>
    <w:p>
      <w:pPr>
        <w:pStyle w:val="style1"/>
        <w:rPr>
          <w:lang w:val="en-US"/>
        </w:rPr>
      </w:pPr>
    </w:p>
    <w:bookmarkStart w:id="0" w:name="_Toc112506055"/>
    <w:p>
      <w:pPr>
        <w:pStyle w:val="style1"/>
        <w:rPr>
          <w:lang w:val="en-US"/>
        </w:rPr>
      </w:pPr>
      <w:r>
        <w:rPr>
          <w:lang w:val="en-US"/>
        </w:rPr>
        <w:t>Introduction</w:t>
      </w:r>
      <w:bookmarkEnd w:id="0"/>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When observing community engagement schemes </w:t>
      </w:r>
      <w:r>
        <w:rPr>
          <w:rFonts w:ascii="Arial" w:cs="Arial" w:hAnsi="Arial"/>
          <w:sz w:val="24"/>
          <w:szCs w:val="24"/>
          <w:lang w:val="en-GB"/>
        </w:rPr>
        <w:t>there need to be certain aspects taken into consideration, such as ways people can be aided, outside help for the issue such as stakeholders, along with having the adequate ability to create effective strategies, in order to shed light on certain issues within the community and attract community participation, all the while promoting diversity, collaboration and socio-cultural integration.</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The assessment to be put forth will be thoroughly analysing community engagement methods and ways in which engaging with the community can aid the expansion of healthcare organisation, in order to target health issues amongst communities. Additionally, the matter of engaging with stakeholders and the importance of stakeholder collective investments, coupled with how stakeholders can actively change </w:t>
      </w:r>
      <w:r>
        <w:rPr>
          <w:rFonts w:ascii="Arial" w:cs="Arial" w:hAnsi="Arial"/>
          <w:sz w:val="24"/>
          <w:szCs w:val="24"/>
          <w:lang w:val="en-GB"/>
        </w:rPr>
        <w:t xml:space="preserve">the course of community engagement programs. This paper will also be looking at how a reflective cycle is useful for </w:t>
      </w:r>
      <w:r>
        <w:rPr>
          <w:rFonts w:ascii="Arial" w:cs="Arial" w:hAnsi="Arial"/>
          <w:sz w:val="24"/>
          <w:szCs w:val="24"/>
          <w:lang w:val="en-GB"/>
        </w:rPr>
        <w:t xml:space="preserve">the retention of good community engagement and the improvement of status and income. </w:t>
      </w:r>
    </w:p>
    <w:bookmarkStart w:id="1" w:name="_Toc112506056"/>
    <w:p>
      <w:pPr>
        <w:pStyle w:val="style1"/>
        <w:rPr>
          <w:lang w:val="en-US"/>
        </w:rPr>
      </w:pPr>
      <w:r>
        <w:rPr>
          <w:lang w:val="en-US"/>
        </w:rPr>
        <w:t>Main body</w:t>
      </w:r>
      <w:bookmarkEnd w:id="1"/>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Community engagement represents the effort to enhance the standard of living in a particular community using political and non-political methods. It is important to note, that there are different ways, in which community engagement is represented, such as supporting the creation of groups in the community itself, attending council meeting, various </w:t>
      </w:r>
      <w:r>
        <w:rPr>
          <w:rFonts w:ascii="Arial" w:cs="Arial" w:hAnsi="Arial"/>
          <w:sz w:val="24"/>
          <w:szCs w:val="24"/>
          <w:lang w:val="en-GB"/>
        </w:rPr>
        <w:t>volunteering</w:t>
      </w:r>
      <w:r>
        <w:rPr>
          <w:rFonts w:ascii="Arial" w:cs="Arial" w:hAnsi="Arial"/>
          <w:sz w:val="24"/>
          <w:szCs w:val="24"/>
          <w:lang w:val="en-GB"/>
        </w:rPr>
        <w:t xml:space="preserve"> operations, such as at homeless shelters and animal shelters, as well as actively voting in local elections, in order to start a proactive and positive change</w:t>
      </w:r>
      <w:r>
        <w:rPr>
          <w:rFonts w:ascii="Arial" w:cs="Arial" w:hAnsi="Arial"/>
          <w:sz w:val="24"/>
          <w:szCs w:val="24"/>
          <w:lang w:val="en-GB"/>
        </w:rPr>
        <w:t xml:space="preserve"> (</w:t>
      </w:r>
      <w:r>
        <w:rPr>
          <w:rFonts w:ascii="Arial" w:cs="Arial" w:hAnsi="Arial"/>
          <w:sz w:val="24"/>
          <w:szCs w:val="24"/>
          <w:lang w:val="en-GB"/>
        </w:rPr>
        <w:t>GovOS</w:t>
      </w:r>
      <w:r>
        <w:rPr>
          <w:rFonts w:ascii="Arial" w:cs="Arial" w:hAnsi="Arial"/>
          <w:sz w:val="24"/>
          <w:szCs w:val="24"/>
          <w:lang w:val="en-GB"/>
        </w:rPr>
        <w:t xml:space="preserve"> Team, 2022). Being able to do good by the community includes active communication, beliefs and knowledge, combined with skills, utilised for the greater good. There are several models for community participation in addition to its numerous varieties, as these models often include initiatives that aid the building of stronger relationships within a community, which are used to directly inspire and initiate a change and aid in need. Why community engagement is so significant is due to the fact, that this helps citizens to assist their local government and </w:t>
      </w:r>
      <w:r>
        <w:rPr>
          <w:rFonts w:ascii="Arial" w:cs="Arial" w:hAnsi="Arial"/>
          <w:sz w:val="24"/>
          <w:szCs w:val="24"/>
          <w:lang w:val="en-GB"/>
        </w:rPr>
        <w:t>push it to better fulfil their needs (</w:t>
      </w:r>
      <w:r>
        <w:rPr>
          <w:rFonts w:ascii="Arial" w:cs="Arial" w:hAnsi="Arial"/>
          <w:sz w:val="24"/>
          <w:szCs w:val="24"/>
          <w:lang w:val="en-GB"/>
        </w:rPr>
        <w:t>GovOs</w:t>
      </w:r>
      <w:r>
        <w:rPr>
          <w:rFonts w:ascii="Arial" w:cs="Arial" w:hAnsi="Arial"/>
          <w:sz w:val="24"/>
          <w:szCs w:val="24"/>
          <w:lang w:val="en-GB"/>
        </w:rPr>
        <w:t xml:space="preserve"> Team, 2022). In addition, this very community participation is what drives social transformation, resulting in better treatment for the underprivileged members of said community. </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This being said, there are a couple of ways in which community participation can be better realised. As mentioned in the community engagement project analysed for this paper, one of the ways in which this can be realised is through the </w:t>
      </w:r>
      <w:r>
        <w:rPr>
          <w:rFonts w:ascii="Arial" w:cs="Arial" w:hAnsi="Arial"/>
          <w:sz w:val="24"/>
          <w:szCs w:val="24"/>
          <w:lang w:val="en-GB"/>
        </w:rPr>
        <w:t xml:space="preserve">Gibbs </w:t>
      </w:r>
      <w:r>
        <w:rPr>
          <w:rFonts w:ascii="Arial" w:cs="Arial" w:hAnsi="Arial"/>
          <w:sz w:val="24"/>
          <w:szCs w:val="24"/>
          <w:lang w:val="en-GB"/>
        </w:rPr>
        <w:t>Reflection Cycle. This type of cycle is particularly useful to pinpoint the issues at hand and truly ask important questions about ways, in which these issues can be changed within the community</w:t>
      </w:r>
      <w:r>
        <w:rPr>
          <w:rFonts w:ascii="Arial" w:cs="Arial" w:hAnsi="Arial"/>
          <w:sz w:val="24"/>
          <w:szCs w:val="24"/>
          <w:lang w:val="en-GB"/>
        </w:rPr>
        <w:t xml:space="preserve"> (MindTools, 2020)</w:t>
      </w:r>
      <w:r>
        <w:rPr>
          <w:rFonts w:ascii="Arial" w:cs="Arial" w:hAnsi="Arial"/>
          <w:sz w:val="24"/>
          <w:szCs w:val="24"/>
          <w:lang w:val="en-GB"/>
        </w:rPr>
        <w:t xml:space="preserve">. </w:t>
      </w:r>
      <w:r>
        <w:rPr>
          <w:rFonts w:ascii="Arial" w:cs="Arial" w:hAnsi="Arial"/>
          <w:sz w:val="24"/>
          <w:szCs w:val="24"/>
          <w:lang w:val="en-GB"/>
        </w:rPr>
        <w:t xml:space="preserve">The Reflection Cycle serves as a useful method for processing an experience, and in this situation, multiple experiences as one </w:t>
      </w:r>
      <w:r>
        <w:rPr>
          <w:rFonts w:ascii="Arial" w:cs="Arial" w:hAnsi="Arial"/>
          <w:sz w:val="24"/>
          <w:szCs w:val="24"/>
          <w:lang w:val="en-GB"/>
        </w:rPr>
        <w:t xml:space="preserve">collective community. </w:t>
      </w:r>
      <w:r>
        <w:rPr>
          <w:rFonts w:ascii="Arial" w:cs="Arial" w:hAnsi="Arial"/>
          <w:sz w:val="24"/>
          <w:szCs w:val="24"/>
          <w:lang w:val="en-GB"/>
        </w:rPr>
        <w:t>It's extremely beneficial for assisting people in learning from routinely occurring circumstances, especially when things d</w:t>
      </w:r>
      <w:r>
        <w:rPr>
          <w:rFonts w:ascii="Arial" w:cs="Arial" w:hAnsi="Arial"/>
          <w:sz w:val="24"/>
          <w:szCs w:val="24"/>
          <w:lang w:val="en-GB"/>
        </w:rPr>
        <w:t xml:space="preserve">o not go as planned. This certain model encourages the asking of questions, such as the provision of description about certain event or issues from within. Questions like how did the issue occur, what happened and how other people react is a solid encouragement from the recognition of deeper issues within the community. The sharing of feeling is additionally encouraged within the Reflective Cycle, as emotions are crucial for understanding why certain occurrences are happening and how they are affecting the mass community </w:t>
      </w:r>
      <w:r>
        <w:rPr>
          <w:rFonts w:ascii="Arial" w:cs="Arial" w:hAnsi="Arial"/>
          <w:sz w:val="24"/>
          <w:szCs w:val="24"/>
          <w:lang w:val="en-GB"/>
        </w:rPr>
        <w:t>(MindTools, 2020)</w:t>
      </w:r>
      <w:r>
        <w:rPr>
          <w:rFonts w:ascii="Arial" w:cs="Arial" w:hAnsi="Arial"/>
          <w:sz w:val="24"/>
          <w:szCs w:val="24"/>
          <w:lang w:val="en-GB"/>
        </w:rPr>
        <w:t xml:space="preserve">. Realising how other would feel in certain situations and pinpointing one’s feelings may rile up a quicker and better solution to ongoing issues and bring individuals together towards a common cause (MindTools, 2020). After feelings and emotions have been recognised, there comes a step of thorough evaluation of how that has affected individuals and how the situation can be bettered. </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It is of great importance for the community to have a widespread manner, in which such important topics are spread to the stakeholders, who hold additional power to alter the situations for the underprivileged, as well as stimulate socio-cultural integration and multi-culturalism. </w:t>
      </w:r>
      <w:r>
        <w:rPr>
          <w:rFonts w:ascii="Arial" w:cs="Arial" w:hAnsi="Arial"/>
          <w:sz w:val="24"/>
          <w:szCs w:val="24"/>
          <w:lang w:val="en-GB"/>
        </w:rPr>
        <w:t>The underprivileged are not merely left out of mainstream society; rather, they are admitted on uneven conditions to homes, communities, and markets, frequently as a result of discriminatory, abusive, violent, and exploitative relationships</w:t>
      </w:r>
      <w:r>
        <w:rPr>
          <w:rFonts w:ascii="Arial" w:cs="Arial" w:hAnsi="Arial"/>
          <w:sz w:val="24"/>
          <w:szCs w:val="24"/>
          <w:lang w:val="en-GB"/>
        </w:rPr>
        <w:t xml:space="preserve"> (Ferguson, 2008). </w:t>
      </w:r>
      <w:r>
        <w:rPr>
          <w:rFonts w:ascii="Arial" w:cs="Arial" w:hAnsi="Arial"/>
          <w:sz w:val="24"/>
          <w:szCs w:val="24"/>
          <w:lang w:val="en-GB"/>
        </w:rPr>
        <w:t>Instead of merely assisting the underprivileged to integrate into society, social integration necessitates the restructuring of societal beliefs and structures that uphold unequal connections</w:t>
      </w:r>
      <w:r>
        <w:rPr>
          <w:rFonts w:ascii="Arial" w:cs="Arial" w:hAnsi="Arial"/>
          <w:sz w:val="24"/>
          <w:szCs w:val="24"/>
          <w:lang w:val="en-GB"/>
        </w:rPr>
        <w:t xml:space="preserve"> (Ferguson, 2008). In order to combat this, there need to be </w:t>
      </w:r>
      <w:r>
        <w:rPr>
          <w:rFonts w:ascii="Arial" w:cs="Arial" w:hAnsi="Arial"/>
          <w:sz w:val="24"/>
          <w:szCs w:val="24"/>
          <w:lang w:val="en-GB"/>
        </w:rPr>
        <w:t>established</w:t>
      </w:r>
      <w:r>
        <w:rPr>
          <w:rFonts w:ascii="Arial" w:cs="Arial" w:hAnsi="Arial"/>
          <w:sz w:val="24"/>
          <w:szCs w:val="24"/>
          <w:lang w:val="en-GB"/>
        </w:rPr>
        <w:t xml:space="preserve"> social justice as guiding premise for social services, as well as it is of importance to</w:t>
      </w:r>
      <w:r>
        <w:rPr>
          <w:rFonts w:ascii="Arial" w:cs="Arial" w:hAnsi="Arial"/>
          <w:sz w:val="24"/>
          <w:szCs w:val="24"/>
          <w:lang w:val="en-GB"/>
        </w:rPr>
        <w:t xml:space="preserve"> identify the groups of persons who suffer significant structural obstacles</w:t>
      </w:r>
      <w:r>
        <w:rPr>
          <w:rFonts w:ascii="Arial" w:cs="Arial" w:hAnsi="Arial"/>
          <w:sz w:val="24"/>
          <w:szCs w:val="24"/>
          <w:lang w:val="en-GB"/>
        </w:rPr>
        <w:t>, which prevents them from</w:t>
      </w:r>
      <w:r>
        <w:rPr>
          <w:rFonts w:ascii="Arial" w:cs="Arial" w:hAnsi="Arial"/>
          <w:sz w:val="24"/>
          <w:szCs w:val="24"/>
          <w:lang w:val="en-GB"/>
        </w:rPr>
        <w:t xml:space="preserve"> participation</w:t>
      </w:r>
      <w:r>
        <w:rPr>
          <w:rFonts w:ascii="Arial" w:cs="Arial" w:hAnsi="Arial"/>
          <w:sz w:val="24"/>
          <w:szCs w:val="24"/>
          <w:lang w:val="en-GB"/>
        </w:rPr>
        <w:t xml:space="preserve"> in community engagement (Choi, 2020).</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In order to engage with stakeholders, it is important to realise why they are necessary. </w:t>
      </w:r>
      <w:r>
        <w:rPr>
          <w:rFonts w:ascii="Arial" w:cs="Arial" w:hAnsi="Arial"/>
          <w:sz w:val="24"/>
          <w:szCs w:val="24"/>
          <w:lang w:val="en-GB"/>
        </w:rPr>
        <w:t>In addition to helping communities, engagement may increase</w:t>
      </w:r>
      <w:r>
        <w:rPr>
          <w:rFonts w:ascii="Arial" w:cs="Arial" w:hAnsi="Arial"/>
          <w:sz w:val="24"/>
          <w:szCs w:val="24"/>
          <w:lang w:val="en-GB"/>
        </w:rPr>
        <w:t xml:space="preserve"> the recognition of certain issues through utilising local expertise, enhancing knowledge and participation (NBS, 2012). There are different engagement strategies in place, such as community investment, which is a method of giving knowledge or resources in a one-way manner, like with volunteering or charity, along with community </w:t>
      </w:r>
      <w:r>
        <w:rPr>
          <w:rFonts w:ascii="Arial" w:cs="Arial" w:hAnsi="Arial"/>
          <w:sz w:val="24"/>
          <w:szCs w:val="24"/>
          <w:lang w:val="en-GB"/>
        </w:rPr>
        <w:t>involvement and integration, which are projects, led by the community (NBS, 2012).</w:t>
      </w:r>
      <w:r>
        <w:rPr>
          <w:rFonts w:ascii="Arial" w:cs="Arial" w:hAnsi="Arial"/>
          <w:sz w:val="24"/>
          <w:szCs w:val="24"/>
          <w:lang w:val="en-GB"/>
        </w:rPr>
        <w:t xml:space="preserve"> </w:t>
      </w:r>
      <w:r>
        <w:rPr>
          <w:rFonts w:ascii="Arial" w:cs="Arial" w:hAnsi="Arial"/>
          <w:sz w:val="24"/>
          <w:szCs w:val="24"/>
          <w:lang w:val="en-GB"/>
        </w:rPr>
        <w:t xml:space="preserve">Anticipating hurdles and problems before they may appear is excellent planning and practise. By doing this, </w:t>
      </w:r>
      <w:r>
        <w:rPr>
          <w:rFonts w:ascii="Arial" w:cs="Arial" w:hAnsi="Arial"/>
          <w:sz w:val="24"/>
          <w:szCs w:val="24"/>
          <w:lang w:val="en-GB"/>
        </w:rPr>
        <w:t xml:space="preserve">this </w:t>
      </w:r>
      <w:r>
        <w:rPr>
          <w:rFonts w:ascii="Arial" w:cs="Arial" w:hAnsi="Arial"/>
          <w:sz w:val="24"/>
          <w:szCs w:val="24"/>
          <w:lang w:val="en-GB"/>
        </w:rPr>
        <w:t>can lessen the impact</w:t>
      </w:r>
      <w:r>
        <w:rPr>
          <w:rFonts w:ascii="Arial" w:cs="Arial" w:hAnsi="Arial"/>
          <w:sz w:val="24"/>
          <w:szCs w:val="24"/>
          <w:lang w:val="en-GB"/>
        </w:rPr>
        <w:t xml:space="preserve"> of said issues</w:t>
      </w:r>
      <w:r>
        <w:rPr>
          <w:rFonts w:ascii="Arial" w:cs="Arial" w:hAnsi="Arial"/>
          <w:sz w:val="24"/>
          <w:szCs w:val="24"/>
          <w:lang w:val="en-GB"/>
        </w:rPr>
        <w:t>.</w:t>
      </w:r>
      <w:r>
        <w:rPr>
          <w:rFonts w:ascii="Arial" w:cs="Arial" w:hAnsi="Arial"/>
          <w:sz w:val="24"/>
          <w:szCs w:val="24"/>
          <w:lang w:val="en-GB"/>
        </w:rPr>
        <w:t xml:space="preserve"> Moreover, this can</w:t>
      </w:r>
      <w:r>
        <w:rPr>
          <w:rFonts w:ascii="Arial" w:cs="Arial" w:hAnsi="Arial"/>
          <w:sz w:val="24"/>
          <w:szCs w:val="24"/>
          <w:lang w:val="en-GB"/>
        </w:rPr>
        <w:t xml:space="preserve"> determine the resources </w:t>
      </w:r>
      <w:r>
        <w:rPr>
          <w:rFonts w:ascii="Arial" w:cs="Arial" w:hAnsi="Arial"/>
          <w:sz w:val="24"/>
          <w:szCs w:val="24"/>
          <w:lang w:val="en-GB"/>
        </w:rPr>
        <w:t xml:space="preserve">needed </w:t>
      </w:r>
      <w:r>
        <w:rPr>
          <w:rFonts w:ascii="Arial" w:cs="Arial" w:hAnsi="Arial"/>
          <w:sz w:val="24"/>
          <w:szCs w:val="24"/>
          <w:lang w:val="en-GB"/>
        </w:rPr>
        <w:t xml:space="preserve">by analysing </w:t>
      </w:r>
      <w:r>
        <w:rPr>
          <w:rFonts w:ascii="Arial" w:cs="Arial" w:hAnsi="Arial"/>
          <w:sz w:val="24"/>
          <w:szCs w:val="24"/>
          <w:lang w:val="en-GB"/>
        </w:rPr>
        <w:t xml:space="preserve">pre-existing </w:t>
      </w:r>
      <w:r>
        <w:rPr>
          <w:rFonts w:ascii="Arial" w:cs="Arial" w:hAnsi="Arial"/>
          <w:sz w:val="24"/>
          <w:szCs w:val="24"/>
          <w:lang w:val="en-GB"/>
        </w:rPr>
        <w:t>societal issues</w:t>
      </w:r>
      <w:r>
        <w:rPr>
          <w:rFonts w:ascii="Arial" w:cs="Arial" w:hAnsi="Arial"/>
          <w:sz w:val="24"/>
          <w:szCs w:val="24"/>
          <w:lang w:val="en-GB"/>
        </w:rPr>
        <w:t>, as</w:t>
      </w:r>
      <w:r>
        <w:rPr>
          <w:rFonts w:ascii="Arial" w:cs="Arial" w:hAnsi="Arial"/>
          <w:sz w:val="24"/>
          <w:szCs w:val="24"/>
          <w:lang w:val="en-GB"/>
        </w:rPr>
        <w:t xml:space="preserve"> chances of success will be enhanced if </w:t>
      </w:r>
      <w:r>
        <w:rPr>
          <w:rFonts w:ascii="Arial" w:cs="Arial" w:hAnsi="Arial"/>
          <w:sz w:val="24"/>
          <w:szCs w:val="24"/>
          <w:lang w:val="en-GB"/>
        </w:rPr>
        <w:t>the community</w:t>
      </w:r>
      <w:r>
        <w:rPr>
          <w:rFonts w:ascii="Arial" w:cs="Arial" w:hAnsi="Arial"/>
          <w:sz w:val="24"/>
          <w:szCs w:val="24"/>
          <w:lang w:val="en-GB"/>
        </w:rPr>
        <w:t xml:space="preserve"> </w:t>
      </w:r>
      <w:r>
        <w:rPr>
          <w:rFonts w:ascii="Arial" w:cs="Arial" w:hAnsi="Arial"/>
          <w:sz w:val="24"/>
          <w:szCs w:val="24"/>
          <w:lang w:val="en-GB"/>
        </w:rPr>
        <w:t xml:space="preserve">is </w:t>
      </w:r>
      <w:r>
        <w:rPr>
          <w:rFonts w:ascii="Arial" w:cs="Arial" w:hAnsi="Arial"/>
          <w:sz w:val="24"/>
          <w:szCs w:val="24"/>
          <w:lang w:val="en-GB"/>
        </w:rPr>
        <w:t>well supplied with the necessary tools and assistance</w:t>
      </w:r>
      <w:r>
        <w:rPr>
          <w:rFonts w:ascii="Arial" w:cs="Arial" w:hAnsi="Arial"/>
          <w:sz w:val="24"/>
          <w:szCs w:val="24"/>
          <w:lang w:val="en-GB"/>
        </w:rPr>
        <w:t xml:space="preserve"> (CTB</w:t>
      </w:r>
      <w:r>
        <w:rPr>
          <w:rFonts w:ascii="Arial" w:cs="Arial" w:hAnsi="Arial"/>
          <w:sz w:val="24"/>
          <w:szCs w:val="24"/>
          <w:lang w:val="en-GB"/>
        </w:rPr>
        <w:t xml:space="preserve">, n.d.). </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 </w:t>
      </w:r>
      <w:r>
        <w:rPr>
          <w:rFonts w:ascii="Arial" w:cs="Arial" w:hAnsi="Arial"/>
          <w:sz w:val="24"/>
          <w:szCs w:val="24"/>
          <w:lang w:val="en-GB"/>
        </w:rPr>
        <w:t xml:space="preserve">Certain issues within communities occur, due to lack of growth, feedback and recognition, along with the micromanagement of workforces. </w:t>
      </w:r>
      <w:r>
        <w:rPr>
          <w:rFonts w:ascii="Arial" w:cs="Arial" w:hAnsi="Arial"/>
          <w:sz w:val="24"/>
          <w:szCs w:val="24"/>
          <w:lang w:val="en-GB"/>
        </w:rPr>
        <w:t>Global health systems are worried about the increasing levels of staff emotional tiredness and poor wellbeing</w:t>
      </w:r>
      <w:r>
        <w:rPr>
          <w:rFonts w:ascii="Arial" w:cs="Arial" w:hAnsi="Arial"/>
          <w:sz w:val="24"/>
          <w:szCs w:val="24"/>
          <w:lang w:val="en-GB"/>
        </w:rPr>
        <w:t xml:space="preserve"> and there have been few attempts made to improve services offered to mental healthcare </w:t>
      </w:r>
      <w:r>
        <w:rPr>
          <w:rFonts w:ascii="Arial" w:cs="Arial" w:hAnsi="Arial"/>
          <w:sz w:val="24"/>
          <w:szCs w:val="24"/>
          <w:lang w:val="en-GB"/>
        </w:rPr>
        <w:t>practitioners</w:t>
      </w:r>
      <w:r>
        <w:rPr>
          <w:rFonts w:ascii="Arial" w:cs="Arial" w:hAnsi="Arial"/>
          <w:sz w:val="24"/>
          <w:szCs w:val="24"/>
          <w:lang w:val="en-GB"/>
        </w:rPr>
        <w:t>, despite the recognised burnout</w:t>
      </w:r>
      <w:r>
        <w:rPr>
          <w:rFonts w:ascii="Arial" w:cs="Arial" w:hAnsi="Arial"/>
          <w:sz w:val="24"/>
          <w:szCs w:val="24"/>
          <w:lang w:val="en-GB"/>
        </w:rPr>
        <w:t xml:space="preserve"> (Mills, 2021)</w:t>
      </w:r>
      <w:r>
        <w:rPr>
          <w:rFonts w:ascii="Arial" w:cs="Arial" w:hAnsi="Arial"/>
          <w:sz w:val="24"/>
          <w:szCs w:val="24"/>
          <w:lang w:val="en-GB"/>
        </w:rPr>
        <w:t xml:space="preserve">. </w:t>
      </w:r>
      <w:r>
        <w:rPr>
          <w:rFonts w:ascii="Arial" w:cs="Arial" w:hAnsi="Arial"/>
          <w:sz w:val="24"/>
          <w:szCs w:val="24"/>
          <w:lang w:val="en-GB"/>
        </w:rPr>
        <w:t>Health professionals risked their personal safety by continuing to work to provide patient care early in the Covid-19 outbreak</w:t>
      </w:r>
      <w:r>
        <w:rPr>
          <w:rFonts w:ascii="Arial" w:cs="Arial" w:hAnsi="Arial"/>
          <w:sz w:val="24"/>
          <w:szCs w:val="24"/>
          <w:lang w:val="en-GB"/>
        </w:rPr>
        <w:t xml:space="preserve">. Despite the cheering and support for healthcare workers in local neighbourhoods all across the United Kingdom, with widespread misinformation expanding, </w:t>
      </w:r>
      <w:r>
        <w:rPr>
          <w:rFonts w:ascii="Arial" w:cs="Arial" w:hAnsi="Arial"/>
          <w:sz w:val="24"/>
          <w:szCs w:val="24"/>
          <w:lang w:val="en-GB"/>
        </w:rPr>
        <w:t>weakening faith in science and public health professionals, expressions of gratitude for health workers have far too frequently been replaced with resentment</w:t>
      </w:r>
      <w:r>
        <w:rPr>
          <w:rFonts w:ascii="Arial" w:cs="Arial" w:hAnsi="Arial"/>
          <w:sz w:val="24"/>
          <w:szCs w:val="24"/>
          <w:lang w:val="en-GB"/>
        </w:rPr>
        <w:t xml:space="preserve"> and rage (Murthy, 2022). </w:t>
      </w:r>
      <w:r>
        <w:rPr>
          <w:rFonts w:ascii="Arial" w:cs="Arial" w:hAnsi="Arial"/>
          <w:sz w:val="24"/>
          <w:szCs w:val="24"/>
          <w:lang w:val="en-GB"/>
        </w:rPr>
        <w:t>However, healthcare professionals—including physicians, nurses, pharmacists, social workers,</w:t>
      </w:r>
      <w:r>
        <w:rPr>
          <w:rFonts w:ascii="Arial" w:cs="Arial" w:hAnsi="Arial"/>
          <w:sz w:val="24"/>
          <w:szCs w:val="24"/>
          <w:lang w:val="en-GB"/>
        </w:rPr>
        <w:t xml:space="preserve"> </w:t>
      </w:r>
      <w:r>
        <w:rPr>
          <w:rFonts w:ascii="Arial" w:cs="Arial" w:hAnsi="Arial"/>
          <w:sz w:val="24"/>
          <w:szCs w:val="24"/>
          <w:lang w:val="en-GB"/>
        </w:rPr>
        <w:t>and employees of public health and healthcare organizations—continue to show up to work to combat the pandemic and its aftereffects</w:t>
      </w:r>
      <w:r>
        <w:rPr>
          <w:rFonts w:ascii="Arial" w:cs="Arial" w:hAnsi="Arial"/>
          <w:sz w:val="24"/>
          <w:szCs w:val="24"/>
          <w:lang w:val="en-GB"/>
        </w:rPr>
        <w:t xml:space="preserve"> despite everything (Murthy, 2022). </w:t>
      </w:r>
      <w:r>
        <w:rPr>
          <w:rFonts w:ascii="Arial" w:cs="Arial" w:hAnsi="Arial"/>
          <w:sz w:val="24"/>
          <w:szCs w:val="24"/>
          <w:lang w:val="en-GB"/>
        </w:rPr>
        <w:t xml:space="preserve">The </w:t>
      </w:r>
      <w:r>
        <w:rPr>
          <w:rFonts w:ascii="Arial" w:cs="Arial" w:hAnsi="Arial"/>
          <w:sz w:val="24"/>
          <w:szCs w:val="24"/>
          <w:lang w:val="en-GB"/>
        </w:rPr>
        <w:t>mental toll on</w:t>
      </w:r>
      <w:r>
        <w:rPr>
          <w:rFonts w:ascii="Arial" w:cs="Arial" w:hAnsi="Arial"/>
          <w:sz w:val="24"/>
          <w:szCs w:val="24"/>
          <w:lang w:val="en-GB"/>
        </w:rPr>
        <w:t xml:space="preserve"> medical staff is concerning</w:t>
      </w:r>
      <w:r>
        <w:rPr>
          <w:rFonts w:ascii="Arial" w:cs="Arial" w:hAnsi="Arial"/>
          <w:sz w:val="24"/>
          <w:szCs w:val="24"/>
          <w:lang w:val="en-GB"/>
        </w:rPr>
        <w:t xml:space="preserve"> and alarming, deserving of upmost recognition and aid</w:t>
      </w:r>
      <w:r>
        <w:rPr>
          <w:rFonts w:ascii="Arial" w:cs="Arial" w:hAnsi="Arial"/>
          <w:sz w:val="24"/>
          <w:szCs w:val="24"/>
          <w:lang w:val="en-GB"/>
        </w:rPr>
        <w:t>.</w:t>
      </w:r>
      <w:r>
        <w:rPr>
          <w:rFonts w:ascii="Arial" w:cs="Arial" w:hAnsi="Arial"/>
          <w:sz w:val="24"/>
          <w:szCs w:val="24"/>
          <w:lang w:val="en-GB"/>
        </w:rPr>
        <w:t xml:space="preserve"> The pandemic</w:t>
      </w:r>
      <w:r>
        <w:rPr>
          <w:rFonts w:ascii="Arial" w:cs="Arial" w:hAnsi="Arial"/>
          <w:sz w:val="24"/>
          <w:szCs w:val="24"/>
          <w:lang w:val="en-GB"/>
        </w:rPr>
        <w:t xml:space="preserve"> has caused thousands of them to pass away</w:t>
      </w:r>
      <w:r>
        <w:rPr>
          <w:rFonts w:ascii="Arial" w:cs="Arial" w:hAnsi="Arial"/>
          <w:sz w:val="24"/>
          <w:szCs w:val="24"/>
          <w:lang w:val="en-GB"/>
        </w:rPr>
        <w:t xml:space="preserve"> with u</w:t>
      </w:r>
      <w:r>
        <w:rPr>
          <w:rFonts w:ascii="Arial" w:cs="Arial" w:hAnsi="Arial"/>
          <w:sz w:val="24"/>
          <w:szCs w:val="24"/>
          <w:lang w:val="en-GB"/>
        </w:rPr>
        <w:t>pwards of half of healthcare professionals express</w:t>
      </w:r>
      <w:r>
        <w:rPr>
          <w:rFonts w:ascii="Arial" w:cs="Arial" w:hAnsi="Arial"/>
          <w:sz w:val="24"/>
          <w:szCs w:val="24"/>
          <w:lang w:val="en-GB"/>
        </w:rPr>
        <w:t>ing</w:t>
      </w:r>
      <w:r>
        <w:rPr>
          <w:rFonts w:ascii="Arial" w:cs="Arial" w:hAnsi="Arial"/>
          <w:sz w:val="24"/>
          <w:szCs w:val="24"/>
          <w:lang w:val="en-GB"/>
        </w:rPr>
        <w:t xml:space="preserve"> signs of burnout, </w:t>
      </w:r>
      <w:r>
        <w:rPr>
          <w:rFonts w:ascii="Arial" w:cs="Arial" w:hAnsi="Arial"/>
          <w:sz w:val="24"/>
          <w:szCs w:val="24"/>
          <w:lang w:val="en-GB"/>
        </w:rPr>
        <w:t xml:space="preserve">with many struggling </w:t>
      </w:r>
      <w:r>
        <w:rPr>
          <w:rFonts w:ascii="Arial" w:cs="Arial" w:hAnsi="Arial"/>
          <w:sz w:val="24"/>
          <w:szCs w:val="24"/>
          <w:lang w:val="en-GB"/>
        </w:rPr>
        <w:t>with issues related to their mental health, such as sleeplessness, depression, stress, or post-traumatic stress disorder</w:t>
      </w:r>
      <w:r>
        <w:rPr>
          <w:rFonts w:ascii="Arial" w:cs="Arial" w:hAnsi="Arial"/>
          <w:sz w:val="24"/>
          <w:szCs w:val="24"/>
          <w:lang w:val="en-GB"/>
        </w:rPr>
        <w:t xml:space="preserve"> (Murthy, 2022).</w:t>
      </w:r>
    </w:p>
    <w:p>
      <w:pPr>
        <w:pStyle w:val="style0"/>
        <w:spacing w:lineRule="auto" w:line="360"/>
        <w:jc w:val="both"/>
        <w:rPr>
          <w:rFonts w:ascii="Arial" w:cs="Arial" w:hAnsi="Arial"/>
          <w:sz w:val="24"/>
          <w:szCs w:val="24"/>
          <w:lang w:val="en-GB"/>
        </w:rPr>
      </w:pPr>
      <w:r>
        <w:rPr>
          <w:rFonts w:ascii="Arial" w:cs="Arial" w:hAnsi="Arial"/>
          <w:sz w:val="24"/>
          <w:szCs w:val="24"/>
          <w:lang w:val="en-GB"/>
        </w:rPr>
        <w:t>Health care organisations go further than their usual duty of managing the impacts of health conditions when they take part in community involvement activities.</w:t>
      </w:r>
      <w:r>
        <w:rPr>
          <w:rFonts w:ascii="Arial" w:cs="Arial" w:hAnsi="Arial"/>
          <w:sz w:val="24"/>
          <w:szCs w:val="24"/>
          <w:lang w:val="en-GB"/>
        </w:rPr>
        <w:t xml:space="preserve"> </w:t>
      </w:r>
      <w:r>
        <w:rPr>
          <w:rFonts w:ascii="Arial" w:cs="Arial" w:hAnsi="Arial"/>
          <w:sz w:val="24"/>
          <w:szCs w:val="24"/>
          <w:lang w:val="en-GB"/>
        </w:rPr>
        <w:t>Rather, they take on a more active role in shaping the factors that determine health. Examining the overall objective, target audience, and stakeholder participation in community engagement initiatives is helpful in defining what community engagement means for health care organisations</w:t>
      </w:r>
      <w:r>
        <w:rPr>
          <w:rFonts w:ascii="Arial" w:cs="Arial" w:hAnsi="Arial"/>
          <w:sz w:val="24"/>
          <w:szCs w:val="24"/>
          <w:lang w:val="en-GB"/>
        </w:rPr>
        <w:t xml:space="preserve"> (Ohio University, 2021). </w:t>
      </w:r>
      <w:r>
        <w:rPr>
          <w:rFonts w:ascii="Arial" w:cs="Arial" w:hAnsi="Arial"/>
          <w:sz w:val="24"/>
          <w:szCs w:val="24"/>
          <w:lang w:val="en-GB"/>
        </w:rPr>
        <w:t xml:space="preserve">Social determinants of health specifically include access to nutrient-dense meals and physical activity as well as safe housing, transport, and surroundings. Health care institutions may go </w:t>
      </w:r>
      <w:r>
        <w:rPr>
          <w:rFonts w:ascii="Arial" w:cs="Arial" w:hAnsi="Arial"/>
          <w:sz w:val="24"/>
          <w:szCs w:val="24"/>
          <w:lang w:val="en-GB"/>
        </w:rPr>
        <w:t>beyond their typical responsibilities and participate actively in community engagement initiatives by understanding how those variables impact health</w:t>
      </w:r>
      <w:r>
        <w:rPr>
          <w:rFonts w:ascii="Arial" w:cs="Arial" w:hAnsi="Arial"/>
          <w:sz w:val="24"/>
          <w:szCs w:val="24"/>
          <w:lang w:val="en-GB"/>
        </w:rPr>
        <w:t xml:space="preserve"> (Ohio University, 2021). </w:t>
      </w:r>
      <w:r>
        <w:rPr>
          <w:rFonts w:ascii="Arial" w:cs="Arial" w:hAnsi="Arial"/>
          <w:sz w:val="24"/>
          <w:szCs w:val="24"/>
          <w:lang w:val="en-GB"/>
        </w:rPr>
        <w:t>Health care organisations work together with a range of stakeholders through community engagement</w:t>
      </w:r>
      <w:r>
        <w:rPr>
          <w:rFonts w:ascii="Arial" w:cs="Arial" w:hAnsi="Arial"/>
          <w:sz w:val="24"/>
          <w:szCs w:val="24"/>
          <w:lang w:val="en-GB"/>
        </w:rPr>
        <w:t xml:space="preserve"> in order to reach their intended </w:t>
      </w:r>
      <w:r>
        <w:rPr>
          <w:rFonts w:ascii="Arial" w:cs="Arial" w:hAnsi="Arial"/>
          <w:sz w:val="24"/>
          <w:szCs w:val="24"/>
          <w:lang w:val="en-GB"/>
        </w:rPr>
        <w:t>objectives</w:t>
      </w:r>
      <w:r>
        <w:rPr>
          <w:rFonts w:ascii="Arial" w:cs="Arial" w:hAnsi="Arial"/>
          <w:sz w:val="24"/>
          <w:szCs w:val="24"/>
          <w:lang w:val="en-GB"/>
        </w:rPr>
        <w:t xml:space="preserve">, such as health departments, organisations of religion, schools, charities and more (Ohio University, 2021). </w:t>
      </w:r>
      <w:r>
        <w:rPr>
          <w:rFonts w:ascii="Arial" w:cs="Arial" w:hAnsi="Arial"/>
          <w:sz w:val="24"/>
          <w:szCs w:val="24"/>
          <w:lang w:val="en-GB"/>
        </w:rPr>
        <w:t>In order to guarantee that a community engagement program recognises and benefits from varying viewpoints and ideas, a variety of stakeholders should be partnered with. The effectiveness of the program may also depend on how well stakeholders can foster a feeling of shared ownership</w:t>
      </w:r>
      <w:r>
        <w:rPr>
          <w:rFonts w:ascii="Arial" w:cs="Arial" w:hAnsi="Arial"/>
          <w:sz w:val="24"/>
          <w:szCs w:val="24"/>
          <w:lang w:val="en-GB"/>
        </w:rPr>
        <w:t xml:space="preserve"> (Ohio University, 2021). Some strategies to initiate engagement from stakeholders include the widespread sharing of information in media, making recommendation to other involved stakeholders, along with the planning and financing of activities, which are centralized and integrated </w:t>
      </w:r>
      <w:r>
        <w:rPr>
          <w:rFonts w:ascii="Arial" w:cs="Arial" w:hAnsi="Arial"/>
          <w:sz w:val="24"/>
          <w:szCs w:val="24"/>
          <w:lang w:val="en-GB"/>
        </w:rPr>
        <w:t>(Ohio University, 2021)</w:t>
      </w:r>
      <w:r>
        <w:rPr>
          <w:rFonts w:ascii="Arial" w:cs="Arial" w:hAnsi="Arial"/>
          <w:sz w:val="24"/>
          <w:szCs w:val="24"/>
          <w:lang w:val="en-GB"/>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Through the utilisation of social media, as an online profile for community engagement </w:t>
      </w:r>
      <w:r>
        <w:rPr>
          <w:rFonts w:ascii="Arial" w:cs="Arial" w:hAnsi="Arial"/>
          <w:sz w:val="24"/>
          <w:szCs w:val="24"/>
          <w:lang w:val="en-GB"/>
        </w:rPr>
        <w:t>seves</w:t>
      </w:r>
      <w:r>
        <w:rPr>
          <w:rFonts w:ascii="Arial" w:cs="Arial" w:hAnsi="Arial"/>
          <w:sz w:val="24"/>
          <w:szCs w:val="24"/>
          <w:lang w:val="en-GB"/>
        </w:rPr>
        <w:t xml:space="preserve"> as a means of letting others be aware of current issues, what they should know about the development of their community and what they stand for, as</w:t>
      </w:r>
      <w:r>
        <w:rPr>
          <w:rFonts w:ascii="Arial" w:cs="Arial" w:hAnsi="Arial"/>
          <w:sz w:val="24"/>
          <w:szCs w:val="24"/>
          <w:lang w:val="en-GB"/>
        </w:rPr>
        <w:t xml:space="preserve"> experiences</w:t>
      </w:r>
      <w:r>
        <w:rPr>
          <w:rFonts w:ascii="Arial" w:cs="Arial" w:hAnsi="Arial"/>
          <w:sz w:val="24"/>
          <w:szCs w:val="24"/>
          <w:lang w:val="en-GB"/>
        </w:rPr>
        <w:t xml:space="preserve"> </w:t>
      </w:r>
      <w:r>
        <w:rPr>
          <w:rFonts w:ascii="Arial" w:cs="Arial" w:hAnsi="Arial"/>
          <w:sz w:val="24"/>
          <w:szCs w:val="24"/>
          <w:lang w:val="en-GB"/>
        </w:rPr>
        <w:t>and perspectives are important to an online community</w:t>
      </w:r>
      <w:r>
        <w:rPr>
          <w:rFonts w:ascii="Arial" w:cs="Arial" w:hAnsi="Arial"/>
          <w:sz w:val="24"/>
          <w:szCs w:val="24"/>
          <w:lang w:val="en-GB"/>
        </w:rPr>
        <w:t xml:space="preserve"> (Ovens, 2022). A lot can be explained through social media means, such as benefits of being part of the community involvement tactics and motivation to be active in solving ongoing issues from within. </w:t>
      </w:r>
      <w:r>
        <w:rPr>
          <w:rFonts w:ascii="Arial" w:cs="Arial" w:hAnsi="Arial"/>
          <w:sz w:val="24"/>
          <w:szCs w:val="24"/>
          <w:lang w:val="en-GB"/>
        </w:rPr>
        <w:t xml:space="preserve">Here, stakeholder engagement and catching their attention is of essence for the </w:t>
      </w:r>
      <w:r>
        <w:rPr>
          <w:rFonts w:ascii="Arial" w:cs="Arial" w:hAnsi="Arial"/>
          <w:sz w:val="24"/>
          <w:szCs w:val="24"/>
          <w:lang w:val="en-GB"/>
        </w:rPr>
        <w:t>resolvement</w:t>
      </w:r>
      <w:r>
        <w:rPr>
          <w:rFonts w:ascii="Arial" w:cs="Arial" w:hAnsi="Arial"/>
          <w:sz w:val="24"/>
          <w:szCs w:val="24"/>
          <w:lang w:val="en-GB"/>
        </w:rPr>
        <w:t xml:space="preserve"> of significant issues from within the community. </w:t>
      </w:r>
      <w:r>
        <w:rPr>
          <w:rFonts w:ascii="Arial" w:cs="Arial" w:hAnsi="Arial"/>
          <w:sz w:val="24"/>
          <w:szCs w:val="24"/>
          <w:lang w:val="en-GB"/>
        </w:rPr>
        <w:t>When utilised to influence how the work is organised, executed, and managed, stakeholder analysis is extremely valuable. To engage stakeholders effectively, a project expert must concentrate on comprehending various viewpoints and addressing them in order to accomplish the desired results</w:t>
      </w:r>
      <w:r>
        <w:rPr>
          <w:rFonts w:ascii="Arial" w:cs="Arial" w:hAnsi="Arial"/>
          <w:sz w:val="24"/>
          <w:szCs w:val="24"/>
          <w:lang w:val="en-GB"/>
        </w:rPr>
        <w:t xml:space="preserve"> (APM, n.d.). </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Moreover, </w:t>
      </w:r>
      <w:r>
        <w:rPr>
          <w:rFonts w:ascii="Arial" w:cs="Arial" w:hAnsi="Arial"/>
          <w:sz w:val="24"/>
          <w:szCs w:val="24"/>
          <w:lang w:val="en-GB"/>
        </w:rPr>
        <w:t>s</w:t>
      </w:r>
      <w:r>
        <w:rPr>
          <w:rFonts w:ascii="Arial" w:cs="Arial" w:hAnsi="Arial"/>
          <w:sz w:val="24"/>
          <w:szCs w:val="24"/>
          <w:lang w:val="en-GB"/>
        </w:rPr>
        <w:t>takeholders who are in favour of the plan can be utilised to persuade others who are not. Stakeholder involvement and impact must always be integrated across initiatives</w:t>
      </w:r>
      <w:r>
        <w:rPr>
          <w:rFonts w:ascii="Arial" w:cs="Arial" w:hAnsi="Arial"/>
          <w:sz w:val="24"/>
          <w:szCs w:val="24"/>
          <w:lang w:val="en-GB"/>
        </w:rPr>
        <w:t xml:space="preserve"> and</w:t>
      </w:r>
      <w:r>
        <w:rPr>
          <w:rFonts w:ascii="Arial" w:cs="Arial" w:hAnsi="Arial"/>
          <w:sz w:val="24"/>
          <w:szCs w:val="24"/>
          <w:lang w:val="en-GB"/>
        </w:rPr>
        <w:t xml:space="preserve"> progra</w:t>
      </w:r>
      <w:r>
        <w:rPr>
          <w:rFonts w:ascii="Arial" w:cs="Arial" w:hAnsi="Arial"/>
          <w:sz w:val="24"/>
          <w:szCs w:val="24"/>
          <w:lang w:val="en-GB"/>
        </w:rPr>
        <w:t xml:space="preserve">ms (APM, n.d.). </w:t>
      </w:r>
      <w:r>
        <w:rPr>
          <w:rFonts w:ascii="Arial" w:cs="Arial" w:hAnsi="Arial"/>
          <w:sz w:val="24"/>
          <w:szCs w:val="24"/>
          <w:lang w:val="en-GB"/>
        </w:rPr>
        <w:t>Even if a certain stakeholder is only interested in a single project within an initiative, the effects of their influence on that project can still an impact on the entire plan and community engagement</w:t>
      </w:r>
      <w:r>
        <w:rPr>
          <w:rFonts w:ascii="Arial" w:cs="Arial" w:hAnsi="Arial"/>
          <w:sz w:val="24"/>
          <w:szCs w:val="24"/>
          <w:lang w:val="en-GB"/>
        </w:rPr>
        <w:t xml:space="preserve"> (APM, n.d.). </w:t>
      </w:r>
      <w:r>
        <w:rPr>
          <w:rFonts w:ascii="Arial" w:cs="Arial" w:hAnsi="Arial"/>
          <w:sz w:val="24"/>
          <w:szCs w:val="24"/>
          <w:lang w:val="en-GB"/>
        </w:rPr>
        <w:t xml:space="preserve">There are different definitions and interpretations of stakeholder engagement, which is distinct from stakeholder management. Communities of practitioners from many fields, societies, and geographical regions have created accurate definitions of </w:t>
      </w:r>
      <w:r>
        <w:rPr>
          <w:rFonts w:ascii="Arial" w:cs="Arial" w:hAnsi="Arial"/>
          <w:sz w:val="24"/>
          <w:szCs w:val="24"/>
          <w:lang w:val="en-GB"/>
        </w:rPr>
        <w:t>how it is effectively used nowadays</w:t>
      </w:r>
      <w:r>
        <w:rPr>
          <w:rFonts w:ascii="Arial" w:cs="Arial" w:hAnsi="Arial"/>
          <w:sz w:val="24"/>
          <w:szCs w:val="24"/>
          <w:lang w:val="en-GB"/>
        </w:rPr>
        <w:t xml:space="preserve"> (APM, n.d</w:t>
      </w:r>
      <w:r>
        <w:rPr>
          <w:rFonts w:ascii="Arial" w:cs="Arial" w:hAnsi="Arial"/>
          <w:sz w:val="24"/>
          <w:szCs w:val="24"/>
          <w:lang w:val="en-GB"/>
        </w:rPr>
        <w:t>.</w:t>
      </w:r>
      <w:r>
        <w:rPr>
          <w:rFonts w:ascii="Arial" w:cs="Arial" w:hAnsi="Arial"/>
          <w:sz w:val="24"/>
          <w:szCs w:val="24"/>
          <w:lang w:val="en-GB"/>
        </w:rPr>
        <w:t>).</w:t>
      </w:r>
      <w:r>
        <w:rPr>
          <w:rFonts w:ascii="Arial" w:cs="Arial" w:hAnsi="Arial"/>
          <w:sz w:val="24"/>
          <w:szCs w:val="24"/>
          <w:lang w:val="en-GB"/>
        </w:rPr>
        <w:t xml:space="preserve"> Furthermore, th</w:t>
      </w:r>
      <w:r>
        <w:rPr>
          <w:rFonts w:ascii="Arial" w:cs="Arial" w:hAnsi="Arial"/>
          <w:sz w:val="24"/>
          <w:szCs w:val="24"/>
          <w:lang w:val="en-GB"/>
        </w:rPr>
        <w:t>e phrase "stakeholder management" has gained popularity and indicates that it is possible to foresee, organise, and regulate the behaviours and activities of stakeholders</w:t>
      </w:r>
      <w:r>
        <w:rPr>
          <w:rFonts w:ascii="Arial" w:cs="Arial" w:hAnsi="Arial"/>
          <w:sz w:val="24"/>
          <w:szCs w:val="24"/>
          <w:lang w:val="en-GB"/>
        </w:rPr>
        <w:t xml:space="preserve"> (APM, n.d.). In addition, stakeholder engagement is more relationship-focused and emphasizes on how this engagement is carried out within the community, as well as it is useful for consultations, compromises and negotiations (APM,</w:t>
      </w:r>
      <w:r>
        <w:rPr>
          <w:rFonts w:ascii="Arial" w:cs="Arial" w:hAnsi="Arial"/>
          <w:sz w:val="24"/>
          <w:szCs w:val="24"/>
          <w:lang w:val="en-GB"/>
        </w:rPr>
        <w:t xml:space="preserve"> </w:t>
      </w:r>
      <w:r>
        <w:rPr>
          <w:rFonts w:ascii="Arial" w:cs="Arial" w:hAnsi="Arial"/>
          <w:sz w:val="24"/>
          <w:szCs w:val="24"/>
          <w:lang w:val="en-GB"/>
        </w:rPr>
        <w:t>n.d</w:t>
      </w:r>
      <w:r>
        <w:rPr>
          <w:rFonts w:ascii="Arial" w:cs="Arial" w:hAnsi="Arial"/>
          <w:sz w:val="24"/>
          <w:szCs w:val="24"/>
          <w:lang w:val="en-GB"/>
        </w:rPr>
        <w:t>.</w:t>
      </w:r>
      <w:r>
        <w:rPr>
          <w:rFonts w:ascii="Arial" w:cs="Arial" w:hAnsi="Arial"/>
          <w:sz w:val="24"/>
          <w:szCs w:val="24"/>
          <w:lang w:val="en-GB"/>
        </w:rPr>
        <w:t xml:space="preserve">). Both stakeholder </w:t>
      </w:r>
      <w:r>
        <w:rPr>
          <w:rFonts w:ascii="Arial" w:cs="Arial" w:hAnsi="Arial"/>
          <w:sz w:val="24"/>
          <w:szCs w:val="24"/>
          <w:lang w:val="en-GB"/>
        </w:rPr>
        <w:t>management</w:t>
      </w:r>
      <w:r>
        <w:rPr>
          <w:rFonts w:ascii="Arial" w:cs="Arial" w:hAnsi="Arial"/>
          <w:sz w:val="24"/>
          <w:szCs w:val="24"/>
          <w:lang w:val="en-GB"/>
        </w:rPr>
        <w:t xml:space="preserve"> and stakeholder engagement, mentioned above, are essential </w:t>
      </w:r>
      <w:r>
        <w:rPr>
          <w:rFonts w:ascii="Arial" w:cs="Arial" w:hAnsi="Arial"/>
          <w:sz w:val="24"/>
          <w:szCs w:val="24"/>
          <w:lang w:val="en-GB"/>
        </w:rPr>
        <w:t>to the effective completion of projects</w:t>
      </w:r>
      <w:r>
        <w:rPr>
          <w:rFonts w:ascii="Arial" w:cs="Arial" w:hAnsi="Arial"/>
          <w:sz w:val="24"/>
          <w:szCs w:val="24"/>
          <w:lang w:val="en-GB"/>
        </w:rPr>
        <w:t xml:space="preserve"> within the community (APM, n.d.).</w:t>
      </w:r>
    </w:p>
    <w:bookmarkStart w:id="2" w:name="_Toc112506057"/>
    <w:p>
      <w:pPr>
        <w:pStyle w:val="style1"/>
        <w:rPr>
          <w:lang w:val="en-US"/>
        </w:rPr>
      </w:pPr>
      <w:r>
        <w:rPr>
          <w:lang w:val="en-US"/>
        </w:rPr>
        <w:t>Conclusion</w:t>
      </w:r>
      <w:bookmarkEnd w:id="2"/>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To conclude, effective spread of community engagement through social media and amidst community through various events, movements and communication can gain the better attention on issues such as lack of proper healthcare, as well as the promotion of better treatment for health care workers. These certain types of healthcare </w:t>
      </w:r>
      <w:r>
        <w:rPr>
          <w:rFonts w:ascii="Arial" w:cs="Arial" w:hAnsi="Arial"/>
          <w:sz w:val="24"/>
          <w:szCs w:val="24"/>
          <w:lang w:val="en-GB"/>
        </w:rPr>
        <w:t>organisations</w:t>
      </w:r>
      <w:r>
        <w:rPr>
          <w:rFonts w:ascii="Arial" w:cs="Arial" w:hAnsi="Arial"/>
          <w:sz w:val="24"/>
          <w:szCs w:val="24"/>
          <w:lang w:val="en-GB"/>
        </w:rPr>
        <w:t xml:space="preserve"> have the ability to make lasting improvement of people within the community</w:t>
      </w:r>
      <w:r>
        <w:rPr>
          <w:rFonts w:ascii="Arial" w:cs="Arial" w:hAnsi="Arial"/>
          <w:sz w:val="24"/>
          <w:szCs w:val="24"/>
          <w:lang w:val="en-GB"/>
        </w:rPr>
        <w:t xml:space="preserve">. There need to be special and certain community engagement projects in place, in order for the promotion of socio-cultural integration and multi-culturalism to be present and in effect for every citizen, as well as better healthcare and awareness for the importance of </w:t>
      </w:r>
      <w:r>
        <w:rPr>
          <w:rFonts w:ascii="Arial" w:cs="Arial" w:hAnsi="Arial"/>
          <w:sz w:val="24"/>
          <w:szCs w:val="24"/>
          <w:lang w:val="en-GB"/>
        </w:rPr>
        <w:t>above-mentioned</w:t>
      </w:r>
      <w:r>
        <w:rPr>
          <w:rFonts w:ascii="Arial" w:cs="Arial" w:hAnsi="Arial"/>
          <w:sz w:val="24"/>
          <w:szCs w:val="24"/>
          <w:lang w:val="en-GB"/>
        </w:rPr>
        <w:t xml:space="preserve"> community participation, inclusion and diversity. Even though certain communities have limited resources, they can still be utilised within community engagement strategies to better align with the health needs of the local community. </w:t>
      </w:r>
      <w:r>
        <w:rPr>
          <w:rFonts w:ascii="Arial" w:cs="Arial" w:hAnsi="Arial"/>
          <w:sz w:val="24"/>
          <w:szCs w:val="24"/>
          <w:lang w:val="en-GB"/>
        </w:rPr>
        <w:t xml:space="preserve">It is of high importance to recognise </w:t>
      </w:r>
      <w:r>
        <w:rPr>
          <w:rFonts w:ascii="Arial" w:cs="Arial" w:hAnsi="Arial"/>
          <w:sz w:val="24"/>
          <w:szCs w:val="24"/>
          <w:lang w:val="en-GB"/>
        </w:rPr>
        <w:t>that healthcare professionals have been constantly struggling with burnout and there have been few programs concentrating on enhancing he services, which are offered to them. There needs to be serious attention directed towards this issue, as this evaluation’s aim is to assess the relationship between employee wellness and emotional weariness while also making recommendations for more study and treatment plans.</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In regards to gaining the attention of multiple stakeholders and engaging collaboration programs, this would be executed most effectively through a sustainable and more proactive outlook on healthcare issues. </w:t>
      </w:r>
      <w:r>
        <w:rPr>
          <w:rFonts w:ascii="Arial" w:cs="Arial" w:hAnsi="Arial"/>
          <w:sz w:val="24"/>
          <w:szCs w:val="24"/>
          <w:lang w:val="en-GB"/>
        </w:rPr>
        <w:t xml:space="preserve">The community group's members have the opportunity to develop fresh ideas on the role played by healthcare organisations in promoting health when paying close attention on how to </w:t>
      </w:r>
      <w:r>
        <w:rPr>
          <w:rFonts w:ascii="Arial" w:cs="Arial" w:hAnsi="Arial"/>
          <w:sz w:val="24"/>
          <w:szCs w:val="24"/>
          <w:lang w:val="en-GB"/>
        </w:rPr>
        <w:t xml:space="preserve">change this issue day by day through the utilisation of events making the issue seen, along with gaining the attention of stakeholders through effectively presenting how this issue is directly affecting community engagement. </w:t>
      </w:r>
    </w:p>
    <w:bookmarkStart w:id="3" w:name="_Toc112506058"/>
    <w:p>
      <w:pPr>
        <w:pStyle w:val="style1"/>
        <w:rPr>
          <w:lang w:val="en-US"/>
        </w:rPr>
      </w:pPr>
      <w:r>
        <w:rPr>
          <w:lang w:val="en-US"/>
        </w:rPr>
        <w:t>Referencing list</w:t>
      </w:r>
      <w:bookmarkEnd w:id="3"/>
    </w:p>
    <w:p>
      <w:pPr>
        <w:pStyle w:val="style0"/>
        <w:spacing w:after="160" w:lineRule="auto" w:line="360"/>
        <w:rPr>
          <w:rFonts w:ascii="Arial" w:cs="Arial" w:eastAsia="Times New Roman" w:hAnsi="Arial"/>
          <w:sz w:val="24"/>
          <w:szCs w:val="24"/>
          <w:lang w:val="en-US"/>
        </w:rPr>
      </w:pPr>
      <w:r>
        <w:rPr>
          <w:rFonts w:ascii="Arial" w:cs="Arial" w:eastAsia="Times New Roman" w:hAnsi="Arial"/>
          <w:bCs/>
          <w:sz w:val="24"/>
          <w:szCs w:val="24"/>
          <w:lang w:val="en-US"/>
        </w:rPr>
        <w:t xml:space="preserve">CTB, n.d. Section 5. Analyzing Community Problems [online] Available at: </w:t>
      </w:r>
      <w:r>
        <w:rPr/>
        <w:fldChar w:fldCharType="begin"/>
      </w:r>
      <w:r>
        <w:instrText xml:space="preserve"> HYPERLINK "https://ctb.ku.edu/en/table-of-contents/assessment/assessing-community-needs-and-resources/analyzing-community-problems/main" </w:instrText>
      </w:r>
      <w:r>
        <w:rPr/>
        <w:fldChar w:fldCharType="separate"/>
      </w:r>
      <w:r>
        <w:rPr>
          <w:rFonts w:ascii="Arial" w:cs="Arial" w:eastAsia="Times New Roman" w:hAnsi="Arial"/>
          <w:color w:val="0000ff"/>
          <w:sz w:val="24"/>
          <w:szCs w:val="24"/>
          <w:u w:val="single"/>
          <w:lang w:val="en-US"/>
        </w:rPr>
        <w:t>https://ctb.</w:t>
      </w:r>
      <w:r>
        <w:rPr>
          <w:rFonts w:ascii="Arial" w:cs="Arial" w:eastAsia="Times New Roman" w:hAnsi="Arial"/>
          <w:color w:val="0000ff"/>
          <w:sz w:val="24"/>
          <w:szCs w:val="24"/>
          <w:u w:val="single"/>
          <w:lang w:val="en-US"/>
        </w:rPr>
        <w:t>k</w:t>
      </w:r>
      <w:r>
        <w:rPr>
          <w:rFonts w:ascii="Arial" w:cs="Arial" w:eastAsia="Times New Roman" w:hAnsi="Arial"/>
          <w:color w:val="0000ff"/>
          <w:sz w:val="24"/>
          <w:szCs w:val="24"/>
          <w:u w:val="single"/>
          <w:lang w:val="en-US"/>
        </w:rPr>
        <w:t>u.edu/en/table-of-contents/assessment/assessing-community-needs-and-resources/analyzing-community-problems/main</w:t>
      </w:r>
      <w:r>
        <w:rPr/>
        <w:fldChar w:fldCharType="end"/>
      </w:r>
      <w:r>
        <w:rPr>
          <w:rFonts w:ascii="Arial" w:cs="Arial" w:eastAsia="Times New Roman" w:hAnsi="Arial"/>
          <w:sz w:val="24"/>
          <w:szCs w:val="24"/>
          <w:lang w:val="en-US"/>
        </w:rPr>
        <w:t xml:space="preserve"> [Accessed 28 August 2022].</w:t>
      </w:r>
    </w:p>
    <w:p>
      <w:pPr>
        <w:pStyle w:val="style0"/>
        <w:spacing w:after="160" w:lineRule="auto" w:line="360"/>
        <w:rPr>
          <w:rFonts w:ascii="Arial" w:cs="Arial" w:eastAsia="Times New Roman" w:hAnsi="Arial"/>
          <w:sz w:val="24"/>
          <w:szCs w:val="24"/>
          <w:lang w:val="en-US"/>
        </w:rPr>
      </w:pPr>
      <w:r>
        <w:rPr>
          <w:rFonts w:ascii="Arial" w:cs="Arial" w:eastAsia="Times New Roman" w:hAnsi="Arial"/>
          <w:bCs/>
          <w:sz w:val="24"/>
          <w:szCs w:val="24"/>
          <w:lang w:val="en-US"/>
        </w:rPr>
        <w:t xml:space="preserve">Ferguson, C., 2008. Promoting Social Integration. [online] Available at: </w:t>
      </w:r>
      <w:r>
        <w:rPr/>
        <w:fldChar w:fldCharType="begin"/>
      </w:r>
      <w:r>
        <w:instrText xml:space="preserve"> HYPERLINK "https://gsdrc.org/document-library/promoting-social-integration/" </w:instrText>
      </w:r>
      <w:r>
        <w:rPr/>
        <w:fldChar w:fldCharType="separate"/>
      </w:r>
      <w:r>
        <w:rPr>
          <w:rFonts w:ascii="Arial" w:cs="Arial" w:eastAsia="Times New Roman" w:hAnsi="Arial"/>
          <w:color w:val="0000ff"/>
          <w:sz w:val="24"/>
          <w:szCs w:val="24"/>
          <w:u w:val="single"/>
          <w:lang w:val="en-US"/>
        </w:rPr>
        <w:t>https://gsdrc.org/document-</w:t>
      </w:r>
      <w:r>
        <w:rPr>
          <w:rFonts w:ascii="Arial" w:cs="Arial" w:eastAsia="Times New Roman" w:hAnsi="Arial"/>
          <w:color w:val="0000ff"/>
          <w:sz w:val="24"/>
          <w:szCs w:val="24"/>
          <w:u w:val="single"/>
          <w:lang w:val="en-US"/>
        </w:rPr>
        <w:t>l</w:t>
      </w:r>
      <w:r>
        <w:rPr>
          <w:rFonts w:ascii="Arial" w:cs="Arial" w:eastAsia="Times New Roman" w:hAnsi="Arial"/>
          <w:color w:val="0000ff"/>
          <w:sz w:val="24"/>
          <w:szCs w:val="24"/>
          <w:u w:val="single"/>
          <w:lang w:val="en-US"/>
        </w:rPr>
        <w:t>ibrary/promoting-social-integration/</w:t>
      </w:r>
      <w:r>
        <w:rPr/>
        <w:fldChar w:fldCharType="end"/>
      </w:r>
      <w:r>
        <w:rPr>
          <w:rFonts w:ascii="Arial" w:cs="Arial" w:eastAsia="Times New Roman" w:hAnsi="Arial"/>
          <w:sz w:val="24"/>
          <w:szCs w:val="24"/>
          <w:lang w:val="en-US"/>
        </w:rPr>
        <w:t xml:space="preserve"> [Accessed 28 August 2022].</w:t>
      </w:r>
    </w:p>
    <w:p>
      <w:pPr>
        <w:pStyle w:val="style0"/>
        <w:spacing w:after="160" w:lineRule="auto" w:line="360"/>
        <w:rPr>
          <w:rFonts w:ascii="Arial" w:cs="Arial" w:eastAsia="Times New Roman" w:hAnsi="Arial"/>
          <w:color w:val="222222"/>
          <w:sz w:val="24"/>
          <w:szCs w:val="24"/>
          <w:shd w:val="clear" w:color="auto" w:fill="ffffff"/>
          <w:lang w:val="en-US"/>
        </w:rPr>
      </w:pPr>
      <w:r>
        <w:rPr>
          <w:rFonts w:ascii="Arial" w:cs="Arial" w:eastAsia="Times New Roman" w:hAnsi="Arial"/>
          <w:color w:val="222222"/>
          <w:sz w:val="24"/>
          <w:szCs w:val="24"/>
          <w:shd w:val="clear" w:color="auto" w:fill="ffffff"/>
          <w:lang w:val="en-US"/>
        </w:rPr>
        <w:t xml:space="preserve">Ferry, A.V., </w:t>
      </w:r>
      <w:r>
        <w:rPr>
          <w:rFonts w:ascii="Arial" w:cs="Arial" w:eastAsia="Times New Roman" w:hAnsi="Arial"/>
          <w:color w:val="222222"/>
          <w:sz w:val="24"/>
          <w:szCs w:val="24"/>
          <w:shd w:val="clear" w:color="auto" w:fill="ffffff"/>
          <w:lang w:val="en-US"/>
        </w:rPr>
        <w:t>Wereski</w:t>
      </w:r>
      <w:r>
        <w:rPr>
          <w:rFonts w:ascii="Arial" w:cs="Arial" w:eastAsia="Times New Roman" w:hAnsi="Arial"/>
          <w:color w:val="222222"/>
          <w:sz w:val="24"/>
          <w:szCs w:val="24"/>
          <w:shd w:val="clear" w:color="auto" w:fill="ffffff"/>
          <w:lang w:val="en-US"/>
        </w:rPr>
        <w:t>, R., Strachan, F.E. and Mills, N.L., 2021. Predictors of UK healthcare worker burnout during the COVID-19 pandemic. </w:t>
      </w:r>
      <w:r>
        <w:rPr>
          <w:rFonts w:ascii="Arial" w:cs="Arial" w:eastAsia="Times New Roman" w:hAnsi="Arial"/>
          <w:i/>
          <w:iCs/>
          <w:color w:val="222222"/>
          <w:sz w:val="24"/>
          <w:szCs w:val="24"/>
          <w:shd w:val="clear" w:color="auto" w:fill="ffffff"/>
          <w:lang w:val="en-US"/>
        </w:rPr>
        <w:t>QJM: An International Journal of Medicine</w:t>
      </w:r>
      <w:r>
        <w:rPr>
          <w:rFonts w:ascii="Arial" w:cs="Arial" w:eastAsia="Times New Roman" w:hAnsi="Arial"/>
          <w:color w:val="222222"/>
          <w:sz w:val="24"/>
          <w:szCs w:val="24"/>
          <w:shd w:val="clear" w:color="auto" w:fill="ffffff"/>
          <w:lang w:val="en-US"/>
        </w:rPr>
        <w:t>, </w:t>
      </w:r>
      <w:r>
        <w:rPr>
          <w:rFonts w:ascii="Arial" w:cs="Arial" w:eastAsia="Times New Roman" w:hAnsi="Arial"/>
          <w:i/>
          <w:iCs/>
          <w:color w:val="222222"/>
          <w:sz w:val="24"/>
          <w:szCs w:val="24"/>
          <w:shd w:val="clear" w:color="auto" w:fill="ffffff"/>
          <w:lang w:val="en-US"/>
        </w:rPr>
        <w:t>114</w:t>
      </w:r>
      <w:r>
        <w:rPr>
          <w:rFonts w:ascii="Arial" w:cs="Arial" w:eastAsia="Times New Roman" w:hAnsi="Arial"/>
          <w:color w:val="222222"/>
          <w:sz w:val="24"/>
          <w:szCs w:val="24"/>
          <w:shd w:val="clear" w:color="auto" w:fill="ffffff"/>
          <w:lang w:val="en-US"/>
        </w:rPr>
        <w:t>(6), pp.374-380.</w:t>
      </w:r>
    </w:p>
    <w:p>
      <w:pPr>
        <w:pStyle w:val="style0"/>
        <w:spacing w:after="160" w:lineRule="auto" w:line="360"/>
        <w:rPr>
          <w:rFonts w:ascii="Arial" w:cs="Arial" w:eastAsia="Times New Roman" w:hAnsi="Arial"/>
          <w:sz w:val="24"/>
          <w:szCs w:val="24"/>
          <w:lang w:val="en-US"/>
        </w:rPr>
      </w:pPr>
      <w:r>
        <w:rPr>
          <w:rFonts w:ascii="Arial" w:cs="Arial" w:eastAsia="Times New Roman" w:hAnsi="Arial"/>
          <w:bCs/>
          <w:sz w:val="24"/>
          <w:szCs w:val="24"/>
          <w:lang w:val="en-US"/>
        </w:rPr>
        <w:t>GovOS</w:t>
      </w:r>
      <w:r>
        <w:rPr>
          <w:rFonts w:ascii="Arial" w:cs="Arial" w:eastAsia="Times New Roman" w:hAnsi="Arial"/>
          <w:bCs/>
          <w:sz w:val="24"/>
          <w:szCs w:val="24"/>
          <w:lang w:val="en-US"/>
        </w:rPr>
        <w:t xml:space="preserve"> Team, 2022. What is Community Engagement? [online] Available at: </w:t>
      </w:r>
      <w:r>
        <w:rPr/>
        <w:fldChar w:fldCharType="begin"/>
      </w:r>
      <w:r>
        <w:instrText xml:space="preserve"> HYPERLINK "https://govos.com/blog/what-is-community-engagement/" </w:instrText>
      </w:r>
      <w:r>
        <w:rPr/>
        <w:fldChar w:fldCharType="separate"/>
      </w:r>
      <w:r>
        <w:rPr>
          <w:rFonts w:ascii="Arial" w:cs="Arial" w:eastAsia="Times New Roman" w:hAnsi="Arial"/>
          <w:color w:val="0000ff"/>
          <w:sz w:val="24"/>
          <w:szCs w:val="24"/>
          <w:u w:val="single"/>
          <w:lang w:val="en-US"/>
        </w:rPr>
        <w:t>https://govos.co</w:t>
      </w:r>
      <w:r>
        <w:rPr>
          <w:rFonts w:ascii="Arial" w:cs="Arial" w:eastAsia="Times New Roman" w:hAnsi="Arial"/>
          <w:color w:val="0000ff"/>
          <w:sz w:val="24"/>
          <w:szCs w:val="24"/>
          <w:u w:val="single"/>
          <w:lang w:val="en-US"/>
        </w:rPr>
        <w:t>m</w:t>
      </w:r>
      <w:r>
        <w:rPr>
          <w:rFonts w:ascii="Arial" w:cs="Arial" w:eastAsia="Times New Roman" w:hAnsi="Arial"/>
          <w:color w:val="0000ff"/>
          <w:sz w:val="24"/>
          <w:szCs w:val="24"/>
          <w:u w:val="single"/>
          <w:lang w:val="en-US"/>
        </w:rPr>
        <w:t>/blog/what-is-community-engagement/</w:t>
      </w:r>
      <w:r>
        <w:rPr/>
        <w:fldChar w:fldCharType="end"/>
      </w:r>
      <w:r>
        <w:rPr>
          <w:rFonts w:ascii="Arial" w:cs="Arial" w:eastAsia="Times New Roman" w:hAnsi="Arial"/>
          <w:sz w:val="24"/>
          <w:szCs w:val="24"/>
          <w:lang w:val="en-US"/>
        </w:rPr>
        <w:t xml:space="preserve"> [Accessed 28 August 2022].</w:t>
      </w:r>
    </w:p>
    <w:p>
      <w:pPr>
        <w:pStyle w:val="style0"/>
        <w:spacing w:after="160" w:lineRule="auto" w:line="360"/>
        <w:rPr>
          <w:rFonts w:ascii="Arial" w:cs="Arial" w:eastAsia="Times New Roman" w:hAnsi="Arial"/>
          <w:color w:val="222222"/>
          <w:sz w:val="24"/>
          <w:szCs w:val="24"/>
          <w:shd w:val="clear" w:color="auto" w:fill="ffffff"/>
          <w:lang w:val="en-US"/>
        </w:rPr>
      </w:pPr>
      <w:r>
        <w:rPr>
          <w:rFonts w:ascii="Arial" w:cs="Arial" w:eastAsia="Times New Roman" w:hAnsi="Arial"/>
          <w:color w:val="222222"/>
          <w:sz w:val="24"/>
          <w:szCs w:val="24"/>
          <w:shd w:val="clear" w:color="auto" w:fill="ffffff"/>
          <w:lang w:val="en-US"/>
        </w:rPr>
        <w:t>Jun, W.H. and Choi, E.J., 2020. The relationship between community integration and mental health recovery in people with mental health issues living in the community: A quantitative study. </w:t>
      </w:r>
      <w:r>
        <w:rPr>
          <w:rFonts w:ascii="Arial" w:cs="Arial" w:eastAsia="Times New Roman" w:hAnsi="Arial"/>
          <w:i/>
          <w:iCs/>
          <w:color w:val="222222"/>
          <w:sz w:val="24"/>
          <w:szCs w:val="24"/>
          <w:shd w:val="clear" w:color="auto" w:fill="ffffff"/>
          <w:lang w:val="en-US"/>
        </w:rPr>
        <w:t>Journal of Psychiatric and Mental Health Nursing</w:t>
      </w:r>
      <w:r>
        <w:rPr>
          <w:rFonts w:ascii="Arial" w:cs="Arial" w:eastAsia="Times New Roman" w:hAnsi="Arial"/>
          <w:color w:val="222222"/>
          <w:sz w:val="24"/>
          <w:szCs w:val="24"/>
          <w:shd w:val="clear" w:color="auto" w:fill="ffffff"/>
          <w:lang w:val="en-US"/>
        </w:rPr>
        <w:t>, </w:t>
      </w:r>
      <w:r>
        <w:rPr>
          <w:rFonts w:ascii="Arial" w:cs="Arial" w:eastAsia="Times New Roman" w:hAnsi="Arial"/>
          <w:i/>
          <w:iCs/>
          <w:color w:val="222222"/>
          <w:sz w:val="24"/>
          <w:szCs w:val="24"/>
          <w:shd w:val="clear" w:color="auto" w:fill="ffffff"/>
          <w:lang w:val="en-US"/>
        </w:rPr>
        <w:t>27</w:t>
      </w:r>
      <w:r>
        <w:rPr>
          <w:rFonts w:ascii="Arial" w:cs="Arial" w:eastAsia="Times New Roman" w:hAnsi="Arial"/>
          <w:color w:val="222222"/>
          <w:sz w:val="24"/>
          <w:szCs w:val="24"/>
          <w:shd w:val="clear" w:color="auto" w:fill="ffffff"/>
          <w:lang w:val="en-US"/>
        </w:rPr>
        <w:t>(3), pp.296-307.</w:t>
      </w:r>
    </w:p>
    <w:p>
      <w:pPr>
        <w:pStyle w:val="style0"/>
        <w:spacing w:after="160" w:lineRule="auto" w:line="360"/>
        <w:rPr>
          <w:rFonts w:ascii="Arial" w:cs="Arial" w:eastAsia="Times New Roman" w:hAnsi="Arial"/>
          <w:bCs/>
          <w:sz w:val="24"/>
          <w:szCs w:val="24"/>
          <w:lang w:val="en-US"/>
        </w:rPr>
      </w:pPr>
      <w:r>
        <w:rPr>
          <w:rFonts w:ascii="Arial" w:cs="Arial" w:eastAsia="Times New Roman" w:hAnsi="Arial"/>
          <w:bCs/>
          <w:sz w:val="24"/>
          <w:szCs w:val="24"/>
          <w:lang w:val="en-US"/>
        </w:rPr>
        <w:t xml:space="preserve">MindTools, 2020. Gibbs' Reflective Cycle Helping People Learn </w:t>
      </w:r>
      <w:r>
        <w:rPr>
          <w:rFonts w:ascii="Arial" w:cs="Arial" w:eastAsia="Times New Roman" w:hAnsi="Arial"/>
          <w:bCs/>
          <w:sz w:val="24"/>
          <w:szCs w:val="24"/>
          <w:lang w:val="en-US"/>
        </w:rPr>
        <w:t>From</w:t>
      </w:r>
      <w:r>
        <w:rPr>
          <w:rFonts w:ascii="Arial" w:cs="Arial" w:eastAsia="Times New Roman" w:hAnsi="Arial"/>
          <w:bCs/>
          <w:sz w:val="24"/>
          <w:szCs w:val="24"/>
          <w:lang w:val="en-US"/>
        </w:rPr>
        <w:t xml:space="preserve"> Experience. [online] Available at: </w:t>
      </w:r>
      <w:r>
        <w:rPr/>
        <w:fldChar w:fldCharType="begin"/>
      </w:r>
      <w:r>
        <w:instrText xml:space="preserve"> HYPERLINK "https://www.mindtools.com/pages/article/reflective-cycle.htm" </w:instrText>
      </w:r>
      <w:r>
        <w:rPr/>
        <w:fldChar w:fldCharType="separate"/>
      </w:r>
      <w:r>
        <w:rPr>
          <w:rFonts w:ascii="Arial" w:cs="Arial" w:eastAsia="Times New Roman" w:hAnsi="Arial"/>
          <w:color w:val="0000ff"/>
          <w:sz w:val="24"/>
          <w:szCs w:val="24"/>
          <w:u w:val="single"/>
          <w:lang w:val="en-US"/>
        </w:rPr>
        <w:t>https://ww</w:t>
      </w:r>
      <w:r>
        <w:rPr>
          <w:rFonts w:ascii="Arial" w:cs="Arial" w:eastAsia="Times New Roman" w:hAnsi="Arial"/>
          <w:color w:val="0000ff"/>
          <w:sz w:val="24"/>
          <w:szCs w:val="24"/>
          <w:u w:val="single"/>
          <w:lang w:val="en-US"/>
        </w:rPr>
        <w:t>w</w:t>
      </w:r>
      <w:r>
        <w:rPr>
          <w:rFonts w:ascii="Arial" w:cs="Arial" w:eastAsia="Times New Roman" w:hAnsi="Arial"/>
          <w:color w:val="0000ff"/>
          <w:sz w:val="24"/>
          <w:szCs w:val="24"/>
          <w:u w:val="single"/>
          <w:lang w:val="en-US"/>
        </w:rPr>
        <w:t>.mindtools.com/pages/article/reflective-cycle.htm</w:t>
      </w:r>
      <w:r>
        <w:rPr/>
        <w:fldChar w:fldCharType="end"/>
      </w:r>
      <w:r>
        <w:rPr>
          <w:rFonts w:ascii="Arial" w:cs="Arial" w:eastAsia="Times New Roman" w:hAnsi="Arial"/>
          <w:sz w:val="24"/>
          <w:szCs w:val="24"/>
          <w:lang w:val="en-US"/>
        </w:rPr>
        <w:t xml:space="preserve"> [Accessed 28 August 2022].</w:t>
      </w:r>
    </w:p>
    <w:p>
      <w:pPr>
        <w:pStyle w:val="style0"/>
        <w:spacing w:after="160" w:lineRule="auto" w:line="360"/>
        <w:rPr>
          <w:rFonts w:ascii="Arial" w:cs="Arial" w:eastAsia="Times New Roman" w:hAnsi="Arial"/>
          <w:sz w:val="24"/>
          <w:szCs w:val="24"/>
          <w:lang w:val="en-US"/>
        </w:rPr>
      </w:pPr>
      <w:r>
        <w:rPr>
          <w:rFonts w:ascii="Arial" w:cs="Arial" w:eastAsia="Times New Roman" w:hAnsi="Arial"/>
          <w:bCs/>
          <w:sz w:val="24"/>
          <w:szCs w:val="24"/>
          <w:lang w:val="en-US"/>
        </w:rPr>
        <w:t xml:space="preserve">Murthy, V., 2022. Confronting Health Worker Burnout and Well-Being. [online] Available at: </w:t>
      </w:r>
      <w:r>
        <w:rPr/>
        <w:fldChar w:fldCharType="begin"/>
      </w:r>
      <w:r>
        <w:instrText xml:space="preserve"> HYPERLINK "https://www.nejm.org/doi/full/10.1056/NEJMp2207252" </w:instrText>
      </w:r>
      <w:r>
        <w:rPr/>
        <w:fldChar w:fldCharType="separate"/>
      </w:r>
      <w:r>
        <w:rPr>
          <w:rFonts w:ascii="Arial" w:cs="Arial" w:eastAsia="Times New Roman" w:hAnsi="Arial"/>
          <w:color w:val="0000ff"/>
          <w:sz w:val="24"/>
          <w:szCs w:val="24"/>
          <w:u w:val="single"/>
          <w:lang w:val="en-US"/>
        </w:rPr>
        <w:t>https://w</w:t>
      </w:r>
      <w:r>
        <w:rPr>
          <w:rFonts w:ascii="Arial" w:cs="Arial" w:eastAsia="Times New Roman" w:hAnsi="Arial"/>
          <w:color w:val="0000ff"/>
          <w:sz w:val="24"/>
          <w:szCs w:val="24"/>
          <w:u w:val="single"/>
          <w:lang w:val="en-US"/>
        </w:rPr>
        <w:t>w</w:t>
      </w:r>
      <w:r>
        <w:rPr>
          <w:rFonts w:ascii="Arial" w:cs="Arial" w:eastAsia="Times New Roman" w:hAnsi="Arial"/>
          <w:color w:val="0000ff"/>
          <w:sz w:val="24"/>
          <w:szCs w:val="24"/>
          <w:u w:val="single"/>
          <w:lang w:val="en-US"/>
        </w:rPr>
        <w:t>w.nejm.org/doi/full/10.1056/NEJMp2207252</w:t>
      </w:r>
      <w:r>
        <w:rPr/>
        <w:fldChar w:fldCharType="end"/>
      </w:r>
      <w:r>
        <w:rPr>
          <w:rFonts w:ascii="Arial" w:cs="Arial" w:eastAsia="Times New Roman" w:hAnsi="Arial"/>
          <w:sz w:val="24"/>
          <w:szCs w:val="24"/>
          <w:lang w:val="en-US"/>
        </w:rPr>
        <w:t xml:space="preserve"> [Accessed 28 August 2022].</w:t>
      </w:r>
    </w:p>
    <w:p>
      <w:pPr>
        <w:pStyle w:val="style0"/>
        <w:spacing w:after="160" w:lineRule="auto" w:line="360"/>
        <w:rPr>
          <w:rFonts w:ascii="Arial" w:cs="Arial" w:eastAsia="Times New Roman" w:hAnsi="Arial"/>
          <w:sz w:val="24"/>
          <w:szCs w:val="24"/>
          <w:lang w:val="en-US"/>
        </w:rPr>
      </w:pPr>
      <w:r>
        <w:rPr>
          <w:rFonts w:ascii="Arial" w:cs="Arial" w:eastAsia="Times New Roman" w:hAnsi="Arial"/>
          <w:bCs/>
          <w:sz w:val="24"/>
          <w:szCs w:val="24"/>
          <w:lang w:val="en-US"/>
        </w:rPr>
        <w:t xml:space="preserve">NBS, n.d. Engage Your Community Stakeholders: A Guide for Businesses. [online] Available at: </w:t>
      </w:r>
      <w:r>
        <w:rPr/>
        <w:fldChar w:fldCharType="begin"/>
      </w:r>
      <w:r>
        <w:instrText xml:space="preserve"> HYPERLINK "https://nbs.net/engage-your-community-stakeholders-an-introductory-guide-for-businesses/" </w:instrText>
      </w:r>
      <w:r>
        <w:rPr/>
        <w:fldChar w:fldCharType="separate"/>
      </w:r>
      <w:r>
        <w:rPr>
          <w:rFonts w:ascii="Arial" w:cs="Arial" w:eastAsia="Times New Roman" w:hAnsi="Arial"/>
          <w:color w:val="0000ff"/>
          <w:sz w:val="24"/>
          <w:szCs w:val="24"/>
          <w:u w:val="single"/>
          <w:lang w:val="en-US"/>
        </w:rPr>
        <w:t>https:/</w:t>
      </w:r>
      <w:r>
        <w:rPr>
          <w:rFonts w:ascii="Arial" w:cs="Arial" w:eastAsia="Times New Roman" w:hAnsi="Arial"/>
          <w:color w:val="0000ff"/>
          <w:sz w:val="24"/>
          <w:szCs w:val="24"/>
          <w:u w:val="single"/>
          <w:lang w:val="en-US"/>
        </w:rPr>
        <w:t>/</w:t>
      </w:r>
      <w:r>
        <w:rPr>
          <w:rFonts w:ascii="Arial" w:cs="Arial" w:eastAsia="Times New Roman" w:hAnsi="Arial"/>
          <w:color w:val="0000ff"/>
          <w:sz w:val="24"/>
          <w:szCs w:val="24"/>
          <w:u w:val="single"/>
          <w:lang w:val="en-US"/>
        </w:rPr>
        <w:t>nbs.net/engage-your-community-stakeholders-an-introductory-guide-for-businesses/</w:t>
      </w:r>
      <w:r>
        <w:rPr/>
        <w:fldChar w:fldCharType="end"/>
      </w:r>
      <w:r>
        <w:rPr>
          <w:rFonts w:ascii="Arial" w:cs="Arial" w:eastAsia="Times New Roman" w:hAnsi="Arial"/>
          <w:sz w:val="24"/>
          <w:szCs w:val="24"/>
          <w:lang w:val="en-US"/>
        </w:rPr>
        <w:t xml:space="preserve"> [Accessed 28 August 2022].</w:t>
      </w:r>
    </w:p>
    <w:p>
      <w:pPr>
        <w:pStyle w:val="style0"/>
        <w:spacing w:after="160" w:lineRule="auto" w:line="360"/>
        <w:rPr>
          <w:rFonts w:ascii="Arial" w:cs="Arial" w:eastAsia="Times New Roman" w:hAnsi="Arial"/>
          <w:sz w:val="24"/>
          <w:szCs w:val="24"/>
          <w:lang w:val="en-US"/>
        </w:rPr>
      </w:pPr>
      <w:r>
        <w:rPr>
          <w:rFonts w:ascii="Arial" w:cs="Arial" w:eastAsia="Times New Roman" w:hAnsi="Arial"/>
          <w:bCs/>
          <w:sz w:val="24"/>
          <w:szCs w:val="24"/>
          <w:lang w:val="en-US"/>
        </w:rPr>
        <w:t xml:space="preserve">Ovens, J., 2022. Top 10 Creative Community Engagement Strategies You Can Try Today. [online] Available at: </w:t>
      </w:r>
      <w:r>
        <w:rPr/>
        <w:fldChar w:fldCharType="begin"/>
      </w:r>
      <w:r>
        <w:instrText xml:space="preserve"> HYPERLINK "https://www.disciplemedia.com/engaging-your-community/community-engagement-strategies/" </w:instrText>
      </w:r>
      <w:r>
        <w:rPr/>
        <w:fldChar w:fldCharType="separate"/>
      </w:r>
      <w:r>
        <w:rPr>
          <w:rFonts w:ascii="Arial" w:cs="Arial" w:eastAsia="Times New Roman" w:hAnsi="Arial"/>
          <w:color w:val="0000ff"/>
          <w:sz w:val="24"/>
          <w:szCs w:val="24"/>
          <w:u w:val="single"/>
          <w:lang w:val="en-US"/>
        </w:rPr>
        <w:t>https://www.disciplemedia.com/engaging-your-community/community-engagem</w:t>
      </w:r>
      <w:r>
        <w:rPr>
          <w:rFonts w:ascii="Arial" w:cs="Arial" w:eastAsia="Times New Roman" w:hAnsi="Arial"/>
          <w:color w:val="0000ff"/>
          <w:sz w:val="24"/>
          <w:szCs w:val="24"/>
          <w:u w:val="single"/>
          <w:lang w:val="en-US"/>
        </w:rPr>
        <w:t>e</w:t>
      </w:r>
      <w:r>
        <w:rPr>
          <w:rFonts w:ascii="Arial" w:cs="Arial" w:eastAsia="Times New Roman" w:hAnsi="Arial"/>
          <w:color w:val="0000ff"/>
          <w:sz w:val="24"/>
          <w:szCs w:val="24"/>
          <w:u w:val="single"/>
          <w:lang w:val="en-US"/>
        </w:rPr>
        <w:t>nt-strategies/</w:t>
      </w:r>
      <w:r>
        <w:rPr/>
        <w:fldChar w:fldCharType="end"/>
      </w:r>
      <w:r>
        <w:rPr>
          <w:rFonts w:ascii="Arial" w:cs="Arial" w:eastAsia="Times New Roman" w:hAnsi="Arial"/>
          <w:sz w:val="24"/>
          <w:szCs w:val="24"/>
          <w:lang w:val="en-US"/>
        </w:rPr>
        <w:t xml:space="preserve"> [Accessed 28 August 2022].</w:t>
      </w:r>
    </w:p>
    <w:p>
      <w:pPr>
        <w:pStyle w:val="style0"/>
        <w:rPr>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cc"/>
    <w:family w:val="swiss"/>
    <w:pitch w:val="variable"/>
    <w:sig w:usb0="E4002EFF" w:usb1="C000247B" w:usb2="00000009" w:usb3="00000000" w:csb0="000001FF" w:csb1="00000000"/>
  </w:font>
  <w:font w:name="Times New Roman">
    <w:altName w:val="Times New Roman"/>
    <w:panose1 w:val="02020603050004020304"/>
    <w:charset w:val="cc"/>
    <w:family w:val="roman"/>
    <w:pitch w:val="variable"/>
    <w:sig w:usb0="E0002EFF" w:usb1="C000785B" w:usb2="00000009" w:usb3="00000000" w:csb0="000001FF" w:csb1="00000000"/>
  </w:font>
  <w:font w:name="Cambria">
    <w:altName w:val="Cambria"/>
    <w:panose1 w:val="02040503050004030204"/>
    <w:charset w:val="cc"/>
    <w:family w:val="roman"/>
    <w:pitch w:val="variable"/>
    <w:sig w:usb0="E00006FF" w:usb1="420024FF" w:usb2="02000000" w:usb3="00000000" w:csb0="0000019F" w:csb1="00000000"/>
  </w:font>
  <w:font w:name="Tahoma">
    <w:altName w:val="Tahoma"/>
    <w:panose1 w:val="020b0604030005040204"/>
    <w:charset w:val="cc"/>
    <w:family w:val="swiss"/>
    <w:pitch w:val="variable"/>
    <w:sig w:usb0="E1002EFF" w:usb1="C000605B" w:usb2="00000029" w:usb3="00000000" w:csb0="000101FF" w:csb1="00000000"/>
  </w:font>
  <w:font w:name="Arial">
    <w:altName w:val="Arial"/>
    <w:panose1 w:val="020b06040200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bg-BG"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480" w:after="0"/>
      <w:outlineLvl w:val="0"/>
    </w:pPr>
    <w:rPr>
      <w:rFonts w:ascii="Cambria" w:cs="宋体" w:eastAsia="宋体" w:hAnsi="Cambria"/>
      <w:b/>
      <w:bCs/>
      <w:color w:val="365f91"/>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c92443f4-086d-4197-a637-5fde46b7eb14"/>
    <w:basedOn w:val="style65"/>
    <w:next w:val="style4097"/>
    <w:link w:val="style1"/>
    <w:uiPriority w:val="9"/>
    <w:rPr>
      <w:rFonts w:ascii="Cambria" w:cs="宋体" w:eastAsia="宋体" w:hAnsi="Cambria"/>
      <w:b/>
      <w:bCs/>
      <w:color w:val="365f91"/>
      <w:sz w:val="28"/>
      <w:szCs w:val="28"/>
    </w:rPr>
  </w:style>
  <w:style w:type="paragraph" w:styleId="style266">
    <w:name w:val="TOC Heading"/>
    <w:basedOn w:val="style1"/>
    <w:next w:val="style0"/>
    <w:qFormat/>
    <w:uiPriority w:val="39"/>
    <w:pPr>
      <w:outlineLvl w:val="9"/>
    </w:pPr>
    <w:rPr>
      <w:lang w:val="en-US" w:eastAsia="ja-JP"/>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8"/>
    <w:uiPriority w:val="99"/>
    <w:pPr>
      <w:spacing w:after="0" w:lineRule="auto" w:line="240"/>
    </w:pPr>
    <w:rPr>
      <w:rFonts w:ascii="Tahoma" w:cs="Tahoma" w:hAnsi="Tahoma"/>
      <w:sz w:val="16"/>
      <w:szCs w:val="16"/>
    </w:rPr>
  </w:style>
  <w:style w:type="character" w:customStyle="1" w:styleId="style4098">
    <w:name w:val="Balloon Text Char"/>
    <w:basedOn w:val="style65"/>
    <w:next w:val="style4098"/>
    <w:link w:val="style153"/>
    <w:uiPriority w:val="99"/>
    <w:rPr>
      <w:rFonts w:ascii="Tahoma" w:cs="Tahoma" w:hAnsi="Tahoma"/>
      <w:sz w:val="16"/>
      <w:szCs w:val="16"/>
    </w:rPr>
  </w:style>
  <w:style w:type="character" w:styleId="style86">
    <w:name w:val="FollowedHyperlink"/>
    <w:basedOn w:val="style65"/>
    <w:next w:val="style86"/>
    <w:uiPriority w:val="99"/>
    <w:rPr>
      <w:color w:val="800080"/>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BB71F8-0994-45FA-98CC-24A33AF9A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Words>2191</Words>
  <Pages>9</Pages>
  <Characters>13340</Characters>
  <Application>WPS Office</Application>
  <DocSecurity>0</DocSecurity>
  <Paragraphs>62</Paragraphs>
  <ScaleCrop>false</ScaleCrop>
  <LinksUpToDate>false</LinksUpToDate>
  <CharactersWithSpaces>15500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2022-08-27T12:13:00Z</dcterms:created>
  <dc:creator>Admin</dc:creator>
  <lastModifiedBy>M2007J3SG</lastModifiedBy>
  <dcterms:modified xsi:type="dcterms:W3CDTF">2022-08-30T10:44:48Z</dcterms:modified>
  <revision>16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9781291f15d142e6a1e39755378de95e</vt:lpwstr>
  </property>
</Properties>
</file>