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2"/>
        <w:rPr/>
      </w:pPr>
      <w:bookmarkStart w:colFirst="0" w:colLast="0" w:name="_q5yok7tvfil1" w:id="0"/>
      <w:bookmarkEnd w:id="0"/>
      <w:r w:rsidDel="00000000" w:rsidR="00000000" w:rsidRPr="00000000">
        <w:rPr>
          <w:rtl w:val="0"/>
        </w:rPr>
        <w:t xml:space="preserve">Critical evaluation of inverted and absent qualia and their objections to functionalism</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Functionalism is a physicalist theory put forward by the philosopher Hilary Putnam to explain how the mind can be seen to be a series of inputs and outputs, however this doesn’t seem to leave room for qualia. Qualia is the term used to describe feeling or unique character experiences. Being happy, sad, scared or angry are all different forms of qualia. Functionalism puts forward a reductionist veiw of this and says that qualia is simpy a functional response to stimuli and that minds all work in a similar way in regards to qualia. This essay will look at two objections to this, known as inverted and absent qualia. These objections show how even if all the functional facts of a persons being may stay the same the qualia may vary, or in fact not be there at all. This essay will largely look at the works of Block and Fodor to argue this point, and Sydney Shoemaker to attempt to refute these claims.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Functionalism is a theory put forward by Hilary Putnam to refute Mind-Brain Identity theory (aka identity theory). Identity theories essentially state that “mental states are brain states”</w:t>
      </w:r>
      <w:r w:rsidDel="00000000" w:rsidR="00000000" w:rsidRPr="00000000">
        <w:rPr>
          <w:vertAlign w:val="superscript"/>
        </w:rPr>
        <w:footnoteReference w:customMarkFollows="0" w:id="0"/>
      </w:r>
      <w:r w:rsidDel="00000000" w:rsidR="00000000" w:rsidRPr="00000000">
        <w:rPr>
          <w:rtl w:val="0"/>
        </w:rPr>
        <w:t xml:space="preserve">. Putnam dislikes this kind of explanation saying that it “should be rejected because not only will it raise more questions than it purports to solve, but also that it will not extend our knowledge of the external world.”</w:t>
      </w:r>
      <w:r w:rsidDel="00000000" w:rsidR="00000000" w:rsidRPr="00000000">
        <w:rPr>
          <w:vertAlign w:val="superscript"/>
        </w:rPr>
        <w:footnoteReference w:customMarkFollows="0" w:id="1"/>
      </w:r>
      <w:r w:rsidDel="00000000" w:rsidR="00000000" w:rsidRPr="00000000">
        <w:rPr>
          <w:rtl w:val="0"/>
        </w:rPr>
        <w:t xml:space="preserve"> Instead functionalism argues that no matter what the material is, as long as it functions as a mental state then it is a mental state. Putnam famously uses the Turing machine as an example and a foundation for his theory of computationalism.</w:t>
      </w:r>
      <w:r w:rsidDel="00000000" w:rsidR="00000000" w:rsidRPr="00000000">
        <w:rPr>
          <w:vertAlign w:val="superscript"/>
        </w:rPr>
        <w:footnoteReference w:customMarkFollows="0" w:id="2"/>
      </w:r>
      <w:r w:rsidDel="00000000" w:rsidR="00000000" w:rsidRPr="00000000">
        <w:rPr>
          <w:rtl w:val="0"/>
        </w:rPr>
        <w:t xml:space="preserve"> Putnam believes that “each functional organisation is a computational organisation.”</w:t>
      </w:r>
      <w:r w:rsidDel="00000000" w:rsidR="00000000" w:rsidRPr="00000000">
        <w:rPr>
          <w:vertAlign w:val="superscript"/>
        </w:rPr>
        <w:footnoteReference w:customMarkFollows="0" w:id="3"/>
      </w:r>
      <w:r w:rsidDel="00000000" w:rsidR="00000000" w:rsidRPr="00000000">
        <w:rPr>
          <w:rtl w:val="0"/>
        </w:rPr>
        <w:t xml:space="preserve"> occurring in the “form of input, instruction and output”</w:t>
      </w:r>
      <w:r w:rsidDel="00000000" w:rsidR="00000000" w:rsidRPr="00000000">
        <w:rPr>
          <w:vertAlign w:val="superscript"/>
        </w:rPr>
        <w:footnoteReference w:customMarkFollows="0" w:id="4"/>
      </w:r>
      <w:r w:rsidDel="00000000" w:rsidR="00000000" w:rsidRPr="00000000">
        <w:rPr>
          <w:rtl w:val="0"/>
        </w:rPr>
        <w:t xml:space="preserve">.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This purely logic based description of the human experience raises questions, as it seems like such a reductionist theory. It doesn’t allow for qualia or unique qualitative experiences. Putnam is saying that we are all essentially machines and that given the right input and instruction, we have no choice but to produce a certain outcome. This seems to nullify all free will and creativity. It is for this reason why I think that so many people have problems with it. It is clear, however, that these computational functional states are true for at least some things. For example, if you touch something hot, you instinctively move away from it, this occurs unconsciously and therefore has no need for qualia, it is simply a biological response to certain stimuli. Seeing as this is an unconscious action, this, as well as all instinctive physical reactions, should not be considered a mental state. The mental state would be the conscious reaction to this event, how did it feel. Within this, there can be a seemingly infinite amount of reactionary possibilities. One person may get angry, one person may feel scared, one person may not care at all. But it is clear that these differences in qualitative experience challenge functionalism. This is what inverted and absent qualia look to address. I will now give a more in depth description and evaluation of inverted qualia.</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“Qualia can be said to be inverted if different people have different qualitative experiences associated with the sensation of the same objects or states of affairs.”</w:t>
      </w:r>
      <w:r w:rsidDel="00000000" w:rsidR="00000000" w:rsidRPr="00000000">
        <w:rPr>
          <w:vertAlign w:val="superscript"/>
        </w:rPr>
        <w:footnoteReference w:customMarkFollows="0" w:id="5"/>
      </w:r>
      <w:r w:rsidDel="00000000" w:rsidR="00000000" w:rsidRPr="00000000">
        <w:rPr>
          <w:rtl w:val="0"/>
        </w:rPr>
        <w:t xml:space="preserve">. To picture this we can use possibly the most famous example of inverted qualia, ‘The Inverted Spectrum’ originated by John Locke.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inverted spectrum argument asks you to imagine that one day you wake up and all the colours in the world have been inverted, whilst everyone else’s remain the same. All of your reds are now green and all blues are now orange and so on. This would be a drastic and fundamental change to your own qualitative experience. Functionalist would say that because all of your inputs have changed your outputs must change also. But this isn’t what the argument claims to state. The inverted spectrum argument says that nothing in the way in which you function has to change, even though all the inputs have. In another way of speaking “even when all of the relevant physical (or functional or intentional or behavioural) facts are held constant, the facts about qualia can still vary”</w:t>
      </w:r>
      <w:r w:rsidDel="00000000" w:rsidR="00000000" w:rsidRPr="00000000">
        <w:rPr>
          <w:vertAlign w:val="superscript"/>
        </w:rPr>
        <w:footnoteReference w:customMarkFollows="0" w:id="6"/>
      </w:r>
      <w:r w:rsidDel="00000000" w:rsidR="00000000" w:rsidRPr="00000000">
        <w:rPr>
          <w:rtl w:val="0"/>
        </w:rPr>
        <w:t xml:space="preserve">.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Functionalists typically have two ways of refuting this argument, one is the inconceivability argument and the other; that qualia does not require consideration.</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inconceivability argument is the opposite of the conceivability argument that is often associated with absent qualia. The argument goes 1. Inverted qualia is inconceivable; 2. If inverted qualia is inconceivable then qualia is not able to change independently of the facts of functionalism; 3. If qualia isn’t able to change independently of the facts of functionalism then inverted qualia is false; therefore 4. Inverted qualia is false.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The problem that this inconceivability argument poses is that it would be impossible to tell whether somebody has inverted qualia or not. For example, if one person saw red as green, yet they still called it red, as that is what they have been taught it is. Two people could look at a fire engine and say it looks red even though they are having two fundamentally different experiences of it. Again this would mean that even though their qualitative experiences are completely different the function and process of their interaction would not be changed. In other words, they would be seemingly functionally identical, even though their qualitative experiences vary. But, seeing as this cannot be known, doubt is cast upon the inverted qualia argument. </w:t>
      </w:r>
    </w:p>
    <w:p w:rsidR="00000000" w:rsidDel="00000000" w:rsidP="00000000" w:rsidRDefault="00000000" w:rsidRPr="00000000" w14:paraId="00000012">
      <w:pPr>
        <w:rPr/>
      </w:pPr>
      <w:r w:rsidDel="00000000" w:rsidR="00000000" w:rsidRPr="00000000">
        <w:rPr>
          <w:rtl w:val="0"/>
        </w:rPr>
        <w:t xml:space="preserve">However, in an article written by Martine Nida-Rümelin named ‘Pseudonormal Vision: An Actual Case of Qualia Inversion? She states that: “Theories about the physiological basis of colour vision deficiencies lead to the prediction that some people are ‘pseudonormal’ (according to an estimation of Piantandia (1974) this occurs in around 14 of 10 000 males).</w:t>
      </w:r>
      <w:r w:rsidDel="00000000" w:rsidR="00000000" w:rsidRPr="00000000">
        <w:rPr>
          <w:vertAlign w:val="superscript"/>
        </w:rPr>
        <w:footnoteReference w:customMarkFollows="0" w:id="7"/>
      </w:r>
      <w:r w:rsidDel="00000000" w:rsidR="00000000" w:rsidRPr="00000000">
        <w:rPr>
          <w:rtl w:val="0"/>
        </w:rPr>
        <w:t xml:space="preserve"> Pseudonormal people “would be expected to have normal colour vision except that the sensations of red and green would be reversed - something that would be difficult, if not impossible, to prove.”</w:t>
      </w:r>
      <w:r w:rsidDel="00000000" w:rsidR="00000000" w:rsidRPr="00000000">
        <w:rPr>
          <w:vertAlign w:val="superscript"/>
        </w:rPr>
        <w:footnoteReference w:customMarkFollows="0" w:id="8"/>
      </w:r>
      <w:r w:rsidDel="00000000" w:rsidR="00000000" w:rsidRPr="00000000">
        <w:rPr>
          <w:rtl w:val="0"/>
        </w:rPr>
        <w:t xml:space="preserve">”</w:t>
      </w:r>
      <w:r w:rsidDel="00000000" w:rsidR="00000000" w:rsidRPr="00000000">
        <w:rPr>
          <w:vertAlign w:val="superscript"/>
        </w:rPr>
        <w:footnoteReference w:customMarkFollows="0" w:id="9"/>
      </w: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Even though this ‘pseudonormal vision’ would be impossible to prove it does seem highly likely that it exists and is actually rather common, this not only makes inverted qualia conceivable, but also a very real possibility.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other common rebuttal of inverted qualia that functionalists use, is that qualia does not require consideration.This however, leads directly into the next objection of functionalism ‘absent qualia’. Block and Fodor highlight the argument that functionalist give: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“He might say that, given two functionally identical psychological states, we would (or perhaps "should") take them to be type identical, independent of their qualitative properties: that is, that differences between the qualitative properties of psychological states which do not determine corresponding functional differences are ipso facto irrelevant to the goals of theory construction in psychology, and hence should be ignored”</w:t>
      </w:r>
      <w:r w:rsidDel="00000000" w:rsidR="00000000" w:rsidRPr="00000000">
        <w:rPr>
          <w:vertAlign w:val="superscript"/>
        </w:rPr>
        <w:footnoteReference w:customMarkFollows="0" w:id="10"/>
      </w:r>
      <w:r w:rsidDel="00000000" w:rsidR="00000000" w:rsidRPr="00000000">
        <w:rPr>
          <w:rtl w:val="0"/>
        </w:rPr>
        <w:t xml:space="preserve">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Block and Fodor then go on to suggest this may be possible, even if it’s true that all people may have different qualia in accordance with what functionalism states as pain. They say that “It seems fairly clear that in this case it might be reasonable to say that the character of an organism's qualia is irrelevant to whether it is in pain or (equivalently) that pains feel quite different to different organisms.”</w:t>
      </w:r>
      <w:r w:rsidDel="00000000" w:rsidR="00000000" w:rsidRPr="00000000">
        <w:rPr>
          <w:vertAlign w:val="superscript"/>
        </w:rPr>
        <w:footnoteReference w:customMarkFollows="0" w:id="11"/>
      </w:r>
      <w:r w:rsidDel="00000000" w:rsidR="00000000" w:rsidRPr="00000000">
        <w:rPr>
          <w:rtl w:val="0"/>
        </w:rPr>
        <w:t xml:space="preserve">. But this point is instantly refuted by Block and Fodor by coming up with what is known as the absent qualia objection. They say that by allowing for two functionally identical organisms to go through something such as pain and yet still having different qualia, it must therefore be possible that one of these functionally identical organisms can experience pain without “qualitative content”</w:t>
      </w:r>
      <w:r w:rsidDel="00000000" w:rsidR="00000000" w:rsidRPr="00000000">
        <w:rPr>
          <w:vertAlign w:val="superscript"/>
        </w:rPr>
        <w:footnoteReference w:customMarkFollows="0" w:id="12"/>
      </w:r>
      <w:r w:rsidDel="00000000" w:rsidR="00000000" w:rsidRPr="00000000">
        <w:rPr>
          <w:rtl w:val="0"/>
        </w:rPr>
        <w:t xml:space="preserve">. This “would require us to say that an organism might be in pain even though it is feeling nothing at all”</w:t>
      </w:r>
      <w:r w:rsidDel="00000000" w:rsidR="00000000" w:rsidRPr="00000000">
        <w:rPr>
          <w:vertAlign w:val="superscript"/>
        </w:rPr>
        <w:footnoteReference w:customMarkFollows="0" w:id="13"/>
      </w:r>
      <w:r w:rsidDel="00000000" w:rsidR="00000000" w:rsidRPr="00000000">
        <w:rPr>
          <w:rtl w:val="0"/>
        </w:rPr>
        <w:t xml:space="preserve">. Which Block and Fodor say is “totally unacceptable”. It surely goes against all reason that somebody can experience pain whilst feeling nothing at all, but this seems to be the problem that arises when you allow for different qualia within identical functional states. It would therefore be fair to say that the “resources of physics and functionalism are incapable, in principle, of capturing the intrinsic qualitative character of mental states”</w:t>
      </w:r>
      <w:r w:rsidDel="00000000" w:rsidR="00000000" w:rsidRPr="00000000">
        <w:rPr>
          <w:vertAlign w:val="superscript"/>
        </w:rPr>
        <w:footnoteReference w:customMarkFollows="0" w:id="14"/>
      </w:r>
      <w:r w:rsidDel="00000000" w:rsidR="00000000" w:rsidRPr="00000000">
        <w:rPr>
          <w:rtl w:val="0"/>
        </w:rPr>
        <w:t xml:space="preserve">. This being true, collapses Putnam's theory.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Sydney Shoemaker, a well known functionalist, seems to feel required to respond to these objections in his article ‘Functionalism and Qualia’ as he says that “if cases of ‘absent qualia’ are possible, i.e., … then not only FSIT, but also functionalism in the broad sense, would seem to be untenable.”</w:t>
      </w:r>
      <w:r w:rsidDel="00000000" w:rsidR="00000000" w:rsidRPr="00000000">
        <w:rPr>
          <w:vertAlign w:val="superscript"/>
        </w:rPr>
        <w:footnoteReference w:customMarkFollows="0" w:id="15"/>
      </w:r>
      <w:r w:rsidDel="00000000" w:rsidR="00000000" w:rsidRPr="00000000">
        <w:rPr>
          <w:rtl w:val="0"/>
        </w:rPr>
        <w:t xml:space="preserve"> Functionalism “claims that for any organism that satisfies psychological predicates at all, there exists a unique best description such that each psychological state of the organism is identical with one of its machine table states relative to that description.”</w:t>
      </w:r>
      <w:r w:rsidDel="00000000" w:rsidR="00000000" w:rsidRPr="00000000">
        <w:rPr>
          <w:vertAlign w:val="superscript"/>
        </w:rPr>
        <w:footnoteReference w:customMarkFollows="0" w:id="16"/>
      </w:r>
      <w:r w:rsidDel="00000000" w:rsidR="00000000" w:rsidRPr="00000000">
        <w:rPr>
          <w:rtl w:val="0"/>
        </w:rPr>
        <w:t xml:space="preserve">. This is therefore how Shoemaker tries to argue against Block and Fodor. As if he can assign a “unique best description” of qualia to coincide within the realms of functionalism, it would mean that absent qualia isn’t fatal to the theory. Shoemaker makes the case that “If mental states can be alike or different in ‘qualitative character’, we should be able to speak of a class of states, call them ‘qualitative states’, whose ‘type-identity conditions’ could be specified in terms of the notion of qualitative (or ‘phenomenological’) similarity”</w:t>
      </w:r>
      <w:r w:rsidDel="00000000" w:rsidR="00000000" w:rsidRPr="00000000">
        <w:rPr>
          <w:vertAlign w:val="superscript"/>
        </w:rPr>
        <w:footnoteReference w:customMarkFollows="0" w:id="17"/>
      </w:r>
      <w:r w:rsidDel="00000000" w:rsidR="00000000" w:rsidRPr="00000000">
        <w:rPr>
          <w:rtl w:val="0"/>
        </w:rPr>
        <w:t xml:space="preserve">. Shoemaker uses an example of a headache, saying that, the qualitative character of his last headache becomes a qualitative state that others could have, regardless if it shows itself as a headache. This allows for a difference in functional facts but the same functionally explainable qualitative state. This adresses a the key problem with inverted qualia but not absent qualia. Shoemaker goes on to say that “We can establish the impossibility of ‘absent qualia’ if we can show that if a state is functionally identical to a state having qualitative content then it must itself have qualitative content”</w:t>
      </w:r>
      <w:r w:rsidDel="00000000" w:rsidR="00000000" w:rsidRPr="00000000">
        <w:rPr>
          <w:vertAlign w:val="superscript"/>
        </w:rPr>
        <w:footnoteReference w:customMarkFollows="0" w:id="18"/>
      </w:r>
      <w:r w:rsidDel="00000000" w:rsidR="00000000" w:rsidRPr="00000000">
        <w:rPr>
          <w:rtl w:val="0"/>
        </w:rPr>
        <w:t xml:space="preserve">. To do this Shoemaker comes up with another new term ‘qualitative belief’. Qualitative belief stems from the idea that some psychological states give rise to “introspective awarness of themselves”. Take pain, when you feel pain you know that you feel a certain way. This is what Shoemaker means by qualitative belief “a belief to the effect that one feels a certain way”</w:t>
      </w:r>
      <w:r w:rsidDel="00000000" w:rsidR="00000000" w:rsidRPr="00000000">
        <w:rPr>
          <w:vertAlign w:val="superscript"/>
        </w:rPr>
        <w:footnoteReference w:customMarkFollows="0" w:id="19"/>
      </w:r>
      <w:r w:rsidDel="00000000" w:rsidR="00000000" w:rsidRPr="00000000">
        <w:rPr>
          <w:rtl w:val="0"/>
        </w:rPr>
        <w:t xml:space="preserve">. He then goes onto suggest that:</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 “Any state functionally identical to a pain state will share with the pain state not only (1) its tendency to influence overt behavior in certain ways, and (2) its tendency to produce in the person the belief that there is something organically wrong with him (e.g., that he has been cut or burnt), but also (3) its tendency to produce qualitative beliefs in the person, i.e., to make him think that he has a pain having a certain qualitative character (one that he dislikes).”</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According to absent qualia it is said that this state may still lack qualia. Shoemaker goes further to address whether this is possible. However, it seems as if Shoemaker scrambles to find some way of creating evidence that someone is in pain. He uses the sum of behaviour and introspection to that “if the behavioural and introspectrive evidence are not enough, nothing could be enough.” and I think he’s right I think that it is impossible to prove exactly what someone is feeling. This idea is backed up by Thomas Nagel’s essay ‘What it’s like to be a bat’. Nagel makes the point that yes the more physically similar you are to another being will allow you to get a better understanding of what it is to be like them; but it is ultimately impossible to know, and any theory that tries saying otherwise will result in being a reduction of the truth. It is for this reason I don’t believe that a functionalist view of qualia can not work and therefore validates the absent qualia objection. I would go further to ask the question; how would one be able to apply these qualitative states to computational functionalism? If we can imagine that a Turing machine can be encoded with qualitative states, how would this allow the Turing machine to feel anything in particular? It may be able to inform you how it’s feeling, due to the current inputs. It may also give you the expected output because of this. But that does not mean that it does actually feels anything. Therefore, I think that there are simply too many flaws in a functionalist view and therefore it has to be disregarded. </w:t>
      </w:r>
    </w:p>
    <w:p w:rsidR="00000000" w:rsidDel="00000000" w:rsidP="00000000" w:rsidRDefault="00000000" w:rsidRPr="00000000" w14:paraId="00000020">
      <w:pPr>
        <w:rPr/>
      </w:pPr>
      <w:r w:rsidDel="00000000" w:rsidR="00000000" w:rsidRPr="00000000">
        <w:rPr>
          <w:rtl w:val="0"/>
        </w:rPr>
        <w:t xml:space="preserve">To conclude, it is clear that there are certain fundamental issues within the functionalist theory of thought. These are clearly highlighted by inverted qualia but especially by absent qualia. Functionalist theories do not seem to be capable of “capturing the intrinsic qualitative character of mental states” and this is because any attempt to try and do this is inherently a reduction. However, I do believe it helpful to have these theories posed. Even though I believe that the absent qualia argument is enough to cause sufficient doubt on functionalist theories and even though believe in what Nagel writes, claiming that we will never know. I also hold true what Putnam states that thinking like this “will not extend our knowledge of the external world.”</w:t>
      </w:r>
      <w:r w:rsidDel="00000000" w:rsidR="00000000" w:rsidRPr="00000000">
        <w:rPr>
          <w:vertAlign w:val="superscript"/>
        </w:rPr>
        <w:footnoteReference w:customMarkFollows="0" w:id="20"/>
      </w:r>
      <w:r w:rsidDel="00000000" w:rsidR="00000000" w:rsidRPr="00000000">
        <w:rPr>
          <w:rtl w:val="0"/>
        </w:rPr>
      </w:r>
    </w:p>
    <w:p w:rsidR="00000000" w:rsidDel="00000000" w:rsidP="00000000" w:rsidRDefault="00000000" w:rsidRPr="00000000" w14:paraId="00000021">
      <w:pPr>
        <w:shd w:fill="ffffff" w:val="clear"/>
        <w:spacing w:after="240" w:lineRule="auto"/>
        <w:rPr/>
      </w:pPr>
      <w:r w:rsidDel="00000000" w:rsidR="00000000" w:rsidRPr="00000000">
        <w:rPr>
          <w:rtl w:val="0"/>
        </w:rPr>
      </w:r>
    </w:p>
    <w:p w:rsidR="00000000" w:rsidDel="00000000" w:rsidP="00000000" w:rsidRDefault="00000000" w:rsidRPr="00000000" w14:paraId="00000022">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3">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4">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5">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6">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7">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8">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9">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A">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B">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C">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D">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E">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2F">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30">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31">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32">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33">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34">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35">
      <w:pPr>
        <w:shd w:fill="ffffff" w:val="clear"/>
        <w:spacing w:after="240" w:lineRule="auto"/>
        <w:rPr/>
      </w:pPr>
      <w:r w:rsidDel="00000000" w:rsidR="00000000" w:rsidRPr="00000000">
        <w:rPr>
          <w:rtl w:val="0"/>
        </w:rPr>
        <w:t xml:space="preserve">References</w:t>
      </w:r>
    </w:p>
    <w:p w:rsidR="00000000" w:rsidDel="00000000" w:rsidP="00000000" w:rsidRDefault="00000000" w:rsidRPr="00000000" w14:paraId="00000036">
      <w:pPr>
        <w:shd w:fill="ffffff" w:val="clear"/>
        <w:spacing w:after="240" w:before="240" w:lineRule="auto"/>
        <w:ind w:left="0" w:firstLine="0"/>
        <w:rPr/>
      </w:pPr>
      <w:r w:rsidDel="00000000" w:rsidR="00000000" w:rsidRPr="00000000">
        <w:rPr>
          <w:rtl w:val="0"/>
        </w:rPr>
        <w:t xml:space="preserve">Bailey, A. (no date) </w:t>
      </w:r>
      <w:r w:rsidDel="00000000" w:rsidR="00000000" w:rsidRPr="00000000">
        <w:rPr>
          <w:i w:val="1"/>
          <w:rtl w:val="0"/>
        </w:rPr>
        <w:t xml:space="preserve">The inverted spectrum - bibliography</w:t>
      </w:r>
      <w:r w:rsidDel="00000000" w:rsidR="00000000" w:rsidRPr="00000000">
        <w:rPr>
          <w:rtl w:val="0"/>
        </w:rPr>
        <w:t xml:space="preserve">, </w:t>
      </w:r>
      <w:r w:rsidDel="00000000" w:rsidR="00000000" w:rsidRPr="00000000">
        <w:rPr>
          <w:i w:val="1"/>
          <w:rtl w:val="0"/>
        </w:rPr>
        <w:t xml:space="preserve">PhilPapers</w:t>
      </w:r>
      <w:r w:rsidDel="00000000" w:rsidR="00000000" w:rsidRPr="00000000">
        <w:rPr>
          <w:rtl w:val="0"/>
        </w:rPr>
        <w:t xml:space="preserve">. Available at: https://philpapers.org/browse/the-inverted-spectrum (Accessed: October 14, 2022).</w:t>
      </w:r>
    </w:p>
    <w:p w:rsidR="00000000" w:rsidDel="00000000" w:rsidP="00000000" w:rsidRDefault="00000000" w:rsidRPr="00000000" w14:paraId="00000037">
      <w:pPr>
        <w:shd w:fill="ffffff" w:val="clear"/>
        <w:spacing w:after="240" w:before="240" w:lineRule="auto"/>
        <w:ind w:left="0" w:firstLine="0"/>
        <w:rPr/>
      </w:pPr>
      <w:r w:rsidDel="00000000" w:rsidR="00000000" w:rsidRPr="00000000">
        <w:rPr>
          <w:rtl w:val="0"/>
        </w:rPr>
        <w:t xml:space="preserve">Block, N.J. and Fodor, J.A. (1972) “What psychological states are not,” </w:t>
      </w:r>
      <w:r w:rsidDel="00000000" w:rsidR="00000000" w:rsidRPr="00000000">
        <w:rPr>
          <w:i w:val="1"/>
          <w:rtl w:val="0"/>
        </w:rPr>
        <w:t xml:space="preserve">The Philosophical Review</w:t>
      </w:r>
      <w:r w:rsidDel="00000000" w:rsidR="00000000" w:rsidRPr="00000000">
        <w:rPr>
          <w:rtl w:val="0"/>
        </w:rPr>
        <w:t xml:space="preserve">, 81(2), pp. 159–181. Available at: https://doi.org/10.2307/2183991.</w:t>
      </w:r>
    </w:p>
    <w:p w:rsidR="00000000" w:rsidDel="00000000" w:rsidP="00000000" w:rsidRDefault="00000000" w:rsidRPr="00000000" w14:paraId="00000038">
      <w:pPr>
        <w:shd w:fill="ffffff" w:val="clear"/>
        <w:spacing w:after="240" w:before="240" w:lineRule="auto"/>
        <w:ind w:left="0" w:firstLine="0"/>
        <w:rPr/>
      </w:pPr>
      <w:r w:rsidDel="00000000" w:rsidR="00000000" w:rsidRPr="00000000">
        <w:rPr>
          <w:rtl w:val="0"/>
        </w:rPr>
        <w:t xml:space="preserve">Byrne, A. (2004) </w:t>
      </w:r>
      <w:r w:rsidDel="00000000" w:rsidR="00000000" w:rsidRPr="00000000">
        <w:rPr>
          <w:i w:val="1"/>
          <w:rtl w:val="0"/>
        </w:rPr>
        <w:t xml:space="preserve">Inverted qualia</w:t>
      </w:r>
      <w:r w:rsidDel="00000000" w:rsidR="00000000" w:rsidRPr="00000000">
        <w:rPr>
          <w:rtl w:val="0"/>
        </w:rPr>
        <w:t xml:space="preserve">, </w:t>
      </w:r>
      <w:r w:rsidDel="00000000" w:rsidR="00000000" w:rsidRPr="00000000">
        <w:rPr>
          <w:i w:val="1"/>
          <w:rtl w:val="0"/>
        </w:rPr>
        <w:t xml:space="preserve">Stanford Encyclopedia of Philosophy</w:t>
      </w:r>
      <w:r w:rsidDel="00000000" w:rsidR="00000000" w:rsidRPr="00000000">
        <w:rPr>
          <w:rtl w:val="0"/>
        </w:rPr>
        <w:t xml:space="preserve">. Stanford University. Available at: https://plato.stanford.edu/archives/sum2014/entries/qualia-inverted/ (Accessed: October 12, 2022).</w:t>
      </w:r>
    </w:p>
    <w:p w:rsidR="00000000" w:rsidDel="00000000" w:rsidP="00000000" w:rsidRDefault="00000000" w:rsidRPr="00000000" w14:paraId="00000039">
      <w:pPr>
        <w:shd w:fill="ffffff" w:val="clear"/>
        <w:spacing w:after="240" w:before="240" w:lineRule="auto"/>
        <w:ind w:left="0" w:firstLine="0"/>
        <w:rPr/>
      </w:pPr>
      <w:r w:rsidDel="00000000" w:rsidR="00000000" w:rsidRPr="00000000">
        <w:rPr>
          <w:rtl w:val="0"/>
        </w:rPr>
        <w:t xml:space="preserve">Conee, E. (2017) “Vindicating the absent qualia objection,” </w:t>
      </w:r>
      <w:r w:rsidDel="00000000" w:rsidR="00000000" w:rsidRPr="00000000">
        <w:rPr>
          <w:i w:val="1"/>
          <w:rtl w:val="0"/>
        </w:rPr>
        <w:t xml:space="preserve">Ratio</w:t>
      </w:r>
      <w:r w:rsidDel="00000000" w:rsidR="00000000" w:rsidRPr="00000000">
        <w:rPr>
          <w:rtl w:val="0"/>
        </w:rPr>
        <w:t xml:space="preserve">, 31, pp. 19–34. Available at: https://doi.org/10.1111/rati.12171.</w:t>
      </w:r>
    </w:p>
    <w:p w:rsidR="00000000" w:rsidDel="00000000" w:rsidP="00000000" w:rsidRDefault="00000000" w:rsidRPr="00000000" w14:paraId="0000003A">
      <w:pPr>
        <w:shd w:fill="ffffff" w:val="clear"/>
        <w:spacing w:after="240" w:before="240" w:lineRule="auto"/>
        <w:ind w:left="0" w:firstLine="0"/>
        <w:rPr/>
      </w:pPr>
      <w:r w:rsidDel="00000000" w:rsidR="00000000" w:rsidRPr="00000000">
        <w:rPr>
          <w:rtl w:val="0"/>
        </w:rPr>
        <w:t xml:space="preserve">Danaher, J. (2011) </w:t>
      </w:r>
      <w:r w:rsidDel="00000000" w:rsidR="00000000" w:rsidRPr="00000000">
        <w:rPr>
          <w:i w:val="1"/>
          <w:rtl w:val="0"/>
        </w:rPr>
        <w:t xml:space="preserve">Mind-body physicalism (part four): Absent and inverted qualia</w:t>
      </w:r>
      <w:r w:rsidDel="00000000" w:rsidR="00000000" w:rsidRPr="00000000">
        <w:rPr>
          <w:rtl w:val="0"/>
        </w:rPr>
        <w:t xml:space="preserve">, </w:t>
      </w:r>
      <w:r w:rsidDel="00000000" w:rsidR="00000000" w:rsidRPr="00000000">
        <w:rPr>
          <w:i w:val="1"/>
          <w:rtl w:val="0"/>
        </w:rPr>
        <w:t xml:space="preserve">Mind-Body Physicalism (Part Four): Absent and Inverted Qualia</w:t>
      </w:r>
      <w:r w:rsidDel="00000000" w:rsidR="00000000" w:rsidRPr="00000000">
        <w:rPr>
          <w:rtl w:val="0"/>
        </w:rPr>
        <w:t xml:space="preserve">. Available at: https://philosophicaldisquisitions.blogspot.com/2011/06/part-one-part-two-part-three-right-now.html#:~:text=Inverted%20qualia%20are%20easily%20explained%20since%20they%20were,in%20your%20%E2%80%9Cblack%E2%80%9D-experience%20is%20equivalent%20to%20my%20%E2%80%9Cgreen%E2%80%9D-experience. (Accessed: October 20, 2022).</w:t>
      </w:r>
    </w:p>
    <w:p w:rsidR="00000000" w:rsidDel="00000000" w:rsidP="00000000" w:rsidRDefault="00000000" w:rsidRPr="00000000" w14:paraId="0000003B">
      <w:pPr>
        <w:shd w:fill="ffffff" w:val="clear"/>
        <w:spacing w:after="240" w:before="240" w:lineRule="auto"/>
        <w:ind w:left="0" w:firstLine="0"/>
        <w:rPr/>
      </w:pPr>
      <w:r w:rsidDel="00000000" w:rsidR="00000000" w:rsidRPr="00000000">
        <w:rPr>
          <w:rtl w:val="0"/>
        </w:rPr>
        <w:t xml:space="preserve">Kaiser, P.K. and Boynton, R.M. (1996) </w:t>
      </w:r>
      <w:r w:rsidDel="00000000" w:rsidR="00000000" w:rsidRPr="00000000">
        <w:rPr>
          <w:i w:val="1"/>
          <w:rtl w:val="0"/>
        </w:rPr>
        <w:t xml:space="preserve">Human color vision</w:t>
      </w:r>
      <w:r w:rsidDel="00000000" w:rsidR="00000000" w:rsidRPr="00000000">
        <w:rPr>
          <w:rtl w:val="0"/>
        </w:rPr>
        <w:t xml:space="preserve">. 2nd edn. Washington, DC: Optical Society of America. </w:t>
      </w:r>
    </w:p>
    <w:p w:rsidR="00000000" w:rsidDel="00000000" w:rsidP="00000000" w:rsidRDefault="00000000" w:rsidRPr="00000000" w14:paraId="0000003C">
      <w:pPr>
        <w:shd w:fill="ffffff" w:val="clear"/>
        <w:spacing w:after="240" w:before="240" w:lineRule="auto"/>
        <w:ind w:left="0" w:firstLine="0"/>
        <w:rPr/>
      </w:pPr>
      <w:r w:rsidDel="00000000" w:rsidR="00000000" w:rsidRPr="00000000">
        <w:rPr>
          <w:rtl w:val="0"/>
        </w:rPr>
        <w:t xml:space="preserve">Nagel, T. (1974) “What is it like to be a bat?,” </w:t>
      </w:r>
      <w:r w:rsidDel="00000000" w:rsidR="00000000" w:rsidRPr="00000000">
        <w:rPr>
          <w:i w:val="1"/>
          <w:rtl w:val="0"/>
        </w:rPr>
        <w:t xml:space="preserve">The Philosophical Review</w:t>
      </w:r>
      <w:r w:rsidDel="00000000" w:rsidR="00000000" w:rsidRPr="00000000">
        <w:rPr>
          <w:rtl w:val="0"/>
        </w:rPr>
        <w:t xml:space="preserve">, 83(4), pp. 435–450. Available at: https://doi.org/10.2307/2183914. </w:t>
      </w:r>
    </w:p>
    <w:p w:rsidR="00000000" w:rsidDel="00000000" w:rsidP="00000000" w:rsidRDefault="00000000" w:rsidRPr="00000000" w14:paraId="0000003D">
      <w:pPr>
        <w:shd w:fill="ffffff" w:val="clear"/>
        <w:spacing w:after="240" w:before="240" w:lineRule="auto"/>
        <w:ind w:left="0" w:firstLine="0"/>
        <w:rPr/>
      </w:pPr>
      <w:r w:rsidDel="00000000" w:rsidR="00000000" w:rsidRPr="00000000">
        <w:rPr>
          <w:rtl w:val="0"/>
        </w:rPr>
        <w:t xml:space="preserve">Nida -R</w:t>
      </w:r>
      <w:r w:rsidDel="00000000" w:rsidR="00000000" w:rsidRPr="00000000">
        <w:rPr>
          <w:rtl w:val="0"/>
        </w:rPr>
        <w:t xml:space="preserve">ü</w:t>
      </w:r>
      <w:r w:rsidDel="00000000" w:rsidR="00000000" w:rsidRPr="00000000">
        <w:rPr>
          <w:rtl w:val="0"/>
        </w:rPr>
        <w:t xml:space="preserve">melin, M. (1996) “Pseudonormal Vision,” </w:t>
      </w:r>
      <w:r w:rsidDel="00000000" w:rsidR="00000000" w:rsidRPr="00000000">
        <w:rPr>
          <w:i w:val="1"/>
          <w:rtl w:val="0"/>
        </w:rPr>
        <w:t xml:space="preserve">Philosophical Studies</w:t>
      </w:r>
      <w:r w:rsidDel="00000000" w:rsidR="00000000" w:rsidRPr="00000000">
        <w:rPr>
          <w:rtl w:val="0"/>
        </w:rPr>
        <w:t xml:space="preserve">, 82(2), pp. 145–157. Available at: https://doi.org/10.1007/bf00364773.</w:t>
      </w:r>
    </w:p>
    <w:p w:rsidR="00000000" w:rsidDel="00000000" w:rsidP="00000000" w:rsidRDefault="00000000" w:rsidRPr="00000000" w14:paraId="0000003E">
      <w:pPr>
        <w:shd w:fill="ffffff" w:val="clear"/>
        <w:spacing w:after="240" w:before="240" w:lineRule="auto"/>
        <w:ind w:left="0" w:firstLine="0"/>
        <w:rPr/>
      </w:pPr>
      <w:r w:rsidDel="00000000" w:rsidR="00000000" w:rsidRPr="00000000">
        <w:rPr>
          <w:rtl w:val="0"/>
        </w:rPr>
        <w:t xml:space="preserve">Piantandia, T.P. (1974) “A replacement model of X-linked recessive colour vision defects,” </w:t>
      </w:r>
      <w:r w:rsidDel="00000000" w:rsidR="00000000" w:rsidRPr="00000000">
        <w:rPr>
          <w:i w:val="1"/>
          <w:rtl w:val="0"/>
        </w:rPr>
        <w:t xml:space="preserve">Annals of Human Genetics</w:t>
      </w:r>
      <w:r w:rsidDel="00000000" w:rsidR="00000000" w:rsidRPr="00000000">
        <w:rPr>
          <w:rtl w:val="0"/>
        </w:rPr>
        <w:t xml:space="preserve">, 37(4), pp. 393–404. Available at: https://doi.org/10.1111/j.1469-1809.1974.tb01845.x. </w:t>
      </w:r>
    </w:p>
    <w:p w:rsidR="00000000" w:rsidDel="00000000" w:rsidP="00000000" w:rsidRDefault="00000000" w:rsidRPr="00000000" w14:paraId="0000003F">
      <w:pPr>
        <w:shd w:fill="ffffff" w:val="clear"/>
        <w:spacing w:after="240" w:before="240" w:lineRule="auto"/>
        <w:ind w:left="0" w:firstLine="0"/>
        <w:rPr/>
      </w:pPr>
      <w:r w:rsidDel="00000000" w:rsidR="00000000" w:rsidRPr="00000000">
        <w:rPr>
          <w:rtl w:val="0"/>
        </w:rPr>
        <w:t xml:space="preserve">Putnam, H. (no date) </w:t>
      </w:r>
      <w:r w:rsidDel="00000000" w:rsidR="00000000" w:rsidRPr="00000000">
        <w:rPr>
          <w:i w:val="1"/>
          <w:rtl w:val="0"/>
        </w:rPr>
        <w:t xml:space="preserve">The Nature of Mental States</w:t>
      </w:r>
      <w:r w:rsidDel="00000000" w:rsidR="00000000" w:rsidRPr="00000000">
        <w:rPr>
          <w:rtl w:val="0"/>
        </w:rPr>
        <w:t xml:space="preserve">. California State University, Long Beach. Available at: https://home.csulb.edu/~cwallis/382/readings/482/putnam.nature.mental.states.pdf (Accessed: October 21, 2022).</w:t>
      </w:r>
    </w:p>
    <w:p w:rsidR="00000000" w:rsidDel="00000000" w:rsidP="00000000" w:rsidRDefault="00000000" w:rsidRPr="00000000" w14:paraId="00000040">
      <w:pPr>
        <w:shd w:fill="ffffff" w:val="clear"/>
        <w:spacing w:after="240" w:before="240" w:lineRule="auto"/>
        <w:ind w:left="0" w:firstLine="0"/>
        <w:rPr/>
      </w:pPr>
      <w:r w:rsidDel="00000000" w:rsidR="00000000" w:rsidRPr="00000000">
        <w:rPr>
          <w:rtl w:val="0"/>
        </w:rPr>
        <w:t xml:space="preserve">Shoemaker, S. (1975) “Functionalism and qualia,” </w:t>
      </w:r>
      <w:r w:rsidDel="00000000" w:rsidR="00000000" w:rsidRPr="00000000">
        <w:rPr>
          <w:i w:val="1"/>
          <w:rtl w:val="0"/>
        </w:rPr>
        <w:t xml:space="preserve">Philosophical Studies</w:t>
      </w:r>
      <w:r w:rsidDel="00000000" w:rsidR="00000000" w:rsidRPr="00000000">
        <w:rPr>
          <w:rtl w:val="0"/>
        </w:rPr>
        <w:t xml:space="preserve">, 27(5), pp. 291–315. Available at: https://doi.org/10.1007/bf01225748.</w:t>
      </w:r>
    </w:p>
    <w:p w:rsidR="00000000" w:rsidDel="00000000" w:rsidP="00000000" w:rsidRDefault="00000000" w:rsidRPr="00000000" w14:paraId="00000041">
      <w:pPr>
        <w:shd w:fill="ffffff" w:val="clear"/>
        <w:spacing w:after="240" w:before="240" w:lineRule="auto"/>
        <w:ind w:left="0" w:firstLine="0"/>
        <w:rPr/>
      </w:pPr>
      <w:r w:rsidDel="00000000" w:rsidR="00000000" w:rsidRPr="00000000">
        <w:rPr>
          <w:rtl w:val="0"/>
        </w:rPr>
        <w:t xml:space="preserve">Taye, O.R. (2013) “A Discourse on Putnam's Analogical Hypothesis of Mental State and Machine State,” </w:t>
      </w:r>
      <w:r w:rsidDel="00000000" w:rsidR="00000000" w:rsidRPr="00000000">
        <w:rPr>
          <w:i w:val="1"/>
          <w:rtl w:val="0"/>
        </w:rPr>
        <w:t xml:space="preserve">Official Discourse (Routledge Revivals)</w:t>
      </w:r>
      <w:r w:rsidDel="00000000" w:rsidR="00000000" w:rsidRPr="00000000">
        <w:rPr>
          <w:rtl w:val="0"/>
        </w:rPr>
        <w:t xml:space="preserve">, 21(1), pp. 48–66. Available at: https://doi.org/10.4324/9780203067512-11. </w:t>
      </w:r>
    </w:p>
    <w:p w:rsidR="00000000" w:rsidDel="00000000" w:rsidP="00000000" w:rsidRDefault="00000000" w:rsidRPr="00000000" w14:paraId="00000042">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43">
      <w:pPr>
        <w:shd w:fill="ffffff" w:val="clea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44">
      <w:pPr>
        <w:spacing w:line="240" w:lineRule="auto"/>
        <w:rPr>
          <w:color w:val="676765"/>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Taye, O.R. (2013) “A Discourse on Putnam's Analogical Hypothesis of Mental State and Machine State,” </w:t>
      </w:r>
      <w:r w:rsidDel="00000000" w:rsidR="00000000" w:rsidRPr="00000000">
        <w:rPr>
          <w:i w:val="1"/>
          <w:sz w:val="18"/>
          <w:szCs w:val="18"/>
          <w:rtl w:val="0"/>
        </w:rPr>
        <w:t xml:space="preserve">Official Discourse (Routledge Revivals)</w:t>
      </w:r>
      <w:r w:rsidDel="00000000" w:rsidR="00000000" w:rsidRPr="00000000">
        <w:rPr>
          <w:sz w:val="18"/>
          <w:szCs w:val="18"/>
          <w:rtl w:val="0"/>
        </w:rPr>
        <w:t xml:space="preserve">, 21(1), pp. 48–66.</w:t>
      </w:r>
    </w:p>
  </w:footnote>
  <w:footnote w:id="1">
    <w:p w:rsidR="00000000" w:rsidDel="00000000" w:rsidP="00000000" w:rsidRDefault="00000000" w:rsidRPr="00000000" w14:paraId="00000046">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Ibid.</w:t>
        <w:tab/>
      </w:r>
    </w:p>
  </w:footnote>
  <w:footnote w:id="2">
    <w:p w:rsidR="00000000" w:rsidDel="00000000" w:rsidP="00000000" w:rsidRDefault="00000000" w:rsidRPr="00000000" w14:paraId="0000004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Ibid.</w:t>
      </w:r>
    </w:p>
  </w:footnote>
  <w:footnote w:id="3">
    <w:p w:rsidR="00000000" w:rsidDel="00000000" w:rsidP="00000000" w:rsidRDefault="00000000" w:rsidRPr="00000000" w14:paraId="0000004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Ibid.</w:t>
      </w:r>
    </w:p>
  </w:footnote>
  <w:footnote w:id="4">
    <w:p w:rsidR="00000000" w:rsidDel="00000000" w:rsidP="00000000" w:rsidRDefault="00000000" w:rsidRPr="00000000" w14:paraId="0000004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Ibid.</w:t>
      </w:r>
    </w:p>
  </w:footnote>
  <w:footnote w:id="5">
    <w:p w:rsidR="00000000" w:rsidDel="00000000" w:rsidP="00000000" w:rsidRDefault="00000000" w:rsidRPr="00000000" w14:paraId="0000004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Danaher, J. (2011) </w:t>
      </w:r>
      <w:r w:rsidDel="00000000" w:rsidR="00000000" w:rsidRPr="00000000">
        <w:rPr>
          <w:i w:val="1"/>
          <w:sz w:val="18"/>
          <w:szCs w:val="18"/>
          <w:rtl w:val="0"/>
        </w:rPr>
        <w:t xml:space="preserve">Mind-body physicalism (part four): Absent and inverted qualia</w:t>
      </w:r>
      <w:r w:rsidDel="00000000" w:rsidR="00000000" w:rsidRPr="00000000">
        <w:rPr>
          <w:sz w:val="18"/>
          <w:szCs w:val="18"/>
          <w:rtl w:val="0"/>
        </w:rPr>
        <w:t xml:space="preserve">, </w:t>
      </w:r>
      <w:r w:rsidDel="00000000" w:rsidR="00000000" w:rsidRPr="00000000">
        <w:rPr>
          <w:i w:val="1"/>
          <w:sz w:val="18"/>
          <w:szCs w:val="18"/>
          <w:rtl w:val="0"/>
        </w:rPr>
        <w:t xml:space="preserve">Mind-Body Physicalism (Part   Four): Absent and Inverted Qualia</w:t>
      </w:r>
      <w:r w:rsidDel="00000000" w:rsidR="00000000" w:rsidRPr="00000000">
        <w:rPr>
          <w:rtl w:val="0"/>
        </w:rPr>
      </w:r>
    </w:p>
  </w:footnote>
  <w:footnote w:id="6">
    <w:p w:rsidR="00000000" w:rsidDel="00000000" w:rsidP="00000000" w:rsidRDefault="00000000" w:rsidRPr="00000000" w14:paraId="0000004B">
      <w:pPr>
        <w:shd w:fill="ffffff" w:val="clear"/>
        <w:spacing w:after="240" w:before="240" w:lineRule="auto"/>
        <w:rPr>
          <w:sz w:val="16"/>
          <w:szCs w:val="16"/>
        </w:rPr>
      </w:pPr>
      <w:r w:rsidDel="00000000" w:rsidR="00000000" w:rsidRPr="00000000">
        <w:rPr>
          <w:rStyle w:val="FootnoteReference"/>
          <w:vertAlign w:val="superscript"/>
        </w:rPr>
        <w:footnoteRef/>
      </w:r>
      <w:r w:rsidDel="00000000" w:rsidR="00000000" w:rsidRPr="00000000">
        <w:rPr>
          <w:sz w:val="18"/>
          <w:szCs w:val="18"/>
          <w:rtl w:val="0"/>
        </w:rPr>
        <w:t xml:space="preserve"> Bailey, A. (no date) </w:t>
      </w:r>
      <w:r w:rsidDel="00000000" w:rsidR="00000000" w:rsidRPr="00000000">
        <w:rPr>
          <w:i w:val="1"/>
          <w:sz w:val="18"/>
          <w:szCs w:val="18"/>
          <w:rtl w:val="0"/>
        </w:rPr>
        <w:t xml:space="preserve">The inverted spectrum - bibliography</w:t>
      </w:r>
      <w:r w:rsidDel="00000000" w:rsidR="00000000" w:rsidRPr="00000000">
        <w:rPr>
          <w:sz w:val="18"/>
          <w:szCs w:val="18"/>
          <w:rtl w:val="0"/>
        </w:rPr>
        <w:t xml:space="preserve">, </w:t>
      </w:r>
      <w:r w:rsidDel="00000000" w:rsidR="00000000" w:rsidRPr="00000000">
        <w:rPr>
          <w:i w:val="1"/>
          <w:sz w:val="18"/>
          <w:szCs w:val="18"/>
          <w:rtl w:val="0"/>
        </w:rPr>
        <w:t xml:space="preserve">PhilPapers</w:t>
      </w:r>
      <w:r w:rsidDel="00000000" w:rsidR="00000000" w:rsidRPr="00000000">
        <w:rPr>
          <w:sz w:val="18"/>
          <w:szCs w:val="18"/>
          <w:rtl w:val="0"/>
        </w:rPr>
        <w:t xml:space="preserve">.</w:t>
      </w:r>
      <w:r w:rsidDel="00000000" w:rsidR="00000000" w:rsidRPr="00000000">
        <w:rPr>
          <w:rtl w:val="0"/>
        </w:rPr>
      </w:r>
    </w:p>
  </w:footnote>
  <w:footnote w:id="8">
    <w:p w:rsidR="00000000" w:rsidDel="00000000" w:rsidP="00000000" w:rsidRDefault="00000000" w:rsidRPr="00000000" w14:paraId="0000004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Kaiser, P.K. and Boynton, R.M. (1996) </w:t>
      </w:r>
      <w:r w:rsidDel="00000000" w:rsidR="00000000" w:rsidRPr="00000000">
        <w:rPr>
          <w:i w:val="1"/>
          <w:sz w:val="18"/>
          <w:szCs w:val="18"/>
          <w:rtl w:val="0"/>
        </w:rPr>
        <w:t xml:space="preserve">Human color vision</w:t>
      </w:r>
      <w:r w:rsidDel="00000000" w:rsidR="00000000" w:rsidRPr="00000000">
        <w:rPr>
          <w:sz w:val="18"/>
          <w:szCs w:val="18"/>
          <w:rtl w:val="0"/>
        </w:rPr>
        <w:t xml:space="preserve">. 2nd edn. Washington, DC: Optical Society of America. p. 356</w:t>
      </w:r>
    </w:p>
  </w:footnote>
  <w:footnote w:id="14">
    <w:p w:rsidR="00000000" w:rsidDel="00000000" w:rsidP="00000000" w:rsidRDefault="00000000" w:rsidRPr="00000000" w14:paraId="0000004D">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Ibid</w:t>
      </w:r>
    </w:p>
  </w:footnote>
  <w:footnote w:id="7">
    <w:p w:rsidR="00000000" w:rsidDel="00000000" w:rsidP="00000000" w:rsidRDefault="00000000" w:rsidRPr="00000000" w14:paraId="0000004E">
      <w:pPr>
        <w:shd w:fill="ffffff" w:val="clear"/>
        <w:spacing w:after="240" w:before="240" w:lineRule="auto"/>
        <w:rPr>
          <w:sz w:val="16"/>
          <w:szCs w:val="16"/>
        </w:rPr>
      </w:pPr>
      <w:r w:rsidDel="00000000" w:rsidR="00000000" w:rsidRPr="00000000">
        <w:rPr>
          <w:rStyle w:val="FootnoteReference"/>
          <w:vertAlign w:val="superscript"/>
        </w:rPr>
        <w:footnoteRef/>
      </w:r>
      <w:r w:rsidDel="00000000" w:rsidR="00000000" w:rsidRPr="00000000">
        <w:rPr>
          <w:sz w:val="18"/>
          <w:szCs w:val="18"/>
          <w:rtl w:val="0"/>
        </w:rPr>
        <w:t xml:space="preserve"> Piantandia, T.P. (1974) “A replacement model of X-linked recessive colour vision defects,” </w:t>
      </w:r>
      <w:r w:rsidDel="00000000" w:rsidR="00000000" w:rsidRPr="00000000">
        <w:rPr>
          <w:i w:val="1"/>
          <w:sz w:val="18"/>
          <w:szCs w:val="18"/>
          <w:rtl w:val="0"/>
        </w:rPr>
        <w:t xml:space="preserve">Annals of Human Genetics</w:t>
      </w:r>
      <w:r w:rsidDel="00000000" w:rsidR="00000000" w:rsidRPr="00000000">
        <w:rPr>
          <w:sz w:val="18"/>
          <w:szCs w:val="18"/>
          <w:rtl w:val="0"/>
        </w:rPr>
        <w:t xml:space="preserve">, 37(4), pp. 393–404.</w:t>
      </w:r>
      <w:r w:rsidDel="00000000" w:rsidR="00000000" w:rsidRPr="00000000">
        <w:rPr>
          <w:rtl w:val="0"/>
        </w:rPr>
      </w:r>
    </w:p>
    <w:p w:rsidR="00000000" w:rsidDel="00000000" w:rsidP="00000000" w:rsidRDefault="00000000" w:rsidRPr="00000000" w14:paraId="0000004F">
      <w:pPr>
        <w:spacing w:line="240" w:lineRule="auto"/>
        <w:rPr>
          <w:sz w:val="20"/>
          <w:szCs w:val="20"/>
        </w:rPr>
      </w:pPr>
      <w:r w:rsidDel="00000000" w:rsidR="00000000" w:rsidRPr="00000000">
        <w:rPr>
          <w:rtl w:val="0"/>
        </w:rPr>
      </w:r>
    </w:p>
  </w:footnote>
  <w:footnote w:id="9">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Nida -Rümelin, M. (1996) “Pseudonormal Vision,” </w:t>
      </w:r>
      <w:r w:rsidDel="00000000" w:rsidR="00000000" w:rsidRPr="00000000">
        <w:rPr>
          <w:i w:val="1"/>
          <w:sz w:val="18"/>
          <w:szCs w:val="18"/>
          <w:rtl w:val="0"/>
        </w:rPr>
        <w:t xml:space="preserve">Philosophical Studies</w:t>
      </w:r>
      <w:r w:rsidDel="00000000" w:rsidR="00000000" w:rsidRPr="00000000">
        <w:rPr>
          <w:sz w:val="18"/>
          <w:szCs w:val="18"/>
          <w:rtl w:val="0"/>
        </w:rPr>
        <w:t xml:space="preserve">, 82(2), pp. 145–157.</w:t>
      </w:r>
      <w:r w:rsidDel="00000000" w:rsidR="00000000" w:rsidRPr="00000000">
        <w:rPr>
          <w:rtl w:val="0"/>
        </w:rPr>
        <w:t xml:space="preserve"> </w:t>
      </w:r>
      <w:r w:rsidDel="00000000" w:rsidR="00000000" w:rsidRPr="00000000">
        <w:rPr>
          <w:rtl w:val="0"/>
        </w:rPr>
      </w:r>
    </w:p>
  </w:footnote>
  <w:footnote w:id="10">
    <w:p w:rsidR="00000000" w:rsidDel="00000000" w:rsidP="00000000" w:rsidRDefault="00000000" w:rsidRPr="00000000" w14:paraId="0000005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Block, N.J. and Fodor, J.A. (1972) “What psychological states are not,” </w:t>
      </w:r>
      <w:r w:rsidDel="00000000" w:rsidR="00000000" w:rsidRPr="00000000">
        <w:rPr>
          <w:i w:val="1"/>
          <w:sz w:val="18"/>
          <w:szCs w:val="18"/>
          <w:rtl w:val="0"/>
        </w:rPr>
        <w:t xml:space="preserve">The Philosophical Review</w:t>
      </w:r>
      <w:r w:rsidDel="00000000" w:rsidR="00000000" w:rsidRPr="00000000">
        <w:rPr>
          <w:sz w:val="18"/>
          <w:szCs w:val="18"/>
          <w:rtl w:val="0"/>
        </w:rPr>
        <w:t xml:space="preserve">, 81(2), pp. 159–181.</w:t>
      </w:r>
    </w:p>
  </w:footnote>
  <w:footnote w:id="11">
    <w:p w:rsidR="00000000" w:rsidDel="00000000" w:rsidP="00000000" w:rsidRDefault="00000000" w:rsidRPr="00000000" w14:paraId="00000052">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Ibid</w:t>
      </w:r>
    </w:p>
  </w:footnote>
  <w:footnote w:id="12">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Ibid</w:t>
      </w:r>
      <w:r w:rsidDel="00000000" w:rsidR="00000000" w:rsidRPr="00000000">
        <w:rPr>
          <w:sz w:val="20"/>
          <w:szCs w:val="20"/>
          <w:rtl w:val="0"/>
        </w:rPr>
        <w:tab/>
      </w:r>
    </w:p>
  </w:footnote>
  <w:footnote w:id="13">
    <w:p w:rsidR="00000000" w:rsidDel="00000000" w:rsidP="00000000" w:rsidRDefault="00000000" w:rsidRPr="00000000" w14:paraId="0000005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Ibid</w:t>
      </w:r>
    </w:p>
  </w:footnote>
  <w:footnote w:id="15">
    <w:p w:rsidR="00000000" w:rsidDel="00000000" w:rsidP="00000000" w:rsidRDefault="00000000" w:rsidRPr="00000000" w14:paraId="0000005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Shoemaker, S. (1975) “Functionalism and qualia,” </w:t>
      </w:r>
      <w:r w:rsidDel="00000000" w:rsidR="00000000" w:rsidRPr="00000000">
        <w:rPr>
          <w:i w:val="1"/>
          <w:sz w:val="18"/>
          <w:szCs w:val="18"/>
          <w:rtl w:val="0"/>
        </w:rPr>
        <w:t xml:space="preserve">Philosophical Studies</w:t>
      </w:r>
      <w:r w:rsidDel="00000000" w:rsidR="00000000" w:rsidRPr="00000000">
        <w:rPr>
          <w:sz w:val="18"/>
          <w:szCs w:val="18"/>
          <w:rtl w:val="0"/>
        </w:rPr>
        <w:t xml:space="preserve">, 27(5), pp. 291–315.</w:t>
      </w:r>
    </w:p>
  </w:footnote>
  <w:footnote w:id="16">
    <w:p w:rsidR="00000000" w:rsidDel="00000000" w:rsidP="00000000" w:rsidRDefault="00000000" w:rsidRPr="00000000" w14:paraId="0000005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Ibid</w:t>
      </w:r>
    </w:p>
  </w:footnote>
  <w:footnote w:id="17">
    <w:p w:rsidR="00000000" w:rsidDel="00000000" w:rsidP="00000000" w:rsidRDefault="00000000" w:rsidRPr="00000000" w14:paraId="0000005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Ibid</w:t>
        <w:tab/>
      </w:r>
    </w:p>
  </w:footnote>
  <w:footnote w:id="18">
    <w:p w:rsidR="00000000" w:rsidDel="00000000" w:rsidP="00000000" w:rsidRDefault="00000000" w:rsidRPr="00000000" w14:paraId="0000005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Ibid</w:t>
      </w:r>
    </w:p>
  </w:footnote>
  <w:footnote w:id="19">
    <w:p w:rsidR="00000000" w:rsidDel="00000000" w:rsidP="00000000" w:rsidRDefault="00000000" w:rsidRPr="00000000" w14:paraId="0000005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Ibid</w:t>
      </w:r>
    </w:p>
  </w:footnote>
  <w:footnote w:id="20">
    <w:p w:rsidR="00000000" w:rsidDel="00000000" w:rsidP="00000000" w:rsidRDefault="00000000" w:rsidRPr="00000000" w14:paraId="0000005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Ibid</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