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25FD6" w14:textId="77777777" w:rsidR="00D07F4D" w:rsidRPr="00403350" w:rsidRDefault="00D07F4D" w:rsidP="00403350">
      <w:pPr>
        <w:jc w:val="center"/>
        <w:rPr>
          <w:b/>
          <w:sz w:val="30"/>
          <w:szCs w:val="30"/>
        </w:rPr>
      </w:pPr>
    </w:p>
    <w:p w14:paraId="130357CE" w14:textId="77777777" w:rsidR="00D07F4D" w:rsidRPr="00403350" w:rsidRDefault="00D07F4D" w:rsidP="00403350">
      <w:pPr>
        <w:jc w:val="center"/>
        <w:rPr>
          <w:b/>
          <w:sz w:val="30"/>
          <w:szCs w:val="30"/>
        </w:rPr>
      </w:pPr>
    </w:p>
    <w:p w14:paraId="024C431F" w14:textId="77777777" w:rsidR="00D07F4D" w:rsidRPr="00403350" w:rsidRDefault="00D07F4D" w:rsidP="00403350">
      <w:pPr>
        <w:jc w:val="center"/>
        <w:rPr>
          <w:b/>
          <w:sz w:val="30"/>
          <w:szCs w:val="30"/>
        </w:rPr>
      </w:pPr>
    </w:p>
    <w:p w14:paraId="42B7B91B" w14:textId="77777777" w:rsidR="00D07F4D" w:rsidRPr="00403350" w:rsidRDefault="00D07F4D" w:rsidP="00403350">
      <w:pPr>
        <w:jc w:val="center"/>
        <w:rPr>
          <w:b/>
          <w:sz w:val="30"/>
          <w:szCs w:val="30"/>
        </w:rPr>
      </w:pPr>
    </w:p>
    <w:p w14:paraId="458FA8A5" w14:textId="77777777" w:rsidR="008D62B2" w:rsidRDefault="008D62B2" w:rsidP="00403350">
      <w:pPr>
        <w:jc w:val="center"/>
        <w:rPr>
          <w:b/>
          <w:sz w:val="30"/>
          <w:szCs w:val="30"/>
        </w:rPr>
      </w:pPr>
    </w:p>
    <w:p w14:paraId="12C91E90" w14:textId="77777777" w:rsidR="008D62B2" w:rsidRDefault="008D62B2" w:rsidP="00403350">
      <w:pPr>
        <w:jc w:val="center"/>
        <w:rPr>
          <w:b/>
          <w:sz w:val="30"/>
          <w:szCs w:val="30"/>
        </w:rPr>
      </w:pPr>
    </w:p>
    <w:p w14:paraId="28CA607B" w14:textId="77777777" w:rsidR="008D62B2" w:rsidRDefault="008D62B2" w:rsidP="00403350">
      <w:pPr>
        <w:jc w:val="center"/>
        <w:rPr>
          <w:b/>
          <w:sz w:val="30"/>
          <w:szCs w:val="30"/>
        </w:rPr>
      </w:pPr>
    </w:p>
    <w:p w14:paraId="27D426CC" w14:textId="77777777" w:rsidR="008D62B2" w:rsidRDefault="008D62B2" w:rsidP="00403350">
      <w:pPr>
        <w:jc w:val="center"/>
        <w:rPr>
          <w:b/>
          <w:sz w:val="30"/>
          <w:szCs w:val="30"/>
        </w:rPr>
      </w:pPr>
    </w:p>
    <w:p w14:paraId="27685FC4" w14:textId="77777777" w:rsidR="008D62B2" w:rsidRDefault="008D62B2" w:rsidP="00403350">
      <w:pPr>
        <w:jc w:val="center"/>
        <w:rPr>
          <w:b/>
          <w:sz w:val="30"/>
          <w:szCs w:val="30"/>
        </w:rPr>
      </w:pPr>
    </w:p>
    <w:p w14:paraId="1D38CBF2" w14:textId="77777777" w:rsidR="008D62B2" w:rsidRDefault="008D62B2" w:rsidP="00403350">
      <w:pPr>
        <w:jc w:val="center"/>
        <w:rPr>
          <w:b/>
          <w:sz w:val="30"/>
          <w:szCs w:val="30"/>
        </w:rPr>
      </w:pPr>
    </w:p>
    <w:p w14:paraId="04CE6911" w14:textId="77777777" w:rsidR="008D62B2" w:rsidRPr="00AF531C" w:rsidRDefault="008D62B2" w:rsidP="008D62B2">
      <w:pPr>
        <w:jc w:val="center"/>
        <w:rPr>
          <w:b/>
          <w:sz w:val="36"/>
          <w:szCs w:val="36"/>
        </w:rPr>
      </w:pPr>
      <w:r w:rsidRPr="00AF531C">
        <w:rPr>
          <w:b/>
          <w:sz w:val="36"/>
          <w:szCs w:val="36"/>
        </w:rPr>
        <w:t xml:space="preserve">STUDENT </w:t>
      </w:r>
      <w:proofErr w:type="gramStart"/>
      <w:r w:rsidRPr="00AF531C">
        <w:rPr>
          <w:b/>
          <w:sz w:val="36"/>
          <w:szCs w:val="36"/>
        </w:rPr>
        <w:t>NAME :</w:t>
      </w:r>
      <w:proofErr w:type="gramEnd"/>
      <w:r w:rsidRPr="00AF531C">
        <w:rPr>
          <w:b/>
          <w:sz w:val="36"/>
          <w:szCs w:val="36"/>
        </w:rPr>
        <w:t xml:space="preserve"> MOHAMMED SHAMIL THUPPATH</w:t>
      </w:r>
    </w:p>
    <w:p w14:paraId="7DA1652C" w14:textId="77777777" w:rsidR="008D62B2" w:rsidRPr="00AF531C" w:rsidRDefault="008D62B2" w:rsidP="008D62B2">
      <w:pPr>
        <w:jc w:val="center"/>
        <w:rPr>
          <w:b/>
          <w:sz w:val="36"/>
          <w:szCs w:val="36"/>
        </w:rPr>
      </w:pPr>
      <w:r w:rsidRPr="00AF531C">
        <w:rPr>
          <w:b/>
          <w:sz w:val="36"/>
          <w:szCs w:val="36"/>
        </w:rPr>
        <w:t xml:space="preserve">STUDENT </w:t>
      </w:r>
      <w:proofErr w:type="gramStart"/>
      <w:r w:rsidRPr="00AF531C">
        <w:rPr>
          <w:b/>
          <w:sz w:val="36"/>
          <w:szCs w:val="36"/>
        </w:rPr>
        <w:t>ID :</w:t>
      </w:r>
      <w:proofErr w:type="gramEnd"/>
      <w:r w:rsidRPr="00AF531C">
        <w:rPr>
          <w:b/>
          <w:sz w:val="36"/>
          <w:szCs w:val="36"/>
        </w:rPr>
        <w:t xml:space="preserve"> 2132198</w:t>
      </w:r>
    </w:p>
    <w:p w14:paraId="33B34B70" w14:textId="77777777" w:rsidR="008D62B2" w:rsidRPr="00AF531C" w:rsidRDefault="008D62B2" w:rsidP="008D62B2">
      <w:pPr>
        <w:jc w:val="center"/>
        <w:rPr>
          <w:b/>
          <w:sz w:val="36"/>
          <w:szCs w:val="36"/>
        </w:rPr>
      </w:pPr>
      <w:proofErr w:type="gramStart"/>
      <w:r w:rsidRPr="00AF531C">
        <w:rPr>
          <w:b/>
          <w:sz w:val="36"/>
          <w:szCs w:val="36"/>
        </w:rPr>
        <w:t>MODULE :</w:t>
      </w:r>
      <w:proofErr w:type="gramEnd"/>
      <w:r w:rsidRPr="00AF531C">
        <w:rPr>
          <w:b/>
          <w:sz w:val="36"/>
          <w:szCs w:val="36"/>
        </w:rPr>
        <w:t xml:space="preserve"> LCMB7011</w:t>
      </w:r>
    </w:p>
    <w:p w14:paraId="0061C44F" w14:textId="77777777" w:rsidR="008D62B2" w:rsidRPr="00AF531C" w:rsidRDefault="008D62B2" w:rsidP="008D62B2">
      <w:pPr>
        <w:jc w:val="center"/>
        <w:rPr>
          <w:b/>
          <w:sz w:val="36"/>
          <w:szCs w:val="36"/>
        </w:rPr>
      </w:pPr>
      <w:proofErr w:type="gramStart"/>
      <w:r w:rsidRPr="00AF531C">
        <w:rPr>
          <w:b/>
          <w:sz w:val="36"/>
          <w:szCs w:val="36"/>
        </w:rPr>
        <w:t>COURSE :</w:t>
      </w:r>
      <w:proofErr w:type="gramEnd"/>
      <w:r w:rsidRPr="00AF531C">
        <w:rPr>
          <w:b/>
          <w:sz w:val="36"/>
          <w:szCs w:val="36"/>
        </w:rPr>
        <w:t xml:space="preserve"> MBA HUMAN RESOURCE MANAGEMENT</w:t>
      </w:r>
    </w:p>
    <w:p w14:paraId="41B4BC27" w14:textId="77777777" w:rsidR="008D62B2" w:rsidRDefault="008D62B2" w:rsidP="008D62B2">
      <w:pPr>
        <w:jc w:val="center"/>
        <w:rPr>
          <w:sz w:val="36"/>
          <w:szCs w:val="36"/>
        </w:rPr>
      </w:pPr>
      <w:proofErr w:type="gramStart"/>
      <w:r w:rsidRPr="00AF531C">
        <w:rPr>
          <w:b/>
          <w:sz w:val="36"/>
          <w:szCs w:val="36"/>
        </w:rPr>
        <w:t>TITLE :</w:t>
      </w:r>
      <w:proofErr w:type="gramEnd"/>
      <w:r w:rsidRPr="00AF531C">
        <w:rPr>
          <w:b/>
          <w:sz w:val="36"/>
          <w:szCs w:val="36"/>
        </w:rPr>
        <w:t xml:space="preserve"> MANAGING PEOPLE</w:t>
      </w:r>
    </w:p>
    <w:p w14:paraId="798BF3EE" w14:textId="6A2EB73F" w:rsidR="00D07F4D" w:rsidRPr="00403350" w:rsidRDefault="00FA387E" w:rsidP="00403350">
      <w:pPr>
        <w:jc w:val="center"/>
        <w:rPr>
          <w:b/>
          <w:sz w:val="30"/>
          <w:szCs w:val="30"/>
        </w:rPr>
      </w:pPr>
      <w:r w:rsidRPr="00403350">
        <w:br w:type="page"/>
      </w:r>
    </w:p>
    <w:p w14:paraId="0919F88F" w14:textId="77777777" w:rsidR="00ED6844" w:rsidRDefault="00ED6844" w:rsidP="00ED6844">
      <w:pPr>
        <w:jc w:val="left"/>
        <w:rPr>
          <w:b/>
          <w:sz w:val="30"/>
          <w:szCs w:val="30"/>
        </w:rPr>
      </w:pPr>
      <w:r>
        <w:rPr>
          <w:b/>
          <w:sz w:val="30"/>
          <w:szCs w:val="30"/>
        </w:rPr>
        <w:lastRenderedPageBreak/>
        <w:t>Abstract</w:t>
      </w:r>
    </w:p>
    <w:p w14:paraId="44614C9B" w14:textId="77777777" w:rsidR="00ED6844" w:rsidRDefault="00ED6844" w:rsidP="00ED6844">
      <w:r>
        <w:t xml:space="preserve">The overall integration of the HRM policies selected in the business environment deals with effective mode of substantial mode of analysis based on the selected mode of development in the industrial sector. The implication of the recruitment policies of the labour market in the UK sector helps in determining the overall concept of “fire and rehire” mode of technicalities at a broader concept. The total mode of evaluation made during the progressive mode of report analysis based on the context of the applied theoretical approaches helped in conceiving the certain mode of theories </w:t>
      </w:r>
      <w:r w:rsidR="002C18C8">
        <w:t xml:space="preserve">that could help in deliver the best form of human resource department and the necessary mode of functional based agreements in the contextual report. The overall report analysis involves the certain mode of concepts that deals with the issues related to the overall involvement of the HR based policies as per to the context. </w:t>
      </w:r>
    </w:p>
    <w:p w14:paraId="63C4BB29" w14:textId="77777777" w:rsidR="00ED6844" w:rsidRDefault="00ED6844" w:rsidP="00403350">
      <w:pPr>
        <w:jc w:val="center"/>
        <w:rPr>
          <w:b/>
          <w:sz w:val="30"/>
          <w:szCs w:val="30"/>
        </w:rPr>
      </w:pPr>
    </w:p>
    <w:p w14:paraId="0D4D0078" w14:textId="77777777" w:rsidR="00ED6844" w:rsidRDefault="00ED6844" w:rsidP="00403350">
      <w:pPr>
        <w:jc w:val="center"/>
        <w:rPr>
          <w:b/>
          <w:sz w:val="30"/>
          <w:szCs w:val="30"/>
        </w:rPr>
      </w:pPr>
    </w:p>
    <w:p w14:paraId="5E17B6A3" w14:textId="77777777" w:rsidR="00ED6844" w:rsidRDefault="00ED6844" w:rsidP="00403350">
      <w:pPr>
        <w:jc w:val="center"/>
        <w:rPr>
          <w:b/>
          <w:sz w:val="30"/>
          <w:szCs w:val="30"/>
        </w:rPr>
      </w:pPr>
    </w:p>
    <w:p w14:paraId="4EC66A26" w14:textId="77777777" w:rsidR="00ED6844" w:rsidRDefault="00ED6844" w:rsidP="00403350">
      <w:pPr>
        <w:jc w:val="center"/>
        <w:rPr>
          <w:b/>
          <w:sz w:val="30"/>
          <w:szCs w:val="30"/>
        </w:rPr>
      </w:pPr>
    </w:p>
    <w:p w14:paraId="2CE312F7" w14:textId="77777777" w:rsidR="00ED6844" w:rsidRDefault="00ED6844" w:rsidP="00403350">
      <w:pPr>
        <w:jc w:val="center"/>
        <w:rPr>
          <w:b/>
          <w:sz w:val="30"/>
          <w:szCs w:val="30"/>
        </w:rPr>
      </w:pPr>
    </w:p>
    <w:p w14:paraId="1E5B5B6F" w14:textId="77777777" w:rsidR="00ED6844" w:rsidRDefault="00ED6844" w:rsidP="00403350">
      <w:pPr>
        <w:jc w:val="center"/>
        <w:rPr>
          <w:b/>
          <w:sz w:val="30"/>
          <w:szCs w:val="30"/>
        </w:rPr>
      </w:pPr>
    </w:p>
    <w:p w14:paraId="31CF72AA" w14:textId="77777777" w:rsidR="00ED6844" w:rsidRDefault="00ED6844" w:rsidP="00403350">
      <w:pPr>
        <w:jc w:val="center"/>
        <w:rPr>
          <w:b/>
          <w:sz w:val="30"/>
          <w:szCs w:val="30"/>
        </w:rPr>
      </w:pPr>
    </w:p>
    <w:p w14:paraId="7E6EA637" w14:textId="77777777" w:rsidR="00ED6844" w:rsidRDefault="00ED6844" w:rsidP="00403350">
      <w:pPr>
        <w:jc w:val="center"/>
        <w:rPr>
          <w:b/>
          <w:sz w:val="30"/>
          <w:szCs w:val="30"/>
        </w:rPr>
      </w:pPr>
    </w:p>
    <w:p w14:paraId="75EB909A" w14:textId="77777777" w:rsidR="00ED6844" w:rsidRDefault="00ED6844" w:rsidP="00403350">
      <w:pPr>
        <w:jc w:val="center"/>
        <w:rPr>
          <w:b/>
          <w:sz w:val="30"/>
          <w:szCs w:val="30"/>
        </w:rPr>
      </w:pPr>
    </w:p>
    <w:p w14:paraId="69175143" w14:textId="77777777" w:rsidR="00ED6844" w:rsidRDefault="00ED6844" w:rsidP="00403350">
      <w:pPr>
        <w:jc w:val="center"/>
        <w:rPr>
          <w:b/>
          <w:sz w:val="30"/>
          <w:szCs w:val="30"/>
        </w:rPr>
      </w:pPr>
    </w:p>
    <w:p w14:paraId="3E957824" w14:textId="77777777" w:rsidR="00ED6844" w:rsidRDefault="00ED6844" w:rsidP="00403350">
      <w:pPr>
        <w:jc w:val="center"/>
        <w:rPr>
          <w:b/>
          <w:sz w:val="30"/>
          <w:szCs w:val="30"/>
        </w:rPr>
      </w:pPr>
    </w:p>
    <w:p w14:paraId="072EE023" w14:textId="77777777" w:rsidR="00ED6844" w:rsidRDefault="00ED6844" w:rsidP="00403350">
      <w:pPr>
        <w:jc w:val="center"/>
        <w:rPr>
          <w:b/>
          <w:sz w:val="30"/>
          <w:szCs w:val="30"/>
        </w:rPr>
      </w:pPr>
    </w:p>
    <w:p w14:paraId="2C595723" w14:textId="77777777" w:rsidR="00ED6844" w:rsidRDefault="00ED6844" w:rsidP="00403350">
      <w:pPr>
        <w:jc w:val="center"/>
        <w:rPr>
          <w:b/>
          <w:sz w:val="30"/>
          <w:szCs w:val="30"/>
        </w:rPr>
      </w:pPr>
    </w:p>
    <w:p w14:paraId="48F4C610" w14:textId="77777777" w:rsidR="008D62B2" w:rsidRDefault="008D62B2" w:rsidP="00403350">
      <w:pPr>
        <w:jc w:val="center"/>
        <w:rPr>
          <w:b/>
          <w:sz w:val="30"/>
          <w:szCs w:val="30"/>
        </w:rPr>
      </w:pPr>
    </w:p>
    <w:p w14:paraId="694AC9A7" w14:textId="77777777" w:rsidR="008D62B2" w:rsidRDefault="008D62B2" w:rsidP="00403350">
      <w:pPr>
        <w:jc w:val="center"/>
        <w:rPr>
          <w:b/>
          <w:sz w:val="30"/>
          <w:szCs w:val="30"/>
        </w:rPr>
      </w:pPr>
    </w:p>
    <w:p w14:paraId="7153717B" w14:textId="77777777" w:rsidR="008D62B2" w:rsidRDefault="008D62B2" w:rsidP="00403350">
      <w:pPr>
        <w:jc w:val="center"/>
        <w:rPr>
          <w:b/>
          <w:sz w:val="30"/>
          <w:szCs w:val="30"/>
        </w:rPr>
      </w:pPr>
    </w:p>
    <w:p w14:paraId="02071A6D" w14:textId="77777777" w:rsidR="008D62B2" w:rsidRDefault="008D62B2" w:rsidP="00403350">
      <w:pPr>
        <w:jc w:val="center"/>
        <w:rPr>
          <w:b/>
          <w:sz w:val="30"/>
          <w:szCs w:val="30"/>
        </w:rPr>
      </w:pPr>
    </w:p>
    <w:p w14:paraId="7A70AAEF" w14:textId="29356F99" w:rsidR="00D07F4D" w:rsidRPr="00403350" w:rsidRDefault="00FA387E" w:rsidP="00403350">
      <w:pPr>
        <w:jc w:val="center"/>
        <w:rPr>
          <w:b/>
          <w:sz w:val="30"/>
          <w:szCs w:val="30"/>
        </w:rPr>
      </w:pPr>
      <w:r w:rsidRPr="00403350">
        <w:rPr>
          <w:b/>
          <w:sz w:val="30"/>
          <w:szCs w:val="30"/>
        </w:rPr>
        <w:t>Table of content</w:t>
      </w:r>
    </w:p>
    <w:sdt>
      <w:sdtPr>
        <w:rPr>
          <w:rFonts w:cs="Arial"/>
          <w:szCs w:val="24"/>
        </w:rPr>
        <w:id w:val="-510833163"/>
        <w:docPartObj>
          <w:docPartGallery w:val="Table of Contents"/>
          <w:docPartUnique/>
        </w:docPartObj>
      </w:sdtPr>
      <w:sdtContent>
        <w:p w14:paraId="4F5A8F21" w14:textId="77777777" w:rsidR="002C18C8" w:rsidRPr="002C18C8" w:rsidRDefault="00FA387E">
          <w:pPr>
            <w:pStyle w:val="TOC1"/>
            <w:tabs>
              <w:tab w:val="right" w:pos="9019"/>
            </w:tabs>
            <w:rPr>
              <w:b/>
              <w:noProof/>
            </w:rPr>
          </w:pPr>
          <w:r w:rsidRPr="00403350">
            <w:fldChar w:fldCharType="begin"/>
          </w:r>
          <w:r w:rsidRPr="00403350">
            <w:instrText xml:space="preserve"> TOC \h \u \z </w:instrText>
          </w:r>
          <w:r w:rsidRPr="00403350">
            <w:fldChar w:fldCharType="separate"/>
          </w:r>
          <w:hyperlink w:anchor="_Toc123996523" w:history="1">
            <w:r w:rsidR="002C18C8" w:rsidRPr="002C18C8">
              <w:rPr>
                <w:rStyle w:val="Hyperlink"/>
                <w:b/>
                <w:noProof/>
              </w:rPr>
              <w:t>Introduction</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_Toc123996523 \h </w:instrText>
            </w:r>
            <w:r w:rsidR="002C18C8" w:rsidRPr="002C18C8">
              <w:rPr>
                <w:b/>
                <w:noProof/>
                <w:webHidden/>
              </w:rPr>
            </w:r>
            <w:r w:rsidR="002C18C8" w:rsidRPr="002C18C8">
              <w:rPr>
                <w:b/>
                <w:noProof/>
                <w:webHidden/>
              </w:rPr>
              <w:fldChar w:fldCharType="separate"/>
            </w:r>
            <w:r w:rsidR="002C18C8" w:rsidRPr="002C18C8">
              <w:rPr>
                <w:b/>
                <w:noProof/>
                <w:webHidden/>
              </w:rPr>
              <w:t>4</w:t>
            </w:r>
            <w:r w:rsidR="002C18C8" w:rsidRPr="002C18C8">
              <w:rPr>
                <w:b/>
                <w:noProof/>
                <w:webHidden/>
              </w:rPr>
              <w:fldChar w:fldCharType="end"/>
            </w:r>
          </w:hyperlink>
        </w:p>
        <w:p w14:paraId="6031CC03" w14:textId="77777777" w:rsidR="002C18C8" w:rsidRPr="002C18C8" w:rsidRDefault="00000000">
          <w:pPr>
            <w:pStyle w:val="TOC1"/>
            <w:tabs>
              <w:tab w:val="right" w:pos="9019"/>
            </w:tabs>
            <w:rPr>
              <w:b/>
              <w:noProof/>
            </w:rPr>
          </w:pPr>
          <w:hyperlink w:anchor="_Toc123996524" w:history="1">
            <w:r w:rsidR="002C18C8" w:rsidRPr="002C18C8">
              <w:rPr>
                <w:rStyle w:val="Hyperlink"/>
                <w:b/>
                <w:noProof/>
              </w:rPr>
              <w:t>Reviewing the practice of “fire and rehire” tactics within the UK labour market for the evaluation of approaches</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_Toc123996524 \h </w:instrText>
            </w:r>
            <w:r w:rsidR="002C18C8" w:rsidRPr="002C18C8">
              <w:rPr>
                <w:b/>
                <w:noProof/>
                <w:webHidden/>
              </w:rPr>
            </w:r>
            <w:r w:rsidR="002C18C8" w:rsidRPr="002C18C8">
              <w:rPr>
                <w:b/>
                <w:noProof/>
                <w:webHidden/>
              </w:rPr>
              <w:fldChar w:fldCharType="separate"/>
            </w:r>
            <w:r w:rsidR="002C18C8" w:rsidRPr="002C18C8">
              <w:rPr>
                <w:b/>
                <w:noProof/>
                <w:webHidden/>
              </w:rPr>
              <w:t>5</w:t>
            </w:r>
            <w:r w:rsidR="002C18C8" w:rsidRPr="002C18C8">
              <w:rPr>
                <w:b/>
                <w:noProof/>
                <w:webHidden/>
              </w:rPr>
              <w:fldChar w:fldCharType="end"/>
            </w:r>
          </w:hyperlink>
        </w:p>
        <w:p w14:paraId="716C85EC" w14:textId="77777777" w:rsidR="002C18C8" w:rsidRPr="002C18C8" w:rsidRDefault="00000000">
          <w:pPr>
            <w:pStyle w:val="TOC1"/>
            <w:tabs>
              <w:tab w:val="right" w:pos="9019"/>
            </w:tabs>
            <w:rPr>
              <w:b/>
              <w:noProof/>
            </w:rPr>
          </w:pPr>
          <w:hyperlink w:anchor="_Toc123996525" w:history="1">
            <w:r w:rsidR="002C18C8" w:rsidRPr="002C18C8">
              <w:rPr>
                <w:rStyle w:val="Hyperlink"/>
                <w:b/>
                <w:noProof/>
              </w:rPr>
              <w:t>Legal implications of changing contractual employment terms</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_Toc123996525 \h </w:instrText>
            </w:r>
            <w:r w:rsidR="002C18C8" w:rsidRPr="002C18C8">
              <w:rPr>
                <w:b/>
                <w:noProof/>
                <w:webHidden/>
              </w:rPr>
            </w:r>
            <w:r w:rsidR="002C18C8" w:rsidRPr="002C18C8">
              <w:rPr>
                <w:b/>
                <w:noProof/>
                <w:webHidden/>
              </w:rPr>
              <w:fldChar w:fldCharType="separate"/>
            </w:r>
            <w:r w:rsidR="002C18C8" w:rsidRPr="002C18C8">
              <w:rPr>
                <w:b/>
                <w:noProof/>
                <w:webHidden/>
              </w:rPr>
              <w:t>8</w:t>
            </w:r>
            <w:r w:rsidR="002C18C8" w:rsidRPr="002C18C8">
              <w:rPr>
                <w:b/>
                <w:noProof/>
                <w:webHidden/>
              </w:rPr>
              <w:fldChar w:fldCharType="end"/>
            </w:r>
          </w:hyperlink>
        </w:p>
        <w:p w14:paraId="6B5AB215" w14:textId="77777777" w:rsidR="002C18C8" w:rsidRPr="002C18C8" w:rsidRDefault="00000000">
          <w:pPr>
            <w:pStyle w:val="TOC2"/>
            <w:tabs>
              <w:tab w:val="right" w:pos="9019"/>
            </w:tabs>
            <w:rPr>
              <w:b/>
              <w:noProof/>
            </w:rPr>
          </w:pPr>
          <w:hyperlink w:anchor="_Toc123996526" w:history="1">
            <w:r w:rsidR="002C18C8" w:rsidRPr="002C18C8">
              <w:rPr>
                <w:rStyle w:val="Hyperlink"/>
                <w:b/>
                <w:noProof/>
              </w:rPr>
              <w:t>The implication that has arisen for avoiding the overall clauses in the future</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_Toc123996526 \h </w:instrText>
            </w:r>
            <w:r w:rsidR="002C18C8" w:rsidRPr="002C18C8">
              <w:rPr>
                <w:b/>
                <w:noProof/>
                <w:webHidden/>
              </w:rPr>
            </w:r>
            <w:r w:rsidR="002C18C8" w:rsidRPr="002C18C8">
              <w:rPr>
                <w:b/>
                <w:noProof/>
                <w:webHidden/>
              </w:rPr>
              <w:fldChar w:fldCharType="separate"/>
            </w:r>
            <w:r w:rsidR="002C18C8" w:rsidRPr="002C18C8">
              <w:rPr>
                <w:b/>
                <w:noProof/>
                <w:webHidden/>
              </w:rPr>
              <w:t>9</w:t>
            </w:r>
            <w:r w:rsidR="002C18C8" w:rsidRPr="002C18C8">
              <w:rPr>
                <w:b/>
                <w:noProof/>
                <w:webHidden/>
              </w:rPr>
              <w:fldChar w:fldCharType="end"/>
            </w:r>
          </w:hyperlink>
        </w:p>
        <w:p w14:paraId="116EB981" w14:textId="77777777" w:rsidR="002C18C8" w:rsidRPr="002C18C8" w:rsidRDefault="00000000">
          <w:pPr>
            <w:pStyle w:val="TOC2"/>
            <w:tabs>
              <w:tab w:val="right" w:pos="9019"/>
            </w:tabs>
            <w:rPr>
              <w:b/>
              <w:noProof/>
            </w:rPr>
          </w:pPr>
          <w:hyperlink w:anchor="_Toc123996527" w:history="1">
            <w:r w:rsidR="002C18C8" w:rsidRPr="002C18C8">
              <w:rPr>
                <w:rStyle w:val="Hyperlink"/>
                <w:b/>
                <w:noProof/>
              </w:rPr>
              <w:t>HR Related issues</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_Toc123996527 \h </w:instrText>
            </w:r>
            <w:r w:rsidR="002C18C8" w:rsidRPr="002C18C8">
              <w:rPr>
                <w:b/>
                <w:noProof/>
                <w:webHidden/>
              </w:rPr>
            </w:r>
            <w:r w:rsidR="002C18C8" w:rsidRPr="002C18C8">
              <w:rPr>
                <w:b/>
                <w:noProof/>
                <w:webHidden/>
              </w:rPr>
              <w:fldChar w:fldCharType="separate"/>
            </w:r>
            <w:r w:rsidR="002C18C8" w:rsidRPr="002C18C8">
              <w:rPr>
                <w:b/>
                <w:noProof/>
                <w:webHidden/>
              </w:rPr>
              <w:t>10</w:t>
            </w:r>
            <w:r w:rsidR="002C18C8" w:rsidRPr="002C18C8">
              <w:rPr>
                <w:b/>
                <w:noProof/>
                <w:webHidden/>
              </w:rPr>
              <w:fldChar w:fldCharType="end"/>
            </w:r>
          </w:hyperlink>
        </w:p>
        <w:p w14:paraId="5FCF56AA" w14:textId="77777777" w:rsidR="002C18C8" w:rsidRPr="002C18C8" w:rsidRDefault="00000000">
          <w:pPr>
            <w:pStyle w:val="TOC1"/>
            <w:tabs>
              <w:tab w:val="right" w:pos="9019"/>
            </w:tabs>
            <w:rPr>
              <w:b/>
              <w:noProof/>
            </w:rPr>
          </w:pPr>
          <w:hyperlink w:anchor="_Toc123996528" w:history="1">
            <w:r w:rsidR="002C18C8" w:rsidRPr="002C18C8">
              <w:rPr>
                <w:rStyle w:val="Hyperlink"/>
                <w:b/>
                <w:noProof/>
              </w:rPr>
              <w:t>The potential impact of any changes on employee engagement</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_Toc123996528 \h </w:instrText>
            </w:r>
            <w:r w:rsidR="002C18C8" w:rsidRPr="002C18C8">
              <w:rPr>
                <w:b/>
                <w:noProof/>
                <w:webHidden/>
              </w:rPr>
            </w:r>
            <w:r w:rsidR="002C18C8" w:rsidRPr="002C18C8">
              <w:rPr>
                <w:b/>
                <w:noProof/>
                <w:webHidden/>
              </w:rPr>
              <w:fldChar w:fldCharType="separate"/>
            </w:r>
            <w:r w:rsidR="002C18C8" w:rsidRPr="002C18C8">
              <w:rPr>
                <w:b/>
                <w:noProof/>
                <w:webHidden/>
              </w:rPr>
              <w:t>10</w:t>
            </w:r>
            <w:r w:rsidR="002C18C8" w:rsidRPr="002C18C8">
              <w:rPr>
                <w:b/>
                <w:noProof/>
                <w:webHidden/>
              </w:rPr>
              <w:fldChar w:fldCharType="end"/>
            </w:r>
          </w:hyperlink>
        </w:p>
        <w:p w14:paraId="303C9891" w14:textId="77777777" w:rsidR="002C18C8" w:rsidRPr="002C18C8" w:rsidRDefault="00000000">
          <w:pPr>
            <w:pStyle w:val="TOC1"/>
            <w:tabs>
              <w:tab w:val="right" w:pos="9019"/>
            </w:tabs>
            <w:rPr>
              <w:b/>
              <w:noProof/>
            </w:rPr>
          </w:pPr>
          <w:hyperlink w:anchor="_Toc123996529" w:history="1">
            <w:r w:rsidR="002C18C8" w:rsidRPr="002C18C8">
              <w:rPr>
                <w:rStyle w:val="Hyperlink"/>
                <w:b/>
                <w:noProof/>
              </w:rPr>
              <w:t>Evaluation of HR involvement in this issue</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_Toc123996529 \h </w:instrText>
            </w:r>
            <w:r w:rsidR="002C18C8" w:rsidRPr="002C18C8">
              <w:rPr>
                <w:b/>
                <w:noProof/>
                <w:webHidden/>
              </w:rPr>
            </w:r>
            <w:r w:rsidR="002C18C8" w:rsidRPr="002C18C8">
              <w:rPr>
                <w:b/>
                <w:noProof/>
                <w:webHidden/>
              </w:rPr>
              <w:fldChar w:fldCharType="separate"/>
            </w:r>
            <w:r w:rsidR="002C18C8" w:rsidRPr="002C18C8">
              <w:rPr>
                <w:b/>
                <w:noProof/>
                <w:webHidden/>
              </w:rPr>
              <w:t>12</w:t>
            </w:r>
            <w:r w:rsidR="002C18C8" w:rsidRPr="002C18C8">
              <w:rPr>
                <w:b/>
                <w:noProof/>
                <w:webHidden/>
              </w:rPr>
              <w:fldChar w:fldCharType="end"/>
            </w:r>
          </w:hyperlink>
        </w:p>
        <w:p w14:paraId="1FB5C03B" w14:textId="77777777" w:rsidR="002C18C8" w:rsidRPr="002C18C8" w:rsidRDefault="00000000">
          <w:pPr>
            <w:pStyle w:val="TOC1"/>
            <w:tabs>
              <w:tab w:val="right" w:pos="9019"/>
            </w:tabs>
            <w:rPr>
              <w:b/>
              <w:noProof/>
            </w:rPr>
          </w:pPr>
          <w:hyperlink w:anchor="_Toc123996530" w:history="1">
            <w:r w:rsidR="002C18C8" w:rsidRPr="002C18C8">
              <w:rPr>
                <w:rStyle w:val="Hyperlink"/>
                <w:b/>
                <w:noProof/>
              </w:rPr>
              <w:t>Evaluation of traditional models of HRM and whether they deliver an acceptable framework for handling modern employee relations</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_Toc123996530 \h </w:instrText>
            </w:r>
            <w:r w:rsidR="002C18C8" w:rsidRPr="002C18C8">
              <w:rPr>
                <w:b/>
                <w:noProof/>
                <w:webHidden/>
              </w:rPr>
            </w:r>
            <w:r w:rsidR="002C18C8" w:rsidRPr="002C18C8">
              <w:rPr>
                <w:b/>
                <w:noProof/>
                <w:webHidden/>
              </w:rPr>
              <w:fldChar w:fldCharType="separate"/>
            </w:r>
            <w:r w:rsidR="002C18C8" w:rsidRPr="002C18C8">
              <w:rPr>
                <w:b/>
                <w:noProof/>
                <w:webHidden/>
              </w:rPr>
              <w:t>14</w:t>
            </w:r>
            <w:r w:rsidR="002C18C8" w:rsidRPr="002C18C8">
              <w:rPr>
                <w:b/>
                <w:noProof/>
                <w:webHidden/>
              </w:rPr>
              <w:fldChar w:fldCharType="end"/>
            </w:r>
          </w:hyperlink>
        </w:p>
        <w:p w14:paraId="1A9C4AD6" w14:textId="77777777" w:rsidR="002C18C8" w:rsidRPr="002C18C8" w:rsidRDefault="00000000">
          <w:pPr>
            <w:pStyle w:val="TOC2"/>
            <w:tabs>
              <w:tab w:val="right" w:pos="9019"/>
            </w:tabs>
            <w:rPr>
              <w:b/>
              <w:noProof/>
            </w:rPr>
          </w:pPr>
          <w:hyperlink w:anchor="_Toc123996531" w:history="1">
            <w:r w:rsidR="002C18C8" w:rsidRPr="002C18C8">
              <w:rPr>
                <w:rStyle w:val="Hyperlink"/>
                <w:b/>
                <w:noProof/>
              </w:rPr>
              <w:t>The Zinger Model of employee engagement theory</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_Toc123996531 \h </w:instrText>
            </w:r>
            <w:r w:rsidR="002C18C8" w:rsidRPr="002C18C8">
              <w:rPr>
                <w:b/>
                <w:noProof/>
                <w:webHidden/>
              </w:rPr>
            </w:r>
            <w:r w:rsidR="002C18C8" w:rsidRPr="002C18C8">
              <w:rPr>
                <w:b/>
                <w:noProof/>
                <w:webHidden/>
              </w:rPr>
              <w:fldChar w:fldCharType="separate"/>
            </w:r>
            <w:r w:rsidR="002C18C8" w:rsidRPr="002C18C8">
              <w:rPr>
                <w:b/>
                <w:noProof/>
                <w:webHidden/>
              </w:rPr>
              <w:t>16</w:t>
            </w:r>
            <w:r w:rsidR="002C18C8" w:rsidRPr="002C18C8">
              <w:rPr>
                <w:b/>
                <w:noProof/>
                <w:webHidden/>
              </w:rPr>
              <w:fldChar w:fldCharType="end"/>
            </w:r>
          </w:hyperlink>
        </w:p>
        <w:p w14:paraId="78EFBE71" w14:textId="77777777" w:rsidR="002C18C8" w:rsidRPr="002C18C8" w:rsidRDefault="00000000">
          <w:pPr>
            <w:pStyle w:val="TOC1"/>
            <w:tabs>
              <w:tab w:val="right" w:pos="9019"/>
            </w:tabs>
            <w:rPr>
              <w:b/>
              <w:noProof/>
            </w:rPr>
          </w:pPr>
          <w:hyperlink w:anchor="_Toc123996532" w:history="1">
            <w:r w:rsidR="002C18C8" w:rsidRPr="002C18C8">
              <w:rPr>
                <w:rStyle w:val="Hyperlink"/>
                <w:b/>
                <w:noProof/>
              </w:rPr>
              <w:t>Conclusion</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_Toc123996532 \h </w:instrText>
            </w:r>
            <w:r w:rsidR="002C18C8" w:rsidRPr="002C18C8">
              <w:rPr>
                <w:b/>
                <w:noProof/>
                <w:webHidden/>
              </w:rPr>
            </w:r>
            <w:r w:rsidR="002C18C8" w:rsidRPr="002C18C8">
              <w:rPr>
                <w:b/>
                <w:noProof/>
                <w:webHidden/>
              </w:rPr>
              <w:fldChar w:fldCharType="separate"/>
            </w:r>
            <w:r w:rsidR="002C18C8" w:rsidRPr="002C18C8">
              <w:rPr>
                <w:b/>
                <w:noProof/>
                <w:webHidden/>
              </w:rPr>
              <w:t>17</w:t>
            </w:r>
            <w:r w:rsidR="002C18C8" w:rsidRPr="002C18C8">
              <w:rPr>
                <w:b/>
                <w:noProof/>
                <w:webHidden/>
              </w:rPr>
              <w:fldChar w:fldCharType="end"/>
            </w:r>
          </w:hyperlink>
        </w:p>
        <w:p w14:paraId="2069F8ED" w14:textId="77777777" w:rsidR="002C18C8" w:rsidRDefault="00000000">
          <w:pPr>
            <w:pStyle w:val="TOC1"/>
            <w:tabs>
              <w:tab w:val="right" w:pos="9019"/>
            </w:tabs>
            <w:rPr>
              <w:noProof/>
            </w:rPr>
          </w:pPr>
          <w:hyperlink w:anchor="_Toc123996533" w:history="1">
            <w:r w:rsidR="002C18C8" w:rsidRPr="002C18C8">
              <w:rPr>
                <w:rStyle w:val="Hyperlink"/>
                <w:b/>
                <w:noProof/>
              </w:rPr>
              <w:t>Reference list</w:t>
            </w:r>
            <w:r w:rsidR="002C18C8" w:rsidRPr="002C18C8">
              <w:rPr>
                <w:b/>
                <w:noProof/>
                <w:webHidden/>
              </w:rPr>
              <w:tab/>
            </w:r>
            <w:r w:rsidR="002C18C8" w:rsidRPr="002C18C8">
              <w:rPr>
                <w:b/>
                <w:noProof/>
                <w:webHidden/>
              </w:rPr>
              <w:fldChar w:fldCharType="begin"/>
            </w:r>
            <w:r w:rsidR="002C18C8" w:rsidRPr="002C18C8">
              <w:rPr>
                <w:b/>
                <w:noProof/>
                <w:webHidden/>
              </w:rPr>
              <w:instrText xml:space="preserve"> PAGEREF _Toc123996533 \h </w:instrText>
            </w:r>
            <w:r w:rsidR="002C18C8" w:rsidRPr="002C18C8">
              <w:rPr>
                <w:b/>
                <w:noProof/>
                <w:webHidden/>
              </w:rPr>
            </w:r>
            <w:r w:rsidR="002C18C8" w:rsidRPr="002C18C8">
              <w:rPr>
                <w:b/>
                <w:noProof/>
                <w:webHidden/>
              </w:rPr>
              <w:fldChar w:fldCharType="separate"/>
            </w:r>
            <w:r w:rsidR="002C18C8" w:rsidRPr="002C18C8">
              <w:rPr>
                <w:b/>
                <w:noProof/>
                <w:webHidden/>
              </w:rPr>
              <w:t>18</w:t>
            </w:r>
            <w:r w:rsidR="002C18C8" w:rsidRPr="002C18C8">
              <w:rPr>
                <w:b/>
                <w:noProof/>
                <w:webHidden/>
              </w:rPr>
              <w:fldChar w:fldCharType="end"/>
            </w:r>
          </w:hyperlink>
        </w:p>
        <w:p w14:paraId="1C7F69F3" w14:textId="77777777" w:rsidR="00D07F4D" w:rsidRPr="00403350" w:rsidRDefault="00FA387E" w:rsidP="00403350">
          <w:pPr>
            <w:tabs>
              <w:tab w:val="right" w:pos="9025"/>
            </w:tabs>
            <w:spacing w:before="200" w:after="80"/>
            <w:rPr>
              <w:b/>
              <w:color w:val="000000"/>
            </w:rPr>
          </w:pPr>
          <w:r w:rsidRPr="00403350">
            <w:fldChar w:fldCharType="end"/>
          </w:r>
        </w:p>
      </w:sdtContent>
    </w:sdt>
    <w:p w14:paraId="5F105E8D" w14:textId="77777777" w:rsidR="00D07F4D" w:rsidRPr="00403350" w:rsidRDefault="00D07F4D" w:rsidP="00403350">
      <w:pPr>
        <w:rPr>
          <w:b/>
          <w:sz w:val="30"/>
          <w:szCs w:val="30"/>
        </w:rPr>
      </w:pPr>
    </w:p>
    <w:p w14:paraId="120827CF" w14:textId="77777777" w:rsidR="00D07F4D" w:rsidRPr="00403350" w:rsidRDefault="00D07F4D" w:rsidP="00403350">
      <w:pPr>
        <w:jc w:val="center"/>
        <w:rPr>
          <w:b/>
          <w:sz w:val="30"/>
          <w:szCs w:val="30"/>
        </w:rPr>
      </w:pPr>
    </w:p>
    <w:p w14:paraId="5DEBE8D8" w14:textId="77777777" w:rsidR="00D07F4D" w:rsidRPr="00403350" w:rsidRDefault="00FA387E" w:rsidP="00403350">
      <w:pPr>
        <w:jc w:val="center"/>
        <w:rPr>
          <w:b/>
          <w:sz w:val="30"/>
          <w:szCs w:val="30"/>
        </w:rPr>
      </w:pPr>
      <w:r w:rsidRPr="00403350">
        <w:br w:type="page"/>
      </w:r>
    </w:p>
    <w:p w14:paraId="3E508C99" w14:textId="77777777" w:rsidR="00D07F4D" w:rsidRPr="00403350" w:rsidRDefault="00FA387E" w:rsidP="00403350">
      <w:pPr>
        <w:pStyle w:val="Heading1"/>
      </w:pPr>
      <w:bookmarkStart w:id="0" w:name="_Toc123996523"/>
      <w:r w:rsidRPr="00403350">
        <w:t>Introduction</w:t>
      </w:r>
      <w:bookmarkEnd w:id="0"/>
      <w:r w:rsidRPr="00403350">
        <w:t xml:space="preserve"> </w:t>
      </w:r>
    </w:p>
    <w:p w14:paraId="332E932A" w14:textId="77777777" w:rsidR="00D07F4D" w:rsidRPr="00403350" w:rsidRDefault="00FA387E" w:rsidP="00403350">
      <w:r w:rsidRPr="00403350">
        <w:t>The management of the staff is one of the important and constant factors for the organisation. In terms of that, most organisations now try to adopt that type of change within the organisation by being able to properly manage the cost of the staff and also write them within the organisation for a particular period. For example, there is a case study that has been conducted on British gas which also does not have an exception (Kremen and Merenlender, 2018). According to research, it has been found that in 2020 the appropriate negotiation will be conducted between the employees of the organisation to change the contractual employment terms within the organisation. In terms of that, a dispute has been conducted with the engineers of the organisation over the change. Most of the time it has been found that British gas companies follow the fire and rehire strategy within the organisation in which they are forcing the engineer to accept the change and also full fill the contract. In terms of that, it has been found that most of the engineers signed the contract because they do not want to lose their jobs (Collins, 2022). On the other hand, 500 employees do not accept the new employment rules and that is a job (Shalchi, 2021). In this way, over to this case study this report has been conducted which provides appropriate preparation for the technique of fire and Higher techniques that have been conducted within the UK-level market. On that hand, it is also discussed about the legal implications can create change within the contractual employment terms (Shackleton, 2022). Moreover, it is also discussing the role of the HR manager in discussing this type of issue that has been conducted within the organisation. The potential impact of the change on employee engagement has been discussed and also discussed traditional models of HRM can be capable of managing the overall contemporary climate relationship within the organisation.</w:t>
      </w:r>
    </w:p>
    <w:p w14:paraId="1CD073F9" w14:textId="77777777" w:rsidR="00D07F4D" w:rsidRPr="00403350" w:rsidRDefault="00FA387E" w:rsidP="00403350">
      <w:pPr>
        <w:jc w:val="center"/>
      </w:pPr>
      <w:r w:rsidRPr="00403350">
        <w:rPr>
          <w:noProof/>
          <w:lang w:val="en-IN" w:bidi="ar-SA"/>
        </w:rPr>
        <w:drawing>
          <wp:inline distT="114300" distB="114300" distL="114300" distR="114300" wp14:anchorId="5BF1998F" wp14:editId="5E9CDF2F">
            <wp:extent cx="3581400" cy="2643188"/>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6"/>
                    <a:stretch>
                      <a:fillRect/>
                    </a:stretch>
                  </pic:blipFill>
                  <pic:spPr>
                    <a:xfrm>
                      <a:off x="0" y="0"/>
                      <a:ext cx="3581400" cy="2643188"/>
                    </a:xfrm>
                    <a:prstGeom prst="rect">
                      <a:avLst/>
                    </a:prstGeom>
                    <a:ln w="25400">
                      <a:solidFill>
                        <a:srgbClr val="000000"/>
                      </a:solidFill>
                      <a:prstDash val="solid"/>
                    </a:ln>
                  </pic:spPr>
                </pic:pic>
              </a:graphicData>
            </a:graphic>
          </wp:inline>
        </w:drawing>
      </w:r>
    </w:p>
    <w:p w14:paraId="03FDD667" w14:textId="77777777" w:rsidR="00D07F4D" w:rsidRPr="00403350" w:rsidRDefault="00FA387E" w:rsidP="00403350">
      <w:pPr>
        <w:jc w:val="center"/>
        <w:rPr>
          <w:b/>
        </w:rPr>
      </w:pPr>
      <w:r w:rsidRPr="00403350">
        <w:rPr>
          <w:b/>
        </w:rPr>
        <w:t>Figure 1: Case of British gas</w:t>
      </w:r>
    </w:p>
    <w:p w14:paraId="3C16D0B6" w14:textId="77777777" w:rsidR="00D07F4D" w:rsidRPr="00403350" w:rsidRDefault="00FA387E" w:rsidP="00403350">
      <w:pPr>
        <w:jc w:val="center"/>
      </w:pPr>
      <w:r w:rsidRPr="00403350">
        <w:t xml:space="preserve">(Source: Shackleton, 2022) </w:t>
      </w:r>
    </w:p>
    <w:p w14:paraId="52519ECC" w14:textId="77777777" w:rsidR="00D07F4D" w:rsidRPr="00403350" w:rsidRDefault="00FA387E" w:rsidP="00403350">
      <w:pPr>
        <w:pStyle w:val="Heading1"/>
      </w:pPr>
      <w:bookmarkStart w:id="1" w:name="_Toc123996524"/>
      <w:r w:rsidRPr="00403350">
        <w:t>Reviewing the practice of “fire and rehire” tactics within the UK labour market for the evaluation of approaches</w:t>
      </w:r>
      <w:bookmarkEnd w:id="1"/>
    </w:p>
    <w:p w14:paraId="2045D94B" w14:textId="77777777" w:rsidR="00D07F4D" w:rsidRPr="00403350" w:rsidRDefault="00FA387E" w:rsidP="00403350">
      <w:r w:rsidRPr="00403350">
        <w:t>According to the case study of British gas, it is found that the company is engaged in conflict with its boiler engineers. The reason that is stated for the conflict is altercations in the terms and conditions of employment. The quarrel resulted in several strikes by the boiler engineers (Shalchi, 2021). The boiler engineers were compelled to sign new agreements.  The new agreements were not in favour of the engineers as they were required to work overtime without any additional pay.  Due to the same reason, British gas was forced to practice the fire and the rehire strategy (Shackleton, 2022). The British gas company asked the engineer to either accept the new contract or get dismissed. Some of the engineers accepted the contract while others were dismissed. A detailed discussion of the fire and rehire tactics are mentioned above for deep understanding.</w:t>
      </w:r>
    </w:p>
    <w:p w14:paraId="32ADDC47" w14:textId="77777777" w:rsidR="00D07F4D" w:rsidRPr="00403350" w:rsidRDefault="00FA387E" w:rsidP="00403350">
      <w:r w:rsidRPr="00403350">
        <w:t xml:space="preserve">The practice of fire and rehire tactics is also referred to as the practice of dismissal and engagement.  It is a common practice within the UK </w:t>
      </w:r>
      <w:r w:rsidR="00743FD8" w:rsidRPr="00403350">
        <w:t>labour</w:t>
      </w:r>
      <w:r w:rsidRPr="00403350">
        <w:t xml:space="preserve"> market.   According to Bernstein, (2022), the fire and the rehire tactics</w:t>
      </w:r>
      <w:r w:rsidR="00743FD8" w:rsidRPr="00403350">
        <w:t xml:space="preserve"> </w:t>
      </w:r>
      <w:r w:rsidRPr="00403350">
        <w:t>are generally practised</w:t>
      </w:r>
      <w:r w:rsidR="00743FD8" w:rsidRPr="00403350">
        <w:t xml:space="preserve"> </w:t>
      </w:r>
      <w:r w:rsidRPr="00403350">
        <w:t xml:space="preserve">when an </w:t>
      </w:r>
      <w:r w:rsidR="00743FD8" w:rsidRPr="00403350">
        <w:t xml:space="preserve">organization </w:t>
      </w:r>
      <w:r w:rsidRPr="00403350">
        <w:t>terminates an employee</w:t>
      </w:r>
      <w:r w:rsidR="00743FD8" w:rsidRPr="00403350">
        <w:t xml:space="preserve"> </w:t>
      </w:r>
      <w:r w:rsidRPr="00403350">
        <w:t>and the rehiring of the employee</w:t>
      </w:r>
      <w:r w:rsidR="00743FD8" w:rsidRPr="00403350">
        <w:t xml:space="preserve"> </w:t>
      </w:r>
      <w:r w:rsidRPr="00403350">
        <w:t xml:space="preserve">takes place upon new terms and conditions.  Within the UK </w:t>
      </w:r>
      <w:r w:rsidR="00743FD8" w:rsidRPr="00403350">
        <w:t>labour</w:t>
      </w:r>
      <w:r w:rsidRPr="00403350">
        <w:t xml:space="preserve"> market, the new terms are generally more </w:t>
      </w:r>
      <w:r w:rsidR="00743FD8" w:rsidRPr="00403350">
        <w:t>favourable</w:t>
      </w:r>
      <w:r w:rsidRPr="00403350">
        <w:t xml:space="preserve"> for the </w:t>
      </w:r>
      <w:r w:rsidR="00743FD8" w:rsidRPr="00403350">
        <w:t>organization</w:t>
      </w:r>
      <w:r w:rsidRPr="00403350">
        <w:t>. The practice of fire and rehire tactics</w:t>
      </w:r>
      <w:r w:rsidR="00743FD8" w:rsidRPr="00403350">
        <w:t xml:space="preserve"> </w:t>
      </w:r>
      <w:r w:rsidRPr="00403350">
        <w:t xml:space="preserve">is generally applied when the organisation is not able to change the terms of the contract through agreement.  Moreover, these practices are considered lawful within the UK </w:t>
      </w:r>
      <w:r w:rsidR="00743FD8" w:rsidRPr="00403350">
        <w:t>labour</w:t>
      </w:r>
      <w:r w:rsidRPr="00403350">
        <w:t xml:space="preserve"> market. If the tactics are applied</w:t>
      </w:r>
      <w:r w:rsidR="00743FD8" w:rsidRPr="00403350">
        <w:t xml:space="preserve"> </w:t>
      </w:r>
      <w:r w:rsidRPr="00403350">
        <w:t>to several employees</w:t>
      </w:r>
      <w:r w:rsidR="00743FD8" w:rsidRPr="00403350">
        <w:t>,</w:t>
      </w:r>
      <w:r w:rsidRPr="00403350">
        <w:t xml:space="preserve"> then there are chances, that the employer might have legal duty for undertaking</w:t>
      </w:r>
      <w:r w:rsidR="00743FD8" w:rsidRPr="00403350">
        <w:t xml:space="preserve"> </w:t>
      </w:r>
      <w:r w:rsidRPr="00403350">
        <w:t>collaborative redundancy talk (Nolan, 2021). If the employer in an organisation is not able to agree with the employee in terms of the contract, then the employer might dismiss the employee.  For the dismissal of the employee, a notice is forwarded to the employee. After the dismissal, the employee may be hired on new terms and conditions. Some specific guidelines need to be followed by organisations within the UK labour market. Firstly</w:t>
      </w:r>
      <w:r w:rsidR="00743FD8" w:rsidRPr="00403350">
        <w:t>,</w:t>
      </w:r>
      <w:r w:rsidRPr="00403350">
        <w:t xml:space="preserve"> if the employer is planning to follow these tactics, then it is important to consider whether everything possible is done for reaching </w:t>
      </w:r>
      <w:r w:rsidR="00743FD8" w:rsidRPr="00403350">
        <w:t>an</w:t>
      </w:r>
      <w:r w:rsidRPr="00403350">
        <w:t xml:space="preserve"> agreement. The evaluation of the risk associated with employee engagement</w:t>
      </w:r>
      <w:r w:rsidR="00743FD8" w:rsidRPr="00403350">
        <w:t xml:space="preserve"> </w:t>
      </w:r>
      <w:r w:rsidRPr="00403350">
        <w:t>as well as the legal actions must be considered beforehand.  Also, it is essential</w:t>
      </w:r>
      <w:r w:rsidR="00743FD8" w:rsidRPr="00403350">
        <w:t xml:space="preserve"> </w:t>
      </w:r>
      <w:r w:rsidRPr="00403350">
        <w:t>to pursue</w:t>
      </w:r>
      <w:r w:rsidR="00743FD8" w:rsidRPr="00403350">
        <w:t xml:space="preserve"> </w:t>
      </w:r>
      <w:r w:rsidRPr="00403350">
        <w:t>a fair dismissal strategy. An opportunity must be provided to the employee regarding the plea against the dismissal. The amendments must not be made</w:t>
      </w:r>
      <w:r w:rsidR="00743FD8" w:rsidRPr="00403350">
        <w:t xml:space="preserve"> </w:t>
      </w:r>
      <w:r w:rsidRPr="00403350">
        <w:t>until</w:t>
      </w:r>
      <w:r w:rsidR="00743FD8" w:rsidRPr="00403350">
        <w:t xml:space="preserve"> </w:t>
      </w:r>
      <w:r w:rsidRPr="00403350">
        <w:t>the fair dismissal of the employee has taken place and the employee is hired according to the new contract. Three main legal implications are essential in the case of hire and the rehire strategy. Firstly, it is essential to follow secure dismissal. At last, consultation must be done in the case of collective redundancy.</w:t>
      </w:r>
    </w:p>
    <w:p w14:paraId="52E854F3" w14:textId="77777777" w:rsidR="00D07F4D" w:rsidRPr="00403350" w:rsidRDefault="00FA387E" w:rsidP="00403350">
      <w:pPr>
        <w:rPr>
          <w:b/>
        </w:rPr>
      </w:pPr>
      <w:r w:rsidRPr="00403350">
        <w:rPr>
          <w:b/>
        </w:rPr>
        <w:t>Evaluation of approaches</w:t>
      </w:r>
    </w:p>
    <w:p w14:paraId="360FE138" w14:textId="77777777" w:rsidR="00D07F4D" w:rsidRPr="00403350" w:rsidRDefault="00FA387E" w:rsidP="00403350">
      <w:r w:rsidRPr="00403350">
        <w:t>Considering the present scenario of the UK labour market, it is found that some changes need to be undertaken regarding the fire and the rehire strategy.  These tactics are sometimes regarded as the controversial approach adopted by some organisations. This approach is generally adopted when the organisation is willing to</w:t>
      </w:r>
      <w:r w:rsidR="00743FD8" w:rsidRPr="00403350">
        <w:t xml:space="preserve"> </w:t>
      </w:r>
      <w:r w:rsidRPr="00403350">
        <w:t xml:space="preserve">alter the terms and conditions of the employees. During the Covid-19 pandemic, some of the leading organisations like British gas adopted this approach to alter their </w:t>
      </w:r>
      <w:r w:rsidR="00743FD8" w:rsidRPr="00403350">
        <w:t>employees’</w:t>
      </w:r>
      <w:r w:rsidRPr="00403350">
        <w:t xml:space="preserve"> terms and conditions (Collins, 2022). This approach became quite popular during the outspread of the pandemic. This is because some of the leading organisations saw a decline in their revenue which forced them to make redundancies for saving costs. Moreover, some organisations also follow this approach for streamlining their workforce during the tough pandemic times (Codd and Ferguson, 2020). Those organisations who are willing to retain Their employees may change the terms of the contract. This approach is not used by those organisations that consider employees an integral part of their organisation. This approach is becoming more popular these days because organisations feel that this approach is useful in dismissing employees. However, the process is not liked by the employees as the terms of the contract are not in their favour.  The employees may feel pressurized for their task completion due to favourable circumstances. They may be required to work overtime without additional pay. The breaching of the contract may result in adverse conditions for the employees.  So, to look after the approach of</w:t>
      </w:r>
      <w:r w:rsidR="00743FD8" w:rsidRPr="00403350">
        <w:t xml:space="preserve"> </w:t>
      </w:r>
      <w:r w:rsidRPr="00403350">
        <w:t>fire and the rehire strategy the UK Government has asked ACAS. According to the report published by ACAS on 8th June 2021, it is found that due to the ongoing pandemic this approach may become more popular in future (Kelly-Lyth, Abraha and Adams-Prassl, 2022).  The role of ACAS was to find facts related to the hire and rehire approach</w:t>
      </w:r>
      <w:r w:rsidR="00743FD8" w:rsidRPr="00403350">
        <w:t xml:space="preserve"> </w:t>
      </w:r>
      <w:r w:rsidRPr="00403350">
        <w:t>instead of presenting suggestions to the UK Government regarding the UK labour market. Some outcomes were drawn from the report which focused on the</w:t>
      </w:r>
      <w:r w:rsidR="00743FD8" w:rsidRPr="00403350">
        <w:t xml:space="preserve"> </w:t>
      </w:r>
      <w:r w:rsidRPr="00403350">
        <w:t xml:space="preserve">strengthening of talk needs for employers. Also, the report highlighted that </w:t>
      </w:r>
      <w:r w:rsidR="00743FD8" w:rsidRPr="00403350">
        <w:t>t</w:t>
      </w:r>
      <w:r w:rsidRPr="00403350">
        <w:t>he employees must be protected from unfair dismissal along with an assurance of their employment continuity. So, from the overall discussion, it is clear that this approach is risky for organisations as they may face several harmful repercussions regarding the same.  The employees associated with those organisations who follow this approach may claim dishonest discharge. The employees can also blame the organisations for breach of contract.  If high</w:t>
      </w:r>
      <w:r w:rsidR="00743FD8" w:rsidRPr="00403350">
        <w:t>-</w:t>
      </w:r>
      <w:r w:rsidRPr="00403350">
        <w:t>profile organisations are adopting this practice, then it may cause a loss of reputation. Therefore, organisations need to evaluate this approach in terms of legal and regulatory aspects. The contract must be designed by the organisations in the favour of the employees. If the employees are happy with the organisation, then the organisation can progress. So, organisations need to evaluate the hire and the rehire strategy for implementation.</w:t>
      </w:r>
    </w:p>
    <w:p w14:paraId="1A3FED40" w14:textId="77777777" w:rsidR="00D07F4D" w:rsidRPr="00403350" w:rsidRDefault="00FA387E" w:rsidP="00403350">
      <w:pPr>
        <w:jc w:val="center"/>
      </w:pPr>
      <w:r w:rsidRPr="00403350">
        <w:rPr>
          <w:noProof/>
          <w:lang w:val="en-IN" w:bidi="ar-SA"/>
        </w:rPr>
        <w:drawing>
          <wp:inline distT="114300" distB="114300" distL="114300" distR="114300" wp14:anchorId="432AFEEB" wp14:editId="638245FA">
            <wp:extent cx="4514850" cy="2762250"/>
            <wp:effectExtent l="25400" t="25400" r="25400" b="25400"/>
            <wp:docPr id="1" name="image5.jpg"/>
            <wp:cNvGraphicFramePr/>
            <a:graphic xmlns:a="http://schemas.openxmlformats.org/drawingml/2006/main">
              <a:graphicData uri="http://schemas.openxmlformats.org/drawingml/2006/picture">
                <pic:pic xmlns:pic="http://schemas.openxmlformats.org/drawingml/2006/picture">
                  <pic:nvPicPr>
                    <pic:cNvPr id="1" name="image5.jpg"/>
                    <pic:cNvPicPr/>
                  </pic:nvPicPr>
                  <pic:blipFill>
                    <a:blip r:embed="rId7"/>
                    <a:stretch>
                      <a:fillRect/>
                    </a:stretch>
                  </pic:blipFill>
                  <pic:spPr>
                    <a:xfrm>
                      <a:off x="0" y="0"/>
                      <a:ext cx="4514850" cy="2762250"/>
                    </a:xfrm>
                    <a:prstGeom prst="rect">
                      <a:avLst/>
                    </a:prstGeom>
                    <a:ln w="25400">
                      <a:solidFill>
                        <a:srgbClr val="000000"/>
                      </a:solidFill>
                      <a:prstDash val="solid"/>
                    </a:ln>
                  </pic:spPr>
                </pic:pic>
              </a:graphicData>
            </a:graphic>
          </wp:inline>
        </w:drawing>
      </w:r>
    </w:p>
    <w:p w14:paraId="217D63CE" w14:textId="77777777" w:rsidR="00D07F4D" w:rsidRPr="00403350" w:rsidRDefault="00FA387E" w:rsidP="00403350">
      <w:pPr>
        <w:jc w:val="center"/>
        <w:rPr>
          <w:b/>
        </w:rPr>
      </w:pPr>
      <w:r w:rsidRPr="00403350">
        <w:rPr>
          <w:b/>
        </w:rPr>
        <w:t>Figure 2: Protest against Fire and Rehire tactics</w:t>
      </w:r>
    </w:p>
    <w:p w14:paraId="626A881C" w14:textId="77777777" w:rsidR="00D07F4D" w:rsidRPr="00403350" w:rsidRDefault="00FA387E" w:rsidP="00403350">
      <w:pPr>
        <w:jc w:val="center"/>
      </w:pPr>
      <w:r w:rsidRPr="00403350">
        <w:t>(Source: Codd and Ferguson, 2020)</w:t>
      </w:r>
    </w:p>
    <w:p w14:paraId="2BF495CE" w14:textId="77777777" w:rsidR="00D07F4D" w:rsidRPr="00403350" w:rsidRDefault="00FA387E" w:rsidP="00403350">
      <w:pPr>
        <w:pStyle w:val="Heading1"/>
      </w:pPr>
      <w:bookmarkStart w:id="2" w:name="_Toc123996525"/>
      <w:r w:rsidRPr="00403350">
        <w:t>Legal implications of changing contractual employment terms</w:t>
      </w:r>
      <w:bookmarkEnd w:id="2"/>
    </w:p>
    <w:p w14:paraId="6123CE6F" w14:textId="77777777" w:rsidR="00D07F4D" w:rsidRPr="00403350" w:rsidRDefault="00FA387E" w:rsidP="00403350">
      <w:r w:rsidRPr="00403350">
        <w:t xml:space="preserve">To discuss the employee-employer relationship within the organisation then it is found and it is free of disputes. In terms of that, it has implied that their allowances of experience can arise in the modern corporate world which is not perfectly working. In terms of that, it has been found that it can be capable of encountering different kinds of employment disputes and also can be capable of the answer over time contacts within the organisational place (Feinstein </w:t>
      </w:r>
      <w:r w:rsidRPr="00403350">
        <w:rPr>
          <w:i/>
        </w:rPr>
        <w:t>et al.,</w:t>
      </w:r>
      <w:r w:rsidRPr="00403350">
        <w:t xml:space="preserve"> 2019). In terms of that, it has been found that while conducting different kinds of agreements and contracts there are different kinds of problem areas. This section is used to explore the overall applications that can be creative within the changing of employee contractual employment terms within the organisation. It is also used to explore the different kinds of importance and the different content of the employment agreement and different kinds of clauses that should be considered while conducting the change in the future. </w:t>
      </w:r>
    </w:p>
    <w:p w14:paraId="35B366EB" w14:textId="77777777" w:rsidR="00D07F4D" w:rsidRPr="00403350" w:rsidRDefault="00FA387E" w:rsidP="00403350">
      <w:pPr>
        <w:jc w:val="center"/>
      </w:pPr>
      <w:r w:rsidRPr="00403350">
        <w:rPr>
          <w:noProof/>
          <w:lang w:val="en-IN" w:bidi="ar-SA"/>
        </w:rPr>
        <w:drawing>
          <wp:inline distT="114300" distB="114300" distL="114300" distR="114300" wp14:anchorId="17C36209" wp14:editId="3D94C16C">
            <wp:extent cx="4357688" cy="2917189"/>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a:stretch>
                      <a:fillRect/>
                    </a:stretch>
                  </pic:blipFill>
                  <pic:spPr>
                    <a:xfrm>
                      <a:off x="0" y="0"/>
                      <a:ext cx="4357688" cy="2917189"/>
                    </a:xfrm>
                    <a:prstGeom prst="rect">
                      <a:avLst/>
                    </a:prstGeom>
                    <a:ln w="25400">
                      <a:solidFill>
                        <a:srgbClr val="000000"/>
                      </a:solidFill>
                      <a:prstDash val="solid"/>
                    </a:ln>
                  </pic:spPr>
                </pic:pic>
              </a:graphicData>
            </a:graphic>
          </wp:inline>
        </w:drawing>
      </w:r>
    </w:p>
    <w:p w14:paraId="3E80231B" w14:textId="77777777" w:rsidR="00D07F4D" w:rsidRPr="00403350" w:rsidRDefault="00FA387E" w:rsidP="00403350">
      <w:pPr>
        <w:jc w:val="center"/>
        <w:rPr>
          <w:b/>
        </w:rPr>
      </w:pPr>
      <w:r w:rsidRPr="00403350">
        <w:rPr>
          <w:b/>
        </w:rPr>
        <w:t>Figure 3: Employment Agreement</w:t>
      </w:r>
    </w:p>
    <w:p w14:paraId="54CFA590" w14:textId="77777777" w:rsidR="00D07F4D" w:rsidRPr="00403350" w:rsidRDefault="00FA387E" w:rsidP="00403350">
      <w:pPr>
        <w:jc w:val="center"/>
      </w:pPr>
      <w:r w:rsidRPr="00403350">
        <w:t xml:space="preserve">(Source: Feinstein </w:t>
      </w:r>
      <w:r w:rsidRPr="00403350">
        <w:rPr>
          <w:i/>
        </w:rPr>
        <w:t>et al.,</w:t>
      </w:r>
      <w:r w:rsidRPr="00403350">
        <w:t xml:space="preserve"> 2019)</w:t>
      </w:r>
    </w:p>
    <w:p w14:paraId="3D0F6E96" w14:textId="77777777" w:rsidR="00D07F4D" w:rsidRPr="00403350" w:rsidRDefault="00FA387E" w:rsidP="00403350">
      <w:r w:rsidRPr="00403350">
        <w:t xml:space="preserve">When there's a discussion about the employment agreement it is one of the agreements which can be created between the employer and employee of the organisation which is used to specify the different kinds of terms of employment and contract details. In this way has been found that can be oral as well as applied from the conduct on and also written agreement that is preferred by the law (McDonagh </w:t>
      </w:r>
      <w:r w:rsidRPr="00403350">
        <w:rPr>
          <w:i/>
        </w:rPr>
        <w:t>et al</w:t>
      </w:r>
      <w:r w:rsidRPr="00403350">
        <w:t xml:space="preserve">., 2021). On the other hand, it has been found at the employment agreement that has been signed by the organisation and the employees can be legally binding to both parties. Items create lots of issues for the employer as well as employees of the organisation if they sign on the legal boundary (Jyoti, 2019). These types of legal bonds can be capable of violating the different kinds of terms and agreements so that they can be legally responsible for their overall action. In this way, the content of employment agreements changes according to the requirements of the business organisation. On the other hand, it has been found that one should take time carefully and also prepare different kinds of agreements so that they can easily minimise the different disputes and also ambiguity in the different relationships. </w:t>
      </w:r>
    </w:p>
    <w:p w14:paraId="14125234" w14:textId="77777777" w:rsidR="00D07F4D" w:rsidRPr="00403350" w:rsidRDefault="00FA387E" w:rsidP="00403350">
      <w:pPr>
        <w:pStyle w:val="Heading2"/>
      </w:pPr>
      <w:bookmarkStart w:id="3" w:name="_Toc123996526"/>
      <w:r w:rsidRPr="00403350">
        <w:t>The implication that has arisen for avoiding the overall clauses in the future</w:t>
      </w:r>
      <w:bookmarkEnd w:id="3"/>
    </w:p>
    <w:p w14:paraId="1DE842F9" w14:textId="77777777" w:rsidR="00D07F4D" w:rsidRPr="00403350" w:rsidRDefault="00FA387E" w:rsidP="00403350">
      <w:r w:rsidRPr="00403350">
        <w:t xml:space="preserve">According to the research, it has been found that the clauses that are required should be applied carefully within the organisation. It is important for the organisation as well as to imply that they need to have proper knowledge about the correct parties that are going to conduct the agreement. For example, then there is a discussion about the employees and the subsidiary parent company (Briscese </w:t>
      </w:r>
      <w:r w:rsidRPr="00403350">
        <w:rPr>
          <w:i/>
        </w:rPr>
        <w:t>et al.,</w:t>
      </w:r>
      <w:r w:rsidRPr="00403350">
        <w:t xml:space="preserve"> 2020). Then, it has been found that the employee needs to have appropriate knowledge about the employment agreement and they also need to have different kinds of information about the company. The parent company may not be capable of providing appropriate applications to employees of the organisation. Moreover, according to Assaad and El-adaway (2021), it has been found that this is one of the definite terms of employment which properly provide and guarantee to the employees that as they are working for the organisation</w:t>
      </w:r>
      <w:r w:rsidR="00743FD8" w:rsidRPr="00403350">
        <w:t>,</w:t>
      </w:r>
      <w:r w:rsidRPr="00403350">
        <w:t xml:space="preserve"> they never try to violate the terms and conditions of the organisation and also allow the employee to distance the employee at the end of the period. In this way, it has been found that if any type of employee does not properly want or reform any type of rules and regulation that has been conducted by the organisation then the organisation can be capable to take legal </w:t>
      </w:r>
      <w:r w:rsidR="00743FD8" w:rsidRPr="00403350">
        <w:t>action</w:t>
      </w:r>
      <w:r w:rsidRPr="00403350">
        <w:t xml:space="preserve">. </w:t>
      </w:r>
    </w:p>
    <w:p w14:paraId="725E1921" w14:textId="77777777" w:rsidR="00D07F4D" w:rsidRPr="00403350" w:rsidRDefault="00FA387E" w:rsidP="00403350">
      <w:r w:rsidRPr="00403350">
        <w:t xml:space="preserve">In this way, it is one of the pressures on the employee to fully follow the different rules and regulations which have already been signed within the contract papers. In terms of that, it has been found that if any type of employee, as well as an employer, </w:t>
      </w:r>
      <w:r w:rsidR="00743FD8" w:rsidRPr="00403350">
        <w:t>do</w:t>
      </w:r>
      <w:r w:rsidRPr="00403350">
        <w:t xml:space="preserve"> not properly follow the rules and regulations of the contract then these can create legal consequences in case of breaches (Hacker </w:t>
      </w:r>
      <w:r w:rsidRPr="00403350">
        <w:rPr>
          <w:i/>
        </w:rPr>
        <w:t>et al.</w:t>
      </w:r>
      <w:r w:rsidRPr="00403350">
        <w:t xml:space="preserve">, 2020). It is one of the agreements which can create a promise to the act of the print which they have to deal with a different kind of employee-employee relationship and also full fill the legal consequences that have been within that agreement. In terms of that if any type of employer or employee reflects the terms of the agreement then the non-breaching party can be capable of entitling the different kinds of damages and also can be involved in different agreements within the court. The problem areas and remedies depend on the type of agreement and also it is one of the central focuses of the overall beaches (Wang </w:t>
      </w:r>
      <w:r w:rsidRPr="00403350">
        <w:rPr>
          <w:i/>
        </w:rPr>
        <w:t>et al.</w:t>
      </w:r>
      <w:r w:rsidRPr="00403350">
        <w:t>, 2019). The breach needs to Imphal the different kinds of failure to payment of salary and also can include a monetary damage Award that should be paid by the employer as employee reimbursement.</w:t>
      </w:r>
    </w:p>
    <w:p w14:paraId="1EF6FC8E" w14:textId="77777777" w:rsidR="00D07F4D" w:rsidRPr="00403350" w:rsidRDefault="00FA387E" w:rsidP="00403350">
      <w:pPr>
        <w:pStyle w:val="Heading2"/>
      </w:pPr>
      <w:bookmarkStart w:id="4" w:name="_Toc123996527"/>
      <w:r w:rsidRPr="00403350">
        <w:t>HR Related issues</w:t>
      </w:r>
      <w:bookmarkEnd w:id="4"/>
    </w:p>
    <w:p w14:paraId="044386EA" w14:textId="77777777" w:rsidR="00D07F4D" w:rsidRPr="00403350" w:rsidRDefault="00FA387E" w:rsidP="00403350">
      <w:r w:rsidRPr="00403350">
        <w:t xml:space="preserve">Conducting change within the term and conditions of employment is one of the complex areas that can create lots of problems and maintain the balance within the organisational development area. It is the right of the staff and also there is very little understanding available of the issues involved. It has been found that the changing within the term and conditions can create lots of problems in terms of legal terms as well as HR-related terms (Harrison </w:t>
      </w:r>
      <w:r w:rsidRPr="00403350">
        <w:rPr>
          <w:i/>
        </w:rPr>
        <w:t>et al</w:t>
      </w:r>
      <w:r w:rsidRPr="00403350">
        <w:t xml:space="preserve">., 2019). The changing in terms and conditions also create lots of impact on the organisational development and the human resource processes of the organisation. Instead of employees, the organisation also needs to have a proper action point checklist so that they can be capable of providing appropriate guidance to the employer about the rules and regulations as well as terms and conditions that are applicable within the organisation's development (Davidescu </w:t>
      </w:r>
      <w:r w:rsidRPr="00403350">
        <w:rPr>
          <w:i/>
        </w:rPr>
        <w:t xml:space="preserve">et al., </w:t>
      </w:r>
      <w:r w:rsidRPr="00403350">
        <w:t xml:space="preserve">2020). Any type of employment contract can be worn in different kinds of ways and also should be conducted by mutual agreement. It has been found that this type of valuation is a different kind of breach of contract that also creates lots of problems within the policy and development of the contraction scheme of the organisational work. </w:t>
      </w:r>
    </w:p>
    <w:p w14:paraId="2D9B82BF" w14:textId="77777777" w:rsidR="00D07F4D" w:rsidRPr="00403350" w:rsidRDefault="00FA387E" w:rsidP="00403350">
      <w:pPr>
        <w:pStyle w:val="Heading1"/>
      </w:pPr>
      <w:bookmarkStart w:id="5" w:name="_Toc123996528"/>
      <w:r w:rsidRPr="00403350">
        <w:t>The potential impact of any changes on employee engagement</w:t>
      </w:r>
      <w:bookmarkEnd w:id="5"/>
      <w:r w:rsidRPr="00403350">
        <w:t xml:space="preserve"> </w:t>
      </w:r>
    </w:p>
    <w:p w14:paraId="41F394A8" w14:textId="77777777" w:rsidR="00D07F4D" w:rsidRPr="00403350" w:rsidRDefault="00FA387E" w:rsidP="00403350">
      <w:r w:rsidRPr="00403350">
        <w:t>It is one of the top priorities of the business organisation now. In this way, it has been found that most businesses are not right to enhance the high-performing workforce so that they can easily increase the growth and essential parts of the organisation. On another hand, it has also been found they can be capable of recognising the different high engagement within the organisation that can increase the performance of the organisation (Duggan</w:t>
      </w:r>
      <w:r w:rsidRPr="00403350">
        <w:rPr>
          <w:i/>
        </w:rPr>
        <w:t xml:space="preserve"> et al.</w:t>
      </w:r>
      <w:r w:rsidRPr="00403350">
        <w:t xml:space="preserve">, 2020). By the reduction within the cause and also the hiding processes and their retention of the employee within the competitive talent market. In terms of that, it has been found that if the organisation contracts the organisation's employees it has been found that the employee has been against the overcapacity of the organisation. </w:t>
      </w:r>
    </w:p>
    <w:p w14:paraId="389ABE82" w14:textId="77777777" w:rsidR="00D07F4D" w:rsidRPr="00403350" w:rsidRDefault="00FA387E" w:rsidP="00403350">
      <w:r w:rsidRPr="00403350">
        <w:t>Sometimes it has been found that these types of changes do not create any type of positive impact on the overall engagement of the employee. It has been found that if an employee of the organisation is not satisfied with the work criteria</w:t>
      </w:r>
      <w:r w:rsidR="00743FD8" w:rsidRPr="00403350">
        <w:t>,</w:t>
      </w:r>
      <w:r w:rsidRPr="00403350">
        <w:t xml:space="preserve"> then they cannot be capable of the company. It is one of the non-beneficial terms for the organisation which decreases the performance of the company within the level of employee engagement within the company (Asplund, 2020). In different companies in which it has been found that the measurement and engagement of the organisation can create lots of financial results within the organisation. Moreover, according to Hacker </w:t>
      </w:r>
      <w:r w:rsidRPr="00403350">
        <w:rPr>
          <w:i/>
        </w:rPr>
        <w:t>et al.,</w:t>
      </w:r>
      <w:r w:rsidRPr="00403350">
        <w:t xml:space="preserve"> (2020), it has been found that a group of companies are available which can be capable of high priorities and also conduct a different engagement strategy by ensuring that they can maintain the important priority. Moreover, it also uses different kinds of mattresses which can be arrived at to share the best practices of the organisation and also try to engage the business performance of the company.</w:t>
      </w:r>
    </w:p>
    <w:p w14:paraId="238B5406" w14:textId="77777777" w:rsidR="00D07F4D" w:rsidRPr="00403350" w:rsidRDefault="00FA387E" w:rsidP="00403350">
      <w:r w:rsidRPr="00403350">
        <w:t xml:space="preserve">Another hand, there is a discussion about employee engagement and the different kinds of practices and changes that have been conducted within the organisation that decrease the performance of the organisation's employees then it has been found that there are some reasons (Ariyani and Hidayati, 2018). When any organisation tries to change different kinds of strategies as well as change different kinds of initiatives within the organisation then lots of changes have occurred within the organisation. Most organisation if it wants to change the terms and condition of the employees and the level then which creates lots of issues for the employees (Sendawula </w:t>
      </w:r>
      <w:r w:rsidRPr="00403350">
        <w:rPr>
          <w:i/>
        </w:rPr>
        <w:t>et al.</w:t>
      </w:r>
      <w:r w:rsidRPr="00403350">
        <w:t>, 2018). It has been found that if the organisation does not provide appropriate recognition to the employees of the organisation</w:t>
      </w:r>
      <w:r w:rsidR="00743FD8" w:rsidRPr="00403350">
        <w:t>,</w:t>
      </w:r>
      <w:r w:rsidRPr="00403350">
        <w:t xml:space="preserve"> then they cannot be capable of increasing themselves and cannot maintain the popular perspective within the company. It can decrease the performance of the organisation and also cannot be capable of maintaining the overall perspective of the organisation. </w:t>
      </w:r>
    </w:p>
    <w:p w14:paraId="33233901" w14:textId="77777777" w:rsidR="00D07F4D" w:rsidRPr="00403350" w:rsidRDefault="00FA387E" w:rsidP="00403350">
      <w:r w:rsidRPr="00403350">
        <w:t>Appropriate feedback also plays an important role in the change. While conducting the change within the organisation leader does not take any type of advice or any type of suggestion from the team leader as well as employees of the organisation. In terms of that, it has been found that the employees of the organisation cannot be capable of providing appropriate flexibility within the organisation's work and also cannot properly come to take any type of negative and positive feedback from the employees. It is required that to conduct the change and to adopt the change employers as well as employees of the organisation need to have appropriate skills. Therefore</w:t>
      </w:r>
      <w:r w:rsidR="00743FD8" w:rsidRPr="00403350">
        <w:t>,</w:t>
      </w:r>
      <w:r w:rsidRPr="00403350">
        <w:t xml:space="preserve"> if the employee of the organisation does not have the appropriate skill</w:t>
      </w:r>
      <w:r w:rsidR="00743FD8" w:rsidRPr="00403350">
        <w:t>,</w:t>
      </w:r>
      <w:r w:rsidRPr="00403350">
        <w:t xml:space="preserve"> then they cannot be capable to understand the overall requirement of change and they are getting the engagement from the organisational work. Therefore</w:t>
      </w:r>
      <w:r w:rsidR="00743FD8" w:rsidRPr="00403350">
        <w:t>,</w:t>
      </w:r>
      <w:r w:rsidRPr="00403350">
        <w:t xml:space="preserve"> it is much required to analyse employee engagement and also the change that is going to be conducted within the organisation (Amor, Vázquez and Faíña, 2020). Sometimes it has been also found that the lack of communication also creates lots of issues with employee engagement to conduct the changes within the organisation. Most of the time it is founded on the leader of the organisation not being capable of properly communicating with the organisation's employees about their work. It creates lots of issues for the organisational development process. Most organisations cannot provide appropriate facilities and rewards to the Employees because they can easily change around the change. Therefore, according to the case study, it has been informed that most organisations do not care about their employers and fire them according to their non-usability.</w:t>
      </w:r>
    </w:p>
    <w:p w14:paraId="694EB87F" w14:textId="77777777" w:rsidR="00D07F4D" w:rsidRPr="00403350" w:rsidRDefault="00FA387E" w:rsidP="00403350">
      <w:pPr>
        <w:pStyle w:val="Heading1"/>
      </w:pPr>
      <w:bookmarkStart w:id="6" w:name="_Toc123996529"/>
      <w:r w:rsidRPr="00403350">
        <w:t>Evaluation of HR involvement in this issue</w:t>
      </w:r>
      <w:bookmarkEnd w:id="6"/>
    </w:p>
    <w:p w14:paraId="0C08D7E0" w14:textId="77777777" w:rsidR="00D07F4D" w:rsidRPr="00403350" w:rsidRDefault="00FA387E" w:rsidP="00403350">
      <w:r w:rsidRPr="00403350">
        <w:t>It has been also explored that HR involvement in this issue has been also found within handling the overall contractual situation of the employee as well as the employed. It has been found that the HR manager of the organisation is working as a bridge between the employee and employer of the organisation. Before joining the compan</w:t>
      </w:r>
      <w:r w:rsidR="00743FD8" w:rsidRPr="00403350">
        <w:t>y,</w:t>
      </w:r>
      <w:r w:rsidRPr="00403350">
        <w:t xml:space="preserve"> the employee of the organisation first contacts the HR manager of the organisation to discuss the overall job and responsibility of the organisation. At that time it is the responsibility of the HR manager that they have to fully understand and fully provide appropriate terms and conditions that are developed by the organisation as a contract. Moreover</w:t>
      </w:r>
      <w:r w:rsidR="00743FD8" w:rsidRPr="00403350">
        <w:t>,</w:t>
      </w:r>
      <w:r w:rsidRPr="00403350">
        <w:t xml:space="preserve"> when there is a discussion about the contractual job and then it is also the responsibility of the HR manager that they need to have appropriate knowledge about the change that has been conducted within the rules and regulations as well as terms and conditions of the organisation (Sendawula </w:t>
      </w:r>
      <w:r w:rsidRPr="00403350">
        <w:rPr>
          <w:i/>
        </w:rPr>
        <w:t>et al.</w:t>
      </w:r>
      <w:r w:rsidRPr="00403350">
        <w:t>, 2018).</w:t>
      </w:r>
    </w:p>
    <w:p w14:paraId="4A4E69E4" w14:textId="77777777" w:rsidR="00D07F4D" w:rsidRPr="00403350" w:rsidRDefault="00FA387E" w:rsidP="00403350">
      <w:r w:rsidRPr="00403350">
        <w:t xml:space="preserve"> In terms of that if the HR manager of the organisation does not have appropriate knowledge about the terms and condition that has been changed within the organisation create lots of issues for the employer as well as the employees because both of them does not know about each other and also does not have knowledge what is going on within the interview process is one of th</w:t>
      </w:r>
      <w:r w:rsidR="00743FD8" w:rsidRPr="00403350">
        <w:t xml:space="preserve">ose </w:t>
      </w:r>
      <w:r w:rsidRPr="00403350">
        <w:t>practice</w:t>
      </w:r>
      <w:r w:rsidR="00743FD8" w:rsidRPr="00403350">
        <w:t>s</w:t>
      </w:r>
      <w:r w:rsidRPr="00403350">
        <w:t xml:space="preserve"> is which should be proper and also need to properly verify. Moreover, according to Davidescu </w:t>
      </w:r>
      <w:r w:rsidRPr="00403350">
        <w:rPr>
          <w:i/>
        </w:rPr>
        <w:t>et al., (</w:t>
      </w:r>
      <w:r w:rsidRPr="00403350">
        <w:t xml:space="preserve">2020), it has been found that most of the HR managers of the organisation cannot fully develop a positive impact on the number of applications for jobs. In terms of that, they also have different kinds of pressure on hiring different candidates. In terms of that, sometimes the HR manager of the organisation does not properly provide the appropriate information about the terms and conditions of the organisation to the employers because they quickly want to raise them. That will create lots of issues for the organisation as well as employees. </w:t>
      </w:r>
    </w:p>
    <w:p w14:paraId="3D412E8A" w14:textId="77777777" w:rsidR="00D07F4D" w:rsidRPr="00403350" w:rsidRDefault="00FA387E" w:rsidP="00403350">
      <w:r w:rsidRPr="00403350">
        <w:t xml:space="preserve">The employees of the organisation are getting distracted as well as engaged from the organisation's workplace because they did not get appropriate information about the rules and regulations that were required within the contract. Sometimes it has been found that major problems have been created due to the lack of knowledge about the contract as well as not having appropriate information about the terms and conditions that are written in the contract while taking the job from the organisation. It also has great legal issues that are the responsibility of the HR manager (Ariyani and Hidayati, 2018). </w:t>
      </w:r>
    </w:p>
    <w:p w14:paraId="08A32E64" w14:textId="77777777" w:rsidR="00D07F4D" w:rsidRPr="00403350" w:rsidRDefault="00FA387E" w:rsidP="00403350">
      <w:r w:rsidRPr="00403350">
        <w:t xml:space="preserve">On another hand when there is a discussion about the overall employee engagement and the HR processes within the organisation then it has been found that good employee engagement can make people capable of understanding HR if their Holistic view of approach has been adopted within the organisation's work. Natural having a proper view of the employer and employee contract. In this way, an HR manager of the organisation needs to ensure that the employees have the right skills and tools so that they can be capable of boosting their ability and also can be capable of enhancing the production of the organisation (Harrison </w:t>
      </w:r>
      <w:r w:rsidRPr="00403350">
        <w:rPr>
          <w:i/>
        </w:rPr>
        <w:t>et al.</w:t>
      </w:r>
      <w:r w:rsidRPr="00403350">
        <w:t xml:space="preserve">, 2020). On the other hand, it isn't found that the HR manager of the organisation needs to develop the appropriate work perspective. Moreover, according to Hacker </w:t>
      </w:r>
      <w:r w:rsidRPr="00403350">
        <w:rPr>
          <w:i/>
        </w:rPr>
        <w:t>et al.</w:t>
      </w:r>
      <w:r w:rsidRPr="00403350">
        <w:t xml:space="preserve">, (2020), it has been also found that the HR manager of the organisation also plays an important role to deal with the negotiation within the contract and also requires the ability to properly prepare the employee benefit proposal. In terms of that, the HR manager of the organisation also plays an important role in working as an advantage for the employees. The trade-off and different concessions have been also much fruitful negotiations for the HR manager of the organisation. </w:t>
      </w:r>
    </w:p>
    <w:p w14:paraId="77376607" w14:textId="77777777" w:rsidR="00D07F4D" w:rsidRPr="00403350" w:rsidRDefault="00FA387E" w:rsidP="00403350">
      <w:pPr>
        <w:pStyle w:val="Heading1"/>
      </w:pPr>
      <w:bookmarkStart w:id="7" w:name="_Toc123996530"/>
      <w:r w:rsidRPr="00403350">
        <w:t>Evaluation of traditional models of HRM and whether they deliver an acceptable framework for handling modern employee relations</w:t>
      </w:r>
      <w:bookmarkEnd w:id="7"/>
    </w:p>
    <w:p w14:paraId="2352011F" w14:textId="77777777" w:rsidR="00D07F4D" w:rsidRPr="00403350" w:rsidRDefault="00FA387E" w:rsidP="00403350">
      <w:r w:rsidRPr="00403350">
        <w:t xml:space="preserve">Discussing a different kind of traditional model of HRM within the Marketplace can be capable of providing a liquid Framework for managing the contemporary employment relationship or not. According to the research it has been found that additional human resources management of the organisation reacts to the employees. They always focus on the employees when they are requested and also cause different kinds of problems. The steps of an organisation have different aspects that need to be taken care of. The traditional HR department mainly focuses on the overall labour relationship within the organisation and its management process (Petrou, Demerouti and Schaufeli, 2018). They are trying to solve different kinds of problems and issues that have been conducted for the employees and generally try to keep the staff and the employees happy. In this way, it found that it has the employees but does not provide appropriate information to them. When there is a discussion about the scope of the responsibility of traditional HR then it is found that they are narrowly focusing on different kinds of issues about basic personal management and the different kinds of field labour relationships within the organisation. </w:t>
      </w:r>
    </w:p>
    <w:p w14:paraId="1C01CF5E" w14:textId="77777777" w:rsidR="00D07F4D" w:rsidRPr="00403350" w:rsidRDefault="00FA387E" w:rsidP="00403350">
      <w:pPr>
        <w:jc w:val="center"/>
      </w:pPr>
      <w:r w:rsidRPr="00403350">
        <w:rPr>
          <w:noProof/>
          <w:lang w:val="en-IN" w:bidi="ar-SA"/>
        </w:rPr>
        <w:drawing>
          <wp:inline distT="114300" distB="114300" distL="114300" distR="114300" wp14:anchorId="0ECD1106" wp14:editId="6C12BCEA">
            <wp:extent cx="4281488" cy="2304322"/>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4281488" cy="2304322"/>
                    </a:xfrm>
                    <a:prstGeom prst="rect">
                      <a:avLst/>
                    </a:prstGeom>
                    <a:ln w="25400">
                      <a:solidFill>
                        <a:srgbClr val="000000"/>
                      </a:solidFill>
                      <a:prstDash val="solid"/>
                    </a:ln>
                  </pic:spPr>
                </pic:pic>
              </a:graphicData>
            </a:graphic>
          </wp:inline>
        </w:drawing>
      </w:r>
    </w:p>
    <w:p w14:paraId="0C7CF91B" w14:textId="77777777" w:rsidR="00D07F4D" w:rsidRPr="00403350" w:rsidRDefault="00FA387E" w:rsidP="00403350">
      <w:pPr>
        <w:jc w:val="center"/>
        <w:rPr>
          <w:b/>
        </w:rPr>
      </w:pPr>
      <w:r w:rsidRPr="00403350">
        <w:rPr>
          <w:b/>
        </w:rPr>
        <w:t>Figure 4: Traditional HRM</w:t>
      </w:r>
    </w:p>
    <w:p w14:paraId="316D3DE0" w14:textId="77777777" w:rsidR="00D07F4D" w:rsidRPr="00403350" w:rsidRDefault="00FA387E" w:rsidP="00403350">
      <w:pPr>
        <w:jc w:val="center"/>
      </w:pPr>
      <w:r w:rsidRPr="00403350">
        <w:t>(Source: Petrou, Demerouti and Schaufeli, 2018)</w:t>
      </w:r>
    </w:p>
    <w:p w14:paraId="46EB95A3" w14:textId="77777777" w:rsidR="00D07F4D" w:rsidRPr="00403350" w:rsidRDefault="00FA387E" w:rsidP="00403350">
      <w:r w:rsidRPr="00403350">
        <w:t xml:space="preserve">According to the research, it has been found that the goal of the HR manager of the organisation in the traditional time is only taking care of the employees and keeping them happy according to their work. Educate workers and also do not care about the responsibility and how things are going on within the organisation. That is something they always try to assume about the employees picking out the job and forwarding it to the manager of the organisation (Buil, Martínez and Matute, 2019). In this way, proper training and development of the employees are not conducted within the traditional HR department. On the other hand, the manager of the organisation does not care about the skills and aspirations of the workers that they have, they are just focused on the number of staff members within the organisation to fulfil the strategic need of the organisation for the future. </w:t>
      </w:r>
    </w:p>
    <w:p w14:paraId="56D87132" w14:textId="77777777" w:rsidR="00D07F4D" w:rsidRPr="00403350" w:rsidRDefault="00FA387E" w:rsidP="00403350">
      <w:r w:rsidRPr="00403350">
        <w:t xml:space="preserve">On the other hand, it hasn't also been found that the traditional environment of the organisation always tries to ignore the potential problems that have been going on within the organisation or by mistake have been conducted by the people. The HR manager always takes steps for the employees and does not have appropriate discipline maintained within the organisation's culture (Malik, 2018). That will create lots of impacts to prevent the different kinds of problems within the development process of the organisation. The manager of the organisation sits and does the same way of hiring every year. It does not need any type of tools and also does not require any type of face of employee change. In this way, it has mounted a constant update that has been not conducted within the traditional HR approach (Kelliher, Richardson and Boiarintseva, 2019). Moreover, according to Connelly </w:t>
      </w:r>
      <w:r w:rsidRPr="00403350">
        <w:rPr>
          <w:i/>
        </w:rPr>
        <w:t>et al.</w:t>
      </w:r>
      <w:r w:rsidRPr="00403350">
        <w:t xml:space="preserve">, (2021), it has been found that they are not capable of providing an appropriate advantage to the organisation because it is not trying to develop their ideas and circumstances to deal with new technology within the organisation. </w:t>
      </w:r>
    </w:p>
    <w:p w14:paraId="487B62FB" w14:textId="77777777" w:rsidR="00D07F4D" w:rsidRPr="00403350" w:rsidRDefault="00FA387E" w:rsidP="00403350">
      <w:r w:rsidRPr="00403350">
        <w:t xml:space="preserve">In this way, in them, that different kind of innovative method has been implemented within the organisation to deal with the different competition. </w:t>
      </w:r>
      <w:r w:rsidR="00743FD8" w:rsidRPr="00403350">
        <w:t>T</w:t>
      </w:r>
      <w:r w:rsidRPr="00403350">
        <w:t>herefore</w:t>
      </w:r>
      <w:r w:rsidR="00743FD8" w:rsidRPr="00403350">
        <w:t>,</w:t>
      </w:r>
      <w:r w:rsidRPr="00403350">
        <w:t xml:space="preserve"> it has been found at nowadays organisations try to convert The traditional approach to the strategic HRM approach by that they can be capable to enhance the innovative methods within the organisation and also deal with the different competitiveness within the organisation. In this way, the approach cannot be capable of providing appropriate employee engagement within the organisation. The time manager of the traditional approach does not have appropriately educated workers and also does not help with the responsibility to assume their managers. In this way, they cannot be capable of properly fully picking up the training for the employees who are getting the job from the organisation (Harney and Collings, 2021). In terms of that after joining the organisation, the employee faces lots of problems to manage different kinds of organisational development processes and also the different payrolls. </w:t>
      </w:r>
      <w:r w:rsidR="00743FD8" w:rsidRPr="00403350">
        <w:t>F</w:t>
      </w:r>
      <w:r w:rsidRPr="00403350">
        <w:t>or example</w:t>
      </w:r>
      <w:r w:rsidR="00743FD8" w:rsidRPr="00403350">
        <w:t xml:space="preserve">, </w:t>
      </w:r>
      <w:r w:rsidRPr="00403350">
        <w:t xml:space="preserve">that additionally HR management always places a job when the organisation </w:t>
      </w:r>
      <w:r w:rsidR="00743FD8" w:rsidRPr="00403350">
        <w:t>requests</w:t>
      </w:r>
      <w:r w:rsidRPr="00403350">
        <w:t xml:space="preserve"> a role to be filled. on another hand, they are also terminating different kinds of employees according to their use (Lopez-Cabrales and Valle-Cabrera, 2020). They are not responding to questions from the employees that have the benefit and the payroll.</w:t>
      </w:r>
    </w:p>
    <w:p w14:paraId="40910C87" w14:textId="77777777" w:rsidR="00D07F4D" w:rsidRPr="00403350" w:rsidRDefault="00FA387E" w:rsidP="00403350">
      <w:pPr>
        <w:pStyle w:val="Heading2"/>
      </w:pPr>
      <w:bookmarkStart w:id="8" w:name="_Toc123996531"/>
      <w:r w:rsidRPr="00403350">
        <w:t>The Zinger Model of employee engagement theory</w:t>
      </w:r>
      <w:bookmarkEnd w:id="8"/>
    </w:p>
    <w:p w14:paraId="179A6C9D" w14:textId="77777777" w:rsidR="00D07F4D" w:rsidRPr="00403350" w:rsidRDefault="00FA387E" w:rsidP="00403350">
      <w:r w:rsidRPr="00403350">
        <w:t>When there is a discussion about this type of model then it has been found that this model has been developed by psychologist David Zinger. It is one of the models which is mainly focusing on leveraging the connection between the different kinds of people so that they can be converted to achieve the best result within the organisation. It is also focusing on the different kinds of strategies in orientation that should be recognised by the employee of the organisation by that they can be capable of filling the key factor behaviour of the organisation and also in the school of genuine happiness (Ramakumar and Priyadarshini, 2021). On the other hand, it has informed that it is mainly considered the different kinds of professional development processes by which they can be available to equal importance within the serving customers. In this way, the overall model is used to store the connection between the employer as well as employees of the organisation. On the other hand, it has been found that this type of model also increases employee engagement as a pyramid of the organisation which includes the bottom row, middle row top row and top of the pyramid (Ghosh and Sourav, 2019). This way, they don't find it can be capable of increasing the particular engagement within the workforce by being capable of the idea of spirituality. By using the scratch spirituality, emotion and mental energy level the company can be developed to enhance the professional relationship and get the proper output from the employees.</w:t>
      </w:r>
    </w:p>
    <w:p w14:paraId="1A458726" w14:textId="77777777" w:rsidR="00D07F4D" w:rsidRPr="00403350" w:rsidRDefault="00FA387E" w:rsidP="00403350">
      <w:pPr>
        <w:jc w:val="center"/>
      </w:pPr>
      <w:r w:rsidRPr="00403350">
        <w:rPr>
          <w:noProof/>
          <w:lang w:val="en-IN" w:bidi="ar-SA"/>
        </w:rPr>
        <w:drawing>
          <wp:inline distT="114300" distB="114300" distL="114300" distR="114300" wp14:anchorId="25E63D84" wp14:editId="0CD2C8FF">
            <wp:extent cx="3771806" cy="3176588"/>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3771806" cy="3176588"/>
                    </a:xfrm>
                    <a:prstGeom prst="rect">
                      <a:avLst/>
                    </a:prstGeom>
                    <a:ln w="25400">
                      <a:solidFill>
                        <a:srgbClr val="000000"/>
                      </a:solidFill>
                      <a:prstDash val="solid"/>
                    </a:ln>
                  </pic:spPr>
                </pic:pic>
              </a:graphicData>
            </a:graphic>
          </wp:inline>
        </w:drawing>
      </w:r>
    </w:p>
    <w:p w14:paraId="785E748C" w14:textId="77777777" w:rsidR="00D07F4D" w:rsidRPr="00403350" w:rsidRDefault="00FA387E" w:rsidP="00403350">
      <w:pPr>
        <w:jc w:val="center"/>
        <w:rPr>
          <w:b/>
        </w:rPr>
      </w:pPr>
      <w:r w:rsidRPr="00403350">
        <w:rPr>
          <w:b/>
        </w:rPr>
        <w:t>Figure 5: Zinger Model of employee engagement theory</w:t>
      </w:r>
    </w:p>
    <w:p w14:paraId="5AAA2475" w14:textId="77777777" w:rsidR="00D07F4D" w:rsidRPr="00403350" w:rsidRDefault="00FA387E" w:rsidP="00403350">
      <w:pPr>
        <w:jc w:val="center"/>
      </w:pPr>
      <w:r w:rsidRPr="00403350">
        <w:t>(Source: Ghosh and Sourav, 2019)</w:t>
      </w:r>
    </w:p>
    <w:p w14:paraId="4C45713F" w14:textId="77777777" w:rsidR="00D07F4D" w:rsidRPr="00403350" w:rsidRDefault="00FA387E" w:rsidP="00403350">
      <w:pPr>
        <w:pStyle w:val="Heading1"/>
      </w:pPr>
      <w:bookmarkStart w:id="9" w:name="_Toc123996532"/>
      <w:r w:rsidRPr="00403350">
        <w:t>Conclusion</w:t>
      </w:r>
      <w:bookmarkEnd w:id="9"/>
      <w:r w:rsidRPr="00403350">
        <w:t xml:space="preserve"> </w:t>
      </w:r>
    </w:p>
    <w:p w14:paraId="1F166870" w14:textId="77777777" w:rsidR="00D07F4D" w:rsidRPr="00403350" w:rsidRDefault="00FA387E" w:rsidP="00403350">
      <w:r w:rsidRPr="00403350">
        <w:t>For that, most employers of the organisation now try to develop a different kind of contractual publication that can be capable of retaining the employees for a longer period than they want. The contract has been established between the employer and an employee which will provide an appropriate advantage to the organisation's employees as well as the employers of the organisation. In terms of that, it has impounded the organisation and also worked the different kinds of practices by means that they can be capable to enhance the rewards strategy of the organisation and also enhance the efficiency in the effectiveness of the organisation. The most organisation does not want any type of result within the strikes by the British gas engineer contact about the requirement for work within the organisation without any type of additional payment. In terms of that, it has compounded that one thousand employees refuse to agree to the different kinds of changes that have been already conducted with the employment contract of the result. That creates lots of conflicts which are clarified in the above section.</w:t>
      </w:r>
    </w:p>
    <w:p w14:paraId="39B14F67" w14:textId="77777777" w:rsidR="00D07F4D" w:rsidRPr="00403350" w:rsidRDefault="00FA387E" w:rsidP="00403350">
      <w:r w:rsidRPr="00403350">
        <w:br w:type="page"/>
      </w:r>
    </w:p>
    <w:p w14:paraId="623FFD87" w14:textId="77777777" w:rsidR="00D07F4D" w:rsidRPr="00403350" w:rsidRDefault="00FA387E" w:rsidP="00403350">
      <w:pPr>
        <w:pStyle w:val="Heading1"/>
      </w:pPr>
      <w:bookmarkStart w:id="10" w:name="_Toc123996533"/>
      <w:r w:rsidRPr="00403350">
        <w:t>Reference list</w:t>
      </w:r>
      <w:bookmarkEnd w:id="10"/>
      <w:r w:rsidRPr="00403350">
        <w:t xml:space="preserve"> </w:t>
      </w:r>
    </w:p>
    <w:p w14:paraId="4BEE1F73" w14:textId="77777777" w:rsidR="00743FD8" w:rsidRPr="00403350" w:rsidRDefault="00743FD8" w:rsidP="00403350">
      <w:pPr>
        <w:rPr>
          <w:color w:val="222222"/>
          <w:highlight w:val="white"/>
        </w:rPr>
      </w:pPr>
    </w:p>
    <w:p w14:paraId="09395ED7" w14:textId="77777777" w:rsidR="00743FD8" w:rsidRPr="00403350" w:rsidRDefault="00FA387E" w:rsidP="00403350">
      <w:pPr>
        <w:rPr>
          <w:color w:val="222222"/>
          <w:highlight w:val="white"/>
        </w:rPr>
      </w:pPr>
      <w:r w:rsidRPr="00403350">
        <w:rPr>
          <w:color w:val="222222"/>
          <w:highlight w:val="white"/>
        </w:rPr>
        <w:t xml:space="preserve">Amor, A.M., Vázquez, J.P.A. and Faíña, J.A., (2020). Transformational leadership and work engagement: Exploring the mediating role of structural empowerment. </w:t>
      </w:r>
      <w:r w:rsidRPr="00403350">
        <w:rPr>
          <w:i/>
          <w:color w:val="222222"/>
          <w:highlight w:val="white"/>
        </w:rPr>
        <w:t>European Management Journal</w:t>
      </w:r>
      <w:r w:rsidRPr="00403350">
        <w:rPr>
          <w:color w:val="222222"/>
          <w:highlight w:val="white"/>
        </w:rPr>
        <w:t xml:space="preserve">, </w:t>
      </w:r>
      <w:r w:rsidRPr="00403350">
        <w:rPr>
          <w:i/>
          <w:color w:val="222222"/>
          <w:highlight w:val="white"/>
        </w:rPr>
        <w:t>38</w:t>
      </w:r>
      <w:r w:rsidRPr="00403350">
        <w:rPr>
          <w:color w:val="222222"/>
          <w:highlight w:val="white"/>
        </w:rPr>
        <w:t>(1), pp.169-178.</w:t>
      </w:r>
      <w:hyperlink r:id="rId11">
        <w:r w:rsidRPr="00403350">
          <w:rPr>
            <w:color w:val="1155CC"/>
            <w:highlight w:val="white"/>
            <w:u w:val="single"/>
          </w:rPr>
          <w:t>https://e-tarjome.com/storage/panel/fileuploads/2019-08-22/1566455447_E12678-e-tarjome.pdf</w:t>
        </w:r>
      </w:hyperlink>
    </w:p>
    <w:p w14:paraId="78F80C55" w14:textId="77777777" w:rsidR="00743FD8" w:rsidRPr="00403350" w:rsidRDefault="00FA387E" w:rsidP="00403350">
      <w:pPr>
        <w:rPr>
          <w:color w:val="222222"/>
          <w:highlight w:val="white"/>
        </w:rPr>
      </w:pPr>
      <w:r w:rsidRPr="00403350">
        <w:rPr>
          <w:color w:val="222222"/>
          <w:highlight w:val="white"/>
        </w:rPr>
        <w:t xml:space="preserve">Ariyani, N. and Hidayati, S., (2018). Influence of transformational leadership and work engagement on innovative behaviour. </w:t>
      </w:r>
      <w:r w:rsidRPr="00403350">
        <w:rPr>
          <w:i/>
          <w:color w:val="222222"/>
          <w:highlight w:val="white"/>
        </w:rPr>
        <w:t>Etikonomi</w:t>
      </w:r>
      <w:r w:rsidRPr="00403350">
        <w:rPr>
          <w:color w:val="222222"/>
          <w:highlight w:val="white"/>
        </w:rPr>
        <w:t xml:space="preserve">, </w:t>
      </w:r>
      <w:r w:rsidRPr="00403350">
        <w:rPr>
          <w:i/>
          <w:color w:val="222222"/>
          <w:highlight w:val="white"/>
        </w:rPr>
        <w:t>17</w:t>
      </w:r>
      <w:r w:rsidRPr="00403350">
        <w:rPr>
          <w:color w:val="222222"/>
          <w:highlight w:val="white"/>
        </w:rPr>
        <w:t>(2), pp.275-284.</w:t>
      </w:r>
      <w:hyperlink r:id="rId12">
        <w:r w:rsidRPr="00403350">
          <w:rPr>
            <w:color w:val="1155CC"/>
            <w:highlight w:val="white"/>
            <w:u w:val="single"/>
          </w:rPr>
          <w:t>https://pdfs.semanticscholar.org/43c3/1103c4ec50e6143389b3f978d527bb8b2dd4.pdf</w:t>
        </w:r>
      </w:hyperlink>
    </w:p>
    <w:p w14:paraId="5EFE1BDA" w14:textId="77777777" w:rsidR="00743FD8" w:rsidRPr="00403350" w:rsidRDefault="00FA387E" w:rsidP="00403350">
      <w:pPr>
        <w:rPr>
          <w:color w:val="222222"/>
          <w:highlight w:val="white"/>
        </w:rPr>
      </w:pPr>
      <w:r w:rsidRPr="00403350">
        <w:rPr>
          <w:color w:val="222222"/>
          <w:highlight w:val="white"/>
        </w:rPr>
        <w:t xml:space="preserve">Asplund, K., (2020). When profession trumps potential: The moderating role of professional identification in employees’ reactions to talent management. </w:t>
      </w:r>
      <w:r w:rsidRPr="00403350">
        <w:rPr>
          <w:i/>
          <w:color w:val="222222"/>
          <w:highlight w:val="white"/>
        </w:rPr>
        <w:t>The International Journal of Human Resource Management</w:t>
      </w:r>
      <w:r w:rsidRPr="00403350">
        <w:rPr>
          <w:color w:val="222222"/>
          <w:highlight w:val="white"/>
        </w:rPr>
        <w:t xml:space="preserve">, </w:t>
      </w:r>
      <w:r w:rsidRPr="00403350">
        <w:rPr>
          <w:i/>
          <w:color w:val="222222"/>
          <w:highlight w:val="white"/>
        </w:rPr>
        <w:t>31</w:t>
      </w:r>
      <w:r w:rsidRPr="00403350">
        <w:rPr>
          <w:color w:val="222222"/>
          <w:highlight w:val="white"/>
        </w:rPr>
        <w:t>(4), pp.539-561.</w:t>
      </w:r>
      <w:hyperlink r:id="rId13">
        <w:r w:rsidRPr="00403350">
          <w:rPr>
            <w:color w:val="1155CC"/>
            <w:highlight w:val="white"/>
            <w:u w:val="single"/>
          </w:rPr>
          <w:t>https://www.tandfonline.com/doi/pdf/10.1080/09585192.2019.1570307</w:t>
        </w:r>
      </w:hyperlink>
    </w:p>
    <w:p w14:paraId="557F6784" w14:textId="77777777" w:rsidR="00743FD8" w:rsidRPr="00403350" w:rsidRDefault="00FA387E" w:rsidP="00403350">
      <w:pPr>
        <w:rPr>
          <w:color w:val="222222"/>
          <w:highlight w:val="white"/>
        </w:rPr>
      </w:pPr>
      <w:r w:rsidRPr="00403350">
        <w:rPr>
          <w:color w:val="222222"/>
          <w:highlight w:val="white"/>
        </w:rPr>
        <w:t xml:space="preserve">Assaad, R. and El-adaway, I.H., (2021). Guidelines for responding to COVID-19 pandemic: Best practices, impacts, and future research directions. </w:t>
      </w:r>
      <w:r w:rsidRPr="00403350">
        <w:rPr>
          <w:i/>
          <w:color w:val="222222"/>
          <w:highlight w:val="white"/>
        </w:rPr>
        <w:t>Journal of Management in Engineering</w:t>
      </w:r>
      <w:r w:rsidRPr="00403350">
        <w:rPr>
          <w:color w:val="222222"/>
          <w:highlight w:val="white"/>
        </w:rPr>
        <w:t xml:space="preserve">, </w:t>
      </w:r>
      <w:r w:rsidRPr="00403350">
        <w:rPr>
          <w:i/>
          <w:color w:val="222222"/>
          <w:highlight w:val="white"/>
        </w:rPr>
        <w:t>37</w:t>
      </w:r>
      <w:r w:rsidRPr="00403350">
        <w:rPr>
          <w:color w:val="222222"/>
          <w:highlight w:val="white"/>
        </w:rPr>
        <w:t>(3), p.06021001.</w:t>
      </w:r>
      <w:hyperlink r:id="rId14">
        <w:r w:rsidRPr="00403350">
          <w:rPr>
            <w:color w:val="1155CC"/>
            <w:highlight w:val="white"/>
            <w:u w:val="single"/>
          </w:rPr>
          <w:t>https://www.researchgate.net/profile/Rayan-H-Assaad/publication/349289746_Guidelines_for_Responding_to_COVID-19_Pandemic_Best_Practices_Impacts_and_Future_Research_Directions/links/6028140ea6fdcc37a824e3ea/Guidelines-for-Responding-to-COVID-19-Pandemic-Best-Practices-Impacts-and-Future-Research-Directions.pdf</w:t>
        </w:r>
      </w:hyperlink>
    </w:p>
    <w:p w14:paraId="13B30D52" w14:textId="77777777" w:rsidR="00743FD8" w:rsidRPr="00403350" w:rsidRDefault="00FA387E" w:rsidP="00403350">
      <w:pPr>
        <w:rPr>
          <w:color w:val="222222"/>
          <w:highlight w:val="white"/>
        </w:rPr>
      </w:pPr>
      <w:r w:rsidRPr="00403350">
        <w:rPr>
          <w:color w:val="222222"/>
          <w:highlight w:val="white"/>
        </w:rPr>
        <w:t xml:space="preserve">Bernstein, A., (2022). Recent trends in employment law. </w:t>
      </w:r>
      <w:r w:rsidRPr="00403350">
        <w:rPr>
          <w:i/>
          <w:color w:val="222222"/>
          <w:highlight w:val="white"/>
        </w:rPr>
        <w:t>Nursing And Residential Care</w:t>
      </w:r>
      <w:r w:rsidRPr="00403350">
        <w:rPr>
          <w:color w:val="222222"/>
          <w:highlight w:val="white"/>
        </w:rPr>
        <w:t xml:space="preserve">, </w:t>
      </w:r>
      <w:r w:rsidRPr="00403350">
        <w:rPr>
          <w:i/>
          <w:color w:val="222222"/>
          <w:highlight w:val="white"/>
        </w:rPr>
        <w:t>24</w:t>
      </w:r>
      <w:r w:rsidRPr="00403350">
        <w:rPr>
          <w:color w:val="222222"/>
          <w:highlight w:val="white"/>
        </w:rPr>
        <w:t>(8), pp.1-4.</w:t>
      </w:r>
      <w:hyperlink r:id="rId15">
        <w:r w:rsidRPr="00403350">
          <w:rPr>
            <w:color w:val="1155CC"/>
            <w:highlight w:val="white"/>
            <w:u w:val="single"/>
          </w:rPr>
          <w:t>https://www.magonlinelibrary.com/doi/full/10.12968/nrec.2022.0039</w:t>
        </w:r>
      </w:hyperlink>
    </w:p>
    <w:p w14:paraId="5712B883" w14:textId="77777777" w:rsidR="00743FD8" w:rsidRPr="00403350" w:rsidRDefault="00FA387E" w:rsidP="00403350">
      <w:pPr>
        <w:rPr>
          <w:color w:val="222222"/>
          <w:highlight w:val="white"/>
        </w:rPr>
      </w:pPr>
      <w:r w:rsidRPr="00403350">
        <w:rPr>
          <w:color w:val="222222"/>
          <w:highlight w:val="white"/>
        </w:rPr>
        <w:t xml:space="preserve">Briscese, G., Lacetera, N., Macis, M. and Tonin, M., (2020). </w:t>
      </w:r>
      <w:r w:rsidRPr="00403350">
        <w:rPr>
          <w:i/>
          <w:color w:val="222222"/>
          <w:highlight w:val="white"/>
        </w:rPr>
        <w:t>Compliance with covid-19 social-distancing measures in Italy: the role of expectations and duration</w:t>
      </w:r>
      <w:r w:rsidRPr="00403350">
        <w:rPr>
          <w:color w:val="222222"/>
          <w:highlight w:val="white"/>
        </w:rPr>
        <w:t xml:space="preserve"> (Vol. 27). Cambridge, MA, USA:: National Bureau of Economic Research.</w:t>
      </w:r>
      <w:hyperlink r:id="rId16">
        <w:r w:rsidRPr="00403350">
          <w:rPr>
            <w:color w:val="1155CC"/>
            <w:highlight w:val="white"/>
            <w:u w:val="single"/>
          </w:rPr>
          <w:t>https://www.nber.org/system/files/working_papers/w26916/revisions/w26916.rev1.pdf?sy=916</w:t>
        </w:r>
      </w:hyperlink>
    </w:p>
    <w:p w14:paraId="043D5C80" w14:textId="77777777" w:rsidR="00743FD8" w:rsidRPr="00403350" w:rsidRDefault="00FA387E" w:rsidP="00403350">
      <w:pPr>
        <w:rPr>
          <w:color w:val="222222"/>
          <w:highlight w:val="white"/>
        </w:rPr>
      </w:pPr>
      <w:r w:rsidRPr="00403350">
        <w:rPr>
          <w:color w:val="222222"/>
          <w:highlight w:val="white"/>
        </w:rPr>
        <w:t xml:space="preserve">Buil, I., Martínez, E. and Matute, J., (2019). Transformational leadership and employee performance: The role of identification, engagement and proactive personality. </w:t>
      </w:r>
      <w:r w:rsidRPr="00403350">
        <w:rPr>
          <w:i/>
          <w:color w:val="222222"/>
          <w:highlight w:val="white"/>
        </w:rPr>
        <w:t>International journal of hospitality management</w:t>
      </w:r>
      <w:r w:rsidRPr="00403350">
        <w:rPr>
          <w:color w:val="222222"/>
          <w:highlight w:val="white"/>
        </w:rPr>
        <w:t xml:space="preserve">, </w:t>
      </w:r>
      <w:r w:rsidRPr="00403350">
        <w:rPr>
          <w:i/>
          <w:color w:val="222222"/>
          <w:highlight w:val="white"/>
        </w:rPr>
        <w:t>77</w:t>
      </w:r>
      <w:r w:rsidRPr="00403350">
        <w:rPr>
          <w:color w:val="222222"/>
          <w:highlight w:val="white"/>
        </w:rPr>
        <w:t>, pp.64-75.</w:t>
      </w:r>
      <w:hyperlink r:id="rId17">
        <w:r w:rsidRPr="00403350">
          <w:rPr>
            <w:color w:val="1155CC"/>
            <w:highlight w:val="white"/>
            <w:u w:val="single"/>
          </w:rPr>
          <w:t>https://www.isonderhouden.nl/doc/pdf/arnoldbakker/articles/articles_arnold_bakker_470.pdf</w:t>
        </w:r>
      </w:hyperlink>
    </w:p>
    <w:p w14:paraId="411244FC" w14:textId="77777777" w:rsidR="00743FD8" w:rsidRPr="00403350" w:rsidRDefault="00FA387E" w:rsidP="00403350">
      <w:pPr>
        <w:rPr>
          <w:color w:val="222222"/>
          <w:highlight w:val="white"/>
        </w:rPr>
      </w:pPr>
      <w:r w:rsidRPr="00403350">
        <w:rPr>
          <w:color w:val="222222"/>
          <w:highlight w:val="white"/>
        </w:rPr>
        <w:t>Codd, F. and Ferguson, D., (2020). The covid-19 outbreak and employment rights.</w:t>
      </w:r>
      <w:hyperlink r:id="rId18">
        <w:r w:rsidRPr="00403350">
          <w:rPr>
            <w:color w:val="1155CC"/>
            <w:highlight w:val="white"/>
            <w:u w:val="single"/>
          </w:rPr>
          <w:t>https://researchbriefings.files.parliament.uk/documents/CDP-2020-0140/CDP-2020-0140.pdf</w:t>
        </w:r>
      </w:hyperlink>
    </w:p>
    <w:p w14:paraId="74ED5102" w14:textId="77777777" w:rsidR="00743FD8" w:rsidRPr="00403350" w:rsidRDefault="00FA387E" w:rsidP="00403350">
      <w:pPr>
        <w:rPr>
          <w:color w:val="222222"/>
          <w:highlight w:val="white"/>
        </w:rPr>
      </w:pPr>
      <w:r w:rsidRPr="00403350">
        <w:rPr>
          <w:color w:val="222222"/>
          <w:highlight w:val="white"/>
        </w:rPr>
        <w:t xml:space="preserve">Collins, P.M., (2022). Finding Fault in the Law of Unfair Dismissal: The Insubstantiality of Reasons for Dismissal. </w:t>
      </w:r>
      <w:r w:rsidRPr="00403350">
        <w:rPr>
          <w:i/>
          <w:color w:val="222222"/>
          <w:highlight w:val="white"/>
        </w:rPr>
        <w:t>Industrial Law Journal</w:t>
      </w:r>
      <w:r w:rsidRPr="00403350">
        <w:rPr>
          <w:color w:val="222222"/>
          <w:highlight w:val="white"/>
        </w:rPr>
        <w:t xml:space="preserve">, </w:t>
      </w:r>
      <w:r w:rsidRPr="00403350">
        <w:rPr>
          <w:i/>
          <w:color w:val="222222"/>
          <w:highlight w:val="white"/>
        </w:rPr>
        <w:t>51</w:t>
      </w:r>
      <w:r w:rsidRPr="00403350">
        <w:rPr>
          <w:color w:val="222222"/>
          <w:highlight w:val="white"/>
        </w:rPr>
        <w:t>(3), pp.598-625.</w:t>
      </w:r>
      <w:hyperlink r:id="rId19">
        <w:r w:rsidRPr="00403350">
          <w:rPr>
            <w:color w:val="1155CC"/>
            <w:highlight w:val="white"/>
            <w:u w:val="single"/>
          </w:rPr>
          <w:t>https://academic.oup.com/ilj/article-pdf/51/3/598/47162920/dwab018.pdf</w:t>
        </w:r>
      </w:hyperlink>
    </w:p>
    <w:p w14:paraId="4F49B548" w14:textId="77777777" w:rsidR="00743FD8" w:rsidRPr="00403350" w:rsidRDefault="00FA387E" w:rsidP="00403350">
      <w:pPr>
        <w:rPr>
          <w:color w:val="222222"/>
          <w:highlight w:val="white"/>
        </w:rPr>
      </w:pPr>
      <w:r w:rsidRPr="00403350">
        <w:rPr>
          <w:color w:val="222222"/>
          <w:highlight w:val="white"/>
        </w:rPr>
        <w:t xml:space="preserve">Connelly, C.E., Fieseler, C., Černe, M., Giessner, S.R. and Wong, S.I., (2021). Working in the digitized economy: HRM theory &amp; practice. </w:t>
      </w:r>
      <w:r w:rsidRPr="00403350">
        <w:rPr>
          <w:i/>
          <w:color w:val="222222"/>
          <w:highlight w:val="white"/>
        </w:rPr>
        <w:t>Human Resource Management Review</w:t>
      </w:r>
      <w:r w:rsidRPr="00403350">
        <w:rPr>
          <w:color w:val="222222"/>
          <w:highlight w:val="white"/>
        </w:rPr>
        <w:t xml:space="preserve">, </w:t>
      </w:r>
      <w:r w:rsidRPr="00403350">
        <w:rPr>
          <w:i/>
          <w:color w:val="222222"/>
          <w:highlight w:val="white"/>
        </w:rPr>
        <w:t>31</w:t>
      </w:r>
      <w:r w:rsidRPr="00403350">
        <w:rPr>
          <w:color w:val="222222"/>
          <w:highlight w:val="white"/>
        </w:rPr>
        <w:t>(1), p.100762.</w:t>
      </w:r>
      <w:hyperlink r:id="rId20">
        <w:r w:rsidRPr="00403350">
          <w:rPr>
            <w:color w:val="1155CC"/>
            <w:highlight w:val="white"/>
            <w:u w:val="single"/>
          </w:rPr>
          <w:t>https://www.thegigworklife.com/s/Connelly-Fieseler-Cerne-Giessner-Wong-2021.pdf</w:t>
        </w:r>
      </w:hyperlink>
    </w:p>
    <w:p w14:paraId="59BC793A" w14:textId="77777777" w:rsidR="00743FD8" w:rsidRPr="00403350" w:rsidRDefault="00FA387E" w:rsidP="00403350">
      <w:pPr>
        <w:rPr>
          <w:color w:val="222222"/>
          <w:highlight w:val="white"/>
        </w:rPr>
      </w:pPr>
      <w:r w:rsidRPr="00403350">
        <w:rPr>
          <w:color w:val="222222"/>
          <w:highlight w:val="white"/>
        </w:rPr>
        <w:t xml:space="preserve">Davidescu, A.A., Apostu, S.A., Paul, A. and Casuneanu, I., (2020). Work flexibility, job satisfaction, and job performance among Romanian employees—Implications for sustainable human resource management. </w:t>
      </w:r>
      <w:r w:rsidRPr="00403350">
        <w:rPr>
          <w:i/>
          <w:color w:val="222222"/>
          <w:highlight w:val="white"/>
        </w:rPr>
        <w:t>Sustainability</w:t>
      </w:r>
      <w:r w:rsidRPr="00403350">
        <w:rPr>
          <w:color w:val="222222"/>
          <w:highlight w:val="white"/>
        </w:rPr>
        <w:t xml:space="preserve">, </w:t>
      </w:r>
      <w:r w:rsidRPr="00403350">
        <w:rPr>
          <w:i/>
          <w:color w:val="222222"/>
          <w:highlight w:val="white"/>
        </w:rPr>
        <w:t>12</w:t>
      </w:r>
      <w:r w:rsidRPr="00403350">
        <w:rPr>
          <w:color w:val="222222"/>
          <w:highlight w:val="white"/>
        </w:rPr>
        <w:t>(15), p.6086.</w:t>
      </w:r>
      <w:hyperlink r:id="rId21">
        <w:r w:rsidRPr="00403350">
          <w:rPr>
            <w:color w:val="1155CC"/>
            <w:highlight w:val="white"/>
            <w:u w:val="single"/>
          </w:rPr>
          <w:t>https://www.mdpi.com/2071-1050/12/15/6086/pdf</w:t>
        </w:r>
      </w:hyperlink>
    </w:p>
    <w:p w14:paraId="2E837964" w14:textId="77777777" w:rsidR="00743FD8" w:rsidRPr="00403350" w:rsidRDefault="00FA387E" w:rsidP="00403350">
      <w:pPr>
        <w:rPr>
          <w:color w:val="222222"/>
          <w:highlight w:val="white"/>
        </w:rPr>
      </w:pPr>
      <w:r w:rsidRPr="00403350">
        <w:rPr>
          <w:color w:val="222222"/>
          <w:highlight w:val="white"/>
        </w:rPr>
        <w:t>Duggan, J., Sherman, U., Carbery, R. and McDonnell, A., (2020). Algorithmic management and app</w:t>
      </w:r>
      <w:r w:rsidRPr="00403350">
        <w:rPr>
          <w:rFonts w:ascii="Cambria Math" w:hAnsi="Cambria Math" w:cs="Cambria Math"/>
          <w:color w:val="222222"/>
          <w:highlight w:val="white"/>
        </w:rPr>
        <w:t>‐</w:t>
      </w:r>
      <w:r w:rsidRPr="00403350">
        <w:rPr>
          <w:color w:val="222222"/>
          <w:highlight w:val="white"/>
        </w:rPr>
        <w:t xml:space="preserve">work in the gig economy: A research agenda for employment relations and HRM. </w:t>
      </w:r>
      <w:r w:rsidRPr="00403350">
        <w:rPr>
          <w:i/>
          <w:color w:val="222222"/>
          <w:highlight w:val="white"/>
        </w:rPr>
        <w:t>Human Resource Management Journal</w:t>
      </w:r>
      <w:r w:rsidRPr="00403350">
        <w:rPr>
          <w:color w:val="222222"/>
          <w:highlight w:val="white"/>
        </w:rPr>
        <w:t xml:space="preserve">, </w:t>
      </w:r>
      <w:r w:rsidRPr="00403350">
        <w:rPr>
          <w:i/>
          <w:color w:val="222222"/>
          <w:highlight w:val="white"/>
        </w:rPr>
        <w:t>30</w:t>
      </w:r>
      <w:r w:rsidRPr="00403350">
        <w:rPr>
          <w:color w:val="222222"/>
          <w:highlight w:val="white"/>
        </w:rPr>
        <w:t>(1), pp.114-132.</w:t>
      </w:r>
      <w:hyperlink r:id="rId22">
        <w:r w:rsidRPr="00403350">
          <w:rPr>
            <w:color w:val="1155CC"/>
            <w:highlight w:val="white"/>
            <w:u w:val="single"/>
          </w:rPr>
          <w:t>https://cora.ucc.ie/bitstream/handle/10468/8584/Duggan_et_al_%282019%29_PDF_%28002%29.pdf?sequence=1&amp;isAllowed=y</w:t>
        </w:r>
      </w:hyperlink>
    </w:p>
    <w:p w14:paraId="04D4CA92" w14:textId="77777777" w:rsidR="00743FD8" w:rsidRPr="00403350" w:rsidRDefault="00FA387E" w:rsidP="00403350">
      <w:pPr>
        <w:rPr>
          <w:color w:val="222222"/>
          <w:highlight w:val="white"/>
        </w:rPr>
      </w:pPr>
      <w:r w:rsidRPr="00403350">
        <w:rPr>
          <w:color w:val="222222"/>
          <w:highlight w:val="white"/>
        </w:rPr>
        <w:t xml:space="preserve">Feinstein, M.J., Hsue, P.Y., Benjamin, L.A., Bloomfield, G.S., Currier, J.S., Freiberg, M.S., Grinspoon, S.K., Levin, J., Longenecker, C.T., Post, W.S. and American Heart Association Prevention Science Committee of the Council on Epidemiology and Prevention and Council on Cardiovascular and Stroke Nursing; Council on Clinical Cardiology; and Stroke Council, (2019). Characteristics, prevention, and management of cardiovascular disease in people living with HIV: a scientific statement from the American Heart Association. </w:t>
      </w:r>
      <w:r w:rsidRPr="00403350">
        <w:rPr>
          <w:i/>
          <w:color w:val="222222"/>
          <w:highlight w:val="white"/>
        </w:rPr>
        <w:t>Circulation</w:t>
      </w:r>
      <w:r w:rsidRPr="00403350">
        <w:rPr>
          <w:color w:val="222222"/>
          <w:highlight w:val="white"/>
        </w:rPr>
        <w:t xml:space="preserve">, </w:t>
      </w:r>
      <w:r w:rsidRPr="00403350">
        <w:rPr>
          <w:i/>
          <w:color w:val="222222"/>
          <w:highlight w:val="white"/>
        </w:rPr>
        <w:t>140</w:t>
      </w:r>
      <w:r w:rsidRPr="00403350">
        <w:rPr>
          <w:color w:val="222222"/>
          <w:highlight w:val="white"/>
        </w:rPr>
        <w:t>(2), pp.e98-e124.</w:t>
      </w:r>
      <w:hyperlink r:id="rId23">
        <w:r w:rsidRPr="00403350">
          <w:rPr>
            <w:color w:val="1155CC"/>
            <w:highlight w:val="white"/>
            <w:u w:val="single"/>
          </w:rPr>
          <w:t>https://www.ahajournals.org/doi/pdf/10.1161/CIR.0000000000000695</w:t>
        </w:r>
      </w:hyperlink>
    </w:p>
    <w:p w14:paraId="726C0353" w14:textId="77777777" w:rsidR="00743FD8" w:rsidRPr="00403350" w:rsidRDefault="00FA387E" w:rsidP="00403350">
      <w:pPr>
        <w:rPr>
          <w:color w:val="222222"/>
          <w:highlight w:val="white"/>
        </w:rPr>
      </w:pPr>
      <w:r w:rsidRPr="00403350">
        <w:rPr>
          <w:color w:val="222222"/>
          <w:highlight w:val="white"/>
        </w:rPr>
        <w:t xml:space="preserve">Ghosh, A. and Sourav, S., (2019). A comprehensive study of Employee Engagement: Contemplating 7-D model in view of NIFTY 50 companies. </w:t>
      </w:r>
      <w:r w:rsidRPr="00403350">
        <w:rPr>
          <w:i/>
          <w:color w:val="222222"/>
          <w:highlight w:val="white"/>
        </w:rPr>
        <w:t>International Journal of Advanced Engineering, Management and Science</w:t>
      </w:r>
      <w:r w:rsidRPr="00403350">
        <w:rPr>
          <w:color w:val="222222"/>
          <w:highlight w:val="white"/>
        </w:rPr>
        <w:t xml:space="preserve">, </w:t>
      </w:r>
      <w:r w:rsidRPr="00403350">
        <w:rPr>
          <w:i/>
          <w:color w:val="222222"/>
          <w:highlight w:val="white"/>
        </w:rPr>
        <w:t>5</w:t>
      </w:r>
      <w:r w:rsidRPr="00403350">
        <w:rPr>
          <w:color w:val="222222"/>
          <w:highlight w:val="white"/>
        </w:rPr>
        <w:t>(9), pp.549-555.</w:t>
      </w:r>
      <w:hyperlink r:id="rId24">
        <w:r w:rsidRPr="00403350">
          <w:rPr>
            <w:color w:val="1155CC"/>
            <w:highlight w:val="white"/>
            <w:u w:val="single"/>
          </w:rPr>
          <w:t>https://www.researchgate.net/profile/Avik-Ghosh-11/publication/336277990_A_comprehensive_study_of_Employee_Engagement_Contemplating_7-D_model_in_view_of_NIFTY_50_companies/links/61f4e39e4393577abef93079/A-comprehensive-study-of-Employee-Engagement-Contemplating-7-D-model-in-view-of-NIFTY-50-companies.pdf</w:t>
        </w:r>
      </w:hyperlink>
    </w:p>
    <w:p w14:paraId="34C88183" w14:textId="77777777" w:rsidR="00743FD8" w:rsidRPr="00403350" w:rsidRDefault="00FA387E" w:rsidP="00403350">
      <w:pPr>
        <w:rPr>
          <w:color w:val="222222"/>
          <w:highlight w:val="white"/>
        </w:rPr>
      </w:pPr>
      <w:r w:rsidRPr="00403350">
        <w:rPr>
          <w:color w:val="222222"/>
          <w:highlight w:val="white"/>
        </w:rPr>
        <w:t xml:space="preserve">Hacker, P., Krestel, R., Grundmann, S. and Naumann, F., (2020). Explainable AI under contract and tort law: legal incentives and technical challenges. </w:t>
      </w:r>
      <w:r w:rsidRPr="00403350">
        <w:rPr>
          <w:i/>
          <w:color w:val="222222"/>
          <w:highlight w:val="white"/>
        </w:rPr>
        <w:t>Artificial Intelligence and Law</w:t>
      </w:r>
      <w:r w:rsidRPr="00403350">
        <w:rPr>
          <w:color w:val="222222"/>
          <w:highlight w:val="white"/>
        </w:rPr>
        <w:t xml:space="preserve">, </w:t>
      </w:r>
      <w:r w:rsidRPr="00403350">
        <w:rPr>
          <w:i/>
          <w:color w:val="222222"/>
          <w:highlight w:val="white"/>
        </w:rPr>
        <w:t>28</w:t>
      </w:r>
      <w:r w:rsidRPr="00403350">
        <w:rPr>
          <w:color w:val="222222"/>
          <w:highlight w:val="white"/>
        </w:rPr>
        <w:t>(4), pp.415-439.</w:t>
      </w:r>
      <w:hyperlink r:id="rId25">
        <w:r w:rsidRPr="00403350">
          <w:rPr>
            <w:color w:val="1155CC"/>
            <w:highlight w:val="white"/>
            <w:u w:val="single"/>
          </w:rPr>
          <w:t>https://link.springer.com/article/10.1007/s10506-020-09260-6</w:t>
        </w:r>
      </w:hyperlink>
    </w:p>
    <w:p w14:paraId="0B1D49E5" w14:textId="77777777" w:rsidR="00743FD8" w:rsidRPr="00403350" w:rsidRDefault="00FA387E" w:rsidP="00403350">
      <w:pPr>
        <w:rPr>
          <w:color w:val="222222"/>
          <w:highlight w:val="white"/>
        </w:rPr>
      </w:pPr>
      <w:r w:rsidRPr="00403350">
        <w:rPr>
          <w:color w:val="222222"/>
          <w:highlight w:val="white"/>
        </w:rPr>
        <w:t xml:space="preserve">Harney, B. and Collings, D.G., (2021). Navigating the shifting landscapes of HRM. </w:t>
      </w:r>
      <w:r w:rsidRPr="00403350">
        <w:rPr>
          <w:i/>
          <w:color w:val="222222"/>
          <w:highlight w:val="white"/>
        </w:rPr>
        <w:t>Human Resource Management Review</w:t>
      </w:r>
      <w:r w:rsidRPr="00403350">
        <w:rPr>
          <w:color w:val="222222"/>
          <w:highlight w:val="white"/>
        </w:rPr>
        <w:t xml:space="preserve">, </w:t>
      </w:r>
      <w:r w:rsidRPr="00403350">
        <w:rPr>
          <w:i/>
          <w:color w:val="222222"/>
          <w:highlight w:val="white"/>
        </w:rPr>
        <w:t>31</w:t>
      </w:r>
      <w:r w:rsidRPr="00403350">
        <w:rPr>
          <w:color w:val="222222"/>
          <w:highlight w:val="white"/>
        </w:rPr>
        <w:t>(4), p.100824.</w:t>
      </w:r>
      <w:hyperlink r:id="rId26">
        <w:r w:rsidRPr="00403350">
          <w:rPr>
            <w:color w:val="1155CC"/>
            <w:highlight w:val="white"/>
            <w:u w:val="single"/>
          </w:rPr>
          <w:t>https://www.sciencedirect.com/science/article/pii/S1053482221000036</w:t>
        </w:r>
      </w:hyperlink>
    </w:p>
    <w:p w14:paraId="7DA89EB8" w14:textId="77777777" w:rsidR="00743FD8" w:rsidRPr="00403350" w:rsidRDefault="00FA387E" w:rsidP="00403350">
      <w:pPr>
        <w:rPr>
          <w:color w:val="222222"/>
          <w:highlight w:val="white"/>
        </w:rPr>
      </w:pPr>
      <w:r w:rsidRPr="00403350">
        <w:rPr>
          <w:color w:val="222222"/>
          <w:highlight w:val="white"/>
        </w:rPr>
        <w:t xml:space="preserve">Harrison, J., Barbu, M., Campling, L., Ebert, F.C., Martens, D., Marx, A., Orbie, J., Richardson, B. and Smith, A., (2019). Labour standards provisions in EU free trade agreements: reflections on the European commission's reform agenda. </w:t>
      </w:r>
      <w:r w:rsidRPr="00403350">
        <w:rPr>
          <w:i/>
          <w:color w:val="222222"/>
          <w:highlight w:val="white"/>
        </w:rPr>
        <w:t>World Trade Review</w:t>
      </w:r>
      <w:r w:rsidRPr="00403350">
        <w:rPr>
          <w:color w:val="222222"/>
          <w:highlight w:val="white"/>
        </w:rPr>
        <w:t xml:space="preserve">, </w:t>
      </w:r>
      <w:r w:rsidRPr="00403350">
        <w:rPr>
          <w:i/>
          <w:color w:val="222222"/>
          <w:highlight w:val="white"/>
        </w:rPr>
        <w:t>18</w:t>
      </w:r>
      <w:r w:rsidRPr="00403350">
        <w:rPr>
          <w:color w:val="222222"/>
          <w:highlight w:val="white"/>
        </w:rPr>
        <w:t>(4), pp.635-657.</w:t>
      </w:r>
      <w:hyperlink r:id="rId27">
        <w:r w:rsidRPr="00403350">
          <w:rPr>
            <w:color w:val="1155CC"/>
            <w:highlight w:val="white"/>
            <w:u w:val="single"/>
          </w:rPr>
          <w:t>https://www.cambridge.org/core/services/aop-cambridge-core/content/view/13756E42EE84E463BC6298DDF0EAB1BD/S1474745618000204a.pdf/div-class-title-labour-standards-provisions-in-eu-free-trade-agreements-reflections-on-the-european-commission-s-reform-agenda-div.pdf</w:t>
        </w:r>
      </w:hyperlink>
    </w:p>
    <w:p w14:paraId="48DDF274" w14:textId="77777777" w:rsidR="00743FD8" w:rsidRPr="00403350" w:rsidRDefault="00FA387E" w:rsidP="00403350">
      <w:pPr>
        <w:rPr>
          <w:color w:val="222222"/>
          <w:highlight w:val="white"/>
        </w:rPr>
      </w:pPr>
      <w:r w:rsidRPr="00403350">
        <w:rPr>
          <w:color w:val="222222"/>
          <w:highlight w:val="white"/>
        </w:rPr>
        <w:t xml:space="preserve">Hussainy, S.S., 2020. Review on Motivational Theories &amp; Models: Its application for Employees’ Retention in Organizations. </w:t>
      </w:r>
      <w:r w:rsidRPr="00403350">
        <w:rPr>
          <w:i/>
          <w:color w:val="222222"/>
          <w:highlight w:val="white"/>
        </w:rPr>
        <w:t>International Journal of Business and Applied Social Science</w:t>
      </w:r>
      <w:r w:rsidRPr="00403350">
        <w:rPr>
          <w:color w:val="222222"/>
          <w:highlight w:val="white"/>
        </w:rPr>
        <w:t xml:space="preserve">, </w:t>
      </w:r>
      <w:r w:rsidRPr="00403350">
        <w:rPr>
          <w:i/>
          <w:color w:val="222222"/>
          <w:highlight w:val="white"/>
        </w:rPr>
        <w:t>6</w:t>
      </w:r>
      <w:r w:rsidRPr="00403350">
        <w:rPr>
          <w:color w:val="222222"/>
          <w:highlight w:val="white"/>
        </w:rPr>
        <w:t>(1), pp.40-46.</w:t>
      </w:r>
      <w:hyperlink r:id="rId28">
        <w:r w:rsidRPr="00403350">
          <w:rPr>
            <w:color w:val="1155CC"/>
            <w:highlight w:val="white"/>
            <w:u w:val="single"/>
          </w:rPr>
          <w:t>https://www.researchgate.net/profile/Syed-Hussainy-5/publication/338953902_Review_on_Motivational_Theories_Models_Its_application_for_Employees'_Retention_in_Organizations/links/60080aed92851c13fe23c5c7/Review-on-Motivational-Theories-Models-Its-application-for-Employees-Retention-in-Organizations.pdf</w:t>
        </w:r>
      </w:hyperlink>
    </w:p>
    <w:p w14:paraId="05AB1E7E" w14:textId="77777777" w:rsidR="00743FD8" w:rsidRPr="00403350" w:rsidRDefault="00FA387E" w:rsidP="00403350">
      <w:pPr>
        <w:rPr>
          <w:color w:val="222222"/>
          <w:highlight w:val="white"/>
        </w:rPr>
      </w:pPr>
      <w:r w:rsidRPr="00403350">
        <w:rPr>
          <w:color w:val="222222"/>
          <w:highlight w:val="white"/>
        </w:rPr>
        <w:t>Kelliher, C., Richardson, J. and Boiarintseva, G., (2019). All of work? All of life? Reconceptualising work</w:t>
      </w:r>
      <w:r w:rsidRPr="00403350">
        <w:rPr>
          <w:rFonts w:ascii="Cambria Math" w:hAnsi="Cambria Math" w:cs="Cambria Math"/>
          <w:color w:val="222222"/>
          <w:highlight w:val="white"/>
        </w:rPr>
        <w:t>‐</w:t>
      </w:r>
      <w:r w:rsidRPr="00403350">
        <w:rPr>
          <w:color w:val="222222"/>
          <w:highlight w:val="white"/>
        </w:rPr>
        <w:t xml:space="preserve">life balance for the 21st century. </w:t>
      </w:r>
      <w:r w:rsidRPr="00403350">
        <w:rPr>
          <w:i/>
          <w:color w:val="222222"/>
          <w:highlight w:val="white"/>
        </w:rPr>
        <w:t>Human Resource Management Journal</w:t>
      </w:r>
      <w:r w:rsidRPr="00403350">
        <w:rPr>
          <w:color w:val="222222"/>
          <w:highlight w:val="white"/>
        </w:rPr>
        <w:t xml:space="preserve">, </w:t>
      </w:r>
      <w:r w:rsidRPr="00403350">
        <w:rPr>
          <w:i/>
          <w:color w:val="222222"/>
          <w:highlight w:val="white"/>
        </w:rPr>
        <w:t>29</w:t>
      </w:r>
      <w:r w:rsidRPr="00403350">
        <w:rPr>
          <w:color w:val="222222"/>
          <w:highlight w:val="white"/>
        </w:rPr>
        <w:t>(2), pp.97-112.</w:t>
      </w:r>
      <w:hyperlink r:id="rId29">
        <w:r w:rsidRPr="00403350">
          <w:rPr>
            <w:color w:val="1155CC"/>
            <w:highlight w:val="white"/>
            <w:u w:val="single"/>
          </w:rPr>
          <w:t>https://wp.jemi.edu.pl/vol-16-issue-4-2020/designing-a-human-resource-scorecard-an-empirical-stakeholder-based-study-with-a-company-culture-perspective</w:t>
        </w:r>
      </w:hyperlink>
    </w:p>
    <w:p w14:paraId="10BD6CCB" w14:textId="77777777" w:rsidR="00743FD8" w:rsidRPr="00403350" w:rsidRDefault="00FA387E" w:rsidP="00403350">
      <w:pPr>
        <w:rPr>
          <w:color w:val="222222"/>
          <w:highlight w:val="white"/>
        </w:rPr>
      </w:pPr>
      <w:r w:rsidRPr="00403350">
        <w:rPr>
          <w:color w:val="222222"/>
          <w:highlight w:val="white"/>
        </w:rPr>
        <w:t xml:space="preserve">Kelly-Lyth, A., Abraha, H. and Adams-Prassl, J., (2022). From ‘Code’to ‘Guidance’: Revising the Instrument on Data and Employment. </w:t>
      </w:r>
      <w:r w:rsidRPr="00403350">
        <w:rPr>
          <w:i/>
          <w:color w:val="222222"/>
          <w:highlight w:val="white"/>
        </w:rPr>
        <w:t>Industrial Law Journal</w:t>
      </w:r>
      <w:r w:rsidRPr="00403350">
        <w:rPr>
          <w:color w:val="222222"/>
          <w:highlight w:val="white"/>
        </w:rPr>
        <w:t xml:space="preserve">, </w:t>
      </w:r>
      <w:r w:rsidRPr="00403350">
        <w:rPr>
          <w:i/>
          <w:color w:val="222222"/>
          <w:highlight w:val="white"/>
        </w:rPr>
        <w:t>51</w:t>
      </w:r>
      <w:r w:rsidRPr="00403350">
        <w:rPr>
          <w:color w:val="222222"/>
          <w:highlight w:val="white"/>
        </w:rPr>
        <w:t>(3), pp.744-761.</w:t>
      </w:r>
      <w:hyperlink r:id="rId30">
        <w:r w:rsidRPr="00403350">
          <w:rPr>
            <w:color w:val="1155CC"/>
            <w:highlight w:val="white"/>
            <w:u w:val="single"/>
          </w:rPr>
          <w:t>https://academic.oup.com/ilj/article-abstract/51/3/744/6697046</w:t>
        </w:r>
      </w:hyperlink>
    </w:p>
    <w:p w14:paraId="4E0350E2" w14:textId="77777777" w:rsidR="00743FD8" w:rsidRPr="00403350" w:rsidRDefault="00FA387E" w:rsidP="00403350">
      <w:pPr>
        <w:rPr>
          <w:color w:val="222222"/>
          <w:highlight w:val="white"/>
        </w:rPr>
      </w:pPr>
      <w:r w:rsidRPr="00403350">
        <w:rPr>
          <w:color w:val="222222"/>
          <w:highlight w:val="white"/>
        </w:rPr>
        <w:t xml:space="preserve">Kremen, C. and Merenlender, A.M., (2018). Landscapes that work for biodiversity and people. </w:t>
      </w:r>
      <w:r w:rsidRPr="00403350">
        <w:rPr>
          <w:i/>
          <w:color w:val="222222"/>
          <w:highlight w:val="white"/>
        </w:rPr>
        <w:t>Science</w:t>
      </w:r>
      <w:r w:rsidRPr="00403350">
        <w:rPr>
          <w:color w:val="222222"/>
          <w:highlight w:val="white"/>
        </w:rPr>
        <w:t xml:space="preserve">, </w:t>
      </w:r>
      <w:r w:rsidRPr="00403350">
        <w:rPr>
          <w:i/>
          <w:color w:val="222222"/>
          <w:highlight w:val="white"/>
        </w:rPr>
        <w:t>362</w:t>
      </w:r>
      <w:r w:rsidRPr="00403350">
        <w:rPr>
          <w:color w:val="222222"/>
          <w:highlight w:val="white"/>
        </w:rPr>
        <w:t>(6412), p.eaau6020.</w:t>
      </w:r>
      <w:hyperlink r:id="rId31">
        <w:r w:rsidRPr="00403350">
          <w:rPr>
            <w:color w:val="1155CC"/>
            <w:highlight w:val="white"/>
            <w:u w:val="single"/>
          </w:rPr>
          <w:t>https://www.zoology.ubc.ca/~bittick/conservation/wp-content/uploads/2019/11/Kremen_Merenlender_2018.pdf</w:t>
        </w:r>
      </w:hyperlink>
    </w:p>
    <w:p w14:paraId="7042BD39" w14:textId="77777777" w:rsidR="00743FD8" w:rsidRPr="00403350" w:rsidRDefault="00FA387E" w:rsidP="00403350">
      <w:pPr>
        <w:rPr>
          <w:color w:val="222222"/>
          <w:highlight w:val="white"/>
        </w:rPr>
      </w:pPr>
      <w:r w:rsidRPr="00403350">
        <w:rPr>
          <w:color w:val="222222"/>
          <w:highlight w:val="white"/>
        </w:rPr>
        <w:t xml:space="preserve">Lopez-Cabrales, A. and Valle-Cabrera, R., (2020). Sustainable HRM strategies and employment relationships as drivers of the triple bottom line. </w:t>
      </w:r>
      <w:r w:rsidRPr="00403350">
        <w:rPr>
          <w:i/>
          <w:color w:val="222222"/>
          <w:highlight w:val="white"/>
        </w:rPr>
        <w:t>Human resource management review</w:t>
      </w:r>
      <w:r w:rsidRPr="00403350">
        <w:rPr>
          <w:color w:val="222222"/>
          <w:highlight w:val="white"/>
        </w:rPr>
        <w:t xml:space="preserve">, </w:t>
      </w:r>
      <w:r w:rsidRPr="00403350">
        <w:rPr>
          <w:i/>
          <w:color w:val="222222"/>
          <w:highlight w:val="white"/>
        </w:rPr>
        <w:t>30</w:t>
      </w:r>
      <w:r w:rsidRPr="00403350">
        <w:rPr>
          <w:color w:val="222222"/>
          <w:highlight w:val="white"/>
        </w:rPr>
        <w:t>(3), p.100689.</w:t>
      </w:r>
      <w:hyperlink r:id="rId32">
        <w:r w:rsidRPr="00403350">
          <w:rPr>
            <w:color w:val="1155CC"/>
            <w:highlight w:val="white"/>
            <w:u w:val="single"/>
          </w:rPr>
          <w:t>https://fardapaper.ir/mohavaha/uploads/2022/01/Fardapaper-Sustainable-HRM-strategies-and-employment-relationships-as-drivers-of-the-triple-bottom-line.pdf</w:t>
        </w:r>
      </w:hyperlink>
    </w:p>
    <w:p w14:paraId="4B622CB7" w14:textId="77777777" w:rsidR="00743FD8" w:rsidRPr="00403350" w:rsidRDefault="00FA387E" w:rsidP="00403350">
      <w:pPr>
        <w:rPr>
          <w:color w:val="222222"/>
          <w:highlight w:val="white"/>
        </w:rPr>
      </w:pPr>
      <w:r w:rsidRPr="00403350">
        <w:rPr>
          <w:color w:val="222222"/>
          <w:highlight w:val="white"/>
        </w:rPr>
        <w:t xml:space="preserve">Malik, A., (2018). Strategic human resource management and employment relations. </w:t>
      </w:r>
      <w:r w:rsidRPr="00403350">
        <w:rPr>
          <w:i/>
          <w:color w:val="222222"/>
          <w:highlight w:val="white"/>
        </w:rPr>
        <w:t>An International Perspective. Springer</w:t>
      </w:r>
      <w:r w:rsidRPr="00403350">
        <w:rPr>
          <w:color w:val="222222"/>
          <w:highlight w:val="white"/>
        </w:rPr>
        <w:t xml:space="preserve">, </w:t>
      </w:r>
      <w:r w:rsidRPr="00403350">
        <w:rPr>
          <w:i/>
          <w:color w:val="222222"/>
          <w:highlight w:val="white"/>
        </w:rPr>
        <w:t>10</w:t>
      </w:r>
      <w:r w:rsidRPr="00403350">
        <w:rPr>
          <w:color w:val="222222"/>
          <w:highlight w:val="white"/>
        </w:rPr>
        <w:t>, pp.978-981.</w:t>
      </w:r>
      <w:hyperlink r:id="rId33">
        <w:r w:rsidRPr="00403350">
          <w:rPr>
            <w:color w:val="1155CC"/>
            <w:highlight w:val="white"/>
            <w:u w:val="single"/>
          </w:rPr>
          <w:t>http://196.190.117.157:8080/xmlui/bitstream/handle/123456789/62425/46..pdf?sequence=1&amp;isAllowed=y</w:t>
        </w:r>
      </w:hyperlink>
    </w:p>
    <w:p w14:paraId="105A4FCF" w14:textId="77777777" w:rsidR="00743FD8" w:rsidRPr="00403350" w:rsidRDefault="00FA387E" w:rsidP="00403350">
      <w:pPr>
        <w:rPr>
          <w:color w:val="222222"/>
          <w:highlight w:val="white"/>
        </w:rPr>
      </w:pPr>
      <w:r w:rsidRPr="00403350">
        <w:rPr>
          <w:color w:val="222222"/>
          <w:highlight w:val="white"/>
        </w:rPr>
        <w:t xml:space="preserve">McDonagh, T.A., Metra, M., Adamo, M., Gardner, R.S., Baumbach, A., Böhm, M., Burri, H., Butler, J., Čelutkienė, J., Chioncel, O. and Cleland, J.G., (2021). 2021 ESC Guidelines for the diagnosis and treatment of acute and chronic heart failure: Developed by the Task Force for the diagnosis and treatment of acute and chronic heart failure of the European Society of Cardiology (ESC) With the special contribution of the Heart Failure Association (HFA) of the ESC. </w:t>
      </w:r>
      <w:r w:rsidRPr="00403350">
        <w:rPr>
          <w:i/>
          <w:color w:val="222222"/>
          <w:highlight w:val="white"/>
        </w:rPr>
        <w:t>European heart journal</w:t>
      </w:r>
      <w:r w:rsidRPr="00403350">
        <w:rPr>
          <w:color w:val="222222"/>
          <w:highlight w:val="white"/>
        </w:rPr>
        <w:t xml:space="preserve">, </w:t>
      </w:r>
      <w:r w:rsidRPr="00403350">
        <w:rPr>
          <w:i/>
          <w:color w:val="222222"/>
          <w:highlight w:val="white"/>
        </w:rPr>
        <w:t>42</w:t>
      </w:r>
      <w:r w:rsidRPr="00403350">
        <w:rPr>
          <w:color w:val="222222"/>
          <w:highlight w:val="white"/>
        </w:rPr>
        <w:t>(36), pp.3599-3726.</w:t>
      </w:r>
      <w:hyperlink r:id="rId34">
        <w:r w:rsidRPr="00403350">
          <w:rPr>
            <w:color w:val="1155CC"/>
            <w:highlight w:val="white"/>
            <w:u w:val="single"/>
          </w:rPr>
          <w:t>https://orbi.uliege.be/bitstream/2268/290864/1/ehab368.pdf</w:t>
        </w:r>
      </w:hyperlink>
    </w:p>
    <w:p w14:paraId="73B47E2E" w14:textId="77777777" w:rsidR="00743FD8" w:rsidRPr="00403350" w:rsidRDefault="00FA387E" w:rsidP="00403350">
      <w:pPr>
        <w:rPr>
          <w:color w:val="222222"/>
          <w:highlight w:val="white"/>
        </w:rPr>
      </w:pPr>
      <w:r w:rsidRPr="00403350">
        <w:rPr>
          <w:color w:val="222222"/>
          <w:highlight w:val="white"/>
        </w:rPr>
        <w:t xml:space="preserve">Nolan, H., (2021). The British Gas Fire. </w:t>
      </w:r>
      <w:r w:rsidRPr="00403350">
        <w:rPr>
          <w:i/>
          <w:color w:val="222222"/>
          <w:highlight w:val="white"/>
        </w:rPr>
        <w:t>International Union Rights</w:t>
      </w:r>
      <w:r w:rsidRPr="00403350">
        <w:rPr>
          <w:color w:val="222222"/>
          <w:highlight w:val="white"/>
        </w:rPr>
        <w:t xml:space="preserve">, </w:t>
      </w:r>
      <w:r w:rsidRPr="00403350">
        <w:rPr>
          <w:i/>
          <w:color w:val="222222"/>
          <w:highlight w:val="white"/>
        </w:rPr>
        <w:t>28</w:t>
      </w:r>
      <w:r w:rsidRPr="00403350">
        <w:rPr>
          <w:color w:val="222222"/>
          <w:highlight w:val="white"/>
        </w:rPr>
        <w:t>(2), pp.22-23.</w:t>
      </w:r>
      <w:hyperlink r:id="rId35">
        <w:r w:rsidRPr="00403350">
          <w:rPr>
            <w:color w:val="1155CC"/>
            <w:highlight w:val="white"/>
            <w:u w:val="single"/>
          </w:rPr>
          <w:t>https://muse.jhu.edu/article/838096/summary</w:t>
        </w:r>
      </w:hyperlink>
    </w:p>
    <w:p w14:paraId="6E599D93" w14:textId="77777777" w:rsidR="00743FD8" w:rsidRPr="00403350" w:rsidRDefault="00FA387E" w:rsidP="00403350">
      <w:pPr>
        <w:rPr>
          <w:color w:val="222222"/>
          <w:highlight w:val="white"/>
        </w:rPr>
      </w:pPr>
      <w:r w:rsidRPr="00403350">
        <w:rPr>
          <w:color w:val="222222"/>
          <w:highlight w:val="white"/>
        </w:rPr>
        <w:t xml:space="preserve">Petrou, P., Demerouti, E. and Schaufeli, W.B., (2018). Crafting the change: The role of employee job crafting behaviors for successful organizational change. </w:t>
      </w:r>
      <w:r w:rsidRPr="00403350">
        <w:rPr>
          <w:i/>
          <w:color w:val="222222"/>
          <w:highlight w:val="white"/>
        </w:rPr>
        <w:t>Journal of Management</w:t>
      </w:r>
      <w:r w:rsidRPr="00403350">
        <w:rPr>
          <w:color w:val="222222"/>
          <w:highlight w:val="white"/>
        </w:rPr>
        <w:t xml:space="preserve">, </w:t>
      </w:r>
      <w:r w:rsidRPr="00403350">
        <w:rPr>
          <w:i/>
          <w:color w:val="222222"/>
          <w:highlight w:val="white"/>
        </w:rPr>
        <w:t>44</w:t>
      </w:r>
      <w:r w:rsidRPr="00403350">
        <w:rPr>
          <w:color w:val="222222"/>
          <w:highlight w:val="white"/>
        </w:rPr>
        <w:t>(5), pp.1766-1792.</w:t>
      </w:r>
      <w:hyperlink r:id="rId36">
        <w:r w:rsidRPr="00403350">
          <w:rPr>
            <w:color w:val="1155CC"/>
            <w:highlight w:val="white"/>
            <w:u w:val="single"/>
          </w:rPr>
          <w:t>https://dspace.library.uu.nl/bitstream/handle/1874/420558/0149206315624961.pdf?sequence=1</w:t>
        </w:r>
      </w:hyperlink>
    </w:p>
    <w:p w14:paraId="7EFEFBC5" w14:textId="77777777" w:rsidR="00743FD8" w:rsidRPr="00403350" w:rsidRDefault="00FA387E" w:rsidP="00403350">
      <w:pPr>
        <w:rPr>
          <w:color w:val="222222"/>
          <w:highlight w:val="white"/>
        </w:rPr>
      </w:pPr>
      <w:r w:rsidRPr="00403350">
        <w:rPr>
          <w:color w:val="222222"/>
          <w:highlight w:val="white"/>
        </w:rPr>
        <w:t xml:space="preserve">Ramakumar, K. and Priyadarshini, R.G., (2021). Employee Engagement during Organizational Crisis–with special reference to the COVID Scenario. </w:t>
      </w:r>
      <w:r w:rsidRPr="00403350">
        <w:rPr>
          <w:i/>
          <w:color w:val="222222"/>
          <w:highlight w:val="white"/>
        </w:rPr>
        <w:t>PURUSHARTHA-A journal of Management, Ethics and Spirituality</w:t>
      </w:r>
      <w:r w:rsidRPr="00403350">
        <w:rPr>
          <w:color w:val="222222"/>
          <w:highlight w:val="white"/>
        </w:rPr>
        <w:t xml:space="preserve">, </w:t>
      </w:r>
      <w:r w:rsidRPr="00403350">
        <w:rPr>
          <w:i/>
          <w:color w:val="222222"/>
          <w:highlight w:val="white"/>
        </w:rPr>
        <w:t>14</w:t>
      </w:r>
      <w:r w:rsidRPr="00403350">
        <w:rPr>
          <w:color w:val="222222"/>
          <w:highlight w:val="white"/>
        </w:rPr>
        <w:t>(1), pp.105-115.</w:t>
      </w:r>
      <w:hyperlink r:id="rId37">
        <w:r w:rsidRPr="00403350">
          <w:rPr>
            <w:color w:val="1155CC"/>
            <w:highlight w:val="white"/>
            <w:u w:val="single"/>
          </w:rPr>
          <w:t>http://journals.smsvaranasi.com/index.php/purushartha/article/download/997/648</w:t>
        </w:r>
      </w:hyperlink>
    </w:p>
    <w:p w14:paraId="170DC003" w14:textId="77777777" w:rsidR="00743FD8" w:rsidRPr="00403350" w:rsidRDefault="00FA387E" w:rsidP="00403350">
      <w:pPr>
        <w:rPr>
          <w:color w:val="222222"/>
          <w:highlight w:val="white"/>
        </w:rPr>
      </w:pPr>
      <w:r w:rsidRPr="00403350">
        <w:rPr>
          <w:color w:val="222222"/>
          <w:highlight w:val="white"/>
        </w:rPr>
        <w:t xml:space="preserve">Sendawula, K., Nakyejwe Kimuli, S., Bananuka, J. and Najjemba Muganga, G., (2018). Training, employee engagement and employee performance: Evidence from Uganda’s health sector. </w:t>
      </w:r>
      <w:r w:rsidRPr="00403350">
        <w:rPr>
          <w:i/>
          <w:color w:val="222222"/>
          <w:highlight w:val="white"/>
        </w:rPr>
        <w:t>Cogent Business &amp; Management</w:t>
      </w:r>
      <w:r w:rsidRPr="00403350">
        <w:rPr>
          <w:color w:val="222222"/>
          <w:highlight w:val="white"/>
        </w:rPr>
        <w:t xml:space="preserve">, </w:t>
      </w:r>
      <w:r w:rsidRPr="00403350">
        <w:rPr>
          <w:i/>
          <w:color w:val="222222"/>
          <w:highlight w:val="white"/>
        </w:rPr>
        <w:t>5</w:t>
      </w:r>
      <w:r w:rsidRPr="00403350">
        <w:rPr>
          <w:color w:val="222222"/>
          <w:highlight w:val="white"/>
        </w:rPr>
        <w:t>(1), p.1470891.</w:t>
      </w:r>
      <w:hyperlink r:id="rId38">
        <w:r w:rsidRPr="00403350">
          <w:rPr>
            <w:color w:val="1155CC"/>
            <w:highlight w:val="white"/>
            <w:u w:val="single"/>
          </w:rPr>
          <w:t>https://www.isonderhouden.nl/doc/pdf/arnoldbakker/articles/articles_arnold_bakker_464.pdf</w:t>
        </w:r>
      </w:hyperlink>
    </w:p>
    <w:p w14:paraId="058BE7EB" w14:textId="77777777" w:rsidR="00743FD8" w:rsidRPr="00403350" w:rsidRDefault="00FA387E" w:rsidP="00403350">
      <w:pPr>
        <w:rPr>
          <w:color w:val="222222"/>
          <w:highlight w:val="white"/>
        </w:rPr>
      </w:pPr>
      <w:r w:rsidRPr="00403350">
        <w:rPr>
          <w:color w:val="222222"/>
          <w:highlight w:val="white"/>
        </w:rPr>
        <w:t xml:space="preserve">Shackleton, L., (2022). Summertime Blues: Unions, strikes and the law in 2022. </w:t>
      </w:r>
      <w:r w:rsidRPr="00403350">
        <w:rPr>
          <w:i/>
          <w:color w:val="222222"/>
          <w:highlight w:val="white"/>
        </w:rPr>
        <w:t>Institute of Economic Affairs Monographs, Forthcoming, IEA Briefing Paper</w:t>
      </w:r>
      <w:r w:rsidRPr="00403350">
        <w:rPr>
          <w:color w:val="222222"/>
          <w:highlight w:val="white"/>
        </w:rPr>
        <w:t>.</w:t>
      </w:r>
      <w:hyperlink r:id="rId39">
        <w:r w:rsidRPr="00403350">
          <w:rPr>
            <w:color w:val="1155CC"/>
            <w:highlight w:val="white"/>
            <w:u w:val="single"/>
          </w:rPr>
          <w:t>https://iea.org.uk/wp-content/uploads/2022/07/SUMMERTIME-BLUES-TRADE-UNIONS.pdf</w:t>
        </w:r>
      </w:hyperlink>
    </w:p>
    <w:p w14:paraId="634CD805" w14:textId="77777777" w:rsidR="00743FD8" w:rsidRPr="00403350" w:rsidRDefault="00FA387E" w:rsidP="00403350">
      <w:pPr>
        <w:rPr>
          <w:color w:val="222222"/>
          <w:highlight w:val="white"/>
        </w:rPr>
      </w:pPr>
      <w:r w:rsidRPr="00403350">
        <w:rPr>
          <w:color w:val="222222"/>
          <w:highlight w:val="white"/>
        </w:rPr>
        <w:t>Shalchi, A., (2021). Employment and Trade Union Rights (Dismissal and Reengagement) Bill.</w:t>
      </w:r>
      <w:hyperlink r:id="rId40">
        <w:r w:rsidRPr="00403350">
          <w:rPr>
            <w:color w:val="1155CC"/>
            <w:highlight w:val="white"/>
            <w:u w:val="single"/>
          </w:rPr>
          <w:t>https://researchbriefings.files.parliament.uk/documents/CBP-9344/CBP-9344.pdf</w:t>
        </w:r>
      </w:hyperlink>
    </w:p>
    <w:p w14:paraId="160813C2" w14:textId="77777777" w:rsidR="00743FD8" w:rsidRPr="00403350" w:rsidRDefault="00FA387E" w:rsidP="00403350">
      <w:pPr>
        <w:rPr>
          <w:color w:val="222222"/>
          <w:highlight w:val="white"/>
        </w:rPr>
      </w:pPr>
      <w:r w:rsidRPr="00403350">
        <w:rPr>
          <w:color w:val="222222"/>
          <w:highlight w:val="white"/>
        </w:rPr>
        <w:t>Shalchi, A., (2021). Employment and Trade Union Rights (Dismissal and Reengagement) Bill.</w:t>
      </w:r>
      <w:hyperlink r:id="rId41">
        <w:r w:rsidRPr="00403350">
          <w:rPr>
            <w:color w:val="1155CC"/>
            <w:highlight w:val="white"/>
            <w:u w:val="single"/>
          </w:rPr>
          <w:t>https://researchbriefings.files.parliament.uk/documents/CBP-9344/CBP-9344.pdf</w:t>
        </w:r>
      </w:hyperlink>
    </w:p>
    <w:p w14:paraId="4EEAA815" w14:textId="77777777" w:rsidR="00743FD8" w:rsidRPr="00403350" w:rsidRDefault="00FA387E" w:rsidP="00403350">
      <w:pPr>
        <w:rPr>
          <w:color w:val="222222"/>
          <w:highlight w:val="white"/>
        </w:rPr>
      </w:pPr>
      <w:r w:rsidRPr="00403350">
        <w:rPr>
          <w:color w:val="222222"/>
          <w:highlight w:val="white"/>
        </w:rPr>
        <w:t xml:space="preserve">vJyoti, K., (2019). Green HRM–people management commitment to environmental sustainability. In </w:t>
      </w:r>
      <w:r w:rsidRPr="00403350">
        <w:rPr>
          <w:i/>
          <w:color w:val="222222"/>
          <w:highlight w:val="white"/>
        </w:rPr>
        <w:t>proceedings of 10th international conference on digital strategies for organizational success</w:t>
      </w:r>
      <w:r w:rsidRPr="00403350">
        <w:rPr>
          <w:color w:val="222222"/>
          <w:highlight w:val="white"/>
        </w:rPr>
        <w:t>.</w:t>
      </w:r>
      <w:hyperlink r:id="rId42">
        <w:r w:rsidRPr="00403350">
          <w:rPr>
            <w:color w:val="1155CC"/>
            <w:highlight w:val="white"/>
            <w:u w:val="single"/>
          </w:rPr>
          <w:t>https://www.academia.edu/download/43829709/38.ISCA-ISC-2011-18CLM-Com-03.pdf</w:t>
        </w:r>
      </w:hyperlink>
    </w:p>
    <w:p w14:paraId="1B3F06B9" w14:textId="77777777" w:rsidR="00743FD8" w:rsidRPr="00403350" w:rsidRDefault="00FA387E" w:rsidP="00403350">
      <w:pPr>
        <w:rPr>
          <w:color w:val="222222"/>
          <w:highlight w:val="white"/>
        </w:rPr>
      </w:pPr>
      <w:r w:rsidRPr="00403350">
        <w:rPr>
          <w:color w:val="222222"/>
          <w:highlight w:val="white"/>
        </w:rPr>
        <w:t xml:space="preserve">Wang, S., Ouyang, L., Yuan, Y., Ni, X., Han, X. and Wang, F.Y., (2019). Blockchain-enabled smart contracts: architecture, applications, and future trends. </w:t>
      </w:r>
      <w:r w:rsidRPr="00403350">
        <w:rPr>
          <w:i/>
          <w:color w:val="222222"/>
          <w:highlight w:val="white"/>
        </w:rPr>
        <w:t>IEEE Transactions on Systems, Man, and Cybernetics: Systems</w:t>
      </w:r>
      <w:r w:rsidRPr="00403350">
        <w:rPr>
          <w:color w:val="222222"/>
          <w:highlight w:val="white"/>
        </w:rPr>
        <w:t xml:space="preserve">, </w:t>
      </w:r>
      <w:r w:rsidRPr="00403350">
        <w:rPr>
          <w:i/>
          <w:color w:val="222222"/>
          <w:highlight w:val="white"/>
        </w:rPr>
        <w:t>49</w:t>
      </w:r>
      <w:r w:rsidRPr="00403350">
        <w:rPr>
          <w:color w:val="222222"/>
          <w:highlight w:val="white"/>
        </w:rPr>
        <w:t>(11), pp.2266-2277.</w:t>
      </w:r>
      <w:hyperlink r:id="rId43">
        <w:r w:rsidRPr="00403350">
          <w:rPr>
            <w:color w:val="1155CC"/>
            <w:highlight w:val="white"/>
            <w:u w:val="single"/>
          </w:rPr>
          <w:t>http://khcnbinhduong.gov.vn/ImageUpload/file/TTTK%20KCN/2019/Nguon%20tin%20KHCN/Blockchain_A3.pdf</w:t>
        </w:r>
      </w:hyperlink>
    </w:p>
    <w:sectPr w:rsidR="00743FD8" w:rsidRPr="00403350">
      <w:headerReference w:type="default" r:id="rId44"/>
      <w:footerReference w:type="default" r:id="rId45"/>
      <w:headerReference w:type="first" r:id="rId46"/>
      <w:footerReference w:type="first" r:id="rId4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2354D" w14:textId="77777777" w:rsidR="0071099F" w:rsidRDefault="0071099F">
      <w:pPr>
        <w:spacing w:line="240" w:lineRule="auto"/>
      </w:pPr>
      <w:r>
        <w:separator/>
      </w:r>
    </w:p>
  </w:endnote>
  <w:endnote w:type="continuationSeparator" w:id="0">
    <w:p w14:paraId="243CC735" w14:textId="77777777" w:rsidR="0071099F" w:rsidRDefault="007109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2E415" w14:textId="77777777" w:rsidR="00D07F4D" w:rsidRDefault="00FA387E">
    <w:pPr>
      <w:jc w:val="right"/>
    </w:pPr>
    <w:r>
      <w:fldChar w:fldCharType="begin"/>
    </w:r>
    <w:r>
      <w:instrText>PAGE</w:instrText>
    </w:r>
    <w:r>
      <w:fldChar w:fldCharType="separate"/>
    </w:r>
    <w:r w:rsidR="002C18C8">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68B01" w14:textId="77777777" w:rsidR="00D07F4D" w:rsidRDefault="00D07F4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02B59" w14:textId="77777777" w:rsidR="0071099F" w:rsidRDefault="0071099F">
      <w:pPr>
        <w:spacing w:line="240" w:lineRule="auto"/>
      </w:pPr>
      <w:r>
        <w:separator/>
      </w:r>
    </w:p>
  </w:footnote>
  <w:footnote w:type="continuationSeparator" w:id="0">
    <w:p w14:paraId="28945537" w14:textId="77777777" w:rsidR="0071099F" w:rsidRDefault="007109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1B663" w14:textId="77777777" w:rsidR="00D07F4D" w:rsidRDefault="00D07F4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F5925" w14:textId="77777777" w:rsidR="00D07F4D" w:rsidRDefault="00FA387E">
    <w:pPr>
      <w:jc w:val="right"/>
    </w:pPr>
    <w:r>
      <w:rPr>
        <w:noProof/>
        <w:lang w:val="en-IN" w:bidi="ar-SA"/>
      </w:rPr>
      <w:drawing>
        <wp:inline distT="114300" distB="114300" distL="114300" distR="114300" wp14:anchorId="0FE4F92A" wp14:editId="5E378C4F">
          <wp:extent cx="2057400" cy="10096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
                  <a:stretch>
                    <a:fillRect/>
                  </a:stretch>
                </pic:blipFill>
                <pic:spPr>
                  <a:xfrm>
                    <a:off x="0" y="0"/>
                    <a:ext cx="2057400" cy="100965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F4D"/>
    <w:rsid w:val="002255F6"/>
    <w:rsid w:val="002C18C8"/>
    <w:rsid w:val="00403350"/>
    <w:rsid w:val="0071099F"/>
    <w:rsid w:val="00743FD8"/>
    <w:rsid w:val="00771CBD"/>
    <w:rsid w:val="008D62B2"/>
    <w:rsid w:val="00D07F4D"/>
    <w:rsid w:val="00ED6844"/>
    <w:rsid w:val="00FA387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BE3A0"/>
  <w15:docId w15:val="{A0BD848D-806A-4907-8678-FD7AB0DE8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2C18C8"/>
    <w:pPr>
      <w:spacing w:after="100"/>
    </w:pPr>
    <w:rPr>
      <w:rFonts w:cs="Mangal"/>
      <w:szCs w:val="21"/>
    </w:rPr>
  </w:style>
  <w:style w:type="paragraph" w:styleId="TOC2">
    <w:name w:val="toc 2"/>
    <w:basedOn w:val="Normal"/>
    <w:next w:val="Normal"/>
    <w:autoRedefine/>
    <w:uiPriority w:val="39"/>
    <w:unhideWhenUsed/>
    <w:rsid w:val="002C18C8"/>
    <w:pPr>
      <w:spacing w:after="100"/>
      <w:ind w:left="240"/>
    </w:pPr>
    <w:rPr>
      <w:rFonts w:cs="Mangal"/>
      <w:szCs w:val="21"/>
    </w:rPr>
  </w:style>
  <w:style w:type="character" w:styleId="Hyperlink">
    <w:name w:val="Hyperlink"/>
    <w:basedOn w:val="DefaultParagraphFont"/>
    <w:uiPriority w:val="99"/>
    <w:unhideWhenUsed/>
    <w:rsid w:val="002C18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09585192.2019.1570307" TargetMode="External"/><Relationship Id="rId18" Type="http://schemas.openxmlformats.org/officeDocument/2006/relationships/hyperlink" Target="https://researchbriefings.files.parliament.uk/documents/CDP-2020-0140/CDP-2020-0140.pdf" TargetMode="External"/><Relationship Id="rId26" Type="http://schemas.openxmlformats.org/officeDocument/2006/relationships/hyperlink" Target="https://www.sciencedirect.com/science/article/pii/S1053482221000036" TargetMode="External"/><Relationship Id="rId39" Type="http://schemas.openxmlformats.org/officeDocument/2006/relationships/hyperlink" Target="https://iea.org.uk/wp-content/uploads/2022/07/SUMMERTIME-BLUES-TRADE-UNIONS.pdf" TargetMode="External"/><Relationship Id="rId21" Type="http://schemas.openxmlformats.org/officeDocument/2006/relationships/hyperlink" Target="https://www.mdpi.com/2071-1050/12/15/6086/pdf" TargetMode="External"/><Relationship Id="rId34" Type="http://schemas.openxmlformats.org/officeDocument/2006/relationships/hyperlink" Target="https://orbi.uliege.be/bitstream/2268/290864/1/ehab368.pdf" TargetMode="External"/><Relationship Id="rId42" Type="http://schemas.openxmlformats.org/officeDocument/2006/relationships/hyperlink" Target="https://www.academia.edu/download/43829709/38.ISCA-ISC-2011-18CLM-Com-03.pdf" TargetMode="External"/><Relationship Id="rId47" Type="http://schemas.openxmlformats.org/officeDocument/2006/relationships/footer" Target="footer2.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https://www.nber.org/system/files/working_papers/w26916/revisions/w26916.rev1.pdf?sy=916" TargetMode="External"/><Relationship Id="rId29" Type="http://schemas.openxmlformats.org/officeDocument/2006/relationships/hyperlink" Target="https://wp.jemi.edu.pl/vol-16-issue-4-2020/designing-a-human-resource-scorecard-an-empirical-stakeholder-based-study-with-a-company-culture-perspective" TargetMode="External"/><Relationship Id="rId11" Type="http://schemas.openxmlformats.org/officeDocument/2006/relationships/hyperlink" Target="https://e-tarjome.com/storage/panel/fileuploads/2019-08-22/1566455447_E12678-e-tarjome.pdf" TargetMode="External"/><Relationship Id="rId24" Type="http://schemas.openxmlformats.org/officeDocument/2006/relationships/hyperlink" Target="https://www.researchgate.net/profile/Avik-Ghosh-11/publication/336277990_A_comprehensive_study_of_Employee_Engagement_Contemplating_7-D_model_in_view_of_NIFTY_50_companies/links/61f4e39e4393577abef93079/A-comprehensive-study-of-Employee-Engagement-Contemplating-7-D-model-in-view-of-NIFTY-50-companies.pdf" TargetMode="External"/><Relationship Id="rId32" Type="http://schemas.openxmlformats.org/officeDocument/2006/relationships/hyperlink" Target="https://fardapaper.ir/mohavaha/uploads/2022/01/Fardapaper-Sustainable-HRM-strategies-and-employment-relationships-as-drivers-of-the-triple-bottom-line.pdf" TargetMode="External"/><Relationship Id="rId37" Type="http://schemas.openxmlformats.org/officeDocument/2006/relationships/hyperlink" Target="http://journals.smsvaranasi.com/index.php/purushartha/article/download/997/648" TargetMode="External"/><Relationship Id="rId40" Type="http://schemas.openxmlformats.org/officeDocument/2006/relationships/hyperlink" Target="https://researchbriefings.files.parliament.uk/documents/CBP-9344/CBP-9344.pdf" TargetMode="External"/><Relationship Id="rId45"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magonlinelibrary.com/doi/full/10.12968/nrec.2022.0039" TargetMode="External"/><Relationship Id="rId23" Type="http://schemas.openxmlformats.org/officeDocument/2006/relationships/hyperlink" Target="https://www.ahajournals.org/doi/pdf/10.1161/CIR.0000000000000695" TargetMode="External"/><Relationship Id="rId28"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36" Type="http://schemas.openxmlformats.org/officeDocument/2006/relationships/hyperlink" Target="https://dspace.library.uu.nl/bitstream/handle/1874/420558/0149206315624961.pdf?sequence=1"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academic.oup.com/ilj/article-pdf/51/3/598/47162920/dwab018.pdf" TargetMode="External"/><Relationship Id="rId31" Type="http://schemas.openxmlformats.org/officeDocument/2006/relationships/hyperlink" Target="https://www.zoology.ubc.ca/~bittick/conservation/wp-content/uploads/2019/11/Kremen_Merenlender_2018.pdf"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researchgate.net/profile/Rayan-H-Assaad/publication/349289746_Guidelines_for_Responding_to_COVID-19_Pandemic_Best_Practices_Impacts_and_Future_Research_Directions/links/6028140ea6fdcc37a824e3ea/Guidelines-for-Responding-to-COVID-19-Pandemic-Best-Practices-Impacts-and-Future-Research-Directions.pdf" TargetMode="External"/><Relationship Id="rId22" Type="http://schemas.openxmlformats.org/officeDocument/2006/relationships/hyperlink" Target="https://cora.ucc.ie/bitstream/handle/10468/8584/Duggan_et_al_%282019%29_PDF_%28002%29.pdf?sequence=1&amp;isAllowed=y" TargetMode="External"/><Relationship Id="rId27" Type="http://schemas.openxmlformats.org/officeDocument/2006/relationships/hyperlink" Target="https://www.cambridge.org/core/services/aop-cambridge-core/content/view/13756E42EE84E463BC6298DDF0EAB1BD/S1474745618000204a.pdf/div-class-title-labour-standards-provisions-in-eu-free-trade-agreements-reflections-on-the-european-commission-s-reform-agenda-div.pdf" TargetMode="External"/><Relationship Id="rId30" Type="http://schemas.openxmlformats.org/officeDocument/2006/relationships/hyperlink" Target="https://academic.oup.com/ilj/article-abstract/51/3/744/6697046" TargetMode="External"/><Relationship Id="rId35" Type="http://schemas.openxmlformats.org/officeDocument/2006/relationships/hyperlink" Target="https://muse.jhu.edu/article/838096/summary" TargetMode="External"/><Relationship Id="rId43" Type="http://schemas.openxmlformats.org/officeDocument/2006/relationships/hyperlink" Target="http://khcnbinhduong.gov.vn/ImageUpload/file/TTTK%20KCN/2019/Nguon%20tin%20KHCN/Blockchain_A3.pdf" TargetMode="External"/><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pdfs.semanticscholar.org/43c3/1103c4ec50e6143389b3f978d527bb8b2dd4.pdf" TargetMode="External"/><Relationship Id="rId17" Type="http://schemas.openxmlformats.org/officeDocument/2006/relationships/hyperlink" Target="https://www.isonderhouden.nl/doc/pdf/arnoldbakker/articles/articles_arnold_bakker_470.pdf" TargetMode="External"/><Relationship Id="rId25" Type="http://schemas.openxmlformats.org/officeDocument/2006/relationships/hyperlink" Target="https://link.springer.com/article/10.1007/s10506-020-09260-6" TargetMode="External"/><Relationship Id="rId33" Type="http://schemas.openxmlformats.org/officeDocument/2006/relationships/hyperlink" Target="http://196.190.117.157:8080/xmlui/bitstream/handle/123456789/62425/46..pdf?sequence=1&amp;isAllowed=y" TargetMode="External"/><Relationship Id="rId38" Type="http://schemas.openxmlformats.org/officeDocument/2006/relationships/hyperlink" Target="https://www.isonderhouden.nl/doc/pdf/arnoldbakker/articles/articles_arnold_bakker_464.pdf" TargetMode="External"/><Relationship Id="rId46" Type="http://schemas.openxmlformats.org/officeDocument/2006/relationships/header" Target="header2.xml"/><Relationship Id="rId20" Type="http://schemas.openxmlformats.org/officeDocument/2006/relationships/hyperlink" Target="https://www.thegigworklife.com/s/Connelly-Fieseler-Cerne-Giessner-Wong-2021.pdf" TargetMode="External"/><Relationship Id="rId41" Type="http://schemas.openxmlformats.org/officeDocument/2006/relationships/hyperlink" Target="https://researchbriefings.files.parliament.uk/documents/CBP-9344/CBP-9344.pdf" TargetMode="External"/><Relationship Id="rId1" Type="http://schemas.openxmlformats.org/officeDocument/2006/relationships/styles" Target="styles.xml"/><Relationship Id="rId6"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7126</Words>
  <Characters>40622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 : MOHAMMED SHAMIL THUPPATH STUDENT NUMBER : 2132198                    MODULE : LCMB7000</dc:creator>
  <cp:lastModifiedBy>mohammed shafeek s n</cp:lastModifiedBy>
  <cp:revision>2</cp:revision>
  <dcterms:created xsi:type="dcterms:W3CDTF">2023-01-08T15:47:00Z</dcterms:created>
  <dcterms:modified xsi:type="dcterms:W3CDTF">2023-01-08T15:47:00Z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954ca35c824bba21cfe1a91bea3a2ae5740c5d947bedd3211934113dc506aae2</vt:lpwstr>
  </property>
</Properties>
</file>