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0782042"/>
        <w:docPartObj>
          <w:docPartGallery w:val="Cover Pages"/>
          <w:docPartUnique/>
        </w:docPartObj>
      </w:sdtPr>
      <w:sdtContent>
        <w:p w14:paraId="4D9061C9" w14:textId="13588467" w:rsidR="006F0F81" w:rsidRPr="006F0F81" w:rsidRDefault="006F0F81" w:rsidP="006F0F81">
          <w:pPr>
            <w:spacing w:after="0" w:line="360" w:lineRule="auto"/>
            <w:jc w:val="center"/>
            <w:rPr>
              <w:rFonts w:ascii="Arial" w:eastAsia="Times New Roman" w:hAnsi="Arial" w:cs="Arial"/>
              <w:b/>
              <w:bCs/>
              <w:color w:val="000000"/>
              <w:kern w:val="0"/>
              <w:sz w:val="24"/>
              <w:szCs w:val="24"/>
              <w14:ligatures w14:val="none"/>
            </w:rPr>
          </w:pPr>
        </w:p>
        <w:p w14:paraId="5C9ED4B6" w14:textId="77777777" w:rsidR="00186704" w:rsidRDefault="00186704" w:rsidP="006F0F81">
          <w:pPr>
            <w:spacing w:after="0" w:line="360" w:lineRule="auto"/>
            <w:jc w:val="center"/>
            <w:rPr>
              <w:rFonts w:ascii="Arial" w:eastAsia="Times New Roman" w:hAnsi="Arial" w:cs="Arial"/>
              <w:b/>
              <w:bCs/>
              <w:color w:val="000000"/>
              <w:kern w:val="0"/>
              <w:sz w:val="36"/>
              <w:szCs w:val="36"/>
              <w14:ligatures w14:val="none"/>
            </w:rPr>
          </w:pPr>
        </w:p>
        <w:p w14:paraId="149A1F8D" w14:textId="77777777" w:rsidR="00186704" w:rsidRDefault="00186704" w:rsidP="006F0F81">
          <w:pPr>
            <w:spacing w:after="0" w:line="360" w:lineRule="auto"/>
            <w:jc w:val="center"/>
            <w:rPr>
              <w:rFonts w:ascii="Arial" w:eastAsia="Times New Roman" w:hAnsi="Arial" w:cs="Arial"/>
              <w:b/>
              <w:bCs/>
              <w:color w:val="000000"/>
              <w:kern w:val="0"/>
              <w:sz w:val="36"/>
              <w:szCs w:val="36"/>
              <w14:ligatures w14:val="none"/>
            </w:rPr>
          </w:pPr>
        </w:p>
        <w:p w14:paraId="121FA797" w14:textId="77777777" w:rsidR="00186704" w:rsidRDefault="00186704" w:rsidP="006F0F81">
          <w:pPr>
            <w:spacing w:after="0" w:line="360" w:lineRule="auto"/>
            <w:jc w:val="center"/>
            <w:rPr>
              <w:rFonts w:ascii="Arial" w:eastAsia="Times New Roman" w:hAnsi="Arial" w:cs="Arial"/>
              <w:b/>
              <w:bCs/>
              <w:color w:val="000000"/>
              <w:kern w:val="0"/>
              <w:sz w:val="36"/>
              <w:szCs w:val="36"/>
              <w14:ligatures w14:val="none"/>
            </w:rPr>
          </w:pPr>
        </w:p>
        <w:p w14:paraId="6AAB4D99" w14:textId="77777777" w:rsidR="00186704" w:rsidRDefault="00186704" w:rsidP="006F0F81">
          <w:pPr>
            <w:spacing w:after="0" w:line="360" w:lineRule="auto"/>
            <w:jc w:val="center"/>
            <w:rPr>
              <w:rFonts w:ascii="Arial" w:eastAsia="Times New Roman" w:hAnsi="Arial" w:cs="Arial"/>
              <w:b/>
              <w:bCs/>
              <w:color w:val="000000"/>
              <w:kern w:val="0"/>
              <w:sz w:val="36"/>
              <w:szCs w:val="36"/>
              <w14:ligatures w14:val="none"/>
            </w:rPr>
          </w:pPr>
        </w:p>
        <w:p w14:paraId="189E7D56" w14:textId="636D1429" w:rsidR="006F0F81" w:rsidRPr="00186704" w:rsidRDefault="006F0F81" w:rsidP="006F0F81">
          <w:pPr>
            <w:spacing w:after="0" w:line="360" w:lineRule="auto"/>
            <w:jc w:val="center"/>
            <w:rPr>
              <w:rFonts w:ascii="Arial" w:eastAsia="Times New Roman" w:hAnsi="Arial" w:cs="Arial"/>
              <w:kern w:val="0"/>
              <w:sz w:val="36"/>
              <w:szCs w:val="36"/>
              <w14:ligatures w14:val="none"/>
            </w:rPr>
          </w:pPr>
          <w:proofErr w:type="spellStart"/>
          <w:r w:rsidRPr="00186704">
            <w:rPr>
              <w:rFonts w:ascii="Arial" w:eastAsia="Times New Roman" w:hAnsi="Arial" w:cs="Arial"/>
              <w:b/>
              <w:bCs/>
              <w:color w:val="000000"/>
              <w:kern w:val="0"/>
              <w:sz w:val="36"/>
              <w:szCs w:val="36"/>
              <w14:ligatures w14:val="none"/>
            </w:rPr>
            <w:t>Programme</w:t>
          </w:r>
          <w:proofErr w:type="spellEnd"/>
          <w:r w:rsidRPr="00186704">
            <w:rPr>
              <w:rFonts w:ascii="Arial" w:eastAsia="Times New Roman" w:hAnsi="Arial" w:cs="Arial"/>
              <w:b/>
              <w:bCs/>
              <w:color w:val="000000"/>
              <w:kern w:val="0"/>
              <w:sz w:val="36"/>
              <w:szCs w:val="36"/>
              <w14:ligatures w14:val="none"/>
            </w:rPr>
            <w:t>: BA International Hotel Management</w:t>
          </w:r>
        </w:p>
        <w:p w14:paraId="5DC97577" w14:textId="334A08D1" w:rsidR="006F0F81" w:rsidRPr="00186704" w:rsidRDefault="006F0F81" w:rsidP="006F0F81">
          <w:pPr>
            <w:spacing w:after="0" w:line="360" w:lineRule="auto"/>
            <w:jc w:val="center"/>
            <w:rPr>
              <w:rFonts w:ascii="Arial" w:eastAsia="Times New Roman" w:hAnsi="Arial" w:cs="Arial"/>
              <w:kern w:val="0"/>
              <w:sz w:val="36"/>
              <w:szCs w:val="36"/>
              <w14:ligatures w14:val="none"/>
            </w:rPr>
          </w:pPr>
          <w:r w:rsidRPr="00186704">
            <w:rPr>
              <w:rFonts w:ascii="Arial" w:eastAsia="Times New Roman" w:hAnsi="Arial" w:cs="Arial"/>
              <w:b/>
              <w:bCs/>
              <w:color w:val="000000"/>
              <w:kern w:val="0"/>
              <w:sz w:val="36"/>
              <w:szCs w:val="36"/>
              <w14:ligatures w14:val="none"/>
            </w:rPr>
            <w:t>Module: Financial Management for the Hotel Industry</w:t>
          </w:r>
        </w:p>
        <w:p w14:paraId="2F2138AA" w14:textId="3A410947" w:rsidR="006F0F81" w:rsidRDefault="006F0F81" w:rsidP="006F0F81">
          <w:pPr>
            <w:spacing w:after="0" w:line="360" w:lineRule="auto"/>
            <w:jc w:val="center"/>
            <w:rPr>
              <w:rFonts w:ascii="Arial" w:eastAsia="Times New Roman" w:hAnsi="Arial" w:cs="Arial"/>
              <w:b/>
              <w:bCs/>
              <w:color w:val="000000"/>
              <w:kern w:val="0"/>
              <w:sz w:val="36"/>
              <w:szCs w:val="36"/>
              <w14:ligatures w14:val="none"/>
            </w:rPr>
          </w:pPr>
          <w:r w:rsidRPr="00186704">
            <w:rPr>
              <w:rFonts w:ascii="Arial" w:eastAsia="Times New Roman" w:hAnsi="Arial" w:cs="Arial"/>
              <w:b/>
              <w:bCs/>
              <w:color w:val="000000"/>
              <w:kern w:val="0"/>
              <w:sz w:val="36"/>
              <w:szCs w:val="36"/>
              <w14:ligatures w14:val="none"/>
            </w:rPr>
            <w:t>Module code: BMIH5007</w:t>
          </w:r>
        </w:p>
        <w:p w14:paraId="72DA078B" w14:textId="77777777" w:rsidR="00186704" w:rsidRPr="00186704" w:rsidRDefault="00186704" w:rsidP="006F0F81">
          <w:pPr>
            <w:spacing w:after="0" w:line="360" w:lineRule="auto"/>
            <w:jc w:val="center"/>
            <w:rPr>
              <w:rFonts w:ascii="Arial" w:eastAsia="Times New Roman" w:hAnsi="Arial" w:cs="Arial"/>
              <w:kern w:val="0"/>
              <w:sz w:val="36"/>
              <w:szCs w:val="36"/>
              <w14:ligatures w14:val="none"/>
            </w:rPr>
          </w:pPr>
        </w:p>
        <w:p w14:paraId="2B32B527" w14:textId="64E7E375" w:rsidR="006F0F81" w:rsidRPr="00186704" w:rsidRDefault="006F0F81" w:rsidP="006F0F81">
          <w:pPr>
            <w:spacing w:line="360" w:lineRule="auto"/>
            <w:jc w:val="center"/>
            <w:rPr>
              <w:rFonts w:ascii="Arial" w:hAnsi="Arial" w:cs="Arial"/>
              <w:sz w:val="28"/>
              <w:szCs w:val="28"/>
            </w:rPr>
          </w:pPr>
          <w:r w:rsidRPr="00186704">
            <w:rPr>
              <w:rFonts w:ascii="Arial" w:hAnsi="Arial" w:cs="Arial"/>
              <w:b/>
              <w:bCs/>
              <w:sz w:val="28"/>
              <w:szCs w:val="28"/>
            </w:rPr>
            <w:t>Student name:</w:t>
          </w:r>
          <w:r w:rsidR="00186704" w:rsidRPr="00186704">
            <w:rPr>
              <w:rFonts w:ascii="Arial" w:hAnsi="Arial" w:cs="Arial"/>
              <w:b/>
              <w:bCs/>
              <w:sz w:val="28"/>
              <w:szCs w:val="28"/>
            </w:rPr>
            <w:t xml:space="preserve"> Sorin </w:t>
          </w:r>
          <w:proofErr w:type="spellStart"/>
          <w:r w:rsidR="00186704" w:rsidRPr="00186704">
            <w:rPr>
              <w:rFonts w:ascii="Arial" w:hAnsi="Arial" w:cs="Arial"/>
              <w:b/>
              <w:bCs/>
              <w:sz w:val="28"/>
              <w:szCs w:val="28"/>
            </w:rPr>
            <w:t>Ciprian</w:t>
          </w:r>
          <w:proofErr w:type="spellEnd"/>
          <w:r w:rsidR="00186704" w:rsidRPr="00186704">
            <w:rPr>
              <w:rFonts w:ascii="Arial" w:hAnsi="Arial" w:cs="Arial"/>
              <w:b/>
              <w:bCs/>
              <w:sz w:val="28"/>
              <w:szCs w:val="28"/>
            </w:rPr>
            <w:t xml:space="preserve"> </w:t>
          </w:r>
          <w:proofErr w:type="spellStart"/>
          <w:r w:rsidR="00186704" w:rsidRPr="00186704">
            <w:rPr>
              <w:rFonts w:ascii="Arial" w:hAnsi="Arial" w:cs="Arial"/>
              <w:b/>
              <w:bCs/>
              <w:sz w:val="28"/>
              <w:szCs w:val="28"/>
            </w:rPr>
            <w:t>Chelm</w:t>
          </w:r>
          <w:proofErr w:type="spellEnd"/>
        </w:p>
        <w:p w14:paraId="535C66B8" w14:textId="47A52AB1" w:rsidR="006F0F81" w:rsidRPr="00186704" w:rsidRDefault="006F0F81" w:rsidP="006F0F81">
          <w:pPr>
            <w:spacing w:line="360" w:lineRule="auto"/>
            <w:jc w:val="center"/>
            <w:rPr>
              <w:rFonts w:ascii="Arial" w:hAnsi="Arial" w:cs="Arial"/>
              <w:sz w:val="28"/>
              <w:szCs w:val="28"/>
            </w:rPr>
          </w:pPr>
          <w:r w:rsidRPr="00186704">
            <w:rPr>
              <w:rFonts w:ascii="Arial" w:hAnsi="Arial" w:cs="Arial"/>
              <w:b/>
              <w:bCs/>
              <w:sz w:val="28"/>
              <w:szCs w:val="28"/>
            </w:rPr>
            <w:t>Student ID number:</w:t>
          </w:r>
          <w:r w:rsidR="00186704" w:rsidRPr="00186704">
            <w:rPr>
              <w:rFonts w:ascii="Arial" w:hAnsi="Arial" w:cs="Arial"/>
              <w:b/>
              <w:bCs/>
              <w:sz w:val="28"/>
              <w:szCs w:val="28"/>
            </w:rPr>
            <w:t xml:space="preserve"> 2125245</w:t>
          </w:r>
        </w:p>
        <w:p w14:paraId="21117CC1" w14:textId="073C5DC6" w:rsidR="00737E5E" w:rsidRDefault="00737E5E" w:rsidP="006F0F81">
          <w:pPr>
            <w:spacing w:line="360" w:lineRule="auto"/>
            <w:jc w:val="both"/>
            <w:rPr>
              <w:rFonts w:asciiTheme="majorHAnsi" w:eastAsiaTheme="majorEastAsia" w:hAnsiTheme="majorHAnsi" w:cstheme="majorBidi"/>
              <w:color w:val="2F5496" w:themeColor="accent1" w:themeShade="BF"/>
              <w:kern w:val="0"/>
              <w:sz w:val="32"/>
              <w:szCs w:val="32"/>
              <w14:ligatures w14:val="none"/>
            </w:rPr>
          </w:pPr>
          <w:r w:rsidRPr="006F0F81">
            <w:rPr>
              <w:rFonts w:ascii="Arial" w:hAnsi="Arial" w:cs="Arial"/>
              <w:sz w:val="24"/>
              <w:szCs w:val="24"/>
            </w:rPr>
            <w:br w:type="page"/>
          </w:r>
        </w:p>
      </w:sdtContent>
    </w:sdt>
    <w:sdt>
      <w:sdtPr>
        <w:rPr>
          <w:rFonts w:asciiTheme="minorHAnsi" w:eastAsiaTheme="minorHAnsi" w:hAnsiTheme="minorHAnsi" w:cstheme="minorBidi"/>
          <w:color w:val="auto"/>
          <w:kern w:val="2"/>
          <w:sz w:val="22"/>
          <w:szCs w:val="22"/>
          <w14:ligatures w14:val="standardContextual"/>
        </w:rPr>
        <w:id w:val="-175192329"/>
        <w:docPartObj>
          <w:docPartGallery w:val="Table of Contents"/>
          <w:docPartUnique/>
        </w:docPartObj>
      </w:sdtPr>
      <w:sdtEndPr>
        <w:rPr>
          <w:b/>
          <w:bCs/>
          <w:noProof/>
        </w:rPr>
      </w:sdtEndPr>
      <w:sdtContent>
        <w:p w14:paraId="69F7BF26" w14:textId="5ADE6690" w:rsidR="00737E5E" w:rsidRPr="00737E5E" w:rsidRDefault="00737E5E" w:rsidP="00737E5E">
          <w:pPr>
            <w:pStyle w:val="TOCHeading"/>
            <w:spacing w:line="360" w:lineRule="auto"/>
            <w:rPr>
              <w:rFonts w:ascii="Arial" w:hAnsi="Arial" w:cs="Arial"/>
            </w:rPr>
          </w:pPr>
          <w:r w:rsidRPr="00737E5E">
            <w:rPr>
              <w:rFonts w:ascii="Arial" w:hAnsi="Arial" w:cs="Arial"/>
            </w:rPr>
            <w:t>Table of Contents</w:t>
          </w:r>
        </w:p>
        <w:p w14:paraId="487AF2F5" w14:textId="1FE2A2F3" w:rsidR="000111C5" w:rsidRPr="000111C5" w:rsidRDefault="00737E5E" w:rsidP="000111C5">
          <w:pPr>
            <w:pStyle w:val="TOC1"/>
            <w:tabs>
              <w:tab w:val="right" w:leader="dot" w:pos="9350"/>
            </w:tabs>
            <w:spacing w:line="360" w:lineRule="auto"/>
            <w:jc w:val="both"/>
            <w:rPr>
              <w:rFonts w:ascii="Arial" w:eastAsiaTheme="minorEastAsia" w:hAnsi="Arial" w:cs="Arial"/>
              <w:noProof/>
            </w:rPr>
          </w:pPr>
          <w:r w:rsidRPr="000111C5">
            <w:rPr>
              <w:rFonts w:ascii="Arial" w:hAnsi="Arial" w:cs="Arial"/>
              <w:sz w:val="24"/>
              <w:szCs w:val="24"/>
            </w:rPr>
            <w:fldChar w:fldCharType="begin"/>
          </w:r>
          <w:r w:rsidRPr="000111C5">
            <w:rPr>
              <w:rFonts w:ascii="Arial" w:hAnsi="Arial" w:cs="Arial"/>
              <w:sz w:val="24"/>
              <w:szCs w:val="24"/>
            </w:rPr>
            <w:instrText xml:space="preserve"> TOC \o "1-3" \h \z \u </w:instrText>
          </w:r>
          <w:r w:rsidRPr="000111C5">
            <w:rPr>
              <w:rFonts w:ascii="Arial" w:hAnsi="Arial" w:cs="Arial"/>
              <w:sz w:val="24"/>
              <w:szCs w:val="24"/>
            </w:rPr>
            <w:fldChar w:fldCharType="separate"/>
          </w:r>
          <w:hyperlink w:anchor="_Toc150947644" w:history="1">
            <w:r w:rsidR="000111C5" w:rsidRPr="000111C5">
              <w:rPr>
                <w:rStyle w:val="Hyperlink"/>
                <w:rFonts w:ascii="Arial" w:hAnsi="Arial" w:cs="Arial"/>
                <w:noProof/>
              </w:rPr>
              <w:t>Understand the Purpose</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_Toc150947644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2</w:t>
            </w:r>
            <w:r w:rsidR="000111C5" w:rsidRPr="000111C5">
              <w:rPr>
                <w:rFonts w:ascii="Arial" w:hAnsi="Arial" w:cs="Arial"/>
                <w:noProof/>
                <w:webHidden/>
              </w:rPr>
              <w:fldChar w:fldCharType="end"/>
            </w:r>
          </w:hyperlink>
        </w:p>
        <w:p w14:paraId="2FC776A6" w14:textId="29A2CBB0"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45" w:history="1">
            <w:r w:rsidR="000111C5" w:rsidRPr="000111C5">
              <w:rPr>
                <w:rStyle w:val="Hyperlink"/>
                <w:rFonts w:ascii="Arial" w:hAnsi="Arial" w:cs="Arial"/>
                <w:noProof/>
              </w:rPr>
              <w:t>Introduction</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_Toc150947645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2</w:t>
            </w:r>
            <w:r w:rsidR="000111C5" w:rsidRPr="000111C5">
              <w:rPr>
                <w:rFonts w:ascii="Arial" w:hAnsi="Arial" w:cs="Arial"/>
                <w:noProof/>
                <w:webHidden/>
              </w:rPr>
              <w:fldChar w:fldCharType="end"/>
            </w:r>
          </w:hyperlink>
        </w:p>
        <w:p w14:paraId="121F8963" w14:textId="3C4FF7B0"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46" w:history="1">
            <w:r w:rsidR="000111C5" w:rsidRPr="000111C5">
              <w:rPr>
                <w:rStyle w:val="Hyperlink"/>
                <w:rFonts w:ascii="Arial" w:hAnsi="Arial" w:cs="Arial"/>
                <w:noProof/>
              </w:rPr>
              <w:t>Scope and Objectives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_Toc150947646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2</w:t>
            </w:r>
            <w:r w:rsidR="000111C5" w:rsidRPr="000111C5">
              <w:rPr>
                <w:rFonts w:ascii="Arial" w:hAnsi="Arial" w:cs="Arial"/>
                <w:noProof/>
                <w:webHidden/>
              </w:rPr>
              <w:fldChar w:fldCharType="end"/>
            </w:r>
          </w:hyperlink>
        </w:p>
        <w:p w14:paraId="5EE64E97" w14:textId="78D5F046"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47" w:history="1">
            <w:r w:rsidR="000111C5" w:rsidRPr="000111C5">
              <w:rPr>
                <w:rStyle w:val="Hyperlink"/>
                <w:rFonts w:ascii="Arial" w:hAnsi="Arial" w:cs="Arial"/>
                <w:noProof/>
                <w:kern w:val="0"/>
                <w14:ligatures w14:val="none"/>
              </w:rPr>
              <w:t>Financial Analysis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_Toc150947647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3</w:t>
            </w:r>
            <w:r w:rsidR="000111C5" w:rsidRPr="000111C5">
              <w:rPr>
                <w:rFonts w:ascii="Arial" w:hAnsi="Arial" w:cs="Arial"/>
                <w:noProof/>
                <w:webHidden/>
              </w:rPr>
              <w:fldChar w:fldCharType="end"/>
            </w:r>
          </w:hyperlink>
        </w:p>
        <w:p w14:paraId="4461D677" w14:textId="79F7108C"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48" w:history="1">
            <w:r w:rsidR="000111C5" w:rsidRPr="000111C5">
              <w:rPr>
                <w:rStyle w:val="Hyperlink"/>
                <w:rFonts w:ascii="Arial" w:hAnsi="Arial" w:cs="Arial"/>
                <w:noProof/>
                <w:kern w:val="0"/>
                <w14:ligatures w14:val="none"/>
              </w:rPr>
              <w:t>SWOT Analysis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_Toc150947648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7</w:t>
            </w:r>
            <w:r w:rsidR="000111C5" w:rsidRPr="000111C5">
              <w:rPr>
                <w:rFonts w:ascii="Arial" w:hAnsi="Arial" w:cs="Arial"/>
                <w:noProof/>
                <w:webHidden/>
              </w:rPr>
              <w:fldChar w:fldCharType="end"/>
            </w:r>
          </w:hyperlink>
        </w:p>
        <w:p w14:paraId="786D6460" w14:textId="45987B68"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49" w:history="1">
            <w:r w:rsidR="000111C5" w:rsidRPr="000111C5">
              <w:rPr>
                <w:rStyle w:val="Hyperlink"/>
                <w:rFonts w:ascii="Arial" w:hAnsi="Arial" w:cs="Arial"/>
                <w:noProof/>
              </w:rPr>
              <w:t>Market Analysis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_Toc150947649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8</w:t>
            </w:r>
            <w:r w:rsidR="000111C5" w:rsidRPr="000111C5">
              <w:rPr>
                <w:rFonts w:ascii="Arial" w:hAnsi="Arial" w:cs="Arial"/>
                <w:noProof/>
                <w:webHidden/>
              </w:rPr>
              <w:fldChar w:fldCharType="end"/>
            </w:r>
          </w:hyperlink>
        </w:p>
        <w:p w14:paraId="17B0AC37" w14:textId="00F56126"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0" w:history="1">
            <w:r w:rsidR="000111C5" w:rsidRPr="000111C5">
              <w:rPr>
                <w:rStyle w:val="Hyperlink"/>
                <w:rFonts w:ascii="Arial" w:hAnsi="Arial" w:cs="Arial"/>
                <w:noProof/>
              </w:rPr>
              <w:t>Turnaround Strategy</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_Toc150947650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9</w:t>
            </w:r>
            <w:r w:rsidR="000111C5" w:rsidRPr="000111C5">
              <w:rPr>
                <w:rFonts w:ascii="Arial" w:hAnsi="Arial" w:cs="Arial"/>
                <w:noProof/>
                <w:webHidden/>
              </w:rPr>
              <w:fldChar w:fldCharType="end"/>
            </w:r>
          </w:hyperlink>
        </w:p>
        <w:p w14:paraId="6FCB7ED6" w14:textId="57D39E04"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1" w:history="1">
            <w:r w:rsidR="000111C5" w:rsidRPr="000111C5">
              <w:rPr>
                <w:rStyle w:val="Hyperlink"/>
                <w:rFonts w:ascii="Arial" w:hAnsi="Arial" w:cs="Arial"/>
                <w:noProof/>
                <w:kern w:val="0"/>
                <w14:ligatures w14:val="none"/>
              </w:rPr>
              <w:t>Financial Projections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_Toc150947651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10</w:t>
            </w:r>
            <w:r w:rsidR="000111C5" w:rsidRPr="000111C5">
              <w:rPr>
                <w:rFonts w:ascii="Arial" w:hAnsi="Arial" w:cs="Arial"/>
                <w:noProof/>
                <w:webHidden/>
              </w:rPr>
              <w:fldChar w:fldCharType="end"/>
            </w:r>
          </w:hyperlink>
        </w:p>
        <w:p w14:paraId="6CCDD52B" w14:textId="6CDA0A2B"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2" w:history="1">
            <w:r w:rsidR="000111C5" w:rsidRPr="000111C5">
              <w:rPr>
                <w:rStyle w:val="Hyperlink"/>
                <w:rFonts w:ascii="Arial" w:hAnsi="Arial" w:cs="Arial"/>
                <w:noProof/>
              </w:rPr>
              <w:t>Risk Assessment</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_Toc150947652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11</w:t>
            </w:r>
            <w:r w:rsidR="000111C5" w:rsidRPr="000111C5">
              <w:rPr>
                <w:rFonts w:ascii="Arial" w:hAnsi="Arial" w:cs="Arial"/>
                <w:noProof/>
                <w:webHidden/>
              </w:rPr>
              <w:fldChar w:fldCharType="end"/>
            </w:r>
          </w:hyperlink>
        </w:p>
        <w:p w14:paraId="2F77D586" w14:textId="3EC4AA23"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3" w:history="1">
            <w:r w:rsidR="000111C5" w:rsidRPr="000111C5">
              <w:rPr>
                <w:rStyle w:val="Hyperlink"/>
                <w:rFonts w:ascii="Arial" w:hAnsi="Arial" w:cs="Arial"/>
                <w:noProof/>
              </w:rPr>
              <w:t>Conclusion</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_Toc150947653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11</w:t>
            </w:r>
            <w:r w:rsidR="000111C5" w:rsidRPr="000111C5">
              <w:rPr>
                <w:rFonts w:ascii="Arial" w:hAnsi="Arial" w:cs="Arial"/>
                <w:noProof/>
                <w:webHidden/>
              </w:rPr>
              <w:fldChar w:fldCharType="end"/>
            </w:r>
          </w:hyperlink>
        </w:p>
        <w:p w14:paraId="234735BF" w14:textId="2D1E0CA6"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4" w:history="1">
            <w:r w:rsidR="000111C5" w:rsidRPr="000111C5">
              <w:rPr>
                <w:rStyle w:val="Hyperlink"/>
                <w:rFonts w:ascii="Arial" w:hAnsi="Arial" w:cs="Arial"/>
                <w:noProof/>
              </w:rPr>
              <w:t>Recommendation</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_Toc150947654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12</w:t>
            </w:r>
            <w:r w:rsidR="000111C5" w:rsidRPr="000111C5">
              <w:rPr>
                <w:rFonts w:ascii="Arial" w:hAnsi="Arial" w:cs="Arial"/>
                <w:noProof/>
                <w:webHidden/>
              </w:rPr>
              <w:fldChar w:fldCharType="end"/>
            </w:r>
          </w:hyperlink>
        </w:p>
        <w:p w14:paraId="7DE59F79" w14:textId="3ED8DF53"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5" w:history="1">
            <w:r w:rsidR="000111C5" w:rsidRPr="000111C5">
              <w:rPr>
                <w:rStyle w:val="Hyperlink"/>
                <w:rFonts w:ascii="Arial" w:hAnsi="Arial" w:cs="Arial"/>
                <w:noProof/>
              </w:rPr>
              <w:t>References</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_Toc150947655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13</w:t>
            </w:r>
            <w:r w:rsidR="000111C5" w:rsidRPr="000111C5">
              <w:rPr>
                <w:rFonts w:ascii="Arial" w:hAnsi="Arial" w:cs="Arial"/>
                <w:noProof/>
                <w:webHidden/>
              </w:rPr>
              <w:fldChar w:fldCharType="end"/>
            </w:r>
          </w:hyperlink>
        </w:p>
        <w:p w14:paraId="6D23E2E9" w14:textId="38CE702B" w:rsidR="000111C5" w:rsidRPr="000111C5" w:rsidRDefault="00000000" w:rsidP="000111C5">
          <w:pPr>
            <w:pStyle w:val="TOC1"/>
            <w:tabs>
              <w:tab w:val="right" w:leader="dot" w:pos="9350"/>
            </w:tabs>
            <w:spacing w:line="360" w:lineRule="auto"/>
            <w:jc w:val="both"/>
            <w:rPr>
              <w:rFonts w:ascii="Arial" w:eastAsiaTheme="minorEastAsia" w:hAnsi="Arial" w:cs="Arial"/>
              <w:noProof/>
            </w:rPr>
          </w:pPr>
          <w:hyperlink w:anchor="_Toc150947656" w:history="1">
            <w:r w:rsidR="000111C5" w:rsidRPr="000111C5">
              <w:rPr>
                <w:rStyle w:val="Hyperlink"/>
                <w:rFonts w:ascii="Arial" w:hAnsi="Arial" w:cs="Arial"/>
                <w:noProof/>
              </w:rPr>
              <w:t>Appendix</w:t>
            </w:r>
            <w:r w:rsidR="000111C5" w:rsidRPr="000111C5">
              <w:rPr>
                <w:rFonts w:ascii="Arial" w:hAnsi="Arial" w:cs="Arial"/>
                <w:noProof/>
                <w:webHidden/>
              </w:rPr>
              <w:tab/>
            </w:r>
            <w:r w:rsidR="000111C5" w:rsidRPr="000111C5">
              <w:rPr>
                <w:rFonts w:ascii="Arial" w:hAnsi="Arial" w:cs="Arial"/>
                <w:noProof/>
                <w:webHidden/>
              </w:rPr>
              <w:fldChar w:fldCharType="begin"/>
            </w:r>
            <w:r w:rsidR="000111C5" w:rsidRPr="000111C5">
              <w:rPr>
                <w:rFonts w:ascii="Arial" w:hAnsi="Arial" w:cs="Arial"/>
                <w:noProof/>
                <w:webHidden/>
              </w:rPr>
              <w:instrText xml:space="preserve"> PAGEREF _Toc150947656 \h </w:instrText>
            </w:r>
            <w:r w:rsidR="000111C5" w:rsidRPr="000111C5">
              <w:rPr>
                <w:rFonts w:ascii="Arial" w:hAnsi="Arial" w:cs="Arial"/>
                <w:noProof/>
                <w:webHidden/>
              </w:rPr>
            </w:r>
            <w:r w:rsidR="000111C5" w:rsidRPr="000111C5">
              <w:rPr>
                <w:rFonts w:ascii="Arial" w:hAnsi="Arial" w:cs="Arial"/>
                <w:noProof/>
                <w:webHidden/>
              </w:rPr>
              <w:fldChar w:fldCharType="separate"/>
            </w:r>
            <w:r w:rsidR="000111C5" w:rsidRPr="000111C5">
              <w:rPr>
                <w:rFonts w:ascii="Arial" w:hAnsi="Arial" w:cs="Arial"/>
                <w:noProof/>
                <w:webHidden/>
              </w:rPr>
              <w:t>14</w:t>
            </w:r>
            <w:r w:rsidR="000111C5" w:rsidRPr="000111C5">
              <w:rPr>
                <w:rFonts w:ascii="Arial" w:hAnsi="Arial" w:cs="Arial"/>
                <w:noProof/>
                <w:webHidden/>
              </w:rPr>
              <w:fldChar w:fldCharType="end"/>
            </w:r>
          </w:hyperlink>
        </w:p>
        <w:p w14:paraId="606D0EB6" w14:textId="14C4EB86" w:rsidR="00737E5E" w:rsidRDefault="00737E5E" w:rsidP="000111C5">
          <w:pPr>
            <w:spacing w:line="360" w:lineRule="auto"/>
            <w:jc w:val="both"/>
          </w:pPr>
          <w:r w:rsidRPr="000111C5">
            <w:rPr>
              <w:rFonts w:ascii="Arial" w:hAnsi="Arial" w:cs="Arial"/>
              <w:b/>
              <w:bCs/>
              <w:noProof/>
              <w:sz w:val="24"/>
              <w:szCs w:val="24"/>
            </w:rPr>
            <w:fldChar w:fldCharType="end"/>
          </w:r>
        </w:p>
      </w:sdtContent>
    </w:sdt>
    <w:p w14:paraId="3B920E38" w14:textId="77777777" w:rsidR="00737E5E" w:rsidRDefault="00737E5E">
      <w:pPr>
        <w:rPr>
          <w:rFonts w:ascii="Arial" w:eastAsiaTheme="majorEastAsia" w:hAnsi="Arial" w:cs="Arial"/>
          <w:color w:val="2F5496" w:themeColor="accent1" w:themeShade="BF"/>
          <w:sz w:val="32"/>
          <w:szCs w:val="32"/>
        </w:rPr>
      </w:pPr>
      <w:r>
        <w:rPr>
          <w:rFonts w:ascii="Arial" w:hAnsi="Arial" w:cs="Arial"/>
        </w:rPr>
        <w:br w:type="page"/>
      </w:r>
    </w:p>
    <w:p w14:paraId="0CEC26A4" w14:textId="1B94EE98" w:rsidR="00F303A3" w:rsidRPr="00737E5E" w:rsidRDefault="00F303A3" w:rsidP="00737E5E">
      <w:pPr>
        <w:pStyle w:val="Heading1"/>
        <w:spacing w:line="360" w:lineRule="auto"/>
        <w:jc w:val="both"/>
        <w:rPr>
          <w:rFonts w:ascii="Arial" w:hAnsi="Arial" w:cs="Arial"/>
        </w:rPr>
      </w:pPr>
      <w:bookmarkStart w:id="0" w:name="_Toc150947644"/>
      <w:r w:rsidRPr="00737E5E">
        <w:rPr>
          <w:rFonts w:ascii="Arial" w:hAnsi="Arial" w:cs="Arial"/>
        </w:rPr>
        <w:lastRenderedPageBreak/>
        <w:t>Understand the Purpose</w:t>
      </w:r>
      <w:bookmarkEnd w:id="0"/>
    </w:p>
    <w:p w14:paraId="5A93108F"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There are two goals to this evaluation: Assessment of Financial Viability and Development of Turnaround Strategy</w:t>
      </w:r>
    </w:p>
    <w:p w14:paraId="56EF1384" w14:textId="77777777" w:rsidR="00F303A3" w:rsidRPr="00737E5E" w:rsidRDefault="00F303A3" w:rsidP="00737E5E">
      <w:pPr>
        <w:pStyle w:val="Heading1"/>
        <w:spacing w:line="360" w:lineRule="auto"/>
        <w:jc w:val="both"/>
        <w:rPr>
          <w:rFonts w:ascii="Arial" w:hAnsi="Arial" w:cs="Arial"/>
        </w:rPr>
      </w:pPr>
      <w:bookmarkStart w:id="1" w:name="_Toc150947645"/>
      <w:r w:rsidRPr="00737E5E">
        <w:rPr>
          <w:rFonts w:ascii="Arial" w:hAnsi="Arial" w:cs="Arial"/>
        </w:rPr>
        <w:t>Introduction</w:t>
      </w:r>
      <w:bookmarkEnd w:id="1"/>
    </w:p>
    <w:p w14:paraId="2CCC996D" w14:textId="7A178566"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The Seaview Resort's future is uncertain as it stands on a gorgeous beach where it was once a haven of relaxation and elegance. There has been a worrying decline in key measures over the previous three years, including revenue, occupancy rates, and, perhaps most dangerously, customer happiness. Faced with these issues, Mr. James Henderson, the passionate owner of Seaview Resort, has contacted our experience to analyze the viability of saving the firm through a properly developed turnaround strategy. In a period of severe rivalry, coastal resorts have newer and more contemporary establishments nearby. Traditional resorts like Seaview must adapt to changing client tastes for eco-friendly and experience tourism. Customer comment describes poor service and outmoded amenities, which falls short of modern expectations</w:t>
      </w:r>
      <w:r w:rsidR="001169A9" w:rsidRPr="001169A9">
        <w:t xml:space="preserve"> </w:t>
      </w:r>
      <w:r w:rsidR="001169A9" w:rsidRPr="001169A9">
        <w:rPr>
          <w:rFonts w:ascii="Arial" w:hAnsi="Arial" w:cs="Arial"/>
          <w:color w:val="0E101A"/>
        </w:rPr>
        <w:t>(Xu, 2020)</w:t>
      </w:r>
      <w:r w:rsidRPr="00F303A3">
        <w:rPr>
          <w:rFonts w:ascii="Arial" w:hAnsi="Arial" w:cs="Arial"/>
          <w:color w:val="0E101A"/>
        </w:rPr>
        <w:t>.</w:t>
      </w:r>
    </w:p>
    <w:p w14:paraId="4026C8B5" w14:textId="214AEB8E" w:rsidR="00F303A3" w:rsidRPr="00737E5E" w:rsidRDefault="00F303A3" w:rsidP="00737E5E">
      <w:pPr>
        <w:pStyle w:val="Heading1"/>
        <w:spacing w:line="360" w:lineRule="auto"/>
        <w:jc w:val="both"/>
        <w:rPr>
          <w:rFonts w:ascii="Arial" w:hAnsi="Arial" w:cs="Arial"/>
        </w:rPr>
      </w:pPr>
      <w:bookmarkStart w:id="2" w:name="_Toc150947646"/>
      <w:r w:rsidRPr="00737E5E">
        <w:rPr>
          <w:rFonts w:ascii="Arial" w:hAnsi="Arial" w:cs="Arial"/>
        </w:rPr>
        <w:t>Scope and Objectives</w:t>
      </w:r>
      <w:bookmarkEnd w:id="2"/>
    </w:p>
    <w:p w14:paraId="2AEEA6FD" w14:textId="77777777" w:rsidR="00F303A3" w:rsidRPr="00F303A3" w:rsidRDefault="00F303A3" w:rsidP="00F303A3">
      <w:pPr>
        <w:pStyle w:val="NormalWeb"/>
        <w:numPr>
          <w:ilvl w:val="0"/>
          <w:numId w:val="36"/>
        </w:numPr>
        <w:spacing w:before="0" w:beforeAutospacing="0" w:after="0" w:afterAutospacing="0" w:line="360" w:lineRule="auto"/>
        <w:jc w:val="both"/>
        <w:rPr>
          <w:rFonts w:ascii="Arial" w:hAnsi="Arial" w:cs="Arial"/>
          <w:color w:val="0E101A"/>
        </w:rPr>
      </w:pPr>
      <w:r w:rsidRPr="00F303A3">
        <w:rPr>
          <w:rFonts w:ascii="Arial" w:hAnsi="Arial" w:cs="Arial"/>
          <w:color w:val="0E101A"/>
        </w:rPr>
        <w:t>Examine the financial results of The Seaview Resort during the previous three years.</w:t>
      </w:r>
    </w:p>
    <w:p w14:paraId="20890C95" w14:textId="77777777" w:rsidR="00F303A3" w:rsidRPr="00F303A3" w:rsidRDefault="00F303A3" w:rsidP="00F303A3">
      <w:pPr>
        <w:pStyle w:val="NormalWeb"/>
        <w:numPr>
          <w:ilvl w:val="0"/>
          <w:numId w:val="36"/>
        </w:numPr>
        <w:spacing w:before="0" w:beforeAutospacing="0" w:after="0" w:afterAutospacing="0" w:line="360" w:lineRule="auto"/>
        <w:jc w:val="both"/>
        <w:rPr>
          <w:rFonts w:ascii="Arial" w:hAnsi="Arial" w:cs="Arial"/>
          <w:color w:val="0E101A"/>
        </w:rPr>
      </w:pPr>
      <w:r w:rsidRPr="00F303A3">
        <w:rPr>
          <w:rFonts w:ascii="Arial" w:hAnsi="Arial" w:cs="Arial"/>
          <w:color w:val="0E101A"/>
        </w:rPr>
        <w:t>Determine what is causing the fall in profits.</w:t>
      </w:r>
    </w:p>
    <w:p w14:paraId="44B46D58" w14:textId="77777777" w:rsidR="00F303A3" w:rsidRPr="00F303A3" w:rsidRDefault="00F303A3" w:rsidP="00F303A3">
      <w:pPr>
        <w:pStyle w:val="NormalWeb"/>
        <w:numPr>
          <w:ilvl w:val="0"/>
          <w:numId w:val="36"/>
        </w:numPr>
        <w:spacing w:before="0" w:beforeAutospacing="0" w:after="0" w:afterAutospacing="0" w:line="360" w:lineRule="auto"/>
        <w:jc w:val="both"/>
        <w:rPr>
          <w:rFonts w:ascii="Arial" w:hAnsi="Arial" w:cs="Arial"/>
          <w:color w:val="0E101A"/>
        </w:rPr>
      </w:pPr>
      <w:r w:rsidRPr="00F303A3">
        <w:rPr>
          <w:rFonts w:ascii="Arial" w:hAnsi="Arial" w:cs="Arial"/>
          <w:color w:val="0E101A"/>
        </w:rPr>
        <w:t>Create a comprehensive turnaround strategy to revive the resort's financial health and restore its status as a top vacation destination or the most viable financial option.</w:t>
      </w:r>
    </w:p>
    <w:p w14:paraId="58D3B22B" w14:textId="77777777" w:rsidR="00F303A3" w:rsidRPr="00737E5E"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Key Questions:</w:t>
      </w:r>
    </w:p>
    <w:p w14:paraId="4C66F65C"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1. What have been the most salient tendencies and patterns in the last three years of The Seaview Resort's financial performance?</w:t>
      </w:r>
    </w:p>
    <w:p w14:paraId="2505FFFD"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2. What factors cause profitability decline and how do they relate to market dynamics and operational efficiency?</w:t>
      </w:r>
    </w:p>
    <w:p w14:paraId="723A5B35"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3. How does the competitive landscape of coastal resorts affect The Seaview Resort's positioning relative to emerging market trends?</w:t>
      </w:r>
    </w:p>
    <w:p w14:paraId="43C9F957"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lastRenderedPageBreak/>
        <w:t>4. What is the best turnaround strategy to revive The Seaview Resort's finances and regain its status as a top vacation destination?</w:t>
      </w:r>
    </w:p>
    <w:p w14:paraId="366F4676" w14:textId="523B6F0A" w:rsidR="00F303A3" w:rsidRDefault="00F303A3" w:rsidP="00737E5E">
      <w:pPr>
        <w:pStyle w:val="NormalWeb"/>
        <w:spacing w:before="0" w:beforeAutospacing="0" w:after="0" w:afterAutospacing="0" w:line="360" w:lineRule="auto"/>
        <w:jc w:val="both"/>
        <w:rPr>
          <w:rFonts w:ascii="Arial" w:hAnsi="Arial" w:cs="Arial"/>
          <w:color w:val="0E101A"/>
        </w:rPr>
      </w:pPr>
      <w:bookmarkStart w:id="3" w:name="_Toc150947647"/>
      <w:r w:rsidRPr="00737E5E">
        <w:rPr>
          <w:rStyle w:val="Heading1Char"/>
          <w:rFonts w:ascii="Arial" w:hAnsi="Arial" w:cs="Arial"/>
        </w:rPr>
        <w:t>Financial Analysis</w:t>
      </w:r>
      <w:bookmarkEnd w:id="3"/>
    </w:p>
    <w:p w14:paraId="56DFE4D2" w14:textId="080375CF" w:rsidR="00737E5E" w:rsidRDefault="00737E5E" w:rsidP="00737E5E">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Income Statement Analysis</w:t>
      </w:r>
    </w:p>
    <w:p w14:paraId="2147747C" w14:textId="104079C0" w:rsidR="008846EB" w:rsidRPr="00737E5E" w:rsidRDefault="00737E5E" w:rsidP="00737E5E">
      <w:pPr>
        <w:pStyle w:val="NormalWeb"/>
        <w:spacing w:before="0" w:beforeAutospacing="0" w:after="0" w:afterAutospacing="0" w:line="360" w:lineRule="auto"/>
        <w:jc w:val="both"/>
        <w:rPr>
          <w:rFonts w:ascii="Arial" w:hAnsi="Arial" w:cs="Arial"/>
          <w:b/>
          <w:bCs/>
          <w:color w:val="0E101A"/>
        </w:rPr>
      </w:pPr>
      <w:r>
        <w:rPr>
          <w:noProof/>
        </w:rPr>
        <w:drawing>
          <wp:inline distT="0" distB="0" distL="0" distR="0" wp14:anchorId="2A201AD7" wp14:editId="6BBDC865">
            <wp:extent cx="6007409" cy="1642533"/>
            <wp:effectExtent l="0" t="0" r="0" b="0"/>
            <wp:docPr id="29285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85279" name=""/>
                    <pic:cNvPicPr/>
                  </pic:nvPicPr>
                  <pic:blipFill rotWithShape="1">
                    <a:blip r:embed="rId8"/>
                    <a:srcRect l="20519" t="16465" r="24786" b="56949"/>
                    <a:stretch/>
                  </pic:blipFill>
                  <pic:spPr bwMode="auto">
                    <a:xfrm>
                      <a:off x="0" y="0"/>
                      <a:ext cx="6038161" cy="1650941"/>
                    </a:xfrm>
                    <a:prstGeom prst="rect">
                      <a:avLst/>
                    </a:prstGeom>
                    <a:ln>
                      <a:noFill/>
                    </a:ln>
                    <a:extLst>
                      <a:ext uri="{53640926-AAD7-44D8-BBD7-CCE9431645EC}">
                        <a14:shadowObscured xmlns:a14="http://schemas.microsoft.com/office/drawing/2010/main"/>
                      </a:ext>
                    </a:extLst>
                  </pic:spPr>
                </pic:pic>
              </a:graphicData>
            </a:graphic>
          </wp:inline>
        </w:drawing>
      </w:r>
    </w:p>
    <w:p w14:paraId="65EEFE1F"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An examination of the Seaview Resort's finances indicates a difficult environment, with key financial measures showing considerable drops. There was a significant reduction in total revenue, from £520,000 in 2020 to £430,000 in 2022, requiring an in-depth analysis of the causes of this £90,000. The resort's operating expenses increased substantially throughout this period, from £390,000 to £450,000, having a corrosive effect on both its gross and net profits. The resort's direct costs exceeded its generated revenue, creating questions regarding operational efficiency and cost management, as evidenced by the gross profit's precipitous decrease to </w:t>
      </w:r>
      <w:proofErr w:type="gramStart"/>
      <w:r w:rsidRPr="00F303A3">
        <w:rPr>
          <w:rFonts w:ascii="Arial" w:hAnsi="Arial" w:cs="Arial"/>
          <w:color w:val="0E101A"/>
        </w:rPr>
        <w:t>£(</w:t>
      </w:r>
      <w:proofErr w:type="gramEnd"/>
      <w:r w:rsidRPr="00F303A3">
        <w:rPr>
          <w:rFonts w:ascii="Arial" w:hAnsi="Arial" w:cs="Arial"/>
          <w:color w:val="0E101A"/>
        </w:rPr>
        <w:t xml:space="preserve">20,000) in 2022. As the net profit (loss) dropped from £78,000 in 2020 to </w:t>
      </w:r>
      <w:proofErr w:type="gramStart"/>
      <w:r w:rsidRPr="00F303A3">
        <w:rPr>
          <w:rFonts w:ascii="Arial" w:hAnsi="Arial" w:cs="Arial"/>
          <w:color w:val="0E101A"/>
        </w:rPr>
        <w:t>£(</w:t>
      </w:r>
      <w:proofErr w:type="gramEnd"/>
      <w:r w:rsidRPr="00F303A3">
        <w:rPr>
          <w:rFonts w:ascii="Arial" w:hAnsi="Arial" w:cs="Arial"/>
          <w:color w:val="0E101A"/>
        </w:rPr>
        <w:t>47,500) in 2022, the difficulty of maintaining profitability became more apparent. The resort's business model, cost structure, and revenue streams require immediate attention in light of this concerning trend and the subsequent decline in the negative net profit margin from 15% to -11%. The resort's long-term financial health and survival in a competitive market depend on its capacity to address these difficulties through a well-crafted turnaround strategy.</w:t>
      </w:r>
    </w:p>
    <w:p w14:paraId="1C97E2A0" w14:textId="0B2B43A0" w:rsidR="00F303A3"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Balance Sheet Analysis</w:t>
      </w:r>
    </w:p>
    <w:p w14:paraId="234D8DFD" w14:textId="66665148" w:rsidR="00B31183" w:rsidRPr="00737E5E" w:rsidRDefault="00B31183" w:rsidP="00F303A3">
      <w:pPr>
        <w:pStyle w:val="NormalWeb"/>
        <w:spacing w:before="0" w:beforeAutospacing="0" w:after="0" w:afterAutospacing="0" w:line="360" w:lineRule="auto"/>
        <w:jc w:val="both"/>
        <w:rPr>
          <w:rFonts w:ascii="Arial" w:hAnsi="Arial" w:cs="Arial"/>
          <w:b/>
          <w:bCs/>
          <w:color w:val="0E101A"/>
        </w:rPr>
      </w:pPr>
      <w:r>
        <w:rPr>
          <w:noProof/>
        </w:rPr>
        <w:lastRenderedPageBreak/>
        <w:drawing>
          <wp:inline distT="0" distB="0" distL="0" distR="0" wp14:anchorId="7E492BD1" wp14:editId="574698BB">
            <wp:extent cx="5875867" cy="2193832"/>
            <wp:effectExtent l="0" t="0" r="0" b="0"/>
            <wp:docPr id="1876561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561443" name=""/>
                    <pic:cNvPicPr/>
                  </pic:nvPicPr>
                  <pic:blipFill rotWithShape="1">
                    <a:blip r:embed="rId8"/>
                    <a:srcRect l="20228" t="43558" r="25202" b="20220"/>
                    <a:stretch/>
                  </pic:blipFill>
                  <pic:spPr bwMode="auto">
                    <a:xfrm>
                      <a:off x="0" y="0"/>
                      <a:ext cx="5910472" cy="2206752"/>
                    </a:xfrm>
                    <a:prstGeom prst="rect">
                      <a:avLst/>
                    </a:prstGeom>
                    <a:ln>
                      <a:noFill/>
                    </a:ln>
                    <a:extLst>
                      <a:ext uri="{53640926-AAD7-44D8-BBD7-CCE9431645EC}">
                        <a14:shadowObscured xmlns:a14="http://schemas.microsoft.com/office/drawing/2010/main"/>
                      </a:ext>
                    </a:extLst>
                  </pic:spPr>
                </pic:pic>
              </a:graphicData>
            </a:graphic>
          </wp:inline>
        </w:drawing>
      </w:r>
    </w:p>
    <w:p w14:paraId="09DDD52B" w14:textId="0FE37241"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The Seaview Resort has a sizable asset base, with a total of £1,030,000 in assets. This includes £250,000 in current assets, which show liquidity for immediate liabilities, and £100,000 in property and equipment inventory, which shows a significant investment in physical assets. The resort's total liabilities of £580,000 are a crucial part of its financial structure because they include both current liabilities and long-term debt. Considerable weight must be given to the owner's £450,000 equity investment in the company when doing so. To analyze liquidity and satisfy short-term obligations, it is recommended to conduct a thorough analysis of the composition of current assets and liabilities. It is also important to evaluate the effectiveness of property and equipment use to guarantee that these resources add value to the business as a whole. Refinancing and restructuring should be considered strategically when managing long-term debt</w:t>
      </w:r>
      <w:r w:rsidR="00F15EE0" w:rsidRPr="00F15EE0">
        <w:t xml:space="preserve"> </w:t>
      </w:r>
      <w:r w:rsidR="00F15EE0" w:rsidRPr="00F15EE0">
        <w:rPr>
          <w:rFonts w:ascii="Arial" w:hAnsi="Arial" w:cs="Arial"/>
          <w:color w:val="0E101A"/>
        </w:rPr>
        <w:t>(</w:t>
      </w:r>
      <w:proofErr w:type="spellStart"/>
      <w:r w:rsidR="00F15EE0" w:rsidRPr="00F15EE0">
        <w:rPr>
          <w:rFonts w:ascii="Arial" w:hAnsi="Arial" w:cs="Arial"/>
          <w:color w:val="0E101A"/>
        </w:rPr>
        <w:t>zeebiz</w:t>
      </w:r>
      <w:proofErr w:type="spellEnd"/>
      <w:r w:rsidR="00F15EE0" w:rsidRPr="00F15EE0">
        <w:rPr>
          <w:rFonts w:ascii="Arial" w:hAnsi="Arial" w:cs="Arial"/>
          <w:color w:val="0E101A"/>
        </w:rPr>
        <w:t>, 2023)</w:t>
      </w:r>
      <w:r w:rsidRPr="00F303A3">
        <w:rPr>
          <w:rFonts w:ascii="Arial" w:hAnsi="Arial" w:cs="Arial"/>
          <w:color w:val="0E101A"/>
        </w:rPr>
        <w:t>. For a complete picture of the resort's financial health, it is critical to consider both the Balance Sheet Analysis and the Income Statement Analysis. Based on these findings, a comprehensive turnaround strategy will be designed to address the resort's unique set of financial issues and better position the establishment for a speedy recovery and long-term success.</w:t>
      </w:r>
    </w:p>
    <w:p w14:paraId="1E477936" w14:textId="665A36AF" w:rsidR="00F303A3"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Cash Flow Analysis (2021)</w:t>
      </w:r>
    </w:p>
    <w:p w14:paraId="18A5C2E1" w14:textId="1C5014D2" w:rsidR="00B31183" w:rsidRPr="00737E5E" w:rsidRDefault="00B31183" w:rsidP="00F303A3">
      <w:pPr>
        <w:pStyle w:val="NormalWeb"/>
        <w:spacing w:before="0" w:beforeAutospacing="0" w:after="0" w:afterAutospacing="0" w:line="360" w:lineRule="auto"/>
        <w:jc w:val="both"/>
        <w:rPr>
          <w:rFonts w:ascii="Arial" w:hAnsi="Arial" w:cs="Arial"/>
          <w:b/>
          <w:bCs/>
          <w:color w:val="0E101A"/>
        </w:rPr>
      </w:pPr>
      <w:r>
        <w:rPr>
          <w:noProof/>
        </w:rPr>
        <w:drawing>
          <wp:inline distT="0" distB="0" distL="0" distR="0" wp14:anchorId="473B7815" wp14:editId="2483AC9D">
            <wp:extent cx="6085149" cy="1236133"/>
            <wp:effectExtent l="0" t="0" r="0" b="2540"/>
            <wp:docPr id="1367360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360769" name=""/>
                    <pic:cNvPicPr/>
                  </pic:nvPicPr>
                  <pic:blipFill rotWithShape="1">
                    <a:blip r:embed="rId9"/>
                    <a:srcRect l="20657" t="34444" r="25356" b="46059"/>
                    <a:stretch/>
                  </pic:blipFill>
                  <pic:spPr bwMode="auto">
                    <a:xfrm>
                      <a:off x="0" y="0"/>
                      <a:ext cx="6133999" cy="1246056"/>
                    </a:xfrm>
                    <a:prstGeom prst="rect">
                      <a:avLst/>
                    </a:prstGeom>
                    <a:ln>
                      <a:noFill/>
                    </a:ln>
                    <a:extLst>
                      <a:ext uri="{53640926-AAD7-44D8-BBD7-CCE9431645EC}">
                        <a14:shadowObscured xmlns:a14="http://schemas.microsoft.com/office/drawing/2010/main"/>
                      </a:ext>
                    </a:extLst>
                  </pic:spPr>
                </pic:pic>
              </a:graphicData>
            </a:graphic>
          </wp:inline>
        </w:drawing>
      </w:r>
    </w:p>
    <w:p w14:paraId="3701D500" w14:textId="64CFE6F2"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lastRenderedPageBreak/>
        <w:t>The Cash Flow Analysis highlights serious financial issues for the Seaview Resort. With a negative Net financial Flow from Operations of -£80,000, it's clear that the company is having trouble meeting its day-to-day financial needs, which raises serious liquidity worries right now. The £30,000 in Capital Expenditures begs the question of how well they are coordinated with expected income growth. In addition, a decline in cash balance, as indicated by the Net Cash Flow's negative change of -£110,000, may indicate liquidity concerns. It is advised to examine the elements of net cash flow from operations closely, pinpoint the causes of the negative cash generation, and assess the capital expenditures' nature for strategic alignment to address these issues. It is essential to implement methods to increase cash flow from operations, such as those that increase revenues and reduce expenses. Moving ahead, a complete understanding of the resort's financial dynamics can be attained through the combination of the Cash Flow Analysis, the Income Statement Analysis, and the Balance Sheet Analysis</w:t>
      </w:r>
      <w:r w:rsidR="00F15EE0" w:rsidRPr="00F15EE0">
        <w:t xml:space="preserve"> </w:t>
      </w:r>
      <w:r w:rsidR="00F15EE0" w:rsidRPr="00F15EE0">
        <w:rPr>
          <w:rFonts w:ascii="Arial" w:hAnsi="Arial" w:cs="Arial"/>
          <w:color w:val="0E101A"/>
        </w:rPr>
        <w:t>(</w:t>
      </w:r>
      <w:proofErr w:type="spellStart"/>
      <w:r w:rsidR="00F15EE0" w:rsidRPr="00F15EE0">
        <w:rPr>
          <w:rFonts w:ascii="Arial" w:hAnsi="Arial" w:cs="Arial"/>
          <w:color w:val="0E101A"/>
        </w:rPr>
        <w:t>Maravas</w:t>
      </w:r>
      <w:proofErr w:type="spellEnd"/>
      <w:r w:rsidR="00F15EE0" w:rsidRPr="00F15EE0">
        <w:rPr>
          <w:rFonts w:ascii="Arial" w:hAnsi="Arial" w:cs="Arial"/>
          <w:color w:val="0E101A"/>
        </w:rPr>
        <w:t xml:space="preserve"> and </w:t>
      </w:r>
      <w:proofErr w:type="spellStart"/>
      <w:r w:rsidR="00F15EE0" w:rsidRPr="00F15EE0">
        <w:rPr>
          <w:rFonts w:ascii="Arial" w:hAnsi="Arial" w:cs="Arial"/>
          <w:color w:val="0E101A"/>
        </w:rPr>
        <w:t>Pantouvakis</w:t>
      </w:r>
      <w:proofErr w:type="spellEnd"/>
      <w:r w:rsidR="00F15EE0" w:rsidRPr="00F15EE0">
        <w:rPr>
          <w:rFonts w:ascii="Arial" w:hAnsi="Arial" w:cs="Arial"/>
          <w:color w:val="0E101A"/>
        </w:rPr>
        <w:t>, 2012)</w:t>
      </w:r>
      <w:r w:rsidRPr="00F303A3">
        <w:rPr>
          <w:rFonts w:ascii="Arial" w:hAnsi="Arial" w:cs="Arial"/>
          <w:color w:val="0E101A"/>
        </w:rPr>
        <w:t>. With this information in hand, the resort can devise a focused plan of action to reverse its financial fortunes, one that will help it improve its cash flow and make more efficient use of its resources.</w:t>
      </w:r>
    </w:p>
    <w:p w14:paraId="5C55264F" w14:textId="6A81BA8E" w:rsidR="00F303A3" w:rsidRPr="00737E5E"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Key Financial Ratios</w:t>
      </w:r>
    </w:p>
    <w:p w14:paraId="49AB7F3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Current Ratio:</w:t>
      </w:r>
    </w:p>
    <w:p w14:paraId="533C24A4"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Formula: Current Assets / Current Liabilities</w:t>
      </w:r>
    </w:p>
    <w:p w14:paraId="4556823E"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Calculation: £250,000 / £180,000</w:t>
      </w:r>
    </w:p>
    <w:p w14:paraId="22CF561F"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Current Ratio = 1.39</w:t>
      </w:r>
    </w:p>
    <w:p w14:paraId="0727B5B0" w14:textId="505229DA"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A current ratio greater than one suggests that The Seaview Resort has a reasonably sound short-term liquidity situation because it shows that the company has more current assets than current liabilities</w:t>
      </w:r>
      <w:r w:rsidR="00F15EE0" w:rsidRPr="00F15EE0">
        <w:t xml:space="preserve"> </w:t>
      </w:r>
      <w:r w:rsidR="00F15EE0" w:rsidRPr="00F15EE0">
        <w:rPr>
          <w:rFonts w:ascii="Arial" w:hAnsi="Arial" w:cs="Arial"/>
          <w:color w:val="0E101A"/>
        </w:rPr>
        <w:t>(Tim Vipond, 2022)</w:t>
      </w:r>
      <w:r w:rsidRPr="00F303A3">
        <w:rPr>
          <w:rFonts w:ascii="Arial" w:hAnsi="Arial" w:cs="Arial"/>
          <w:color w:val="0E101A"/>
        </w:rPr>
        <w:t>.</w:t>
      </w:r>
    </w:p>
    <w:p w14:paraId="1971CCEC"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Quick Ratio:</w:t>
      </w:r>
    </w:p>
    <w:p w14:paraId="3DCF451D"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Formula: (Current Assets - Inventory) / Current Liabilities</w:t>
      </w:r>
    </w:p>
    <w:p w14:paraId="539B3909"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Calculation: (£250,000 - £100,000) / £180,000</w:t>
      </w:r>
    </w:p>
    <w:p w14:paraId="04E7DD6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Quick Ratio = 0.83</w:t>
      </w:r>
    </w:p>
    <w:p w14:paraId="4E253E56" w14:textId="3B35880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Excluding inventory, the quick ratio is a little less than 1. This implies that without depending on the sale of inventory, the resort might find it difficult to meet its short-term obligations</w:t>
      </w:r>
      <w:r w:rsidR="00F15EE0" w:rsidRPr="00F15EE0">
        <w:t xml:space="preserve"> </w:t>
      </w:r>
      <w:r w:rsidR="00F15EE0" w:rsidRPr="00F15EE0">
        <w:rPr>
          <w:rFonts w:ascii="Arial" w:hAnsi="Arial" w:cs="Arial"/>
          <w:color w:val="0E101A"/>
        </w:rPr>
        <w:t>(Girardin, 2022)</w:t>
      </w:r>
      <w:r w:rsidRPr="00F303A3">
        <w:rPr>
          <w:rFonts w:ascii="Arial" w:hAnsi="Arial" w:cs="Arial"/>
          <w:color w:val="0E101A"/>
        </w:rPr>
        <w:t>.</w:t>
      </w:r>
    </w:p>
    <w:p w14:paraId="05D5507F"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lastRenderedPageBreak/>
        <w:t>Debt-to-Equity Ratio:</w:t>
      </w:r>
    </w:p>
    <w:p w14:paraId="637DD72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Formula: Total Debt / Total Equity</w:t>
      </w:r>
    </w:p>
    <w:p w14:paraId="6DB3C3CA"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Calculation: £400,000 / £450,000</w:t>
      </w:r>
    </w:p>
    <w:p w14:paraId="246B074F"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Debt-to-Equity Ratio = 0.89</w:t>
      </w:r>
    </w:p>
    <w:p w14:paraId="39041CF8"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The Seaview Resort's debt-to-equity ratio of 0.89 suggests that debt accounts for a sizable amount of its funding. A higher ratio may indicate a higher level of financial risk, though it varies by industry.</w:t>
      </w:r>
    </w:p>
    <w:p w14:paraId="6DD82391"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Return on Assets (ROA):</w:t>
      </w:r>
    </w:p>
    <w:p w14:paraId="17D96AD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Formula: Net Profit / Total Assets</w:t>
      </w:r>
    </w:p>
    <w:p w14:paraId="0AE462A5"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Calculation: </w:t>
      </w:r>
      <w:proofErr w:type="gramStart"/>
      <w:r w:rsidRPr="00F303A3">
        <w:rPr>
          <w:rFonts w:ascii="Arial" w:hAnsi="Arial" w:cs="Arial"/>
          <w:color w:val="0E101A"/>
        </w:rPr>
        <w:t>£(</w:t>
      </w:r>
      <w:proofErr w:type="gramEnd"/>
      <w:r w:rsidRPr="00F303A3">
        <w:rPr>
          <w:rFonts w:ascii="Arial" w:hAnsi="Arial" w:cs="Arial"/>
          <w:color w:val="0E101A"/>
        </w:rPr>
        <w:t>47,500) / £1,030,000</w:t>
      </w:r>
    </w:p>
    <w:p w14:paraId="76A911AE"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ROA = -0.046</w:t>
      </w:r>
    </w:p>
    <w:p w14:paraId="4F1833D3" w14:textId="5325589A"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The resort had a net loss by the end of 2022 about its total assets, as indicated by the negative return on assets (ROA). This suggests that assets are not being used profitably</w:t>
      </w:r>
      <w:r w:rsidR="00F15EE0" w:rsidRPr="00F15EE0">
        <w:t xml:space="preserve"> </w:t>
      </w:r>
      <w:r w:rsidR="00F15EE0" w:rsidRPr="00F15EE0">
        <w:rPr>
          <w:rFonts w:ascii="Arial" w:hAnsi="Arial" w:cs="Arial"/>
          <w:color w:val="0E101A"/>
        </w:rPr>
        <w:t>(Park, 2018)</w:t>
      </w:r>
      <w:r w:rsidRPr="00F303A3">
        <w:rPr>
          <w:rFonts w:ascii="Arial" w:hAnsi="Arial" w:cs="Arial"/>
          <w:color w:val="0E101A"/>
        </w:rPr>
        <w:t>.</w:t>
      </w:r>
    </w:p>
    <w:p w14:paraId="6E8909FB"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Return on Equity (ROE):</w:t>
      </w:r>
    </w:p>
    <w:p w14:paraId="1A50C458"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Formula: Net Profit / Total Equity</w:t>
      </w:r>
    </w:p>
    <w:p w14:paraId="278915A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Calculation: </w:t>
      </w:r>
      <w:proofErr w:type="gramStart"/>
      <w:r w:rsidRPr="00F303A3">
        <w:rPr>
          <w:rFonts w:ascii="Arial" w:hAnsi="Arial" w:cs="Arial"/>
          <w:color w:val="0E101A"/>
        </w:rPr>
        <w:t>£(</w:t>
      </w:r>
      <w:proofErr w:type="gramEnd"/>
      <w:r w:rsidRPr="00F303A3">
        <w:rPr>
          <w:rFonts w:ascii="Arial" w:hAnsi="Arial" w:cs="Arial"/>
          <w:color w:val="0E101A"/>
        </w:rPr>
        <w:t>47,500) / £450,000</w:t>
      </w:r>
    </w:p>
    <w:p w14:paraId="51104530"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ROE = -0.1056 (approximately -10.56%)</w:t>
      </w:r>
    </w:p>
    <w:p w14:paraId="783B3201" w14:textId="30BD1169"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Relative to the equity invested in the resort, a negative return on equity (ROE) indicates a net loss</w:t>
      </w:r>
      <w:r w:rsidR="00F15EE0" w:rsidRPr="00F15EE0">
        <w:t xml:space="preserve"> </w:t>
      </w:r>
      <w:r w:rsidR="00F15EE0" w:rsidRPr="00F15EE0">
        <w:rPr>
          <w:rFonts w:ascii="Arial" w:hAnsi="Arial" w:cs="Arial"/>
          <w:color w:val="0E101A"/>
        </w:rPr>
        <w:t>(Damodaran, 2017)</w:t>
      </w:r>
      <w:r w:rsidRPr="00F303A3">
        <w:rPr>
          <w:rFonts w:ascii="Arial" w:hAnsi="Arial" w:cs="Arial"/>
          <w:color w:val="0E101A"/>
        </w:rPr>
        <w:t>. This implies that the resort's owners may have trouble making money.</w:t>
      </w:r>
    </w:p>
    <w:p w14:paraId="11FA3BF7" w14:textId="215BCCAC"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From the financial statement analysis, numerous important suggestions for improving The Seaview Resort's financial health and operational efficiency emerge. To start, increasing the Return on Assets (ROA) requires investigating ways to better leverage existing resources</w:t>
      </w:r>
      <w:r w:rsidR="006C4F1A" w:rsidRPr="006C4F1A">
        <w:t xml:space="preserve"> </w:t>
      </w:r>
      <w:r w:rsidR="006C4F1A" w:rsidRPr="006C4F1A">
        <w:rPr>
          <w:rFonts w:ascii="Arial" w:hAnsi="Arial" w:cs="Arial"/>
          <w:color w:val="0E101A"/>
        </w:rPr>
        <w:t>(Birken and Curry, 2021)</w:t>
      </w:r>
      <w:r w:rsidRPr="00F303A3">
        <w:rPr>
          <w:rFonts w:ascii="Arial" w:hAnsi="Arial" w:cs="Arial"/>
          <w:color w:val="0E101A"/>
        </w:rPr>
        <w:t xml:space="preserve">. Second, to improve the resort's quick ratio and guarantee its capacity to satisfy short-term responsibilities, an in-depth analysis of inventory management tactics is required. </w:t>
      </w:r>
    </w:p>
    <w:p w14:paraId="47DB1FE9" w14:textId="6D383B61" w:rsidR="00F303A3" w:rsidRPr="00F303A3" w:rsidRDefault="00F303A3" w:rsidP="00737E5E">
      <w:pPr>
        <w:pStyle w:val="NormalWeb"/>
        <w:spacing w:before="0" w:beforeAutospacing="0" w:after="0" w:afterAutospacing="0" w:line="360" w:lineRule="auto"/>
        <w:jc w:val="both"/>
        <w:rPr>
          <w:rFonts w:ascii="Arial" w:hAnsi="Arial" w:cs="Arial"/>
          <w:color w:val="0E101A"/>
        </w:rPr>
      </w:pPr>
      <w:bookmarkStart w:id="4" w:name="_Toc150947648"/>
      <w:r w:rsidRPr="00737E5E">
        <w:rPr>
          <w:rStyle w:val="Heading1Char"/>
          <w:rFonts w:ascii="Arial" w:hAnsi="Arial" w:cs="Arial"/>
        </w:rPr>
        <w:t>SWOT Analysis</w:t>
      </w:r>
      <w:bookmarkEnd w:id="4"/>
      <w:r w:rsidRPr="00737E5E">
        <w:rPr>
          <w:rStyle w:val="Heading1Char"/>
          <w:rFonts w:ascii="Arial" w:hAnsi="Arial" w:cs="Arial"/>
        </w:rPr>
        <w:t xml:space="preserve"> </w:t>
      </w:r>
    </w:p>
    <w:p w14:paraId="3C641BCA"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Strengths:</w:t>
      </w:r>
    </w:p>
    <w:p w14:paraId="678AEEAB" w14:textId="77777777" w:rsidR="00F303A3" w:rsidRPr="00F303A3" w:rsidRDefault="00F303A3" w:rsidP="00F303A3">
      <w:pPr>
        <w:pStyle w:val="NormalWeb"/>
        <w:numPr>
          <w:ilvl w:val="0"/>
          <w:numId w:val="37"/>
        </w:numPr>
        <w:spacing w:before="0" w:beforeAutospacing="0" w:after="0" w:afterAutospacing="0" w:line="360" w:lineRule="auto"/>
        <w:jc w:val="both"/>
        <w:rPr>
          <w:rFonts w:ascii="Arial" w:hAnsi="Arial" w:cs="Arial"/>
          <w:color w:val="0E101A"/>
        </w:rPr>
      </w:pPr>
      <w:r w:rsidRPr="00F303A3">
        <w:rPr>
          <w:rFonts w:ascii="Arial" w:hAnsi="Arial" w:cs="Arial"/>
          <w:color w:val="0E101A"/>
        </w:rPr>
        <w:t>The beautiful beachfront environment is in an ideal location.</w:t>
      </w:r>
    </w:p>
    <w:p w14:paraId="57F3119A" w14:textId="77777777" w:rsidR="00F303A3" w:rsidRPr="00F303A3" w:rsidRDefault="00F303A3" w:rsidP="00F303A3">
      <w:pPr>
        <w:pStyle w:val="NormalWeb"/>
        <w:numPr>
          <w:ilvl w:val="0"/>
          <w:numId w:val="37"/>
        </w:numPr>
        <w:spacing w:before="0" w:beforeAutospacing="0" w:after="0" w:afterAutospacing="0" w:line="360" w:lineRule="auto"/>
        <w:jc w:val="both"/>
        <w:rPr>
          <w:rFonts w:ascii="Arial" w:hAnsi="Arial" w:cs="Arial"/>
          <w:color w:val="0E101A"/>
        </w:rPr>
      </w:pPr>
      <w:r w:rsidRPr="00F303A3">
        <w:rPr>
          <w:rFonts w:ascii="Arial" w:hAnsi="Arial" w:cs="Arial"/>
          <w:color w:val="0E101A"/>
        </w:rPr>
        <w:t>The brand has long been recognized as an excellent vacation spot.</w:t>
      </w:r>
    </w:p>
    <w:p w14:paraId="22F727F9" w14:textId="77777777" w:rsidR="00F303A3" w:rsidRPr="00F303A3" w:rsidRDefault="00F303A3" w:rsidP="00F303A3">
      <w:pPr>
        <w:pStyle w:val="NormalWeb"/>
        <w:numPr>
          <w:ilvl w:val="0"/>
          <w:numId w:val="37"/>
        </w:numPr>
        <w:spacing w:before="0" w:beforeAutospacing="0" w:after="0" w:afterAutospacing="0" w:line="360" w:lineRule="auto"/>
        <w:jc w:val="both"/>
        <w:rPr>
          <w:rFonts w:ascii="Arial" w:hAnsi="Arial" w:cs="Arial"/>
          <w:color w:val="0E101A"/>
        </w:rPr>
      </w:pPr>
      <w:r w:rsidRPr="00F303A3">
        <w:rPr>
          <w:rFonts w:ascii="Arial" w:hAnsi="Arial" w:cs="Arial"/>
          <w:color w:val="0E101A"/>
        </w:rPr>
        <w:lastRenderedPageBreak/>
        <w:t>Complete vacation package including spa, activities, and food.</w:t>
      </w:r>
    </w:p>
    <w:p w14:paraId="7EC54BED" w14:textId="77777777" w:rsidR="00F303A3" w:rsidRPr="00F303A3" w:rsidRDefault="00F303A3" w:rsidP="00F303A3">
      <w:pPr>
        <w:pStyle w:val="NormalWeb"/>
        <w:numPr>
          <w:ilvl w:val="0"/>
          <w:numId w:val="37"/>
        </w:numPr>
        <w:spacing w:before="0" w:beforeAutospacing="0" w:after="0" w:afterAutospacing="0" w:line="360" w:lineRule="auto"/>
        <w:jc w:val="both"/>
        <w:rPr>
          <w:rFonts w:ascii="Arial" w:hAnsi="Arial" w:cs="Arial"/>
          <w:color w:val="0E101A"/>
        </w:rPr>
      </w:pPr>
      <w:r w:rsidRPr="00F303A3">
        <w:rPr>
          <w:rFonts w:ascii="Arial" w:hAnsi="Arial" w:cs="Arial"/>
          <w:color w:val="0E101A"/>
        </w:rPr>
        <w:t>Massive infrastructure and properties for tactical purposes.</w:t>
      </w:r>
    </w:p>
    <w:p w14:paraId="71FEC672" w14:textId="77777777" w:rsidR="00F303A3" w:rsidRPr="00737E5E"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Weaknesses:</w:t>
      </w:r>
    </w:p>
    <w:p w14:paraId="560FED49" w14:textId="39047021"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Drops in revenue, GP, and NP </w:t>
      </w:r>
      <w:r>
        <w:rPr>
          <w:rFonts w:ascii="Arial" w:hAnsi="Arial" w:cs="Arial"/>
          <w:color w:val="0E101A"/>
        </w:rPr>
        <w:t>is</w:t>
      </w:r>
      <w:r w:rsidRPr="00F303A3">
        <w:rPr>
          <w:rFonts w:ascii="Arial" w:hAnsi="Arial" w:cs="Arial"/>
          <w:color w:val="0E101A"/>
        </w:rPr>
        <w:t xml:space="preserve"> all observable.</w:t>
      </w:r>
    </w:p>
    <w:p w14:paraId="3C0EFCAF"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Customer dissatisfaction with ageing infrastructure.</w:t>
      </w:r>
    </w:p>
    <w:p w14:paraId="2600A662"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Low levels of satisfaction from customers suggest service issues.</w:t>
      </w:r>
    </w:p>
    <w:p w14:paraId="01FBCB28"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Exposure to fluctuations in the tourist industry.</w:t>
      </w:r>
    </w:p>
    <w:p w14:paraId="33AD70EF" w14:textId="77777777" w:rsidR="00F303A3" w:rsidRPr="00737E5E"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Opportunities:</w:t>
      </w:r>
    </w:p>
    <w:p w14:paraId="1FD24B88"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Adopt an experiential and environmentally conscious stance.</w:t>
      </w:r>
    </w:p>
    <w:p w14:paraId="61A86E8E" w14:textId="6A7ED3C6"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Join forces with nearby </w:t>
      </w:r>
      <w:proofErr w:type="spellStart"/>
      <w:r w:rsidRPr="00F303A3">
        <w:rPr>
          <w:rFonts w:ascii="Arial" w:hAnsi="Arial" w:cs="Arial"/>
          <w:color w:val="0E101A"/>
        </w:rPr>
        <w:t>organi</w:t>
      </w:r>
      <w:r w:rsidR="006F0F81">
        <w:rPr>
          <w:rFonts w:ascii="Arial" w:hAnsi="Arial" w:cs="Arial"/>
          <w:color w:val="0E101A"/>
        </w:rPr>
        <w:t>s</w:t>
      </w:r>
      <w:r w:rsidRPr="00F303A3">
        <w:rPr>
          <w:rFonts w:ascii="Arial" w:hAnsi="Arial" w:cs="Arial"/>
          <w:color w:val="0E101A"/>
        </w:rPr>
        <w:t>ations</w:t>
      </w:r>
      <w:proofErr w:type="spellEnd"/>
      <w:r w:rsidRPr="00F303A3">
        <w:rPr>
          <w:rFonts w:ascii="Arial" w:hAnsi="Arial" w:cs="Arial"/>
          <w:color w:val="0E101A"/>
        </w:rPr>
        <w:t xml:space="preserve"> that are committed to sustainability.</w:t>
      </w:r>
    </w:p>
    <w:p w14:paraId="15A628BC" w14:textId="35D503FD"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Utilize technology for greater guest experiences</w:t>
      </w:r>
      <w:r w:rsidR="006C4F1A" w:rsidRPr="006C4F1A">
        <w:t xml:space="preserve"> </w:t>
      </w:r>
      <w:r w:rsidR="006C4F1A" w:rsidRPr="006C4F1A">
        <w:rPr>
          <w:rFonts w:ascii="Arial" w:hAnsi="Arial" w:cs="Arial"/>
          <w:color w:val="0E101A"/>
        </w:rPr>
        <w:t>(Shaw, 2020)</w:t>
      </w:r>
      <w:r w:rsidRPr="00F303A3">
        <w:rPr>
          <w:rFonts w:ascii="Arial" w:hAnsi="Arial" w:cs="Arial"/>
          <w:color w:val="0E101A"/>
        </w:rPr>
        <w:t>.</w:t>
      </w:r>
    </w:p>
    <w:p w14:paraId="22758466"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Provide exceptional services to draw specific customer types.</w:t>
      </w:r>
    </w:p>
    <w:p w14:paraId="1164F734" w14:textId="77777777" w:rsidR="00F303A3" w:rsidRPr="00737E5E" w:rsidRDefault="00F303A3" w:rsidP="00F303A3">
      <w:pPr>
        <w:pStyle w:val="NormalWeb"/>
        <w:spacing w:before="0" w:beforeAutospacing="0" w:after="0" w:afterAutospacing="0" w:line="360" w:lineRule="auto"/>
        <w:jc w:val="both"/>
        <w:rPr>
          <w:rFonts w:ascii="Arial" w:hAnsi="Arial" w:cs="Arial"/>
          <w:b/>
          <w:bCs/>
          <w:color w:val="0E101A"/>
        </w:rPr>
      </w:pPr>
      <w:r w:rsidRPr="00737E5E">
        <w:rPr>
          <w:rFonts w:ascii="Arial" w:hAnsi="Arial" w:cs="Arial"/>
          <w:b/>
          <w:bCs/>
          <w:color w:val="0E101A"/>
        </w:rPr>
        <w:t>Threats:</w:t>
      </w:r>
    </w:p>
    <w:p w14:paraId="696C3791"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The coastal resort industry is extremely competitive.</w:t>
      </w:r>
    </w:p>
    <w:p w14:paraId="779C9FEC"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Consumers may cut back on lavish getaways.</w:t>
      </w:r>
    </w:p>
    <w:p w14:paraId="4EB0104D" w14:textId="77777777"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Repercussions if not in line with environmentally beneficial methods.</w:t>
      </w:r>
    </w:p>
    <w:p w14:paraId="536E45A5" w14:textId="42EC2AE8" w:rsidR="00F303A3" w:rsidRPr="00F303A3" w:rsidRDefault="00F303A3" w:rsidP="00F303A3">
      <w:pPr>
        <w:pStyle w:val="NormalWeb"/>
        <w:numPr>
          <w:ilvl w:val="0"/>
          <w:numId w:val="38"/>
        </w:numPr>
        <w:spacing w:before="0" w:beforeAutospacing="0" w:after="0" w:afterAutospacing="0" w:line="360" w:lineRule="auto"/>
        <w:jc w:val="both"/>
        <w:rPr>
          <w:rFonts w:ascii="Arial" w:hAnsi="Arial" w:cs="Arial"/>
          <w:color w:val="0E101A"/>
        </w:rPr>
      </w:pPr>
      <w:r w:rsidRPr="00F303A3">
        <w:rPr>
          <w:rFonts w:ascii="Arial" w:hAnsi="Arial" w:cs="Arial"/>
          <w:color w:val="0E101A"/>
        </w:rPr>
        <w:t>The effect on room prices and revenue from travel restrictions, both current and in the future</w:t>
      </w:r>
      <w:r w:rsidR="006C4F1A" w:rsidRPr="006C4F1A">
        <w:t xml:space="preserve"> </w:t>
      </w:r>
      <w:r w:rsidR="006C4F1A" w:rsidRPr="006C4F1A">
        <w:rPr>
          <w:rFonts w:ascii="Arial" w:hAnsi="Arial" w:cs="Arial"/>
          <w:color w:val="0E101A"/>
        </w:rPr>
        <w:t>(Momin, 2023)</w:t>
      </w:r>
      <w:r w:rsidRPr="00F303A3">
        <w:rPr>
          <w:rFonts w:ascii="Arial" w:hAnsi="Arial" w:cs="Arial"/>
          <w:color w:val="0E101A"/>
        </w:rPr>
        <w:t>.</w:t>
      </w:r>
    </w:p>
    <w:p w14:paraId="4872A574" w14:textId="77777777" w:rsidR="00F303A3" w:rsidRPr="00737E5E" w:rsidRDefault="00F303A3" w:rsidP="00737E5E">
      <w:pPr>
        <w:pStyle w:val="Heading1"/>
        <w:spacing w:line="360" w:lineRule="auto"/>
        <w:jc w:val="both"/>
        <w:rPr>
          <w:rFonts w:ascii="Arial" w:hAnsi="Arial" w:cs="Arial"/>
        </w:rPr>
      </w:pPr>
      <w:bookmarkStart w:id="5" w:name="_Toc150947649"/>
      <w:r w:rsidRPr="00737E5E">
        <w:rPr>
          <w:rFonts w:ascii="Arial" w:hAnsi="Arial" w:cs="Arial"/>
        </w:rPr>
        <w:t>Market Analysis</w:t>
      </w:r>
      <w:bookmarkEnd w:id="5"/>
    </w:p>
    <w:p w14:paraId="15314EED" w14:textId="2D22A605"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Competitive Landscape:</w:t>
      </w:r>
      <w:r>
        <w:rPr>
          <w:rFonts w:ascii="Arial" w:hAnsi="Arial" w:cs="Arial"/>
          <w:color w:val="0E101A"/>
        </w:rPr>
        <w:t xml:space="preserve"> </w:t>
      </w:r>
      <w:r w:rsidRPr="00F303A3">
        <w:rPr>
          <w:rFonts w:ascii="Arial" w:hAnsi="Arial" w:cs="Arial"/>
          <w:color w:val="0E101A"/>
        </w:rPr>
        <w:t>The Seaview Resort competes with newer, more modern competitors in the coastal resort industry by highlighting modern conveniences. Competition increases with boutique hotels and eco-lodges. Experiential tourism is on the rise, and tech-savvy competitors are raising the bar by offering seamless bookings and customized experiences.</w:t>
      </w:r>
    </w:p>
    <w:p w14:paraId="5EE6A00A" w14:textId="7BE52BFA"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Market Trends:</w:t>
      </w:r>
      <w:r>
        <w:rPr>
          <w:rFonts w:ascii="Arial" w:hAnsi="Arial" w:cs="Arial"/>
          <w:color w:val="0E101A"/>
        </w:rPr>
        <w:t xml:space="preserve"> </w:t>
      </w:r>
      <w:r w:rsidRPr="00F303A3">
        <w:rPr>
          <w:rFonts w:ascii="Arial" w:hAnsi="Arial" w:cs="Arial"/>
          <w:color w:val="0E101A"/>
        </w:rPr>
        <w:t xml:space="preserve">Energy efficiency and trash </w:t>
      </w:r>
      <w:proofErr w:type="spellStart"/>
      <w:r w:rsidRPr="00F303A3">
        <w:rPr>
          <w:rFonts w:ascii="Arial" w:hAnsi="Arial" w:cs="Arial"/>
          <w:color w:val="0E101A"/>
        </w:rPr>
        <w:t>minimi</w:t>
      </w:r>
      <w:r w:rsidR="006F0F81">
        <w:rPr>
          <w:rFonts w:ascii="Arial" w:hAnsi="Arial" w:cs="Arial"/>
          <w:color w:val="0E101A"/>
        </w:rPr>
        <w:t>s</w:t>
      </w:r>
      <w:r w:rsidRPr="00F303A3">
        <w:rPr>
          <w:rFonts w:ascii="Arial" w:hAnsi="Arial" w:cs="Arial"/>
          <w:color w:val="0E101A"/>
        </w:rPr>
        <w:t>ation</w:t>
      </w:r>
      <w:proofErr w:type="spellEnd"/>
      <w:r w:rsidRPr="00F303A3">
        <w:rPr>
          <w:rFonts w:ascii="Arial" w:hAnsi="Arial" w:cs="Arial"/>
          <w:color w:val="0E101A"/>
        </w:rPr>
        <w:t xml:space="preserve"> are major draws for ecotourists. Unique activities and local immersion gain popularity in experiential tourism. The importance of technology necessitates online and customized services. Wellness tourism grows, creating chances for resorts to cater to health-conscious guests through spa services and wellness programs</w:t>
      </w:r>
      <w:r w:rsidR="006C4F1A" w:rsidRPr="006C4F1A">
        <w:rPr>
          <w:rFonts w:asciiTheme="minorHAnsi" w:eastAsiaTheme="minorHAnsi" w:hAnsiTheme="minorHAnsi" w:cstheme="minorBidi"/>
          <w:kern w:val="2"/>
          <w:sz w:val="22"/>
          <w:szCs w:val="22"/>
          <w14:ligatures w14:val="standardContextual"/>
        </w:rPr>
        <w:t xml:space="preserve"> </w:t>
      </w:r>
      <w:r w:rsidR="006C4F1A" w:rsidRPr="006C4F1A">
        <w:rPr>
          <w:rFonts w:ascii="Arial" w:hAnsi="Arial" w:cs="Arial"/>
          <w:color w:val="0E101A"/>
        </w:rPr>
        <w:t>(Larner, 2023)</w:t>
      </w:r>
      <w:r w:rsidRPr="00F303A3">
        <w:rPr>
          <w:rFonts w:ascii="Arial" w:hAnsi="Arial" w:cs="Arial"/>
          <w:color w:val="0E101A"/>
        </w:rPr>
        <w:t>.</w:t>
      </w:r>
    </w:p>
    <w:p w14:paraId="3B230193" w14:textId="08D3D55D"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lastRenderedPageBreak/>
        <w:t>Target Customer Segments:</w:t>
      </w:r>
      <w:r>
        <w:rPr>
          <w:rFonts w:ascii="Arial" w:hAnsi="Arial" w:cs="Arial"/>
          <w:color w:val="0E101A"/>
        </w:rPr>
        <w:t xml:space="preserve"> </w:t>
      </w:r>
      <w:r w:rsidRPr="00F303A3">
        <w:rPr>
          <w:rFonts w:ascii="Arial" w:hAnsi="Arial" w:cs="Arial"/>
          <w:color w:val="0E101A"/>
        </w:rPr>
        <w:t>High-end tourists can be tempted by exclusive services and amenities. Sustainable practices and a dedication to environmental responsibility attract ecotourists. Adventure tourism and customized experiences appeal to experience seekers. Spa services and exercise programs are expanding to meet the needs of the burgeoning wellness enthusiast industry</w:t>
      </w:r>
      <w:r w:rsidR="006C4F1A" w:rsidRPr="006C4F1A">
        <w:t xml:space="preserve"> </w:t>
      </w:r>
      <w:r w:rsidR="006C4F1A" w:rsidRPr="006C4F1A">
        <w:rPr>
          <w:rFonts w:ascii="Arial" w:hAnsi="Arial" w:cs="Arial"/>
          <w:color w:val="0E101A"/>
        </w:rPr>
        <w:t>(Dahal, 2020)</w:t>
      </w:r>
      <w:r w:rsidRPr="00F303A3">
        <w:rPr>
          <w:rFonts w:ascii="Arial" w:hAnsi="Arial" w:cs="Arial"/>
          <w:color w:val="0E101A"/>
        </w:rPr>
        <w:t>. The Seaview Resort can better compete if its services are tailored to these demographics.</w:t>
      </w:r>
    </w:p>
    <w:p w14:paraId="6072BC14" w14:textId="358878C6" w:rsidR="00F303A3" w:rsidRPr="00737E5E" w:rsidRDefault="00F303A3" w:rsidP="00737E5E">
      <w:pPr>
        <w:pStyle w:val="Heading1"/>
        <w:spacing w:line="360" w:lineRule="auto"/>
        <w:jc w:val="both"/>
        <w:rPr>
          <w:rFonts w:ascii="Arial" w:hAnsi="Arial" w:cs="Arial"/>
        </w:rPr>
      </w:pPr>
      <w:bookmarkStart w:id="6" w:name="_Toc150947650"/>
      <w:r w:rsidRPr="00737E5E">
        <w:rPr>
          <w:rFonts w:ascii="Arial" w:hAnsi="Arial" w:cs="Arial"/>
        </w:rPr>
        <w:t>Turnaround Strategy</w:t>
      </w:r>
      <w:bookmarkEnd w:id="6"/>
    </w:p>
    <w:p w14:paraId="0B6B3AEC" w14:textId="7FDD1B71"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Repositioning and Renaming:</w:t>
      </w:r>
      <w:r>
        <w:rPr>
          <w:rFonts w:ascii="Arial" w:hAnsi="Arial" w:cs="Arial"/>
          <w:color w:val="0E101A"/>
        </w:rPr>
        <w:t xml:space="preserve"> </w:t>
      </w:r>
      <w:r w:rsidRPr="00F303A3">
        <w:rPr>
          <w:rFonts w:ascii="Arial" w:hAnsi="Arial" w:cs="Arial"/>
          <w:color w:val="0E101A"/>
        </w:rPr>
        <w:t>Strategic rebranding and repositioning is a fundamental part of reviving The Seaview Resort. Presenting the resort as an immersive, wellness-oriented, and environmentally sustainable travel destination is the goal. Updated marketing materials, the website, sustainability promises, and eco-friendly efforts will boost the resort's attractiveness.</w:t>
      </w:r>
    </w:p>
    <w:p w14:paraId="32D35878" w14:textId="0592A32D"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Cooperative Strategies:</w:t>
      </w:r>
      <w:r>
        <w:rPr>
          <w:rFonts w:ascii="Arial" w:hAnsi="Arial" w:cs="Arial"/>
          <w:color w:val="0E101A"/>
        </w:rPr>
        <w:t xml:space="preserve"> </w:t>
      </w:r>
      <w:r w:rsidRPr="00F303A3">
        <w:rPr>
          <w:rFonts w:ascii="Arial" w:hAnsi="Arial" w:cs="Arial"/>
          <w:color w:val="0E101A"/>
        </w:rPr>
        <w:t xml:space="preserve">Strategic collaborations with local businesses, experience providers, and wellness </w:t>
      </w:r>
      <w:proofErr w:type="spellStart"/>
      <w:r w:rsidRPr="00F303A3">
        <w:rPr>
          <w:rFonts w:ascii="Arial" w:hAnsi="Arial" w:cs="Arial"/>
          <w:color w:val="0E101A"/>
        </w:rPr>
        <w:t>organi</w:t>
      </w:r>
      <w:r w:rsidR="006F0F81">
        <w:rPr>
          <w:rFonts w:ascii="Arial" w:hAnsi="Arial" w:cs="Arial"/>
          <w:color w:val="0E101A"/>
        </w:rPr>
        <w:t>s</w:t>
      </w:r>
      <w:r w:rsidRPr="00F303A3">
        <w:rPr>
          <w:rFonts w:ascii="Arial" w:hAnsi="Arial" w:cs="Arial"/>
          <w:color w:val="0E101A"/>
        </w:rPr>
        <w:t>ations</w:t>
      </w:r>
      <w:proofErr w:type="spellEnd"/>
      <w:r w:rsidRPr="00F303A3">
        <w:rPr>
          <w:rFonts w:ascii="Arial" w:hAnsi="Arial" w:cs="Arial"/>
          <w:color w:val="0E101A"/>
        </w:rPr>
        <w:t xml:space="preserve"> can help the resort improve the guest experience and enter new markets</w:t>
      </w:r>
      <w:r w:rsidR="006C4F1A" w:rsidRPr="006C4F1A">
        <w:t xml:space="preserve"> </w:t>
      </w:r>
      <w:r w:rsidR="006C4F1A" w:rsidRPr="006C4F1A">
        <w:rPr>
          <w:rFonts w:ascii="Arial" w:hAnsi="Arial" w:cs="Arial"/>
          <w:color w:val="0E101A"/>
        </w:rPr>
        <w:t>(Dyer and Singh, 2018)</w:t>
      </w:r>
      <w:r w:rsidRPr="00F303A3">
        <w:rPr>
          <w:rFonts w:ascii="Arial" w:hAnsi="Arial" w:cs="Arial"/>
          <w:color w:val="0E101A"/>
        </w:rPr>
        <w:t>. Diversifying supply requires tracking down like-minded businesses to work with on unique bundles.</w:t>
      </w:r>
    </w:p>
    <w:p w14:paraId="1D13F853" w14:textId="45AB8579"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Digital change:</w:t>
      </w:r>
      <w:r>
        <w:rPr>
          <w:rFonts w:ascii="Arial" w:hAnsi="Arial" w:cs="Arial"/>
          <w:color w:val="0E101A"/>
        </w:rPr>
        <w:t xml:space="preserve"> </w:t>
      </w:r>
      <w:r w:rsidRPr="00F303A3">
        <w:rPr>
          <w:rFonts w:ascii="Arial" w:hAnsi="Arial" w:cs="Arial"/>
          <w:color w:val="0E101A"/>
        </w:rPr>
        <w:t>Keep up with the competition in this digital age</w:t>
      </w:r>
      <w:r w:rsidR="006C4F1A" w:rsidRPr="006C4F1A">
        <w:t xml:space="preserve"> </w:t>
      </w:r>
      <w:r w:rsidR="006C4F1A" w:rsidRPr="006C4F1A">
        <w:rPr>
          <w:rFonts w:ascii="Arial" w:hAnsi="Arial" w:cs="Arial"/>
          <w:color w:val="0E101A"/>
        </w:rPr>
        <w:t>(</w:t>
      </w:r>
      <w:proofErr w:type="spellStart"/>
      <w:r w:rsidR="006C4F1A" w:rsidRPr="006C4F1A">
        <w:rPr>
          <w:rFonts w:ascii="Arial" w:hAnsi="Arial" w:cs="Arial"/>
          <w:color w:val="0E101A"/>
        </w:rPr>
        <w:t>Pajorska</w:t>
      </w:r>
      <w:proofErr w:type="spellEnd"/>
      <w:r w:rsidR="006C4F1A" w:rsidRPr="006C4F1A">
        <w:rPr>
          <w:rFonts w:ascii="Arial" w:hAnsi="Arial" w:cs="Arial"/>
          <w:color w:val="0E101A"/>
        </w:rPr>
        <w:t>, 2022)</w:t>
      </w:r>
      <w:r w:rsidRPr="00F303A3">
        <w:rPr>
          <w:rFonts w:ascii="Arial" w:hAnsi="Arial" w:cs="Arial"/>
          <w:color w:val="0E101A"/>
        </w:rPr>
        <w:t>. The Seaview Resort would benefit from a digital makeover that would include a streamlined property management system, an easily navigable website with online booking, and innovative digital marketing tactics.</w:t>
      </w:r>
    </w:p>
    <w:p w14:paraId="222A3ABB" w14:textId="34C4ECDD"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Customer Experience Enhancement:</w:t>
      </w:r>
      <w:r w:rsidRPr="00F303A3">
        <w:rPr>
          <w:rFonts w:ascii="Arial" w:hAnsi="Arial" w:cs="Arial"/>
          <w:color w:val="0E101A"/>
        </w:rPr>
        <w:t xml:space="preserve"> Customer satisfaction increases with tailored services and unique experiences. The customer experience as a whole can be improved by implementing staff training programs, providing guests with individualized service, and reacting to feedback</w:t>
      </w:r>
      <w:r w:rsidR="006C4F1A" w:rsidRPr="006C4F1A">
        <w:t xml:space="preserve"> </w:t>
      </w:r>
      <w:r w:rsidR="006C4F1A" w:rsidRPr="006C4F1A">
        <w:rPr>
          <w:rFonts w:ascii="Arial" w:hAnsi="Arial" w:cs="Arial"/>
          <w:color w:val="0E101A"/>
        </w:rPr>
        <w:t>(Grewal et al., 2020)</w:t>
      </w:r>
      <w:r w:rsidRPr="00F303A3">
        <w:rPr>
          <w:rFonts w:ascii="Arial" w:hAnsi="Arial" w:cs="Arial"/>
          <w:color w:val="0E101A"/>
        </w:rPr>
        <w:t>.</w:t>
      </w:r>
    </w:p>
    <w:p w14:paraId="491BE2B6"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Distinction in the Market:</w:t>
      </w:r>
      <w:r w:rsidRPr="00F303A3">
        <w:rPr>
          <w:rFonts w:ascii="Arial" w:hAnsi="Arial" w:cs="Arial"/>
          <w:color w:val="0E101A"/>
        </w:rPr>
        <w:t xml:space="preserve"> The resort may separate from the competition by introducing themed events, unique packages, and time-sensitive deals. Working with regional creators like musicians or chefs to put on unique events will leave an impression on visitors.</w:t>
      </w:r>
    </w:p>
    <w:p w14:paraId="4DD54498" w14:textId="7416E6DB"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Restructuring finances:</w:t>
      </w:r>
      <w:r w:rsidRPr="00F303A3">
        <w:rPr>
          <w:rFonts w:ascii="Arial" w:hAnsi="Arial" w:cs="Arial"/>
          <w:color w:val="0E101A"/>
        </w:rPr>
        <w:t xml:space="preserve"> Financial difficulties can be overcome through careful cost analysis, investigation of debt refinancing or restructuring, and the introduction of new </w:t>
      </w:r>
      <w:r w:rsidRPr="00F303A3">
        <w:rPr>
          <w:rFonts w:ascii="Arial" w:hAnsi="Arial" w:cs="Arial"/>
          <w:color w:val="0E101A"/>
        </w:rPr>
        <w:lastRenderedPageBreak/>
        <w:t>revenue streams like bundles and loyalty programs</w:t>
      </w:r>
      <w:r w:rsidR="006F0F81" w:rsidRPr="006F0F81">
        <w:t xml:space="preserve"> </w:t>
      </w:r>
      <w:r w:rsidR="006F0F81" w:rsidRPr="006F0F81">
        <w:rPr>
          <w:rFonts w:ascii="Arial" w:hAnsi="Arial" w:cs="Arial"/>
          <w:color w:val="0E101A"/>
        </w:rPr>
        <w:t>(Coope et al., 2015)</w:t>
      </w:r>
      <w:r w:rsidRPr="00F303A3">
        <w:rPr>
          <w:rFonts w:ascii="Arial" w:hAnsi="Arial" w:cs="Arial"/>
          <w:color w:val="0E101A"/>
        </w:rPr>
        <w:t>. Possibilities for upselling can add to the financial recovery.</w:t>
      </w:r>
    </w:p>
    <w:p w14:paraId="09B56B51" w14:textId="77777777" w:rsidR="00F303A3" w:rsidRPr="00F303A3" w:rsidRDefault="00F303A3" w:rsidP="00737E5E">
      <w:pPr>
        <w:pStyle w:val="NormalWeb"/>
        <w:spacing w:before="0" w:beforeAutospacing="0" w:after="0" w:afterAutospacing="0" w:line="360" w:lineRule="auto"/>
        <w:jc w:val="both"/>
        <w:rPr>
          <w:rFonts w:ascii="Arial" w:hAnsi="Arial" w:cs="Arial"/>
          <w:color w:val="0E101A"/>
        </w:rPr>
      </w:pPr>
      <w:bookmarkStart w:id="7" w:name="_Toc150947651"/>
      <w:r w:rsidRPr="00737E5E">
        <w:rPr>
          <w:rStyle w:val="Heading1Char"/>
          <w:rFonts w:ascii="Arial" w:hAnsi="Arial" w:cs="Arial"/>
        </w:rPr>
        <w:t>Financial Projections</w:t>
      </w:r>
      <w:bookmarkEnd w:id="7"/>
      <w:r w:rsidRPr="00F303A3">
        <w:rPr>
          <w:rFonts w:ascii="Arial" w:hAnsi="Arial" w:cs="Arial"/>
          <w:color w:val="0E101A"/>
        </w:rPr>
        <w:t>:</w:t>
      </w:r>
    </w:p>
    <w:p w14:paraId="0FE2ABB7"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Assumptions for Financial Projections:</w:t>
      </w:r>
    </w:p>
    <w:p w14:paraId="05E2422F" w14:textId="77777777" w:rsidR="00F303A3" w:rsidRPr="00F303A3" w:rsidRDefault="00F303A3" w:rsidP="00F303A3">
      <w:pPr>
        <w:pStyle w:val="NormalWeb"/>
        <w:numPr>
          <w:ilvl w:val="0"/>
          <w:numId w:val="39"/>
        </w:numPr>
        <w:spacing w:before="0" w:beforeAutospacing="0" w:after="0" w:afterAutospacing="0" w:line="360" w:lineRule="auto"/>
        <w:jc w:val="both"/>
        <w:rPr>
          <w:rFonts w:ascii="Arial" w:hAnsi="Arial" w:cs="Arial"/>
          <w:color w:val="0E101A"/>
        </w:rPr>
      </w:pPr>
      <w:r w:rsidRPr="00F303A3">
        <w:rPr>
          <w:rFonts w:ascii="Arial" w:hAnsi="Arial" w:cs="Arial"/>
          <w:color w:val="0E101A"/>
        </w:rPr>
        <w:t>Over the next year, the turnaround strategy will be implemented.</w:t>
      </w:r>
    </w:p>
    <w:p w14:paraId="5411A91D" w14:textId="77777777" w:rsidR="00F303A3" w:rsidRPr="00F303A3" w:rsidRDefault="00F303A3" w:rsidP="00F303A3">
      <w:pPr>
        <w:pStyle w:val="NormalWeb"/>
        <w:numPr>
          <w:ilvl w:val="0"/>
          <w:numId w:val="39"/>
        </w:numPr>
        <w:spacing w:before="0" w:beforeAutospacing="0" w:after="0" w:afterAutospacing="0" w:line="360" w:lineRule="auto"/>
        <w:jc w:val="both"/>
        <w:rPr>
          <w:rFonts w:ascii="Arial" w:hAnsi="Arial" w:cs="Arial"/>
          <w:color w:val="0E101A"/>
        </w:rPr>
      </w:pPr>
      <w:r w:rsidRPr="00F303A3">
        <w:rPr>
          <w:rFonts w:ascii="Arial" w:hAnsi="Arial" w:cs="Arial"/>
          <w:color w:val="0E101A"/>
        </w:rPr>
        <w:t>Rising profits are anticipated as a result of rising demand and rising hotel rates.</w:t>
      </w:r>
    </w:p>
    <w:p w14:paraId="4491A589" w14:textId="77777777" w:rsidR="00F303A3" w:rsidRPr="00F303A3" w:rsidRDefault="00F303A3" w:rsidP="00F303A3">
      <w:pPr>
        <w:pStyle w:val="NormalWeb"/>
        <w:numPr>
          <w:ilvl w:val="0"/>
          <w:numId w:val="39"/>
        </w:numPr>
        <w:spacing w:before="0" w:beforeAutospacing="0" w:after="0" w:afterAutospacing="0" w:line="360" w:lineRule="auto"/>
        <w:jc w:val="both"/>
        <w:rPr>
          <w:rFonts w:ascii="Arial" w:hAnsi="Arial" w:cs="Arial"/>
          <w:color w:val="0E101A"/>
        </w:rPr>
      </w:pPr>
      <w:r w:rsidRPr="00F303A3">
        <w:rPr>
          <w:rFonts w:ascii="Arial" w:hAnsi="Arial" w:cs="Arial"/>
          <w:color w:val="0E101A"/>
        </w:rPr>
        <w:t>Enhanced operational efficiency reduces expenses.</w:t>
      </w:r>
    </w:p>
    <w:p w14:paraId="2288571B" w14:textId="77777777" w:rsidR="00F303A3" w:rsidRPr="00F303A3" w:rsidRDefault="00F303A3" w:rsidP="00F303A3">
      <w:pPr>
        <w:pStyle w:val="NormalWeb"/>
        <w:numPr>
          <w:ilvl w:val="0"/>
          <w:numId w:val="39"/>
        </w:numPr>
        <w:spacing w:before="0" w:beforeAutospacing="0" w:after="0" w:afterAutospacing="0" w:line="360" w:lineRule="auto"/>
        <w:jc w:val="both"/>
        <w:rPr>
          <w:rFonts w:ascii="Arial" w:hAnsi="Arial" w:cs="Arial"/>
          <w:color w:val="0E101A"/>
        </w:rPr>
      </w:pPr>
      <w:r w:rsidRPr="00F303A3">
        <w:rPr>
          <w:rFonts w:ascii="Arial" w:hAnsi="Arial" w:cs="Arial"/>
          <w:color w:val="0E101A"/>
        </w:rPr>
        <w:t>Enhanced consumer engagement through marketing and collaborations.</w:t>
      </w:r>
    </w:p>
    <w:p w14:paraId="63827495" w14:textId="77777777" w:rsidR="00F303A3" w:rsidRPr="00F303A3" w:rsidRDefault="00F303A3" w:rsidP="00F303A3">
      <w:pPr>
        <w:pStyle w:val="NormalWeb"/>
        <w:numPr>
          <w:ilvl w:val="0"/>
          <w:numId w:val="39"/>
        </w:numPr>
        <w:spacing w:before="0" w:beforeAutospacing="0" w:after="0" w:afterAutospacing="0" w:line="360" w:lineRule="auto"/>
        <w:jc w:val="both"/>
        <w:rPr>
          <w:rFonts w:ascii="Arial" w:hAnsi="Arial" w:cs="Arial"/>
          <w:color w:val="0E101A"/>
        </w:rPr>
      </w:pPr>
      <w:r w:rsidRPr="00F303A3">
        <w:rPr>
          <w:rFonts w:ascii="Arial" w:hAnsi="Arial" w:cs="Arial"/>
          <w:color w:val="0E101A"/>
        </w:rPr>
        <w:t>The financial leverage can be strengthened by debt restructuring.</w:t>
      </w:r>
    </w:p>
    <w:p w14:paraId="1EBF66CD" w14:textId="593F6CD8" w:rsidR="00F303A3" w:rsidRDefault="00F303A3" w:rsidP="00F303A3">
      <w:pPr>
        <w:pStyle w:val="NormalWeb"/>
        <w:numPr>
          <w:ilvl w:val="0"/>
          <w:numId w:val="40"/>
        </w:numPr>
        <w:spacing w:before="0" w:beforeAutospacing="0" w:after="0" w:afterAutospacing="0" w:line="360" w:lineRule="auto"/>
        <w:jc w:val="both"/>
        <w:rPr>
          <w:rStyle w:val="Strong"/>
          <w:rFonts w:ascii="Arial" w:hAnsi="Arial" w:cs="Arial"/>
          <w:color w:val="0E101A"/>
        </w:rPr>
      </w:pPr>
      <w:r w:rsidRPr="00F303A3">
        <w:rPr>
          <w:rStyle w:val="Strong"/>
          <w:rFonts w:ascii="Arial" w:hAnsi="Arial" w:cs="Arial"/>
          <w:color w:val="0E101A"/>
        </w:rPr>
        <w:t>Projected Income Statement:</w:t>
      </w:r>
    </w:p>
    <w:p w14:paraId="6FACF4FC" w14:textId="1930646B" w:rsidR="00F303A3" w:rsidRPr="00F303A3" w:rsidRDefault="00B31183" w:rsidP="00F303A3">
      <w:pPr>
        <w:pStyle w:val="NormalWeb"/>
        <w:spacing w:before="0" w:beforeAutospacing="0" w:after="0" w:afterAutospacing="0" w:line="360" w:lineRule="auto"/>
        <w:ind w:left="360"/>
        <w:jc w:val="both"/>
        <w:rPr>
          <w:rFonts w:ascii="Arial" w:hAnsi="Arial" w:cs="Arial"/>
          <w:color w:val="0E101A"/>
        </w:rPr>
      </w:pPr>
      <w:r>
        <w:rPr>
          <w:noProof/>
        </w:rPr>
        <w:drawing>
          <wp:inline distT="0" distB="0" distL="0" distR="0" wp14:anchorId="70892B05" wp14:editId="44D18C40">
            <wp:extent cx="5863719" cy="1684867"/>
            <wp:effectExtent l="0" t="0" r="3810" b="0"/>
            <wp:docPr id="5402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2178" name=""/>
                    <pic:cNvPicPr/>
                  </pic:nvPicPr>
                  <pic:blipFill rotWithShape="1">
                    <a:blip r:embed="rId10"/>
                    <a:srcRect l="5983" t="35961" r="29060" b="30858"/>
                    <a:stretch/>
                  </pic:blipFill>
                  <pic:spPr bwMode="auto">
                    <a:xfrm>
                      <a:off x="0" y="0"/>
                      <a:ext cx="5886103" cy="1691299"/>
                    </a:xfrm>
                    <a:prstGeom prst="rect">
                      <a:avLst/>
                    </a:prstGeom>
                    <a:ln>
                      <a:noFill/>
                    </a:ln>
                    <a:extLst>
                      <a:ext uri="{53640926-AAD7-44D8-BBD7-CCE9431645EC}">
                        <a14:shadowObscured xmlns:a14="http://schemas.microsoft.com/office/drawing/2010/main"/>
                      </a:ext>
                    </a:extLst>
                  </pic:spPr>
                </pic:pic>
              </a:graphicData>
            </a:graphic>
          </wp:inline>
        </w:drawing>
      </w:r>
    </w:p>
    <w:p w14:paraId="2FD784D0" w14:textId="7B7A9B30" w:rsidR="00F303A3" w:rsidRDefault="00F303A3" w:rsidP="00F303A3">
      <w:pPr>
        <w:pStyle w:val="NormalWeb"/>
        <w:numPr>
          <w:ilvl w:val="0"/>
          <w:numId w:val="40"/>
        </w:numPr>
        <w:spacing w:before="0" w:beforeAutospacing="0" w:after="0" w:afterAutospacing="0" w:line="360" w:lineRule="auto"/>
        <w:jc w:val="both"/>
        <w:rPr>
          <w:rStyle w:val="Strong"/>
          <w:rFonts w:ascii="Arial" w:hAnsi="Arial" w:cs="Arial"/>
          <w:color w:val="0E101A"/>
        </w:rPr>
      </w:pPr>
      <w:r w:rsidRPr="00F303A3">
        <w:rPr>
          <w:rStyle w:val="Strong"/>
          <w:rFonts w:ascii="Arial" w:hAnsi="Arial" w:cs="Arial"/>
          <w:color w:val="0E101A"/>
        </w:rPr>
        <w:t>Projected Balance Sheet:</w:t>
      </w:r>
    </w:p>
    <w:p w14:paraId="121645A6" w14:textId="33DBBD7B" w:rsidR="00F303A3" w:rsidRPr="00F303A3" w:rsidRDefault="00B31183" w:rsidP="00B31183">
      <w:pPr>
        <w:pStyle w:val="ListParagraph"/>
        <w:rPr>
          <w:rFonts w:ascii="Arial" w:hAnsi="Arial" w:cs="Arial"/>
          <w:color w:val="0E101A"/>
        </w:rPr>
      </w:pPr>
      <w:r>
        <w:rPr>
          <w:noProof/>
        </w:rPr>
        <w:drawing>
          <wp:inline distT="0" distB="0" distL="0" distR="0" wp14:anchorId="17C28DE9" wp14:editId="0D4D010F">
            <wp:extent cx="5510671" cy="1231813"/>
            <wp:effectExtent l="0" t="0" r="0" b="6985"/>
            <wp:docPr id="95835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351450" name=""/>
                    <pic:cNvPicPr/>
                  </pic:nvPicPr>
                  <pic:blipFill rotWithShape="1">
                    <a:blip r:embed="rId11"/>
                    <a:srcRect l="14452" t="39608" r="28807" b="37844"/>
                    <a:stretch/>
                  </pic:blipFill>
                  <pic:spPr bwMode="auto">
                    <a:xfrm>
                      <a:off x="0" y="0"/>
                      <a:ext cx="5564186" cy="1243775"/>
                    </a:xfrm>
                    <a:prstGeom prst="rect">
                      <a:avLst/>
                    </a:prstGeom>
                    <a:ln>
                      <a:noFill/>
                    </a:ln>
                    <a:extLst>
                      <a:ext uri="{53640926-AAD7-44D8-BBD7-CCE9431645EC}">
                        <a14:shadowObscured xmlns:a14="http://schemas.microsoft.com/office/drawing/2010/main"/>
                      </a:ext>
                    </a:extLst>
                  </pic:spPr>
                </pic:pic>
              </a:graphicData>
            </a:graphic>
          </wp:inline>
        </w:drawing>
      </w:r>
    </w:p>
    <w:p w14:paraId="7A0EFE32" w14:textId="19CECC6A" w:rsidR="00F303A3" w:rsidRDefault="00F303A3" w:rsidP="00F303A3">
      <w:pPr>
        <w:pStyle w:val="NormalWeb"/>
        <w:numPr>
          <w:ilvl w:val="0"/>
          <w:numId w:val="40"/>
        </w:numPr>
        <w:spacing w:before="0" w:beforeAutospacing="0" w:after="0" w:afterAutospacing="0" w:line="360" w:lineRule="auto"/>
        <w:jc w:val="both"/>
        <w:rPr>
          <w:rStyle w:val="Strong"/>
          <w:rFonts w:ascii="Arial" w:hAnsi="Arial" w:cs="Arial"/>
          <w:color w:val="0E101A"/>
        </w:rPr>
      </w:pPr>
      <w:r w:rsidRPr="00F303A3">
        <w:rPr>
          <w:rStyle w:val="Strong"/>
          <w:rFonts w:ascii="Arial" w:hAnsi="Arial" w:cs="Arial"/>
          <w:color w:val="0E101A"/>
        </w:rPr>
        <w:t>Projected Cash Flow Statement:</w:t>
      </w:r>
    </w:p>
    <w:p w14:paraId="28C7F355" w14:textId="3A237336" w:rsidR="00F303A3" w:rsidRPr="00F303A3" w:rsidRDefault="00B31183" w:rsidP="00F303A3">
      <w:pPr>
        <w:pStyle w:val="NormalWeb"/>
        <w:spacing w:before="0" w:beforeAutospacing="0" w:after="0" w:afterAutospacing="0" w:line="360" w:lineRule="auto"/>
        <w:ind w:left="720"/>
        <w:jc w:val="both"/>
        <w:rPr>
          <w:rFonts w:ascii="Arial" w:hAnsi="Arial" w:cs="Arial"/>
          <w:color w:val="0E101A"/>
        </w:rPr>
      </w:pPr>
      <w:r>
        <w:rPr>
          <w:noProof/>
        </w:rPr>
        <w:drawing>
          <wp:inline distT="0" distB="0" distL="0" distR="0" wp14:anchorId="7D07C172" wp14:editId="71F735E6">
            <wp:extent cx="5533156" cy="1202267"/>
            <wp:effectExtent l="0" t="0" r="0" b="0"/>
            <wp:docPr id="1418595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95536" name=""/>
                    <pic:cNvPicPr/>
                  </pic:nvPicPr>
                  <pic:blipFill rotWithShape="1">
                    <a:blip r:embed="rId11"/>
                    <a:srcRect l="13676" t="68629" r="28609" b="9076"/>
                    <a:stretch/>
                  </pic:blipFill>
                  <pic:spPr bwMode="auto">
                    <a:xfrm>
                      <a:off x="0" y="0"/>
                      <a:ext cx="5563352" cy="1208828"/>
                    </a:xfrm>
                    <a:prstGeom prst="rect">
                      <a:avLst/>
                    </a:prstGeom>
                    <a:ln>
                      <a:noFill/>
                    </a:ln>
                    <a:extLst>
                      <a:ext uri="{53640926-AAD7-44D8-BBD7-CCE9431645EC}">
                        <a14:shadowObscured xmlns:a14="http://schemas.microsoft.com/office/drawing/2010/main"/>
                      </a:ext>
                    </a:extLst>
                  </pic:spPr>
                </pic:pic>
              </a:graphicData>
            </a:graphic>
          </wp:inline>
        </w:drawing>
      </w:r>
    </w:p>
    <w:p w14:paraId="622AE2E5" w14:textId="7F7D2BBA" w:rsidR="00F303A3" w:rsidRPr="00737E5E" w:rsidRDefault="00F303A3" w:rsidP="00737E5E">
      <w:pPr>
        <w:pStyle w:val="Heading1"/>
        <w:spacing w:line="360" w:lineRule="auto"/>
        <w:jc w:val="both"/>
        <w:rPr>
          <w:rFonts w:ascii="Arial" w:hAnsi="Arial" w:cs="Arial"/>
          <w:b/>
          <w:bCs/>
        </w:rPr>
      </w:pPr>
      <w:bookmarkStart w:id="8" w:name="_Toc150947652"/>
      <w:r w:rsidRPr="00737E5E">
        <w:rPr>
          <w:rStyle w:val="Strong"/>
          <w:rFonts w:ascii="Arial" w:hAnsi="Arial" w:cs="Arial"/>
          <w:b w:val="0"/>
          <w:bCs w:val="0"/>
          <w:color w:val="0E101A"/>
        </w:rPr>
        <w:lastRenderedPageBreak/>
        <w:t>Risk Assessment</w:t>
      </w:r>
      <w:bookmarkEnd w:id="8"/>
    </w:p>
    <w:p w14:paraId="224F5F55"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Style w:val="Strong"/>
          <w:rFonts w:ascii="Arial" w:hAnsi="Arial" w:cs="Arial"/>
          <w:color w:val="0E101A"/>
        </w:rPr>
        <w:t>Consumer Receptivity: </w:t>
      </w:r>
      <w:r w:rsidRPr="00F303A3">
        <w:rPr>
          <w:rFonts w:ascii="Arial" w:hAnsi="Arial" w:cs="Arial"/>
          <w:color w:val="0E101A"/>
        </w:rPr>
        <w:t>A potential danger is a delayed or negative market response to repositioning attempts. To mitigate this,</w:t>
      </w:r>
      <w:r w:rsidRPr="00F303A3">
        <w:rPr>
          <w:rStyle w:val="Strong"/>
          <w:rFonts w:ascii="Arial" w:hAnsi="Arial" w:cs="Arial"/>
          <w:color w:val="0E101A"/>
        </w:rPr>
        <w:t> </w:t>
      </w:r>
      <w:r w:rsidRPr="00F303A3">
        <w:rPr>
          <w:rFonts w:ascii="Arial" w:hAnsi="Arial" w:cs="Arial"/>
          <w:color w:val="0E101A"/>
        </w:rPr>
        <w:t>market research will lead to a gradual rollout with real-time user input changes.</w:t>
      </w:r>
    </w:p>
    <w:p w14:paraId="5A09082F" w14:textId="7EDA5582"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Limited Resources:</w:t>
      </w:r>
      <w:r w:rsidRPr="00F303A3">
        <w:rPr>
          <w:rFonts w:ascii="Arial" w:hAnsi="Arial" w:cs="Arial"/>
          <w:color w:val="0E101A"/>
        </w:rPr>
        <w:t xml:space="preserve"> Securing funds, emphasizing cost-saving initiatives, and concentrating on revenue-generating activities can help reduce the impact of initial financial restrictions</w:t>
      </w:r>
      <w:r w:rsidR="006F0F81" w:rsidRPr="006F0F81">
        <w:t xml:space="preserve"> </w:t>
      </w:r>
      <w:r w:rsidR="006F0F81" w:rsidRPr="006F0F81">
        <w:rPr>
          <w:rFonts w:ascii="Arial" w:hAnsi="Arial" w:cs="Arial"/>
          <w:color w:val="0E101A"/>
        </w:rPr>
        <w:t>(De Massis et al., 2018)</w:t>
      </w:r>
      <w:r w:rsidRPr="00F303A3">
        <w:rPr>
          <w:rFonts w:ascii="Arial" w:hAnsi="Arial" w:cs="Arial"/>
          <w:color w:val="0E101A"/>
        </w:rPr>
        <w:t>.</w:t>
      </w:r>
    </w:p>
    <w:p w14:paraId="278BD7C8" w14:textId="459E9D30"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Technological Obstacles:</w:t>
      </w:r>
      <w:r w:rsidRPr="00F303A3">
        <w:rPr>
          <w:rFonts w:ascii="Arial" w:hAnsi="Arial" w:cs="Arial"/>
          <w:color w:val="0E101A"/>
        </w:rPr>
        <w:t xml:space="preserve"> There could be problems or pushback while introducing new technologies. Mitigation requires extensive testing, staff training, and IT assistance throughout the deployment</w:t>
      </w:r>
      <w:r w:rsidR="006F0F81" w:rsidRPr="006F0F81">
        <w:t xml:space="preserve"> </w:t>
      </w:r>
      <w:r w:rsidR="006F0F81" w:rsidRPr="006F0F81">
        <w:rPr>
          <w:rFonts w:ascii="Arial" w:hAnsi="Arial" w:cs="Arial"/>
          <w:color w:val="0E101A"/>
        </w:rPr>
        <w:t>(Wang, 2023)</w:t>
      </w:r>
      <w:r w:rsidRPr="00F303A3">
        <w:rPr>
          <w:rFonts w:ascii="Arial" w:hAnsi="Arial" w:cs="Arial"/>
          <w:color w:val="0E101A"/>
        </w:rPr>
        <w:t>.</w:t>
      </w:r>
    </w:p>
    <w:p w14:paraId="3AE1CBEE"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Competitor Response:</w:t>
      </w:r>
      <w:r w:rsidRPr="00F303A3">
        <w:rPr>
          <w:rFonts w:ascii="Arial" w:hAnsi="Arial" w:cs="Arial"/>
          <w:color w:val="0E101A"/>
        </w:rPr>
        <w:t xml:space="preserve"> Competitors' aggressive retorts could cost them sales. Threats from rival businesses can be neutralized via constant monitoring, product improvement, and backup plans.</w:t>
      </w:r>
    </w:p>
    <w:p w14:paraId="03592CC0"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Ecological Issues:</w:t>
      </w:r>
      <w:r w:rsidRPr="00F303A3">
        <w:rPr>
          <w:rFonts w:ascii="Arial" w:hAnsi="Arial" w:cs="Arial"/>
          <w:color w:val="0E101A"/>
        </w:rPr>
        <w:t xml:space="preserve"> Concerns about people being </w:t>
      </w:r>
      <w:proofErr w:type="spellStart"/>
      <w:r w:rsidRPr="00F303A3">
        <w:rPr>
          <w:rFonts w:ascii="Arial" w:hAnsi="Arial" w:cs="Arial"/>
          <w:color w:val="0E101A"/>
        </w:rPr>
        <w:t>sceptical</w:t>
      </w:r>
      <w:proofErr w:type="spellEnd"/>
      <w:r w:rsidRPr="00F303A3">
        <w:rPr>
          <w:rFonts w:ascii="Arial" w:hAnsi="Arial" w:cs="Arial"/>
          <w:color w:val="0E101A"/>
        </w:rPr>
        <w:t xml:space="preserve"> about sustainability efforts. Communication, eco-certifications, and transparency will reassure environmentally sensitive clients and establish trust.</w:t>
      </w:r>
    </w:p>
    <w:p w14:paraId="0F167993" w14:textId="2F204F31"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Recession of the Economy:</w:t>
      </w:r>
      <w:r w:rsidRPr="00F303A3">
        <w:rPr>
          <w:rFonts w:ascii="Arial" w:hAnsi="Arial" w:cs="Arial"/>
          <w:color w:val="0E101A"/>
        </w:rPr>
        <w:t xml:space="preserve"> Consumer spending could be negatively affected by economic uncertainty</w:t>
      </w:r>
      <w:r w:rsidR="006F0F81" w:rsidRPr="006F0F81">
        <w:t xml:space="preserve"> </w:t>
      </w:r>
      <w:r w:rsidR="006F0F81" w:rsidRPr="006F0F81">
        <w:rPr>
          <w:rFonts w:ascii="Arial" w:hAnsi="Arial" w:cs="Arial"/>
          <w:color w:val="0E101A"/>
        </w:rPr>
        <w:t>(Claessens and Kose, 2011)</w:t>
      </w:r>
      <w:r w:rsidRPr="00F303A3">
        <w:rPr>
          <w:rFonts w:ascii="Arial" w:hAnsi="Arial" w:cs="Arial"/>
          <w:color w:val="0E101A"/>
        </w:rPr>
        <w:t>. Revenue diversification, variable pricing, and economic indicator monitoring for adaptive methods are mitigation strategies.</w:t>
      </w:r>
    </w:p>
    <w:p w14:paraId="6C42BC3D" w14:textId="144EB919"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737E5E">
        <w:rPr>
          <w:rFonts w:ascii="Arial" w:hAnsi="Arial" w:cs="Arial"/>
          <w:b/>
          <w:bCs/>
          <w:color w:val="0E101A"/>
        </w:rPr>
        <w:t>External factors (pandemics):</w:t>
      </w:r>
      <w:r w:rsidRPr="00F303A3">
        <w:rPr>
          <w:rFonts w:ascii="Arial" w:hAnsi="Arial" w:cs="Arial"/>
          <w:color w:val="0E101A"/>
        </w:rPr>
        <w:t xml:space="preserve"> External events like pandemics may affect operations</w:t>
      </w:r>
      <w:r w:rsidR="006F0F81" w:rsidRPr="006F0F81">
        <w:t xml:space="preserve"> </w:t>
      </w:r>
      <w:r w:rsidR="006F0F81" w:rsidRPr="006F0F81">
        <w:rPr>
          <w:rFonts w:ascii="Arial" w:hAnsi="Arial" w:cs="Arial"/>
          <w:color w:val="0E101A"/>
        </w:rPr>
        <w:t>(Pedrosa et al., 2020)</w:t>
      </w:r>
      <w:r w:rsidRPr="00F303A3">
        <w:rPr>
          <w:rFonts w:ascii="Arial" w:hAnsi="Arial" w:cs="Arial"/>
          <w:color w:val="0E101A"/>
        </w:rPr>
        <w:t>. To lessen vulnerability to fluctuations in the market, mitigating actions include making preparations, maintaining awareness, and diversifying revenue streams.</w:t>
      </w:r>
    </w:p>
    <w:p w14:paraId="573C6712" w14:textId="77777777" w:rsidR="00F303A3" w:rsidRPr="00737E5E" w:rsidRDefault="00F303A3" w:rsidP="00737E5E">
      <w:pPr>
        <w:pStyle w:val="Heading1"/>
        <w:spacing w:line="360" w:lineRule="auto"/>
        <w:jc w:val="both"/>
        <w:rPr>
          <w:rFonts w:ascii="Arial" w:hAnsi="Arial" w:cs="Arial"/>
        </w:rPr>
      </w:pPr>
      <w:bookmarkStart w:id="9" w:name="_Toc150947653"/>
      <w:r w:rsidRPr="00737E5E">
        <w:rPr>
          <w:rFonts w:ascii="Arial" w:hAnsi="Arial" w:cs="Arial"/>
        </w:rPr>
        <w:t>Conclusion</w:t>
      </w:r>
      <w:bookmarkEnd w:id="9"/>
    </w:p>
    <w:p w14:paraId="434B0192" w14:textId="77777777" w:rsidR="00F303A3" w:rsidRPr="00F303A3" w:rsidRDefault="00F303A3" w:rsidP="00F303A3">
      <w:pPr>
        <w:pStyle w:val="NormalWeb"/>
        <w:spacing w:before="0" w:beforeAutospacing="0" w:after="0" w:afterAutospacing="0" w:line="360" w:lineRule="auto"/>
        <w:jc w:val="both"/>
        <w:rPr>
          <w:rFonts w:ascii="Arial" w:hAnsi="Arial" w:cs="Arial"/>
          <w:color w:val="0E101A"/>
        </w:rPr>
      </w:pPr>
      <w:r w:rsidRPr="00F303A3">
        <w:rPr>
          <w:rFonts w:ascii="Arial" w:hAnsi="Arial" w:cs="Arial"/>
          <w:color w:val="0E101A"/>
        </w:rPr>
        <w:t xml:space="preserve">The Seaview Resort needs a strategic intervention to revive its financial health and regain its status as a major vacation destination in the face of a drop in revenue, occupancy rates, and customer happiness. The research revealed important areas of concern, and the proposed turnaround strategy addresses all of them. The strategy </w:t>
      </w:r>
      <w:proofErr w:type="spellStart"/>
      <w:r w:rsidRPr="00F303A3">
        <w:rPr>
          <w:rFonts w:ascii="Arial" w:hAnsi="Arial" w:cs="Arial"/>
          <w:color w:val="0E101A"/>
        </w:rPr>
        <w:t>emphasises</w:t>
      </w:r>
      <w:proofErr w:type="spellEnd"/>
      <w:r w:rsidRPr="00F303A3">
        <w:rPr>
          <w:rFonts w:ascii="Arial" w:hAnsi="Arial" w:cs="Arial"/>
          <w:color w:val="0E101A"/>
        </w:rPr>
        <w:t xml:space="preserve"> adaptation, customer-centricity, and environmental responsibility in modern hospitality. </w:t>
      </w:r>
      <w:r w:rsidRPr="00F303A3">
        <w:rPr>
          <w:rFonts w:ascii="Arial" w:hAnsi="Arial" w:cs="Arial"/>
          <w:color w:val="0E101A"/>
        </w:rPr>
        <w:lastRenderedPageBreak/>
        <w:t>Implementing these strategic objectives will allow The Seaview Resort to not only adapt to the changing tourism market but also develop and thrive for the foreseeable future.</w:t>
      </w:r>
    </w:p>
    <w:p w14:paraId="2F880453" w14:textId="77777777" w:rsidR="00F303A3" w:rsidRPr="00737E5E" w:rsidRDefault="00F303A3" w:rsidP="00737E5E">
      <w:pPr>
        <w:pStyle w:val="Heading1"/>
        <w:spacing w:line="360" w:lineRule="auto"/>
        <w:jc w:val="both"/>
        <w:rPr>
          <w:rFonts w:ascii="Arial" w:hAnsi="Arial" w:cs="Arial"/>
        </w:rPr>
      </w:pPr>
      <w:bookmarkStart w:id="10" w:name="_Toc150947654"/>
      <w:r w:rsidRPr="00737E5E">
        <w:rPr>
          <w:rFonts w:ascii="Arial" w:hAnsi="Arial" w:cs="Arial"/>
        </w:rPr>
        <w:t>Recommendation</w:t>
      </w:r>
      <w:bookmarkEnd w:id="10"/>
      <w:r w:rsidRPr="00737E5E">
        <w:rPr>
          <w:rFonts w:ascii="Arial" w:hAnsi="Arial" w:cs="Arial"/>
        </w:rPr>
        <w:t> </w:t>
      </w:r>
    </w:p>
    <w:p w14:paraId="101AA62B"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Make a detailed schedule and plan of attack for implementing the turnaround strategy. </w:t>
      </w:r>
    </w:p>
    <w:p w14:paraId="69657412"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Invest time and energy into educating and motivating workers. </w:t>
      </w:r>
    </w:p>
    <w:p w14:paraId="7422B612"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Set up a system of open communication to keep visitors up to date on any developments. </w:t>
      </w:r>
    </w:p>
    <w:p w14:paraId="72AFC114"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Spend money on system fixes and employee training to keep downtime to a minimum. </w:t>
      </w:r>
    </w:p>
    <w:p w14:paraId="1B4704B9" w14:textId="00038DFD"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Establish and nurture connections with local companies, service providers, and health groups. </w:t>
      </w:r>
    </w:p>
    <w:p w14:paraId="0E8CF897"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Create a method for keeping tabs on consumer comments. </w:t>
      </w:r>
    </w:p>
    <w:p w14:paraId="512961FE"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Implement a thorough method of financial tracking to keep tabs on costs, income, and budget adherence. </w:t>
      </w:r>
    </w:p>
    <w:p w14:paraId="3BA11C66"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Set measurable sustainability goals and pursue verified eco-certifications. </w:t>
      </w:r>
    </w:p>
    <w:p w14:paraId="2ECB47B4"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Create and release strategic advertising that supports the repositioning objective. </w:t>
      </w:r>
    </w:p>
    <w:p w14:paraId="478A8547" w14:textId="77777777" w:rsidR="00F303A3" w:rsidRPr="00F303A3" w:rsidRDefault="00F303A3" w:rsidP="00F303A3">
      <w:pPr>
        <w:pStyle w:val="NormalWeb"/>
        <w:numPr>
          <w:ilvl w:val="0"/>
          <w:numId w:val="41"/>
        </w:numPr>
        <w:spacing w:before="0" w:beforeAutospacing="0" w:after="0" w:afterAutospacing="0" w:line="360" w:lineRule="auto"/>
        <w:jc w:val="both"/>
        <w:rPr>
          <w:rFonts w:ascii="Arial" w:hAnsi="Arial" w:cs="Arial"/>
          <w:color w:val="0E101A"/>
        </w:rPr>
      </w:pPr>
      <w:r w:rsidRPr="00F303A3">
        <w:rPr>
          <w:rFonts w:ascii="Arial" w:hAnsi="Arial" w:cs="Arial"/>
          <w:color w:val="0E101A"/>
        </w:rPr>
        <w:t>Establish a timetable for conducting strategic reviews to gauge progress. </w:t>
      </w:r>
    </w:p>
    <w:p w14:paraId="37B149D4" w14:textId="1000D427" w:rsidR="00B31183" w:rsidRDefault="00B31183">
      <w:pPr>
        <w:rPr>
          <w:rFonts w:ascii="Arial" w:hAnsi="Arial" w:cs="Arial"/>
          <w:sz w:val="24"/>
          <w:szCs w:val="24"/>
        </w:rPr>
      </w:pPr>
      <w:r>
        <w:rPr>
          <w:rFonts w:ascii="Arial" w:hAnsi="Arial" w:cs="Arial"/>
          <w:sz w:val="24"/>
          <w:szCs w:val="24"/>
        </w:rPr>
        <w:br w:type="page"/>
      </w:r>
    </w:p>
    <w:p w14:paraId="0AD7A60D" w14:textId="22FDBF5F" w:rsidR="00715640" w:rsidRPr="00B31183" w:rsidRDefault="00B31183" w:rsidP="00B31183">
      <w:pPr>
        <w:pStyle w:val="Heading1"/>
        <w:spacing w:line="360" w:lineRule="auto"/>
        <w:jc w:val="both"/>
        <w:rPr>
          <w:rFonts w:ascii="Arial" w:hAnsi="Arial" w:cs="Arial"/>
        </w:rPr>
      </w:pPr>
      <w:bookmarkStart w:id="11" w:name="_Toc150947655"/>
      <w:r w:rsidRPr="00B31183">
        <w:rPr>
          <w:rFonts w:ascii="Arial" w:hAnsi="Arial" w:cs="Arial"/>
        </w:rPr>
        <w:lastRenderedPageBreak/>
        <w:t>References</w:t>
      </w:r>
      <w:bookmarkEnd w:id="11"/>
      <w:r w:rsidRPr="00B31183">
        <w:rPr>
          <w:rFonts w:ascii="Arial" w:hAnsi="Arial" w:cs="Arial"/>
        </w:rPr>
        <w:t xml:space="preserve"> </w:t>
      </w:r>
    </w:p>
    <w:p w14:paraId="04302E65"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Birken, E.G. and Curry, B. (2021). </w:t>
      </w:r>
      <w:r w:rsidRPr="006F0F81">
        <w:rPr>
          <w:rFonts w:ascii="Arial" w:hAnsi="Arial" w:cs="Arial"/>
          <w:i/>
          <w:iCs/>
        </w:rPr>
        <w:t>Understanding Return on Assets (ROA)</w:t>
      </w:r>
      <w:r w:rsidRPr="006F0F81">
        <w:rPr>
          <w:rFonts w:ascii="Arial" w:hAnsi="Arial" w:cs="Arial"/>
        </w:rPr>
        <w:t>. [online] Forbes Advisor. Available at: https://www.forbes.com/advisor/investing/roa-return-on-assets/.</w:t>
      </w:r>
    </w:p>
    <w:p w14:paraId="47708101"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Claessens, S. and Kose, M.A. (2011). </w:t>
      </w:r>
      <w:r w:rsidRPr="006F0F81">
        <w:rPr>
          <w:rFonts w:ascii="Arial" w:hAnsi="Arial" w:cs="Arial"/>
          <w:i/>
          <w:iCs/>
        </w:rPr>
        <w:t>Finance &amp; Development</w:t>
      </w:r>
      <w:r w:rsidRPr="006F0F81">
        <w:rPr>
          <w:rFonts w:ascii="Arial" w:hAnsi="Arial" w:cs="Arial"/>
        </w:rPr>
        <w:t>. [online] Finance &amp; Development | F&amp;D. Available at: https://www.imf.org/external/pubs/ft/fandd/basics/recess.htm.</w:t>
      </w:r>
    </w:p>
    <w:p w14:paraId="4211D290"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Coope, C., Donovan, J., Wilson, C., Barnes, M., Metcalfe, C., Hollingworth, W., Kapur, N., Hawton, K. and Gunnell, D. (2015). Characteristics of people dying by suicide after job loss, financial difficulties and other economic stressors during a period of recession (2010–2011): A review of coroners׳ records. </w:t>
      </w:r>
      <w:r w:rsidRPr="006F0F81">
        <w:rPr>
          <w:rFonts w:ascii="Arial" w:hAnsi="Arial" w:cs="Arial"/>
          <w:i/>
          <w:iCs/>
        </w:rPr>
        <w:t>Journal of Affective Disorders</w:t>
      </w:r>
      <w:r w:rsidRPr="006F0F81">
        <w:rPr>
          <w:rFonts w:ascii="Arial" w:hAnsi="Arial" w:cs="Arial"/>
        </w:rPr>
        <w:t xml:space="preserve">, 183, pp.98–105. </w:t>
      </w:r>
      <w:proofErr w:type="spellStart"/>
      <w:proofErr w:type="gramStart"/>
      <w:r w:rsidRPr="006F0F81">
        <w:rPr>
          <w:rFonts w:ascii="Arial" w:hAnsi="Arial" w:cs="Arial"/>
        </w:rPr>
        <w:t>doi:https</w:t>
      </w:r>
      <w:proofErr w:type="spellEnd"/>
      <w:r w:rsidRPr="006F0F81">
        <w:rPr>
          <w:rFonts w:ascii="Arial" w:hAnsi="Arial" w:cs="Arial"/>
        </w:rPr>
        <w:t>://doi.org/10.1016/j.jad.2015.04.045</w:t>
      </w:r>
      <w:proofErr w:type="gramEnd"/>
      <w:r w:rsidRPr="006F0F81">
        <w:rPr>
          <w:rFonts w:ascii="Arial" w:hAnsi="Arial" w:cs="Arial"/>
        </w:rPr>
        <w:t>.</w:t>
      </w:r>
    </w:p>
    <w:p w14:paraId="40C7B7ED"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Dahal, R. (2020). COVID-19, Tourism, and Nepalese Leisure Travelers’ Willingness to Travel. </w:t>
      </w:r>
      <w:r w:rsidRPr="006F0F81">
        <w:rPr>
          <w:rFonts w:ascii="Arial" w:hAnsi="Arial" w:cs="Arial"/>
          <w:i/>
          <w:iCs/>
        </w:rPr>
        <w:t>Journal of Tourism &amp; Adventure</w:t>
      </w:r>
      <w:r w:rsidRPr="006F0F81">
        <w:rPr>
          <w:rFonts w:ascii="Arial" w:hAnsi="Arial" w:cs="Arial"/>
        </w:rPr>
        <w:t xml:space="preserve">, 3(1), pp.92–117. </w:t>
      </w:r>
      <w:proofErr w:type="spellStart"/>
      <w:proofErr w:type="gramStart"/>
      <w:r w:rsidRPr="006F0F81">
        <w:rPr>
          <w:rFonts w:ascii="Arial" w:hAnsi="Arial" w:cs="Arial"/>
        </w:rPr>
        <w:t>doi:https</w:t>
      </w:r>
      <w:proofErr w:type="spellEnd"/>
      <w:r w:rsidRPr="006F0F81">
        <w:rPr>
          <w:rFonts w:ascii="Arial" w:hAnsi="Arial" w:cs="Arial"/>
        </w:rPr>
        <w:t>://doi.org/10.3126/jota.v3i1.31358</w:t>
      </w:r>
      <w:proofErr w:type="gramEnd"/>
      <w:r w:rsidRPr="006F0F81">
        <w:rPr>
          <w:rFonts w:ascii="Arial" w:hAnsi="Arial" w:cs="Arial"/>
        </w:rPr>
        <w:t>.</w:t>
      </w:r>
    </w:p>
    <w:p w14:paraId="48E7E23A"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Damodaran, A. (2017). Return on Capital (ROC), Return on Invested Capital (ROIC) and Return on Equity (ROE): Measurement and Implications. </w:t>
      </w:r>
      <w:r w:rsidRPr="006F0F81">
        <w:rPr>
          <w:rFonts w:ascii="Arial" w:hAnsi="Arial" w:cs="Arial"/>
          <w:i/>
          <w:iCs/>
        </w:rPr>
        <w:t>SSRN Electronic Journal</w:t>
      </w:r>
      <w:r w:rsidRPr="006F0F81">
        <w:rPr>
          <w:rFonts w:ascii="Arial" w:hAnsi="Arial" w:cs="Arial"/>
        </w:rPr>
        <w:t xml:space="preserve">. </w:t>
      </w:r>
      <w:proofErr w:type="spellStart"/>
      <w:proofErr w:type="gramStart"/>
      <w:r w:rsidRPr="006F0F81">
        <w:rPr>
          <w:rFonts w:ascii="Arial" w:hAnsi="Arial" w:cs="Arial"/>
        </w:rPr>
        <w:t>doi:https</w:t>
      </w:r>
      <w:proofErr w:type="spellEnd"/>
      <w:r w:rsidRPr="006F0F81">
        <w:rPr>
          <w:rFonts w:ascii="Arial" w:hAnsi="Arial" w:cs="Arial"/>
        </w:rPr>
        <w:t>://doi.org/10.2139/ssrn.1105499</w:t>
      </w:r>
      <w:proofErr w:type="gramEnd"/>
      <w:r w:rsidRPr="006F0F81">
        <w:rPr>
          <w:rFonts w:ascii="Arial" w:hAnsi="Arial" w:cs="Arial"/>
        </w:rPr>
        <w:t>.</w:t>
      </w:r>
    </w:p>
    <w:p w14:paraId="02DEB0D4"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De Massis, A., </w:t>
      </w:r>
      <w:proofErr w:type="spellStart"/>
      <w:r w:rsidRPr="006F0F81">
        <w:rPr>
          <w:rFonts w:ascii="Arial" w:hAnsi="Arial" w:cs="Arial"/>
        </w:rPr>
        <w:t>Audretsch</w:t>
      </w:r>
      <w:proofErr w:type="spellEnd"/>
      <w:r w:rsidRPr="006F0F81">
        <w:rPr>
          <w:rFonts w:ascii="Arial" w:hAnsi="Arial" w:cs="Arial"/>
        </w:rPr>
        <w:t xml:space="preserve">, D., </w:t>
      </w:r>
      <w:proofErr w:type="spellStart"/>
      <w:r w:rsidRPr="006F0F81">
        <w:rPr>
          <w:rFonts w:ascii="Arial" w:hAnsi="Arial" w:cs="Arial"/>
        </w:rPr>
        <w:t>Uhlaner</w:t>
      </w:r>
      <w:proofErr w:type="spellEnd"/>
      <w:r w:rsidRPr="006F0F81">
        <w:rPr>
          <w:rFonts w:ascii="Arial" w:hAnsi="Arial" w:cs="Arial"/>
        </w:rPr>
        <w:t xml:space="preserve">, L. and </w:t>
      </w:r>
      <w:proofErr w:type="spellStart"/>
      <w:r w:rsidRPr="006F0F81">
        <w:rPr>
          <w:rFonts w:ascii="Arial" w:hAnsi="Arial" w:cs="Arial"/>
        </w:rPr>
        <w:t>Kammerlander</w:t>
      </w:r>
      <w:proofErr w:type="spellEnd"/>
      <w:r w:rsidRPr="006F0F81">
        <w:rPr>
          <w:rFonts w:ascii="Arial" w:hAnsi="Arial" w:cs="Arial"/>
        </w:rPr>
        <w:t xml:space="preserve">, N. (2018). Innovation with Limited Resources: Management Lessons from the German </w:t>
      </w:r>
      <w:proofErr w:type="spellStart"/>
      <w:r w:rsidRPr="006F0F81">
        <w:rPr>
          <w:rFonts w:ascii="Arial" w:hAnsi="Arial" w:cs="Arial"/>
        </w:rPr>
        <w:t>Mittelstand</w:t>
      </w:r>
      <w:proofErr w:type="spellEnd"/>
      <w:r w:rsidRPr="006F0F81">
        <w:rPr>
          <w:rFonts w:ascii="Arial" w:hAnsi="Arial" w:cs="Arial"/>
        </w:rPr>
        <w:t xml:space="preserve">. </w:t>
      </w:r>
      <w:r w:rsidRPr="006F0F81">
        <w:rPr>
          <w:rFonts w:ascii="Arial" w:hAnsi="Arial" w:cs="Arial"/>
          <w:i/>
          <w:iCs/>
        </w:rPr>
        <w:t>Journal of Product Innovation Management</w:t>
      </w:r>
      <w:r w:rsidRPr="006F0F81">
        <w:rPr>
          <w:rFonts w:ascii="Arial" w:hAnsi="Arial" w:cs="Arial"/>
        </w:rPr>
        <w:t xml:space="preserve">, 35(1), pp.125–146. </w:t>
      </w:r>
      <w:proofErr w:type="spellStart"/>
      <w:proofErr w:type="gramStart"/>
      <w:r w:rsidRPr="006F0F81">
        <w:rPr>
          <w:rFonts w:ascii="Arial" w:hAnsi="Arial" w:cs="Arial"/>
        </w:rPr>
        <w:t>doi:https</w:t>
      </w:r>
      <w:proofErr w:type="spellEnd"/>
      <w:r w:rsidRPr="006F0F81">
        <w:rPr>
          <w:rFonts w:ascii="Arial" w:hAnsi="Arial" w:cs="Arial"/>
        </w:rPr>
        <w:t>://doi.org/10.1111/jpim.12373</w:t>
      </w:r>
      <w:proofErr w:type="gramEnd"/>
      <w:r w:rsidRPr="006F0F81">
        <w:rPr>
          <w:rFonts w:ascii="Arial" w:hAnsi="Arial" w:cs="Arial"/>
        </w:rPr>
        <w:t>.</w:t>
      </w:r>
    </w:p>
    <w:p w14:paraId="34325BC1"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Dyer, J.H. and Singh, H. (2018). The Relational View: Cooperative Strategy and Sources of Interorganizational Competitive Advantage. </w:t>
      </w:r>
      <w:r w:rsidRPr="006F0F81">
        <w:rPr>
          <w:rFonts w:ascii="Arial" w:hAnsi="Arial" w:cs="Arial"/>
          <w:i/>
          <w:iCs/>
        </w:rPr>
        <w:t>Academy of Management Review</w:t>
      </w:r>
      <w:r w:rsidRPr="006F0F81">
        <w:rPr>
          <w:rFonts w:ascii="Arial" w:hAnsi="Arial" w:cs="Arial"/>
        </w:rPr>
        <w:t xml:space="preserve">, 23(4), pp.660–679. </w:t>
      </w:r>
      <w:proofErr w:type="spellStart"/>
      <w:proofErr w:type="gramStart"/>
      <w:r w:rsidRPr="006F0F81">
        <w:rPr>
          <w:rFonts w:ascii="Arial" w:hAnsi="Arial" w:cs="Arial"/>
        </w:rPr>
        <w:t>doi:https</w:t>
      </w:r>
      <w:proofErr w:type="spellEnd"/>
      <w:r w:rsidRPr="006F0F81">
        <w:rPr>
          <w:rFonts w:ascii="Arial" w:hAnsi="Arial" w:cs="Arial"/>
        </w:rPr>
        <w:t>://doi.org/10.5465/amr.1998.1255632</w:t>
      </w:r>
      <w:proofErr w:type="gramEnd"/>
      <w:r w:rsidRPr="006F0F81">
        <w:rPr>
          <w:rFonts w:ascii="Arial" w:hAnsi="Arial" w:cs="Arial"/>
        </w:rPr>
        <w:t>.</w:t>
      </w:r>
    </w:p>
    <w:p w14:paraId="0AF6D170"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Girardin, M. (2022). </w:t>
      </w:r>
      <w:r w:rsidRPr="006F0F81">
        <w:rPr>
          <w:rFonts w:ascii="Arial" w:hAnsi="Arial" w:cs="Arial"/>
          <w:i/>
          <w:iCs/>
        </w:rPr>
        <w:t>What Is the Quick Ratio? Definition and Formula</w:t>
      </w:r>
      <w:r w:rsidRPr="006F0F81">
        <w:rPr>
          <w:rFonts w:ascii="Arial" w:hAnsi="Arial" w:cs="Arial"/>
        </w:rPr>
        <w:t>. [online] Forage. Available at: https://www.theforage.com/blog/skills/quick-ratio.</w:t>
      </w:r>
    </w:p>
    <w:p w14:paraId="39CD6365"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lastRenderedPageBreak/>
        <w:t xml:space="preserve">Grewal, D., </w:t>
      </w:r>
      <w:proofErr w:type="spellStart"/>
      <w:r w:rsidRPr="006F0F81">
        <w:rPr>
          <w:rFonts w:ascii="Arial" w:hAnsi="Arial" w:cs="Arial"/>
        </w:rPr>
        <w:t>Kroschke</w:t>
      </w:r>
      <w:proofErr w:type="spellEnd"/>
      <w:r w:rsidRPr="006F0F81">
        <w:rPr>
          <w:rFonts w:ascii="Arial" w:hAnsi="Arial" w:cs="Arial"/>
        </w:rPr>
        <w:t xml:space="preserve">, M., Mende, M., Roggeveen, A.L. and Scott, M.L. (2020). Frontline Cyborgs at Your Service: How Human Enhancement Technologies Affect Customer Experiences in Retail, Sales, and Service Settings. </w:t>
      </w:r>
      <w:r w:rsidRPr="006F0F81">
        <w:rPr>
          <w:rFonts w:ascii="Arial" w:hAnsi="Arial" w:cs="Arial"/>
          <w:i/>
          <w:iCs/>
        </w:rPr>
        <w:t>Journal of Interactive Marketing</w:t>
      </w:r>
      <w:r w:rsidRPr="006F0F81">
        <w:rPr>
          <w:rFonts w:ascii="Arial" w:hAnsi="Arial" w:cs="Arial"/>
        </w:rPr>
        <w:t xml:space="preserve">, 51, pp.9–25. </w:t>
      </w:r>
      <w:proofErr w:type="spellStart"/>
      <w:proofErr w:type="gramStart"/>
      <w:r w:rsidRPr="006F0F81">
        <w:rPr>
          <w:rFonts w:ascii="Arial" w:hAnsi="Arial" w:cs="Arial"/>
        </w:rPr>
        <w:t>doi:https</w:t>
      </w:r>
      <w:proofErr w:type="spellEnd"/>
      <w:r w:rsidRPr="006F0F81">
        <w:rPr>
          <w:rFonts w:ascii="Arial" w:hAnsi="Arial" w:cs="Arial"/>
        </w:rPr>
        <w:t>://doi.org/10.1016/j.intmar.2020.03.001</w:t>
      </w:r>
      <w:proofErr w:type="gramEnd"/>
      <w:r w:rsidRPr="006F0F81">
        <w:rPr>
          <w:rFonts w:ascii="Arial" w:hAnsi="Arial" w:cs="Arial"/>
        </w:rPr>
        <w:t>.</w:t>
      </w:r>
    </w:p>
    <w:p w14:paraId="176AEBE4"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Larner, P. (2023). </w:t>
      </w:r>
      <w:r w:rsidRPr="006F0F81">
        <w:rPr>
          <w:rFonts w:ascii="Arial" w:hAnsi="Arial" w:cs="Arial"/>
          <w:i/>
          <w:iCs/>
        </w:rPr>
        <w:t>Spas, retreats and fitness: Where to go for a wellness break</w:t>
      </w:r>
      <w:r w:rsidRPr="006F0F81">
        <w:rPr>
          <w:rFonts w:ascii="Arial" w:hAnsi="Arial" w:cs="Arial"/>
        </w:rPr>
        <w:t xml:space="preserve">. [online] </w:t>
      </w:r>
      <w:proofErr w:type="spellStart"/>
      <w:r w:rsidRPr="006F0F81">
        <w:rPr>
          <w:rFonts w:ascii="Arial" w:hAnsi="Arial" w:cs="Arial"/>
        </w:rPr>
        <w:t>euronews</w:t>
      </w:r>
      <w:proofErr w:type="spellEnd"/>
      <w:r w:rsidRPr="006F0F81">
        <w:rPr>
          <w:rFonts w:ascii="Arial" w:hAnsi="Arial" w:cs="Arial"/>
        </w:rPr>
        <w:t>. Available at: https://www.euronews.com/travel/2023/08/27/wellness-tourism-is-booming-but-whats-behind-the-trend.</w:t>
      </w:r>
    </w:p>
    <w:p w14:paraId="7BE84744" w14:textId="77777777" w:rsidR="006F0F81" w:rsidRPr="006F0F81" w:rsidRDefault="006F0F81" w:rsidP="006F0F81">
      <w:pPr>
        <w:pStyle w:val="NormalWeb"/>
        <w:spacing w:before="0" w:beforeAutospacing="0" w:after="240" w:afterAutospacing="0" w:line="360" w:lineRule="auto"/>
        <w:jc w:val="both"/>
        <w:rPr>
          <w:rFonts w:ascii="Arial" w:hAnsi="Arial" w:cs="Arial"/>
        </w:rPr>
      </w:pPr>
      <w:proofErr w:type="spellStart"/>
      <w:r w:rsidRPr="006F0F81">
        <w:rPr>
          <w:rFonts w:ascii="Arial" w:hAnsi="Arial" w:cs="Arial"/>
        </w:rPr>
        <w:t>Maravas</w:t>
      </w:r>
      <w:proofErr w:type="spellEnd"/>
      <w:r w:rsidRPr="006F0F81">
        <w:rPr>
          <w:rFonts w:ascii="Arial" w:hAnsi="Arial" w:cs="Arial"/>
        </w:rPr>
        <w:t xml:space="preserve">, A. and </w:t>
      </w:r>
      <w:proofErr w:type="spellStart"/>
      <w:r w:rsidRPr="006F0F81">
        <w:rPr>
          <w:rFonts w:ascii="Arial" w:hAnsi="Arial" w:cs="Arial"/>
        </w:rPr>
        <w:t>Pantouvakis</w:t>
      </w:r>
      <w:proofErr w:type="spellEnd"/>
      <w:r w:rsidRPr="006F0F81">
        <w:rPr>
          <w:rFonts w:ascii="Arial" w:hAnsi="Arial" w:cs="Arial"/>
        </w:rPr>
        <w:t xml:space="preserve">, J.-P. (2012). Project cash flow analysis in the presence of uncertainty in activity duration and cost. </w:t>
      </w:r>
      <w:r w:rsidRPr="006F0F81">
        <w:rPr>
          <w:rFonts w:ascii="Arial" w:hAnsi="Arial" w:cs="Arial"/>
          <w:i/>
          <w:iCs/>
        </w:rPr>
        <w:t>International Journal of Project Management</w:t>
      </w:r>
      <w:r w:rsidRPr="006F0F81">
        <w:rPr>
          <w:rFonts w:ascii="Arial" w:hAnsi="Arial" w:cs="Arial"/>
        </w:rPr>
        <w:t xml:space="preserve">, 30(3), pp.374–384. </w:t>
      </w:r>
      <w:proofErr w:type="spellStart"/>
      <w:proofErr w:type="gramStart"/>
      <w:r w:rsidRPr="006F0F81">
        <w:rPr>
          <w:rFonts w:ascii="Arial" w:hAnsi="Arial" w:cs="Arial"/>
        </w:rPr>
        <w:t>doi:https</w:t>
      </w:r>
      <w:proofErr w:type="spellEnd"/>
      <w:r w:rsidRPr="006F0F81">
        <w:rPr>
          <w:rFonts w:ascii="Arial" w:hAnsi="Arial" w:cs="Arial"/>
        </w:rPr>
        <w:t>://doi.org/10.1016/j.ijproman.2011.08.005</w:t>
      </w:r>
      <w:proofErr w:type="gramEnd"/>
      <w:r w:rsidRPr="006F0F81">
        <w:rPr>
          <w:rFonts w:ascii="Arial" w:hAnsi="Arial" w:cs="Arial"/>
        </w:rPr>
        <w:t>.</w:t>
      </w:r>
    </w:p>
    <w:p w14:paraId="1902F9CF"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Momin, A. (2023). </w:t>
      </w:r>
      <w:r w:rsidRPr="006F0F81">
        <w:rPr>
          <w:rFonts w:ascii="Arial" w:hAnsi="Arial" w:cs="Arial"/>
          <w:i/>
          <w:iCs/>
        </w:rPr>
        <w:t>SWOT Analysis of the Tourism Industry</w:t>
      </w:r>
      <w:r w:rsidRPr="006F0F81">
        <w:rPr>
          <w:rFonts w:ascii="Arial" w:hAnsi="Arial" w:cs="Arial"/>
        </w:rPr>
        <w:t>. [online] pestleanalysis.com. Available at: https://pestleanalysis.com/tourism-industry-swot-analysis/.</w:t>
      </w:r>
    </w:p>
    <w:p w14:paraId="223648A7" w14:textId="77777777" w:rsidR="006F0F81" w:rsidRPr="006F0F81" w:rsidRDefault="006F0F81" w:rsidP="006F0F81">
      <w:pPr>
        <w:pStyle w:val="NormalWeb"/>
        <w:spacing w:before="0" w:beforeAutospacing="0" w:after="240" w:afterAutospacing="0" w:line="360" w:lineRule="auto"/>
        <w:jc w:val="both"/>
        <w:rPr>
          <w:rFonts w:ascii="Arial" w:hAnsi="Arial" w:cs="Arial"/>
        </w:rPr>
      </w:pPr>
      <w:proofErr w:type="spellStart"/>
      <w:r w:rsidRPr="006F0F81">
        <w:rPr>
          <w:rFonts w:ascii="Arial" w:hAnsi="Arial" w:cs="Arial"/>
        </w:rPr>
        <w:t>Pajorska</w:t>
      </w:r>
      <w:proofErr w:type="spellEnd"/>
      <w:r w:rsidRPr="006F0F81">
        <w:rPr>
          <w:rFonts w:ascii="Arial" w:hAnsi="Arial" w:cs="Arial"/>
        </w:rPr>
        <w:t xml:space="preserve">, Z. (2022). </w:t>
      </w:r>
      <w:r w:rsidRPr="006F0F81">
        <w:rPr>
          <w:rFonts w:ascii="Arial" w:hAnsi="Arial" w:cs="Arial"/>
          <w:i/>
          <w:iCs/>
        </w:rPr>
        <w:t>Digital Transformation in the Travel and Tourism Industry</w:t>
      </w:r>
      <w:r w:rsidRPr="006F0F81">
        <w:rPr>
          <w:rFonts w:ascii="Arial" w:hAnsi="Arial" w:cs="Arial"/>
        </w:rPr>
        <w:t xml:space="preserve">. [online] </w:t>
      </w:r>
      <w:proofErr w:type="spellStart"/>
      <w:r w:rsidRPr="006F0F81">
        <w:rPr>
          <w:rFonts w:ascii="Arial" w:hAnsi="Arial" w:cs="Arial"/>
        </w:rPr>
        <w:t>Stratoflow</w:t>
      </w:r>
      <w:proofErr w:type="spellEnd"/>
      <w:r w:rsidRPr="006F0F81">
        <w:rPr>
          <w:rFonts w:ascii="Arial" w:hAnsi="Arial" w:cs="Arial"/>
        </w:rPr>
        <w:t>. Available at: https://stratoflow.com/digital-transformation-travel-industry/.</w:t>
      </w:r>
    </w:p>
    <w:p w14:paraId="178DE8F7"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Park, C. (2018). The Effects of </w:t>
      </w:r>
      <w:proofErr w:type="gramStart"/>
      <w:r w:rsidRPr="006F0F81">
        <w:rPr>
          <w:rFonts w:ascii="Arial" w:hAnsi="Arial" w:cs="Arial"/>
        </w:rPr>
        <w:t>ROOA(</w:t>
      </w:r>
      <w:proofErr w:type="gramEnd"/>
      <w:r w:rsidRPr="006F0F81">
        <w:rPr>
          <w:rFonts w:ascii="Arial" w:hAnsi="Arial" w:cs="Arial"/>
        </w:rPr>
        <w:t xml:space="preserve">Return on Operating Assets) and ROIA(Return on Investment Assets) on the Assets Structure. </w:t>
      </w:r>
      <w:r w:rsidRPr="006F0F81">
        <w:rPr>
          <w:rFonts w:ascii="Arial" w:hAnsi="Arial" w:cs="Arial"/>
          <w:i/>
          <w:iCs/>
        </w:rPr>
        <w:t>Review of Accounting and Policy Studies</w:t>
      </w:r>
      <w:r w:rsidRPr="006F0F81">
        <w:rPr>
          <w:rFonts w:ascii="Arial" w:hAnsi="Arial" w:cs="Arial"/>
        </w:rPr>
        <w:t xml:space="preserve">, 23(4), pp.181–205. </w:t>
      </w:r>
      <w:proofErr w:type="spellStart"/>
      <w:proofErr w:type="gramStart"/>
      <w:r w:rsidRPr="006F0F81">
        <w:rPr>
          <w:rFonts w:ascii="Arial" w:hAnsi="Arial" w:cs="Arial"/>
        </w:rPr>
        <w:t>doi:https</w:t>
      </w:r>
      <w:proofErr w:type="spellEnd"/>
      <w:r w:rsidRPr="006F0F81">
        <w:rPr>
          <w:rFonts w:ascii="Arial" w:hAnsi="Arial" w:cs="Arial"/>
        </w:rPr>
        <w:t>://doi.org/10.21737/raps.2018.11.23.4.181</w:t>
      </w:r>
      <w:proofErr w:type="gramEnd"/>
      <w:r w:rsidRPr="006F0F81">
        <w:rPr>
          <w:rFonts w:ascii="Arial" w:hAnsi="Arial" w:cs="Arial"/>
        </w:rPr>
        <w:t>.</w:t>
      </w:r>
    </w:p>
    <w:p w14:paraId="3A2F0B58"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Pedrosa, A.L., Bitencourt, L., </w:t>
      </w:r>
      <w:proofErr w:type="spellStart"/>
      <w:r w:rsidRPr="006F0F81">
        <w:rPr>
          <w:rFonts w:ascii="Arial" w:hAnsi="Arial" w:cs="Arial"/>
        </w:rPr>
        <w:t>Fróes</w:t>
      </w:r>
      <w:proofErr w:type="spellEnd"/>
      <w:r w:rsidRPr="006F0F81">
        <w:rPr>
          <w:rFonts w:ascii="Arial" w:hAnsi="Arial" w:cs="Arial"/>
        </w:rPr>
        <w:t xml:space="preserve">, A.C.F., </w:t>
      </w:r>
      <w:proofErr w:type="spellStart"/>
      <w:r w:rsidRPr="006F0F81">
        <w:rPr>
          <w:rFonts w:ascii="Arial" w:hAnsi="Arial" w:cs="Arial"/>
        </w:rPr>
        <w:t>Cazumbá</w:t>
      </w:r>
      <w:proofErr w:type="spellEnd"/>
      <w:r w:rsidRPr="006F0F81">
        <w:rPr>
          <w:rFonts w:ascii="Arial" w:hAnsi="Arial" w:cs="Arial"/>
        </w:rPr>
        <w:t xml:space="preserve">, M.L.B., Campos, R.G.B., de Brito, S.B.C.S. and Simões E Silva, A.C. (2020). Emotional, Behavioral, and Psychological Impact of the COVID-19 Pandemic. </w:t>
      </w:r>
      <w:r w:rsidRPr="006F0F81">
        <w:rPr>
          <w:rFonts w:ascii="Arial" w:hAnsi="Arial" w:cs="Arial"/>
          <w:i/>
          <w:iCs/>
        </w:rPr>
        <w:t>Frontiers in Psychology</w:t>
      </w:r>
      <w:r w:rsidRPr="006F0F81">
        <w:rPr>
          <w:rFonts w:ascii="Arial" w:hAnsi="Arial" w:cs="Arial"/>
        </w:rPr>
        <w:t xml:space="preserve">, 11(1), p.566212. </w:t>
      </w:r>
      <w:proofErr w:type="spellStart"/>
      <w:proofErr w:type="gramStart"/>
      <w:r w:rsidRPr="006F0F81">
        <w:rPr>
          <w:rFonts w:ascii="Arial" w:hAnsi="Arial" w:cs="Arial"/>
        </w:rPr>
        <w:t>doi:https</w:t>
      </w:r>
      <w:proofErr w:type="spellEnd"/>
      <w:r w:rsidRPr="006F0F81">
        <w:rPr>
          <w:rFonts w:ascii="Arial" w:hAnsi="Arial" w:cs="Arial"/>
        </w:rPr>
        <w:t>://doi.org/10.3389/fpsyg.2020.566212</w:t>
      </w:r>
      <w:proofErr w:type="gramEnd"/>
      <w:r w:rsidRPr="006F0F81">
        <w:rPr>
          <w:rFonts w:ascii="Arial" w:hAnsi="Arial" w:cs="Arial"/>
        </w:rPr>
        <w:t>.</w:t>
      </w:r>
    </w:p>
    <w:p w14:paraId="39D310FA"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Shaw, A.A. (2020). </w:t>
      </w:r>
      <w:r w:rsidRPr="006F0F81">
        <w:rPr>
          <w:rFonts w:ascii="Arial" w:hAnsi="Arial" w:cs="Arial"/>
          <w:i/>
          <w:iCs/>
        </w:rPr>
        <w:t>SWOT Analysis of Tourism Industry</w:t>
      </w:r>
      <w:r w:rsidRPr="006F0F81">
        <w:rPr>
          <w:rFonts w:ascii="Arial" w:hAnsi="Arial" w:cs="Arial"/>
        </w:rPr>
        <w:t>. [online] Marketing Tutor. Available at: https://www.marketingtutor.net/swot-analysis-of-tourism-industry/.</w:t>
      </w:r>
    </w:p>
    <w:p w14:paraId="713F10C6"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Tim Vipond (2022). </w:t>
      </w:r>
      <w:r w:rsidRPr="006F0F81">
        <w:rPr>
          <w:rFonts w:ascii="Arial" w:hAnsi="Arial" w:cs="Arial"/>
          <w:i/>
          <w:iCs/>
        </w:rPr>
        <w:t>Current Ratio Formula</w:t>
      </w:r>
      <w:r w:rsidRPr="006F0F81">
        <w:rPr>
          <w:rFonts w:ascii="Arial" w:hAnsi="Arial" w:cs="Arial"/>
        </w:rPr>
        <w:t>. [online] Corporate Finance Institute. Available at: https://corporatefinanceinstitute.com/resources/accounting/current-ratio-formula/.</w:t>
      </w:r>
    </w:p>
    <w:p w14:paraId="1B73607C"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lastRenderedPageBreak/>
        <w:t xml:space="preserve">Wang, C. (2023). </w:t>
      </w:r>
      <w:r w:rsidRPr="006F0F81">
        <w:rPr>
          <w:rFonts w:ascii="Arial" w:hAnsi="Arial" w:cs="Arial"/>
          <w:i/>
          <w:iCs/>
        </w:rPr>
        <w:t>Challenges faced by the tourism industry using digital media and technology</w:t>
      </w:r>
      <w:r w:rsidRPr="006F0F81">
        <w:rPr>
          <w:rFonts w:ascii="Arial" w:hAnsi="Arial" w:cs="Arial"/>
        </w:rPr>
        <w:t>. [online] Digital Society. Available at: https://medium.com/digital-society/challenges-faced-by-the-tourism-industry-using-digital-media-and-technology-32f677810060.</w:t>
      </w:r>
    </w:p>
    <w:p w14:paraId="344945E5" w14:textId="77777777" w:rsidR="006F0F81" w:rsidRPr="006F0F81" w:rsidRDefault="006F0F81" w:rsidP="006F0F81">
      <w:pPr>
        <w:pStyle w:val="NormalWeb"/>
        <w:spacing w:before="0" w:beforeAutospacing="0" w:after="240" w:afterAutospacing="0" w:line="360" w:lineRule="auto"/>
        <w:jc w:val="both"/>
        <w:rPr>
          <w:rFonts w:ascii="Arial" w:hAnsi="Arial" w:cs="Arial"/>
        </w:rPr>
      </w:pPr>
      <w:r w:rsidRPr="006F0F81">
        <w:rPr>
          <w:rFonts w:ascii="Arial" w:hAnsi="Arial" w:cs="Arial"/>
        </w:rPr>
        <w:t xml:space="preserve">Xu, X. (2020). What are customers commenting on, and how is their satisfaction affected? Examining online reviews in the on-demand food service context. </w:t>
      </w:r>
      <w:r w:rsidRPr="006F0F81">
        <w:rPr>
          <w:rFonts w:ascii="Arial" w:hAnsi="Arial" w:cs="Arial"/>
          <w:i/>
          <w:iCs/>
        </w:rPr>
        <w:t>Decision Support Systems</w:t>
      </w:r>
      <w:r w:rsidRPr="006F0F81">
        <w:rPr>
          <w:rFonts w:ascii="Arial" w:hAnsi="Arial" w:cs="Arial"/>
        </w:rPr>
        <w:t xml:space="preserve">, p.113467. </w:t>
      </w:r>
      <w:proofErr w:type="spellStart"/>
      <w:proofErr w:type="gramStart"/>
      <w:r w:rsidRPr="006F0F81">
        <w:rPr>
          <w:rFonts w:ascii="Arial" w:hAnsi="Arial" w:cs="Arial"/>
        </w:rPr>
        <w:t>doi:https</w:t>
      </w:r>
      <w:proofErr w:type="spellEnd"/>
      <w:r w:rsidRPr="006F0F81">
        <w:rPr>
          <w:rFonts w:ascii="Arial" w:hAnsi="Arial" w:cs="Arial"/>
        </w:rPr>
        <w:t>://doi.org/10.1016/j.dss.2020.113467</w:t>
      </w:r>
      <w:proofErr w:type="gramEnd"/>
      <w:r w:rsidRPr="006F0F81">
        <w:rPr>
          <w:rFonts w:ascii="Arial" w:hAnsi="Arial" w:cs="Arial"/>
        </w:rPr>
        <w:t>.</w:t>
      </w:r>
    </w:p>
    <w:p w14:paraId="7A0B3BA7" w14:textId="77777777" w:rsidR="006F0F81" w:rsidRPr="006F0F81" w:rsidRDefault="006F0F81" w:rsidP="006F0F81">
      <w:pPr>
        <w:pStyle w:val="NormalWeb"/>
        <w:spacing w:before="0" w:beforeAutospacing="0" w:after="240" w:afterAutospacing="0" w:line="360" w:lineRule="auto"/>
        <w:jc w:val="both"/>
        <w:rPr>
          <w:rFonts w:ascii="Arial" w:hAnsi="Arial" w:cs="Arial"/>
        </w:rPr>
      </w:pPr>
      <w:proofErr w:type="spellStart"/>
      <w:r w:rsidRPr="006F0F81">
        <w:rPr>
          <w:rFonts w:ascii="Arial" w:hAnsi="Arial" w:cs="Arial"/>
        </w:rPr>
        <w:t>zeebiz</w:t>
      </w:r>
      <w:proofErr w:type="spellEnd"/>
      <w:r w:rsidRPr="006F0F81">
        <w:rPr>
          <w:rFonts w:ascii="Arial" w:hAnsi="Arial" w:cs="Arial"/>
        </w:rPr>
        <w:t xml:space="preserve"> (2023). </w:t>
      </w:r>
      <w:r w:rsidRPr="006F0F81">
        <w:rPr>
          <w:rFonts w:ascii="Arial" w:hAnsi="Arial" w:cs="Arial"/>
          <w:i/>
          <w:iCs/>
        </w:rPr>
        <w:t>Loan restructuring vs loan refinancing: Know what is the better option and when you should opt for it</w:t>
      </w:r>
      <w:r w:rsidRPr="006F0F81">
        <w:rPr>
          <w:rFonts w:ascii="Arial" w:hAnsi="Arial" w:cs="Arial"/>
        </w:rPr>
        <w:t>. [online] Zee Business. Available at: https://www.zeebiz.com/personal-finance/news-loan-restructuring-vs-loan-refinancing-understanding-the-differences-and-choosing-the-right-option-for-your-financial-needs-stst-247670 [Accessed 15 Nov. 2023].</w:t>
      </w:r>
    </w:p>
    <w:p w14:paraId="0519737B" w14:textId="77777777" w:rsidR="00B31183" w:rsidRDefault="00B31183">
      <w:pPr>
        <w:rPr>
          <w:rFonts w:ascii="Arial" w:eastAsiaTheme="majorEastAsia" w:hAnsi="Arial" w:cs="Arial"/>
          <w:color w:val="2F5496" w:themeColor="accent1" w:themeShade="BF"/>
          <w:sz w:val="32"/>
          <w:szCs w:val="32"/>
        </w:rPr>
      </w:pPr>
      <w:r>
        <w:rPr>
          <w:rFonts w:ascii="Arial" w:hAnsi="Arial" w:cs="Arial"/>
        </w:rPr>
        <w:br w:type="page"/>
      </w:r>
    </w:p>
    <w:p w14:paraId="48904496" w14:textId="76D283DC" w:rsidR="00B31183" w:rsidRDefault="00B31183" w:rsidP="00B31183">
      <w:pPr>
        <w:pStyle w:val="Heading1"/>
        <w:spacing w:line="360" w:lineRule="auto"/>
        <w:jc w:val="both"/>
        <w:rPr>
          <w:rFonts w:ascii="Arial" w:hAnsi="Arial" w:cs="Arial"/>
        </w:rPr>
      </w:pPr>
      <w:bookmarkStart w:id="12" w:name="_Toc150947656"/>
      <w:r w:rsidRPr="00B31183">
        <w:rPr>
          <w:rFonts w:ascii="Arial" w:hAnsi="Arial" w:cs="Arial"/>
        </w:rPr>
        <w:lastRenderedPageBreak/>
        <w:t>Appendix</w:t>
      </w:r>
      <w:bookmarkEnd w:id="12"/>
    </w:p>
    <w:p w14:paraId="2AF7AB16" w14:textId="42BD156C" w:rsidR="00B31183" w:rsidRDefault="000111C5" w:rsidP="00B31183">
      <w:r>
        <w:rPr>
          <w:noProof/>
        </w:rPr>
        <w:drawing>
          <wp:inline distT="0" distB="0" distL="0" distR="0" wp14:anchorId="6AEBBA2E" wp14:editId="752CAB93">
            <wp:extent cx="4572000" cy="2743200"/>
            <wp:effectExtent l="0" t="0" r="0" b="0"/>
            <wp:docPr id="989024390" name="Chart 1">
              <a:extLst xmlns:a="http://schemas.openxmlformats.org/drawingml/2006/main">
                <a:ext uri="{FF2B5EF4-FFF2-40B4-BE49-F238E27FC236}">
                  <a16:creationId xmlns:a16="http://schemas.microsoft.com/office/drawing/2014/main" id="{19FE7955-153E-78C7-A4CB-BED6EBEA60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AD214C" w14:textId="3D1352B9" w:rsidR="000111C5" w:rsidRDefault="006F0F81" w:rsidP="00B31183">
      <w:r>
        <w:rPr>
          <w:noProof/>
        </w:rPr>
        <w:drawing>
          <wp:inline distT="0" distB="0" distL="0" distR="0" wp14:anchorId="29596165" wp14:editId="64FA1F87">
            <wp:extent cx="4572000" cy="2628900"/>
            <wp:effectExtent l="0" t="0" r="0" b="0"/>
            <wp:docPr id="89835852" name="Chart 1">
              <a:extLst xmlns:a="http://schemas.openxmlformats.org/drawingml/2006/main">
                <a:ext uri="{FF2B5EF4-FFF2-40B4-BE49-F238E27FC236}">
                  <a16:creationId xmlns:a16="http://schemas.microsoft.com/office/drawing/2014/main" id="{00000000-0008-0000-01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435D710" w14:textId="15D9671F" w:rsidR="000111C5" w:rsidRPr="00B31183" w:rsidRDefault="006F0F81" w:rsidP="00B31183">
      <w:r>
        <w:rPr>
          <w:noProof/>
        </w:rPr>
        <w:lastRenderedPageBreak/>
        <w:drawing>
          <wp:inline distT="0" distB="0" distL="0" distR="0" wp14:anchorId="5055CC6E" wp14:editId="06906C56">
            <wp:extent cx="4604385" cy="2628900"/>
            <wp:effectExtent l="0" t="0" r="5715" b="0"/>
            <wp:docPr id="999941894" name="Chart 1">
              <a:extLst xmlns:a="http://schemas.openxmlformats.org/drawingml/2006/main">
                <a:ext uri="{FF2B5EF4-FFF2-40B4-BE49-F238E27FC236}">
                  <a16:creationId xmlns:a16="http://schemas.microsoft.com/office/drawing/2014/main" id="{00000000-0008-0000-01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sectPr w:rsidR="000111C5" w:rsidRPr="00B31183" w:rsidSect="00737E5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B52DD" w14:textId="77777777" w:rsidR="00341AF5" w:rsidRDefault="00341AF5" w:rsidP="00737E5E">
      <w:pPr>
        <w:spacing w:after="0" w:line="240" w:lineRule="auto"/>
      </w:pPr>
      <w:r>
        <w:separator/>
      </w:r>
    </w:p>
  </w:endnote>
  <w:endnote w:type="continuationSeparator" w:id="0">
    <w:p w14:paraId="331BA544" w14:textId="77777777" w:rsidR="00341AF5" w:rsidRDefault="00341AF5" w:rsidP="00737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E15BF" w14:textId="77777777" w:rsidR="00341AF5" w:rsidRDefault="00341AF5" w:rsidP="00737E5E">
      <w:pPr>
        <w:spacing w:after="0" w:line="240" w:lineRule="auto"/>
      </w:pPr>
      <w:r>
        <w:separator/>
      </w:r>
    </w:p>
  </w:footnote>
  <w:footnote w:type="continuationSeparator" w:id="0">
    <w:p w14:paraId="26B1C94A" w14:textId="77777777" w:rsidR="00341AF5" w:rsidRDefault="00341AF5" w:rsidP="00737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34F5B"/>
    <w:multiLevelType w:val="multilevel"/>
    <w:tmpl w:val="16121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56A80"/>
    <w:multiLevelType w:val="multilevel"/>
    <w:tmpl w:val="1910E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BA680C"/>
    <w:multiLevelType w:val="hybridMultilevel"/>
    <w:tmpl w:val="C92894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BD0543"/>
    <w:multiLevelType w:val="multilevel"/>
    <w:tmpl w:val="39D61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C649C3"/>
    <w:multiLevelType w:val="multilevel"/>
    <w:tmpl w:val="0946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483FC8"/>
    <w:multiLevelType w:val="multilevel"/>
    <w:tmpl w:val="3E1C21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24B4F"/>
    <w:multiLevelType w:val="multilevel"/>
    <w:tmpl w:val="C8A88A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1472A7"/>
    <w:multiLevelType w:val="multilevel"/>
    <w:tmpl w:val="92623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2105D"/>
    <w:multiLevelType w:val="multilevel"/>
    <w:tmpl w:val="CA30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B2EB9"/>
    <w:multiLevelType w:val="multilevel"/>
    <w:tmpl w:val="464894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E4D03"/>
    <w:multiLevelType w:val="multilevel"/>
    <w:tmpl w:val="4F3C0C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2468FD"/>
    <w:multiLevelType w:val="multilevel"/>
    <w:tmpl w:val="223480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683E5D"/>
    <w:multiLevelType w:val="hybridMultilevel"/>
    <w:tmpl w:val="556A38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3F325D"/>
    <w:multiLevelType w:val="multilevel"/>
    <w:tmpl w:val="AE9C2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751B72"/>
    <w:multiLevelType w:val="multilevel"/>
    <w:tmpl w:val="4CC8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2A40A6"/>
    <w:multiLevelType w:val="multilevel"/>
    <w:tmpl w:val="A67088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6C408C"/>
    <w:multiLevelType w:val="multilevel"/>
    <w:tmpl w:val="E8606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5C327A"/>
    <w:multiLevelType w:val="multilevel"/>
    <w:tmpl w:val="83A26E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3D4F34"/>
    <w:multiLevelType w:val="hybridMultilevel"/>
    <w:tmpl w:val="67DA7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F56C83"/>
    <w:multiLevelType w:val="multilevel"/>
    <w:tmpl w:val="4A4A5B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125416"/>
    <w:multiLevelType w:val="multilevel"/>
    <w:tmpl w:val="28A83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2E4247"/>
    <w:multiLevelType w:val="multilevel"/>
    <w:tmpl w:val="AB241C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5B6372"/>
    <w:multiLevelType w:val="multilevel"/>
    <w:tmpl w:val="A8B6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F171D7"/>
    <w:multiLevelType w:val="multilevel"/>
    <w:tmpl w:val="2F7039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0A1987"/>
    <w:multiLevelType w:val="multilevel"/>
    <w:tmpl w:val="EE9089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3C0B30"/>
    <w:multiLevelType w:val="multilevel"/>
    <w:tmpl w:val="CBE24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151D8F"/>
    <w:multiLevelType w:val="multilevel"/>
    <w:tmpl w:val="4E84B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1C31DA"/>
    <w:multiLevelType w:val="multilevel"/>
    <w:tmpl w:val="8E3E64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12F0B53"/>
    <w:multiLevelType w:val="multilevel"/>
    <w:tmpl w:val="61B0F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666042"/>
    <w:multiLevelType w:val="multilevel"/>
    <w:tmpl w:val="42ECD7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412CE2"/>
    <w:multiLevelType w:val="multilevel"/>
    <w:tmpl w:val="1F242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C6776D"/>
    <w:multiLevelType w:val="multilevel"/>
    <w:tmpl w:val="E3DC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B4314A"/>
    <w:multiLevelType w:val="hybridMultilevel"/>
    <w:tmpl w:val="3A3C92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87812B5"/>
    <w:multiLevelType w:val="hybridMultilevel"/>
    <w:tmpl w:val="9C5CE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AEC1E7D"/>
    <w:multiLevelType w:val="hybridMultilevel"/>
    <w:tmpl w:val="D7883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DD55D2E"/>
    <w:multiLevelType w:val="multilevel"/>
    <w:tmpl w:val="0ED0B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EE633A"/>
    <w:multiLevelType w:val="multilevel"/>
    <w:tmpl w:val="04AA45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260757"/>
    <w:multiLevelType w:val="multilevel"/>
    <w:tmpl w:val="8656FF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8C5861"/>
    <w:multiLevelType w:val="multilevel"/>
    <w:tmpl w:val="A9C467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923CCF"/>
    <w:multiLevelType w:val="multilevel"/>
    <w:tmpl w:val="36E6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D820DC"/>
    <w:multiLevelType w:val="hybridMultilevel"/>
    <w:tmpl w:val="C406B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7794798">
    <w:abstractNumId w:val="5"/>
  </w:num>
  <w:num w:numId="2" w16cid:durableId="154957465">
    <w:abstractNumId w:val="17"/>
  </w:num>
  <w:num w:numId="3" w16cid:durableId="1571573055">
    <w:abstractNumId w:val="7"/>
  </w:num>
  <w:num w:numId="4" w16cid:durableId="713699521">
    <w:abstractNumId w:val="14"/>
  </w:num>
  <w:num w:numId="5" w16cid:durableId="2053965366">
    <w:abstractNumId w:val="3"/>
  </w:num>
  <w:num w:numId="6" w16cid:durableId="1816333420">
    <w:abstractNumId w:val="31"/>
  </w:num>
  <w:num w:numId="7" w16cid:durableId="1170220893">
    <w:abstractNumId w:val="13"/>
  </w:num>
  <w:num w:numId="8" w16cid:durableId="680206388">
    <w:abstractNumId w:val="20"/>
  </w:num>
  <w:num w:numId="9" w16cid:durableId="1165508830">
    <w:abstractNumId w:val="30"/>
  </w:num>
  <w:num w:numId="10" w16cid:durableId="1100566969">
    <w:abstractNumId w:val="19"/>
  </w:num>
  <w:num w:numId="11" w16cid:durableId="1328678426">
    <w:abstractNumId w:val="23"/>
  </w:num>
  <w:num w:numId="12" w16cid:durableId="1987852540">
    <w:abstractNumId w:val="11"/>
  </w:num>
  <w:num w:numId="13" w16cid:durableId="470826997">
    <w:abstractNumId w:val="27"/>
  </w:num>
  <w:num w:numId="14" w16cid:durableId="1685743426">
    <w:abstractNumId w:val="21"/>
  </w:num>
  <w:num w:numId="15" w16cid:durableId="437799513">
    <w:abstractNumId w:val="9"/>
  </w:num>
  <w:num w:numId="16" w16cid:durableId="828591644">
    <w:abstractNumId w:val="36"/>
  </w:num>
  <w:num w:numId="17" w16cid:durableId="502360207">
    <w:abstractNumId w:val="24"/>
  </w:num>
  <w:num w:numId="18" w16cid:durableId="1183667003">
    <w:abstractNumId w:val="38"/>
  </w:num>
  <w:num w:numId="19" w16cid:durableId="591014091">
    <w:abstractNumId w:val="15"/>
  </w:num>
  <w:num w:numId="20" w16cid:durableId="1296985926">
    <w:abstractNumId w:val="10"/>
  </w:num>
  <w:num w:numId="21" w16cid:durableId="1790204393">
    <w:abstractNumId w:val="6"/>
  </w:num>
  <w:num w:numId="22" w16cid:durableId="1700398796">
    <w:abstractNumId w:val="0"/>
  </w:num>
  <w:num w:numId="23" w16cid:durableId="65344739">
    <w:abstractNumId w:val="29"/>
  </w:num>
  <w:num w:numId="24" w16cid:durableId="826290767">
    <w:abstractNumId w:val="37"/>
  </w:num>
  <w:num w:numId="25" w16cid:durableId="1953511676">
    <w:abstractNumId w:val="28"/>
  </w:num>
  <w:num w:numId="26" w16cid:durableId="1891577232">
    <w:abstractNumId w:val="1"/>
  </w:num>
  <w:num w:numId="27" w16cid:durableId="1544445363">
    <w:abstractNumId w:val="8"/>
  </w:num>
  <w:num w:numId="28" w16cid:durableId="768814777">
    <w:abstractNumId w:val="25"/>
  </w:num>
  <w:num w:numId="29" w16cid:durableId="1799175860">
    <w:abstractNumId w:val="4"/>
  </w:num>
  <w:num w:numId="30" w16cid:durableId="1323776996">
    <w:abstractNumId w:val="16"/>
  </w:num>
  <w:num w:numId="31" w16cid:durableId="1025719078">
    <w:abstractNumId w:val="26"/>
  </w:num>
  <w:num w:numId="32" w16cid:durableId="1915309294">
    <w:abstractNumId w:val="22"/>
  </w:num>
  <w:num w:numId="33" w16cid:durableId="1232158539">
    <w:abstractNumId w:val="39"/>
  </w:num>
  <w:num w:numId="34" w16cid:durableId="1418404276">
    <w:abstractNumId w:val="35"/>
  </w:num>
  <w:num w:numId="35" w16cid:durableId="2109110021">
    <w:abstractNumId w:val="12"/>
  </w:num>
  <w:num w:numId="36" w16cid:durableId="1561011695">
    <w:abstractNumId w:val="2"/>
  </w:num>
  <w:num w:numId="37" w16cid:durableId="1476141373">
    <w:abstractNumId w:val="18"/>
  </w:num>
  <w:num w:numId="38" w16cid:durableId="1219365563">
    <w:abstractNumId w:val="33"/>
  </w:num>
  <w:num w:numId="39" w16cid:durableId="1867017129">
    <w:abstractNumId w:val="40"/>
  </w:num>
  <w:num w:numId="40" w16cid:durableId="248199979">
    <w:abstractNumId w:val="32"/>
  </w:num>
  <w:num w:numId="41" w16cid:durableId="1378239998">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BB8"/>
    <w:rsid w:val="000111C5"/>
    <w:rsid w:val="001169A9"/>
    <w:rsid w:val="00186704"/>
    <w:rsid w:val="001C74D9"/>
    <w:rsid w:val="00341AF5"/>
    <w:rsid w:val="00442EFB"/>
    <w:rsid w:val="00491037"/>
    <w:rsid w:val="0056160E"/>
    <w:rsid w:val="00644315"/>
    <w:rsid w:val="006C4F1A"/>
    <w:rsid w:val="006F0F81"/>
    <w:rsid w:val="00715640"/>
    <w:rsid w:val="00737E5E"/>
    <w:rsid w:val="007E0ED2"/>
    <w:rsid w:val="008505B6"/>
    <w:rsid w:val="00866200"/>
    <w:rsid w:val="008846EB"/>
    <w:rsid w:val="00AE1BB8"/>
    <w:rsid w:val="00B23533"/>
    <w:rsid w:val="00B31183"/>
    <w:rsid w:val="00E102CA"/>
    <w:rsid w:val="00F15EE0"/>
    <w:rsid w:val="00F303A3"/>
    <w:rsid w:val="00FB6B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651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7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1BB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E1BB8"/>
    <w:rPr>
      <w:b/>
      <w:bCs/>
    </w:rPr>
  </w:style>
  <w:style w:type="paragraph" w:styleId="HTMLPreformatted">
    <w:name w:val="HTML Preformatted"/>
    <w:basedOn w:val="Normal"/>
    <w:link w:val="HTMLPreformattedChar"/>
    <w:uiPriority w:val="99"/>
    <w:semiHidden/>
    <w:unhideWhenUsed/>
    <w:rsid w:val="0056160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56160E"/>
    <w:rPr>
      <w:rFonts w:ascii="Courier New" w:eastAsia="Times New Roman" w:hAnsi="Courier New" w:cs="Courier New"/>
      <w:kern w:val="0"/>
      <w:sz w:val="20"/>
      <w:szCs w:val="20"/>
      <w14:ligatures w14:val="none"/>
    </w:rPr>
  </w:style>
  <w:style w:type="character" w:styleId="HTMLCode">
    <w:name w:val="HTML Code"/>
    <w:basedOn w:val="DefaultParagraphFont"/>
    <w:uiPriority w:val="99"/>
    <w:semiHidden/>
    <w:unhideWhenUsed/>
    <w:rsid w:val="0056160E"/>
    <w:rPr>
      <w:rFonts w:ascii="Courier New" w:eastAsia="Times New Roman" w:hAnsi="Courier New" w:cs="Courier New"/>
      <w:sz w:val="20"/>
      <w:szCs w:val="20"/>
    </w:rPr>
  </w:style>
  <w:style w:type="paragraph" w:styleId="ListParagraph">
    <w:name w:val="List Paragraph"/>
    <w:basedOn w:val="Normal"/>
    <w:uiPriority w:val="34"/>
    <w:qFormat/>
    <w:rsid w:val="007E0ED2"/>
    <w:pPr>
      <w:ind w:left="720"/>
      <w:contextualSpacing/>
    </w:pPr>
  </w:style>
  <w:style w:type="character" w:customStyle="1" w:styleId="Heading1Char">
    <w:name w:val="Heading 1 Char"/>
    <w:basedOn w:val="DefaultParagraphFont"/>
    <w:link w:val="Heading1"/>
    <w:uiPriority w:val="9"/>
    <w:rsid w:val="00737E5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7E5E"/>
    <w:pPr>
      <w:outlineLvl w:val="9"/>
    </w:pPr>
    <w:rPr>
      <w:kern w:val="0"/>
      <w14:ligatures w14:val="none"/>
    </w:rPr>
  </w:style>
  <w:style w:type="paragraph" w:styleId="TOC1">
    <w:name w:val="toc 1"/>
    <w:basedOn w:val="Normal"/>
    <w:next w:val="Normal"/>
    <w:autoRedefine/>
    <w:uiPriority w:val="39"/>
    <w:unhideWhenUsed/>
    <w:rsid w:val="00737E5E"/>
    <w:pPr>
      <w:spacing w:after="100"/>
    </w:pPr>
  </w:style>
  <w:style w:type="character" w:styleId="Hyperlink">
    <w:name w:val="Hyperlink"/>
    <w:basedOn w:val="DefaultParagraphFont"/>
    <w:uiPriority w:val="99"/>
    <w:unhideWhenUsed/>
    <w:rsid w:val="00737E5E"/>
    <w:rPr>
      <w:color w:val="0563C1" w:themeColor="hyperlink"/>
      <w:u w:val="single"/>
    </w:rPr>
  </w:style>
  <w:style w:type="paragraph" w:styleId="Header">
    <w:name w:val="header"/>
    <w:basedOn w:val="Normal"/>
    <w:link w:val="HeaderChar"/>
    <w:uiPriority w:val="99"/>
    <w:unhideWhenUsed/>
    <w:rsid w:val="00737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7E5E"/>
  </w:style>
  <w:style w:type="paragraph" w:styleId="Footer">
    <w:name w:val="footer"/>
    <w:basedOn w:val="Normal"/>
    <w:link w:val="FooterChar"/>
    <w:uiPriority w:val="99"/>
    <w:unhideWhenUsed/>
    <w:rsid w:val="00737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E5E"/>
  </w:style>
  <w:style w:type="paragraph" w:styleId="NoSpacing">
    <w:name w:val="No Spacing"/>
    <w:link w:val="NoSpacingChar"/>
    <w:uiPriority w:val="1"/>
    <w:qFormat/>
    <w:rsid w:val="00737E5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37E5E"/>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220027">
      <w:bodyDiv w:val="1"/>
      <w:marLeft w:val="0"/>
      <w:marRight w:val="0"/>
      <w:marTop w:val="0"/>
      <w:marBottom w:val="0"/>
      <w:divBdr>
        <w:top w:val="none" w:sz="0" w:space="0" w:color="auto"/>
        <w:left w:val="none" w:sz="0" w:space="0" w:color="auto"/>
        <w:bottom w:val="none" w:sz="0" w:space="0" w:color="auto"/>
        <w:right w:val="none" w:sz="0" w:space="0" w:color="auto"/>
      </w:divBdr>
      <w:divsChild>
        <w:div w:id="306935743">
          <w:marLeft w:val="0"/>
          <w:marRight w:val="0"/>
          <w:marTop w:val="0"/>
          <w:marBottom w:val="0"/>
          <w:divBdr>
            <w:top w:val="none" w:sz="0" w:space="0" w:color="auto"/>
            <w:left w:val="none" w:sz="0" w:space="0" w:color="auto"/>
            <w:bottom w:val="none" w:sz="0" w:space="0" w:color="auto"/>
            <w:right w:val="none" w:sz="0" w:space="0" w:color="auto"/>
          </w:divBdr>
          <w:divsChild>
            <w:div w:id="2084909914">
              <w:marLeft w:val="0"/>
              <w:marRight w:val="0"/>
              <w:marTop w:val="0"/>
              <w:marBottom w:val="0"/>
              <w:divBdr>
                <w:top w:val="none" w:sz="0" w:space="0" w:color="auto"/>
                <w:left w:val="none" w:sz="0" w:space="0" w:color="auto"/>
                <w:bottom w:val="none" w:sz="0" w:space="0" w:color="auto"/>
                <w:right w:val="none" w:sz="0" w:space="0" w:color="auto"/>
              </w:divBdr>
              <w:divsChild>
                <w:div w:id="127574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164435">
      <w:bodyDiv w:val="1"/>
      <w:marLeft w:val="0"/>
      <w:marRight w:val="0"/>
      <w:marTop w:val="0"/>
      <w:marBottom w:val="0"/>
      <w:divBdr>
        <w:top w:val="none" w:sz="0" w:space="0" w:color="auto"/>
        <w:left w:val="none" w:sz="0" w:space="0" w:color="auto"/>
        <w:bottom w:val="none" w:sz="0" w:space="0" w:color="auto"/>
        <w:right w:val="none" w:sz="0" w:space="0" w:color="auto"/>
      </w:divBdr>
      <w:divsChild>
        <w:div w:id="1025403715">
          <w:marLeft w:val="0"/>
          <w:marRight w:val="0"/>
          <w:marTop w:val="0"/>
          <w:marBottom w:val="0"/>
          <w:divBdr>
            <w:top w:val="none" w:sz="0" w:space="0" w:color="auto"/>
            <w:left w:val="none" w:sz="0" w:space="0" w:color="auto"/>
            <w:bottom w:val="none" w:sz="0" w:space="0" w:color="auto"/>
            <w:right w:val="none" w:sz="0" w:space="0" w:color="auto"/>
          </w:divBdr>
          <w:divsChild>
            <w:div w:id="1112551556">
              <w:marLeft w:val="0"/>
              <w:marRight w:val="0"/>
              <w:marTop w:val="0"/>
              <w:marBottom w:val="0"/>
              <w:divBdr>
                <w:top w:val="none" w:sz="0" w:space="0" w:color="auto"/>
                <w:left w:val="none" w:sz="0" w:space="0" w:color="auto"/>
                <w:bottom w:val="none" w:sz="0" w:space="0" w:color="auto"/>
                <w:right w:val="none" w:sz="0" w:space="0" w:color="auto"/>
              </w:divBdr>
              <w:divsChild>
                <w:div w:id="123970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010734">
      <w:bodyDiv w:val="1"/>
      <w:marLeft w:val="0"/>
      <w:marRight w:val="0"/>
      <w:marTop w:val="0"/>
      <w:marBottom w:val="0"/>
      <w:divBdr>
        <w:top w:val="none" w:sz="0" w:space="0" w:color="auto"/>
        <w:left w:val="none" w:sz="0" w:space="0" w:color="auto"/>
        <w:bottom w:val="none" w:sz="0" w:space="0" w:color="auto"/>
        <w:right w:val="none" w:sz="0" w:space="0" w:color="auto"/>
      </w:divBdr>
      <w:divsChild>
        <w:div w:id="440497311">
          <w:marLeft w:val="0"/>
          <w:marRight w:val="0"/>
          <w:marTop w:val="0"/>
          <w:marBottom w:val="0"/>
          <w:divBdr>
            <w:top w:val="none" w:sz="0" w:space="0" w:color="auto"/>
            <w:left w:val="none" w:sz="0" w:space="0" w:color="auto"/>
            <w:bottom w:val="none" w:sz="0" w:space="0" w:color="auto"/>
            <w:right w:val="none" w:sz="0" w:space="0" w:color="auto"/>
          </w:divBdr>
        </w:div>
      </w:divsChild>
    </w:div>
    <w:div w:id="854342298">
      <w:bodyDiv w:val="1"/>
      <w:marLeft w:val="0"/>
      <w:marRight w:val="0"/>
      <w:marTop w:val="0"/>
      <w:marBottom w:val="0"/>
      <w:divBdr>
        <w:top w:val="none" w:sz="0" w:space="0" w:color="auto"/>
        <w:left w:val="none" w:sz="0" w:space="0" w:color="auto"/>
        <w:bottom w:val="none" w:sz="0" w:space="0" w:color="auto"/>
        <w:right w:val="none" w:sz="0" w:space="0" w:color="auto"/>
      </w:divBdr>
    </w:div>
    <w:div w:id="859315426">
      <w:bodyDiv w:val="1"/>
      <w:marLeft w:val="0"/>
      <w:marRight w:val="0"/>
      <w:marTop w:val="0"/>
      <w:marBottom w:val="0"/>
      <w:divBdr>
        <w:top w:val="none" w:sz="0" w:space="0" w:color="auto"/>
        <w:left w:val="none" w:sz="0" w:space="0" w:color="auto"/>
        <w:bottom w:val="none" w:sz="0" w:space="0" w:color="auto"/>
        <w:right w:val="none" w:sz="0" w:space="0" w:color="auto"/>
      </w:divBdr>
    </w:div>
    <w:div w:id="1045636297">
      <w:bodyDiv w:val="1"/>
      <w:marLeft w:val="0"/>
      <w:marRight w:val="0"/>
      <w:marTop w:val="0"/>
      <w:marBottom w:val="0"/>
      <w:divBdr>
        <w:top w:val="none" w:sz="0" w:space="0" w:color="auto"/>
        <w:left w:val="none" w:sz="0" w:space="0" w:color="auto"/>
        <w:bottom w:val="none" w:sz="0" w:space="0" w:color="auto"/>
        <w:right w:val="none" w:sz="0" w:space="0" w:color="auto"/>
      </w:divBdr>
    </w:div>
    <w:div w:id="1119451324">
      <w:bodyDiv w:val="1"/>
      <w:marLeft w:val="0"/>
      <w:marRight w:val="0"/>
      <w:marTop w:val="0"/>
      <w:marBottom w:val="0"/>
      <w:divBdr>
        <w:top w:val="none" w:sz="0" w:space="0" w:color="auto"/>
        <w:left w:val="none" w:sz="0" w:space="0" w:color="auto"/>
        <w:bottom w:val="none" w:sz="0" w:space="0" w:color="auto"/>
        <w:right w:val="none" w:sz="0" w:space="0" w:color="auto"/>
      </w:divBdr>
      <w:divsChild>
        <w:div w:id="607127741">
          <w:marLeft w:val="0"/>
          <w:marRight w:val="0"/>
          <w:marTop w:val="0"/>
          <w:marBottom w:val="0"/>
          <w:divBdr>
            <w:top w:val="none" w:sz="0" w:space="0" w:color="auto"/>
            <w:left w:val="none" w:sz="0" w:space="0" w:color="auto"/>
            <w:bottom w:val="none" w:sz="0" w:space="0" w:color="auto"/>
            <w:right w:val="none" w:sz="0" w:space="0" w:color="auto"/>
          </w:divBdr>
        </w:div>
        <w:div w:id="1330325480">
          <w:marLeft w:val="0"/>
          <w:marRight w:val="0"/>
          <w:marTop w:val="0"/>
          <w:marBottom w:val="0"/>
          <w:divBdr>
            <w:top w:val="none" w:sz="0" w:space="0" w:color="auto"/>
            <w:left w:val="none" w:sz="0" w:space="0" w:color="auto"/>
            <w:bottom w:val="none" w:sz="0" w:space="0" w:color="auto"/>
            <w:right w:val="none" w:sz="0" w:space="0" w:color="auto"/>
          </w:divBdr>
        </w:div>
        <w:div w:id="341317521">
          <w:marLeft w:val="0"/>
          <w:marRight w:val="0"/>
          <w:marTop w:val="0"/>
          <w:marBottom w:val="0"/>
          <w:divBdr>
            <w:top w:val="none" w:sz="0" w:space="0" w:color="auto"/>
            <w:left w:val="none" w:sz="0" w:space="0" w:color="auto"/>
            <w:bottom w:val="none" w:sz="0" w:space="0" w:color="auto"/>
            <w:right w:val="none" w:sz="0" w:space="0" w:color="auto"/>
          </w:divBdr>
        </w:div>
        <w:div w:id="416823696">
          <w:marLeft w:val="0"/>
          <w:marRight w:val="0"/>
          <w:marTop w:val="0"/>
          <w:marBottom w:val="0"/>
          <w:divBdr>
            <w:top w:val="none" w:sz="0" w:space="0" w:color="auto"/>
            <w:left w:val="none" w:sz="0" w:space="0" w:color="auto"/>
            <w:bottom w:val="none" w:sz="0" w:space="0" w:color="auto"/>
            <w:right w:val="none" w:sz="0" w:space="0" w:color="auto"/>
          </w:divBdr>
        </w:div>
        <w:div w:id="1433668756">
          <w:marLeft w:val="0"/>
          <w:marRight w:val="0"/>
          <w:marTop w:val="0"/>
          <w:marBottom w:val="0"/>
          <w:divBdr>
            <w:top w:val="none" w:sz="0" w:space="0" w:color="auto"/>
            <w:left w:val="none" w:sz="0" w:space="0" w:color="auto"/>
            <w:bottom w:val="none" w:sz="0" w:space="0" w:color="auto"/>
            <w:right w:val="none" w:sz="0" w:space="0" w:color="auto"/>
          </w:divBdr>
        </w:div>
        <w:div w:id="633756047">
          <w:marLeft w:val="0"/>
          <w:marRight w:val="0"/>
          <w:marTop w:val="0"/>
          <w:marBottom w:val="0"/>
          <w:divBdr>
            <w:top w:val="none" w:sz="0" w:space="0" w:color="auto"/>
            <w:left w:val="none" w:sz="0" w:space="0" w:color="auto"/>
            <w:bottom w:val="none" w:sz="0" w:space="0" w:color="auto"/>
            <w:right w:val="none" w:sz="0" w:space="0" w:color="auto"/>
          </w:divBdr>
        </w:div>
        <w:div w:id="1807550890">
          <w:marLeft w:val="0"/>
          <w:marRight w:val="0"/>
          <w:marTop w:val="0"/>
          <w:marBottom w:val="0"/>
          <w:divBdr>
            <w:top w:val="none" w:sz="0" w:space="0" w:color="auto"/>
            <w:left w:val="none" w:sz="0" w:space="0" w:color="auto"/>
            <w:bottom w:val="none" w:sz="0" w:space="0" w:color="auto"/>
            <w:right w:val="none" w:sz="0" w:space="0" w:color="auto"/>
          </w:divBdr>
        </w:div>
        <w:div w:id="1133448548">
          <w:marLeft w:val="0"/>
          <w:marRight w:val="0"/>
          <w:marTop w:val="0"/>
          <w:marBottom w:val="0"/>
          <w:divBdr>
            <w:top w:val="none" w:sz="0" w:space="0" w:color="auto"/>
            <w:left w:val="none" w:sz="0" w:space="0" w:color="auto"/>
            <w:bottom w:val="none" w:sz="0" w:space="0" w:color="auto"/>
            <w:right w:val="none" w:sz="0" w:space="0" w:color="auto"/>
          </w:divBdr>
        </w:div>
      </w:divsChild>
    </w:div>
    <w:div w:id="1393312813">
      <w:bodyDiv w:val="1"/>
      <w:marLeft w:val="0"/>
      <w:marRight w:val="0"/>
      <w:marTop w:val="0"/>
      <w:marBottom w:val="0"/>
      <w:divBdr>
        <w:top w:val="none" w:sz="0" w:space="0" w:color="auto"/>
        <w:left w:val="none" w:sz="0" w:space="0" w:color="auto"/>
        <w:bottom w:val="none" w:sz="0" w:space="0" w:color="auto"/>
        <w:right w:val="none" w:sz="0" w:space="0" w:color="auto"/>
      </w:divBdr>
    </w:div>
    <w:div w:id="1827241483">
      <w:bodyDiv w:val="1"/>
      <w:marLeft w:val="0"/>
      <w:marRight w:val="0"/>
      <w:marTop w:val="0"/>
      <w:marBottom w:val="0"/>
      <w:divBdr>
        <w:top w:val="none" w:sz="0" w:space="0" w:color="auto"/>
        <w:left w:val="none" w:sz="0" w:space="0" w:color="auto"/>
        <w:bottom w:val="none" w:sz="0" w:space="0" w:color="auto"/>
        <w:right w:val="none" w:sz="0" w:space="0" w:color="auto"/>
      </w:divBdr>
    </w:div>
    <w:div w:id="1973823274">
      <w:bodyDiv w:val="1"/>
      <w:marLeft w:val="0"/>
      <w:marRight w:val="0"/>
      <w:marTop w:val="0"/>
      <w:marBottom w:val="0"/>
      <w:divBdr>
        <w:top w:val="none" w:sz="0" w:space="0" w:color="auto"/>
        <w:left w:val="none" w:sz="0" w:space="0" w:color="auto"/>
        <w:bottom w:val="none" w:sz="0" w:space="0" w:color="auto"/>
        <w:right w:val="none" w:sz="0" w:space="0" w:color="auto"/>
      </w:divBdr>
      <w:divsChild>
        <w:div w:id="2031255147">
          <w:marLeft w:val="0"/>
          <w:marRight w:val="0"/>
          <w:marTop w:val="0"/>
          <w:marBottom w:val="0"/>
          <w:divBdr>
            <w:top w:val="none" w:sz="0" w:space="0" w:color="auto"/>
            <w:left w:val="none" w:sz="0" w:space="0" w:color="auto"/>
            <w:bottom w:val="none" w:sz="0" w:space="0" w:color="auto"/>
            <w:right w:val="none" w:sz="0" w:space="0" w:color="auto"/>
          </w:divBdr>
          <w:divsChild>
            <w:div w:id="668287871">
              <w:marLeft w:val="0"/>
              <w:marRight w:val="0"/>
              <w:marTop w:val="0"/>
              <w:marBottom w:val="0"/>
              <w:divBdr>
                <w:top w:val="none" w:sz="0" w:space="0" w:color="auto"/>
                <w:left w:val="none" w:sz="0" w:space="0" w:color="auto"/>
                <w:bottom w:val="none" w:sz="0" w:space="0" w:color="auto"/>
                <w:right w:val="none" w:sz="0" w:space="0" w:color="auto"/>
              </w:divBdr>
              <w:divsChild>
                <w:div w:id="163525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274418">
      <w:bodyDiv w:val="1"/>
      <w:marLeft w:val="0"/>
      <w:marRight w:val="0"/>
      <w:marTop w:val="0"/>
      <w:marBottom w:val="0"/>
      <w:divBdr>
        <w:top w:val="none" w:sz="0" w:space="0" w:color="auto"/>
        <w:left w:val="none" w:sz="0" w:space="0" w:color="auto"/>
        <w:bottom w:val="none" w:sz="0" w:space="0" w:color="auto"/>
        <w:right w:val="none" w:sz="0" w:space="0" w:color="auto"/>
      </w:divBdr>
      <w:divsChild>
        <w:div w:id="1349335429">
          <w:marLeft w:val="0"/>
          <w:marRight w:val="0"/>
          <w:marTop w:val="0"/>
          <w:marBottom w:val="0"/>
          <w:divBdr>
            <w:top w:val="none" w:sz="0" w:space="0" w:color="auto"/>
            <w:left w:val="none" w:sz="0" w:space="0" w:color="auto"/>
            <w:bottom w:val="none" w:sz="0" w:space="0" w:color="auto"/>
            <w:right w:val="none" w:sz="0" w:space="0" w:color="auto"/>
          </w:divBdr>
          <w:divsChild>
            <w:div w:id="1517235665">
              <w:marLeft w:val="0"/>
              <w:marRight w:val="0"/>
              <w:marTop w:val="0"/>
              <w:marBottom w:val="0"/>
              <w:divBdr>
                <w:top w:val="none" w:sz="0" w:space="0" w:color="auto"/>
                <w:left w:val="none" w:sz="0" w:space="0" w:color="auto"/>
                <w:bottom w:val="none" w:sz="0" w:space="0" w:color="auto"/>
                <w:right w:val="none" w:sz="0" w:space="0" w:color="auto"/>
              </w:divBdr>
            </w:div>
          </w:divsChild>
        </w:div>
        <w:div w:id="263460853">
          <w:marLeft w:val="0"/>
          <w:marRight w:val="0"/>
          <w:marTop w:val="0"/>
          <w:marBottom w:val="0"/>
          <w:divBdr>
            <w:top w:val="none" w:sz="0" w:space="0" w:color="auto"/>
            <w:left w:val="none" w:sz="0" w:space="0" w:color="auto"/>
            <w:bottom w:val="none" w:sz="0" w:space="0" w:color="auto"/>
            <w:right w:val="none" w:sz="0" w:space="0" w:color="auto"/>
          </w:divBdr>
          <w:divsChild>
            <w:div w:id="735321597">
              <w:marLeft w:val="0"/>
              <w:marRight w:val="0"/>
              <w:marTop w:val="0"/>
              <w:marBottom w:val="0"/>
              <w:divBdr>
                <w:top w:val="none" w:sz="0" w:space="0" w:color="auto"/>
                <w:left w:val="none" w:sz="0" w:space="0" w:color="auto"/>
                <w:bottom w:val="none" w:sz="0" w:space="0" w:color="auto"/>
                <w:right w:val="none" w:sz="0" w:space="0" w:color="auto"/>
              </w:divBdr>
            </w:div>
          </w:divsChild>
        </w:div>
        <w:div w:id="1949502548">
          <w:marLeft w:val="0"/>
          <w:marRight w:val="0"/>
          <w:marTop w:val="0"/>
          <w:marBottom w:val="0"/>
          <w:divBdr>
            <w:top w:val="none" w:sz="0" w:space="0" w:color="auto"/>
            <w:left w:val="none" w:sz="0" w:space="0" w:color="auto"/>
            <w:bottom w:val="none" w:sz="0" w:space="0" w:color="auto"/>
            <w:right w:val="none" w:sz="0" w:space="0" w:color="auto"/>
          </w:divBdr>
          <w:divsChild>
            <w:div w:id="804735167">
              <w:marLeft w:val="0"/>
              <w:marRight w:val="0"/>
              <w:marTop w:val="0"/>
              <w:marBottom w:val="0"/>
              <w:divBdr>
                <w:top w:val="none" w:sz="0" w:space="0" w:color="auto"/>
                <w:left w:val="none" w:sz="0" w:space="0" w:color="auto"/>
                <w:bottom w:val="none" w:sz="0" w:space="0" w:color="auto"/>
                <w:right w:val="none" w:sz="0" w:space="0" w:color="auto"/>
              </w:divBdr>
            </w:div>
          </w:divsChild>
        </w:div>
        <w:div w:id="1433479338">
          <w:marLeft w:val="0"/>
          <w:marRight w:val="0"/>
          <w:marTop w:val="0"/>
          <w:marBottom w:val="0"/>
          <w:divBdr>
            <w:top w:val="none" w:sz="0" w:space="0" w:color="auto"/>
            <w:left w:val="none" w:sz="0" w:space="0" w:color="auto"/>
            <w:bottom w:val="none" w:sz="0" w:space="0" w:color="auto"/>
            <w:right w:val="none" w:sz="0" w:space="0" w:color="auto"/>
          </w:divBdr>
          <w:divsChild>
            <w:div w:id="1846555440">
              <w:marLeft w:val="0"/>
              <w:marRight w:val="0"/>
              <w:marTop w:val="0"/>
              <w:marBottom w:val="0"/>
              <w:divBdr>
                <w:top w:val="none" w:sz="0" w:space="0" w:color="auto"/>
                <w:left w:val="none" w:sz="0" w:space="0" w:color="auto"/>
                <w:bottom w:val="none" w:sz="0" w:space="0" w:color="auto"/>
                <w:right w:val="none" w:sz="0" w:space="0" w:color="auto"/>
              </w:divBdr>
            </w:div>
          </w:divsChild>
        </w:div>
        <w:div w:id="1432818538">
          <w:marLeft w:val="0"/>
          <w:marRight w:val="0"/>
          <w:marTop w:val="0"/>
          <w:marBottom w:val="0"/>
          <w:divBdr>
            <w:top w:val="none" w:sz="0" w:space="0" w:color="auto"/>
            <w:left w:val="none" w:sz="0" w:space="0" w:color="auto"/>
            <w:bottom w:val="none" w:sz="0" w:space="0" w:color="auto"/>
            <w:right w:val="none" w:sz="0" w:space="0" w:color="auto"/>
          </w:divBdr>
          <w:divsChild>
            <w:div w:id="62141029">
              <w:marLeft w:val="0"/>
              <w:marRight w:val="0"/>
              <w:marTop w:val="0"/>
              <w:marBottom w:val="0"/>
              <w:divBdr>
                <w:top w:val="none" w:sz="0" w:space="0" w:color="auto"/>
                <w:left w:val="none" w:sz="0" w:space="0" w:color="auto"/>
                <w:bottom w:val="none" w:sz="0" w:space="0" w:color="auto"/>
                <w:right w:val="none" w:sz="0" w:space="0" w:color="auto"/>
              </w:divBdr>
            </w:div>
          </w:divsChild>
        </w:div>
        <w:div w:id="1893272530">
          <w:marLeft w:val="0"/>
          <w:marRight w:val="0"/>
          <w:marTop w:val="0"/>
          <w:marBottom w:val="0"/>
          <w:divBdr>
            <w:top w:val="none" w:sz="0" w:space="0" w:color="auto"/>
            <w:left w:val="none" w:sz="0" w:space="0" w:color="auto"/>
            <w:bottom w:val="none" w:sz="0" w:space="0" w:color="auto"/>
            <w:right w:val="none" w:sz="0" w:space="0" w:color="auto"/>
          </w:divBdr>
          <w:divsChild>
            <w:div w:id="127756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55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file:///F:\Documents\Book1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F:\Downloads\Book1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Downloads\Book1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c:f>
              <c:strCache>
                <c:ptCount val="1"/>
                <c:pt idx="0">
                  <c:v>Total revenue </c:v>
                </c:pt>
              </c:strCache>
            </c:strRef>
          </c:tx>
          <c:spPr>
            <a:solidFill>
              <a:schemeClr val="accent1"/>
            </a:solidFill>
            <a:ln>
              <a:noFill/>
            </a:ln>
            <a:effectLst/>
          </c:spPr>
          <c:invertIfNegative val="0"/>
          <c:cat>
            <c:numRef>
              <c:f>Sheet1!$C$2:$C$4</c:f>
              <c:numCache>
                <c:formatCode>General</c:formatCode>
                <c:ptCount val="3"/>
                <c:pt idx="0">
                  <c:v>2020</c:v>
                </c:pt>
                <c:pt idx="1">
                  <c:v>2021</c:v>
                </c:pt>
                <c:pt idx="2">
                  <c:v>2022</c:v>
                </c:pt>
              </c:numCache>
            </c:numRef>
          </c:cat>
          <c:val>
            <c:numRef>
              <c:f>Sheet1!$D$2:$D$4</c:f>
              <c:numCache>
                <c:formatCode>General</c:formatCode>
                <c:ptCount val="3"/>
                <c:pt idx="0">
                  <c:v>520000</c:v>
                </c:pt>
                <c:pt idx="1">
                  <c:v>480000</c:v>
                </c:pt>
                <c:pt idx="2">
                  <c:v>430000</c:v>
                </c:pt>
              </c:numCache>
            </c:numRef>
          </c:val>
          <c:extLst>
            <c:ext xmlns:c16="http://schemas.microsoft.com/office/drawing/2014/chart" uri="{C3380CC4-5D6E-409C-BE32-E72D297353CC}">
              <c16:uniqueId val="{00000000-AB9A-4DB0-BA74-F35EBC81485E}"/>
            </c:ext>
          </c:extLst>
        </c:ser>
        <c:dLbls>
          <c:showLegendKey val="0"/>
          <c:showVal val="0"/>
          <c:showCatName val="0"/>
          <c:showSerName val="0"/>
          <c:showPercent val="0"/>
          <c:showBubbleSize val="0"/>
        </c:dLbls>
        <c:gapWidth val="219"/>
        <c:overlap val="-27"/>
        <c:axId val="589297136"/>
        <c:axId val="589299296"/>
        <c:extLst>
          <c:ext xmlns:c15="http://schemas.microsoft.com/office/drawing/2012/chart" uri="{02D57815-91ED-43cb-92C2-25804820EDAC}">
            <c15:filteredBarSeries>
              <c15:ser>
                <c:idx val="1"/>
                <c:order val="1"/>
                <c:tx>
                  <c:strRef>
                    <c:extLst>
                      <c:ext uri="{02D57815-91ED-43cb-92C2-25804820EDAC}">
                        <c15:formulaRef>
                          <c15:sqref>Sheet1!$E$1</c15:sqref>
                        </c15:formulaRef>
                      </c:ext>
                    </c:extLst>
                    <c:strCache>
                      <c:ptCount val="1"/>
                    </c:strCache>
                  </c:strRef>
                </c:tx>
                <c:spPr>
                  <a:solidFill>
                    <a:schemeClr val="accent2"/>
                  </a:solidFill>
                  <a:ln>
                    <a:noFill/>
                  </a:ln>
                  <a:effectLst/>
                </c:spPr>
                <c:invertIfNegative val="0"/>
                <c:cat>
                  <c:numRef>
                    <c:extLst>
                      <c:ext uri="{02D57815-91ED-43cb-92C2-25804820EDAC}">
                        <c15:formulaRef>
                          <c15:sqref>Sheet1!$C$2:$C$4</c15:sqref>
                        </c15:formulaRef>
                      </c:ext>
                    </c:extLst>
                    <c:numCache>
                      <c:formatCode>General</c:formatCode>
                      <c:ptCount val="3"/>
                      <c:pt idx="0">
                        <c:v>2020</c:v>
                      </c:pt>
                      <c:pt idx="1">
                        <c:v>2021</c:v>
                      </c:pt>
                      <c:pt idx="2">
                        <c:v>2022</c:v>
                      </c:pt>
                    </c:numCache>
                  </c:numRef>
                </c:cat>
                <c:val>
                  <c:numRef>
                    <c:extLst>
                      <c:ext uri="{02D57815-91ED-43cb-92C2-25804820EDAC}">
                        <c15:formulaRef>
                          <c15:sqref>Sheet1!$E$2:$E$4</c15:sqref>
                        </c15:formulaRef>
                      </c:ext>
                    </c:extLst>
                    <c:numCache>
                      <c:formatCode>General</c:formatCode>
                      <c:ptCount val="3"/>
                    </c:numCache>
                  </c:numRef>
                </c:val>
                <c:extLst>
                  <c:ext xmlns:c16="http://schemas.microsoft.com/office/drawing/2014/chart" uri="{C3380CC4-5D6E-409C-BE32-E72D297353CC}">
                    <c16:uniqueId val="{00000001-AB9A-4DB0-BA74-F35EBC81485E}"/>
                  </c:ext>
                </c:extLst>
              </c15:ser>
            </c15:filteredBarSeries>
          </c:ext>
        </c:extLst>
      </c:barChart>
      <c:catAx>
        <c:axId val="5892971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299296"/>
        <c:crosses val="autoZero"/>
        <c:auto val="1"/>
        <c:lblAlgn val="ctr"/>
        <c:lblOffset val="100"/>
        <c:noMultiLvlLbl val="0"/>
      </c:catAx>
      <c:valAx>
        <c:axId val="589299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297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Sheet2!$A$7</c:f>
              <c:strCache>
                <c:ptCount val="1"/>
                <c:pt idx="0">
                  <c:v>Year</c:v>
                </c:pt>
              </c:strCache>
            </c:strRef>
          </c:tx>
          <c:invertIfNegative val="0"/>
          <c:cat>
            <c:numRef>
              <c:f>Sheet2!$A$8:$A$10</c:f>
              <c:numCache>
                <c:formatCode>General</c:formatCode>
                <c:ptCount val="3"/>
                <c:pt idx="0">
                  <c:v>2020</c:v>
                </c:pt>
                <c:pt idx="1">
                  <c:v>2021</c:v>
                </c:pt>
                <c:pt idx="2">
                  <c:v>2022</c:v>
                </c:pt>
              </c:numCache>
            </c:numRef>
          </c:cat>
          <c:val>
            <c:numRef>
              <c:f>Sheet2!$A$8:$A$10</c:f>
              <c:numCache>
                <c:formatCode>General</c:formatCode>
                <c:ptCount val="3"/>
                <c:pt idx="0">
                  <c:v>2020</c:v>
                </c:pt>
                <c:pt idx="1">
                  <c:v>2021</c:v>
                </c:pt>
                <c:pt idx="2">
                  <c:v>2022</c:v>
                </c:pt>
              </c:numCache>
            </c:numRef>
          </c:val>
          <c:extLst>
            <c:ext xmlns:c16="http://schemas.microsoft.com/office/drawing/2014/chart" uri="{C3380CC4-5D6E-409C-BE32-E72D297353CC}">
              <c16:uniqueId val="{00000000-B5EB-4F3D-9787-D36B696F2099}"/>
            </c:ext>
          </c:extLst>
        </c:ser>
        <c:ser>
          <c:idx val="1"/>
          <c:order val="1"/>
          <c:tx>
            <c:strRef>
              <c:f>Sheet2!$B$7</c:f>
              <c:strCache>
                <c:ptCount val="1"/>
                <c:pt idx="0">
                  <c:v>Operating Expenses</c:v>
                </c:pt>
              </c:strCache>
            </c:strRef>
          </c:tx>
          <c:invertIfNegative val="0"/>
          <c:cat>
            <c:numRef>
              <c:f>Sheet2!$A$8:$A$10</c:f>
              <c:numCache>
                <c:formatCode>General</c:formatCode>
                <c:ptCount val="3"/>
                <c:pt idx="0">
                  <c:v>2020</c:v>
                </c:pt>
                <c:pt idx="1">
                  <c:v>2021</c:v>
                </c:pt>
                <c:pt idx="2">
                  <c:v>2022</c:v>
                </c:pt>
              </c:numCache>
            </c:numRef>
          </c:cat>
          <c:val>
            <c:numRef>
              <c:f>Sheet2!$B$8:$B$10</c:f>
              <c:numCache>
                <c:formatCode>General</c:formatCode>
                <c:ptCount val="3"/>
                <c:pt idx="0">
                  <c:v>390000</c:v>
                </c:pt>
                <c:pt idx="1">
                  <c:v>400000</c:v>
                </c:pt>
                <c:pt idx="2">
                  <c:v>450000</c:v>
                </c:pt>
              </c:numCache>
            </c:numRef>
          </c:val>
          <c:extLst>
            <c:ext xmlns:c16="http://schemas.microsoft.com/office/drawing/2014/chart" uri="{C3380CC4-5D6E-409C-BE32-E72D297353CC}">
              <c16:uniqueId val="{00000001-B5EB-4F3D-9787-D36B696F2099}"/>
            </c:ext>
          </c:extLst>
        </c:ser>
        <c:dLbls>
          <c:showLegendKey val="0"/>
          <c:showVal val="0"/>
          <c:showCatName val="0"/>
          <c:showSerName val="0"/>
          <c:showPercent val="0"/>
          <c:showBubbleSize val="0"/>
        </c:dLbls>
        <c:gapWidth val="150"/>
        <c:axId val="121786368"/>
        <c:axId val="141701888"/>
      </c:barChart>
      <c:catAx>
        <c:axId val="121786368"/>
        <c:scaling>
          <c:orientation val="minMax"/>
        </c:scaling>
        <c:delete val="0"/>
        <c:axPos val="b"/>
        <c:numFmt formatCode="General" sourceLinked="1"/>
        <c:majorTickMark val="out"/>
        <c:minorTickMark val="none"/>
        <c:tickLblPos val="nextTo"/>
        <c:crossAx val="141701888"/>
        <c:crosses val="autoZero"/>
        <c:auto val="1"/>
        <c:lblAlgn val="ctr"/>
        <c:lblOffset val="100"/>
        <c:noMultiLvlLbl val="0"/>
      </c:catAx>
      <c:valAx>
        <c:axId val="141701888"/>
        <c:scaling>
          <c:orientation val="minMax"/>
        </c:scaling>
        <c:delete val="0"/>
        <c:axPos val="l"/>
        <c:majorGridlines/>
        <c:numFmt formatCode="General" sourceLinked="1"/>
        <c:majorTickMark val="out"/>
        <c:minorTickMark val="none"/>
        <c:tickLblPos val="nextTo"/>
        <c:crossAx val="12178636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Net</a:t>
            </a:r>
            <a:r>
              <a:rPr lang="en-US" baseline="0"/>
              <a:t> Profit Margin</a:t>
            </a:r>
            <a:endParaRPr lang="en-US"/>
          </a:p>
        </c:rich>
      </c:tx>
      <c:overlay val="0"/>
    </c:title>
    <c:autoTitleDeleted val="0"/>
    <c:plotArea>
      <c:layout>
        <c:manualLayout>
          <c:layoutTarget val="inner"/>
          <c:xMode val="edge"/>
          <c:yMode val="edge"/>
          <c:x val="9.8766185476815399E-2"/>
          <c:y val="7.4548702245552642E-2"/>
          <c:w val="0.59572134733158355"/>
          <c:h val="0.89719889180519097"/>
        </c:manualLayout>
      </c:layout>
      <c:barChart>
        <c:barDir val="col"/>
        <c:grouping val="clustered"/>
        <c:varyColors val="0"/>
        <c:ser>
          <c:idx val="0"/>
          <c:order val="0"/>
          <c:tx>
            <c:strRef>
              <c:f>Sheet2!$A$13</c:f>
              <c:strCache>
                <c:ptCount val="1"/>
                <c:pt idx="0">
                  <c:v>Year</c:v>
                </c:pt>
              </c:strCache>
            </c:strRef>
          </c:tx>
          <c:invertIfNegative val="0"/>
          <c:cat>
            <c:numRef>
              <c:f>Sheet2!$A$14:$A$16</c:f>
              <c:numCache>
                <c:formatCode>General</c:formatCode>
                <c:ptCount val="3"/>
                <c:pt idx="0">
                  <c:v>2020</c:v>
                </c:pt>
                <c:pt idx="1">
                  <c:v>2021</c:v>
                </c:pt>
                <c:pt idx="2">
                  <c:v>2022</c:v>
                </c:pt>
              </c:numCache>
            </c:numRef>
          </c:cat>
          <c:val>
            <c:numRef>
              <c:f>Sheet2!$B$14:$B$16</c:f>
              <c:numCache>
                <c:formatCode>0%</c:formatCode>
                <c:ptCount val="3"/>
                <c:pt idx="0">
                  <c:v>0.15</c:v>
                </c:pt>
                <c:pt idx="1">
                  <c:v>0.08</c:v>
                </c:pt>
                <c:pt idx="2">
                  <c:v>-0.11</c:v>
                </c:pt>
              </c:numCache>
            </c:numRef>
          </c:val>
          <c:extLst>
            <c:ext xmlns:c16="http://schemas.microsoft.com/office/drawing/2014/chart" uri="{C3380CC4-5D6E-409C-BE32-E72D297353CC}">
              <c16:uniqueId val="{00000000-5478-425B-A6D0-4856C828FF4F}"/>
            </c:ext>
          </c:extLst>
        </c:ser>
        <c:dLbls>
          <c:showLegendKey val="0"/>
          <c:showVal val="0"/>
          <c:showCatName val="0"/>
          <c:showSerName val="0"/>
          <c:showPercent val="0"/>
          <c:showBubbleSize val="0"/>
        </c:dLbls>
        <c:gapWidth val="150"/>
        <c:axId val="143988608"/>
        <c:axId val="77402880"/>
      </c:barChart>
      <c:catAx>
        <c:axId val="143988608"/>
        <c:scaling>
          <c:orientation val="minMax"/>
        </c:scaling>
        <c:delete val="0"/>
        <c:axPos val="b"/>
        <c:numFmt formatCode="General" sourceLinked="1"/>
        <c:majorTickMark val="out"/>
        <c:minorTickMark val="none"/>
        <c:tickLblPos val="nextTo"/>
        <c:crossAx val="77402880"/>
        <c:crosses val="autoZero"/>
        <c:auto val="1"/>
        <c:lblAlgn val="ctr"/>
        <c:lblOffset val="100"/>
        <c:noMultiLvlLbl val="0"/>
      </c:catAx>
      <c:valAx>
        <c:axId val="77402880"/>
        <c:scaling>
          <c:orientation val="minMax"/>
        </c:scaling>
        <c:delete val="0"/>
        <c:axPos val="l"/>
        <c:majorGridlines/>
        <c:numFmt formatCode="0%" sourceLinked="1"/>
        <c:majorTickMark val="out"/>
        <c:minorTickMark val="none"/>
        <c:tickLblPos val="nextTo"/>
        <c:crossAx val="143988608"/>
        <c:crosses val="autoZero"/>
        <c:crossBetween val="between"/>
      </c:valAx>
    </c:plotArea>
    <c:legend>
      <c:legendPos val="r"/>
      <c:overlay val="0"/>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C4D9D-EBB6-4511-B611-D828B55D26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3215</Words>
  <Characters>18327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2023-11-17T21:47:00Z</dcterms:created>
  <dcterms:modified xsi:type="dcterms:W3CDTF">2023-11-17T21:47:00Z</dcterms:modified>
</cp:coreProperties>
</file>