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b/>
          <w:bCs/>
        </w:rPr>
        <w:id w:val="1286849675"/>
        <w:docPartObj>
          <w:docPartGallery w:val="Cover Pages"/>
          <w:docPartUnique/>
        </w:docPartObj>
      </w:sdtPr>
      <w:sdtEndPr/>
      <w:sdtContent>
        <w:p w14:paraId="28D18661" w14:textId="43E43F37" w:rsidR="004A03DD" w:rsidRDefault="004A03DD">
          <w:pPr>
            <w:rPr>
              <w:rFonts w:asciiTheme="majorHAnsi" w:eastAsiaTheme="majorEastAsia" w:hAnsiTheme="majorHAnsi" w:cstheme="majorBidi"/>
              <w:b/>
              <w:bCs/>
              <w:kern w:val="0"/>
              <w:sz w:val="32"/>
              <w:szCs w:val="32"/>
              <w:lang w:val="en-US"/>
              <w14:ligatures w14:val="none"/>
            </w:rPr>
          </w:pPr>
          <w:r w:rsidRPr="004A03DD">
            <w:rPr>
              <w:b/>
              <w:bCs/>
              <w:noProof/>
              <w:color w:val="FFFFFF" w:themeColor="background1"/>
            </w:rPr>
            <mc:AlternateContent>
              <mc:Choice Requires="wpg">
                <w:drawing>
                  <wp:anchor distT="0" distB="0" distL="114300" distR="114300" simplePos="0" relativeHeight="251659264" behindDoc="0" locked="0" layoutInCell="1" allowOverlap="1" wp14:anchorId="5070505C" wp14:editId="7FC7A9BE">
                    <wp:simplePos x="0" y="0"/>
                    <wp:positionH relativeFrom="page">
                      <wp:align>center</wp:align>
                    </wp:positionH>
                    <wp:positionV relativeFrom="page">
                      <wp:align>center</wp:align>
                    </wp:positionV>
                    <wp:extent cx="6858000" cy="9144000"/>
                    <wp:effectExtent l="0" t="0" r="2540" b="635"/>
                    <wp:wrapNone/>
                    <wp:docPr id="11" name="Group 6"/>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3695F272" w14:textId="574A4C38" w:rsidR="004A03DD" w:rsidRDefault="004A03DD">
                                      <w:pPr>
                                        <w:pStyle w:val="NoSpacing"/>
                                        <w:spacing w:after="120"/>
                                        <w:rPr>
                                          <w:rFonts w:asciiTheme="majorHAnsi" w:eastAsiaTheme="majorEastAsia" w:hAnsiTheme="majorHAnsi" w:cstheme="majorBidi"/>
                                          <w:color w:val="FFFFFF" w:themeColor="background1"/>
                                          <w:sz w:val="84"/>
                                          <w:szCs w:val="84"/>
                                        </w:rPr>
                                      </w:pPr>
                                      <w:r w:rsidRPr="00D16E5A">
                                        <w:rPr>
                                          <w:rFonts w:asciiTheme="majorHAnsi" w:eastAsiaTheme="majorEastAsia" w:hAnsiTheme="majorHAnsi" w:cstheme="majorBidi"/>
                                          <w:color w:val="FFFFFF" w:themeColor="background1"/>
                                          <w:sz w:val="84"/>
                                          <w:szCs w:val="84"/>
                                        </w:rPr>
                                        <w:t xml:space="preserve">A CRITICAL </w:t>
                                      </w:r>
                                      <w:r w:rsidR="00096596">
                                        <w:rPr>
                                          <w:rFonts w:asciiTheme="majorHAnsi" w:eastAsiaTheme="majorEastAsia" w:hAnsiTheme="majorHAnsi" w:cstheme="majorBidi"/>
                                          <w:color w:val="FFFFFF" w:themeColor="background1"/>
                                          <w:sz w:val="84"/>
                                          <w:szCs w:val="84"/>
                                        </w:rPr>
                                        <w:t>EVALUATION</w:t>
                                      </w:r>
                                      <w:r w:rsidRPr="00D16E5A">
                                        <w:rPr>
                                          <w:rFonts w:asciiTheme="majorHAnsi" w:eastAsiaTheme="majorEastAsia" w:hAnsiTheme="majorHAnsi" w:cstheme="majorBidi"/>
                                          <w:color w:val="FFFFFF" w:themeColor="background1"/>
                                          <w:sz w:val="84"/>
                                          <w:szCs w:val="84"/>
                                        </w:rPr>
                                        <w:t xml:space="preserve"> OF THE USE OF EXPERIENTIAL TOURISM AS A STRATEGY FOR BRAND GROWTH</w:t>
                                      </w:r>
                                    </w:p>
                                  </w:sdtContent>
                                </w:sdt>
                                <w:sdt>
                                  <w:sdtPr>
                                    <w:rPr>
                                      <w:rFonts w:cstheme="minorHAnsi"/>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EndPr/>
                                  <w:sdtContent>
                                    <w:p w14:paraId="3182C9F8" w14:textId="698374EB" w:rsidR="004A03DD" w:rsidRPr="004A03DD" w:rsidRDefault="004A03DD">
                                      <w:pPr>
                                        <w:pStyle w:val="NoSpacing"/>
                                        <w:rPr>
                                          <w:rFonts w:cstheme="minorHAnsi"/>
                                          <w:color w:val="FFFFFF" w:themeColor="background1"/>
                                          <w:sz w:val="28"/>
                                          <w:szCs w:val="28"/>
                                        </w:rPr>
                                      </w:pPr>
                                      <w:r w:rsidRPr="004A03DD">
                                        <w:rPr>
                                          <w:rFonts w:cstheme="minorHAnsi"/>
                                          <w:color w:val="FFFFFF" w:themeColor="background1"/>
                                          <w:sz w:val="28"/>
                                          <w:szCs w:val="28"/>
                                        </w:rPr>
                                        <w:t>CASE STUDY: PENDERYN DISTILLERY VISITOR CENTRES</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4C58BC37" w14:textId="5D6E0109" w:rsidR="004A03DD" w:rsidRDefault="004A03DD">
                                      <w:pPr>
                                        <w:pStyle w:val="NoSpacing"/>
                                        <w:rPr>
                                          <w:color w:val="FFFFFF" w:themeColor="background1"/>
                                          <w:sz w:val="32"/>
                                          <w:szCs w:val="32"/>
                                        </w:rPr>
                                      </w:pPr>
                                      <w:r>
                                        <w:rPr>
                                          <w:color w:val="FFFFFF" w:themeColor="background1"/>
                                          <w:sz w:val="32"/>
                                          <w:szCs w:val="32"/>
                                        </w:rPr>
                                        <w:t>Laura Davies</w:t>
                                      </w:r>
                                    </w:p>
                                  </w:sdtContent>
                                </w:sdt>
                                <w:p w14:paraId="03395883" w14:textId="076259FE" w:rsidR="004A03DD" w:rsidRDefault="00AC4943">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EndPr/>
                                    <w:sdtContent>
                                      <w:r w:rsidR="004A03DD">
                                        <w:rPr>
                                          <w:caps/>
                                          <w:color w:val="FFFFFF" w:themeColor="background1"/>
                                          <w:sz w:val="18"/>
                                          <w:szCs w:val="18"/>
                                        </w:rPr>
                                        <w:t>Student id: 2127190</w:t>
                                      </w:r>
                                    </w:sdtContent>
                                  </w:sdt>
                                  <w:r w:rsidR="004A03DD">
                                    <w:rPr>
                                      <w:color w:val="FFFFFF" w:themeColor="background1"/>
                                      <w:sz w:val="18"/>
                                      <w:szCs w:val="18"/>
                                    </w:rPr>
                                    <w:t>  </w:t>
                                  </w:r>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070505C" id="Group 6" o:spid="_x0000_s1026"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3695F272" w14:textId="574A4C38" w:rsidR="004A03DD" w:rsidRDefault="004A03DD">
                                <w:pPr>
                                  <w:pStyle w:val="NoSpacing"/>
                                  <w:spacing w:after="120"/>
                                  <w:rPr>
                                    <w:rFonts w:asciiTheme="majorHAnsi" w:eastAsiaTheme="majorEastAsia" w:hAnsiTheme="majorHAnsi" w:cstheme="majorBidi"/>
                                    <w:color w:val="FFFFFF" w:themeColor="background1"/>
                                    <w:sz w:val="84"/>
                                    <w:szCs w:val="84"/>
                                  </w:rPr>
                                </w:pPr>
                                <w:r w:rsidRPr="00D16E5A">
                                  <w:rPr>
                                    <w:rFonts w:asciiTheme="majorHAnsi" w:eastAsiaTheme="majorEastAsia" w:hAnsiTheme="majorHAnsi" w:cstheme="majorBidi"/>
                                    <w:color w:val="FFFFFF" w:themeColor="background1"/>
                                    <w:sz w:val="84"/>
                                    <w:szCs w:val="84"/>
                                  </w:rPr>
                                  <w:t xml:space="preserve">A CRITICAL </w:t>
                                </w:r>
                                <w:r w:rsidR="00096596">
                                  <w:rPr>
                                    <w:rFonts w:asciiTheme="majorHAnsi" w:eastAsiaTheme="majorEastAsia" w:hAnsiTheme="majorHAnsi" w:cstheme="majorBidi"/>
                                    <w:color w:val="FFFFFF" w:themeColor="background1"/>
                                    <w:sz w:val="84"/>
                                    <w:szCs w:val="84"/>
                                  </w:rPr>
                                  <w:t>EVALUATION</w:t>
                                </w:r>
                                <w:r w:rsidRPr="00D16E5A">
                                  <w:rPr>
                                    <w:rFonts w:asciiTheme="majorHAnsi" w:eastAsiaTheme="majorEastAsia" w:hAnsiTheme="majorHAnsi" w:cstheme="majorBidi"/>
                                    <w:color w:val="FFFFFF" w:themeColor="background1"/>
                                    <w:sz w:val="84"/>
                                    <w:szCs w:val="84"/>
                                  </w:rPr>
                                  <w:t xml:space="preserve"> OF THE USE OF EXPERIENTIAL TOURISM AS A STRATEGY FOR BRAND GROWTH</w:t>
                                </w:r>
                              </w:p>
                            </w:sdtContent>
                          </w:sdt>
                          <w:sdt>
                            <w:sdtPr>
                              <w:rPr>
                                <w:rFonts w:cstheme="minorHAnsi"/>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EndPr/>
                            <w:sdtContent>
                              <w:p w14:paraId="3182C9F8" w14:textId="698374EB" w:rsidR="004A03DD" w:rsidRPr="004A03DD" w:rsidRDefault="004A03DD">
                                <w:pPr>
                                  <w:pStyle w:val="NoSpacing"/>
                                  <w:rPr>
                                    <w:rFonts w:cstheme="minorHAnsi"/>
                                    <w:color w:val="FFFFFF" w:themeColor="background1"/>
                                    <w:sz w:val="28"/>
                                    <w:szCs w:val="28"/>
                                  </w:rPr>
                                </w:pPr>
                                <w:r w:rsidRPr="004A03DD">
                                  <w:rPr>
                                    <w:rFonts w:cstheme="minorHAnsi"/>
                                    <w:color w:val="FFFFFF" w:themeColor="background1"/>
                                    <w:sz w:val="28"/>
                                    <w:szCs w:val="28"/>
                                  </w:rPr>
                                  <w:t>CASE STUDY: PENDERYN DISTILLERY VISITOR CENTRES</w:t>
                                </w:r>
                              </w:p>
                            </w:sdtContent>
                          </w:sdt>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4C58BC37" w14:textId="5D6E0109" w:rsidR="004A03DD" w:rsidRDefault="004A03DD">
                                <w:pPr>
                                  <w:pStyle w:val="NoSpacing"/>
                                  <w:rPr>
                                    <w:color w:val="FFFFFF" w:themeColor="background1"/>
                                    <w:sz w:val="32"/>
                                    <w:szCs w:val="32"/>
                                  </w:rPr>
                                </w:pPr>
                                <w:r>
                                  <w:rPr>
                                    <w:color w:val="FFFFFF" w:themeColor="background1"/>
                                    <w:sz w:val="32"/>
                                    <w:szCs w:val="32"/>
                                  </w:rPr>
                                  <w:t>Laura Davies</w:t>
                                </w:r>
                              </w:p>
                            </w:sdtContent>
                          </w:sdt>
                          <w:p w14:paraId="03395883" w14:textId="076259FE" w:rsidR="004A03DD" w:rsidRDefault="00AC4943">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EndPr/>
                              <w:sdtContent>
                                <w:r w:rsidR="004A03DD">
                                  <w:rPr>
                                    <w:caps/>
                                    <w:color w:val="FFFFFF" w:themeColor="background1"/>
                                    <w:sz w:val="18"/>
                                    <w:szCs w:val="18"/>
                                  </w:rPr>
                                  <w:t>Student id: 2127190</w:t>
                                </w:r>
                              </w:sdtContent>
                            </w:sdt>
                            <w:r w:rsidR="004A03DD">
                              <w:rPr>
                                <w:color w:val="FFFFFF" w:themeColor="background1"/>
                                <w:sz w:val="18"/>
                                <w:szCs w:val="18"/>
                              </w:rPr>
                              <w:t>  </w:t>
                            </w:r>
                          </w:p>
                        </w:txbxContent>
                      </v:textbox>
                    </v:shape>
                    <w10:wrap anchorx="page" anchory="page"/>
                  </v:group>
                </w:pict>
              </mc:Fallback>
            </mc:AlternateContent>
          </w:r>
          <w:r>
            <w:rPr>
              <w:b/>
              <w:bCs/>
            </w:rPr>
            <w:br w:type="page"/>
          </w:r>
        </w:p>
      </w:sdtContent>
    </w:sdt>
    <w:sdt>
      <w:sdtPr>
        <w:rPr>
          <w:rFonts w:asciiTheme="minorHAnsi" w:eastAsiaTheme="minorHAnsi" w:hAnsiTheme="minorHAnsi" w:cstheme="minorBidi"/>
          <w:color w:val="auto"/>
          <w:kern w:val="2"/>
          <w:sz w:val="22"/>
          <w:szCs w:val="22"/>
          <w:lang w:val="en-GB"/>
          <w14:ligatures w14:val="standardContextual"/>
        </w:rPr>
        <w:id w:val="1660801158"/>
        <w:docPartObj>
          <w:docPartGallery w:val="Table of Contents"/>
          <w:docPartUnique/>
        </w:docPartObj>
      </w:sdtPr>
      <w:sdtEndPr>
        <w:rPr>
          <w:b/>
          <w:bCs/>
          <w:noProof/>
        </w:rPr>
      </w:sdtEndPr>
      <w:sdtContent>
        <w:p w14:paraId="3EC2B950" w14:textId="0DCDBCD2" w:rsidR="00523C32" w:rsidRPr="00523C32" w:rsidRDefault="00523C32">
          <w:pPr>
            <w:pStyle w:val="TOCHeading"/>
            <w:rPr>
              <w:b/>
              <w:bCs/>
              <w:color w:val="auto"/>
            </w:rPr>
          </w:pPr>
          <w:r w:rsidRPr="00523C32">
            <w:rPr>
              <w:b/>
              <w:bCs/>
              <w:color w:val="auto"/>
            </w:rPr>
            <w:t>Contents</w:t>
          </w:r>
        </w:p>
        <w:p w14:paraId="665F780B" w14:textId="61BA2692" w:rsidR="0001456F" w:rsidRPr="005A0C0C" w:rsidRDefault="00523C32" w:rsidP="0001456F">
          <w:pPr>
            <w:pStyle w:val="TOC2"/>
            <w:tabs>
              <w:tab w:val="right" w:leader="dot" w:pos="9016"/>
            </w:tabs>
            <w:rPr>
              <w:rFonts w:eastAsiaTheme="minorEastAsia"/>
              <w:noProof/>
              <w:sz w:val="20"/>
              <w:szCs w:val="20"/>
              <w:lang w:eastAsia="en-GB"/>
            </w:rPr>
          </w:pPr>
          <w:r>
            <w:fldChar w:fldCharType="begin"/>
          </w:r>
          <w:r>
            <w:instrText xml:space="preserve"> TOC \o "1-3" \h \z \u </w:instrText>
          </w:r>
          <w:r>
            <w:fldChar w:fldCharType="separate"/>
          </w:r>
          <w:hyperlink w:anchor="_Toc160624567" w:history="1">
            <w:r w:rsidR="0001456F" w:rsidRPr="005A0C0C">
              <w:rPr>
                <w:rStyle w:val="Hyperlink"/>
                <w:rFonts w:cstheme="minorHAnsi"/>
                <w:b/>
                <w:bCs/>
                <w:noProof/>
                <w:sz w:val="20"/>
                <w:szCs w:val="20"/>
              </w:rPr>
              <w:t>ABOUT THE AUTHOR</w:t>
            </w:r>
            <w:r w:rsidR="0001456F" w:rsidRPr="005A0C0C">
              <w:rPr>
                <w:noProof/>
                <w:webHidden/>
                <w:sz w:val="20"/>
                <w:szCs w:val="20"/>
              </w:rPr>
              <w:tab/>
            </w:r>
            <w:r w:rsidR="0001456F" w:rsidRPr="005A0C0C">
              <w:rPr>
                <w:noProof/>
                <w:webHidden/>
                <w:sz w:val="20"/>
                <w:szCs w:val="20"/>
              </w:rPr>
              <w:fldChar w:fldCharType="begin"/>
            </w:r>
            <w:r w:rsidR="0001456F" w:rsidRPr="005A0C0C">
              <w:rPr>
                <w:noProof/>
                <w:webHidden/>
                <w:sz w:val="20"/>
                <w:szCs w:val="20"/>
              </w:rPr>
              <w:instrText xml:space="preserve"> PAGEREF _Toc160624567 \h </w:instrText>
            </w:r>
            <w:r w:rsidR="0001456F" w:rsidRPr="005A0C0C">
              <w:rPr>
                <w:noProof/>
                <w:webHidden/>
                <w:sz w:val="20"/>
                <w:szCs w:val="20"/>
              </w:rPr>
            </w:r>
            <w:r w:rsidR="0001456F" w:rsidRPr="005A0C0C">
              <w:rPr>
                <w:noProof/>
                <w:webHidden/>
                <w:sz w:val="20"/>
                <w:szCs w:val="20"/>
              </w:rPr>
              <w:fldChar w:fldCharType="separate"/>
            </w:r>
            <w:r w:rsidR="00A40F73">
              <w:rPr>
                <w:noProof/>
                <w:webHidden/>
                <w:sz w:val="20"/>
                <w:szCs w:val="20"/>
              </w:rPr>
              <w:t>2</w:t>
            </w:r>
            <w:r w:rsidR="0001456F" w:rsidRPr="005A0C0C">
              <w:rPr>
                <w:noProof/>
                <w:webHidden/>
                <w:sz w:val="20"/>
                <w:szCs w:val="20"/>
              </w:rPr>
              <w:fldChar w:fldCharType="end"/>
            </w:r>
          </w:hyperlink>
        </w:p>
        <w:p w14:paraId="778D2625" w14:textId="00BAB6C9" w:rsidR="0001456F" w:rsidRPr="005A0C0C" w:rsidRDefault="0001456F">
          <w:pPr>
            <w:pStyle w:val="TOC2"/>
            <w:tabs>
              <w:tab w:val="left" w:pos="880"/>
              <w:tab w:val="right" w:leader="dot" w:pos="9016"/>
            </w:tabs>
            <w:rPr>
              <w:rFonts w:eastAsiaTheme="minorEastAsia"/>
              <w:noProof/>
              <w:sz w:val="20"/>
              <w:szCs w:val="20"/>
              <w:lang w:eastAsia="en-GB"/>
            </w:rPr>
          </w:pPr>
          <w:hyperlink w:anchor="_Toc160624569" w:history="1">
            <w:r w:rsidRPr="005A0C0C">
              <w:rPr>
                <w:rStyle w:val="Hyperlink"/>
                <w:b/>
                <w:bCs/>
                <w:noProof/>
                <w:sz w:val="20"/>
                <w:szCs w:val="20"/>
              </w:rPr>
              <w:t>1.0</w:t>
            </w:r>
            <w:r w:rsidRPr="005A0C0C">
              <w:rPr>
                <w:rFonts w:eastAsiaTheme="minorEastAsia"/>
                <w:noProof/>
                <w:sz w:val="20"/>
                <w:szCs w:val="20"/>
                <w:lang w:eastAsia="en-GB"/>
              </w:rPr>
              <w:tab/>
            </w:r>
            <w:r w:rsidRPr="005A0C0C">
              <w:rPr>
                <w:rStyle w:val="Hyperlink"/>
                <w:b/>
                <w:bCs/>
                <w:noProof/>
                <w:sz w:val="20"/>
                <w:szCs w:val="20"/>
              </w:rPr>
              <w:t>ABSTRACT</w:t>
            </w:r>
            <w:r w:rsidRPr="005A0C0C">
              <w:rPr>
                <w:noProof/>
                <w:webHidden/>
                <w:sz w:val="20"/>
                <w:szCs w:val="20"/>
              </w:rPr>
              <w:tab/>
            </w:r>
            <w:r w:rsidRPr="005A0C0C">
              <w:rPr>
                <w:noProof/>
                <w:webHidden/>
                <w:sz w:val="20"/>
                <w:szCs w:val="20"/>
              </w:rPr>
              <w:fldChar w:fldCharType="begin"/>
            </w:r>
            <w:r w:rsidRPr="005A0C0C">
              <w:rPr>
                <w:noProof/>
                <w:webHidden/>
                <w:sz w:val="20"/>
                <w:szCs w:val="20"/>
              </w:rPr>
              <w:instrText xml:space="preserve"> PAGEREF _Toc160624569 \h </w:instrText>
            </w:r>
            <w:r w:rsidRPr="005A0C0C">
              <w:rPr>
                <w:noProof/>
                <w:webHidden/>
                <w:sz w:val="20"/>
                <w:szCs w:val="20"/>
              </w:rPr>
            </w:r>
            <w:r w:rsidRPr="005A0C0C">
              <w:rPr>
                <w:noProof/>
                <w:webHidden/>
                <w:sz w:val="20"/>
                <w:szCs w:val="20"/>
              </w:rPr>
              <w:fldChar w:fldCharType="separate"/>
            </w:r>
            <w:r w:rsidR="00A40F73">
              <w:rPr>
                <w:noProof/>
                <w:webHidden/>
                <w:sz w:val="20"/>
                <w:szCs w:val="20"/>
              </w:rPr>
              <w:t>3</w:t>
            </w:r>
            <w:r w:rsidRPr="005A0C0C">
              <w:rPr>
                <w:noProof/>
                <w:webHidden/>
                <w:sz w:val="20"/>
                <w:szCs w:val="20"/>
              </w:rPr>
              <w:fldChar w:fldCharType="end"/>
            </w:r>
          </w:hyperlink>
        </w:p>
        <w:p w14:paraId="7CFD45B6" w14:textId="0B46B900" w:rsidR="0001456F" w:rsidRPr="005A0C0C" w:rsidRDefault="0001456F">
          <w:pPr>
            <w:pStyle w:val="TOC2"/>
            <w:tabs>
              <w:tab w:val="left" w:pos="880"/>
              <w:tab w:val="right" w:leader="dot" w:pos="9016"/>
            </w:tabs>
            <w:rPr>
              <w:rFonts w:eastAsiaTheme="minorEastAsia"/>
              <w:noProof/>
              <w:sz w:val="20"/>
              <w:szCs w:val="20"/>
              <w:lang w:eastAsia="en-GB"/>
            </w:rPr>
          </w:pPr>
          <w:hyperlink w:anchor="_Toc160624570" w:history="1">
            <w:r w:rsidRPr="005A0C0C">
              <w:rPr>
                <w:rStyle w:val="Hyperlink"/>
                <w:b/>
                <w:bCs/>
                <w:noProof/>
                <w:sz w:val="20"/>
                <w:szCs w:val="20"/>
              </w:rPr>
              <w:t>1.1</w:t>
            </w:r>
            <w:r w:rsidRPr="005A0C0C">
              <w:rPr>
                <w:rFonts w:eastAsiaTheme="minorEastAsia"/>
                <w:noProof/>
                <w:sz w:val="20"/>
                <w:szCs w:val="20"/>
                <w:lang w:eastAsia="en-GB"/>
              </w:rPr>
              <w:tab/>
            </w:r>
            <w:r w:rsidRPr="005A0C0C">
              <w:rPr>
                <w:rStyle w:val="Hyperlink"/>
                <w:b/>
                <w:bCs/>
                <w:noProof/>
                <w:sz w:val="20"/>
                <w:szCs w:val="20"/>
              </w:rPr>
              <w:t>OBJECTIVES</w:t>
            </w:r>
            <w:r w:rsidRPr="005A0C0C">
              <w:rPr>
                <w:noProof/>
                <w:webHidden/>
                <w:sz w:val="20"/>
                <w:szCs w:val="20"/>
              </w:rPr>
              <w:tab/>
            </w:r>
            <w:r w:rsidRPr="005A0C0C">
              <w:rPr>
                <w:noProof/>
                <w:webHidden/>
                <w:sz w:val="20"/>
                <w:szCs w:val="20"/>
              </w:rPr>
              <w:fldChar w:fldCharType="begin"/>
            </w:r>
            <w:r w:rsidRPr="005A0C0C">
              <w:rPr>
                <w:noProof/>
                <w:webHidden/>
                <w:sz w:val="20"/>
                <w:szCs w:val="20"/>
              </w:rPr>
              <w:instrText xml:space="preserve"> PAGEREF _Toc160624570 \h </w:instrText>
            </w:r>
            <w:r w:rsidRPr="005A0C0C">
              <w:rPr>
                <w:noProof/>
                <w:webHidden/>
                <w:sz w:val="20"/>
                <w:szCs w:val="20"/>
              </w:rPr>
            </w:r>
            <w:r w:rsidRPr="005A0C0C">
              <w:rPr>
                <w:noProof/>
                <w:webHidden/>
                <w:sz w:val="20"/>
                <w:szCs w:val="20"/>
              </w:rPr>
              <w:fldChar w:fldCharType="separate"/>
            </w:r>
            <w:r w:rsidR="00A40F73">
              <w:rPr>
                <w:noProof/>
                <w:webHidden/>
                <w:sz w:val="20"/>
                <w:szCs w:val="20"/>
              </w:rPr>
              <w:t>4</w:t>
            </w:r>
            <w:r w:rsidRPr="005A0C0C">
              <w:rPr>
                <w:noProof/>
                <w:webHidden/>
                <w:sz w:val="20"/>
                <w:szCs w:val="20"/>
              </w:rPr>
              <w:fldChar w:fldCharType="end"/>
            </w:r>
          </w:hyperlink>
        </w:p>
        <w:p w14:paraId="1B684317" w14:textId="6B461C96" w:rsidR="0001456F" w:rsidRPr="005A0C0C" w:rsidRDefault="0001456F">
          <w:pPr>
            <w:pStyle w:val="TOC2"/>
            <w:tabs>
              <w:tab w:val="left" w:pos="880"/>
              <w:tab w:val="right" w:leader="dot" w:pos="9016"/>
            </w:tabs>
            <w:rPr>
              <w:rFonts w:eastAsiaTheme="minorEastAsia"/>
              <w:noProof/>
              <w:sz w:val="20"/>
              <w:szCs w:val="20"/>
              <w:lang w:eastAsia="en-GB"/>
            </w:rPr>
          </w:pPr>
          <w:hyperlink w:anchor="_Toc160624571" w:history="1">
            <w:r w:rsidRPr="005A0C0C">
              <w:rPr>
                <w:rStyle w:val="Hyperlink"/>
                <w:b/>
                <w:bCs/>
                <w:noProof/>
                <w:sz w:val="20"/>
                <w:szCs w:val="20"/>
                <w:shd w:val="clear" w:color="auto" w:fill="FFFFFF"/>
              </w:rPr>
              <w:t>1.2</w:t>
            </w:r>
            <w:r w:rsidRPr="005A0C0C">
              <w:rPr>
                <w:rFonts w:eastAsiaTheme="minorEastAsia"/>
                <w:noProof/>
                <w:sz w:val="20"/>
                <w:szCs w:val="20"/>
                <w:lang w:eastAsia="en-GB"/>
              </w:rPr>
              <w:tab/>
            </w:r>
            <w:r w:rsidRPr="005A0C0C">
              <w:rPr>
                <w:rStyle w:val="Hyperlink"/>
                <w:b/>
                <w:bCs/>
                <w:noProof/>
                <w:sz w:val="20"/>
                <w:szCs w:val="20"/>
                <w:shd w:val="clear" w:color="auto" w:fill="FFFFFF"/>
              </w:rPr>
              <w:t>JUSTIFICATION</w:t>
            </w:r>
            <w:r w:rsidRPr="005A0C0C">
              <w:rPr>
                <w:noProof/>
                <w:webHidden/>
                <w:sz w:val="20"/>
                <w:szCs w:val="20"/>
              </w:rPr>
              <w:tab/>
            </w:r>
            <w:r w:rsidRPr="005A0C0C">
              <w:rPr>
                <w:noProof/>
                <w:webHidden/>
                <w:sz w:val="20"/>
                <w:szCs w:val="20"/>
              </w:rPr>
              <w:fldChar w:fldCharType="begin"/>
            </w:r>
            <w:r w:rsidRPr="005A0C0C">
              <w:rPr>
                <w:noProof/>
                <w:webHidden/>
                <w:sz w:val="20"/>
                <w:szCs w:val="20"/>
              </w:rPr>
              <w:instrText xml:space="preserve"> PAGEREF _Toc160624571 \h </w:instrText>
            </w:r>
            <w:r w:rsidRPr="005A0C0C">
              <w:rPr>
                <w:noProof/>
                <w:webHidden/>
                <w:sz w:val="20"/>
                <w:szCs w:val="20"/>
              </w:rPr>
            </w:r>
            <w:r w:rsidRPr="005A0C0C">
              <w:rPr>
                <w:noProof/>
                <w:webHidden/>
                <w:sz w:val="20"/>
                <w:szCs w:val="20"/>
              </w:rPr>
              <w:fldChar w:fldCharType="separate"/>
            </w:r>
            <w:r w:rsidR="00A40F73">
              <w:rPr>
                <w:noProof/>
                <w:webHidden/>
                <w:sz w:val="20"/>
                <w:szCs w:val="20"/>
              </w:rPr>
              <w:t>4</w:t>
            </w:r>
            <w:r w:rsidRPr="005A0C0C">
              <w:rPr>
                <w:noProof/>
                <w:webHidden/>
                <w:sz w:val="20"/>
                <w:szCs w:val="20"/>
              </w:rPr>
              <w:fldChar w:fldCharType="end"/>
            </w:r>
          </w:hyperlink>
        </w:p>
        <w:p w14:paraId="09E29975" w14:textId="1A33EFA8" w:rsidR="0001456F" w:rsidRPr="005A0C0C" w:rsidRDefault="0001456F">
          <w:pPr>
            <w:pStyle w:val="TOC2"/>
            <w:tabs>
              <w:tab w:val="left" w:pos="880"/>
              <w:tab w:val="right" w:leader="dot" w:pos="9016"/>
            </w:tabs>
            <w:rPr>
              <w:rFonts w:eastAsiaTheme="minorEastAsia"/>
              <w:noProof/>
              <w:sz w:val="20"/>
              <w:szCs w:val="20"/>
              <w:lang w:eastAsia="en-GB"/>
            </w:rPr>
          </w:pPr>
          <w:hyperlink w:anchor="_Toc160624572" w:history="1">
            <w:r w:rsidRPr="005A0C0C">
              <w:rPr>
                <w:rStyle w:val="Hyperlink"/>
                <w:b/>
                <w:bCs/>
                <w:noProof/>
                <w:sz w:val="20"/>
                <w:szCs w:val="20"/>
              </w:rPr>
              <w:t>1.3</w:t>
            </w:r>
            <w:r w:rsidRPr="005A0C0C">
              <w:rPr>
                <w:rFonts w:eastAsiaTheme="minorEastAsia"/>
                <w:noProof/>
                <w:sz w:val="20"/>
                <w:szCs w:val="20"/>
                <w:lang w:eastAsia="en-GB"/>
              </w:rPr>
              <w:tab/>
            </w:r>
            <w:r w:rsidRPr="005A0C0C">
              <w:rPr>
                <w:rStyle w:val="Hyperlink"/>
                <w:b/>
                <w:bCs/>
                <w:noProof/>
                <w:sz w:val="20"/>
                <w:szCs w:val="20"/>
              </w:rPr>
              <w:t>METHODOLOGY</w:t>
            </w:r>
            <w:r w:rsidRPr="005A0C0C">
              <w:rPr>
                <w:noProof/>
                <w:webHidden/>
                <w:sz w:val="20"/>
                <w:szCs w:val="20"/>
              </w:rPr>
              <w:tab/>
            </w:r>
            <w:r w:rsidRPr="005A0C0C">
              <w:rPr>
                <w:noProof/>
                <w:webHidden/>
                <w:sz w:val="20"/>
                <w:szCs w:val="20"/>
              </w:rPr>
              <w:fldChar w:fldCharType="begin"/>
            </w:r>
            <w:r w:rsidRPr="005A0C0C">
              <w:rPr>
                <w:noProof/>
                <w:webHidden/>
                <w:sz w:val="20"/>
                <w:szCs w:val="20"/>
              </w:rPr>
              <w:instrText xml:space="preserve"> PAGEREF _Toc160624572 \h </w:instrText>
            </w:r>
            <w:r w:rsidRPr="005A0C0C">
              <w:rPr>
                <w:noProof/>
                <w:webHidden/>
                <w:sz w:val="20"/>
                <w:szCs w:val="20"/>
              </w:rPr>
            </w:r>
            <w:r w:rsidRPr="005A0C0C">
              <w:rPr>
                <w:noProof/>
                <w:webHidden/>
                <w:sz w:val="20"/>
                <w:szCs w:val="20"/>
              </w:rPr>
              <w:fldChar w:fldCharType="separate"/>
            </w:r>
            <w:r w:rsidR="00A40F73">
              <w:rPr>
                <w:noProof/>
                <w:webHidden/>
                <w:sz w:val="20"/>
                <w:szCs w:val="20"/>
              </w:rPr>
              <w:t>5</w:t>
            </w:r>
            <w:r w:rsidRPr="005A0C0C">
              <w:rPr>
                <w:noProof/>
                <w:webHidden/>
                <w:sz w:val="20"/>
                <w:szCs w:val="20"/>
              </w:rPr>
              <w:fldChar w:fldCharType="end"/>
            </w:r>
          </w:hyperlink>
        </w:p>
        <w:p w14:paraId="5525D7A6" w14:textId="539885AC" w:rsidR="0001456F" w:rsidRPr="005A0C0C" w:rsidRDefault="0001456F">
          <w:pPr>
            <w:pStyle w:val="TOC2"/>
            <w:tabs>
              <w:tab w:val="left" w:pos="1100"/>
              <w:tab w:val="right" w:leader="dot" w:pos="9016"/>
            </w:tabs>
            <w:rPr>
              <w:rFonts w:eastAsiaTheme="minorEastAsia"/>
              <w:noProof/>
              <w:sz w:val="20"/>
              <w:szCs w:val="20"/>
              <w:lang w:eastAsia="en-GB"/>
            </w:rPr>
          </w:pPr>
          <w:hyperlink w:anchor="_Toc160624573" w:history="1">
            <w:r w:rsidRPr="005A0C0C">
              <w:rPr>
                <w:rStyle w:val="Hyperlink"/>
                <w:b/>
                <w:bCs/>
                <w:noProof/>
                <w:sz w:val="20"/>
                <w:szCs w:val="20"/>
              </w:rPr>
              <w:t>1.3.1</w:t>
            </w:r>
            <w:r w:rsidRPr="005A0C0C">
              <w:rPr>
                <w:rFonts w:eastAsiaTheme="minorEastAsia"/>
                <w:noProof/>
                <w:sz w:val="20"/>
                <w:szCs w:val="20"/>
                <w:lang w:eastAsia="en-GB"/>
              </w:rPr>
              <w:tab/>
            </w:r>
            <w:r w:rsidRPr="005A0C0C">
              <w:rPr>
                <w:rStyle w:val="Hyperlink"/>
                <w:b/>
                <w:bCs/>
                <w:noProof/>
                <w:sz w:val="20"/>
                <w:szCs w:val="20"/>
              </w:rPr>
              <w:t>DATA ORIGINS</w:t>
            </w:r>
            <w:r w:rsidRPr="005A0C0C">
              <w:rPr>
                <w:noProof/>
                <w:webHidden/>
                <w:sz w:val="20"/>
                <w:szCs w:val="20"/>
              </w:rPr>
              <w:tab/>
            </w:r>
            <w:r w:rsidRPr="005A0C0C">
              <w:rPr>
                <w:noProof/>
                <w:webHidden/>
                <w:sz w:val="20"/>
                <w:szCs w:val="20"/>
              </w:rPr>
              <w:fldChar w:fldCharType="begin"/>
            </w:r>
            <w:r w:rsidRPr="005A0C0C">
              <w:rPr>
                <w:noProof/>
                <w:webHidden/>
                <w:sz w:val="20"/>
                <w:szCs w:val="20"/>
              </w:rPr>
              <w:instrText xml:space="preserve"> PAGEREF _Toc160624573 \h </w:instrText>
            </w:r>
            <w:r w:rsidRPr="005A0C0C">
              <w:rPr>
                <w:noProof/>
                <w:webHidden/>
                <w:sz w:val="20"/>
                <w:szCs w:val="20"/>
              </w:rPr>
            </w:r>
            <w:r w:rsidRPr="005A0C0C">
              <w:rPr>
                <w:noProof/>
                <w:webHidden/>
                <w:sz w:val="20"/>
                <w:szCs w:val="20"/>
              </w:rPr>
              <w:fldChar w:fldCharType="separate"/>
            </w:r>
            <w:r w:rsidR="00A40F73">
              <w:rPr>
                <w:noProof/>
                <w:webHidden/>
                <w:sz w:val="20"/>
                <w:szCs w:val="20"/>
              </w:rPr>
              <w:t>5</w:t>
            </w:r>
            <w:r w:rsidRPr="005A0C0C">
              <w:rPr>
                <w:noProof/>
                <w:webHidden/>
                <w:sz w:val="20"/>
                <w:szCs w:val="20"/>
              </w:rPr>
              <w:fldChar w:fldCharType="end"/>
            </w:r>
          </w:hyperlink>
        </w:p>
        <w:p w14:paraId="27CED359" w14:textId="2CCFC372" w:rsidR="0001456F" w:rsidRPr="005A0C0C" w:rsidRDefault="0001456F">
          <w:pPr>
            <w:pStyle w:val="TOC2"/>
            <w:tabs>
              <w:tab w:val="left" w:pos="1100"/>
              <w:tab w:val="right" w:leader="dot" w:pos="9016"/>
            </w:tabs>
            <w:rPr>
              <w:rFonts w:eastAsiaTheme="minorEastAsia"/>
              <w:noProof/>
              <w:sz w:val="20"/>
              <w:szCs w:val="20"/>
              <w:lang w:eastAsia="en-GB"/>
            </w:rPr>
          </w:pPr>
          <w:hyperlink w:anchor="_Toc160624574" w:history="1">
            <w:r w:rsidRPr="005A0C0C">
              <w:rPr>
                <w:rStyle w:val="Hyperlink"/>
                <w:b/>
                <w:bCs/>
                <w:noProof/>
                <w:sz w:val="20"/>
                <w:szCs w:val="20"/>
              </w:rPr>
              <w:t>1.3.2</w:t>
            </w:r>
            <w:r w:rsidRPr="005A0C0C">
              <w:rPr>
                <w:rFonts w:eastAsiaTheme="minorEastAsia"/>
                <w:noProof/>
                <w:sz w:val="20"/>
                <w:szCs w:val="20"/>
                <w:lang w:eastAsia="en-GB"/>
              </w:rPr>
              <w:tab/>
            </w:r>
            <w:r w:rsidRPr="005A0C0C">
              <w:rPr>
                <w:rStyle w:val="Hyperlink"/>
                <w:b/>
                <w:bCs/>
                <w:noProof/>
                <w:sz w:val="20"/>
                <w:szCs w:val="20"/>
              </w:rPr>
              <w:t>INTERROGATION OF RESULTS</w:t>
            </w:r>
            <w:r w:rsidRPr="005A0C0C">
              <w:rPr>
                <w:noProof/>
                <w:webHidden/>
                <w:sz w:val="20"/>
                <w:szCs w:val="20"/>
              </w:rPr>
              <w:tab/>
            </w:r>
            <w:r w:rsidRPr="005A0C0C">
              <w:rPr>
                <w:noProof/>
                <w:webHidden/>
                <w:sz w:val="20"/>
                <w:szCs w:val="20"/>
              </w:rPr>
              <w:fldChar w:fldCharType="begin"/>
            </w:r>
            <w:r w:rsidRPr="005A0C0C">
              <w:rPr>
                <w:noProof/>
                <w:webHidden/>
                <w:sz w:val="20"/>
                <w:szCs w:val="20"/>
              </w:rPr>
              <w:instrText xml:space="preserve"> PAGEREF _Toc160624574 \h </w:instrText>
            </w:r>
            <w:r w:rsidRPr="005A0C0C">
              <w:rPr>
                <w:noProof/>
                <w:webHidden/>
                <w:sz w:val="20"/>
                <w:szCs w:val="20"/>
              </w:rPr>
            </w:r>
            <w:r w:rsidRPr="005A0C0C">
              <w:rPr>
                <w:noProof/>
                <w:webHidden/>
                <w:sz w:val="20"/>
                <w:szCs w:val="20"/>
              </w:rPr>
              <w:fldChar w:fldCharType="separate"/>
            </w:r>
            <w:r w:rsidR="00A40F73">
              <w:rPr>
                <w:noProof/>
                <w:webHidden/>
                <w:sz w:val="20"/>
                <w:szCs w:val="20"/>
              </w:rPr>
              <w:t>7</w:t>
            </w:r>
            <w:r w:rsidRPr="005A0C0C">
              <w:rPr>
                <w:noProof/>
                <w:webHidden/>
                <w:sz w:val="20"/>
                <w:szCs w:val="20"/>
              </w:rPr>
              <w:fldChar w:fldCharType="end"/>
            </w:r>
          </w:hyperlink>
        </w:p>
        <w:p w14:paraId="448EC138" w14:textId="72DB5C10" w:rsidR="0001456F" w:rsidRPr="005A0C0C" w:rsidRDefault="0001456F">
          <w:pPr>
            <w:pStyle w:val="TOC2"/>
            <w:tabs>
              <w:tab w:val="left" w:pos="1100"/>
              <w:tab w:val="right" w:leader="dot" w:pos="9016"/>
            </w:tabs>
            <w:rPr>
              <w:rFonts w:eastAsiaTheme="minorEastAsia"/>
              <w:noProof/>
              <w:sz w:val="20"/>
              <w:szCs w:val="20"/>
              <w:lang w:eastAsia="en-GB"/>
            </w:rPr>
          </w:pPr>
          <w:hyperlink w:anchor="_Toc160624575" w:history="1">
            <w:r w:rsidRPr="005A0C0C">
              <w:rPr>
                <w:rStyle w:val="Hyperlink"/>
                <w:b/>
                <w:bCs/>
                <w:noProof/>
                <w:sz w:val="20"/>
                <w:szCs w:val="20"/>
                <w:shd w:val="clear" w:color="auto" w:fill="FFFFFF"/>
              </w:rPr>
              <w:t>1.3.3</w:t>
            </w:r>
            <w:r w:rsidRPr="005A0C0C">
              <w:rPr>
                <w:rFonts w:eastAsiaTheme="minorEastAsia"/>
                <w:noProof/>
                <w:sz w:val="20"/>
                <w:szCs w:val="20"/>
                <w:lang w:eastAsia="en-GB"/>
              </w:rPr>
              <w:tab/>
            </w:r>
            <w:r w:rsidRPr="005A0C0C">
              <w:rPr>
                <w:rStyle w:val="Hyperlink"/>
                <w:b/>
                <w:bCs/>
                <w:noProof/>
                <w:sz w:val="20"/>
                <w:szCs w:val="20"/>
                <w:shd w:val="clear" w:color="auto" w:fill="FFFFFF"/>
              </w:rPr>
              <w:t>CRITICAL EVALUATION OF RESULTS</w:t>
            </w:r>
            <w:r w:rsidRPr="005A0C0C">
              <w:rPr>
                <w:noProof/>
                <w:webHidden/>
                <w:sz w:val="20"/>
                <w:szCs w:val="20"/>
              </w:rPr>
              <w:tab/>
            </w:r>
            <w:r w:rsidRPr="005A0C0C">
              <w:rPr>
                <w:noProof/>
                <w:webHidden/>
                <w:sz w:val="20"/>
                <w:szCs w:val="20"/>
              </w:rPr>
              <w:fldChar w:fldCharType="begin"/>
            </w:r>
            <w:r w:rsidRPr="005A0C0C">
              <w:rPr>
                <w:noProof/>
                <w:webHidden/>
                <w:sz w:val="20"/>
                <w:szCs w:val="20"/>
              </w:rPr>
              <w:instrText xml:space="preserve"> PAGEREF _Toc160624575 \h </w:instrText>
            </w:r>
            <w:r w:rsidRPr="005A0C0C">
              <w:rPr>
                <w:noProof/>
                <w:webHidden/>
                <w:sz w:val="20"/>
                <w:szCs w:val="20"/>
              </w:rPr>
            </w:r>
            <w:r w:rsidRPr="005A0C0C">
              <w:rPr>
                <w:noProof/>
                <w:webHidden/>
                <w:sz w:val="20"/>
                <w:szCs w:val="20"/>
              </w:rPr>
              <w:fldChar w:fldCharType="separate"/>
            </w:r>
            <w:r w:rsidR="00A40F73">
              <w:rPr>
                <w:noProof/>
                <w:webHidden/>
                <w:sz w:val="20"/>
                <w:szCs w:val="20"/>
              </w:rPr>
              <w:t>7</w:t>
            </w:r>
            <w:r w:rsidRPr="005A0C0C">
              <w:rPr>
                <w:noProof/>
                <w:webHidden/>
                <w:sz w:val="20"/>
                <w:szCs w:val="20"/>
              </w:rPr>
              <w:fldChar w:fldCharType="end"/>
            </w:r>
          </w:hyperlink>
        </w:p>
        <w:p w14:paraId="33974A8D" w14:textId="7B6152AF" w:rsidR="0001456F" w:rsidRPr="005A0C0C" w:rsidRDefault="0001456F">
          <w:pPr>
            <w:pStyle w:val="TOC2"/>
            <w:tabs>
              <w:tab w:val="left" w:pos="880"/>
              <w:tab w:val="right" w:leader="dot" w:pos="9016"/>
            </w:tabs>
            <w:rPr>
              <w:rFonts w:eastAsiaTheme="minorEastAsia"/>
              <w:noProof/>
              <w:sz w:val="20"/>
              <w:szCs w:val="20"/>
              <w:lang w:eastAsia="en-GB"/>
            </w:rPr>
          </w:pPr>
          <w:hyperlink w:anchor="_Toc160624576" w:history="1">
            <w:r w:rsidRPr="005A0C0C">
              <w:rPr>
                <w:rStyle w:val="Hyperlink"/>
                <w:b/>
                <w:bCs/>
                <w:noProof/>
                <w:sz w:val="20"/>
                <w:szCs w:val="20"/>
                <w:shd w:val="clear" w:color="auto" w:fill="FFFFFF"/>
              </w:rPr>
              <w:t>1.4</w:t>
            </w:r>
            <w:r w:rsidRPr="005A0C0C">
              <w:rPr>
                <w:rFonts w:eastAsiaTheme="minorEastAsia"/>
                <w:noProof/>
                <w:sz w:val="20"/>
                <w:szCs w:val="20"/>
                <w:lang w:eastAsia="en-GB"/>
              </w:rPr>
              <w:tab/>
            </w:r>
            <w:r w:rsidRPr="005A0C0C">
              <w:rPr>
                <w:rStyle w:val="Hyperlink"/>
                <w:b/>
                <w:bCs/>
                <w:noProof/>
                <w:sz w:val="20"/>
                <w:szCs w:val="20"/>
                <w:shd w:val="clear" w:color="auto" w:fill="FFFFFF"/>
              </w:rPr>
              <w:t>VARIABLES</w:t>
            </w:r>
            <w:r w:rsidRPr="005A0C0C">
              <w:rPr>
                <w:noProof/>
                <w:webHidden/>
                <w:sz w:val="20"/>
                <w:szCs w:val="20"/>
              </w:rPr>
              <w:tab/>
            </w:r>
            <w:r w:rsidRPr="005A0C0C">
              <w:rPr>
                <w:noProof/>
                <w:webHidden/>
                <w:sz w:val="20"/>
                <w:szCs w:val="20"/>
              </w:rPr>
              <w:fldChar w:fldCharType="begin"/>
            </w:r>
            <w:r w:rsidRPr="005A0C0C">
              <w:rPr>
                <w:noProof/>
                <w:webHidden/>
                <w:sz w:val="20"/>
                <w:szCs w:val="20"/>
              </w:rPr>
              <w:instrText xml:space="preserve"> PAGEREF _Toc160624576 \h </w:instrText>
            </w:r>
            <w:r w:rsidRPr="005A0C0C">
              <w:rPr>
                <w:noProof/>
                <w:webHidden/>
                <w:sz w:val="20"/>
                <w:szCs w:val="20"/>
              </w:rPr>
            </w:r>
            <w:r w:rsidRPr="005A0C0C">
              <w:rPr>
                <w:noProof/>
                <w:webHidden/>
                <w:sz w:val="20"/>
                <w:szCs w:val="20"/>
              </w:rPr>
              <w:fldChar w:fldCharType="separate"/>
            </w:r>
            <w:r w:rsidR="00A40F73">
              <w:rPr>
                <w:noProof/>
                <w:webHidden/>
                <w:sz w:val="20"/>
                <w:szCs w:val="20"/>
              </w:rPr>
              <w:t>8</w:t>
            </w:r>
            <w:r w:rsidRPr="005A0C0C">
              <w:rPr>
                <w:noProof/>
                <w:webHidden/>
                <w:sz w:val="20"/>
                <w:szCs w:val="20"/>
              </w:rPr>
              <w:fldChar w:fldCharType="end"/>
            </w:r>
          </w:hyperlink>
        </w:p>
        <w:p w14:paraId="4E13C875" w14:textId="2FE2717D" w:rsidR="0001456F" w:rsidRPr="005A0C0C" w:rsidRDefault="0001456F">
          <w:pPr>
            <w:pStyle w:val="TOC2"/>
            <w:tabs>
              <w:tab w:val="left" w:pos="880"/>
              <w:tab w:val="right" w:leader="dot" w:pos="9016"/>
            </w:tabs>
            <w:rPr>
              <w:rFonts w:eastAsiaTheme="minorEastAsia"/>
              <w:noProof/>
              <w:sz w:val="20"/>
              <w:szCs w:val="20"/>
              <w:lang w:eastAsia="en-GB"/>
            </w:rPr>
          </w:pPr>
          <w:hyperlink w:anchor="_Toc160624577" w:history="1">
            <w:r w:rsidRPr="005A0C0C">
              <w:rPr>
                <w:rStyle w:val="Hyperlink"/>
                <w:b/>
                <w:bCs/>
                <w:noProof/>
                <w:sz w:val="20"/>
                <w:szCs w:val="20"/>
                <w:shd w:val="clear" w:color="auto" w:fill="FFFFFF"/>
              </w:rPr>
              <w:t>1.5</w:t>
            </w:r>
            <w:r w:rsidRPr="005A0C0C">
              <w:rPr>
                <w:rFonts w:eastAsiaTheme="minorEastAsia"/>
                <w:noProof/>
                <w:sz w:val="20"/>
                <w:szCs w:val="20"/>
                <w:lang w:eastAsia="en-GB"/>
              </w:rPr>
              <w:tab/>
            </w:r>
            <w:r w:rsidRPr="005A0C0C">
              <w:rPr>
                <w:rStyle w:val="Hyperlink"/>
                <w:b/>
                <w:bCs/>
                <w:noProof/>
                <w:sz w:val="20"/>
                <w:szCs w:val="20"/>
                <w:shd w:val="clear" w:color="auto" w:fill="FFFFFF"/>
              </w:rPr>
              <w:t>RESEARCH BOUNDARIES</w:t>
            </w:r>
            <w:r w:rsidRPr="005A0C0C">
              <w:rPr>
                <w:noProof/>
                <w:webHidden/>
                <w:sz w:val="20"/>
                <w:szCs w:val="20"/>
              </w:rPr>
              <w:tab/>
            </w:r>
            <w:r w:rsidRPr="005A0C0C">
              <w:rPr>
                <w:noProof/>
                <w:webHidden/>
                <w:sz w:val="20"/>
                <w:szCs w:val="20"/>
              </w:rPr>
              <w:fldChar w:fldCharType="begin"/>
            </w:r>
            <w:r w:rsidRPr="005A0C0C">
              <w:rPr>
                <w:noProof/>
                <w:webHidden/>
                <w:sz w:val="20"/>
                <w:szCs w:val="20"/>
              </w:rPr>
              <w:instrText xml:space="preserve"> PAGEREF _Toc160624577 \h </w:instrText>
            </w:r>
            <w:r w:rsidRPr="005A0C0C">
              <w:rPr>
                <w:noProof/>
                <w:webHidden/>
                <w:sz w:val="20"/>
                <w:szCs w:val="20"/>
              </w:rPr>
            </w:r>
            <w:r w:rsidRPr="005A0C0C">
              <w:rPr>
                <w:noProof/>
                <w:webHidden/>
                <w:sz w:val="20"/>
                <w:szCs w:val="20"/>
              </w:rPr>
              <w:fldChar w:fldCharType="separate"/>
            </w:r>
            <w:r w:rsidR="00A40F73">
              <w:rPr>
                <w:noProof/>
                <w:webHidden/>
                <w:sz w:val="20"/>
                <w:szCs w:val="20"/>
              </w:rPr>
              <w:t>9</w:t>
            </w:r>
            <w:r w:rsidRPr="005A0C0C">
              <w:rPr>
                <w:noProof/>
                <w:webHidden/>
                <w:sz w:val="20"/>
                <w:szCs w:val="20"/>
              </w:rPr>
              <w:fldChar w:fldCharType="end"/>
            </w:r>
          </w:hyperlink>
        </w:p>
        <w:p w14:paraId="67FE040C" w14:textId="3A866731" w:rsidR="0001456F" w:rsidRPr="005A0C0C" w:rsidRDefault="0001456F">
          <w:pPr>
            <w:pStyle w:val="TOC2"/>
            <w:tabs>
              <w:tab w:val="left" w:pos="880"/>
              <w:tab w:val="right" w:leader="dot" w:pos="9016"/>
            </w:tabs>
            <w:rPr>
              <w:rFonts w:eastAsiaTheme="minorEastAsia"/>
              <w:noProof/>
              <w:sz w:val="20"/>
              <w:szCs w:val="20"/>
              <w:lang w:eastAsia="en-GB"/>
            </w:rPr>
          </w:pPr>
          <w:hyperlink w:anchor="_Toc160624578" w:history="1">
            <w:r w:rsidRPr="005A0C0C">
              <w:rPr>
                <w:rStyle w:val="Hyperlink"/>
                <w:b/>
                <w:bCs/>
                <w:noProof/>
                <w:sz w:val="20"/>
                <w:szCs w:val="20"/>
                <w:shd w:val="clear" w:color="auto" w:fill="FFFFFF"/>
              </w:rPr>
              <w:t>1.6</w:t>
            </w:r>
            <w:r w:rsidRPr="005A0C0C">
              <w:rPr>
                <w:rFonts w:eastAsiaTheme="minorEastAsia"/>
                <w:noProof/>
                <w:sz w:val="20"/>
                <w:szCs w:val="20"/>
                <w:lang w:eastAsia="en-GB"/>
              </w:rPr>
              <w:tab/>
            </w:r>
            <w:r w:rsidRPr="005A0C0C">
              <w:rPr>
                <w:rStyle w:val="Hyperlink"/>
                <w:b/>
                <w:bCs/>
                <w:noProof/>
                <w:sz w:val="20"/>
                <w:szCs w:val="20"/>
                <w:shd w:val="clear" w:color="auto" w:fill="FFFFFF"/>
              </w:rPr>
              <w:t>RESEARCH ETHICS</w:t>
            </w:r>
            <w:r w:rsidRPr="005A0C0C">
              <w:rPr>
                <w:noProof/>
                <w:webHidden/>
                <w:sz w:val="20"/>
                <w:szCs w:val="20"/>
              </w:rPr>
              <w:tab/>
            </w:r>
            <w:r w:rsidRPr="005A0C0C">
              <w:rPr>
                <w:noProof/>
                <w:webHidden/>
                <w:sz w:val="20"/>
                <w:szCs w:val="20"/>
              </w:rPr>
              <w:fldChar w:fldCharType="begin"/>
            </w:r>
            <w:r w:rsidRPr="005A0C0C">
              <w:rPr>
                <w:noProof/>
                <w:webHidden/>
                <w:sz w:val="20"/>
                <w:szCs w:val="20"/>
              </w:rPr>
              <w:instrText xml:space="preserve"> PAGEREF _Toc160624578 \h </w:instrText>
            </w:r>
            <w:r w:rsidRPr="005A0C0C">
              <w:rPr>
                <w:noProof/>
                <w:webHidden/>
                <w:sz w:val="20"/>
                <w:szCs w:val="20"/>
              </w:rPr>
            </w:r>
            <w:r w:rsidRPr="005A0C0C">
              <w:rPr>
                <w:noProof/>
                <w:webHidden/>
                <w:sz w:val="20"/>
                <w:szCs w:val="20"/>
              </w:rPr>
              <w:fldChar w:fldCharType="separate"/>
            </w:r>
            <w:r w:rsidR="00A40F73">
              <w:rPr>
                <w:noProof/>
                <w:webHidden/>
                <w:sz w:val="20"/>
                <w:szCs w:val="20"/>
              </w:rPr>
              <w:t>10</w:t>
            </w:r>
            <w:r w:rsidRPr="005A0C0C">
              <w:rPr>
                <w:noProof/>
                <w:webHidden/>
                <w:sz w:val="20"/>
                <w:szCs w:val="20"/>
              </w:rPr>
              <w:fldChar w:fldCharType="end"/>
            </w:r>
          </w:hyperlink>
        </w:p>
        <w:p w14:paraId="16EE2E82" w14:textId="74A41028" w:rsidR="0001456F" w:rsidRPr="005A0C0C" w:rsidRDefault="0001456F">
          <w:pPr>
            <w:pStyle w:val="TOC2"/>
            <w:tabs>
              <w:tab w:val="left" w:pos="880"/>
              <w:tab w:val="right" w:leader="dot" w:pos="9016"/>
            </w:tabs>
            <w:rPr>
              <w:rFonts w:eastAsiaTheme="minorEastAsia"/>
              <w:noProof/>
              <w:sz w:val="20"/>
              <w:szCs w:val="20"/>
              <w:lang w:eastAsia="en-GB"/>
            </w:rPr>
          </w:pPr>
          <w:hyperlink w:anchor="_Toc160624579" w:history="1">
            <w:r w:rsidRPr="005A0C0C">
              <w:rPr>
                <w:rStyle w:val="Hyperlink"/>
                <w:b/>
                <w:bCs/>
                <w:noProof/>
                <w:sz w:val="20"/>
                <w:szCs w:val="20"/>
              </w:rPr>
              <w:t>2.0</w:t>
            </w:r>
            <w:r w:rsidRPr="005A0C0C">
              <w:rPr>
                <w:rFonts w:eastAsiaTheme="minorEastAsia"/>
                <w:noProof/>
                <w:sz w:val="20"/>
                <w:szCs w:val="20"/>
                <w:lang w:eastAsia="en-GB"/>
              </w:rPr>
              <w:tab/>
            </w:r>
            <w:r w:rsidRPr="005A0C0C">
              <w:rPr>
                <w:rStyle w:val="Hyperlink"/>
                <w:b/>
                <w:bCs/>
                <w:noProof/>
                <w:sz w:val="20"/>
                <w:szCs w:val="20"/>
              </w:rPr>
              <w:t>LITERATURE REVIEW</w:t>
            </w:r>
            <w:r w:rsidRPr="005A0C0C">
              <w:rPr>
                <w:noProof/>
                <w:webHidden/>
                <w:sz w:val="20"/>
                <w:szCs w:val="20"/>
              </w:rPr>
              <w:tab/>
            </w:r>
            <w:r w:rsidRPr="005A0C0C">
              <w:rPr>
                <w:noProof/>
                <w:webHidden/>
                <w:sz w:val="20"/>
                <w:szCs w:val="20"/>
              </w:rPr>
              <w:fldChar w:fldCharType="begin"/>
            </w:r>
            <w:r w:rsidRPr="005A0C0C">
              <w:rPr>
                <w:noProof/>
                <w:webHidden/>
                <w:sz w:val="20"/>
                <w:szCs w:val="20"/>
              </w:rPr>
              <w:instrText xml:space="preserve"> PAGEREF _Toc160624579 \h </w:instrText>
            </w:r>
            <w:r w:rsidRPr="005A0C0C">
              <w:rPr>
                <w:noProof/>
                <w:webHidden/>
                <w:sz w:val="20"/>
                <w:szCs w:val="20"/>
              </w:rPr>
            </w:r>
            <w:r w:rsidRPr="005A0C0C">
              <w:rPr>
                <w:noProof/>
                <w:webHidden/>
                <w:sz w:val="20"/>
                <w:szCs w:val="20"/>
              </w:rPr>
              <w:fldChar w:fldCharType="separate"/>
            </w:r>
            <w:r w:rsidR="00A40F73">
              <w:rPr>
                <w:noProof/>
                <w:webHidden/>
                <w:sz w:val="20"/>
                <w:szCs w:val="20"/>
              </w:rPr>
              <w:t>11</w:t>
            </w:r>
            <w:r w:rsidRPr="005A0C0C">
              <w:rPr>
                <w:noProof/>
                <w:webHidden/>
                <w:sz w:val="20"/>
                <w:szCs w:val="20"/>
              </w:rPr>
              <w:fldChar w:fldCharType="end"/>
            </w:r>
          </w:hyperlink>
        </w:p>
        <w:p w14:paraId="4A7AE527" w14:textId="65728A7D" w:rsidR="0001456F" w:rsidRPr="005A0C0C" w:rsidRDefault="0001456F">
          <w:pPr>
            <w:pStyle w:val="TOC2"/>
            <w:tabs>
              <w:tab w:val="left" w:pos="880"/>
              <w:tab w:val="right" w:leader="dot" w:pos="9016"/>
            </w:tabs>
            <w:rPr>
              <w:rFonts w:eastAsiaTheme="minorEastAsia"/>
              <w:noProof/>
              <w:sz w:val="20"/>
              <w:szCs w:val="20"/>
              <w:lang w:eastAsia="en-GB"/>
            </w:rPr>
          </w:pPr>
          <w:hyperlink w:anchor="_Toc160624580" w:history="1">
            <w:r w:rsidRPr="005A0C0C">
              <w:rPr>
                <w:rStyle w:val="Hyperlink"/>
                <w:b/>
                <w:bCs/>
                <w:noProof/>
                <w:sz w:val="20"/>
                <w:szCs w:val="20"/>
              </w:rPr>
              <w:t>2.1</w:t>
            </w:r>
            <w:r w:rsidRPr="005A0C0C">
              <w:rPr>
                <w:rFonts w:eastAsiaTheme="minorEastAsia"/>
                <w:noProof/>
                <w:sz w:val="20"/>
                <w:szCs w:val="20"/>
                <w:lang w:eastAsia="en-GB"/>
              </w:rPr>
              <w:tab/>
            </w:r>
            <w:r w:rsidRPr="005A0C0C">
              <w:rPr>
                <w:rStyle w:val="Hyperlink"/>
                <w:b/>
                <w:bCs/>
                <w:noProof/>
                <w:sz w:val="20"/>
                <w:szCs w:val="20"/>
              </w:rPr>
              <w:t>INVOLVEMENT THEORY</w:t>
            </w:r>
            <w:r w:rsidRPr="005A0C0C">
              <w:rPr>
                <w:noProof/>
                <w:webHidden/>
                <w:sz w:val="20"/>
                <w:szCs w:val="20"/>
              </w:rPr>
              <w:tab/>
            </w:r>
            <w:r w:rsidRPr="005A0C0C">
              <w:rPr>
                <w:noProof/>
                <w:webHidden/>
                <w:sz w:val="20"/>
                <w:szCs w:val="20"/>
              </w:rPr>
              <w:fldChar w:fldCharType="begin"/>
            </w:r>
            <w:r w:rsidRPr="005A0C0C">
              <w:rPr>
                <w:noProof/>
                <w:webHidden/>
                <w:sz w:val="20"/>
                <w:szCs w:val="20"/>
              </w:rPr>
              <w:instrText xml:space="preserve"> PAGEREF _Toc160624580 \h </w:instrText>
            </w:r>
            <w:r w:rsidRPr="005A0C0C">
              <w:rPr>
                <w:noProof/>
                <w:webHidden/>
                <w:sz w:val="20"/>
                <w:szCs w:val="20"/>
              </w:rPr>
            </w:r>
            <w:r w:rsidRPr="005A0C0C">
              <w:rPr>
                <w:noProof/>
                <w:webHidden/>
                <w:sz w:val="20"/>
                <w:szCs w:val="20"/>
              </w:rPr>
              <w:fldChar w:fldCharType="separate"/>
            </w:r>
            <w:r w:rsidR="00A40F73">
              <w:rPr>
                <w:noProof/>
                <w:webHidden/>
                <w:sz w:val="20"/>
                <w:szCs w:val="20"/>
              </w:rPr>
              <w:t>12</w:t>
            </w:r>
            <w:r w:rsidRPr="005A0C0C">
              <w:rPr>
                <w:noProof/>
                <w:webHidden/>
                <w:sz w:val="20"/>
                <w:szCs w:val="20"/>
              </w:rPr>
              <w:fldChar w:fldCharType="end"/>
            </w:r>
          </w:hyperlink>
        </w:p>
        <w:p w14:paraId="67B5DE49" w14:textId="57DEC5F9" w:rsidR="0001456F" w:rsidRPr="005A0C0C" w:rsidRDefault="0001456F">
          <w:pPr>
            <w:pStyle w:val="TOC2"/>
            <w:tabs>
              <w:tab w:val="left" w:pos="880"/>
              <w:tab w:val="right" w:leader="dot" w:pos="9016"/>
            </w:tabs>
            <w:rPr>
              <w:rFonts w:eastAsiaTheme="minorEastAsia"/>
              <w:noProof/>
              <w:sz w:val="20"/>
              <w:szCs w:val="20"/>
              <w:lang w:eastAsia="en-GB"/>
            </w:rPr>
          </w:pPr>
          <w:hyperlink w:anchor="_Toc160624581" w:history="1">
            <w:r w:rsidRPr="005A0C0C">
              <w:rPr>
                <w:rStyle w:val="Hyperlink"/>
                <w:b/>
                <w:bCs/>
                <w:noProof/>
                <w:sz w:val="20"/>
                <w:szCs w:val="20"/>
                <w:shd w:val="clear" w:color="auto" w:fill="FFFFFF"/>
              </w:rPr>
              <w:t>2.2</w:t>
            </w:r>
            <w:r w:rsidRPr="005A0C0C">
              <w:rPr>
                <w:rFonts w:eastAsiaTheme="minorEastAsia"/>
                <w:noProof/>
                <w:sz w:val="20"/>
                <w:szCs w:val="20"/>
                <w:lang w:eastAsia="en-GB"/>
              </w:rPr>
              <w:tab/>
            </w:r>
            <w:r w:rsidRPr="005A0C0C">
              <w:rPr>
                <w:rStyle w:val="Hyperlink"/>
                <w:b/>
                <w:bCs/>
                <w:noProof/>
                <w:sz w:val="20"/>
                <w:szCs w:val="20"/>
                <w:shd w:val="clear" w:color="auto" w:fill="FFFFFF"/>
              </w:rPr>
              <w:t>THE INDUSTRIAL TOURISM/EXPERIENTIAL TOURISM CONCEPT</w:t>
            </w:r>
            <w:r w:rsidRPr="005A0C0C">
              <w:rPr>
                <w:noProof/>
                <w:webHidden/>
                <w:sz w:val="20"/>
                <w:szCs w:val="20"/>
              </w:rPr>
              <w:tab/>
            </w:r>
            <w:r w:rsidRPr="005A0C0C">
              <w:rPr>
                <w:noProof/>
                <w:webHidden/>
                <w:sz w:val="20"/>
                <w:szCs w:val="20"/>
              </w:rPr>
              <w:fldChar w:fldCharType="begin"/>
            </w:r>
            <w:r w:rsidRPr="005A0C0C">
              <w:rPr>
                <w:noProof/>
                <w:webHidden/>
                <w:sz w:val="20"/>
                <w:szCs w:val="20"/>
              </w:rPr>
              <w:instrText xml:space="preserve"> PAGEREF _Toc160624581 \h </w:instrText>
            </w:r>
            <w:r w:rsidRPr="005A0C0C">
              <w:rPr>
                <w:noProof/>
                <w:webHidden/>
                <w:sz w:val="20"/>
                <w:szCs w:val="20"/>
              </w:rPr>
            </w:r>
            <w:r w:rsidRPr="005A0C0C">
              <w:rPr>
                <w:noProof/>
                <w:webHidden/>
                <w:sz w:val="20"/>
                <w:szCs w:val="20"/>
              </w:rPr>
              <w:fldChar w:fldCharType="separate"/>
            </w:r>
            <w:r w:rsidR="00A40F73">
              <w:rPr>
                <w:noProof/>
                <w:webHidden/>
                <w:sz w:val="20"/>
                <w:szCs w:val="20"/>
              </w:rPr>
              <w:t>13</w:t>
            </w:r>
            <w:r w:rsidRPr="005A0C0C">
              <w:rPr>
                <w:noProof/>
                <w:webHidden/>
                <w:sz w:val="20"/>
                <w:szCs w:val="20"/>
              </w:rPr>
              <w:fldChar w:fldCharType="end"/>
            </w:r>
          </w:hyperlink>
        </w:p>
        <w:p w14:paraId="471D7D8C" w14:textId="61FAC0D8" w:rsidR="0001456F" w:rsidRPr="005A0C0C" w:rsidRDefault="0001456F">
          <w:pPr>
            <w:pStyle w:val="TOC2"/>
            <w:tabs>
              <w:tab w:val="left" w:pos="880"/>
              <w:tab w:val="right" w:leader="dot" w:pos="9016"/>
            </w:tabs>
            <w:rPr>
              <w:rFonts w:eastAsiaTheme="minorEastAsia"/>
              <w:noProof/>
              <w:sz w:val="20"/>
              <w:szCs w:val="20"/>
              <w:lang w:eastAsia="en-GB"/>
            </w:rPr>
          </w:pPr>
          <w:hyperlink w:anchor="_Toc160624582" w:history="1">
            <w:r w:rsidRPr="005A0C0C">
              <w:rPr>
                <w:rStyle w:val="Hyperlink"/>
                <w:b/>
                <w:bCs/>
                <w:noProof/>
                <w:sz w:val="20"/>
                <w:szCs w:val="20"/>
                <w:shd w:val="clear" w:color="auto" w:fill="FFFFFF"/>
              </w:rPr>
              <w:t>2.3</w:t>
            </w:r>
            <w:r w:rsidRPr="005A0C0C">
              <w:rPr>
                <w:rFonts w:eastAsiaTheme="minorEastAsia"/>
                <w:noProof/>
                <w:sz w:val="20"/>
                <w:szCs w:val="20"/>
                <w:lang w:eastAsia="en-GB"/>
              </w:rPr>
              <w:tab/>
            </w:r>
            <w:r w:rsidRPr="005A0C0C">
              <w:rPr>
                <w:rStyle w:val="Hyperlink"/>
                <w:b/>
                <w:bCs/>
                <w:noProof/>
                <w:sz w:val="20"/>
                <w:szCs w:val="20"/>
                <w:shd w:val="clear" w:color="auto" w:fill="FFFFFF"/>
              </w:rPr>
              <w:t>THE WHISKY TOURISM CONCEPT</w:t>
            </w:r>
            <w:r w:rsidRPr="005A0C0C">
              <w:rPr>
                <w:noProof/>
                <w:webHidden/>
                <w:sz w:val="20"/>
                <w:szCs w:val="20"/>
              </w:rPr>
              <w:tab/>
            </w:r>
            <w:r w:rsidRPr="005A0C0C">
              <w:rPr>
                <w:noProof/>
                <w:webHidden/>
                <w:sz w:val="20"/>
                <w:szCs w:val="20"/>
              </w:rPr>
              <w:fldChar w:fldCharType="begin"/>
            </w:r>
            <w:r w:rsidRPr="005A0C0C">
              <w:rPr>
                <w:noProof/>
                <w:webHidden/>
                <w:sz w:val="20"/>
                <w:szCs w:val="20"/>
              </w:rPr>
              <w:instrText xml:space="preserve"> PAGEREF _Toc160624582 \h </w:instrText>
            </w:r>
            <w:r w:rsidRPr="005A0C0C">
              <w:rPr>
                <w:noProof/>
                <w:webHidden/>
                <w:sz w:val="20"/>
                <w:szCs w:val="20"/>
              </w:rPr>
            </w:r>
            <w:r w:rsidRPr="005A0C0C">
              <w:rPr>
                <w:noProof/>
                <w:webHidden/>
                <w:sz w:val="20"/>
                <w:szCs w:val="20"/>
              </w:rPr>
              <w:fldChar w:fldCharType="separate"/>
            </w:r>
            <w:r w:rsidR="00A40F73">
              <w:rPr>
                <w:noProof/>
                <w:webHidden/>
                <w:sz w:val="20"/>
                <w:szCs w:val="20"/>
              </w:rPr>
              <w:t>14</w:t>
            </w:r>
            <w:r w:rsidRPr="005A0C0C">
              <w:rPr>
                <w:noProof/>
                <w:webHidden/>
                <w:sz w:val="20"/>
                <w:szCs w:val="20"/>
              </w:rPr>
              <w:fldChar w:fldCharType="end"/>
            </w:r>
          </w:hyperlink>
        </w:p>
        <w:p w14:paraId="51663455" w14:textId="01A71BA6" w:rsidR="0001456F" w:rsidRPr="005A0C0C" w:rsidRDefault="0001456F">
          <w:pPr>
            <w:pStyle w:val="TOC2"/>
            <w:tabs>
              <w:tab w:val="left" w:pos="880"/>
              <w:tab w:val="right" w:leader="dot" w:pos="9016"/>
            </w:tabs>
            <w:rPr>
              <w:rFonts w:eastAsiaTheme="minorEastAsia"/>
              <w:noProof/>
              <w:sz w:val="20"/>
              <w:szCs w:val="20"/>
              <w:lang w:eastAsia="en-GB"/>
            </w:rPr>
          </w:pPr>
          <w:hyperlink w:anchor="_Toc160624583" w:history="1">
            <w:r w:rsidRPr="005A0C0C">
              <w:rPr>
                <w:rStyle w:val="Hyperlink"/>
                <w:b/>
                <w:bCs/>
                <w:noProof/>
                <w:sz w:val="20"/>
                <w:szCs w:val="20"/>
              </w:rPr>
              <w:t>2.4</w:t>
            </w:r>
            <w:r w:rsidRPr="005A0C0C">
              <w:rPr>
                <w:rFonts w:eastAsiaTheme="minorEastAsia"/>
                <w:noProof/>
                <w:sz w:val="20"/>
                <w:szCs w:val="20"/>
                <w:lang w:eastAsia="en-GB"/>
              </w:rPr>
              <w:tab/>
            </w:r>
            <w:r w:rsidRPr="005A0C0C">
              <w:rPr>
                <w:rStyle w:val="Hyperlink"/>
                <w:b/>
                <w:bCs/>
                <w:noProof/>
                <w:sz w:val="20"/>
                <w:szCs w:val="20"/>
              </w:rPr>
              <w:t>THE EMERGENCE OF INDUSTRIAL TOURISM</w:t>
            </w:r>
            <w:r w:rsidRPr="005A0C0C">
              <w:rPr>
                <w:noProof/>
                <w:webHidden/>
                <w:sz w:val="20"/>
                <w:szCs w:val="20"/>
              </w:rPr>
              <w:tab/>
            </w:r>
            <w:r w:rsidRPr="005A0C0C">
              <w:rPr>
                <w:noProof/>
                <w:webHidden/>
                <w:sz w:val="20"/>
                <w:szCs w:val="20"/>
              </w:rPr>
              <w:fldChar w:fldCharType="begin"/>
            </w:r>
            <w:r w:rsidRPr="005A0C0C">
              <w:rPr>
                <w:noProof/>
                <w:webHidden/>
                <w:sz w:val="20"/>
                <w:szCs w:val="20"/>
              </w:rPr>
              <w:instrText xml:space="preserve"> PAGEREF _Toc160624583 \h </w:instrText>
            </w:r>
            <w:r w:rsidRPr="005A0C0C">
              <w:rPr>
                <w:noProof/>
                <w:webHidden/>
                <w:sz w:val="20"/>
                <w:szCs w:val="20"/>
              </w:rPr>
            </w:r>
            <w:r w:rsidRPr="005A0C0C">
              <w:rPr>
                <w:noProof/>
                <w:webHidden/>
                <w:sz w:val="20"/>
                <w:szCs w:val="20"/>
              </w:rPr>
              <w:fldChar w:fldCharType="separate"/>
            </w:r>
            <w:r w:rsidR="00A40F73">
              <w:rPr>
                <w:noProof/>
                <w:webHidden/>
                <w:sz w:val="20"/>
                <w:szCs w:val="20"/>
              </w:rPr>
              <w:t>14</w:t>
            </w:r>
            <w:r w:rsidRPr="005A0C0C">
              <w:rPr>
                <w:noProof/>
                <w:webHidden/>
                <w:sz w:val="20"/>
                <w:szCs w:val="20"/>
              </w:rPr>
              <w:fldChar w:fldCharType="end"/>
            </w:r>
          </w:hyperlink>
        </w:p>
        <w:p w14:paraId="58F27DDD" w14:textId="58CF8678" w:rsidR="0001456F" w:rsidRPr="005A0C0C" w:rsidRDefault="0001456F">
          <w:pPr>
            <w:pStyle w:val="TOC2"/>
            <w:tabs>
              <w:tab w:val="left" w:pos="880"/>
              <w:tab w:val="right" w:leader="dot" w:pos="9016"/>
            </w:tabs>
            <w:rPr>
              <w:rFonts w:eastAsiaTheme="minorEastAsia"/>
              <w:noProof/>
              <w:sz w:val="20"/>
              <w:szCs w:val="20"/>
              <w:lang w:eastAsia="en-GB"/>
            </w:rPr>
          </w:pPr>
          <w:hyperlink w:anchor="_Toc160624584" w:history="1">
            <w:r w:rsidRPr="005A0C0C">
              <w:rPr>
                <w:rStyle w:val="Hyperlink"/>
                <w:b/>
                <w:bCs/>
                <w:noProof/>
                <w:sz w:val="20"/>
                <w:szCs w:val="20"/>
                <w:shd w:val="clear" w:color="auto" w:fill="FFFFFF"/>
              </w:rPr>
              <w:t>2.5</w:t>
            </w:r>
            <w:r w:rsidRPr="005A0C0C">
              <w:rPr>
                <w:rFonts w:eastAsiaTheme="minorEastAsia"/>
                <w:noProof/>
                <w:sz w:val="20"/>
                <w:szCs w:val="20"/>
                <w:lang w:eastAsia="en-GB"/>
              </w:rPr>
              <w:tab/>
            </w:r>
            <w:r w:rsidRPr="005A0C0C">
              <w:rPr>
                <w:rStyle w:val="Hyperlink"/>
                <w:b/>
                <w:bCs/>
                <w:noProof/>
                <w:sz w:val="20"/>
                <w:szCs w:val="20"/>
                <w:shd w:val="clear" w:color="auto" w:fill="FFFFFF"/>
              </w:rPr>
              <w:t>THE EFFECT OF THE COVID-19 PANDEMIC ON UK INBOUND AND DOMESTIC TOURISM</w:t>
            </w:r>
            <w:r w:rsidRPr="005A0C0C">
              <w:rPr>
                <w:noProof/>
                <w:webHidden/>
                <w:sz w:val="20"/>
                <w:szCs w:val="20"/>
              </w:rPr>
              <w:tab/>
            </w:r>
            <w:r w:rsidRPr="005A0C0C">
              <w:rPr>
                <w:noProof/>
                <w:webHidden/>
                <w:sz w:val="20"/>
                <w:szCs w:val="20"/>
              </w:rPr>
              <w:fldChar w:fldCharType="begin"/>
            </w:r>
            <w:r w:rsidRPr="005A0C0C">
              <w:rPr>
                <w:noProof/>
                <w:webHidden/>
                <w:sz w:val="20"/>
                <w:szCs w:val="20"/>
              </w:rPr>
              <w:instrText xml:space="preserve"> PAGEREF _Toc160624584 \h </w:instrText>
            </w:r>
            <w:r w:rsidRPr="005A0C0C">
              <w:rPr>
                <w:noProof/>
                <w:webHidden/>
                <w:sz w:val="20"/>
                <w:szCs w:val="20"/>
              </w:rPr>
            </w:r>
            <w:r w:rsidRPr="005A0C0C">
              <w:rPr>
                <w:noProof/>
                <w:webHidden/>
                <w:sz w:val="20"/>
                <w:szCs w:val="20"/>
              </w:rPr>
              <w:fldChar w:fldCharType="separate"/>
            </w:r>
            <w:r w:rsidR="00A40F73">
              <w:rPr>
                <w:noProof/>
                <w:webHidden/>
                <w:sz w:val="20"/>
                <w:szCs w:val="20"/>
              </w:rPr>
              <w:t>15</w:t>
            </w:r>
            <w:r w:rsidRPr="005A0C0C">
              <w:rPr>
                <w:noProof/>
                <w:webHidden/>
                <w:sz w:val="20"/>
                <w:szCs w:val="20"/>
              </w:rPr>
              <w:fldChar w:fldCharType="end"/>
            </w:r>
          </w:hyperlink>
        </w:p>
        <w:p w14:paraId="69D37115" w14:textId="7785D928" w:rsidR="0001456F" w:rsidRPr="005A0C0C" w:rsidRDefault="0001456F">
          <w:pPr>
            <w:pStyle w:val="TOC2"/>
            <w:tabs>
              <w:tab w:val="left" w:pos="880"/>
              <w:tab w:val="right" w:leader="dot" w:pos="9016"/>
            </w:tabs>
            <w:rPr>
              <w:rFonts w:eastAsiaTheme="minorEastAsia"/>
              <w:noProof/>
              <w:sz w:val="20"/>
              <w:szCs w:val="20"/>
              <w:lang w:eastAsia="en-GB"/>
            </w:rPr>
          </w:pPr>
          <w:hyperlink w:anchor="_Toc160624585" w:history="1">
            <w:r w:rsidRPr="005A0C0C">
              <w:rPr>
                <w:rStyle w:val="Hyperlink"/>
                <w:b/>
                <w:bCs/>
                <w:noProof/>
                <w:sz w:val="20"/>
                <w:szCs w:val="20"/>
              </w:rPr>
              <w:t>2.6</w:t>
            </w:r>
            <w:r w:rsidRPr="005A0C0C">
              <w:rPr>
                <w:rFonts w:eastAsiaTheme="minorEastAsia"/>
                <w:noProof/>
                <w:sz w:val="20"/>
                <w:szCs w:val="20"/>
                <w:lang w:eastAsia="en-GB"/>
              </w:rPr>
              <w:tab/>
            </w:r>
            <w:r w:rsidRPr="005A0C0C">
              <w:rPr>
                <w:rStyle w:val="Hyperlink"/>
                <w:b/>
                <w:bCs/>
                <w:noProof/>
                <w:sz w:val="20"/>
                <w:szCs w:val="20"/>
              </w:rPr>
              <w:t>QUALITY STANDARDS AS DRIVERS FOR BRAND AWARENESS AND PERCEPTION</w:t>
            </w:r>
            <w:r w:rsidRPr="005A0C0C">
              <w:rPr>
                <w:noProof/>
                <w:webHidden/>
                <w:sz w:val="20"/>
                <w:szCs w:val="20"/>
              </w:rPr>
              <w:tab/>
            </w:r>
            <w:r w:rsidRPr="005A0C0C">
              <w:rPr>
                <w:noProof/>
                <w:webHidden/>
                <w:sz w:val="20"/>
                <w:szCs w:val="20"/>
              </w:rPr>
              <w:fldChar w:fldCharType="begin"/>
            </w:r>
            <w:r w:rsidRPr="005A0C0C">
              <w:rPr>
                <w:noProof/>
                <w:webHidden/>
                <w:sz w:val="20"/>
                <w:szCs w:val="20"/>
              </w:rPr>
              <w:instrText xml:space="preserve"> PAGEREF _Toc160624585 \h </w:instrText>
            </w:r>
            <w:r w:rsidRPr="005A0C0C">
              <w:rPr>
                <w:noProof/>
                <w:webHidden/>
                <w:sz w:val="20"/>
                <w:szCs w:val="20"/>
              </w:rPr>
            </w:r>
            <w:r w:rsidRPr="005A0C0C">
              <w:rPr>
                <w:noProof/>
                <w:webHidden/>
                <w:sz w:val="20"/>
                <w:szCs w:val="20"/>
              </w:rPr>
              <w:fldChar w:fldCharType="separate"/>
            </w:r>
            <w:r w:rsidR="00A40F73">
              <w:rPr>
                <w:noProof/>
                <w:webHidden/>
                <w:sz w:val="20"/>
                <w:szCs w:val="20"/>
              </w:rPr>
              <w:t>15</w:t>
            </w:r>
            <w:r w:rsidRPr="005A0C0C">
              <w:rPr>
                <w:noProof/>
                <w:webHidden/>
                <w:sz w:val="20"/>
                <w:szCs w:val="20"/>
              </w:rPr>
              <w:fldChar w:fldCharType="end"/>
            </w:r>
          </w:hyperlink>
        </w:p>
        <w:p w14:paraId="6FA61EBF" w14:textId="515D987F" w:rsidR="0001456F" w:rsidRPr="005A0C0C" w:rsidRDefault="0001456F">
          <w:pPr>
            <w:pStyle w:val="TOC2"/>
            <w:tabs>
              <w:tab w:val="left" w:pos="880"/>
              <w:tab w:val="right" w:leader="dot" w:pos="9016"/>
            </w:tabs>
            <w:rPr>
              <w:rFonts w:eastAsiaTheme="minorEastAsia"/>
              <w:noProof/>
              <w:sz w:val="20"/>
              <w:szCs w:val="20"/>
              <w:lang w:eastAsia="en-GB"/>
            </w:rPr>
          </w:pPr>
          <w:hyperlink w:anchor="_Toc160624586" w:history="1">
            <w:r w:rsidRPr="005A0C0C">
              <w:rPr>
                <w:rStyle w:val="Hyperlink"/>
                <w:b/>
                <w:bCs/>
                <w:noProof/>
                <w:sz w:val="20"/>
                <w:szCs w:val="20"/>
                <w:shd w:val="clear" w:color="auto" w:fill="FFFFFF"/>
              </w:rPr>
              <w:t>3.0</w:t>
            </w:r>
            <w:r w:rsidRPr="005A0C0C">
              <w:rPr>
                <w:rFonts w:eastAsiaTheme="minorEastAsia"/>
                <w:noProof/>
                <w:sz w:val="20"/>
                <w:szCs w:val="20"/>
                <w:lang w:eastAsia="en-GB"/>
              </w:rPr>
              <w:tab/>
            </w:r>
            <w:r w:rsidRPr="005A0C0C">
              <w:rPr>
                <w:rStyle w:val="Hyperlink"/>
                <w:b/>
                <w:bCs/>
                <w:noProof/>
                <w:sz w:val="20"/>
                <w:szCs w:val="20"/>
                <w:shd w:val="clear" w:color="auto" w:fill="FFFFFF"/>
              </w:rPr>
              <w:t>CASE STUDY - PENDERYN</w:t>
            </w:r>
            <w:r w:rsidRPr="005A0C0C">
              <w:rPr>
                <w:noProof/>
                <w:webHidden/>
                <w:sz w:val="20"/>
                <w:szCs w:val="20"/>
              </w:rPr>
              <w:tab/>
            </w:r>
            <w:r w:rsidRPr="005A0C0C">
              <w:rPr>
                <w:noProof/>
                <w:webHidden/>
                <w:sz w:val="20"/>
                <w:szCs w:val="20"/>
              </w:rPr>
              <w:fldChar w:fldCharType="begin"/>
            </w:r>
            <w:r w:rsidRPr="005A0C0C">
              <w:rPr>
                <w:noProof/>
                <w:webHidden/>
                <w:sz w:val="20"/>
                <w:szCs w:val="20"/>
              </w:rPr>
              <w:instrText xml:space="preserve"> PAGEREF _Toc160624586 \h </w:instrText>
            </w:r>
            <w:r w:rsidRPr="005A0C0C">
              <w:rPr>
                <w:noProof/>
                <w:webHidden/>
                <w:sz w:val="20"/>
                <w:szCs w:val="20"/>
              </w:rPr>
            </w:r>
            <w:r w:rsidRPr="005A0C0C">
              <w:rPr>
                <w:noProof/>
                <w:webHidden/>
                <w:sz w:val="20"/>
                <w:szCs w:val="20"/>
              </w:rPr>
              <w:fldChar w:fldCharType="separate"/>
            </w:r>
            <w:r w:rsidR="00A40F73">
              <w:rPr>
                <w:noProof/>
                <w:webHidden/>
                <w:sz w:val="20"/>
                <w:szCs w:val="20"/>
              </w:rPr>
              <w:t>17</w:t>
            </w:r>
            <w:r w:rsidRPr="005A0C0C">
              <w:rPr>
                <w:noProof/>
                <w:webHidden/>
                <w:sz w:val="20"/>
                <w:szCs w:val="20"/>
              </w:rPr>
              <w:fldChar w:fldCharType="end"/>
            </w:r>
          </w:hyperlink>
        </w:p>
        <w:p w14:paraId="52F689B6" w14:textId="1614EFA8" w:rsidR="0001456F" w:rsidRPr="005A0C0C" w:rsidRDefault="0001456F">
          <w:pPr>
            <w:pStyle w:val="TOC2"/>
            <w:tabs>
              <w:tab w:val="left" w:pos="880"/>
              <w:tab w:val="right" w:leader="dot" w:pos="9016"/>
            </w:tabs>
            <w:rPr>
              <w:rFonts w:eastAsiaTheme="minorEastAsia"/>
              <w:noProof/>
              <w:sz w:val="20"/>
              <w:szCs w:val="20"/>
              <w:lang w:eastAsia="en-GB"/>
            </w:rPr>
          </w:pPr>
          <w:hyperlink w:anchor="_Toc160624587" w:history="1">
            <w:r w:rsidRPr="005A0C0C">
              <w:rPr>
                <w:rStyle w:val="Hyperlink"/>
                <w:b/>
                <w:bCs/>
                <w:noProof/>
                <w:sz w:val="20"/>
                <w:szCs w:val="20"/>
              </w:rPr>
              <w:t>3.1</w:t>
            </w:r>
            <w:r w:rsidRPr="005A0C0C">
              <w:rPr>
                <w:rFonts w:eastAsiaTheme="minorEastAsia"/>
                <w:noProof/>
                <w:sz w:val="20"/>
                <w:szCs w:val="20"/>
                <w:lang w:eastAsia="en-GB"/>
              </w:rPr>
              <w:tab/>
            </w:r>
            <w:r w:rsidRPr="005A0C0C">
              <w:rPr>
                <w:rStyle w:val="Hyperlink"/>
                <w:b/>
                <w:bCs/>
                <w:noProof/>
                <w:sz w:val="20"/>
                <w:szCs w:val="20"/>
              </w:rPr>
              <w:t>PENDERYN BRAND GROWTH STRATEGY: PRE-2008</w:t>
            </w:r>
            <w:r w:rsidRPr="005A0C0C">
              <w:rPr>
                <w:noProof/>
                <w:webHidden/>
                <w:sz w:val="20"/>
                <w:szCs w:val="20"/>
              </w:rPr>
              <w:tab/>
            </w:r>
            <w:r w:rsidRPr="005A0C0C">
              <w:rPr>
                <w:noProof/>
                <w:webHidden/>
                <w:sz w:val="20"/>
                <w:szCs w:val="20"/>
              </w:rPr>
              <w:fldChar w:fldCharType="begin"/>
            </w:r>
            <w:r w:rsidRPr="005A0C0C">
              <w:rPr>
                <w:noProof/>
                <w:webHidden/>
                <w:sz w:val="20"/>
                <w:szCs w:val="20"/>
              </w:rPr>
              <w:instrText xml:space="preserve"> PAGEREF _Toc160624587 \h </w:instrText>
            </w:r>
            <w:r w:rsidRPr="005A0C0C">
              <w:rPr>
                <w:noProof/>
                <w:webHidden/>
                <w:sz w:val="20"/>
                <w:szCs w:val="20"/>
              </w:rPr>
            </w:r>
            <w:r w:rsidRPr="005A0C0C">
              <w:rPr>
                <w:noProof/>
                <w:webHidden/>
                <w:sz w:val="20"/>
                <w:szCs w:val="20"/>
              </w:rPr>
              <w:fldChar w:fldCharType="separate"/>
            </w:r>
            <w:r w:rsidR="00A40F73">
              <w:rPr>
                <w:noProof/>
                <w:webHidden/>
                <w:sz w:val="20"/>
                <w:szCs w:val="20"/>
              </w:rPr>
              <w:t>18</w:t>
            </w:r>
            <w:r w:rsidRPr="005A0C0C">
              <w:rPr>
                <w:noProof/>
                <w:webHidden/>
                <w:sz w:val="20"/>
                <w:szCs w:val="20"/>
              </w:rPr>
              <w:fldChar w:fldCharType="end"/>
            </w:r>
          </w:hyperlink>
        </w:p>
        <w:p w14:paraId="570DDC90" w14:textId="35DC932E" w:rsidR="0001456F" w:rsidRPr="005A0C0C" w:rsidRDefault="0001456F">
          <w:pPr>
            <w:pStyle w:val="TOC2"/>
            <w:tabs>
              <w:tab w:val="left" w:pos="880"/>
              <w:tab w:val="right" w:leader="dot" w:pos="9016"/>
            </w:tabs>
            <w:rPr>
              <w:rFonts w:eastAsiaTheme="minorEastAsia"/>
              <w:noProof/>
              <w:sz w:val="20"/>
              <w:szCs w:val="20"/>
              <w:lang w:eastAsia="en-GB"/>
            </w:rPr>
          </w:pPr>
          <w:hyperlink w:anchor="_Toc160624588" w:history="1">
            <w:r w:rsidRPr="005A0C0C">
              <w:rPr>
                <w:rStyle w:val="Hyperlink"/>
                <w:b/>
                <w:bCs/>
                <w:noProof/>
                <w:sz w:val="20"/>
                <w:szCs w:val="20"/>
              </w:rPr>
              <w:t>3.2</w:t>
            </w:r>
            <w:r w:rsidRPr="005A0C0C">
              <w:rPr>
                <w:rFonts w:eastAsiaTheme="minorEastAsia"/>
                <w:noProof/>
                <w:sz w:val="20"/>
                <w:szCs w:val="20"/>
                <w:lang w:eastAsia="en-GB"/>
              </w:rPr>
              <w:tab/>
            </w:r>
            <w:r w:rsidRPr="005A0C0C">
              <w:rPr>
                <w:rStyle w:val="Hyperlink"/>
                <w:b/>
                <w:bCs/>
                <w:noProof/>
                <w:sz w:val="20"/>
                <w:szCs w:val="20"/>
              </w:rPr>
              <w:t>PENDERYN BRAND GROWTH STRATEGY: POST-2008</w:t>
            </w:r>
            <w:r w:rsidRPr="005A0C0C">
              <w:rPr>
                <w:noProof/>
                <w:webHidden/>
                <w:sz w:val="20"/>
                <w:szCs w:val="20"/>
              </w:rPr>
              <w:tab/>
            </w:r>
            <w:r w:rsidRPr="005A0C0C">
              <w:rPr>
                <w:noProof/>
                <w:webHidden/>
                <w:sz w:val="20"/>
                <w:szCs w:val="20"/>
              </w:rPr>
              <w:fldChar w:fldCharType="begin"/>
            </w:r>
            <w:r w:rsidRPr="005A0C0C">
              <w:rPr>
                <w:noProof/>
                <w:webHidden/>
                <w:sz w:val="20"/>
                <w:szCs w:val="20"/>
              </w:rPr>
              <w:instrText xml:space="preserve"> PAGEREF _Toc160624588 \h </w:instrText>
            </w:r>
            <w:r w:rsidRPr="005A0C0C">
              <w:rPr>
                <w:noProof/>
                <w:webHidden/>
                <w:sz w:val="20"/>
                <w:szCs w:val="20"/>
              </w:rPr>
            </w:r>
            <w:r w:rsidRPr="005A0C0C">
              <w:rPr>
                <w:noProof/>
                <w:webHidden/>
                <w:sz w:val="20"/>
                <w:szCs w:val="20"/>
              </w:rPr>
              <w:fldChar w:fldCharType="separate"/>
            </w:r>
            <w:r w:rsidR="00A40F73">
              <w:rPr>
                <w:noProof/>
                <w:webHidden/>
                <w:sz w:val="20"/>
                <w:szCs w:val="20"/>
              </w:rPr>
              <w:t>18</w:t>
            </w:r>
            <w:r w:rsidRPr="005A0C0C">
              <w:rPr>
                <w:noProof/>
                <w:webHidden/>
                <w:sz w:val="20"/>
                <w:szCs w:val="20"/>
              </w:rPr>
              <w:fldChar w:fldCharType="end"/>
            </w:r>
          </w:hyperlink>
        </w:p>
        <w:p w14:paraId="49D36B29" w14:textId="2E219071" w:rsidR="0001456F" w:rsidRPr="005A0C0C" w:rsidRDefault="0001456F">
          <w:pPr>
            <w:pStyle w:val="TOC2"/>
            <w:tabs>
              <w:tab w:val="left" w:pos="880"/>
              <w:tab w:val="right" w:leader="dot" w:pos="9016"/>
            </w:tabs>
            <w:rPr>
              <w:rFonts w:eastAsiaTheme="minorEastAsia"/>
              <w:noProof/>
              <w:sz w:val="20"/>
              <w:szCs w:val="20"/>
              <w:lang w:eastAsia="en-GB"/>
            </w:rPr>
          </w:pPr>
          <w:hyperlink w:anchor="_Toc160624589" w:history="1">
            <w:r w:rsidRPr="005A0C0C">
              <w:rPr>
                <w:rStyle w:val="Hyperlink"/>
                <w:b/>
                <w:bCs/>
                <w:noProof/>
                <w:sz w:val="20"/>
                <w:szCs w:val="20"/>
              </w:rPr>
              <w:t>3.3</w:t>
            </w:r>
            <w:r w:rsidRPr="005A0C0C">
              <w:rPr>
                <w:rFonts w:eastAsiaTheme="minorEastAsia"/>
                <w:noProof/>
                <w:sz w:val="20"/>
                <w:szCs w:val="20"/>
                <w:lang w:eastAsia="en-GB"/>
              </w:rPr>
              <w:tab/>
            </w:r>
            <w:r w:rsidRPr="005A0C0C">
              <w:rPr>
                <w:rStyle w:val="Hyperlink"/>
                <w:b/>
                <w:bCs/>
                <w:noProof/>
                <w:sz w:val="20"/>
                <w:szCs w:val="20"/>
              </w:rPr>
              <w:t>THE IMPACT OF COVID-19 ON PENDERYN’S EXPERIENTIAL TOURISM MODEL</w:t>
            </w:r>
            <w:r w:rsidRPr="005A0C0C">
              <w:rPr>
                <w:noProof/>
                <w:webHidden/>
                <w:sz w:val="20"/>
                <w:szCs w:val="20"/>
              </w:rPr>
              <w:tab/>
            </w:r>
            <w:r w:rsidRPr="005A0C0C">
              <w:rPr>
                <w:noProof/>
                <w:webHidden/>
                <w:sz w:val="20"/>
                <w:szCs w:val="20"/>
              </w:rPr>
              <w:fldChar w:fldCharType="begin"/>
            </w:r>
            <w:r w:rsidRPr="005A0C0C">
              <w:rPr>
                <w:noProof/>
                <w:webHidden/>
                <w:sz w:val="20"/>
                <w:szCs w:val="20"/>
              </w:rPr>
              <w:instrText xml:space="preserve"> PAGEREF _Toc160624589 \h </w:instrText>
            </w:r>
            <w:r w:rsidRPr="005A0C0C">
              <w:rPr>
                <w:noProof/>
                <w:webHidden/>
                <w:sz w:val="20"/>
                <w:szCs w:val="20"/>
              </w:rPr>
            </w:r>
            <w:r w:rsidRPr="005A0C0C">
              <w:rPr>
                <w:noProof/>
                <w:webHidden/>
                <w:sz w:val="20"/>
                <w:szCs w:val="20"/>
              </w:rPr>
              <w:fldChar w:fldCharType="separate"/>
            </w:r>
            <w:r w:rsidR="00A40F73">
              <w:rPr>
                <w:noProof/>
                <w:webHidden/>
                <w:sz w:val="20"/>
                <w:szCs w:val="20"/>
              </w:rPr>
              <w:t>19</w:t>
            </w:r>
            <w:r w:rsidRPr="005A0C0C">
              <w:rPr>
                <w:noProof/>
                <w:webHidden/>
                <w:sz w:val="20"/>
                <w:szCs w:val="20"/>
              </w:rPr>
              <w:fldChar w:fldCharType="end"/>
            </w:r>
          </w:hyperlink>
        </w:p>
        <w:p w14:paraId="4EC2DE7B" w14:textId="4CF3BBAF" w:rsidR="0001456F" w:rsidRPr="005A0C0C" w:rsidRDefault="0001456F">
          <w:pPr>
            <w:pStyle w:val="TOC2"/>
            <w:tabs>
              <w:tab w:val="left" w:pos="880"/>
              <w:tab w:val="right" w:leader="dot" w:pos="9016"/>
            </w:tabs>
            <w:rPr>
              <w:rFonts w:eastAsiaTheme="minorEastAsia"/>
              <w:noProof/>
              <w:sz w:val="20"/>
              <w:szCs w:val="20"/>
              <w:lang w:eastAsia="en-GB"/>
            </w:rPr>
          </w:pPr>
          <w:hyperlink w:anchor="_Toc160624590" w:history="1">
            <w:r w:rsidRPr="005A0C0C">
              <w:rPr>
                <w:rStyle w:val="Hyperlink"/>
                <w:b/>
                <w:bCs/>
                <w:noProof/>
                <w:sz w:val="20"/>
                <w:szCs w:val="20"/>
              </w:rPr>
              <w:t>3.4</w:t>
            </w:r>
            <w:r w:rsidRPr="005A0C0C">
              <w:rPr>
                <w:rFonts w:eastAsiaTheme="minorEastAsia"/>
                <w:noProof/>
                <w:sz w:val="20"/>
                <w:szCs w:val="20"/>
                <w:lang w:eastAsia="en-GB"/>
              </w:rPr>
              <w:tab/>
            </w:r>
            <w:r w:rsidRPr="005A0C0C">
              <w:rPr>
                <w:rStyle w:val="Hyperlink"/>
                <w:b/>
                <w:bCs/>
                <w:noProof/>
                <w:sz w:val="20"/>
                <w:szCs w:val="20"/>
              </w:rPr>
              <w:t>THE OPERATING MODEL OF PENDERYN’S VISITOR CENTRES</w:t>
            </w:r>
            <w:r w:rsidRPr="005A0C0C">
              <w:rPr>
                <w:noProof/>
                <w:webHidden/>
                <w:sz w:val="20"/>
                <w:szCs w:val="20"/>
              </w:rPr>
              <w:tab/>
            </w:r>
            <w:r w:rsidRPr="005A0C0C">
              <w:rPr>
                <w:noProof/>
                <w:webHidden/>
                <w:sz w:val="20"/>
                <w:szCs w:val="20"/>
              </w:rPr>
              <w:fldChar w:fldCharType="begin"/>
            </w:r>
            <w:r w:rsidRPr="005A0C0C">
              <w:rPr>
                <w:noProof/>
                <w:webHidden/>
                <w:sz w:val="20"/>
                <w:szCs w:val="20"/>
              </w:rPr>
              <w:instrText xml:space="preserve"> PAGEREF _Toc160624590 \h </w:instrText>
            </w:r>
            <w:r w:rsidRPr="005A0C0C">
              <w:rPr>
                <w:noProof/>
                <w:webHidden/>
                <w:sz w:val="20"/>
                <w:szCs w:val="20"/>
              </w:rPr>
            </w:r>
            <w:r w:rsidRPr="005A0C0C">
              <w:rPr>
                <w:noProof/>
                <w:webHidden/>
                <w:sz w:val="20"/>
                <w:szCs w:val="20"/>
              </w:rPr>
              <w:fldChar w:fldCharType="separate"/>
            </w:r>
            <w:r w:rsidR="00A40F73">
              <w:rPr>
                <w:noProof/>
                <w:webHidden/>
                <w:sz w:val="20"/>
                <w:szCs w:val="20"/>
              </w:rPr>
              <w:t>22</w:t>
            </w:r>
            <w:r w:rsidRPr="005A0C0C">
              <w:rPr>
                <w:noProof/>
                <w:webHidden/>
                <w:sz w:val="20"/>
                <w:szCs w:val="20"/>
              </w:rPr>
              <w:fldChar w:fldCharType="end"/>
            </w:r>
          </w:hyperlink>
        </w:p>
        <w:p w14:paraId="24DE05AD" w14:textId="29A3EA9E" w:rsidR="0001456F" w:rsidRPr="005A0C0C" w:rsidRDefault="0001456F">
          <w:pPr>
            <w:pStyle w:val="TOC2"/>
            <w:tabs>
              <w:tab w:val="left" w:pos="880"/>
              <w:tab w:val="right" w:leader="dot" w:pos="9016"/>
            </w:tabs>
            <w:rPr>
              <w:rFonts w:eastAsiaTheme="minorEastAsia"/>
              <w:noProof/>
              <w:sz w:val="20"/>
              <w:szCs w:val="20"/>
              <w:lang w:eastAsia="en-GB"/>
            </w:rPr>
          </w:pPr>
          <w:hyperlink w:anchor="_Toc160624591" w:history="1">
            <w:r w:rsidRPr="005A0C0C">
              <w:rPr>
                <w:rStyle w:val="Hyperlink"/>
                <w:b/>
                <w:bCs/>
                <w:noProof/>
                <w:sz w:val="20"/>
                <w:szCs w:val="20"/>
                <w:shd w:val="clear" w:color="auto" w:fill="FFFFFF"/>
              </w:rPr>
              <w:t>3.5</w:t>
            </w:r>
            <w:r w:rsidRPr="005A0C0C">
              <w:rPr>
                <w:rFonts w:eastAsiaTheme="minorEastAsia"/>
                <w:noProof/>
                <w:sz w:val="20"/>
                <w:szCs w:val="20"/>
                <w:lang w:eastAsia="en-GB"/>
              </w:rPr>
              <w:tab/>
            </w:r>
            <w:r w:rsidRPr="005A0C0C">
              <w:rPr>
                <w:rStyle w:val="Hyperlink"/>
                <w:b/>
                <w:bCs/>
                <w:noProof/>
                <w:sz w:val="20"/>
                <w:szCs w:val="20"/>
                <w:shd w:val="clear" w:color="auto" w:fill="FFFFFF"/>
              </w:rPr>
              <w:t>THE COST OF PENDERYN’S VISITOR CENTRES</w:t>
            </w:r>
            <w:r w:rsidRPr="005A0C0C">
              <w:rPr>
                <w:noProof/>
                <w:webHidden/>
                <w:sz w:val="20"/>
                <w:szCs w:val="20"/>
              </w:rPr>
              <w:tab/>
            </w:r>
            <w:r w:rsidRPr="005A0C0C">
              <w:rPr>
                <w:noProof/>
                <w:webHidden/>
                <w:sz w:val="20"/>
                <w:szCs w:val="20"/>
              </w:rPr>
              <w:fldChar w:fldCharType="begin"/>
            </w:r>
            <w:r w:rsidRPr="005A0C0C">
              <w:rPr>
                <w:noProof/>
                <w:webHidden/>
                <w:sz w:val="20"/>
                <w:szCs w:val="20"/>
              </w:rPr>
              <w:instrText xml:space="preserve"> PAGEREF _Toc160624591 \h </w:instrText>
            </w:r>
            <w:r w:rsidRPr="005A0C0C">
              <w:rPr>
                <w:noProof/>
                <w:webHidden/>
                <w:sz w:val="20"/>
                <w:szCs w:val="20"/>
              </w:rPr>
            </w:r>
            <w:r w:rsidRPr="005A0C0C">
              <w:rPr>
                <w:noProof/>
                <w:webHidden/>
                <w:sz w:val="20"/>
                <w:szCs w:val="20"/>
              </w:rPr>
              <w:fldChar w:fldCharType="separate"/>
            </w:r>
            <w:r w:rsidR="00A40F73">
              <w:rPr>
                <w:noProof/>
                <w:webHidden/>
                <w:sz w:val="20"/>
                <w:szCs w:val="20"/>
              </w:rPr>
              <w:t>22</w:t>
            </w:r>
            <w:r w:rsidRPr="005A0C0C">
              <w:rPr>
                <w:noProof/>
                <w:webHidden/>
                <w:sz w:val="20"/>
                <w:szCs w:val="20"/>
              </w:rPr>
              <w:fldChar w:fldCharType="end"/>
            </w:r>
          </w:hyperlink>
        </w:p>
        <w:p w14:paraId="748C9463" w14:textId="2BAC3F6F" w:rsidR="0001456F" w:rsidRPr="005A0C0C" w:rsidRDefault="0001456F">
          <w:pPr>
            <w:pStyle w:val="TOC2"/>
            <w:tabs>
              <w:tab w:val="left" w:pos="880"/>
              <w:tab w:val="right" w:leader="dot" w:pos="9016"/>
            </w:tabs>
            <w:rPr>
              <w:rFonts w:eastAsiaTheme="minorEastAsia"/>
              <w:noProof/>
              <w:sz w:val="20"/>
              <w:szCs w:val="20"/>
              <w:lang w:eastAsia="en-GB"/>
            </w:rPr>
          </w:pPr>
          <w:hyperlink w:anchor="_Toc160624592" w:history="1">
            <w:r w:rsidRPr="005A0C0C">
              <w:rPr>
                <w:rStyle w:val="Hyperlink"/>
                <w:b/>
                <w:bCs/>
                <w:noProof/>
                <w:sz w:val="20"/>
                <w:szCs w:val="20"/>
                <w:shd w:val="clear" w:color="auto" w:fill="FFFFFF"/>
              </w:rPr>
              <w:t>4.0</w:t>
            </w:r>
            <w:r w:rsidRPr="005A0C0C">
              <w:rPr>
                <w:rFonts w:eastAsiaTheme="minorEastAsia"/>
                <w:noProof/>
                <w:sz w:val="20"/>
                <w:szCs w:val="20"/>
                <w:lang w:eastAsia="en-GB"/>
              </w:rPr>
              <w:tab/>
            </w:r>
            <w:r w:rsidRPr="005A0C0C">
              <w:rPr>
                <w:rStyle w:val="Hyperlink"/>
                <w:b/>
                <w:bCs/>
                <w:noProof/>
                <w:sz w:val="20"/>
                <w:szCs w:val="20"/>
                <w:shd w:val="clear" w:color="auto" w:fill="FFFFFF"/>
              </w:rPr>
              <w:t>CONTRIBUTION OF PENDERYN’S VISITOR CENTRES</w:t>
            </w:r>
            <w:r w:rsidRPr="005A0C0C">
              <w:rPr>
                <w:noProof/>
                <w:webHidden/>
                <w:sz w:val="20"/>
                <w:szCs w:val="20"/>
              </w:rPr>
              <w:tab/>
            </w:r>
            <w:r w:rsidRPr="005A0C0C">
              <w:rPr>
                <w:noProof/>
                <w:webHidden/>
                <w:sz w:val="20"/>
                <w:szCs w:val="20"/>
              </w:rPr>
              <w:fldChar w:fldCharType="begin"/>
            </w:r>
            <w:r w:rsidRPr="005A0C0C">
              <w:rPr>
                <w:noProof/>
                <w:webHidden/>
                <w:sz w:val="20"/>
                <w:szCs w:val="20"/>
              </w:rPr>
              <w:instrText xml:space="preserve"> PAGEREF _Toc160624592 \h </w:instrText>
            </w:r>
            <w:r w:rsidRPr="005A0C0C">
              <w:rPr>
                <w:noProof/>
                <w:webHidden/>
                <w:sz w:val="20"/>
                <w:szCs w:val="20"/>
              </w:rPr>
            </w:r>
            <w:r w:rsidRPr="005A0C0C">
              <w:rPr>
                <w:noProof/>
                <w:webHidden/>
                <w:sz w:val="20"/>
                <w:szCs w:val="20"/>
              </w:rPr>
              <w:fldChar w:fldCharType="separate"/>
            </w:r>
            <w:r w:rsidR="00A40F73">
              <w:rPr>
                <w:noProof/>
                <w:webHidden/>
                <w:sz w:val="20"/>
                <w:szCs w:val="20"/>
              </w:rPr>
              <w:t>23</w:t>
            </w:r>
            <w:r w:rsidRPr="005A0C0C">
              <w:rPr>
                <w:noProof/>
                <w:webHidden/>
                <w:sz w:val="20"/>
                <w:szCs w:val="20"/>
              </w:rPr>
              <w:fldChar w:fldCharType="end"/>
            </w:r>
          </w:hyperlink>
        </w:p>
        <w:p w14:paraId="5025924D" w14:textId="476DE869" w:rsidR="0001456F" w:rsidRPr="005A0C0C" w:rsidRDefault="0001456F">
          <w:pPr>
            <w:pStyle w:val="TOC2"/>
            <w:tabs>
              <w:tab w:val="left" w:pos="880"/>
              <w:tab w:val="right" w:leader="dot" w:pos="9016"/>
            </w:tabs>
            <w:rPr>
              <w:rFonts w:eastAsiaTheme="minorEastAsia"/>
              <w:noProof/>
              <w:sz w:val="20"/>
              <w:szCs w:val="20"/>
              <w:lang w:eastAsia="en-GB"/>
            </w:rPr>
          </w:pPr>
          <w:hyperlink w:anchor="_Toc160624593" w:history="1">
            <w:r w:rsidRPr="005A0C0C">
              <w:rPr>
                <w:rStyle w:val="Hyperlink"/>
                <w:b/>
                <w:bCs/>
                <w:noProof/>
                <w:sz w:val="20"/>
                <w:szCs w:val="20"/>
                <w:shd w:val="clear" w:color="auto" w:fill="FFFFFF"/>
              </w:rPr>
              <w:t>4.1</w:t>
            </w:r>
            <w:r w:rsidRPr="005A0C0C">
              <w:rPr>
                <w:rFonts w:eastAsiaTheme="minorEastAsia"/>
                <w:noProof/>
                <w:sz w:val="20"/>
                <w:szCs w:val="20"/>
                <w:lang w:eastAsia="en-GB"/>
              </w:rPr>
              <w:tab/>
            </w:r>
            <w:r w:rsidRPr="005A0C0C">
              <w:rPr>
                <w:rStyle w:val="Hyperlink"/>
                <w:b/>
                <w:bCs/>
                <w:noProof/>
                <w:sz w:val="20"/>
                <w:szCs w:val="20"/>
                <w:shd w:val="clear" w:color="auto" w:fill="FFFFFF"/>
              </w:rPr>
              <w:t>FINANCIAL CONTRIBUTION</w:t>
            </w:r>
            <w:r w:rsidRPr="005A0C0C">
              <w:rPr>
                <w:noProof/>
                <w:webHidden/>
                <w:sz w:val="20"/>
                <w:szCs w:val="20"/>
              </w:rPr>
              <w:tab/>
            </w:r>
            <w:r w:rsidRPr="005A0C0C">
              <w:rPr>
                <w:noProof/>
                <w:webHidden/>
                <w:sz w:val="20"/>
                <w:szCs w:val="20"/>
              </w:rPr>
              <w:fldChar w:fldCharType="begin"/>
            </w:r>
            <w:r w:rsidRPr="005A0C0C">
              <w:rPr>
                <w:noProof/>
                <w:webHidden/>
                <w:sz w:val="20"/>
                <w:szCs w:val="20"/>
              </w:rPr>
              <w:instrText xml:space="preserve"> PAGEREF _Toc160624593 \h </w:instrText>
            </w:r>
            <w:r w:rsidRPr="005A0C0C">
              <w:rPr>
                <w:noProof/>
                <w:webHidden/>
                <w:sz w:val="20"/>
                <w:szCs w:val="20"/>
              </w:rPr>
            </w:r>
            <w:r w:rsidRPr="005A0C0C">
              <w:rPr>
                <w:noProof/>
                <w:webHidden/>
                <w:sz w:val="20"/>
                <w:szCs w:val="20"/>
              </w:rPr>
              <w:fldChar w:fldCharType="separate"/>
            </w:r>
            <w:r w:rsidR="00A40F73">
              <w:rPr>
                <w:noProof/>
                <w:webHidden/>
                <w:sz w:val="20"/>
                <w:szCs w:val="20"/>
              </w:rPr>
              <w:t>23</w:t>
            </w:r>
            <w:r w:rsidRPr="005A0C0C">
              <w:rPr>
                <w:noProof/>
                <w:webHidden/>
                <w:sz w:val="20"/>
                <w:szCs w:val="20"/>
              </w:rPr>
              <w:fldChar w:fldCharType="end"/>
            </w:r>
          </w:hyperlink>
        </w:p>
        <w:p w14:paraId="4C6A6306" w14:textId="0209D7F5" w:rsidR="0001456F" w:rsidRPr="005A0C0C" w:rsidRDefault="0001456F">
          <w:pPr>
            <w:pStyle w:val="TOC2"/>
            <w:tabs>
              <w:tab w:val="left" w:pos="880"/>
              <w:tab w:val="right" w:leader="dot" w:pos="9016"/>
            </w:tabs>
            <w:rPr>
              <w:rFonts w:eastAsiaTheme="minorEastAsia"/>
              <w:noProof/>
              <w:sz w:val="20"/>
              <w:szCs w:val="20"/>
              <w:lang w:eastAsia="en-GB"/>
            </w:rPr>
          </w:pPr>
          <w:hyperlink w:anchor="_Toc160624594" w:history="1">
            <w:r w:rsidRPr="005A0C0C">
              <w:rPr>
                <w:rStyle w:val="Hyperlink"/>
                <w:b/>
                <w:bCs/>
                <w:noProof/>
                <w:sz w:val="20"/>
                <w:szCs w:val="20"/>
              </w:rPr>
              <w:t>4.2</w:t>
            </w:r>
            <w:r w:rsidRPr="005A0C0C">
              <w:rPr>
                <w:rFonts w:eastAsiaTheme="minorEastAsia"/>
                <w:noProof/>
                <w:sz w:val="20"/>
                <w:szCs w:val="20"/>
                <w:lang w:eastAsia="en-GB"/>
              </w:rPr>
              <w:tab/>
            </w:r>
            <w:r w:rsidRPr="005A0C0C">
              <w:rPr>
                <w:rStyle w:val="Hyperlink"/>
                <w:b/>
                <w:bCs/>
                <w:noProof/>
                <w:sz w:val="20"/>
                <w:szCs w:val="20"/>
              </w:rPr>
              <w:t>CONTRIBUTION TO BRAND AWARENESS</w:t>
            </w:r>
            <w:r w:rsidRPr="005A0C0C">
              <w:rPr>
                <w:noProof/>
                <w:webHidden/>
                <w:sz w:val="20"/>
                <w:szCs w:val="20"/>
              </w:rPr>
              <w:tab/>
            </w:r>
            <w:r w:rsidRPr="005A0C0C">
              <w:rPr>
                <w:noProof/>
                <w:webHidden/>
                <w:sz w:val="20"/>
                <w:szCs w:val="20"/>
              </w:rPr>
              <w:fldChar w:fldCharType="begin"/>
            </w:r>
            <w:r w:rsidRPr="005A0C0C">
              <w:rPr>
                <w:noProof/>
                <w:webHidden/>
                <w:sz w:val="20"/>
                <w:szCs w:val="20"/>
              </w:rPr>
              <w:instrText xml:space="preserve"> PAGEREF _Toc160624594 \h </w:instrText>
            </w:r>
            <w:r w:rsidRPr="005A0C0C">
              <w:rPr>
                <w:noProof/>
                <w:webHidden/>
                <w:sz w:val="20"/>
                <w:szCs w:val="20"/>
              </w:rPr>
            </w:r>
            <w:r w:rsidRPr="005A0C0C">
              <w:rPr>
                <w:noProof/>
                <w:webHidden/>
                <w:sz w:val="20"/>
                <w:szCs w:val="20"/>
              </w:rPr>
              <w:fldChar w:fldCharType="separate"/>
            </w:r>
            <w:r w:rsidR="00A40F73">
              <w:rPr>
                <w:noProof/>
                <w:webHidden/>
                <w:sz w:val="20"/>
                <w:szCs w:val="20"/>
              </w:rPr>
              <w:t>23</w:t>
            </w:r>
            <w:r w:rsidRPr="005A0C0C">
              <w:rPr>
                <w:noProof/>
                <w:webHidden/>
                <w:sz w:val="20"/>
                <w:szCs w:val="20"/>
              </w:rPr>
              <w:fldChar w:fldCharType="end"/>
            </w:r>
          </w:hyperlink>
        </w:p>
        <w:p w14:paraId="2865A8DC" w14:textId="1A5D192D" w:rsidR="0001456F" w:rsidRPr="005A0C0C" w:rsidRDefault="0001456F">
          <w:pPr>
            <w:pStyle w:val="TOC2"/>
            <w:tabs>
              <w:tab w:val="left" w:pos="880"/>
              <w:tab w:val="right" w:leader="dot" w:pos="9016"/>
            </w:tabs>
            <w:rPr>
              <w:rFonts w:eastAsiaTheme="minorEastAsia"/>
              <w:noProof/>
              <w:sz w:val="20"/>
              <w:szCs w:val="20"/>
              <w:lang w:eastAsia="en-GB"/>
            </w:rPr>
          </w:pPr>
          <w:hyperlink w:anchor="_Toc160624595" w:history="1">
            <w:r w:rsidRPr="005A0C0C">
              <w:rPr>
                <w:rStyle w:val="Hyperlink"/>
                <w:b/>
                <w:bCs/>
                <w:noProof/>
                <w:sz w:val="20"/>
                <w:szCs w:val="20"/>
              </w:rPr>
              <w:t>4.3</w:t>
            </w:r>
            <w:r w:rsidRPr="005A0C0C">
              <w:rPr>
                <w:rFonts w:eastAsiaTheme="minorEastAsia"/>
                <w:noProof/>
                <w:sz w:val="20"/>
                <w:szCs w:val="20"/>
                <w:lang w:eastAsia="en-GB"/>
              </w:rPr>
              <w:tab/>
            </w:r>
            <w:r w:rsidRPr="005A0C0C">
              <w:rPr>
                <w:rStyle w:val="Hyperlink"/>
                <w:b/>
                <w:bCs/>
                <w:noProof/>
                <w:sz w:val="20"/>
                <w:szCs w:val="20"/>
              </w:rPr>
              <w:t>CONTRIBUTION TO BRAND PERCEPTION</w:t>
            </w:r>
            <w:r w:rsidRPr="005A0C0C">
              <w:rPr>
                <w:noProof/>
                <w:webHidden/>
                <w:sz w:val="20"/>
                <w:szCs w:val="20"/>
              </w:rPr>
              <w:tab/>
            </w:r>
            <w:r w:rsidRPr="005A0C0C">
              <w:rPr>
                <w:noProof/>
                <w:webHidden/>
                <w:sz w:val="20"/>
                <w:szCs w:val="20"/>
              </w:rPr>
              <w:fldChar w:fldCharType="begin"/>
            </w:r>
            <w:r w:rsidRPr="005A0C0C">
              <w:rPr>
                <w:noProof/>
                <w:webHidden/>
                <w:sz w:val="20"/>
                <w:szCs w:val="20"/>
              </w:rPr>
              <w:instrText xml:space="preserve"> PAGEREF _Toc160624595 \h </w:instrText>
            </w:r>
            <w:r w:rsidRPr="005A0C0C">
              <w:rPr>
                <w:noProof/>
                <w:webHidden/>
                <w:sz w:val="20"/>
                <w:szCs w:val="20"/>
              </w:rPr>
            </w:r>
            <w:r w:rsidRPr="005A0C0C">
              <w:rPr>
                <w:noProof/>
                <w:webHidden/>
                <w:sz w:val="20"/>
                <w:szCs w:val="20"/>
              </w:rPr>
              <w:fldChar w:fldCharType="separate"/>
            </w:r>
            <w:r w:rsidR="00A40F73">
              <w:rPr>
                <w:noProof/>
                <w:webHidden/>
                <w:sz w:val="20"/>
                <w:szCs w:val="20"/>
              </w:rPr>
              <w:t>25</w:t>
            </w:r>
            <w:r w:rsidRPr="005A0C0C">
              <w:rPr>
                <w:noProof/>
                <w:webHidden/>
                <w:sz w:val="20"/>
                <w:szCs w:val="20"/>
              </w:rPr>
              <w:fldChar w:fldCharType="end"/>
            </w:r>
          </w:hyperlink>
        </w:p>
        <w:p w14:paraId="5F0BC4EE" w14:textId="6C6FFD37" w:rsidR="0001456F" w:rsidRPr="005A0C0C" w:rsidRDefault="0001456F">
          <w:pPr>
            <w:pStyle w:val="TOC2"/>
            <w:tabs>
              <w:tab w:val="left" w:pos="880"/>
              <w:tab w:val="right" w:leader="dot" w:pos="9016"/>
            </w:tabs>
            <w:rPr>
              <w:rFonts w:eastAsiaTheme="minorEastAsia"/>
              <w:noProof/>
              <w:sz w:val="20"/>
              <w:szCs w:val="20"/>
              <w:lang w:eastAsia="en-GB"/>
            </w:rPr>
          </w:pPr>
          <w:hyperlink w:anchor="_Toc160624596" w:history="1">
            <w:r w:rsidRPr="005A0C0C">
              <w:rPr>
                <w:rStyle w:val="Hyperlink"/>
                <w:b/>
                <w:bCs/>
                <w:noProof/>
                <w:sz w:val="20"/>
                <w:szCs w:val="20"/>
              </w:rPr>
              <w:t>4.4</w:t>
            </w:r>
            <w:r w:rsidRPr="005A0C0C">
              <w:rPr>
                <w:rFonts w:eastAsiaTheme="minorEastAsia"/>
                <w:noProof/>
                <w:sz w:val="20"/>
                <w:szCs w:val="20"/>
                <w:lang w:eastAsia="en-GB"/>
              </w:rPr>
              <w:tab/>
            </w:r>
            <w:r w:rsidRPr="005A0C0C">
              <w:rPr>
                <w:rStyle w:val="Hyperlink"/>
                <w:b/>
                <w:bCs/>
                <w:noProof/>
                <w:sz w:val="20"/>
                <w:szCs w:val="20"/>
              </w:rPr>
              <w:t>CONTRIBUTION AS RESEARCH BASES</w:t>
            </w:r>
            <w:r w:rsidRPr="005A0C0C">
              <w:rPr>
                <w:noProof/>
                <w:webHidden/>
                <w:sz w:val="20"/>
                <w:szCs w:val="20"/>
              </w:rPr>
              <w:tab/>
            </w:r>
            <w:r w:rsidRPr="005A0C0C">
              <w:rPr>
                <w:noProof/>
                <w:webHidden/>
                <w:sz w:val="20"/>
                <w:szCs w:val="20"/>
              </w:rPr>
              <w:fldChar w:fldCharType="begin"/>
            </w:r>
            <w:r w:rsidRPr="005A0C0C">
              <w:rPr>
                <w:noProof/>
                <w:webHidden/>
                <w:sz w:val="20"/>
                <w:szCs w:val="20"/>
              </w:rPr>
              <w:instrText xml:space="preserve"> PAGEREF _Toc160624596 \h </w:instrText>
            </w:r>
            <w:r w:rsidRPr="005A0C0C">
              <w:rPr>
                <w:noProof/>
                <w:webHidden/>
                <w:sz w:val="20"/>
                <w:szCs w:val="20"/>
              </w:rPr>
            </w:r>
            <w:r w:rsidRPr="005A0C0C">
              <w:rPr>
                <w:noProof/>
                <w:webHidden/>
                <w:sz w:val="20"/>
                <w:szCs w:val="20"/>
              </w:rPr>
              <w:fldChar w:fldCharType="separate"/>
            </w:r>
            <w:r w:rsidR="00A40F73">
              <w:rPr>
                <w:noProof/>
                <w:webHidden/>
                <w:sz w:val="20"/>
                <w:szCs w:val="20"/>
              </w:rPr>
              <w:t>26</w:t>
            </w:r>
            <w:r w:rsidRPr="005A0C0C">
              <w:rPr>
                <w:noProof/>
                <w:webHidden/>
                <w:sz w:val="20"/>
                <w:szCs w:val="20"/>
              </w:rPr>
              <w:fldChar w:fldCharType="end"/>
            </w:r>
          </w:hyperlink>
        </w:p>
        <w:p w14:paraId="618EC376" w14:textId="2AC4F53F" w:rsidR="0001456F" w:rsidRPr="005A0C0C" w:rsidRDefault="0001456F">
          <w:pPr>
            <w:pStyle w:val="TOC2"/>
            <w:tabs>
              <w:tab w:val="left" w:pos="880"/>
              <w:tab w:val="right" w:leader="dot" w:pos="9016"/>
            </w:tabs>
            <w:rPr>
              <w:rFonts w:eastAsiaTheme="minorEastAsia"/>
              <w:noProof/>
              <w:sz w:val="20"/>
              <w:szCs w:val="20"/>
              <w:lang w:eastAsia="en-GB"/>
            </w:rPr>
          </w:pPr>
          <w:hyperlink w:anchor="_Toc160624597" w:history="1">
            <w:r w:rsidRPr="005A0C0C">
              <w:rPr>
                <w:rStyle w:val="Hyperlink"/>
                <w:b/>
                <w:bCs/>
                <w:noProof/>
                <w:sz w:val="20"/>
                <w:szCs w:val="20"/>
              </w:rPr>
              <w:t>5.0</w:t>
            </w:r>
            <w:r w:rsidRPr="005A0C0C">
              <w:rPr>
                <w:rFonts w:eastAsiaTheme="minorEastAsia"/>
                <w:noProof/>
                <w:sz w:val="20"/>
                <w:szCs w:val="20"/>
                <w:lang w:eastAsia="en-GB"/>
              </w:rPr>
              <w:tab/>
            </w:r>
            <w:r w:rsidRPr="005A0C0C">
              <w:rPr>
                <w:rStyle w:val="Hyperlink"/>
                <w:b/>
                <w:bCs/>
                <w:noProof/>
                <w:sz w:val="20"/>
                <w:szCs w:val="20"/>
              </w:rPr>
              <w:t>FINDINGS</w:t>
            </w:r>
            <w:r w:rsidRPr="005A0C0C">
              <w:rPr>
                <w:noProof/>
                <w:webHidden/>
                <w:sz w:val="20"/>
                <w:szCs w:val="20"/>
              </w:rPr>
              <w:tab/>
            </w:r>
            <w:r w:rsidRPr="005A0C0C">
              <w:rPr>
                <w:noProof/>
                <w:webHidden/>
                <w:sz w:val="20"/>
                <w:szCs w:val="20"/>
              </w:rPr>
              <w:fldChar w:fldCharType="begin"/>
            </w:r>
            <w:r w:rsidRPr="005A0C0C">
              <w:rPr>
                <w:noProof/>
                <w:webHidden/>
                <w:sz w:val="20"/>
                <w:szCs w:val="20"/>
              </w:rPr>
              <w:instrText xml:space="preserve"> PAGEREF _Toc160624597 \h </w:instrText>
            </w:r>
            <w:r w:rsidRPr="005A0C0C">
              <w:rPr>
                <w:noProof/>
                <w:webHidden/>
                <w:sz w:val="20"/>
                <w:szCs w:val="20"/>
              </w:rPr>
            </w:r>
            <w:r w:rsidRPr="005A0C0C">
              <w:rPr>
                <w:noProof/>
                <w:webHidden/>
                <w:sz w:val="20"/>
                <w:szCs w:val="20"/>
              </w:rPr>
              <w:fldChar w:fldCharType="separate"/>
            </w:r>
            <w:r w:rsidR="00A40F73">
              <w:rPr>
                <w:noProof/>
                <w:webHidden/>
                <w:sz w:val="20"/>
                <w:szCs w:val="20"/>
              </w:rPr>
              <w:t>28</w:t>
            </w:r>
            <w:r w:rsidRPr="005A0C0C">
              <w:rPr>
                <w:noProof/>
                <w:webHidden/>
                <w:sz w:val="20"/>
                <w:szCs w:val="20"/>
              </w:rPr>
              <w:fldChar w:fldCharType="end"/>
            </w:r>
          </w:hyperlink>
        </w:p>
        <w:p w14:paraId="3CED8060" w14:textId="05A9BF73" w:rsidR="0001456F" w:rsidRPr="005A0C0C" w:rsidRDefault="0001456F">
          <w:pPr>
            <w:pStyle w:val="TOC2"/>
            <w:tabs>
              <w:tab w:val="left" w:pos="880"/>
              <w:tab w:val="right" w:leader="dot" w:pos="9016"/>
            </w:tabs>
            <w:rPr>
              <w:rFonts w:eastAsiaTheme="minorEastAsia"/>
              <w:noProof/>
              <w:sz w:val="20"/>
              <w:szCs w:val="20"/>
              <w:lang w:eastAsia="en-GB"/>
            </w:rPr>
          </w:pPr>
          <w:hyperlink w:anchor="_Toc160624598" w:history="1">
            <w:r w:rsidRPr="005A0C0C">
              <w:rPr>
                <w:rStyle w:val="Hyperlink"/>
                <w:b/>
                <w:bCs/>
                <w:noProof/>
                <w:sz w:val="20"/>
                <w:szCs w:val="20"/>
              </w:rPr>
              <w:t>5.1</w:t>
            </w:r>
            <w:r w:rsidRPr="005A0C0C">
              <w:rPr>
                <w:rFonts w:eastAsiaTheme="minorEastAsia"/>
                <w:noProof/>
                <w:sz w:val="20"/>
                <w:szCs w:val="20"/>
                <w:lang w:eastAsia="en-GB"/>
              </w:rPr>
              <w:tab/>
            </w:r>
            <w:r w:rsidRPr="005A0C0C">
              <w:rPr>
                <w:rStyle w:val="Hyperlink"/>
                <w:b/>
                <w:bCs/>
                <w:noProof/>
                <w:sz w:val="20"/>
                <w:szCs w:val="20"/>
              </w:rPr>
              <w:t>DATA SET 1: PENDERYN BRAND POSITIONING – MARKET RESEARCH STUDY</w:t>
            </w:r>
            <w:r w:rsidRPr="005A0C0C">
              <w:rPr>
                <w:noProof/>
                <w:webHidden/>
                <w:sz w:val="20"/>
                <w:szCs w:val="20"/>
              </w:rPr>
              <w:tab/>
            </w:r>
            <w:r w:rsidRPr="005A0C0C">
              <w:rPr>
                <w:noProof/>
                <w:webHidden/>
                <w:sz w:val="20"/>
                <w:szCs w:val="20"/>
              </w:rPr>
              <w:fldChar w:fldCharType="begin"/>
            </w:r>
            <w:r w:rsidRPr="005A0C0C">
              <w:rPr>
                <w:noProof/>
                <w:webHidden/>
                <w:sz w:val="20"/>
                <w:szCs w:val="20"/>
              </w:rPr>
              <w:instrText xml:space="preserve"> PAGEREF _Toc160624598 \h </w:instrText>
            </w:r>
            <w:r w:rsidRPr="005A0C0C">
              <w:rPr>
                <w:noProof/>
                <w:webHidden/>
                <w:sz w:val="20"/>
                <w:szCs w:val="20"/>
              </w:rPr>
            </w:r>
            <w:r w:rsidRPr="005A0C0C">
              <w:rPr>
                <w:noProof/>
                <w:webHidden/>
                <w:sz w:val="20"/>
                <w:szCs w:val="20"/>
              </w:rPr>
              <w:fldChar w:fldCharType="separate"/>
            </w:r>
            <w:r w:rsidR="00A40F73">
              <w:rPr>
                <w:noProof/>
                <w:webHidden/>
                <w:sz w:val="20"/>
                <w:szCs w:val="20"/>
              </w:rPr>
              <w:t>28</w:t>
            </w:r>
            <w:r w:rsidRPr="005A0C0C">
              <w:rPr>
                <w:noProof/>
                <w:webHidden/>
                <w:sz w:val="20"/>
                <w:szCs w:val="20"/>
              </w:rPr>
              <w:fldChar w:fldCharType="end"/>
            </w:r>
          </w:hyperlink>
        </w:p>
        <w:p w14:paraId="7E62BC09" w14:textId="2CDCAC3A" w:rsidR="0001456F" w:rsidRPr="005A0C0C" w:rsidRDefault="0001456F">
          <w:pPr>
            <w:pStyle w:val="TOC2"/>
            <w:tabs>
              <w:tab w:val="left" w:pos="880"/>
              <w:tab w:val="right" w:leader="dot" w:pos="9016"/>
            </w:tabs>
            <w:rPr>
              <w:rFonts w:eastAsiaTheme="minorEastAsia"/>
              <w:noProof/>
              <w:sz w:val="20"/>
              <w:szCs w:val="20"/>
              <w:lang w:eastAsia="en-GB"/>
            </w:rPr>
          </w:pPr>
          <w:hyperlink w:anchor="_Toc160624599" w:history="1">
            <w:r w:rsidRPr="005A0C0C">
              <w:rPr>
                <w:rStyle w:val="Hyperlink"/>
                <w:b/>
                <w:bCs/>
                <w:noProof/>
                <w:sz w:val="20"/>
                <w:szCs w:val="20"/>
              </w:rPr>
              <w:t>5.2</w:t>
            </w:r>
            <w:r w:rsidRPr="005A0C0C">
              <w:rPr>
                <w:rFonts w:eastAsiaTheme="minorEastAsia"/>
                <w:noProof/>
                <w:sz w:val="20"/>
                <w:szCs w:val="20"/>
                <w:lang w:eastAsia="en-GB"/>
              </w:rPr>
              <w:tab/>
            </w:r>
            <w:r w:rsidRPr="005A0C0C">
              <w:rPr>
                <w:rStyle w:val="Hyperlink"/>
                <w:b/>
                <w:bCs/>
                <w:noProof/>
                <w:sz w:val="20"/>
                <w:szCs w:val="20"/>
              </w:rPr>
              <w:t>DATA SET 2: PENDERYN CUSTOMER EXPERIENCE SURVEYS</w:t>
            </w:r>
            <w:r w:rsidRPr="005A0C0C">
              <w:rPr>
                <w:noProof/>
                <w:webHidden/>
                <w:sz w:val="20"/>
                <w:szCs w:val="20"/>
              </w:rPr>
              <w:tab/>
            </w:r>
            <w:r w:rsidRPr="005A0C0C">
              <w:rPr>
                <w:noProof/>
                <w:webHidden/>
                <w:sz w:val="20"/>
                <w:szCs w:val="20"/>
              </w:rPr>
              <w:fldChar w:fldCharType="begin"/>
            </w:r>
            <w:r w:rsidRPr="005A0C0C">
              <w:rPr>
                <w:noProof/>
                <w:webHidden/>
                <w:sz w:val="20"/>
                <w:szCs w:val="20"/>
              </w:rPr>
              <w:instrText xml:space="preserve"> PAGEREF _Toc160624599 \h </w:instrText>
            </w:r>
            <w:r w:rsidRPr="005A0C0C">
              <w:rPr>
                <w:noProof/>
                <w:webHidden/>
                <w:sz w:val="20"/>
                <w:szCs w:val="20"/>
              </w:rPr>
            </w:r>
            <w:r w:rsidRPr="005A0C0C">
              <w:rPr>
                <w:noProof/>
                <w:webHidden/>
                <w:sz w:val="20"/>
                <w:szCs w:val="20"/>
              </w:rPr>
              <w:fldChar w:fldCharType="separate"/>
            </w:r>
            <w:r w:rsidR="00A40F73">
              <w:rPr>
                <w:noProof/>
                <w:webHidden/>
                <w:sz w:val="20"/>
                <w:szCs w:val="20"/>
              </w:rPr>
              <w:t>33</w:t>
            </w:r>
            <w:r w:rsidRPr="005A0C0C">
              <w:rPr>
                <w:noProof/>
                <w:webHidden/>
                <w:sz w:val="20"/>
                <w:szCs w:val="20"/>
              </w:rPr>
              <w:fldChar w:fldCharType="end"/>
            </w:r>
          </w:hyperlink>
        </w:p>
        <w:p w14:paraId="2CD4AB51" w14:textId="17CA435A" w:rsidR="0001456F" w:rsidRPr="005A0C0C" w:rsidRDefault="0001456F">
          <w:pPr>
            <w:pStyle w:val="TOC2"/>
            <w:tabs>
              <w:tab w:val="left" w:pos="880"/>
              <w:tab w:val="right" w:leader="dot" w:pos="9016"/>
            </w:tabs>
            <w:rPr>
              <w:rFonts w:eastAsiaTheme="minorEastAsia"/>
              <w:noProof/>
              <w:sz w:val="20"/>
              <w:szCs w:val="20"/>
              <w:lang w:eastAsia="en-GB"/>
            </w:rPr>
          </w:pPr>
          <w:hyperlink w:anchor="_Toc160624600" w:history="1">
            <w:r w:rsidRPr="005A0C0C">
              <w:rPr>
                <w:rStyle w:val="Hyperlink"/>
                <w:b/>
                <w:bCs/>
                <w:noProof/>
                <w:sz w:val="20"/>
                <w:szCs w:val="20"/>
              </w:rPr>
              <w:t>5.3</w:t>
            </w:r>
            <w:r w:rsidRPr="005A0C0C">
              <w:rPr>
                <w:rFonts w:eastAsiaTheme="minorEastAsia"/>
                <w:noProof/>
                <w:sz w:val="20"/>
                <w:szCs w:val="20"/>
                <w:lang w:eastAsia="en-GB"/>
              </w:rPr>
              <w:tab/>
            </w:r>
            <w:r w:rsidRPr="005A0C0C">
              <w:rPr>
                <w:rStyle w:val="Hyperlink"/>
                <w:b/>
                <w:bCs/>
                <w:noProof/>
                <w:sz w:val="20"/>
                <w:szCs w:val="20"/>
              </w:rPr>
              <w:t>DATA SET 3: PENDERYN VISITOR ACTIVITY DATA</w:t>
            </w:r>
            <w:r w:rsidRPr="005A0C0C">
              <w:rPr>
                <w:noProof/>
                <w:webHidden/>
                <w:sz w:val="20"/>
                <w:szCs w:val="20"/>
              </w:rPr>
              <w:tab/>
            </w:r>
            <w:r w:rsidRPr="005A0C0C">
              <w:rPr>
                <w:noProof/>
                <w:webHidden/>
                <w:sz w:val="20"/>
                <w:szCs w:val="20"/>
              </w:rPr>
              <w:fldChar w:fldCharType="begin"/>
            </w:r>
            <w:r w:rsidRPr="005A0C0C">
              <w:rPr>
                <w:noProof/>
                <w:webHidden/>
                <w:sz w:val="20"/>
                <w:szCs w:val="20"/>
              </w:rPr>
              <w:instrText xml:space="preserve"> PAGEREF _Toc160624600 \h </w:instrText>
            </w:r>
            <w:r w:rsidRPr="005A0C0C">
              <w:rPr>
                <w:noProof/>
                <w:webHidden/>
                <w:sz w:val="20"/>
                <w:szCs w:val="20"/>
              </w:rPr>
            </w:r>
            <w:r w:rsidRPr="005A0C0C">
              <w:rPr>
                <w:noProof/>
                <w:webHidden/>
                <w:sz w:val="20"/>
                <w:szCs w:val="20"/>
              </w:rPr>
              <w:fldChar w:fldCharType="separate"/>
            </w:r>
            <w:r w:rsidR="00A40F73">
              <w:rPr>
                <w:noProof/>
                <w:webHidden/>
                <w:sz w:val="20"/>
                <w:szCs w:val="20"/>
              </w:rPr>
              <w:t>37</w:t>
            </w:r>
            <w:r w:rsidRPr="005A0C0C">
              <w:rPr>
                <w:noProof/>
                <w:webHidden/>
                <w:sz w:val="20"/>
                <w:szCs w:val="20"/>
              </w:rPr>
              <w:fldChar w:fldCharType="end"/>
            </w:r>
          </w:hyperlink>
        </w:p>
        <w:p w14:paraId="75BD1A9D" w14:textId="57103CBB" w:rsidR="0001456F" w:rsidRPr="005A0C0C" w:rsidRDefault="0001456F">
          <w:pPr>
            <w:pStyle w:val="TOC2"/>
            <w:tabs>
              <w:tab w:val="left" w:pos="880"/>
              <w:tab w:val="right" w:leader="dot" w:pos="9016"/>
            </w:tabs>
            <w:rPr>
              <w:rFonts w:eastAsiaTheme="minorEastAsia"/>
              <w:noProof/>
              <w:sz w:val="20"/>
              <w:szCs w:val="20"/>
              <w:lang w:eastAsia="en-GB"/>
            </w:rPr>
          </w:pPr>
          <w:hyperlink w:anchor="_Toc160624601" w:history="1">
            <w:r w:rsidRPr="005A0C0C">
              <w:rPr>
                <w:rStyle w:val="Hyperlink"/>
                <w:b/>
                <w:bCs/>
                <w:noProof/>
                <w:sz w:val="20"/>
                <w:szCs w:val="20"/>
              </w:rPr>
              <w:t>6.0</w:t>
            </w:r>
            <w:r w:rsidRPr="005A0C0C">
              <w:rPr>
                <w:rFonts w:eastAsiaTheme="minorEastAsia"/>
                <w:noProof/>
                <w:sz w:val="20"/>
                <w:szCs w:val="20"/>
                <w:lang w:eastAsia="en-GB"/>
              </w:rPr>
              <w:tab/>
            </w:r>
            <w:r w:rsidRPr="005A0C0C">
              <w:rPr>
                <w:rStyle w:val="Hyperlink"/>
                <w:b/>
                <w:bCs/>
                <w:noProof/>
                <w:sz w:val="20"/>
                <w:szCs w:val="20"/>
              </w:rPr>
              <w:t>CONCLUSION – THE VALUE OF EXPERIENTIAL TOURISM TO PENDERYN</w:t>
            </w:r>
            <w:r w:rsidRPr="005A0C0C">
              <w:rPr>
                <w:noProof/>
                <w:webHidden/>
                <w:sz w:val="20"/>
                <w:szCs w:val="20"/>
              </w:rPr>
              <w:tab/>
            </w:r>
            <w:r w:rsidRPr="005A0C0C">
              <w:rPr>
                <w:noProof/>
                <w:webHidden/>
                <w:sz w:val="20"/>
                <w:szCs w:val="20"/>
              </w:rPr>
              <w:fldChar w:fldCharType="begin"/>
            </w:r>
            <w:r w:rsidRPr="005A0C0C">
              <w:rPr>
                <w:noProof/>
                <w:webHidden/>
                <w:sz w:val="20"/>
                <w:szCs w:val="20"/>
              </w:rPr>
              <w:instrText xml:space="preserve"> PAGEREF _Toc160624601 \h </w:instrText>
            </w:r>
            <w:r w:rsidRPr="005A0C0C">
              <w:rPr>
                <w:noProof/>
                <w:webHidden/>
                <w:sz w:val="20"/>
                <w:szCs w:val="20"/>
              </w:rPr>
            </w:r>
            <w:r w:rsidRPr="005A0C0C">
              <w:rPr>
                <w:noProof/>
                <w:webHidden/>
                <w:sz w:val="20"/>
                <w:szCs w:val="20"/>
              </w:rPr>
              <w:fldChar w:fldCharType="separate"/>
            </w:r>
            <w:r w:rsidR="00A40F73">
              <w:rPr>
                <w:noProof/>
                <w:webHidden/>
                <w:sz w:val="20"/>
                <w:szCs w:val="20"/>
              </w:rPr>
              <w:t>40</w:t>
            </w:r>
            <w:r w:rsidRPr="005A0C0C">
              <w:rPr>
                <w:noProof/>
                <w:webHidden/>
                <w:sz w:val="20"/>
                <w:szCs w:val="20"/>
              </w:rPr>
              <w:fldChar w:fldCharType="end"/>
            </w:r>
          </w:hyperlink>
        </w:p>
        <w:p w14:paraId="72B2F138" w14:textId="26D234F9" w:rsidR="0001456F" w:rsidRPr="005A0C0C" w:rsidRDefault="0001456F">
          <w:pPr>
            <w:pStyle w:val="TOC2"/>
            <w:tabs>
              <w:tab w:val="left" w:pos="880"/>
              <w:tab w:val="right" w:leader="dot" w:pos="9016"/>
            </w:tabs>
            <w:rPr>
              <w:rFonts w:eastAsiaTheme="minorEastAsia"/>
              <w:noProof/>
              <w:sz w:val="20"/>
              <w:szCs w:val="20"/>
              <w:lang w:eastAsia="en-GB"/>
            </w:rPr>
          </w:pPr>
          <w:hyperlink w:anchor="_Toc160624602" w:history="1">
            <w:r w:rsidRPr="005A0C0C">
              <w:rPr>
                <w:rStyle w:val="Hyperlink"/>
                <w:b/>
                <w:bCs/>
                <w:noProof/>
                <w:sz w:val="20"/>
                <w:szCs w:val="20"/>
              </w:rPr>
              <w:t>6.1</w:t>
            </w:r>
            <w:r w:rsidRPr="005A0C0C">
              <w:rPr>
                <w:rFonts w:eastAsiaTheme="minorEastAsia"/>
                <w:noProof/>
                <w:sz w:val="20"/>
                <w:szCs w:val="20"/>
                <w:lang w:eastAsia="en-GB"/>
              </w:rPr>
              <w:tab/>
            </w:r>
            <w:r w:rsidRPr="005A0C0C">
              <w:rPr>
                <w:rStyle w:val="Hyperlink"/>
                <w:b/>
                <w:bCs/>
                <w:noProof/>
                <w:sz w:val="20"/>
                <w:szCs w:val="20"/>
              </w:rPr>
              <w:t>RECOMMENDATIONS AND FUTURE STEPS</w:t>
            </w:r>
            <w:r w:rsidRPr="005A0C0C">
              <w:rPr>
                <w:noProof/>
                <w:webHidden/>
                <w:sz w:val="20"/>
                <w:szCs w:val="20"/>
              </w:rPr>
              <w:tab/>
            </w:r>
            <w:r w:rsidRPr="005A0C0C">
              <w:rPr>
                <w:noProof/>
                <w:webHidden/>
                <w:sz w:val="20"/>
                <w:szCs w:val="20"/>
              </w:rPr>
              <w:fldChar w:fldCharType="begin"/>
            </w:r>
            <w:r w:rsidRPr="005A0C0C">
              <w:rPr>
                <w:noProof/>
                <w:webHidden/>
                <w:sz w:val="20"/>
                <w:szCs w:val="20"/>
              </w:rPr>
              <w:instrText xml:space="preserve"> PAGEREF _Toc160624602 \h </w:instrText>
            </w:r>
            <w:r w:rsidRPr="005A0C0C">
              <w:rPr>
                <w:noProof/>
                <w:webHidden/>
                <w:sz w:val="20"/>
                <w:szCs w:val="20"/>
              </w:rPr>
            </w:r>
            <w:r w:rsidRPr="005A0C0C">
              <w:rPr>
                <w:noProof/>
                <w:webHidden/>
                <w:sz w:val="20"/>
                <w:szCs w:val="20"/>
              </w:rPr>
              <w:fldChar w:fldCharType="separate"/>
            </w:r>
            <w:r w:rsidR="00A40F73">
              <w:rPr>
                <w:noProof/>
                <w:webHidden/>
                <w:sz w:val="20"/>
                <w:szCs w:val="20"/>
              </w:rPr>
              <w:t>41</w:t>
            </w:r>
            <w:r w:rsidRPr="005A0C0C">
              <w:rPr>
                <w:noProof/>
                <w:webHidden/>
                <w:sz w:val="20"/>
                <w:szCs w:val="20"/>
              </w:rPr>
              <w:fldChar w:fldCharType="end"/>
            </w:r>
          </w:hyperlink>
        </w:p>
        <w:p w14:paraId="55DCD8AB" w14:textId="63F9C26E" w:rsidR="0001456F" w:rsidRPr="005A0C0C" w:rsidRDefault="0001456F">
          <w:pPr>
            <w:pStyle w:val="TOC1"/>
            <w:tabs>
              <w:tab w:val="right" w:leader="dot" w:pos="9016"/>
            </w:tabs>
            <w:rPr>
              <w:rFonts w:eastAsiaTheme="minorEastAsia"/>
              <w:noProof/>
              <w:sz w:val="20"/>
              <w:szCs w:val="20"/>
              <w:lang w:eastAsia="en-GB"/>
            </w:rPr>
          </w:pPr>
          <w:hyperlink w:anchor="_Toc160624603" w:history="1">
            <w:r w:rsidRPr="005A0C0C">
              <w:rPr>
                <w:rStyle w:val="Hyperlink"/>
                <w:b/>
                <w:bCs/>
                <w:noProof/>
                <w:sz w:val="20"/>
                <w:szCs w:val="20"/>
              </w:rPr>
              <w:t>REFERENCES</w:t>
            </w:r>
            <w:r w:rsidRPr="005A0C0C">
              <w:rPr>
                <w:noProof/>
                <w:webHidden/>
                <w:sz w:val="20"/>
                <w:szCs w:val="20"/>
              </w:rPr>
              <w:tab/>
            </w:r>
            <w:r w:rsidRPr="005A0C0C">
              <w:rPr>
                <w:noProof/>
                <w:webHidden/>
                <w:sz w:val="20"/>
                <w:szCs w:val="20"/>
              </w:rPr>
              <w:fldChar w:fldCharType="begin"/>
            </w:r>
            <w:r w:rsidRPr="005A0C0C">
              <w:rPr>
                <w:noProof/>
                <w:webHidden/>
                <w:sz w:val="20"/>
                <w:szCs w:val="20"/>
              </w:rPr>
              <w:instrText xml:space="preserve"> PAGEREF _Toc160624603 \h </w:instrText>
            </w:r>
            <w:r w:rsidRPr="005A0C0C">
              <w:rPr>
                <w:noProof/>
                <w:webHidden/>
                <w:sz w:val="20"/>
                <w:szCs w:val="20"/>
              </w:rPr>
            </w:r>
            <w:r w:rsidRPr="005A0C0C">
              <w:rPr>
                <w:noProof/>
                <w:webHidden/>
                <w:sz w:val="20"/>
                <w:szCs w:val="20"/>
              </w:rPr>
              <w:fldChar w:fldCharType="separate"/>
            </w:r>
            <w:r w:rsidR="00A40F73">
              <w:rPr>
                <w:noProof/>
                <w:webHidden/>
                <w:sz w:val="20"/>
                <w:szCs w:val="20"/>
              </w:rPr>
              <w:t>42</w:t>
            </w:r>
            <w:r w:rsidRPr="005A0C0C">
              <w:rPr>
                <w:noProof/>
                <w:webHidden/>
                <w:sz w:val="20"/>
                <w:szCs w:val="20"/>
              </w:rPr>
              <w:fldChar w:fldCharType="end"/>
            </w:r>
          </w:hyperlink>
        </w:p>
        <w:p w14:paraId="4F4C1A23" w14:textId="1471048C" w:rsidR="00523C32" w:rsidRDefault="00523C32">
          <w:r>
            <w:rPr>
              <w:b/>
              <w:bCs/>
              <w:noProof/>
            </w:rPr>
            <w:fldChar w:fldCharType="end"/>
          </w:r>
        </w:p>
      </w:sdtContent>
    </w:sdt>
    <w:p w14:paraId="437488FA" w14:textId="77777777" w:rsidR="00501CD5" w:rsidRPr="00501CD5" w:rsidRDefault="00501CD5" w:rsidP="00501CD5">
      <w:pPr>
        <w:pStyle w:val="Heading2"/>
        <w:spacing w:line="276" w:lineRule="auto"/>
        <w:rPr>
          <w:rFonts w:asciiTheme="minorHAnsi" w:hAnsiTheme="minorHAnsi" w:cstheme="minorHAnsi"/>
          <w:b/>
          <w:bCs/>
          <w:color w:val="auto"/>
          <w:sz w:val="24"/>
          <w:szCs w:val="24"/>
        </w:rPr>
      </w:pPr>
      <w:bookmarkStart w:id="0" w:name="_Toc160624567"/>
      <w:r w:rsidRPr="00501CD5">
        <w:rPr>
          <w:rFonts w:asciiTheme="minorHAnsi" w:hAnsiTheme="minorHAnsi" w:cstheme="minorHAnsi"/>
          <w:b/>
          <w:bCs/>
          <w:color w:val="auto"/>
          <w:sz w:val="24"/>
          <w:szCs w:val="24"/>
        </w:rPr>
        <w:lastRenderedPageBreak/>
        <w:t>ABOUT THE AUTHOR</w:t>
      </w:r>
      <w:bookmarkEnd w:id="0"/>
    </w:p>
    <w:p w14:paraId="138501D0" w14:textId="243314F7" w:rsidR="00501CD5" w:rsidRPr="00501CD5" w:rsidRDefault="00501CD5" w:rsidP="00501CD5">
      <w:pPr>
        <w:pStyle w:val="Heading2"/>
        <w:spacing w:line="276" w:lineRule="auto"/>
        <w:jc w:val="both"/>
        <w:rPr>
          <w:rFonts w:asciiTheme="minorHAnsi" w:hAnsiTheme="minorHAnsi" w:cstheme="minorHAnsi"/>
          <w:color w:val="auto"/>
          <w:sz w:val="22"/>
          <w:szCs w:val="22"/>
        </w:rPr>
      </w:pPr>
      <w:bookmarkStart w:id="1" w:name="_Toc160624568"/>
      <w:r w:rsidRPr="00501CD5">
        <w:rPr>
          <w:rFonts w:asciiTheme="minorHAnsi" w:hAnsiTheme="minorHAnsi" w:cstheme="minorHAnsi"/>
          <w:color w:val="auto"/>
          <w:sz w:val="22"/>
          <w:szCs w:val="22"/>
        </w:rPr>
        <w:t>Laura Davies is currently General Manager (Distilleries) for The Welsh Whisky Company Limited (‘Penderyn’), having joined the company as a graduate in early 2012. Her principal background is in operations manag</w:t>
      </w:r>
      <w:r w:rsidR="006C6938">
        <w:rPr>
          <w:rFonts w:asciiTheme="minorHAnsi" w:hAnsiTheme="minorHAnsi" w:cstheme="minorHAnsi"/>
          <w:color w:val="auto"/>
          <w:sz w:val="22"/>
          <w:szCs w:val="22"/>
        </w:rPr>
        <w:t>ement and driving operational excellence</w:t>
      </w:r>
      <w:r w:rsidRPr="00501CD5">
        <w:rPr>
          <w:rFonts w:asciiTheme="minorHAnsi" w:hAnsiTheme="minorHAnsi" w:cstheme="minorHAnsi"/>
          <w:color w:val="auto"/>
          <w:sz w:val="22"/>
          <w:szCs w:val="22"/>
        </w:rPr>
        <w:t>, specialising in technical and quality parameters within the whisky industry, focussing on mashing, fermentation, distillation and maturation processes. As part of her role, the author also heads the three commercial centres held by Penderyn, which include the industrial tourism model discussed in this study. The author is also a strong advocate of women in industry, particularly the spirits industry, and has contributed to several media articles and a debate panel critically discussing diversity and opportunities for women within traditionally male-dominated industries.</w:t>
      </w:r>
      <w:bookmarkEnd w:id="1"/>
    </w:p>
    <w:p w14:paraId="4173FB1B" w14:textId="77777777" w:rsidR="00501CD5" w:rsidRDefault="00501CD5" w:rsidP="00523C32">
      <w:pPr>
        <w:pStyle w:val="Heading2"/>
        <w:spacing w:line="360" w:lineRule="auto"/>
        <w:rPr>
          <w:b/>
          <w:bCs/>
          <w:color w:val="auto"/>
          <w:sz w:val="24"/>
          <w:szCs w:val="24"/>
        </w:rPr>
      </w:pPr>
    </w:p>
    <w:p w14:paraId="3C976B1D" w14:textId="77777777" w:rsidR="00501CD5" w:rsidRDefault="00501CD5" w:rsidP="00523C32">
      <w:pPr>
        <w:pStyle w:val="Heading2"/>
        <w:spacing w:line="360" w:lineRule="auto"/>
        <w:rPr>
          <w:b/>
          <w:bCs/>
          <w:color w:val="auto"/>
          <w:sz w:val="24"/>
          <w:szCs w:val="24"/>
        </w:rPr>
      </w:pPr>
    </w:p>
    <w:p w14:paraId="2F74A3E0" w14:textId="77777777" w:rsidR="00501CD5" w:rsidRDefault="00501CD5" w:rsidP="00523C32">
      <w:pPr>
        <w:pStyle w:val="Heading2"/>
        <w:spacing w:line="360" w:lineRule="auto"/>
        <w:rPr>
          <w:b/>
          <w:bCs/>
          <w:color w:val="auto"/>
          <w:sz w:val="24"/>
          <w:szCs w:val="24"/>
        </w:rPr>
      </w:pPr>
    </w:p>
    <w:p w14:paraId="5A4BEED3" w14:textId="77777777" w:rsidR="00501CD5" w:rsidRDefault="00501CD5" w:rsidP="00523C32">
      <w:pPr>
        <w:pStyle w:val="Heading2"/>
        <w:spacing w:line="360" w:lineRule="auto"/>
        <w:rPr>
          <w:b/>
          <w:bCs/>
          <w:color w:val="auto"/>
          <w:sz w:val="24"/>
          <w:szCs w:val="24"/>
        </w:rPr>
      </w:pPr>
    </w:p>
    <w:p w14:paraId="1C0ED691" w14:textId="77777777" w:rsidR="00501CD5" w:rsidRDefault="00501CD5" w:rsidP="00523C32">
      <w:pPr>
        <w:pStyle w:val="Heading2"/>
        <w:spacing w:line="360" w:lineRule="auto"/>
        <w:rPr>
          <w:b/>
          <w:bCs/>
          <w:color w:val="auto"/>
          <w:sz w:val="24"/>
          <w:szCs w:val="24"/>
        </w:rPr>
      </w:pPr>
    </w:p>
    <w:p w14:paraId="3A4D11AA" w14:textId="77777777" w:rsidR="00501CD5" w:rsidRDefault="00501CD5" w:rsidP="00523C32">
      <w:pPr>
        <w:pStyle w:val="Heading2"/>
        <w:spacing w:line="360" w:lineRule="auto"/>
        <w:rPr>
          <w:b/>
          <w:bCs/>
          <w:color w:val="auto"/>
          <w:sz w:val="24"/>
          <w:szCs w:val="24"/>
        </w:rPr>
      </w:pPr>
    </w:p>
    <w:p w14:paraId="04C47E62" w14:textId="77777777" w:rsidR="00501CD5" w:rsidRDefault="00501CD5" w:rsidP="00523C32">
      <w:pPr>
        <w:pStyle w:val="Heading2"/>
        <w:spacing w:line="360" w:lineRule="auto"/>
        <w:rPr>
          <w:b/>
          <w:bCs/>
          <w:color w:val="auto"/>
          <w:sz w:val="24"/>
          <w:szCs w:val="24"/>
        </w:rPr>
      </w:pPr>
    </w:p>
    <w:p w14:paraId="5715A985" w14:textId="77777777" w:rsidR="00501CD5" w:rsidRDefault="00501CD5" w:rsidP="00523C32">
      <w:pPr>
        <w:pStyle w:val="Heading2"/>
        <w:spacing w:line="360" w:lineRule="auto"/>
        <w:rPr>
          <w:b/>
          <w:bCs/>
          <w:color w:val="auto"/>
          <w:sz w:val="24"/>
          <w:szCs w:val="24"/>
        </w:rPr>
      </w:pPr>
    </w:p>
    <w:p w14:paraId="4C54C7EC" w14:textId="77777777" w:rsidR="00501CD5" w:rsidRDefault="00501CD5" w:rsidP="00523C32">
      <w:pPr>
        <w:pStyle w:val="Heading2"/>
        <w:spacing w:line="360" w:lineRule="auto"/>
        <w:rPr>
          <w:b/>
          <w:bCs/>
          <w:color w:val="auto"/>
          <w:sz w:val="24"/>
          <w:szCs w:val="24"/>
        </w:rPr>
      </w:pPr>
    </w:p>
    <w:p w14:paraId="1DBE2601" w14:textId="77777777" w:rsidR="00501CD5" w:rsidRDefault="00501CD5" w:rsidP="00501CD5"/>
    <w:p w14:paraId="71C8C256" w14:textId="77777777" w:rsidR="00501CD5" w:rsidRDefault="00501CD5" w:rsidP="00501CD5"/>
    <w:p w14:paraId="179BA9F5" w14:textId="77777777" w:rsidR="00501CD5" w:rsidRDefault="00501CD5" w:rsidP="00501CD5"/>
    <w:p w14:paraId="5DDF9273" w14:textId="77777777" w:rsidR="00501CD5" w:rsidRDefault="00501CD5" w:rsidP="00501CD5"/>
    <w:p w14:paraId="1EDF926D" w14:textId="77777777" w:rsidR="00501CD5" w:rsidRDefault="00501CD5" w:rsidP="00501CD5"/>
    <w:p w14:paraId="7E373238" w14:textId="77777777" w:rsidR="00501CD5" w:rsidRDefault="00501CD5" w:rsidP="00501CD5"/>
    <w:p w14:paraId="4344F909" w14:textId="77777777" w:rsidR="00501CD5" w:rsidRDefault="00501CD5" w:rsidP="00501CD5"/>
    <w:p w14:paraId="0EFEA964" w14:textId="77777777" w:rsidR="00501CD5" w:rsidRDefault="00501CD5" w:rsidP="00501CD5"/>
    <w:p w14:paraId="6F9E57FF" w14:textId="77777777" w:rsidR="00501CD5" w:rsidRDefault="00501CD5" w:rsidP="00501CD5"/>
    <w:p w14:paraId="08B51E4D" w14:textId="77777777" w:rsidR="00501CD5" w:rsidRDefault="00501CD5" w:rsidP="00501CD5"/>
    <w:p w14:paraId="7E0F4505" w14:textId="77777777" w:rsidR="00501CD5" w:rsidRDefault="00501CD5" w:rsidP="00501CD5"/>
    <w:p w14:paraId="1C8EE40C" w14:textId="77777777" w:rsidR="004A03DD" w:rsidRDefault="004A03DD" w:rsidP="00501CD5"/>
    <w:p w14:paraId="33D0E61F" w14:textId="77777777" w:rsidR="00501CD5" w:rsidRPr="00501CD5" w:rsidRDefault="00501CD5" w:rsidP="00501CD5"/>
    <w:p w14:paraId="36039F31" w14:textId="75154714" w:rsidR="00607BD7" w:rsidRPr="00523C32" w:rsidRDefault="00607BD7" w:rsidP="00523C32">
      <w:pPr>
        <w:pStyle w:val="Heading2"/>
        <w:spacing w:line="360" w:lineRule="auto"/>
        <w:rPr>
          <w:b/>
          <w:bCs/>
          <w:color w:val="auto"/>
          <w:sz w:val="24"/>
          <w:szCs w:val="24"/>
        </w:rPr>
      </w:pPr>
      <w:bookmarkStart w:id="2" w:name="_Toc160624569"/>
      <w:r w:rsidRPr="00523C32">
        <w:rPr>
          <w:b/>
          <w:bCs/>
          <w:color w:val="auto"/>
          <w:sz w:val="24"/>
          <w:szCs w:val="24"/>
        </w:rPr>
        <w:lastRenderedPageBreak/>
        <w:t>1.0</w:t>
      </w:r>
      <w:r w:rsidRPr="00523C32">
        <w:rPr>
          <w:b/>
          <w:bCs/>
          <w:color w:val="auto"/>
          <w:sz w:val="24"/>
          <w:szCs w:val="24"/>
        </w:rPr>
        <w:tab/>
        <w:t>A</w:t>
      </w:r>
      <w:r w:rsidR="003B2D9A" w:rsidRPr="00523C32">
        <w:rPr>
          <w:b/>
          <w:bCs/>
          <w:color w:val="auto"/>
          <w:sz w:val="24"/>
          <w:szCs w:val="24"/>
        </w:rPr>
        <w:t>BSTRACT</w:t>
      </w:r>
      <w:bookmarkEnd w:id="2"/>
    </w:p>
    <w:p w14:paraId="32F02806" w14:textId="146606FC" w:rsidR="00607BD7" w:rsidRPr="003B2D9A" w:rsidRDefault="00607BD7" w:rsidP="00523C32">
      <w:pPr>
        <w:spacing w:line="276" w:lineRule="auto"/>
        <w:jc w:val="both"/>
        <w:rPr>
          <w:rFonts w:cstheme="minorHAnsi"/>
          <w:highlight w:val="yellow"/>
          <w:shd w:val="clear" w:color="auto" w:fill="FFFFFF"/>
        </w:rPr>
      </w:pPr>
      <w:r w:rsidRPr="003B2D9A">
        <w:rPr>
          <w:rFonts w:cstheme="minorHAnsi"/>
        </w:rPr>
        <w:t xml:space="preserve">In this fast-paced and digital era, monitoring and critically evaluating a brands growth is no longer a linear review of upwards sales and increasing profitability. </w:t>
      </w:r>
      <w:sdt>
        <w:sdtPr>
          <w:rPr>
            <w:rFonts w:cstheme="minorHAnsi"/>
          </w:rPr>
          <w:id w:val="1072706134"/>
          <w:citation/>
        </w:sdtPr>
        <w:sdtEndPr/>
        <w:sdtContent>
          <w:r w:rsidRPr="003B2D9A">
            <w:rPr>
              <w:rFonts w:cstheme="minorHAnsi"/>
            </w:rPr>
            <w:fldChar w:fldCharType="begin"/>
          </w:r>
          <w:r w:rsidRPr="003B2D9A">
            <w:rPr>
              <w:rFonts w:cstheme="minorHAnsi"/>
            </w:rPr>
            <w:instrText xml:space="preserve"> CITATION Tan15 \l 2057 </w:instrText>
          </w:r>
          <w:r w:rsidRPr="003B2D9A">
            <w:rPr>
              <w:rFonts w:cstheme="minorHAnsi"/>
            </w:rPr>
            <w:fldChar w:fldCharType="separate"/>
          </w:r>
          <w:r w:rsidR="009D2B16" w:rsidRPr="009D2B16">
            <w:rPr>
              <w:rFonts w:cstheme="minorHAnsi"/>
              <w:noProof/>
            </w:rPr>
            <w:t>(Sammut-Bonnici, 2015)</w:t>
          </w:r>
          <w:r w:rsidRPr="003B2D9A">
            <w:rPr>
              <w:rFonts w:cstheme="minorHAnsi"/>
            </w:rPr>
            <w:fldChar w:fldCharType="end"/>
          </w:r>
        </w:sdtContent>
      </w:sdt>
      <w:r w:rsidRPr="003B2D9A">
        <w:rPr>
          <w:rFonts w:cstheme="minorHAnsi"/>
        </w:rPr>
        <w:t xml:space="preserve"> defines a brand as ‘</w:t>
      </w:r>
      <w:r w:rsidRPr="003B2D9A">
        <w:rPr>
          <w:rFonts w:cstheme="minorHAnsi"/>
          <w:shd w:val="clear" w:color="auto" w:fill="FFFFFF"/>
        </w:rPr>
        <w:t>a set of tangible and intangible attributes designed to create awareness and identity, and to build the reputation of a product, service, person, place, or organization’ – it is apparent, then, that when exploring the concepts of ‘brand growth’ or ‘brand perception’, we are actually critically assessing the degree to which those aforementioned attributes deliver, or perform, to raise awareness of an offering, be that a tangible product or a service, and to hold or improve its reputation.</w:t>
      </w:r>
      <w:r w:rsidRPr="003B2D9A">
        <w:rPr>
          <w:rFonts w:cstheme="minorHAnsi"/>
          <w:highlight w:val="yellow"/>
          <w:shd w:val="clear" w:color="auto" w:fill="FFFFFF"/>
        </w:rPr>
        <w:t xml:space="preserve"> </w:t>
      </w:r>
    </w:p>
    <w:p w14:paraId="423C4745" w14:textId="35090D70" w:rsidR="00607BD7" w:rsidRPr="003B2D9A" w:rsidRDefault="00607BD7" w:rsidP="00523C32">
      <w:pPr>
        <w:spacing w:line="276" w:lineRule="auto"/>
        <w:jc w:val="both"/>
        <w:rPr>
          <w:rFonts w:cstheme="minorHAnsi"/>
          <w:shd w:val="clear" w:color="auto" w:fill="FFFFFF"/>
        </w:rPr>
      </w:pPr>
      <w:r w:rsidRPr="003B2D9A">
        <w:rPr>
          <w:rFonts w:cstheme="minorHAnsi"/>
          <w:shd w:val="clear" w:color="auto" w:fill="FFFFFF"/>
        </w:rPr>
        <w:t xml:space="preserve">One brand that has reported significant brand growth, and global brand awareness, is Penderyn; an SME producer of premium and super-premium Single Malt Welsh Whiskies, gins, rums, vodka and a cream liqueur, the company has operated in Wales for over two decades and has seen phenomenal success in that time. Launched on St Davids Day 2004, with the (then) Prince of Wales in attendance, the company went from strength to strength, opening its first Visitor Centre four years later – a state of the art, £1.8 million facility – at its distillery HQ in the foothills of the Brecon Beacons ‘to facilitate direct bottle sales to visitors and to permit members of the public to undertake tours of the production premises’ </w:t>
      </w:r>
      <w:sdt>
        <w:sdtPr>
          <w:rPr>
            <w:rFonts w:cstheme="minorHAnsi"/>
            <w:shd w:val="clear" w:color="auto" w:fill="FFFFFF"/>
          </w:rPr>
          <w:id w:val="803969797"/>
          <w:citation/>
        </w:sdtPr>
        <w:sdtEndPr/>
        <w:sdtContent>
          <w:r w:rsidRPr="003B2D9A">
            <w:rPr>
              <w:rFonts w:cstheme="minorHAnsi"/>
              <w:shd w:val="clear" w:color="auto" w:fill="FFFFFF"/>
            </w:rPr>
            <w:fldChar w:fldCharType="begin"/>
          </w:r>
          <w:r w:rsidRPr="003B2D9A">
            <w:rPr>
              <w:rFonts w:cstheme="minorHAnsi"/>
              <w:shd w:val="clear" w:color="auto" w:fill="FFFFFF"/>
            </w:rPr>
            <w:instrText xml:space="preserve"> CITATION Dav22 \l 2057 </w:instrText>
          </w:r>
          <w:r w:rsidRPr="003B2D9A">
            <w:rPr>
              <w:rFonts w:cstheme="minorHAnsi"/>
              <w:shd w:val="clear" w:color="auto" w:fill="FFFFFF"/>
            </w:rPr>
            <w:fldChar w:fldCharType="separate"/>
          </w:r>
          <w:r w:rsidR="009D2B16" w:rsidRPr="009D2B16">
            <w:rPr>
              <w:rFonts w:cstheme="minorHAnsi"/>
              <w:noProof/>
              <w:shd w:val="clear" w:color="auto" w:fill="FFFFFF"/>
            </w:rPr>
            <w:t>(Davies, 2022)</w:t>
          </w:r>
          <w:r w:rsidRPr="003B2D9A">
            <w:rPr>
              <w:rFonts w:cstheme="minorHAnsi"/>
              <w:shd w:val="clear" w:color="auto" w:fill="FFFFFF"/>
            </w:rPr>
            <w:fldChar w:fldCharType="end"/>
          </w:r>
        </w:sdtContent>
      </w:sdt>
      <w:r w:rsidRPr="003B2D9A">
        <w:rPr>
          <w:rFonts w:cstheme="minorHAnsi"/>
          <w:shd w:val="clear" w:color="auto" w:fill="FFFFFF"/>
        </w:rPr>
        <w:t>. Two further visitor centres were opened, in Llandudno and Swansea, in 2021 and 2023, respectively.</w:t>
      </w:r>
    </w:p>
    <w:p w14:paraId="1D86FAC9" w14:textId="0E14A80D" w:rsidR="00607BD7" w:rsidRPr="003B2D9A" w:rsidRDefault="00607BD7" w:rsidP="00523C32">
      <w:pPr>
        <w:spacing w:line="276" w:lineRule="auto"/>
        <w:jc w:val="both"/>
        <w:rPr>
          <w:rFonts w:cstheme="minorHAnsi"/>
          <w:shd w:val="clear" w:color="auto" w:fill="FFFFFF"/>
        </w:rPr>
      </w:pPr>
      <w:r w:rsidRPr="003B2D9A">
        <w:rPr>
          <w:rFonts w:cstheme="minorHAnsi"/>
          <w:shd w:val="clear" w:color="auto" w:fill="FFFFFF"/>
        </w:rPr>
        <w:t xml:space="preserve">If a business is to be not just viable, but successful, its brand(s) must grow. Successful brand development creates an entity with defined and authentic attributes; the Penderyn executive team are </w:t>
      </w:r>
      <w:r w:rsidR="00523C32" w:rsidRPr="003B2D9A">
        <w:rPr>
          <w:rFonts w:cstheme="minorHAnsi"/>
          <w:shd w:val="clear" w:color="auto" w:fill="FFFFFF"/>
        </w:rPr>
        <w:t>aware</w:t>
      </w:r>
      <w:r w:rsidRPr="003B2D9A">
        <w:rPr>
          <w:rFonts w:cstheme="minorHAnsi"/>
          <w:shd w:val="clear" w:color="auto" w:fill="FFFFFF"/>
        </w:rPr>
        <w:t xml:space="preserve"> of this, and have sought to ensure that they embrace and project ‘premium Welshness’ at every point – the local areas in which their distilleries are found, Welsh culture, the use of Welsh actors and sportspeople as brand ambassadors, and the raw materials that go into each product. Additionally, the team strive to ensure that every single visitor to any of its visitor centres leaves as a brand ambassador – this is particularly key as ‘whilst Penderyn has increased production capacity four-fold in recent years, it is still an independently owned business and, as such, has a stringent marketing budget with which to promote itself and so relies heavily on word-of-mouth endorsement’ </w:t>
      </w:r>
      <w:sdt>
        <w:sdtPr>
          <w:rPr>
            <w:rFonts w:cstheme="minorHAnsi"/>
            <w:shd w:val="clear" w:color="auto" w:fill="FFFFFF"/>
          </w:rPr>
          <w:id w:val="-54788403"/>
          <w:citation/>
        </w:sdtPr>
        <w:sdtEndPr/>
        <w:sdtContent>
          <w:r w:rsidRPr="003B2D9A">
            <w:rPr>
              <w:rFonts w:cstheme="minorHAnsi"/>
              <w:shd w:val="clear" w:color="auto" w:fill="FFFFFF"/>
            </w:rPr>
            <w:fldChar w:fldCharType="begin"/>
          </w:r>
          <w:r w:rsidRPr="003B2D9A">
            <w:rPr>
              <w:rFonts w:cstheme="minorHAnsi"/>
              <w:shd w:val="clear" w:color="auto" w:fill="FFFFFF"/>
            </w:rPr>
            <w:instrText xml:space="preserve"> CITATION Dav22 \l 2057 </w:instrText>
          </w:r>
          <w:r w:rsidRPr="003B2D9A">
            <w:rPr>
              <w:rFonts w:cstheme="minorHAnsi"/>
              <w:shd w:val="clear" w:color="auto" w:fill="FFFFFF"/>
            </w:rPr>
            <w:fldChar w:fldCharType="separate"/>
          </w:r>
          <w:r w:rsidR="009D2B16" w:rsidRPr="009D2B16">
            <w:rPr>
              <w:rFonts w:cstheme="minorHAnsi"/>
              <w:noProof/>
              <w:shd w:val="clear" w:color="auto" w:fill="FFFFFF"/>
            </w:rPr>
            <w:t>(Davies, 2022)</w:t>
          </w:r>
          <w:r w:rsidRPr="003B2D9A">
            <w:rPr>
              <w:rFonts w:cstheme="minorHAnsi"/>
              <w:shd w:val="clear" w:color="auto" w:fill="FFFFFF"/>
            </w:rPr>
            <w:fldChar w:fldCharType="end"/>
          </w:r>
        </w:sdtContent>
      </w:sdt>
      <w:r w:rsidRPr="003B2D9A">
        <w:rPr>
          <w:rFonts w:cstheme="minorHAnsi"/>
          <w:shd w:val="clear" w:color="auto" w:fill="FFFFFF"/>
        </w:rPr>
        <w:t>.</w:t>
      </w:r>
    </w:p>
    <w:p w14:paraId="5E4FA6E4" w14:textId="5F60AAF4" w:rsidR="00607BD7" w:rsidRPr="003B2D9A" w:rsidRDefault="00607BD7" w:rsidP="00523C32">
      <w:pPr>
        <w:spacing w:line="276" w:lineRule="auto"/>
        <w:jc w:val="both"/>
        <w:rPr>
          <w:rFonts w:cstheme="minorHAnsi"/>
        </w:rPr>
      </w:pPr>
      <w:r w:rsidRPr="003B2D9A">
        <w:rPr>
          <w:rFonts w:cstheme="minorHAnsi"/>
          <w:shd w:val="clear" w:color="auto" w:fill="FFFFFF"/>
        </w:rPr>
        <w:t>It is timely to note that geographical, financial and logistical barriers that previously would have prevented someone being able to partake in experiential tourism are now far less of a probl</w:t>
      </w:r>
      <w:r w:rsidR="005F642A">
        <w:rPr>
          <w:rFonts w:cstheme="minorHAnsi"/>
          <w:shd w:val="clear" w:color="auto" w:fill="FFFFFF"/>
        </w:rPr>
        <w:t>em than they were perhaps 30 years ago</w:t>
      </w:r>
      <w:r w:rsidRPr="003B2D9A">
        <w:rPr>
          <w:rFonts w:cstheme="minorHAnsi"/>
          <w:shd w:val="clear" w:color="auto" w:fill="FFFFFF"/>
        </w:rPr>
        <w:t xml:space="preserve">. Slow or non-existent travel carriers and prohibitively expensive leisure travel are issues of the past, and dirty or ugly production processes that </w:t>
      </w:r>
      <w:r w:rsidR="00523C32" w:rsidRPr="003B2D9A">
        <w:rPr>
          <w:rFonts w:cstheme="minorHAnsi"/>
          <w:shd w:val="clear" w:color="auto" w:fill="FFFFFF"/>
        </w:rPr>
        <w:t>were not</w:t>
      </w:r>
      <w:r w:rsidRPr="003B2D9A">
        <w:rPr>
          <w:rFonts w:cstheme="minorHAnsi"/>
          <w:shd w:val="clear" w:color="auto" w:fill="FFFFFF"/>
        </w:rPr>
        <w:t xml:space="preserve"> ‘on-brand’ are no longer the obstacles they once were. Visitors, especially the ‘Gen Z/Millennials’ are ready and willing to engage in experiential tourism, and – thanks to the trend of ‘sharing all’ via Instagram etc. – are doing a great job of promoting the experiences and enticing the next tranche of visitors in (doing for free what a marketing team would have been paid handsomely to do a decade or two ago). The advent of 24/7 social media and live streams demonstrates that the ‘p</w:t>
      </w:r>
      <w:r w:rsidRPr="003B2D9A">
        <w:rPr>
          <w:rFonts w:cstheme="minorHAnsi"/>
        </w:rPr>
        <w:t>otential for brand awareness to sprea</w:t>
      </w:r>
      <w:r w:rsidR="005F642A">
        <w:rPr>
          <w:rFonts w:cstheme="minorHAnsi"/>
        </w:rPr>
        <w:t>d</w:t>
      </w:r>
      <w:r w:rsidRPr="003B2D9A">
        <w:rPr>
          <w:rFonts w:cstheme="minorHAnsi"/>
        </w:rPr>
        <w:t xml:space="preserve"> globally has increased phenomenally in recent decades’ </w:t>
      </w:r>
      <w:sdt>
        <w:sdtPr>
          <w:rPr>
            <w:rFonts w:cstheme="minorHAnsi"/>
          </w:rPr>
          <w:id w:val="1803960234"/>
          <w:citation/>
        </w:sdtPr>
        <w:sdtEndPr/>
        <w:sdtContent>
          <w:r w:rsidRPr="003B2D9A">
            <w:rPr>
              <w:rFonts w:cstheme="minorHAnsi"/>
            </w:rPr>
            <w:fldChar w:fldCharType="begin"/>
          </w:r>
          <w:r w:rsidRPr="003B2D9A">
            <w:rPr>
              <w:rFonts w:cstheme="minorHAnsi"/>
            </w:rPr>
            <w:instrText xml:space="preserve"> CITATION Dav22 \l 2057 </w:instrText>
          </w:r>
          <w:r w:rsidRPr="003B2D9A">
            <w:rPr>
              <w:rFonts w:cstheme="minorHAnsi"/>
            </w:rPr>
            <w:fldChar w:fldCharType="separate"/>
          </w:r>
          <w:r w:rsidR="009D2B16" w:rsidRPr="009D2B16">
            <w:rPr>
              <w:rFonts w:cstheme="minorHAnsi"/>
              <w:noProof/>
            </w:rPr>
            <w:t>(Davies, 2022)</w:t>
          </w:r>
          <w:r w:rsidRPr="003B2D9A">
            <w:rPr>
              <w:rFonts w:cstheme="minorHAnsi"/>
            </w:rPr>
            <w:fldChar w:fldCharType="end"/>
          </w:r>
        </w:sdtContent>
      </w:sdt>
      <w:r w:rsidRPr="003B2D9A">
        <w:rPr>
          <w:rFonts w:cstheme="minorHAnsi"/>
        </w:rPr>
        <w:t>.</w:t>
      </w:r>
    </w:p>
    <w:p w14:paraId="600C1D2B" w14:textId="77777777" w:rsidR="00607BD7" w:rsidRDefault="00607BD7" w:rsidP="00523C32">
      <w:pPr>
        <w:spacing w:line="276" w:lineRule="auto"/>
        <w:jc w:val="both"/>
        <w:rPr>
          <w:rFonts w:cstheme="minorHAnsi"/>
        </w:rPr>
      </w:pPr>
    </w:p>
    <w:p w14:paraId="7D5989C5" w14:textId="77777777" w:rsidR="00FF6684" w:rsidRPr="003B2D9A" w:rsidRDefault="00FF6684" w:rsidP="00523C32">
      <w:pPr>
        <w:spacing w:line="276" w:lineRule="auto"/>
        <w:jc w:val="both"/>
        <w:rPr>
          <w:rFonts w:cstheme="minorHAnsi"/>
        </w:rPr>
      </w:pPr>
    </w:p>
    <w:p w14:paraId="4D4837DD" w14:textId="6C937B5B" w:rsidR="00607BD7" w:rsidRPr="00523C32" w:rsidRDefault="00523C32" w:rsidP="00523C32">
      <w:pPr>
        <w:pStyle w:val="Heading2"/>
        <w:spacing w:line="360" w:lineRule="auto"/>
        <w:rPr>
          <w:b/>
          <w:bCs/>
          <w:color w:val="auto"/>
          <w:sz w:val="24"/>
          <w:szCs w:val="24"/>
        </w:rPr>
      </w:pPr>
      <w:bookmarkStart w:id="3" w:name="_Toc160624570"/>
      <w:r w:rsidRPr="00523C32">
        <w:rPr>
          <w:b/>
          <w:bCs/>
          <w:color w:val="auto"/>
          <w:sz w:val="24"/>
          <w:szCs w:val="24"/>
        </w:rPr>
        <w:lastRenderedPageBreak/>
        <w:t>1.1</w:t>
      </w:r>
      <w:r w:rsidRPr="00523C32">
        <w:rPr>
          <w:b/>
          <w:bCs/>
          <w:color w:val="auto"/>
          <w:sz w:val="24"/>
          <w:szCs w:val="24"/>
        </w:rPr>
        <w:tab/>
      </w:r>
      <w:r w:rsidR="00607BD7" w:rsidRPr="00523C32">
        <w:rPr>
          <w:b/>
          <w:bCs/>
          <w:color w:val="auto"/>
          <w:sz w:val="24"/>
          <w:szCs w:val="24"/>
        </w:rPr>
        <w:t>O</w:t>
      </w:r>
      <w:r w:rsidR="003B2D9A" w:rsidRPr="00523C32">
        <w:rPr>
          <w:b/>
          <w:bCs/>
          <w:color w:val="auto"/>
          <w:sz w:val="24"/>
          <w:szCs w:val="24"/>
        </w:rPr>
        <w:t>BJECTIVES</w:t>
      </w:r>
      <w:bookmarkEnd w:id="3"/>
    </w:p>
    <w:p w14:paraId="14D0DC6B" w14:textId="74C94B40" w:rsidR="00607BD7" w:rsidRPr="003B2D9A" w:rsidRDefault="00514A8F" w:rsidP="00523C32">
      <w:pPr>
        <w:spacing w:line="276" w:lineRule="auto"/>
        <w:jc w:val="both"/>
        <w:rPr>
          <w:rFonts w:cstheme="minorHAnsi"/>
          <w:shd w:val="clear" w:color="auto" w:fill="FFFFFF"/>
        </w:rPr>
      </w:pPr>
      <w:r>
        <w:rPr>
          <w:rFonts w:cstheme="minorHAnsi"/>
          <w:shd w:val="clear" w:color="auto" w:fill="FFFFFF"/>
        </w:rPr>
        <w:t>Experiential, specifically industrial</w:t>
      </w:r>
      <w:r w:rsidR="00607BD7" w:rsidRPr="003B2D9A">
        <w:rPr>
          <w:rFonts w:cstheme="minorHAnsi"/>
          <w:shd w:val="clear" w:color="auto" w:fill="FFFFFF"/>
        </w:rPr>
        <w:t>, tourism can be a powerful tool to raise brand awareness, shape brand perception and, thus, drive the commercial success of a company. It will be argued, then, that the inception of, and investment in, a company’s industrial tourism offering is a worthwhile one. Using the case study of Penderyn - a Single Malt Welsh Whisky producer that encompasses Visitor Centres at each of its three manufacturing sites - this study will seek to determine the degree to which the following statement is true:</w:t>
      </w:r>
    </w:p>
    <w:p w14:paraId="2BA4BF34" w14:textId="440D28C2" w:rsidR="00607BD7" w:rsidRPr="003B2D9A" w:rsidRDefault="00607BD7" w:rsidP="00523C32">
      <w:pPr>
        <w:spacing w:line="276" w:lineRule="auto"/>
        <w:ind w:left="360"/>
        <w:jc w:val="both"/>
        <w:rPr>
          <w:rFonts w:cstheme="minorHAnsi"/>
          <w:b/>
          <w:bCs/>
          <w:i/>
          <w:iCs/>
        </w:rPr>
      </w:pPr>
      <w:r w:rsidRPr="003B2D9A">
        <w:rPr>
          <w:rFonts w:cstheme="minorHAnsi"/>
          <w:b/>
          <w:bCs/>
          <w:i/>
          <w:iCs/>
        </w:rPr>
        <w:t>‘By encouraging people to visit and giving them a world-class</w:t>
      </w:r>
      <w:r w:rsidR="00514A8F">
        <w:rPr>
          <w:rFonts w:cstheme="minorHAnsi"/>
          <w:b/>
          <w:bCs/>
          <w:i/>
          <w:iCs/>
        </w:rPr>
        <w:t>, memorable</w:t>
      </w:r>
      <w:r w:rsidRPr="003B2D9A">
        <w:rPr>
          <w:rFonts w:cstheme="minorHAnsi"/>
          <w:b/>
          <w:bCs/>
          <w:i/>
          <w:iCs/>
        </w:rPr>
        <w:t xml:space="preserve"> visitor experience they will feel a long-term regard for the brand and thus engage with it more frequently.’</w:t>
      </w:r>
    </w:p>
    <w:p w14:paraId="6A47E88F" w14:textId="77777777" w:rsidR="00607BD7" w:rsidRPr="003B2D9A" w:rsidRDefault="00607BD7" w:rsidP="00523C32">
      <w:pPr>
        <w:spacing w:line="276" w:lineRule="auto"/>
        <w:jc w:val="both"/>
        <w:rPr>
          <w:rFonts w:cstheme="minorHAnsi"/>
        </w:rPr>
      </w:pPr>
      <w:r w:rsidRPr="003B2D9A">
        <w:rPr>
          <w:rFonts w:cstheme="minorHAnsi"/>
        </w:rPr>
        <w:t>There are several ways in which a visitor may interact with Penderyn (excluding direct/online or indirect product sales) as outlined below:</w:t>
      </w:r>
    </w:p>
    <w:p w14:paraId="63B19867" w14:textId="77777777" w:rsidR="00607BD7" w:rsidRPr="003B2D9A" w:rsidRDefault="00607BD7" w:rsidP="00523C32">
      <w:pPr>
        <w:pStyle w:val="ListParagraph"/>
        <w:numPr>
          <w:ilvl w:val="0"/>
          <w:numId w:val="2"/>
        </w:numPr>
        <w:spacing w:line="276" w:lineRule="auto"/>
        <w:jc w:val="both"/>
        <w:rPr>
          <w:rFonts w:cstheme="minorHAnsi"/>
        </w:rPr>
      </w:pPr>
      <w:r w:rsidRPr="003B2D9A">
        <w:rPr>
          <w:rFonts w:cstheme="minorHAnsi"/>
        </w:rPr>
        <w:t>Attending one of the visitor centres to browse (and subsequently make a purchase at) one of the on-site retail outlets</w:t>
      </w:r>
    </w:p>
    <w:p w14:paraId="2F309B2F" w14:textId="77777777" w:rsidR="00607BD7" w:rsidRPr="003B2D9A" w:rsidRDefault="00607BD7" w:rsidP="00523C32">
      <w:pPr>
        <w:pStyle w:val="ListParagraph"/>
        <w:numPr>
          <w:ilvl w:val="0"/>
          <w:numId w:val="2"/>
        </w:numPr>
        <w:spacing w:line="276" w:lineRule="auto"/>
        <w:jc w:val="both"/>
        <w:rPr>
          <w:rFonts w:cstheme="minorHAnsi"/>
        </w:rPr>
      </w:pPr>
      <w:r w:rsidRPr="003B2D9A">
        <w:rPr>
          <w:rFonts w:cstheme="minorHAnsi"/>
        </w:rPr>
        <w:t>Attending one of the visitor centres to take a guided tour (run hourly, seven days each week, all year round with the exception of Christmas Day and Boxing Day)</w:t>
      </w:r>
    </w:p>
    <w:p w14:paraId="76BE25E6" w14:textId="77777777" w:rsidR="00607BD7" w:rsidRPr="003B2D9A" w:rsidRDefault="00607BD7" w:rsidP="00523C32">
      <w:pPr>
        <w:pStyle w:val="ListParagraph"/>
        <w:numPr>
          <w:ilvl w:val="0"/>
          <w:numId w:val="2"/>
        </w:numPr>
        <w:spacing w:line="276" w:lineRule="auto"/>
        <w:jc w:val="both"/>
        <w:rPr>
          <w:rFonts w:cstheme="minorHAnsi"/>
        </w:rPr>
      </w:pPr>
      <w:r w:rsidRPr="003B2D9A">
        <w:rPr>
          <w:rFonts w:cstheme="minorHAnsi"/>
        </w:rPr>
        <w:t>Attending one of the visitor centres to take a Masterclass (run 3-6 times each week, year-round with the exception of Christmas Day and Boxing Day)</w:t>
      </w:r>
    </w:p>
    <w:p w14:paraId="77C0E1DC" w14:textId="77777777" w:rsidR="00607BD7" w:rsidRPr="003B2D9A" w:rsidRDefault="00607BD7" w:rsidP="00523C32">
      <w:pPr>
        <w:pStyle w:val="ListParagraph"/>
        <w:numPr>
          <w:ilvl w:val="0"/>
          <w:numId w:val="2"/>
        </w:numPr>
        <w:spacing w:line="276" w:lineRule="auto"/>
        <w:jc w:val="both"/>
        <w:rPr>
          <w:rFonts w:cstheme="minorHAnsi"/>
        </w:rPr>
      </w:pPr>
      <w:r w:rsidRPr="003B2D9A">
        <w:rPr>
          <w:rFonts w:cstheme="minorHAnsi"/>
        </w:rPr>
        <w:t>Attending a corporate function at one of the visitor centres (either a Penderyn function or one held by a third-party that has hired the facilities)</w:t>
      </w:r>
    </w:p>
    <w:p w14:paraId="3DA5B81F" w14:textId="77777777" w:rsidR="00607BD7" w:rsidRPr="003B2D9A" w:rsidRDefault="00607BD7" w:rsidP="00523C32">
      <w:pPr>
        <w:pStyle w:val="ListParagraph"/>
        <w:numPr>
          <w:ilvl w:val="0"/>
          <w:numId w:val="2"/>
        </w:numPr>
        <w:spacing w:line="276" w:lineRule="auto"/>
        <w:jc w:val="both"/>
        <w:rPr>
          <w:rFonts w:cstheme="minorHAnsi"/>
        </w:rPr>
      </w:pPr>
      <w:r w:rsidRPr="003B2D9A">
        <w:rPr>
          <w:rFonts w:cstheme="minorHAnsi"/>
        </w:rPr>
        <w:t>Interaction with the brand/brand representatives at a trade show or event off-site</w:t>
      </w:r>
    </w:p>
    <w:p w14:paraId="19955934" w14:textId="77777777" w:rsidR="00607BD7" w:rsidRPr="003B2D9A" w:rsidRDefault="00607BD7" w:rsidP="00523C32">
      <w:pPr>
        <w:pStyle w:val="ListParagraph"/>
        <w:numPr>
          <w:ilvl w:val="0"/>
          <w:numId w:val="2"/>
        </w:numPr>
        <w:spacing w:line="276" w:lineRule="auto"/>
        <w:jc w:val="both"/>
        <w:rPr>
          <w:rFonts w:cstheme="minorHAnsi"/>
          <w:shd w:val="clear" w:color="auto" w:fill="FFFFFF"/>
        </w:rPr>
      </w:pPr>
      <w:r w:rsidRPr="003B2D9A">
        <w:rPr>
          <w:rFonts w:cstheme="minorHAnsi"/>
          <w:shd w:val="clear" w:color="auto" w:fill="FFFFFF"/>
        </w:rPr>
        <w:t>Being exposed to brand presence at sites of significant tourist interest, e.g., sponsorship or presence campaigns at CADW sites across Wales</w:t>
      </w:r>
    </w:p>
    <w:p w14:paraId="118BCE80" w14:textId="6F0946B4" w:rsidR="00607BD7" w:rsidRPr="003B2D9A" w:rsidRDefault="00607BD7" w:rsidP="00523C32">
      <w:pPr>
        <w:spacing w:line="276" w:lineRule="auto"/>
        <w:jc w:val="both"/>
        <w:rPr>
          <w:rFonts w:cstheme="minorHAnsi"/>
          <w:shd w:val="clear" w:color="auto" w:fill="FFFFFF"/>
        </w:rPr>
      </w:pPr>
      <w:r w:rsidRPr="003B2D9A">
        <w:rPr>
          <w:rFonts w:cstheme="minorHAnsi"/>
          <w:shd w:val="clear" w:color="auto" w:fill="FFFFFF"/>
        </w:rPr>
        <w:t xml:space="preserve">The findings of this project will be used to critically evaluate the various methods by which an experiential tourism strategy is implemented and utilised by a company as a tool for brand growth, using Penderyn as a case study. The findings will also be used to determine the tangible impacts of this strategy on </w:t>
      </w:r>
      <w:r w:rsidR="00523C32" w:rsidRPr="003B2D9A">
        <w:rPr>
          <w:rFonts w:cstheme="minorHAnsi"/>
          <w:shd w:val="clear" w:color="auto" w:fill="FFFFFF"/>
        </w:rPr>
        <w:t>several</w:t>
      </w:r>
      <w:r w:rsidRPr="003B2D9A">
        <w:rPr>
          <w:rFonts w:cstheme="minorHAnsi"/>
          <w:shd w:val="clear" w:color="auto" w:fill="FFFFFF"/>
        </w:rPr>
        <w:t xml:space="preserve"> key performance indicators, namely;</w:t>
      </w:r>
    </w:p>
    <w:p w14:paraId="285633C4" w14:textId="77777777" w:rsidR="00A12AD1" w:rsidRPr="003B2D9A" w:rsidRDefault="00A12AD1" w:rsidP="00A12AD1">
      <w:pPr>
        <w:pStyle w:val="ListParagraph"/>
        <w:numPr>
          <w:ilvl w:val="0"/>
          <w:numId w:val="5"/>
        </w:numPr>
        <w:spacing w:line="276" w:lineRule="auto"/>
        <w:jc w:val="both"/>
        <w:rPr>
          <w:rFonts w:cstheme="minorHAnsi"/>
          <w:shd w:val="clear" w:color="auto" w:fill="FFFFFF"/>
        </w:rPr>
      </w:pPr>
      <w:r w:rsidRPr="003B2D9A">
        <w:rPr>
          <w:rFonts w:cstheme="minorHAnsi"/>
          <w:shd w:val="clear" w:color="auto" w:fill="FFFFFF"/>
        </w:rPr>
        <w:t>Number of visitors attending</w:t>
      </w:r>
    </w:p>
    <w:p w14:paraId="0E0CB8DA" w14:textId="77777777" w:rsidR="00A12AD1" w:rsidRPr="003B2D9A" w:rsidRDefault="00A12AD1" w:rsidP="00A12AD1">
      <w:pPr>
        <w:pStyle w:val="ListParagraph"/>
        <w:numPr>
          <w:ilvl w:val="0"/>
          <w:numId w:val="5"/>
        </w:numPr>
        <w:spacing w:line="276" w:lineRule="auto"/>
        <w:jc w:val="both"/>
        <w:rPr>
          <w:rFonts w:cstheme="minorHAnsi"/>
          <w:shd w:val="clear" w:color="auto" w:fill="FFFFFF"/>
        </w:rPr>
      </w:pPr>
      <w:r w:rsidRPr="003B2D9A">
        <w:rPr>
          <w:rFonts w:cstheme="minorHAnsi"/>
          <w:shd w:val="clear" w:color="auto" w:fill="FFFFFF"/>
        </w:rPr>
        <w:t>Monetary value of visit (Average Spend Per Individual)</w:t>
      </w:r>
    </w:p>
    <w:p w14:paraId="191C4416" w14:textId="77777777" w:rsidR="00A12AD1" w:rsidRPr="003B2D9A" w:rsidRDefault="00A12AD1" w:rsidP="00A12AD1">
      <w:pPr>
        <w:pStyle w:val="ListParagraph"/>
        <w:numPr>
          <w:ilvl w:val="0"/>
          <w:numId w:val="5"/>
        </w:numPr>
        <w:spacing w:line="276" w:lineRule="auto"/>
        <w:jc w:val="both"/>
        <w:rPr>
          <w:rFonts w:cstheme="minorHAnsi"/>
          <w:shd w:val="clear" w:color="auto" w:fill="FFFFFF"/>
        </w:rPr>
      </w:pPr>
      <w:r w:rsidRPr="003B2D9A">
        <w:rPr>
          <w:rFonts w:cstheme="minorHAnsi"/>
          <w:shd w:val="clear" w:color="auto" w:fill="FFFFFF"/>
        </w:rPr>
        <w:t>Analysis of admission spend vs retail spend</w:t>
      </w:r>
    </w:p>
    <w:p w14:paraId="6C6CBF01" w14:textId="77777777" w:rsidR="00A12AD1" w:rsidRPr="003B2D9A" w:rsidRDefault="00A12AD1" w:rsidP="00A12AD1">
      <w:pPr>
        <w:pStyle w:val="ListParagraph"/>
        <w:numPr>
          <w:ilvl w:val="0"/>
          <w:numId w:val="5"/>
        </w:numPr>
        <w:spacing w:line="276" w:lineRule="auto"/>
        <w:jc w:val="both"/>
        <w:rPr>
          <w:rFonts w:cstheme="minorHAnsi"/>
          <w:shd w:val="clear" w:color="auto" w:fill="FFFFFF"/>
        </w:rPr>
      </w:pPr>
      <w:r w:rsidRPr="003B2D9A">
        <w:rPr>
          <w:rFonts w:cstheme="minorHAnsi"/>
          <w:shd w:val="clear" w:color="auto" w:fill="FFFFFF"/>
        </w:rPr>
        <w:t>Proportion of return bookings</w:t>
      </w:r>
    </w:p>
    <w:p w14:paraId="22E8805A" w14:textId="77777777" w:rsidR="00A12AD1" w:rsidRPr="003B2D9A" w:rsidRDefault="00A12AD1" w:rsidP="00A12AD1">
      <w:pPr>
        <w:pStyle w:val="ListParagraph"/>
        <w:numPr>
          <w:ilvl w:val="0"/>
          <w:numId w:val="5"/>
        </w:numPr>
        <w:spacing w:line="276" w:lineRule="auto"/>
        <w:jc w:val="both"/>
        <w:rPr>
          <w:rFonts w:cstheme="minorHAnsi"/>
          <w:shd w:val="clear" w:color="auto" w:fill="FFFFFF"/>
        </w:rPr>
      </w:pPr>
      <w:r w:rsidRPr="003B2D9A">
        <w:rPr>
          <w:rFonts w:cstheme="minorHAnsi"/>
          <w:shd w:val="clear" w:color="auto" w:fill="FFFFFF"/>
        </w:rPr>
        <w:t>Net promoter scores (otherwise known as ‘sentiment scores’)</w:t>
      </w:r>
    </w:p>
    <w:p w14:paraId="4D2BDB31" w14:textId="77777777" w:rsidR="00607BD7" w:rsidRPr="003B2D9A" w:rsidRDefault="00607BD7" w:rsidP="00523C32">
      <w:pPr>
        <w:spacing w:line="276" w:lineRule="auto"/>
        <w:jc w:val="both"/>
        <w:rPr>
          <w:rFonts w:cstheme="minorHAnsi"/>
          <w:shd w:val="clear" w:color="auto" w:fill="FFFFFF"/>
        </w:rPr>
      </w:pPr>
    </w:p>
    <w:p w14:paraId="4BEA278D" w14:textId="2636A752" w:rsidR="00607BD7" w:rsidRPr="00523C32" w:rsidRDefault="00523C32" w:rsidP="00523C32">
      <w:pPr>
        <w:pStyle w:val="Heading2"/>
        <w:spacing w:line="360" w:lineRule="auto"/>
        <w:rPr>
          <w:b/>
          <w:bCs/>
          <w:color w:val="auto"/>
          <w:sz w:val="24"/>
          <w:szCs w:val="24"/>
          <w:shd w:val="clear" w:color="auto" w:fill="FFFFFF"/>
        </w:rPr>
      </w:pPr>
      <w:bookmarkStart w:id="4" w:name="_Toc160624571"/>
      <w:r w:rsidRPr="00523C32">
        <w:rPr>
          <w:b/>
          <w:bCs/>
          <w:color w:val="auto"/>
          <w:sz w:val="24"/>
          <w:szCs w:val="24"/>
          <w:shd w:val="clear" w:color="auto" w:fill="FFFFFF"/>
        </w:rPr>
        <w:t>1.2</w:t>
      </w:r>
      <w:r w:rsidRPr="00523C32">
        <w:rPr>
          <w:b/>
          <w:bCs/>
          <w:color w:val="auto"/>
          <w:sz w:val="24"/>
          <w:szCs w:val="24"/>
          <w:shd w:val="clear" w:color="auto" w:fill="FFFFFF"/>
        </w:rPr>
        <w:tab/>
      </w:r>
      <w:r w:rsidR="00607BD7" w:rsidRPr="00523C32">
        <w:rPr>
          <w:b/>
          <w:bCs/>
          <w:color w:val="auto"/>
          <w:sz w:val="24"/>
          <w:szCs w:val="24"/>
          <w:shd w:val="clear" w:color="auto" w:fill="FFFFFF"/>
        </w:rPr>
        <w:t>J</w:t>
      </w:r>
      <w:r w:rsidR="003B2D9A" w:rsidRPr="00523C32">
        <w:rPr>
          <w:b/>
          <w:bCs/>
          <w:color w:val="auto"/>
          <w:sz w:val="24"/>
          <w:szCs w:val="24"/>
          <w:shd w:val="clear" w:color="auto" w:fill="FFFFFF"/>
        </w:rPr>
        <w:t>USTIFICATION</w:t>
      </w:r>
      <w:bookmarkEnd w:id="4"/>
    </w:p>
    <w:p w14:paraId="00D4BA37" w14:textId="05908AFC" w:rsidR="00607BD7" w:rsidRPr="003B2D9A" w:rsidRDefault="00607BD7" w:rsidP="00523C32">
      <w:pPr>
        <w:spacing w:line="276" w:lineRule="auto"/>
        <w:jc w:val="both"/>
        <w:rPr>
          <w:rFonts w:cstheme="minorHAnsi"/>
        </w:rPr>
      </w:pPr>
      <w:r w:rsidRPr="003B2D9A">
        <w:rPr>
          <w:rFonts w:cstheme="minorHAnsi"/>
        </w:rPr>
        <w:t>The Welsh whisky industry, and indeed, the world whisky industry (that is, whisky products not originating from Ireland, Scotland, Canada, or falling under the category of Bourbon) is very mu</w:t>
      </w:r>
      <w:r w:rsidR="004056A5">
        <w:rPr>
          <w:rFonts w:cstheme="minorHAnsi"/>
        </w:rPr>
        <w:t>ch</w:t>
      </w:r>
      <w:r w:rsidRPr="003B2D9A">
        <w:rPr>
          <w:rFonts w:cstheme="minorHAnsi"/>
        </w:rPr>
        <w:t xml:space="preserve"> still in an embryonic state; as such, though the products are continuing to gain a strong consumer base, social and economic research into </w:t>
      </w:r>
      <w:r w:rsidR="004056A5">
        <w:rPr>
          <w:rFonts w:cstheme="minorHAnsi"/>
        </w:rPr>
        <w:t xml:space="preserve">this specific </w:t>
      </w:r>
      <w:r w:rsidRPr="003B2D9A">
        <w:rPr>
          <w:rFonts w:cstheme="minorHAnsi"/>
        </w:rPr>
        <w:t>aspe</w:t>
      </w:r>
      <w:r w:rsidR="004056A5">
        <w:rPr>
          <w:rFonts w:cstheme="minorHAnsi"/>
        </w:rPr>
        <w:t>ct</w:t>
      </w:r>
      <w:r w:rsidRPr="003B2D9A">
        <w:rPr>
          <w:rFonts w:cstheme="minorHAnsi"/>
        </w:rPr>
        <w:t xml:space="preserve"> of the industr</w:t>
      </w:r>
      <w:r w:rsidR="00315861">
        <w:rPr>
          <w:rFonts w:cstheme="minorHAnsi"/>
        </w:rPr>
        <w:t>y is</w:t>
      </w:r>
      <w:r w:rsidRPr="003B2D9A">
        <w:rPr>
          <w:rFonts w:cstheme="minorHAnsi"/>
        </w:rPr>
        <w:t xml:space="preserve"> non-existent. To date, there has been no study specifically examining the use or impact of experiential</w:t>
      </w:r>
      <w:r w:rsidR="00315861">
        <w:rPr>
          <w:rFonts w:cstheme="minorHAnsi"/>
        </w:rPr>
        <w:t xml:space="preserve">, and specifically </w:t>
      </w:r>
      <w:r w:rsidRPr="003B2D9A">
        <w:rPr>
          <w:rFonts w:cstheme="minorHAnsi"/>
        </w:rPr>
        <w:t>industrial tourism as a strategy for brand growth in the Welsh whisky industry. This analysis is valuable due to its specificity to the company considered as a case st</w:t>
      </w:r>
      <w:r w:rsidR="00315861">
        <w:rPr>
          <w:rFonts w:cstheme="minorHAnsi"/>
        </w:rPr>
        <w:t>udy as</w:t>
      </w:r>
      <w:r w:rsidRPr="003B2D9A">
        <w:rPr>
          <w:rFonts w:cstheme="minorHAnsi"/>
        </w:rPr>
        <w:t xml:space="preserve"> ‘it will seek to determine whether, by bringing </w:t>
      </w:r>
      <w:r w:rsidRPr="003B2D9A">
        <w:rPr>
          <w:rFonts w:cstheme="minorHAnsi"/>
        </w:rPr>
        <w:lastRenderedPageBreak/>
        <w:t>visitors to Penderyn manufacturing sites, the executive team is able to</w:t>
      </w:r>
      <w:r w:rsidR="00315861" w:rsidRPr="00315861">
        <w:rPr>
          <w:rFonts w:cstheme="minorHAnsi"/>
        </w:rPr>
        <w:t xml:space="preserve"> </w:t>
      </w:r>
      <w:r w:rsidR="00315861" w:rsidRPr="003B2D9A">
        <w:rPr>
          <w:rFonts w:cstheme="minorHAnsi"/>
        </w:rPr>
        <w:t>increase brand awareness</w:t>
      </w:r>
      <w:r w:rsidR="00315861">
        <w:rPr>
          <w:rFonts w:cstheme="minorHAnsi"/>
        </w:rPr>
        <w:t>,</w:t>
      </w:r>
      <w:r w:rsidRPr="003B2D9A">
        <w:rPr>
          <w:rFonts w:cstheme="minorHAnsi"/>
        </w:rPr>
        <w:t xml:space="preserve"> improve brand percepti</w:t>
      </w:r>
      <w:r w:rsidR="00315861">
        <w:rPr>
          <w:rFonts w:cstheme="minorHAnsi"/>
        </w:rPr>
        <w:t>on</w:t>
      </w:r>
      <w:r w:rsidRPr="003B2D9A">
        <w:rPr>
          <w:rFonts w:cstheme="minorHAnsi"/>
        </w:rPr>
        <w:t xml:space="preserve"> and strengthen product sales. In achieving these aims, the company would be </w:t>
      </w:r>
      <w:r w:rsidR="00523C32" w:rsidRPr="003B2D9A">
        <w:rPr>
          <w:rFonts w:cstheme="minorHAnsi"/>
        </w:rPr>
        <w:t>able</w:t>
      </w:r>
      <w:r w:rsidRPr="003B2D9A">
        <w:rPr>
          <w:rFonts w:cstheme="minorHAnsi"/>
        </w:rPr>
        <w:t xml:space="preserve"> to develop future domestic and global markets, thus increasing their brand presence further</w:t>
      </w:r>
      <w:r w:rsidR="005F1D14">
        <w:rPr>
          <w:rFonts w:cstheme="minorHAnsi"/>
        </w:rPr>
        <w:t>, increasing turnover, and thus, theoretically, profit</w:t>
      </w:r>
      <w:r w:rsidRPr="003B2D9A">
        <w:rPr>
          <w:rFonts w:cstheme="minorHAnsi"/>
        </w:rPr>
        <w:t xml:space="preserve">’ </w:t>
      </w:r>
      <w:sdt>
        <w:sdtPr>
          <w:rPr>
            <w:rFonts w:cstheme="minorHAnsi"/>
          </w:rPr>
          <w:id w:val="2047871392"/>
          <w:citation/>
        </w:sdtPr>
        <w:sdtEndPr/>
        <w:sdtContent>
          <w:r w:rsidRPr="003B2D9A">
            <w:rPr>
              <w:rFonts w:cstheme="minorHAnsi"/>
            </w:rPr>
            <w:fldChar w:fldCharType="begin"/>
          </w:r>
          <w:r w:rsidRPr="003B2D9A">
            <w:rPr>
              <w:rFonts w:cstheme="minorHAnsi"/>
            </w:rPr>
            <w:instrText xml:space="preserve"> CITATION Dav221 \l 2057 </w:instrText>
          </w:r>
          <w:r w:rsidRPr="003B2D9A">
            <w:rPr>
              <w:rFonts w:cstheme="minorHAnsi"/>
            </w:rPr>
            <w:fldChar w:fldCharType="separate"/>
          </w:r>
          <w:r w:rsidR="009D2B16" w:rsidRPr="009D2B16">
            <w:rPr>
              <w:rFonts w:cstheme="minorHAnsi"/>
              <w:noProof/>
            </w:rPr>
            <w:t>(Davies, 2022)</w:t>
          </w:r>
          <w:r w:rsidRPr="003B2D9A">
            <w:rPr>
              <w:rFonts w:cstheme="minorHAnsi"/>
            </w:rPr>
            <w:fldChar w:fldCharType="end"/>
          </w:r>
        </w:sdtContent>
      </w:sdt>
      <w:r w:rsidRPr="003B2D9A">
        <w:rPr>
          <w:rFonts w:cstheme="minorHAnsi"/>
        </w:rPr>
        <w:t>.</w:t>
      </w:r>
    </w:p>
    <w:p w14:paraId="7BF87D89" w14:textId="77777777" w:rsidR="00607BD7" w:rsidRPr="003B2D9A" w:rsidRDefault="00607BD7" w:rsidP="00523C32">
      <w:pPr>
        <w:spacing w:line="276" w:lineRule="auto"/>
        <w:jc w:val="both"/>
        <w:rPr>
          <w:rFonts w:cstheme="minorHAnsi"/>
        </w:rPr>
      </w:pPr>
      <w:r w:rsidRPr="003B2D9A">
        <w:rPr>
          <w:rFonts w:cstheme="minorHAnsi"/>
        </w:rPr>
        <w:t>This research will take an objective view to determine the tangible and intangible values of experiential tourism to Penderyn, and will seek to ascertain the resultant opportunities to enhance the perception through the visitor experience model.</w:t>
      </w:r>
    </w:p>
    <w:p w14:paraId="06F4DB66" w14:textId="1A57493B" w:rsidR="00607BD7" w:rsidRPr="003B2D9A" w:rsidRDefault="00607BD7" w:rsidP="00523C32">
      <w:pPr>
        <w:spacing w:line="276" w:lineRule="auto"/>
        <w:jc w:val="both"/>
        <w:rPr>
          <w:rFonts w:cstheme="minorHAnsi"/>
        </w:rPr>
      </w:pPr>
      <w:r w:rsidRPr="003B2D9A">
        <w:rPr>
          <w:rFonts w:cstheme="minorHAnsi"/>
        </w:rPr>
        <w:t xml:space="preserve">This case study is particularly opportunistic for Penderyn; over the past three years, the company has undergone major expansion by way of opening two additional distillery production facilities, both including brand new, state of the art visitor experience centres, with the site in Llandudno opening in 2021 followed by the newest site in Swansea in summer 2023. The justification for investing in these new sites was multi-fold - ‘to cement a brand presence across North Wales, Manchester, Liverpool and surrounding areas (via the Llandudno site) and strengthen the brand presence with a higher calibre visitor experience via the Swansea site – with both complementing the existing visitor facility in Hirwaun, South Wales’ </w:t>
      </w:r>
      <w:sdt>
        <w:sdtPr>
          <w:rPr>
            <w:rFonts w:cstheme="minorHAnsi"/>
          </w:rPr>
          <w:id w:val="1563060245"/>
          <w:citation/>
        </w:sdtPr>
        <w:sdtEndPr/>
        <w:sdtContent>
          <w:r w:rsidRPr="003B2D9A">
            <w:rPr>
              <w:rFonts w:cstheme="minorHAnsi"/>
            </w:rPr>
            <w:fldChar w:fldCharType="begin"/>
          </w:r>
          <w:r w:rsidRPr="003B2D9A">
            <w:rPr>
              <w:rFonts w:cstheme="minorHAnsi"/>
            </w:rPr>
            <w:instrText xml:space="preserve"> CITATION Dav221 \l 2057 </w:instrText>
          </w:r>
          <w:r w:rsidRPr="003B2D9A">
            <w:rPr>
              <w:rFonts w:cstheme="minorHAnsi"/>
            </w:rPr>
            <w:fldChar w:fldCharType="separate"/>
          </w:r>
          <w:r w:rsidR="009D2B16" w:rsidRPr="009D2B16">
            <w:rPr>
              <w:rFonts w:cstheme="minorHAnsi"/>
              <w:noProof/>
            </w:rPr>
            <w:t>(Davies, 2022)</w:t>
          </w:r>
          <w:r w:rsidRPr="003B2D9A">
            <w:rPr>
              <w:rFonts w:cstheme="minorHAnsi"/>
            </w:rPr>
            <w:fldChar w:fldCharType="end"/>
          </w:r>
        </w:sdtContent>
      </w:sdt>
      <w:r w:rsidRPr="003B2D9A">
        <w:rPr>
          <w:rFonts w:cstheme="minorHAnsi"/>
        </w:rPr>
        <w:t>.</w:t>
      </w:r>
    </w:p>
    <w:p w14:paraId="7A9182FC" w14:textId="30A775D5" w:rsidR="00607BD7" w:rsidRPr="003B2D9A" w:rsidRDefault="00607BD7" w:rsidP="00523C32">
      <w:pPr>
        <w:spacing w:line="276" w:lineRule="auto"/>
        <w:jc w:val="both"/>
        <w:rPr>
          <w:rFonts w:cstheme="minorHAnsi"/>
        </w:rPr>
      </w:pPr>
      <w:r w:rsidRPr="003B2D9A">
        <w:rPr>
          <w:rFonts w:cstheme="minorHAnsi"/>
        </w:rPr>
        <w:t xml:space="preserve">Having invested so heavily financially and time-wise (examined in further detail in section </w:t>
      </w:r>
      <w:r w:rsidR="00425C06">
        <w:rPr>
          <w:rFonts w:cstheme="minorHAnsi"/>
        </w:rPr>
        <w:t>3.0</w:t>
      </w:r>
      <w:r w:rsidRPr="003B2D9A">
        <w:rPr>
          <w:rFonts w:cstheme="minorHAnsi"/>
        </w:rPr>
        <w:t xml:space="preserve">), this study is therefore of a timely and significant importance; it is critical that Penderyn fully recognises the degree to which industrial tourism, even in its emergent stages as at Llandudno and Swansea, is intrinsically linked to the brands success. One of the outcomes of this study, then, should be that Penderyn is able to quantify in some tangible way the return from its experiential tourism offerings, and can determine or justify the level of capital expenditure that should be attributed to it going forward. Current ideas proposed by the Penderyn executive team, by way of upstepping the current visitor experience, include the addition of a multi-million pound fully-immersive augmented reality experience </w:t>
      </w:r>
      <w:sdt>
        <w:sdtPr>
          <w:rPr>
            <w:rFonts w:cstheme="minorHAnsi"/>
          </w:rPr>
          <w:id w:val="-737708482"/>
          <w:citation/>
        </w:sdtPr>
        <w:sdtEndPr/>
        <w:sdtContent>
          <w:r w:rsidRPr="003B2D9A">
            <w:rPr>
              <w:rFonts w:cstheme="minorHAnsi"/>
            </w:rPr>
            <w:fldChar w:fldCharType="begin"/>
          </w:r>
          <w:r w:rsidRPr="003B2D9A">
            <w:rPr>
              <w:rFonts w:cstheme="minorHAnsi"/>
            </w:rPr>
            <w:instrText xml:space="preserve"> CITATION The22 \l 2057 </w:instrText>
          </w:r>
          <w:r w:rsidRPr="003B2D9A">
            <w:rPr>
              <w:rFonts w:cstheme="minorHAnsi"/>
            </w:rPr>
            <w:fldChar w:fldCharType="separate"/>
          </w:r>
          <w:r w:rsidR="009D2B16" w:rsidRPr="009D2B16">
            <w:rPr>
              <w:rFonts w:cstheme="minorHAnsi"/>
              <w:noProof/>
            </w:rPr>
            <w:t>(The Welsh Whisky Company Limited, 2022)</w:t>
          </w:r>
          <w:r w:rsidRPr="003B2D9A">
            <w:rPr>
              <w:rFonts w:cstheme="minorHAnsi"/>
            </w:rPr>
            <w:fldChar w:fldCharType="end"/>
          </w:r>
        </w:sdtContent>
      </w:sdt>
      <w:r w:rsidRPr="003B2D9A">
        <w:rPr>
          <w:rFonts w:cstheme="minorHAnsi"/>
        </w:rPr>
        <w:t>; this study should be utilised to ascertain whether such a project would be a viable option.</w:t>
      </w:r>
    </w:p>
    <w:p w14:paraId="0385D311" w14:textId="77777777" w:rsidR="00607BD7" w:rsidRPr="003B2D9A" w:rsidRDefault="00607BD7" w:rsidP="00523C32">
      <w:pPr>
        <w:spacing w:line="276" w:lineRule="auto"/>
        <w:jc w:val="both"/>
        <w:rPr>
          <w:rFonts w:cstheme="minorHAnsi"/>
        </w:rPr>
      </w:pPr>
    </w:p>
    <w:p w14:paraId="3C1C2610" w14:textId="45078FAF" w:rsidR="00607BD7" w:rsidRPr="00523C32" w:rsidRDefault="00607BD7" w:rsidP="00523C32">
      <w:pPr>
        <w:pStyle w:val="Heading2"/>
        <w:numPr>
          <w:ilvl w:val="1"/>
          <w:numId w:val="13"/>
        </w:numPr>
        <w:spacing w:line="360" w:lineRule="auto"/>
        <w:rPr>
          <w:b/>
          <w:bCs/>
          <w:color w:val="auto"/>
          <w:sz w:val="24"/>
          <w:szCs w:val="24"/>
        </w:rPr>
      </w:pPr>
      <w:bookmarkStart w:id="5" w:name="_Toc160624572"/>
      <w:r w:rsidRPr="00523C32">
        <w:rPr>
          <w:b/>
          <w:bCs/>
          <w:color w:val="auto"/>
          <w:sz w:val="24"/>
          <w:szCs w:val="24"/>
        </w:rPr>
        <w:t>M</w:t>
      </w:r>
      <w:r w:rsidR="003B2D9A" w:rsidRPr="00523C32">
        <w:rPr>
          <w:b/>
          <w:bCs/>
          <w:color w:val="auto"/>
          <w:sz w:val="24"/>
          <w:szCs w:val="24"/>
        </w:rPr>
        <w:t>ETHODOLOGY</w:t>
      </w:r>
      <w:bookmarkEnd w:id="5"/>
    </w:p>
    <w:p w14:paraId="4E8DB88B" w14:textId="5605FF63" w:rsidR="00607BD7" w:rsidRPr="00523C32" w:rsidRDefault="00523C32" w:rsidP="00523C32">
      <w:pPr>
        <w:pStyle w:val="Heading2"/>
        <w:spacing w:line="360" w:lineRule="auto"/>
        <w:rPr>
          <w:b/>
          <w:bCs/>
          <w:color w:val="auto"/>
          <w:sz w:val="24"/>
          <w:szCs w:val="24"/>
        </w:rPr>
      </w:pPr>
      <w:bookmarkStart w:id="6" w:name="_Toc160624573"/>
      <w:r w:rsidRPr="00523C32">
        <w:rPr>
          <w:b/>
          <w:bCs/>
          <w:color w:val="auto"/>
          <w:sz w:val="24"/>
          <w:szCs w:val="24"/>
        </w:rPr>
        <w:t>1.3.1</w:t>
      </w:r>
      <w:r w:rsidRPr="00523C32">
        <w:rPr>
          <w:b/>
          <w:bCs/>
          <w:color w:val="auto"/>
          <w:sz w:val="24"/>
          <w:szCs w:val="24"/>
        </w:rPr>
        <w:tab/>
      </w:r>
      <w:r w:rsidR="003B2D9A" w:rsidRPr="00523C32">
        <w:rPr>
          <w:b/>
          <w:bCs/>
          <w:color w:val="auto"/>
          <w:sz w:val="24"/>
          <w:szCs w:val="24"/>
        </w:rPr>
        <w:t>DATA ORIGINS</w:t>
      </w:r>
      <w:bookmarkEnd w:id="6"/>
    </w:p>
    <w:p w14:paraId="26645284" w14:textId="68F49CDE" w:rsidR="00607BD7" w:rsidRPr="003B2D9A" w:rsidRDefault="00607BD7" w:rsidP="00523C32">
      <w:pPr>
        <w:spacing w:line="276" w:lineRule="auto"/>
        <w:jc w:val="both"/>
        <w:rPr>
          <w:rFonts w:cstheme="minorHAnsi"/>
        </w:rPr>
      </w:pPr>
      <w:r w:rsidRPr="003B2D9A">
        <w:rPr>
          <w:rFonts w:cstheme="minorHAnsi"/>
        </w:rPr>
        <w:t xml:space="preserve">The hypothesis raised in section 1.1 will be examined through the interrogation of both qualitative and quantitative data. Non-identifying, anonymised visit/booking data will originate from the company’s existing Visitor Management System (VMS) – the system comprises the online booking system operated on the Checkfront platform, a customer satisfaction portal, hosted by Insight6, and manual, dynamic routes of feedback reporting e.g. paper slips within each visitor centre. The data will be validated and manipulated </w:t>
      </w:r>
      <w:r w:rsidR="00523C32" w:rsidRPr="003B2D9A">
        <w:rPr>
          <w:rFonts w:cstheme="minorHAnsi"/>
        </w:rPr>
        <w:t>to</w:t>
      </w:r>
      <w:r w:rsidRPr="003B2D9A">
        <w:rPr>
          <w:rFonts w:cstheme="minorHAnsi"/>
        </w:rPr>
        <w:t xml:space="preserve"> maximise its statistical contribution, with the standards – or key performance indicators – below considered where relevant.</w:t>
      </w:r>
    </w:p>
    <w:p w14:paraId="71BE47D3" w14:textId="77777777" w:rsidR="00607BD7" w:rsidRPr="003B2D9A" w:rsidRDefault="00607BD7" w:rsidP="00523C32">
      <w:pPr>
        <w:pStyle w:val="ListParagraph"/>
        <w:numPr>
          <w:ilvl w:val="0"/>
          <w:numId w:val="5"/>
        </w:numPr>
        <w:spacing w:line="276" w:lineRule="auto"/>
        <w:jc w:val="both"/>
        <w:rPr>
          <w:rFonts w:cstheme="minorHAnsi"/>
          <w:shd w:val="clear" w:color="auto" w:fill="FFFFFF"/>
        </w:rPr>
      </w:pPr>
      <w:bookmarkStart w:id="7" w:name="_Hlk160619070"/>
      <w:r w:rsidRPr="003B2D9A">
        <w:rPr>
          <w:rFonts w:cstheme="minorHAnsi"/>
          <w:shd w:val="clear" w:color="auto" w:fill="FFFFFF"/>
        </w:rPr>
        <w:t>Number of visitors attending</w:t>
      </w:r>
    </w:p>
    <w:p w14:paraId="2BD65A7F" w14:textId="77777777" w:rsidR="00607BD7" w:rsidRPr="003B2D9A" w:rsidRDefault="00607BD7" w:rsidP="00523C32">
      <w:pPr>
        <w:pStyle w:val="ListParagraph"/>
        <w:numPr>
          <w:ilvl w:val="0"/>
          <w:numId w:val="5"/>
        </w:numPr>
        <w:spacing w:line="276" w:lineRule="auto"/>
        <w:jc w:val="both"/>
        <w:rPr>
          <w:rFonts w:cstheme="minorHAnsi"/>
          <w:shd w:val="clear" w:color="auto" w:fill="FFFFFF"/>
        </w:rPr>
      </w:pPr>
      <w:r w:rsidRPr="003B2D9A">
        <w:rPr>
          <w:rFonts w:cstheme="minorHAnsi"/>
          <w:shd w:val="clear" w:color="auto" w:fill="FFFFFF"/>
        </w:rPr>
        <w:t>Monetary value of visit (Average Spend Per Individual)</w:t>
      </w:r>
    </w:p>
    <w:p w14:paraId="595A82E4" w14:textId="77777777" w:rsidR="00607BD7" w:rsidRPr="003B2D9A" w:rsidRDefault="00607BD7" w:rsidP="00523C32">
      <w:pPr>
        <w:pStyle w:val="ListParagraph"/>
        <w:numPr>
          <w:ilvl w:val="0"/>
          <w:numId w:val="5"/>
        </w:numPr>
        <w:spacing w:line="276" w:lineRule="auto"/>
        <w:jc w:val="both"/>
        <w:rPr>
          <w:rFonts w:cstheme="minorHAnsi"/>
          <w:shd w:val="clear" w:color="auto" w:fill="FFFFFF"/>
        </w:rPr>
      </w:pPr>
      <w:r w:rsidRPr="003B2D9A">
        <w:rPr>
          <w:rFonts w:cstheme="minorHAnsi"/>
          <w:shd w:val="clear" w:color="auto" w:fill="FFFFFF"/>
        </w:rPr>
        <w:t>Analysis of admission spend vs retail spend</w:t>
      </w:r>
    </w:p>
    <w:p w14:paraId="005C4CFC" w14:textId="77777777" w:rsidR="00607BD7" w:rsidRPr="003B2D9A" w:rsidRDefault="00607BD7" w:rsidP="00523C32">
      <w:pPr>
        <w:pStyle w:val="ListParagraph"/>
        <w:numPr>
          <w:ilvl w:val="0"/>
          <w:numId w:val="5"/>
        </w:numPr>
        <w:spacing w:line="276" w:lineRule="auto"/>
        <w:jc w:val="both"/>
        <w:rPr>
          <w:rFonts w:cstheme="minorHAnsi"/>
          <w:shd w:val="clear" w:color="auto" w:fill="FFFFFF"/>
        </w:rPr>
      </w:pPr>
      <w:r w:rsidRPr="003B2D9A">
        <w:rPr>
          <w:rFonts w:cstheme="minorHAnsi"/>
          <w:shd w:val="clear" w:color="auto" w:fill="FFFFFF"/>
        </w:rPr>
        <w:t>Proportion of return bookings</w:t>
      </w:r>
    </w:p>
    <w:p w14:paraId="7001FF17" w14:textId="77777777" w:rsidR="00607BD7" w:rsidRPr="003B2D9A" w:rsidRDefault="00607BD7" w:rsidP="00523C32">
      <w:pPr>
        <w:pStyle w:val="ListParagraph"/>
        <w:numPr>
          <w:ilvl w:val="0"/>
          <w:numId w:val="5"/>
        </w:numPr>
        <w:spacing w:line="276" w:lineRule="auto"/>
        <w:jc w:val="both"/>
        <w:rPr>
          <w:rFonts w:cstheme="minorHAnsi"/>
          <w:shd w:val="clear" w:color="auto" w:fill="FFFFFF"/>
        </w:rPr>
      </w:pPr>
      <w:r w:rsidRPr="003B2D9A">
        <w:rPr>
          <w:rFonts w:cstheme="minorHAnsi"/>
          <w:shd w:val="clear" w:color="auto" w:fill="FFFFFF"/>
        </w:rPr>
        <w:t>Net promoter scores (otherwise known as ‘sentiment scores’)</w:t>
      </w:r>
    </w:p>
    <w:bookmarkEnd w:id="7"/>
    <w:p w14:paraId="17A40142" w14:textId="40D88296" w:rsidR="00607BD7" w:rsidRPr="003B2D9A" w:rsidRDefault="00607BD7" w:rsidP="00523C32">
      <w:pPr>
        <w:spacing w:line="276" w:lineRule="auto"/>
        <w:jc w:val="both"/>
        <w:rPr>
          <w:rFonts w:cstheme="minorHAnsi"/>
          <w:shd w:val="clear" w:color="auto" w:fill="FFFFFF"/>
        </w:rPr>
      </w:pPr>
      <w:r w:rsidRPr="003B2D9A">
        <w:rPr>
          <w:rFonts w:cstheme="minorHAnsi"/>
          <w:shd w:val="clear" w:color="auto" w:fill="FFFFFF"/>
        </w:rPr>
        <w:lastRenderedPageBreak/>
        <w:t xml:space="preserve">Visitor feedback and brand awareness data will be gathered via e-feedback/e-surveys (hosted by Insight6) completed by visitors to </w:t>
      </w:r>
      <w:r w:rsidR="00781106">
        <w:rPr>
          <w:rFonts w:cstheme="minorHAnsi"/>
          <w:shd w:val="clear" w:color="auto" w:fill="FFFFFF"/>
        </w:rPr>
        <w:t>all three centres</w:t>
      </w:r>
      <w:r w:rsidRPr="003B2D9A">
        <w:rPr>
          <w:rFonts w:cstheme="minorHAnsi"/>
          <w:shd w:val="clear" w:color="auto" w:fill="FFFFFF"/>
        </w:rPr>
        <w:t xml:space="preserve"> following their visit – ‘through the use of (both open and) closed questioning, visitors will be asked to indicate whether they have visited only the retail outlet, or whether they have taken a site tour, or if they have taken part in a Masterclass on the day of their visit in order to ascertain the level of engagement they have had with the brand during that specific visit. Using open-ended questioning, visitors will also be asked to provide specific, tangible feedback </w:t>
      </w:r>
      <w:r w:rsidR="00523C32" w:rsidRPr="003B2D9A">
        <w:rPr>
          <w:rFonts w:cstheme="minorHAnsi"/>
          <w:shd w:val="clear" w:color="auto" w:fill="FFFFFF"/>
        </w:rPr>
        <w:t>to</w:t>
      </w:r>
      <w:r w:rsidRPr="003B2D9A">
        <w:rPr>
          <w:rFonts w:cstheme="minorHAnsi"/>
          <w:shd w:val="clear" w:color="auto" w:fill="FFFFFF"/>
        </w:rPr>
        <w:t xml:space="preserve"> allow for the evaluation of various factors relating to brand perception, brand loyalty and the potential for future recommendations. This will be done via a numerical scale; it is important to give the visitor a wide enough scale that they have the flexibility to demonstrate a feeling between two extremes, but not wide enough that the data gathered cannot be effectively compared and validated’ </w:t>
      </w:r>
      <w:sdt>
        <w:sdtPr>
          <w:rPr>
            <w:rFonts w:cstheme="minorHAnsi"/>
            <w:shd w:val="clear" w:color="auto" w:fill="FFFFFF"/>
          </w:rPr>
          <w:id w:val="-1348171574"/>
          <w:citation/>
        </w:sdtPr>
        <w:sdtEndPr/>
        <w:sdtContent>
          <w:r w:rsidRPr="003B2D9A">
            <w:rPr>
              <w:rFonts w:cstheme="minorHAnsi"/>
              <w:shd w:val="clear" w:color="auto" w:fill="FFFFFF"/>
            </w:rPr>
            <w:fldChar w:fldCharType="begin"/>
          </w:r>
          <w:r w:rsidRPr="003B2D9A">
            <w:rPr>
              <w:rFonts w:cstheme="minorHAnsi"/>
              <w:shd w:val="clear" w:color="auto" w:fill="FFFFFF"/>
            </w:rPr>
            <w:instrText xml:space="preserve"> CITATION Dav22 \l 2057 </w:instrText>
          </w:r>
          <w:r w:rsidRPr="003B2D9A">
            <w:rPr>
              <w:rFonts w:cstheme="minorHAnsi"/>
              <w:shd w:val="clear" w:color="auto" w:fill="FFFFFF"/>
            </w:rPr>
            <w:fldChar w:fldCharType="separate"/>
          </w:r>
          <w:r w:rsidR="009D2B16" w:rsidRPr="009D2B16">
            <w:rPr>
              <w:rFonts w:cstheme="minorHAnsi"/>
              <w:noProof/>
              <w:shd w:val="clear" w:color="auto" w:fill="FFFFFF"/>
            </w:rPr>
            <w:t>(Davies, 2022)</w:t>
          </w:r>
          <w:r w:rsidRPr="003B2D9A">
            <w:rPr>
              <w:rFonts w:cstheme="minorHAnsi"/>
              <w:shd w:val="clear" w:color="auto" w:fill="FFFFFF"/>
            </w:rPr>
            <w:fldChar w:fldCharType="end"/>
          </w:r>
        </w:sdtContent>
      </w:sdt>
      <w:r w:rsidRPr="003B2D9A">
        <w:rPr>
          <w:rFonts w:cstheme="minorHAnsi"/>
          <w:shd w:val="clear" w:color="auto" w:fill="FFFFFF"/>
        </w:rPr>
        <w:t>. Feedback requested via the Insight6 platform or similar is, occasionally, incentivised in order to drive the volume of feedback submissions received; however, it is important to note that the opinion or stated feedback is not influenced in any way in order to preserve the integrity of the data – that is to say, for example, that entry into a prize draw could be offered in return for feedback being submitted, but a prize cannot be offered only on condition of positive feedback.</w:t>
      </w:r>
    </w:p>
    <w:p w14:paraId="09D0F20F" w14:textId="77777777" w:rsidR="00607BD7" w:rsidRPr="00BE3652" w:rsidRDefault="00607BD7" w:rsidP="00523C32">
      <w:pPr>
        <w:spacing w:line="276" w:lineRule="auto"/>
        <w:jc w:val="both"/>
        <w:rPr>
          <w:rFonts w:cstheme="minorHAnsi"/>
          <w:shd w:val="clear" w:color="auto" w:fill="FFFFFF"/>
        </w:rPr>
      </w:pPr>
      <w:r w:rsidRPr="00BE3652">
        <w:rPr>
          <w:rFonts w:cstheme="minorHAnsi"/>
          <w:shd w:val="clear" w:color="auto" w:fill="FFFFFF"/>
        </w:rPr>
        <w:t>Alongside the requested feedback via the aforementioned platforms, feedback will also be submitted on a voluntary basis – that is, proactively offered by the visitor – via platforms such as TripAdvisor. The feedback will be critically evaluated to ascertain the level of satisfaction felt by visitors following their experience, and the degree of knowledge of, and affinity to, the brand they subsequently feel. It is important to acknowledge, however, that forums such as TripAdvisor are open to the public, with little/no moderation on contributor’s views, and no way to prove or disprove that a contributor ever actually engaged with the brand or visited its premises. Penderyn has, in the past, received spurious reviews on TripAdvisor from disgruntled ex-employees and so the potential for this should be considered when determining what weight to give findings from such platforms.</w:t>
      </w:r>
    </w:p>
    <w:p w14:paraId="2FE2DBF4" w14:textId="16E1A7B3" w:rsidR="00607BD7" w:rsidRPr="003B2D9A" w:rsidRDefault="00523C32" w:rsidP="00523C32">
      <w:pPr>
        <w:spacing w:line="276" w:lineRule="auto"/>
        <w:jc w:val="both"/>
        <w:rPr>
          <w:rFonts w:cstheme="minorHAnsi"/>
          <w:shd w:val="clear" w:color="auto" w:fill="FFFFFF"/>
        </w:rPr>
      </w:pPr>
      <w:r w:rsidRPr="009A27BE">
        <w:rPr>
          <w:rFonts w:cstheme="minorHAnsi"/>
          <w:shd w:val="clear" w:color="auto" w:fill="FFFFFF"/>
        </w:rPr>
        <w:t>To</w:t>
      </w:r>
      <w:r w:rsidR="00607BD7" w:rsidRPr="009A27BE">
        <w:rPr>
          <w:rFonts w:cstheme="minorHAnsi"/>
          <w:shd w:val="clear" w:color="auto" w:fill="FFFFFF"/>
        </w:rPr>
        <w:t xml:space="preserve"> assess the effectiveness of the implementation of a visitor/tourism strategy as a tool for brand growth, it is critical to establish a baseline prior to beginning; this may be by way of benchmarking against competitors, or by averaging feedback data for a discrete </w:t>
      </w:r>
      <w:r w:rsidRPr="009A27BE">
        <w:rPr>
          <w:rFonts w:cstheme="minorHAnsi"/>
          <w:shd w:val="clear" w:color="auto" w:fill="FFFFFF"/>
        </w:rPr>
        <w:t>period</w:t>
      </w:r>
      <w:r w:rsidR="00607BD7" w:rsidRPr="009A27BE">
        <w:rPr>
          <w:rFonts w:cstheme="minorHAnsi"/>
          <w:shd w:val="clear" w:color="auto" w:fill="FFFFFF"/>
        </w:rPr>
        <w:t xml:space="preserve"> preceding the analysis (as is the case here). It is also important to recognise that while e-feedback surveys, questionnaires etc. will ask visitors about any prior interactions with the brand and their levels of brand awareness, visitors may decline to answer or provide any feedback for a range of reasons not relating to their experience. Additionally, most feedback requested will be, by definition, of a subjective nature and so it is necessary to keep in mind that such feedback may be ‘inaccurate’ or unduly positive/unduly harsh due to human perceptions.</w:t>
      </w:r>
      <w:r w:rsidR="00607BD7" w:rsidRPr="003B2D9A">
        <w:rPr>
          <w:rFonts w:cstheme="minorHAnsi"/>
          <w:shd w:val="clear" w:color="auto" w:fill="FFFFFF"/>
        </w:rPr>
        <w:t xml:space="preserve"> </w:t>
      </w:r>
    </w:p>
    <w:p w14:paraId="2D1CE374" w14:textId="4407A652" w:rsidR="00607BD7" w:rsidRPr="003B2D9A" w:rsidRDefault="00607BD7" w:rsidP="00523C32">
      <w:pPr>
        <w:spacing w:line="276" w:lineRule="auto"/>
        <w:jc w:val="both"/>
        <w:rPr>
          <w:rFonts w:cstheme="minorHAnsi"/>
          <w:shd w:val="clear" w:color="auto" w:fill="FFFFFF"/>
        </w:rPr>
      </w:pPr>
      <w:r w:rsidRPr="003B2D9A">
        <w:rPr>
          <w:rFonts w:cstheme="minorHAnsi"/>
          <w:shd w:val="clear" w:color="auto" w:fill="FFFFFF"/>
        </w:rPr>
        <w:t>An in-depth, independent market research study was conducted in 2023 on behalf of Penderyn centring around identifying Penderyn’s core target audience and the positioning of its brand. The study encompassed four ‘exploratory forums per market</w:t>
      </w:r>
      <w:r w:rsidR="00523C32" w:rsidRPr="003B2D9A">
        <w:rPr>
          <w:rFonts w:cstheme="minorHAnsi"/>
          <w:shd w:val="clear" w:color="auto" w:fill="FFFFFF"/>
        </w:rPr>
        <w:t>,’</w:t>
      </w:r>
      <w:r w:rsidRPr="003B2D9A">
        <w:rPr>
          <w:rFonts w:cstheme="minorHAnsi"/>
          <w:shd w:val="clear" w:color="auto" w:fill="FFFFFF"/>
        </w:rPr>
        <w:t xml:space="preserve"> with the focus on three key markets (the UK, the USA and France). Respondents were divided into two categories – the ‘Whisky Explorers’ (those who drink malt whisky on a regular basis, consider themselves knowledgeable about whisky, are engaged in whisky through social media and tasting events, and who are aged between 40 and 60 years of age), and the ‘Modern Drinkers’ (drinking whisky occasionally, not whisky loyal/regular consumers of gin/vodka/tequila etc., limited knowledge of whisky, and aged between 25 and 40 years of age). The study leaders sought a ratio of 60:40 men to women, from a pre-selected social grade, with additional parameters around gifting and retail habits. The participants were taken through 5 ‘mood boards’, each </w:t>
      </w:r>
      <w:r w:rsidRPr="003B2D9A">
        <w:rPr>
          <w:rFonts w:cstheme="minorHAnsi"/>
          <w:shd w:val="clear" w:color="auto" w:fill="FFFFFF"/>
        </w:rPr>
        <w:lastRenderedPageBreak/>
        <w:t>focussing on a different aspect of whisky branding, then specifically focussing on an aspect of Penderyn’s brand story, with the study leaders inviting comments and observations at each stage to assess the emotions and responses to each.</w:t>
      </w:r>
    </w:p>
    <w:p w14:paraId="1F1032C6" w14:textId="77777777" w:rsidR="00607BD7" w:rsidRPr="003B2D9A" w:rsidRDefault="00607BD7" w:rsidP="00523C32">
      <w:pPr>
        <w:spacing w:line="276" w:lineRule="auto"/>
        <w:jc w:val="both"/>
        <w:rPr>
          <w:rFonts w:cstheme="minorHAnsi"/>
        </w:rPr>
      </w:pPr>
    </w:p>
    <w:p w14:paraId="79862019" w14:textId="6B57941A" w:rsidR="00607BD7" w:rsidRPr="00523C32" w:rsidRDefault="00523C32" w:rsidP="00523C32">
      <w:pPr>
        <w:pStyle w:val="Heading2"/>
        <w:spacing w:line="360" w:lineRule="auto"/>
        <w:rPr>
          <w:b/>
          <w:bCs/>
          <w:color w:val="auto"/>
          <w:sz w:val="24"/>
          <w:szCs w:val="24"/>
        </w:rPr>
      </w:pPr>
      <w:bookmarkStart w:id="8" w:name="_Toc160624574"/>
      <w:r w:rsidRPr="00523C32">
        <w:rPr>
          <w:b/>
          <w:bCs/>
          <w:color w:val="auto"/>
          <w:sz w:val="24"/>
          <w:szCs w:val="24"/>
        </w:rPr>
        <w:t>1.3.2</w:t>
      </w:r>
      <w:r w:rsidRPr="00523C32">
        <w:rPr>
          <w:b/>
          <w:bCs/>
          <w:color w:val="auto"/>
          <w:sz w:val="24"/>
          <w:szCs w:val="24"/>
        </w:rPr>
        <w:tab/>
      </w:r>
      <w:r w:rsidR="003B2D9A" w:rsidRPr="00523C32">
        <w:rPr>
          <w:b/>
          <w:bCs/>
          <w:color w:val="auto"/>
          <w:sz w:val="24"/>
          <w:szCs w:val="24"/>
        </w:rPr>
        <w:t>INTERROGATION OF RESULTS</w:t>
      </w:r>
      <w:bookmarkEnd w:id="8"/>
    </w:p>
    <w:p w14:paraId="227AB660" w14:textId="509A7811" w:rsidR="00607BD7" w:rsidRPr="003B2D9A" w:rsidRDefault="00607BD7" w:rsidP="00523C32">
      <w:pPr>
        <w:spacing w:line="276" w:lineRule="auto"/>
        <w:jc w:val="both"/>
        <w:rPr>
          <w:rFonts w:cstheme="minorHAnsi"/>
          <w:shd w:val="clear" w:color="auto" w:fill="FFFFFF"/>
        </w:rPr>
      </w:pPr>
      <w:r w:rsidRPr="003B2D9A">
        <w:rPr>
          <w:rFonts w:cstheme="minorHAnsi"/>
        </w:rPr>
        <w:t>As discussed, the data to be considered within this study will exist in both qualitative and quantitative formats, and will be a mixture of both discrete and continuous data. Data originating from customer feedback platforms whereby visitors have been asked for their opinions on their experiences and the Penderyn brand will ‘</w:t>
      </w:r>
      <w:r w:rsidRPr="003B2D9A">
        <w:rPr>
          <w:rFonts w:cstheme="minorHAnsi"/>
          <w:shd w:val="clear" w:color="auto" w:fill="FFFFFF"/>
        </w:rPr>
        <w:t xml:space="preserve">undergo content and thematic analysis. Recurring keywords/key phases will be reported to build a detailed picture of a) consumers reactions and perceptions to the experience offered at Penderyn, and their level of engagement with and awareness of the brand and b) the strength and depth of these perceptions and feelings. Coding of themes and perceptions will be used to align similar views expressed via slightly different nuances, essentially removing or minimizing the variable of human semantics’ </w:t>
      </w:r>
      <w:sdt>
        <w:sdtPr>
          <w:rPr>
            <w:rFonts w:cstheme="minorHAnsi"/>
            <w:shd w:val="clear" w:color="auto" w:fill="FFFFFF"/>
          </w:rPr>
          <w:id w:val="-315414404"/>
          <w:citation/>
        </w:sdtPr>
        <w:sdtEndPr/>
        <w:sdtContent>
          <w:r w:rsidRPr="003B2D9A">
            <w:rPr>
              <w:rFonts w:cstheme="minorHAnsi"/>
              <w:shd w:val="clear" w:color="auto" w:fill="FFFFFF"/>
            </w:rPr>
            <w:fldChar w:fldCharType="begin"/>
          </w:r>
          <w:r w:rsidRPr="003B2D9A">
            <w:rPr>
              <w:rFonts w:cstheme="minorHAnsi"/>
              <w:shd w:val="clear" w:color="auto" w:fill="FFFFFF"/>
            </w:rPr>
            <w:instrText xml:space="preserve"> CITATION Dav22 \l 2057 </w:instrText>
          </w:r>
          <w:r w:rsidRPr="003B2D9A">
            <w:rPr>
              <w:rFonts w:cstheme="minorHAnsi"/>
              <w:shd w:val="clear" w:color="auto" w:fill="FFFFFF"/>
            </w:rPr>
            <w:fldChar w:fldCharType="separate"/>
          </w:r>
          <w:r w:rsidR="009D2B16" w:rsidRPr="009D2B16">
            <w:rPr>
              <w:rFonts w:cstheme="minorHAnsi"/>
              <w:noProof/>
              <w:shd w:val="clear" w:color="auto" w:fill="FFFFFF"/>
            </w:rPr>
            <w:t>(Davies, 2022)</w:t>
          </w:r>
          <w:r w:rsidRPr="003B2D9A">
            <w:rPr>
              <w:rFonts w:cstheme="minorHAnsi"/>
              <w:shd w:val="clear" w:color="auto" w:fill="FFFFFF"/>
            </w:rPr>
            <w:fldChar w:fldCharType="end"/>
          </w:r>
        </w:sdtContent>
      </w:sdt>
      <w:r w:rsidRPr="003B2D9A">
        <w:rPr>
          <w:rFonts w:cstheme="minorHAnsi"/>
          <w:shd w:val="clear" w:color="auto" w:fill="FFFFFF"/>
        </w:rPr>
        <w:t>.</w:t>
      </w:r>
    </w:p>
    <w:p w14:paraId="7D358B18" w14:textId="7E9D761E" w:rsidR="00607BD7" w:rsidRPr="003B2D9A" w:rsidRDefault="00607BD7" w:rsidP="00523C32">
      <w:pPr>
        <w:spacing w:line="276" w:lineRule="auto"/>
        <w:jc w:val="both"/>
        <w:rPr>
          <w:rFonts w:cstheme="minorHAnsi"/>
          <w:shd w:val="clear" w:color="auto" w:fill="FFFFFF"/>
        </w:rPr>
      </w:pPr>
      <w:r w:rsidRPr="003B2D9A">
        <w:rPr>
          <w:rFonts w:cstheme="minorHAnsi"/>
          <w:shd w:val="clear" w:color="auto" w:fill="FFFFFF"/>
        </w:rPr>
        <w:t>Discrete and continuous numerical data (e.g. sliding scores from feedback submitted via the Insight6 platform) will be statistically validated to identify trends within the data, to highlight anomalous data points/data showing a significant deviation from expected results (and therefore indicate data that should be discounted, or not validated and/or indicating that data should undergo further investigation before being accepted or validated).</w:t>
      </w:r>
    </w:p>
    <w:p w14:paraId="31DC1981" w14:textId="77777777" w:rsidR="00607BD7" w:rsidRPr="003B2D9A" w:rsidRDefault="00607BD7" w:rsidP="00523C32">
      <w:pPr>
        <w:spacing w:line="276" w:lineRule="auto"/>
        <w:jc w:val="both"/>
        <w:rPr>
          <w:rFonts w:cstheme="minorHAnsi"/>
          <w:shd w:val="clear" w:color="auto" w:fill="FFFFFF"/>
        </w:rPr>
      </w:pPr>
    </w:p>
    <w:p w14:paraId="04874962" w14:textId="1396593E" w:rsidR="00607BD7" w:rsidRPr="00523C32" w:rsidRDefault="00523C32" w:rsidP="00523C32">
      <w:pPr>
        <w:pStyle w:val="Heading2"/>
        <w:spacing w:line="360" w:lineRule="auto"/>
        <w:rPr>
          <w:b/>
          <w:bCs/>
          <w:color w:val="auto"/>
          <w:sz w:val="24"/>
          <w:szCs w:val="24"/>
          <w:shd w:val="clear" w:color="auto" w:fill="FFFFFF"/>
        </w:rPr>
      </w:pPr>
      <w:bookmarkStart w:id="9" w:name="_Toc160624575"/>
      <w:r w:rsidRPr="00523C32">
        <w:rPr>
          <w:b/>
          <w:bCs/>
          <w:color w:val="auto"/>
          <w:sz w:val="24"/>
          <w:szCs w:val="24"/>
          <w:shd w:val="clear" w:color="auto" w:fill="FFFFFF"/>
        </w:rPr>
        <w:t>1.3.3</w:t>
      </w:r>
      <w:r w:rsidRPr="00523C32">
        <w:rPr>
          <w:b/>
          <w:bCs/>
          <w:color w:val="auto"/>
          <w:sz w:val="24"/>
          <w:szCs w:val="24"/>
          <w:shd w:val="clear" w:color="auto" w:fill="FFFFFF"/>
        </w:rPr>
        <w:tab/>
      </w:r>
      <w:r w:rsidR="003B2D9A" w:rsidRPr="00523C32">
        <w:rPr>
          <w:b/>
          <w:bCs/>
          <w:color w:val="auto"/>
          <w:sz w:val="24"/>
          <w:szCs w:val="24"/>
          <w:shd w:val="clear" w:color="auto" w:fill="FFFFFF"/>
        </w:rPr>
        <w:t>CRITICAL EVALUATION OF RESULTS</w:t>
      </w:r>
      <w:bookmarkEnd w:id="9"/>
    </w:p>
    <w:p w14:paraId="466E98C2" w14:textId="77777777" w:rsidR="00607BD7" w:rsidRPr="003B2D9A" w:rsidRDefault="00607BD7" w:rsidP="00523C32">
      <w:pPr>
        <w:spacing w:line="276" w:lineRule="auto"/>
        <w:jc w:val="both"/>
        <w:rPr>
          <w:rFonts w:cstheme="minorHAnsi"/>
        </w:rPr>
      </w:pPr>
      <w:r w:rsidRPr="003B2D9A">
        <w:rPr>
          <w:rFonts w:cstheme="minorHAnsi"/>
        </w:rPr>
        <w:t xml:space="preserve">As stated in section 1.2, the value of this study lies primarily in its specificity; however, whilst it will be the first and only detailed, objective view as to the value of experiential tourism to penderyn, it will also be one of the few studies to consider the direct impact that the Covid-19 pandemic had upon experiential tourism not only at Penderyn, but within the wider industry, and the resultant impact upon brand awareness. The findings of this study will apprise and direct the Penderyn executive team in their strategy for the future of the visitor centres at each of their sites, and will help to clarify whether key proposed additional investment projects on some sites are first viable, but then also worthwhile. </w:t>
      </w:r>
    </w:p>
    <w:p w14:paraId="1BE722F8" w14:textId="518D1829" w:rsidR="00607BD7" w:rsidRPr="003B2D9A" w:rsidRDefault="00607BD7" w:rsidP="00523C32">
      <w:pPr>
        <w:tabs>
          <w:tab w:val="left" w:pos="8308"/>
        </w:tabs>
        <w:spacing w:line="276" w:lineRule="auto"/>
        <w:jc w:val="both"/>
        <w:rPr>
          <w:rFonts w:cstheme="minorHAnsi"/>
          <w:shd w:val="clear" w:color="auto" w:fill="FFFFFF"/>
        </w:rPr>
      </w:pPr>
      <w:r w:rsidRPr="003B2D9A">
        <w:rPr>
          <w:rFonts w:cstheme="minorHAnsi"/>
          <w:shd w:val="clear" w:color="auto" w:fill="FFFFFF"/>
        </w:rPr>
        <w:t xml:space="preserve">This will go some way to influence the level of investment (both financial and in terms of resourcing) that will be committed to these facilities; additionally, ‘the balance of virtual vs in person experiences will be reviewed, and the levels to which some offerings are prioritised over others will be considered as a result’ </w:t>
      </w:r>
      <w:sdt>
        <w:sdtPr>
          <w:rPr>
            <w:rFonts w:cstheme="minorHAnsi"/>
            <w:shd w:val="clear" w:color="auto" w:fill="FFFFFF"/>
          </w:rPr>
          <w:id w:val="-1238704371"/>
          <w:citation/>
        </w:sdtPr>
        <w:sdtEndPr/>
        <w:sdtContent>
          <w:r w:rsidRPr="003B2D9A">
            <w:rPr>
              <w:rFonts w:cstheme="minorHAnsi"/>
              <w:shd w:val="clear" w:color="auto" w:fill="FFFFFF"/>
            </w:rPr>
            <w:fldChar w:fldCharType="begin"/>
          </w:r>
          <w:r w:rsidRPr="003B2D9A">
            <w:rPr>
              <w:rFonts w:cstheme="minorHAnsi"/>
              <w:shd w:val="clear" w:color="auto" w:fill="FFFFFF"/>
              <w:lang w:val="en-US"/>
            </w:rPr>
            <w:instrText xml:space="preserve"> CITATION Dav221 \l 1033 </w:instrText>
          </w:r>
          <w:r w:rsidRPr="003B2D9A">
            <w:rPr>
              <w:rFonts w:cstheme="minorHAnsi"/>
              <w:shd w:val="clear" w:color="auto" w:fill="FFFFFF"/>
            </w:rPr>
            <w:fldChar w:fldCharType="separate"/>
          </w:r>
          <w:r w:rsidR="009D2B16" w:rsidRPr="009D2B16">
            <w:rPr>
              <w:rFonts w:cstheme="minorHAnsi"/>
              <w:noProof/>
              <w:shd w:val="clear" w:color="auto" w:fill="FFFFFF"/>
              <w:lang w:val="en-US"/>
            </w:rPr>
            <w:t>(Davies, 2022)</w:t>
          </w:r>
          <w:r w:rsidRPr="003B2D9A">
            <w:rPr>
              <w:rFonts w:cstheme="minorHAnsi"/>
              <w:shd w:val="clear" w:color="auto" w:fill="FFFFFF"/>
            </w:rPr>
            <w:fldChar w:fldCharType="end"/>
          </w:r>
        </w:sdtContent>
      </w:sdt>
      <w:r w:rsidRPr="003B2D9A">
        <w:rPr>
          <w:rFonts w:cstheme="minorHAnsi"/>
          <w:shd w:val="clear" w:color="auto" w:fill="FFFFFF"/>
        </w:rPr>
        <w:t>.</w:t>
      </w:r>
    </w:p>
    <w:p w14:paraId="0D354B6E" w14:textId="7587C862" w:rsidR="00607BD7" w:rsidRPr="003B2D9A" w:rsidRDefault="00607BD7" w:rsidP="00523C32">
      <w:pPr>
        <w:tabs>
          <w:tab w:val="left" w:pos="8308"/>
        </w:tabs>
        <w:spacing w:line="276" w:lineRule="auto"/>
        <w:jc w:val="both"/>
        <w:rPr>
          <w:rFonts w:cstheme="minorHAnsi"/>
          <w:shd w:val="clear" w:color="auto" w:fill="FFFFFF"/>
        </w:rPr>
      </w:pPr>
      <w:r w:rsidRPr="003B2D9A">
        <w:rPr>
          <w:rFonts w:cstheme="minorHAnsi"/>
          <w:shd w:val="clear" w:color="auto" w:fill="FFFFFF"/>
        </w:rPr>
        <w:t xml:space="preserve">An important point to consider with regards to the methods by which the data is interrogated is that it must be done in an objective, analytical and unbiased manner – </w:t>
      </w:r>
      <w:r w:rsidR="00472B9D">
        <w:rPr>
          <w:rFonts w:cstheme="minorHAnsi"/>
          <w:shd w:val="clear" w:color="auto" w:fill="FFFFFF"/>
        </w:rPr>
        <w:t xml:space="preserve">which is </w:t>
      </w:r>
      <w:r w:rsidRPr="003B2D9A">
        <w:rPr>
          <w:rFonts w:cstheme="minorHAnsi"/>
          <w:shd w:val="clear" w:color="auto" w:fill="FFFFFF"/>
        </w:rPr>
        <w:t xml:space="preserve">particularly applicable to the qualitative or subjective feedback. To explain further – a high proportion of visitors to any experiential tourism setup will be doing so as they are already aware of the brand, and therefore have already developed their own perception of it, and thus, are likely to experience an affinity to it (if not the brand specifically, then the industry at the very least) – therefore, answers regarding these points are likely to be primarily positively-weighted. Similarly, visitors who have polarised experiences – that </w:t>
      </w:r>
      <w:r w:rsidRPr="003B2D9A">
        <w:rPr>
          <w:rFonts w:cstheme="minorHAnsi"/>
          <w:shd w:val="clear" w:color="auto" w:fill="FFFFFF"/>
        </w:rPr>
        <w:lastRenderedPageBreak/>
        <w:t>is, extremely positive or exceptionally negative ones – are statistically more likely to respond to requests for feedback, or to proactively offer it. Those visitors who experienced a good but ultimately uneventful visit are likely to hold a positive affinity for the brand but are unlikely to proactively offer detailed feedback.</w:t>
      </w:r>
    </w:p>
    <w:p w14:paraId="0F999887" w14:textId="252177AA" w:rsidR="00607BD7" w:rsidRPr="003B2D9A" w:rsidRDefault="00607BD7" w:rsidP="00523C32">
      <w:pPr>
        <w:tabs>
          <w:tab w:val="left" w:pos="8308"/>
        </w:tabs>
        <w:spacing w:line="276" w:lineRule="auto"/>
        <w:jc w:val="both"/>
        <w:rPr>
          <w:rFonts w:cstheme="minorHAnsi"/>
          <w:shd w:val="clear" w:color="auto" w:fill="FFFFFF"/>
        </w:rPr>
      </w:pPr>
      <w:r w:rsidRPr="003B2D9A">
        <w:rPr>
          <w:rFonts w:cstheme="minorHAnsi"/>
          <w:shd w:val="clear" w:color="auto" w:fill="FFFFFF"/>
        </w:rPr>
        <w:t>It is also important, during the evaluation of the results of this study, to acknowledge the impact of external factors, with a primary example being the impact of the 2022 football World Cup. Wales qualified to attend the tournament for the first time in 64 years, with ‘Brand Wales’ marketed heavily across the world, supported by the Welsh Government, to a degree never seen before and endorsed by an array of celebrities and sporting stars. As part of its highly-collectable and limited release Icons of Wales line, Penderyn released a bottle of Single Malt Welsh Whisky – Yma O Hyd – officially endorsed by the FAW (Football Association of Wales). Whilst this synergy between a strong, luxury Welsh brand and the dream of generations of Welsh football fans helped to cement an affinity for Penderyn, the true payback was in the potential level of brand awareness suddenly realised across the globe, particularly in emergent markets such as parts of Africa and the Middle East. To undertake separate, targeted marketing campaigns to reach such numbers in each country individually would have been nigh on impossible for Penderyn, for capacity and financial outlay reasons however the campaign facilities this with relatively little additional financial input from the brand. Ultimately, Wales were eliminated from the tournament at the group stages but this highlights the importance of acknowledging external contributing factors when assessing brand growth in one year versus another; it is not possible to discount the effects of events such as this on brand awareness, perception or visitor data, and it is also possible that an event such as this may influence visitor numbers, brand awareness and brand perception for several years yet.</w:t>
      </w:r>
    </w:p>
    <w:p w14:paraId="031D24DA" w14:textId="1CDF84C8" w:rsidR="00607BD7" w:rsidRPr="003B2D9A" w:rsidRDefault="00607BD7" w:rsidP="00523C32">
      <w:pPr>
        <w:tabs>
          <w:tab w:val="left" w:pos="8308"/>
        </w:tabs>
        <w:spacing w:line="276" w:lineRule="auto"/>
        <w:jc w:val="both"/>
        <w:rPr>
          <w:rFonts w:cstheme="minorHAnsi"/>
          <w:shd w:val="clear" w:color="auto" w:fill="FFFFFF"/>
        </w:rPr>
      </w:pPr>
    </w:p>
    <w:p w14:paraId="7B4F270C" w14:textId="7D6D35FC" w:rsidR="00607BD7" w:rsidRPr="00523C32" w:rsidRDefault="00523C32" w:rsidP="00523C32">
      <w:pPr>
        <w:pStyle w:val="Heading2"/>
        <w:spacing w:line="360" w:lineRule="auto"/>
        <w:rPr>
          <w:b/>
          <w:bCs/>
          <w:color w:val="auto"/>
          <w:sz w:val="24"/>
          <w:szCs w:val="24"/>
          <w:shd w:val="clear" w:color="auto" w:fill="FFFFFF"/>
        </w:rPr>
      </w:pPr>
      <w:bookmarkStart w:id="10" w:name="_Toc160624576"/>
      <w:r w:rsidRPr="00523C32">
        <w:rPr>
          <w:b/>
          <w:bCs/>
          <w:color w:val="auto"/>
          <w:sz w:val="24"/>
          <w:szCs w:val="24"/>
          <w:shd w:val="clear" w:color="auto" w:fill="FFFFFF"/>
        </w:rPr>
        <w:t>1.4</w:t>
      </w:r>
      <w:r w:rsidRPr="00523C32">
        <w:rPr>
          <w:b/>
          <w:bCs/>
          <w:color w:val="auto"/>
          <w:sz w:val="24"/>
          <w:szCs w:val="24"/>
          <w:shd w:val="clear" w:color="auto" w:fill="FFFFFF"/>
        </w:rPr>
        <w:tab/>
      </w:r>
      <w:r w:rsidR="00607BD7" w:rsidRPr="00523C32">
        <w:rPr>
          <w:b/>
          <w:bCs/>
          <w:color w:val="auto"/>
          <w:sz w:val="24"/>
          <w:szCs w:val="24"/>
          <w:shd w:val="clear" w:color="auto" w:fill="FFFFFF"/>
        </w:rPr>
        <w:t>V</w:t>
      </w:r>
      <w:r w:rsidR="003B2D9A" w:rsidRPr="00523C32">
        <w:rPr>
          <w:b/>
          <w:bCs/>
          <w:color w:val="auto"/>
          <w:sz w:val="24"/>
          <w:szCs w:val="24"/>
          <w:shd w:val="clear" w:color="auto" w:fill="FFFFFF"/>
        </w:rPr>
        <w:t>ARIABLES</w:t>
      </w:r>
      <w:bookmarkEnd w:id="10"/>
    </w:p>
    <w:p w14:paraId="3F47D5E6" w14:textId="77777777" w:rsidR="00607BD7" w:rsidRPr="003B2D9A" w:rsidRDefault="00607BD7" w:rsidP="00523C32">
      <w:pPr>
        <w:spacing w:line="276" w:lineRule="auto"/>
        <w:jc w:val="both"/>
        <w:rPr>
          <w:rFonts w:cstheme="minorHAnsi"/>
        </w:rPr>
      </w:pPr>
      <w:r w:rsidRPr="003B2D9A">
        <w:rPr>
          <w:rFonts w:cstheme="minorHAnsi"/>
        </w:rPr>
        <w:t>This project considers four primary dependent variables:</w:t>
      </w:r>
    </w:p>
    <w:p w14:paraId="41E5A6B5" w14:textId="77777777" w:rsidR="00607BD7" w:rsidRPr="003B2D9A" w:rsidRDefault="00607BD7" w:rsidP="00523C32">
      <w:pPr>
        <w:pStyle w:val="ListParagraph"/>
        <w:numPr>
          <w:ilvl w:val="0"/>
          <w:numId w:val="3"/>
        </w:numPr>
        <w:spacing w:line="276" w:lineRule="auto"/>
        <w:jc w:val="both"/>
        <w:rPr>
          <w:rFonts w:cstheme="minorHAnsi"/>
          <w:shd w:val="clear" w:color="auto" w:fill="FFFFFF"/>
        </w:rPr>
      </w:pPr>
      <w:r w:rsidRPr="003B2D9A">
        <w:rPr>
          <w:rFonts w:cstheme="minorHAnsi"/>
          <w:shd w:val="clear" w:color="auto" w:fill="FFFFFF"/>
        </w:rPr>
        <w:t>Annual bottle sales, reviewed at global level and at by-country level</w:t>
      </w:r>
    </w:p>
    <w:p w14:paraId="2239328A" w14:textId="77777777" w:rsidR="00607BD7" w:rsidRPr="003B2D9A" w:rsidRDefault="00607BD7" w:rsidP="00523C32">
      <w:pPr>
        <w:pStyle w:val="ListParagraph"/>
        <w:numPr>
          <w:ilvl w:val="0"/>
          <w:numId w:val="3"/>
        </w:numPr>
        <w:spacing w:line="276" w:lineRule="auto"/>
        <w:jc w:val="both"/>
        <w:rPr>
          <w:rFonts w:cstheme="minorHAnsi"/>
          <w:shd w:val="clear" w:color="auto" w:fill="FFFFFF"/>
        </w:rPr>
      </w:pPr>
      <w:r w:rsidRPr="003B2D9A">
        <w:rPr>
          <w:rFonts w:cstheme="minorHAnsi"/>
          <w:shd w:val="clear" w:color="auto" w:fill="FFFFFF"/>
        </w:rPr>
        <w:t>Global and domestic brand awareness</w:t>
      </w:r>
    </w:p>
    <w:p w14:paraId="0754A83C" w14:textId="77777777" w:rsidR="00607BD7" w:rsidRPr="003B2D9A" w:rsidRDefault="00607BD7" w:rsidP="00523C32">
      <w:pPr>
        <w:pStyle w:val="ListParagraph"/>
        <w:numPr>
          <w:ilvl w:val="0"/>
          <w:numId w:val="3"/>
        </w:numPr>
        <w:spacing w:line="276" w:lineRule="auto"/>
        <w:jc w:val="both"/>
        <w:rPr>
          <w:rFonts w:cstheme="minorHAnsi"/>
          <w:shd w:val="clear" w:color="auto" w:fill="FFFFFF"/>
        </w:rPr>
      </w:pPr>
      <w:r w:rsidRPr="003B2D9A">
        <w:rPr>
          <w:rFonts w:cstheme="minorHAnsi"/>
          <w:shd w:val="clear" w:color="auto" w:fill="FFFFFF"/>
        </w:rPr>
        <w:t>Number of visitors to Penderyn visitor centres</w:t>
      </w:r>
    </w:p>
    <w:p w14:paraId="55C6BFF1" w14:textId="77777777" w:rsidR="00607BD7" w:rsidRPr="003B2D9A" w:rsidRDefault="00607BD7" w:rsidP="00523C32">
      <w:pPr>
        <w:pStyle w:val="ListParagraph"/>
        <w:numPr>
          <w:ilvl w:val="0"/>
          <w:numId w:val="3"/>
        </w:numPr>
        <w:spacing w:line="276" w:lineRule="auto"/>
        <w:jc w:val="both"/>
        <w:rPr>
          <w:rFonts w:cstheme="minorHAnsi"/>
          <w:shd w:val="clear" w:color="auto" w:fill="FFFFFF"/>
        </w:rPr>
      </w:pPr>
      <w:r w:rsidRPr="003B2D9A">
        <w:rPr>
          <w:rFonts w:cstheme="minorHAnsi"/>
          <w:shd w:val="clear" w:color="auto" w:fill="FFFFFF"/>
        </w:rPr>
        <w:t>Spend per head (VSPH) of visitors to Penderyn visitor centres</w:t>
      </w:r>
    </w:p>
    <w:p w14:paraId="44BE5897" w14:textId="77777777" w:rsidR="00607BD7" w:rsidRPr="003B2D9A" w:rsidRDefault="00607BD7" w:rsidP="00523C32">
      <w:pPr>
        <w:spacing w:line="276" w:lineRule="auto"/>
        <w:jc w:val="both"/>
        <w:rPr>
          <w:rFonts w:cstheme="minorHAnsi"/>
          <w:shd w:val="clear" w:color="auto" w:fill="FFFFFF"/>
        </w:rPr>
      </w:pPr>
      <w:r w:rsidRPr="003B2D9A">
        <w:rPr>
          <w:rFonts w:cstheme="minorHAnsi"/>
          <w:shd w:val="clear" w:color="auto" w:fill="FFFFFF"/>
        </w:rPr>
        <w:t>These dependent variables will be influenced to varying degrees by the following independent variables:</w:t>
      </w:r>
    </w:p>
    <w:p w14:paraId="5559831A" w14:textId="77777777" w:rsidR="00607BD7" w:rsidRPr="003B2D9A" w:rsidRDefault="00607BD7" w:rsidP="00523C32">
      <w:pPr>
        <w:pStyle w:val="ListParagraph"/>
        <w:numPr>
          <w:ilvl w:val="1"/>
          <w:numId w:val="6"/>
        </w:numPr>
        <w:spacing w:line="276" w:lineRule="auto"/>
        <w:jc w:val="both"/>
        <w:rPr>
          <w:rFonts w:cstheme="minorHAnsi"/>
        </w:rPr>
      </w:pPr>
      <w:r w:rsidRPr="003B2D9A">
        <w:rPr>
          <w:rFonts w:cstheme="minorHAnsi"/>
        </w:rPr>
        <w:t>Season</w:t>
      </w:r>
    </w:p>
    <w:p w14:paraId="66076C03" w14:textId="77777777" w:rsidR="00607BD7" w:rsidRPr="003B2D9A" w:rsidRDefault="00607BD7" w:rsidP="00523C32">
      <w:pPr>
        <w:pStyle w:val="ListParagraph"/>
        <w:numPr>
          <w:ilvl w:val="1"/>
          <w:numId w:val="6"/>
        </w:numPr>
        <w:spacing w:line="276" w:lineRule="auto"/>
        <w:jc w:val="both"/>
        <w:rPr>
          <w:rFonts w:cstheme="minorHAnsi"/>
        </w:rPr>
      </w:pPr>
      <w:r w:rsidRPr="003B2D9A">
        <w:rPr>
          <w:rFonts w:cstheme="minorHAnsi"/>
        </w:rPr>
        <w:t>Weather conditions (both local and national)</w:t>
      </w:r>
    </w:p>
    <w:p w14:paraId="45C79AB0" w14:textId="77777777" w:rsidR="00607BD7" w:rsidRPr="003B2D9A" w:rsidRDefault="00607BD7" w:rsidP="00523C32">
      <w:pPr>
        <w:pStyle w:val="ListParagraph"/>
        <w:numPr>
          <w:ilvl w:val="1"/>
          <w:numId w:val="6"/>
        </w:numPr>
        <w:spacing w:line="276" w:lineRule="auto"/>
        <w:jc w:val="both"/>
        <w:rPr>
          <w:rFonts w:cstheme="minorHAnsi"/>
        </w:rPr>
      </w:pPr>
      <w:r w:rsidRPr="003B2D9A">
        <w:rPr>
          <w:rFonts w:cstheme="minorHAnsi"/>
        </w:rPr>
        <w:t>Access to facilities (including, but not limited to, transport and infrastructure; disability/additional needs access provisions; prohibitions on access [i.e. age restrictions])</w:t>
      </w:r>
    </w:p>
    <w:p w14:paraId="1586257C" w14:textId="77777777" w:rsidR="00607BD7" w:rsidRPr="003B2D9A" w:rsidRDefault="00607BD7" w:rsidP="00523C32">
      <w:pPr>
        <w:pStyle w:val="ListParagraph"/>
        <w:numPr>
          <w:ilvl w:val="1"/>
          <w:numId w:val="6"/>
        </w:numPr>
        <w:spacing w:line="276" w:lineRule="auto"/>
        <w:jc w:val="both"/>
        <w:rPr>
          <w:rFonts w:cstheme="minorHAnsi"/>
        </w:rPr>
      </w:pPr>
      <w:r w:rsidRPr="003B2D9A">
        <w:rPr>
          <w:rFonts w:cstheme="minorHAnsi"/>
        </w:rPr>
        <w:t>Economic environment (e.g. recession – people have competing needs for their money and optional and/or luxury experiences such as this are less likely to be a priority)</w:t>
      </w:r>
    </w:p>
    <w:p w14:paraId="5658CDD4" w14:textId="77777777" w:rsidR="00607BD7" w:rsidRPr="003B2D9A" w:rsidRDefault="00607BD7" w:rsidP="00523C32">
      <w:pPr>
        <w:pStyle w:val="ListParagraph"/>
        <w:numPr>
          <w:ilvl w:val="1"/>
          <w:numId w:val="6"/>
        </w:numPr>
        <w:spacing w:line="276" w:lineRule="auto"/>
        <w:jc w:val="both"/>
        <w:rPr>
          <w:rFonts w:cstheme="minorHAnsi"/>
        </w:rPr>
      </w:pPr>
      <w:r w:rsidRPr="003B2D9A">
        <w:rPr>
          <w:rFonts w:cstheme="minorHAnsi"/>
        </w:rPr>
        <w:t>Competition (from other attractions/event providers/activities)</w:t>
      </w:r>
    </w:p>
    <w:p w14:paraId="27DD184E" w14:textId="77777777" w:rsidR="00607BD7" w:rsidRPr="003B2D9A" w:rsidRDefault="00607BD7" w:rsidP="00523C32">
      <w:pPr>
        <w:pStyle w:val="ListParagraph"/>
        <w:numPr>
          <w:ilvl w:val="1"/>
          <w:numId w:val="6"/>
        </w:numPr>
        <w:spacing w:line="276" w:lineRule="auto"/>
        <w:jc w:val="both"/>
        <w:rPr>
          <w:rFonts w:cstheme="minorHAnsi"/>
        </w:rPr>
      </w:pPr>
      <w:r w:rsidRPr="003B2D9A">
        <w:rPr>
          <w:rFonts w:cstheme="minorHAnsi"/>
        </w:rPr>
        <w:t>Awareness/focus on attraction/brand (either organic or by third-party)</w:t>
      </w:r>
    </w:p>
    <w:p w14:paraId="67FA3D74" w14:textId="77777777" w:rsidR="00607BD7" w:rsidRPr="003B2D9A" w:rsidRDefault="00607BD7" w:rsidP="00523C32">
      <w:pPr>
        <w:pStyle w:val="ListParagraph"/>
        <w:numPr>
          <w:ilvl w:val="1"/>
          <w:numId w:val="6"/>
        </w:numPr>
        <w:spacing w:line="276" w:lineRule="auto"/>
        <w:jc w:val="both"/>
        <w:rPr>
          <w:rFonts w:cstheme="minorHAnsi"/>
        </w:rPr>
      </w:pPr>
      <w:r w:rsidRPr="003B2D9A">
        <w:rPr>
          <w:rFonts w:cstheme="minorHAnsi"/>
        </w:rPr>
        <w:t>Global/national/local events e.g., Covid-19 pandemic, football World Cup</w:t>
      </w:r>
    </w:p>
    <w:p w14:paraId="0614722C" w14:textId="1A6683E0" w:rsidR="00607BD7" w:rsidRPr="003B2D9A" w:rsidRDefault="00607BD7" w:rsidP="00523C32">
      <w:pPr>
        <w:pStyle w:val="ListParagraph"/>
        <w:numPr>
          <w:ilvl w:val="1"/>
          <w:numId w:val="6"/>
        </w:numPr>
        <w:spacing w:line="276" w:lineRule="auto"/>
        <w:jc w:val="both"/>
        <w:rPr>
          <w:rFonts w:cstheme="minorHAnsi"/>
        </w:rPr>
      </w:pPr>
      <w:r w:rsidRPr="003B2D9A">
        <w:rPr>
          <w:rFonts w:cstheme="minorHAnsi"/>
        </w:rPr>
        <w:lastRenderedPageBreak/>
        <w:t xml:space="preserve">Signage – no single entity is responsible for signage; the highways agency, Welsh Government or the local authority could be responsible dependant on type of carriageway; the location of the local authority – </w:t>
      </w:r>
      <w:r w:rsidR="00523C32" w:rsidRPr="003B2D9A">
        <w:rPr>
          <w:rFonts w:cstheme="minorHAnsi"/>
        </w:rPr>
        <w:t>whether</w:t>
      </w:r>
      <w:r w:rsidRPr="003B2D9A">
        <w:rPr>
          <w:rFonts w:cstheme="minorHAnsi"/>
        </w:rPr>
        <w:t xml:space="preserve"> it is in a busy tourist area – and its attitude/budgetary stance towards tourism investment are also relevant</w:t>
      </w:r>
    </w:p>
    <w:p w14:paraId="596CAC18" w14:textId="77777777" w:rsidR="00607BD7" w:rsidRPr="003B2D9A" w:rsidRDefault="00607BD7" w:rsidP="00523C32">
      <w:pPr>
        <w:pStyle w:val="ListParagraph"/>
        <w:numPr>
          <w:ilvl w:val="1"/>
          <w:numId w:val="6"/>
        </w:numPr>
        <w:spacing w:line="276" w:lineRule="auto"/>
        <w:jc w:val="both"/>
        <w:rPr>
          <w:rFonts w:cstheme="minorHAnsi"/>
        </w:rPr>
      </w:pPr>
      <w:r w:rsidRPr="003B2D9A">
        <w:rPr>
          <w:rFonts w:cstheme="minorHAnsi"/>
        </w:rPr>
        <w:t>Governmental support (both regional and national)</w:t>
      </w:r>
    </w:p>
    <w:p w14:paraId="3912F1B5" w14:textId="77777777" w:rsidR="00607BD7" w:rsidRPr="003B2D9A" w:rsidRDefault="00607BD7" w:rsidP="00523C32">
      <w:pPr>
        <w:pStyle w:val="ListParagraph"/>
        <w:numPr>
          <w:ilvl w:val="1"/>
          <w:numId w:val="6"/>
        </w:numPr>
        <w:spacing w:line="276" w:lineRule="auto"/>
        <w:jc w:val="both"/>
        <w:rPr>
          <w:rFonts w:cstheme="minorHAnsi"/>
        </w:rPr>
      </w:pPr>
      <w:r w:rsidRPr="003B2D9A">
        <w:rPr>
          <w:rFonts w:cstheme="minorHAnsi"/>
        </w:rPr>
        <w:t>Local/domestic/national strategy relating to tourism coordination/links with other providers</w:t>
      </w:r>
    </w:p>
    <w:p w14:paraId="26CF7031" w14:textId="5DA5D60E" w:rsidR="00607BD7" w:rsidRPr="003B2D9A" w:rsidRDefault="00607BD7" w:rsidP="00523C32">
      <w:pPr>
        <w:spacing w:line="276" w:lineRule="auto"/>
        <w:jc w:val="both"/>
        <w:rPr>
          <w:rFonts w:cstheme="minorHAnsi"/>
        </w:rPr>
      </w:pPr>
      <w:r w:rsidRPr="003B2D9A">
        <w:rPr>
          <w:rFonts w:cstheme="minorHAnsi"/>
        </w:rPr>
        <w:t xml:space="preserve">These independent variables will impact the number of visitors who attend, the quality of experience they receive and the perception they leave with </w:t>
      </w:r>
      <w:sdt>
        <w:sdtPr>
          <w:rPr>
            <w:rFonts w:cstheme="minorHAnsi"/>
          </w:rPr>
          <w:id w:val="238300596"/>
          <w:citation/>
        </w:sdtPr>
        <w:sdtEndPr/>
        <w:sdtContent>
          <w:r w:rsidRPr="003B2D9A">
            <w:rPr>
              <w:rFonts w:cstheme="minorHAnsi"/>
            </w:rPr>
            <w:fldChar w:fldCharType="begin"/>
          </w:r>
          <w:r w:rsidRPr="003B2D9A">
            <w:rPr>
              <w:rFonts w:cstheme="minorHAnsi"/>
            </w:rPr>
            <w:instrText xml:space="preserve"> CITATION Dav221 \l 2057 </w:instrText>
          </w:r>
          <w:r w:rsidRPr="003B2D9A">
            <w:rPr>
              <w:rFonts w:cstheme="minorHAnsi"/>
            </w:rPr>
            <w:fldChar w:fldCharType="separate"/>
          </w:r>
          <w:r w:rsidR="009D2B16" w:rsidRPr="009D2B16">
            <w:rPr>
              <w:rFonts w:cstheme="minorHAnsi"/>
              <w:noProof/>
            </w:rPr>
            <w:t>(Davies, 2022)</w:t>
          </w:r>
          <w:r w:rsidRPr="003B2D9A">
            <w:rPr>
              <w:rFonts w:cstheme="minorHAnsi"/>
            </w:rPr>
            <w:fldChar w:fldCharType="end"/>
          </w:r>
        </w:sdtContent>
      </w:sdt>
      <w:r w:rsidRPr="003B2D9A">
        <w:rPr>
          <w:rFonts w:cstheme="minorHAnsi"/>
        </w:rPr>
        <w:t>.</w:t>
      </w:r>
    </w:p>
    <w:p w14:paraId="7F0FCD8E" w14:textId="60EDE89F" w:rsidR="00607BD7" w:rsidRPr="003B2D9A" w:rsidRDefault="00607BD7" w:rsidP="00523C32">
      <w:pPr>
        <w:spacing w:line="276" w:lineRule="auto"/>
        <w:jc w:val="both"/>
        <w:rPr>
          <w:rFonts w:cstheme="minorHAnsi"/>
        </w:rPr>
      </w:pPr>
      <w:r w:rsidRPr="003B2D9A">
        <w:rPr>
          <w:rFonts w:cstheme="minorHAnsi"/>
        </w:rPr>
        <w:t xml:space="preserve">Some of these independent variables will have varying degrees of tangible impact at different times throughout the course of </w:t>
      </w:r>
      <w:r w:rsidR="00523C32" w:rsidRPr="003B2D9A">
        <w:rPr>
          <w:rFonts w:cstheme="minorHAnsi"/>
        </w:rPr>
        <w:t>a period</w:t>
      </w:r>
      <w:r w:rsidRPr="003B2D9A">
        <w:rPr>
          <w:rFonts w:cstheme="minorHAnsi"/>
        </w:rPr>
        <w:t xml:space="preserve"> e.g. seasons, weather conditions. </w:t>
      </w:r>
      <w:r w:rsidR="00523C32" w:rsidRPr="003B2D9A">
        <w:rPr>
          <w:rFonts w:cstheme="minorHAnsi"/>
        </w:rPr>
        <w:t>To</w:t>
      </w:r>
      <w:r w:rsidRPr="003B2D9A">
        <w:rPr>
          <w:rFonts w:cstheme="minorHAnsi"/>
        </w:rPr>
        <w:t xml:space="preserve"> mitigate as far as possible against the impact of such variables, data will be considered from discrete periods </w:t>
      </w:r>
      <w:r w:rsidR="00BE0353">
        <w:rPr>
          <w:rFonts w:cstheme="minorHAnsi"/>
        </w:rPr>
        <w:t>that include</w:t>
      </w:r>
      <w:r w:rsidRPr="003B2D9A">
        <w:rPr>
          <w:rFonts w:cstheme="minorHAnsi"/>
        </w:rPr>
        <w:t xml:space="preserve"> both a standard British summertime (traditional peak visitor period) and standard British wintertime (traditional off-peak visitor period). </w:t>
      </w:r>
      <w:r w:rsidR="00523C32" w:rsidRPr="003B2D9A">
        <w:rPr>
          <w:rFonts w:cstheme="minorHAnsi"/>
        </w:rPr>
        <w:t>To</w:t>
      </w:r>
      <w:r w:rsidRPr="003B2D9A">
        <w:rPr>
          <w:rFonts w:cstheme="minorHAnsi"/>
        </w:rPr>
        <w:t xml:space="preserve"> minimise impact by any independent variables, the discrete time periods selected for data gathering and interpretation have been reviewed to ensure that there were no anomalous events that would reflect in the key performance indicators being considered e.g. adverse weather events, pandemic, protracted road closures etc. However, given the value of the visitor centres upon brand growth is the primary focus of this study, these time periods may include events whereby the visitor attraction, the brand or the local area were being promoted, either by Penderyn or by a third-party e.g. local authority.</w:t>
      </w:r>
    </w:p>
    <w:p w14:paraId="1C4DC4E9" w14:textId="4C9CECD0" w:rsidR="00607BD7" w:rsidRPr="003B2D9A" w:rsidRDefault="00607BD7" w:rsidP="00523C32">
      <w:pPr>
        <w:spacing w:line="276" w:lineRule="auto"/>
        <w:jc w:val="both"/>
        <w:rPr>
          <w:rFonts w:cstheme="minorHAnsi"/>
        </w:rPr>
      </w:pPr>
      <w:r w:rsidRPr="003B2D9A">
        <w:rPr>
          <w:rFonts w:cstheme="minorHAnsi"/>
        </w:rPr>
        <w:t xml:space="preserve">The impact of the global Covid-19 pandemic upon the visitor experience at Penderyn is considered separately, in greater detail, in </w:t>
      </w:r>
      <w:r w:rsidR="00425C06">
        <w:rPr>
          <w:rFonts w:cstheme="minorHAnsi"/>
        </w:rPr>
        <w:t>sub</w:t>
      </w:r>
      <w:r w:rsidRPr="003B2D9A">
        <w:rPr>
          <w:rFonts w:cstheme="minorHAnsi"/>
        </w:rPr>
        <w:t xml:space="preserve">sections </w:t>
      </w:r>
      <w:r w:rsidR="00425C06">
        <w:rPr>
          <w:rFonts w:cstheme="minorHAnsi"/>
        </w:rPr>
        <w:t>2.5 and 3.3</w:t>
      </w:r>
      <w:r w:rsidRPr="003B2D9A">
        <w:rPr>
          <w:rFonts w:cstheme="minorHAnsi"/>
        </w:rPr>
        <w:t>.</w:t>
      </w:r>
    </w:p>
    <w:p w14:paraId="444A1749" w14:textId="77777777" w:rsidR="00607BD7" w:rsidRPr="003B2D9A" w:rsidRDefault="00607BD7" w:rsidP="00523C32">
      <w:pPr>
        <w:spacing w:line="276" w:lineRule="auto"/>
        <w:jc w:val="both"/>
        <w:rPr>
          <w:rFonts w:cstheme="minorHAnsi"/>
          <w:shd w:val="clear" w:color="auto" w:fill="FFFFFF"/>
        </w:rPr>
      </w:pPr>
    </w:p>
    <w:p w14:paraId="15517524" w14:textId="5E7D99CF" w:rsidR="00607BD7" w:rsidRPr="00523C32" w:rsidRDefault="00607BD7" w:rsidP="00523C32">
      <w:pPr>
        <w:pStyle w:val="Heading2"/>
        <w:spacing w:line="360" w:lineRule="auto"/>
        <w:rPr>
          <w:b/>
          <w:bCs/>
          <w:color w:val="auto"/>
          <w:sz w:val="24"/>
          <w:szCs w:val="24"/>
          <w:shd w:val="clear" w:color="auto" w:fill="FFFFFF"/>
        </w:rPr>
      </w:pPr>
      <w:bookmarkStart w:id="11" w:name="_Toc160624577"/>
      <w:r w:rsidRPr="00523C32">
        <w:rPr>
          <w:b/>
          <w:bCs/>
          <w:color w:val="auto"/>
          <w:sz w:val="24"/>
          <w:szCs w:val="24"/>
          <w:shd w:val="clear" w:color="auto" w:fill="FFFFFF"/>
        </w:rPr>
        <w:t>1.5</w:t>
      </w:r>
      <w:r w:rsidRPr="00523C32">
        <w:rPr>
          <w:b/>
          <w:bCs/>
          <w:color w:val="auto"/>
          <w:sz w:val="24"/>
          <w:szCs w:val="24"/>
          <w:shd w:val="clear" w:color="auto" w:fill="FFFFFF"/>
        </w:rPr>
        <w:tab/>
        <w:t>R</w:t>
      </w:r>
      <w:r w:rsidR="003B2D9A" w:rsidRPr="00523C32">
        <w:rPr>
          <w:b/>
          <w:bCs/>
          <w:color w:val="auto"/>
          <w:sz w:val="24"/>
          <w:szCs w:val="24"/>
          <w:shd w:val="clear" w:color="auto" w:fill="FFFFFF"/>
        </w:rPr>
        <w:t>ESEARCH BOUNDARIES</w:t>
      </w:r>
      <w:bookmarkEnd w:id="11"/>
    </w:p>
    <w:p w14:paraId="2D7151C5" w14:textId="77777777" w:rsidR="00607BD7" w:rsidRPr="003B2D9A" w:rsidRDefault="00607BD7" w:rsidP="00523C32">
      <w:pPr>
        <w:spacing w:line="276" w:lineRule="auto"/>
        <w:jc w:val="both"/>
        <w:rPr>
          <w:rFonts w:cstheme="minorHAnsi"/>
        </w:rPr>
      </w:pPr>
      <w:r w:rsidRPr="003B2D9A">
        <w:rPr>
          <w:rFonts w:cstheme="minorHAnsi"/>
        </w:rPr>
        <w:t>If the hypothesis proposed – that the inclusion of industrial tourism in a business strategy will positively impact upon brand growth – is to be researched and interrogated, with the results being applicable, it is critical to acknowledge the boundaries of that research, as outlined below.</w:t>
      </w:r>
    </w:p>
    <w:p w14:paraId="6F5ACA4E" w14:textId="19669C30" w:rsidR="00607BD7" w:rsidRPr="003B2D9A" w:rsidRDefault="00607BD7" w:rsidP="00523C32">
      <w:pPr>
        <w:pStyle w:val="ListParagraph"/>
        <w:numPr>
          <w:ilvl w:val="0"/>
          <w:numId w:val="7"/>
        </w:numPr>
        <w:spacing w:line="276" w:lineRule="auto"/>
        <w:jc w:val="both"/>
        <w:rPr>
          <w:rFonts w:cstheme="minorHAnsi"/>
        </w:rPr>
      </w:pPr>
      <w:r w:rsidRPr="003B2D9A">
        <w:rPr>
          <w:rFonts w:cstheme="minorHAnsi"/>
        </w:rPr>
        <w:t xml:space="preserve">Revenue data will be considered only in terms of direct revenue into the Penderyn Visitor Centres, with no weighting given to the level of gross or net profit attributed to these centres versus that attributed to the </w:t>
      </w:r>
      <w:r w:rsidR="00523C32">
        <w:rPr>
          <w:rFonts w:cstheme="minorHAnsi"/>
        </w:rPr>
        <w:t xml:space="preserve">total </w:t>
      </w:r>
      <w:r w:rsidR="00523C32" w:rsidRPr="003B2D9A">
        <w:rPr>
          <w:rFonts w:cstheme="minorHAnsi"/>
        </w:rPr>
        <w:t>business</w:t>
      </w:r>
      <w:r w:rsidRPr="003B2D9A">
        <w:rPr>
          <w:rFonts w:cstheme="minorHAnsi"/>
        </w:rPr>
        <w:t xml:space="preserve">. This is because profit cannot be considered a marker or indication of brand awareness or perception; Penderyn supplies through multi-channels e.g. direct to customer and through wholesalers (either domestic, or global via importers/distributors). Direct-to-customer sales attract a higher profitability rate than those sales made via other channels. A higher (or lower) profitability rate against revenue from one such channel from one </w:t>
      </w:r>
      <w:r w:rsidR="00523C32" w:rsidRPr="003B2D9A">
        <w:rPr>
          <w:rFonts w:cstheme="minorHAnsi"/>
        </w:rPr>
        <w:t>period</w:t>
      </w:r>
      <w:r w:rsidRPr="003B2D9A">
        <w:rPr>
          <w:rFonts w:cstheme="minorHAnsi"/>
        </w:rPr>
        <w:t xml:space="preserve"> versus another may indicate a change in the volume of bottles sold via that channel for that </w:t>
      </w:r>
      <w:r w:rsidR="00523C32" w:rsidRPr="003B2D9A">
        <w:rPr>
          <w:rFonts w:cstheme="minorHAnsi"/>
        </w:rPr>
        <w:t>period</w:t>
      </w:r>
      <w:r w:rsidRPr="003B2D9A">
        <w:rPr>
          <w:rFonts w:cstheme="minorHAnsi"/>
        </w:rPr>
        <w:t>, or a variation in margin and thus profit for that channel.</w:t>
      </w:r>
    </w:p>
    <w:p w14:paraId="09100714" w14:textId="77777777" w:rsidR="00607BD7" w:rsidRPr="003B2D9A" w:rsidRDefault="00607BD7" w:rsidP="00523C32">
      <w:pPr>
        <w:pStyle w:val="ListParagraph"/>
        <w:spacing w:line="276" w:lineRule="auto"/>
        <w:jc w:val="both"/>
        <w:rPr>
          <w:rFonts w:cstheme="minorHAnsi"/>
        </w:rPr>
      </w:pPr>
    </w:p>
    <w:p w14:paraId="46EC3DBE" w14:textId="77777777" w:rsidR="00607BD7" w:rsidRPr="003B2D9A" w:rsidRDefault="00607BD7" w:rsidP="00523C32">
      <w:pPr>
        <w:pStyle w:val="ListParagraph"/>
        <w:numPr>
          <w:ilvl w:val="0"/>
          <w:numId w:val="7"/>
        </w:numPr>
        <w:spacing w:line="276" w:lineRule="auto"/>
        <w:jc w:val="both"/>
        <w:rPr>
          <w:rFonts w:cstheme="minorHAnsi"/>
        </w:rPr>
      </w:pPr>
      <w:r w:rsidRPr="003B2D9A">
        <w:rPr>
          <w:rFonts w:cstheme="minorHAnsi"/>
        </w:rPr>
        <w:t xml:space="preserve">The study will not consider the impact of the manufacturing tourism strategy at Penderyn as a marker of brand awareness in direct comparison with similar concepts elsewhere in the industry, primarily in Scotland. A comparison such as this would be meaningless and without context; the Scotch whisky industry is c.100 years old, with the general whisky industry across the world older still. This is in stark contrast to the Welsh whisky, or even world whisky, </w:t>
      </w:r>
      <w:r w:rsidRPr="003B2D9A">
        <w:rPr>
          <w:rFonts w:cstheme="minorHAnsi"/>
        </w:rPr>
        <w:lastRenderedPageBreak/>
        <w:t>industries which are merely decades old and, as such, are very much in an embryonic state. As an additional note to this, no other whisky industry in the world benefits from devolved governmental funding or attention in the way that the Scotch whisky industry does.</w:t>
      </w:r>
    </w:p>
    <w:p w14:paraId="700973B1" w14:textId="77777777" w:rsidR="00607BD7" w:rsidRPr="003B2D9A" w:rsidRDefault="00607BD7" w:rsidP="00523C32">
      <w:pPr>
        <w:pStyle w:val="ListParagraph"/>
        <w:spacing w:line="276" w:lineRule="auto"/>
        <w:jc w:val="both"/>
        <w:rPr>
          <w:rFonts w:cstheme="minorHAnsi"/>
        </w:rPr>
      </w:pPr>
    </w:p>
    <w:p w14:paraId="35A84D0E" w14:textId="5532A7F0" w:rsidR="00607BD7" w:rsidRPr="003B2D9A" w:rsidRDefault="00607BD7" w:rsidP="00523C32">
      <w:pPr>
        <w:pStyle w:val="ListParagraph"/>
        <w:numPr>
          <w:ilvl w:val="0"/>
          <w:numId w:val="7"/>
        </w:numPr>
        <w:spacing w:line="276" w:lineRule="auto"/>
        <w:jc w:val="both"/>
        <w:rPr>
          <w:rFonts w:cstheme="minorHAnsi"/>
        </w:rPr>
      </w:pPr>
      <w:r w:rsidRPr="003B2D9A">
        <w:rPr>
          <w:rFonts w:cstheme="minorHAnsi"/>
        </w:rPr>
        <w:t xml:space="preserve">Feedback and data relating to brand awareness and brand perception originating from corporate or business visitors will be disregarded; these visitors are ‘likely to be visiting the premises at the invite of a member of the technical or sales teams, and thus are likely to have a relatively high-pre-existing level of brand awareness. Whilst industrial tourism in regards to these visitors is still equally as important as it is for non-corporate visitors, such visitors are marketed to from a different perspective and so it would be inaccurate to include their feedback’ </w:t>
      </w:r>
      <w:sdt>
        <w:sdtPr>
          <w:rPr>
            <w:rFonts w:cstheme="minorHAnsi"/>
          </w:rPr>
          <w:id w:val="621430063"/>
          <w:citation/>
        </w:sdtPr>
        <w:sdtEndPr/>
        <w:sdtContent>
          <w:r w:rsidRPr="003B2D9A">
            <w:rPr>
              <w:rFonts w:cstheme="minorHAnsi"/>
            </w:rPr>
            <w:fldChar w:fldCharType="begin"/>
          </w:r>
          <w:r w:rsidRPr="003B2D9A">
            <w:rPr>
              <w:rFonts w:cstheme="minorHAnsi"/>
            </w:rPr>
            <w:instrText xml:space="preserve"> CITATION Dav221 \l 2057 </w:instrText>
          </w:r>
          <w:r w:rsidRPr="003B2D9A">
            <w:rPr>
              <w:rFonts w:cstheme="minorHAnsi"/>
            </w:rPr>
            <w:fldChar w:fldCharType="separate"/>
          </w:r>
          <w:r w:rsidR="009D2B16" w:rsidRPr="009D2B16">
            <w:rPr>
              <w:rFonts w:cstheme="minorHAnsi"/>
              <w:noProof/>
            </w:rPr>
            <w:t>(Davies, 2022)</w:t>
          </w:r>
          <w:r w:rsidRPr="003B2D9A">
            <w:rPr>
              <w:rFonts w:cstheme="minorHAnsi"/>
            </w:rPr>
            <w:fldChar w:fldCharType="end"/>
          </w:r>
        </w:sdtContent>
      </w:sdt>
      <w:r w:rsidRPr="003B2D9A">
        <w:rPr>
          <w:rFonts w:cstheme="minorHAnsi"/>
        </w:rPr>
        <w:t>.</w:t>
      </w:r>
    </w:p>
    <w:p w14:paraId="14A0E064" w14:textId="77777777" w:rsidR="00607BD7" w:rsidRPr="003B2D9A" w:rsidRDefault="00607BD7" w:rsidP="00523C32">
      <w:pPr>
        <w:pStyle w:val="ListParagraph"/>
        <w:spacing w:line="276" w:lineRule="auto"/>
        <w:jc w:val="both"/>
        <w:rPr>
          <w:rFonts w:cstheme="minorHAnsi"/>
        </w:rPr>
      </w:pPr>
    </w:p>
    <w:p w14:paraId="15073940" w14:textId="3DF579B5" w:rsidR="00607BD7" w:rsidRPr="003B2D9A" w:rsidRDefault="00607BD7" w:rsidP="00523C32">
      <w:pPr>
        <w:pStyle w:val="ListParagraph"/>
        <w:numPr>
          <w:ilvl w:val="0"/>
          <w:numId w:val="7"/>
        </w:numPr>
        <w:spacing w:line="276" w:lineRule="auto"/>
        <w:jc w:val="both"/>
        <w:rPr>
          <w:rFonts w:cstheme="minorHAnsi"/>
        </w:rPr>
      </w:pPr>
      <w:r w:rsidRPr="003B2D9A">
        <w:rPr>
          <w:rFonts w:cstheme="minorHAnsi"/>
        </w:rPr>
        <w:t xml:space="preserve">Data relating to the 2020 and 2021 years will be scrutinised carefully, and interrogated in isolation owing to the effects of the global Covid-19 pandemic. Data and feedback will not be disregarded entirely, due to Penderyn’s efforts to pivot its industrial tourism strategy with online offerings (covered more fully in section </w:t>
      </w:r>
      <w:r w:rsidR="00425C06">
        <w:rPr>
          <w:rFonts w:cstheme="minorHAnsi"/>
        </w:rPr>
        <w:t>3.3</w:t>
      </w:r>
      <w:r w:rsidRPr="003B2D9A">
        <w:rPr>
          <w:rFonts w:cstheme="minorHAnsi"/>
        </w:rPr>
        <w:t>), however, visitor numbers and visitor spend per head figures will have been impacted severely by the global, domestic and regional travel restrictions. As a result, the impact upon brand awareness should be reviewed carefully. Additionally, it must be remembered thar prior to 2021, the only experiential tourism experience at Penderyn was at its Brecon Beacons centre, as the Swansea and Llandudno sites were not yet open to the public.</w:t>
      </w:r>
    </w:p>
    <w:p w14:paraId="70F25922" w14:textId="77777777" w:rsidR="00607BD7" w:rsidRPr="003B2D9A" w:rsidRDefault="00607BD7" w:rsidP="00523C32">
      <w:pPr>
        <w:pStyle w:val="ListParagraph"/>
        <w:spacing w:line="276" w:lineRule="auto"/>
        <w:rPr>
          <w:rFonts w:cstheme="minorHAnsi"/>
        </w:rPr>
      </w:pPr>
    </w:p>
    <w:p w14:paraId="1A0C9D11" w14:textId="1E71E5FF" w:rsidR="00607BD7" w:rsidRPr="003B2D9A" w:rsidRDefault="00607BD7" w:rsidP="00523C32">
      <w:pPr>
        <w:pStyle w:val="ListParagraph"/>
        <w:numPr>
          <w:ilvl w:val="0"/>
          <w:numId w:val="7"/>
        </w:numPr>
        <w:spacing w:line="276" w:lineRule="auto"/>
        <w:jc w:val="both"/>
        <w:rPr>
          <w:rFonts w:cstheme="minorHAnsi"/>
        </w:rPr>
      </w:pPr>
      <w:r w:rsidRPr="003B2D9A">
        <w:rPr>
          <w:rFonts w:cstheme="minorHAnsi"/>
        </w:rPr>
        <w:t xml:space="preserve">When considering data originating from Penderyn in the context of such data from the wider industry, specifically the Scotch whisky industry, it is important to note that Scotland implemented minimum unit pricing (MUP) in mid-2018 – to date, Wales has not implemented such legislation. MUP is currently set at £0.50 per unit in Scotland, with a standard 70cl bottle of 40% ABV Scotch whisky containing 28 units; whilst it would be unheard of to see a bottle of Single Malt Scotch Whisky on sale for £14, the product is indirectly affected by MUP as consumers have seen the price gap between entry level and own brand whiskies versus more premium malts narrow as a result of MUP </w:t>
      </w:r>
      <w:sdt>
        <w:sdtPr>
          <w:rPr>
            <w:rFonts w:cstheme="minorHAnsi"/>
          </w:rPr>
          <w:id w:val="871422863"/>
          <w:citation/>
        </w:sdtPr>
        <w:sdtEndPr/>
        <w:sdtContent>
          <w:r w:rsidRPr="003B2D9A">
            <w:rPr>
              <w:rFonts w:cstheme="minorHAnsi"/>
            </w:rPr>
            <w:fldChar w:fldCharType="begin"/>
          </w:r>
          <w:r w:rsidRPr="003B2D9A">
            <w:rPr>
              <w:rFonts w:cstheme="minorHAnsi"/>
            </w:rPr>
            <w:instrText xml:space="preserve"> CITATION Woo16 \l 2057 </w:instrText>
          </w:r>
          <w:r w:rsidRPr="003B2D9A">
            <w:rPr>
              <w:rFonts w:cstheme="minorHAnsi"/>
            </w:rPr>
            <w:fldChar w:fldCharType="separate"/>
          </w:r>
          <w:r w:rsidR="009D2B16" w:rsidRPr="009D2B16">
            <w:rPr>
              <w:rFonts w:cstheme="minorHAnsi"/>
              <w:noProof/>
            </w:rPr>
            <w:t>(Woodard, 2016)</w:t>
          </w:r>
          <w:r w:rsidRPr="003B2D9A">
            <w:rPr>
              <w:rFonts w:cstheme="minorHAnsi"/>
            </w:rPr>
            <w:fldChar w:fldCharType="end"/>
          </w:r>
        </w:sdtContent>
      </w:sdt>
      <w:r w:rsidRPr="003B2D9A">
        <w:rPr>
          <w:rFonts w:cstheme="minorHAnsi"/>
        </w:rPr>
        <w:t>.</w:t>
      </w:r>
    </w:p>
    <w:p w14:paraId="645639AE" w14:textId="77777777" w:rsidR="00607BD7" w:rsidRPr="00523C32" w:rsidRDefault="00607BD7" w:rsidP="00523C32">
      <w:pPr>
        <w:spacing w:line="276" w:lineRule="auto"/>
        <w:jc w:val="both"/>
        <w:rPr>
          <w:rFonts w:cstheme="minorHAnsi"/>
          <w:shd w:val="clear" w:color="auto" w:fill="FFFFFF"/>
        </w:rPr>
      </w:pPr>
    </w:p>
    <w:p w14:paraId="6EBEC7F1" w14:textId="37CDA8D3" w:rsidR="00607BD7" w:rsidRPr="00523C32" w:rsidRDefault="00523C32" w:rsidP="00523C32">
      <w:pPr>
        <w:pStyle w:val="Heading2"/>
        <w:spacing w:line="360" w:lineRule="auto"/>
        <w:rPr>
          <w:b/>
          <w:bCs/>
          <w:color w:val="auto"/>
          <w:sz w:val="24"/>
          <w:szCs w:val="24"/>
          <w:shd w:val="clear" w:color="auto" w:fill="FFFFFF"/>
        </w:rPr>
      </w:pPr>
      <w:bookmarkStart w:id="12" w:name="_Toc160624578"/>
      <w:r w:rsidRPr="00523C32">
        <w:rPr>
          <w:b/>
          <w:bCs/>
          <w:color w:val="auto"/>
          <w:sz w:val="24"/>
          <w:szCs w:val="24"/>
          <w:shd w:val="clear" w:color="auto" w:fill="FFFFFF"/>
        </w:rPr>
        <w:t>1.6</w:t>
      </w:r>
      <w:r w:rsidRPr="00523C32">
        <w:rPr>
          <w:b/>
          <w:bCs/>
          <w:color w:val="auto"/>
          <w:sz w:val="24"/>
          <w:szCs w:val="24"/>
          <w:shd w:val="clear" w:color="auto" w:fill="FFFFFF"/>
        </w:rPr>
        <w:tab/>
      </w:r>
      <w:r w:rsidR="003B2D9A" w:rsidRPr="00523C32">
        <w:rPr>
          <w:b/>
          <w:bCs/>
          <w:color w:val="auto"/>
          <w:sz w:val="24"/>
          <w:szCs w:val="24"/>
          <w:shd w:val="clear" w:color="auto" w:fill="FFFFFF"/>
        </w:rPr>
        <w:t>RESEARCH ETHICS</w:t>
      </w:r>
      <w:bookmarkEnd w:id="12"/>
    </w:p>
    <w:p w14:paraId="5E58321C" w14:textId="4A4A15CB" w:rsidR="00607BD7" w:rsidRPr="003B2D9A" w:rsidRDefault="00607BD7" w:rsidP="00523C32">
      <w:pPr>
        <w:spacing w:line="276" w:lineRule="auto"/>
        <w:jc w:val="both"/>
        <w:rPr>
          <w:rFonts w:cstheme="minorHAnsi"/>
        </w:rPr>
      </w:pPr>
      <w:r w:rsidRPr="003B2D9A">
        <w:rPr>
          <w:rFonts w:cstheme="minorHAnsi"/>
        </w:rPr>
        <w:t>All data gathered in the preparation of this study will be anonymised so that no individual can be identified from it. Contributions given by way of positive or negative qualitative feedback will not be rewarded or discounted, respectively.</w:t>
      </w:r>
    </w:p>
    <w:p w14:paraId="53348685" w14:textId="77A8D5C6" w:rsidR="00607BD7" w:rsidRDefault="00607BD7" w:rsidP="00523C32">
      <w:pPr>
        <w:spacing w:line="276" w:lineRule="auto"/>
        <w:jc w:val="both"/>
        <w:rPr>
          <w:rFonts w:cstheme="minorHAnsi"/>
        </w:rPr>
      </w:pPr>
    </w:p>
    <w:p w14:paraId="3F0FE920" w14:textId="77777777" w:rsidR="00221290" w:rsidRDefault="00221290" w:rsidP="00523C32">
      <w:pPr>
        <w:spacing w:line="276" w:lineRule="auto"/>
        <w:jc w:val="both"/>
        <w:rPr>
          <w:rFonts w:cstheme="minorHAnsi"/>
        </w:rPr>
      </w:pPr>
    </w:p>
    <w:p w14:paraId="2DEF5BD3" w14:textId="77777777" w:rsidR="00221290" w:rsidRDefault="00221290" w:rsidP="00523C32">
      <w:pPr>
        <w:spacing w:line="276" w:lineRule="auto"/>
        <w:jc w:val="both"/>
        <w:rPr>
          <w:rFonts w:cstheme="minorHAnsi"/>
        </w:rPr>
      </w:pPr>
    </w:p>
    <w:p w14:paraId="23F9B9C0" w14:textId="77777777" w:rsidR="00221290" w:rsidRDefault="00221290" w:rsidP="00523C32">
      <w:pPr>
        <w:spacing w:line="276" w:lineRule="auto"/>
        <w:jc w:val="both"/>
        <w:rPr>
          <w:rFonts w:cstheme="minorHAnsi"/>
        </w:rPr>
      </w:pPr>
    </w:p>
    <w:p w14:paraId="6D205209" w14:textId="77777777" w:rsidR="00221290" w:rsidRPr="003B2D9A" w:rsidRDefault="00221290" w:rsidP="00523C32">
      <w:pPr>
        <w:spacing w:line="276" w:lineRule="auto"/>
        <w:jc w:val="both"/>
        <w:rPr>
          <w:rFonts w:cstheme="minorHAnsi"/>
        </w:rPr>
      </w:pPr>
    </w:p>
    <w:p w14:paraId="50FF1923" w14:textId="072E8742" w:rsidR="00607BD7" w:rsidRPr="00523C32" w:rsidRDefault="00607BD7" w:rsidP="00523C32">
      <w:pPr>
        <w:pStyle w:val="Heading2"/>
        <w:spacing w:line="360" w:lineRule="auto"/>
        <w:rPr>
          <w:b/>
          <w:bCs/>
          <w:color w:val="auto"/>
          <w:sz w:val="24"/>
          <w:szCs w:val="24"/>
        </w:rPr>
      </w:pPr>
      <w:bookmarkStart w:id="13" w:name="_Toc160624579"/>
      <w:r w:rsidRPr="00523C32">
        <w:rPr>
          <w:b/>
          <w:bCs/>
          <w:color w:val="auto"/>
          <w:sz w:val="24"/>
          <w:szCs w:val="24"/>
        </w:rPr>
        <w:lastRenderedPageBreak/>
        <w:t>2.0</w:t>
      </w:r>
      <w:r w:rsidRPr="00523C32">
        <w:rPr>
          <w:b/>
          <w:bCs/>
          <w:color w:val="auto"/>
          <w:sz w:val="24"/>
          <w:szCs w:val="24"/>
        </w:rPr>
        <w:tab/>
      </w:r>
      <w:r w:rsidR="003B2D9A" w:rsidRPr="00523C32">
        <w:rPr>
          <w:b/>
          <w:bCs/>
          <w:color w:val="auto"/>
          <w:sz w:val="24"/>
          <w:szCs w:val="24"/>
        </w:rPr>
        <w:t>LITERATURE REVIEW</w:t>
      </w:r>
      <w:bookmarkEnd w:id="13"/>
    </w:p>
    <w:p w14:paraId="586DBB23" w14:textId="25636925" w:rsidR="00607BD7" w:rsidRPr="003B2D9A" w:rsidRDefault="00607BD7" w:rsidP="00523C32">
      <w:pPr>
        <w:spacing w:line="276" w:lineRule="auto"/>
        <w:jc w:val="both"/>
        <w:rPr>
          <w:rFonts w:cstheme="minorHAnsi"/>
        </w:rPr>
      </w:pPr>
      <w:r w:rsidRPr="003B2D9A">
        <w:rPr>
          <w:rFonts w:cstheme="minorHAnsi"/>
        </w:rPr>
        <w:t xml:space="preserve">The concepts of ‘industrial tourism’ and ‘manufacturing tourism’ can perhaps be considered interchangeably, both sitting within the realms of ‘experiential tourism’. </w:t>
      </w:r>
      <w:sdt>
        <w:sdtPr>
          <w:rPr>
            <w:rFonts w:cstheme="minorHAnsi"/>
          </w:rPr>
          <w:id w:val="67080323"/>
          <w:citation/>
        </w:sdtPr>
        <w:sdtEndPr/>
        <w:sdtContent>
          <w:r w:rsidRPr="003B2D9A">
            <w:rPr>
              <w:rFonts w:cstheme="minorHAnsi"/>
            </w:rPr>
            <w:fldChar w:fldCharType="begin"/>
          </w:r>
          <w:r w:rsidRPr="003B2D9A">
            <w:rPr>
              <w:rFonts w:cstheme="minorHAnsi"/>
            </w:rPr>
            <w:instrText xml:space="preserve"> CITATION Orw02 \l 2057 </w:instrText>
          </w:r>
          <w:r w:rsidRPr="003B2D9A">
            <w:rPr>
              <w:rFonts w:cstheme="minorHAnsi"/>
            </w:rPr>
            <w:fldChar w:fldCharType="separate"/>
          </w:r>
          <w:r w:rsidR="009D2B16" w:rsidRPr="009D2B16">
            <w:rPr>
              <w:rFonts w:cstheme="minorHAnsi"/>
              <w:noProof/>
            </w:rPr>
            <w:t>(Mitchell &amp; Orwig, 2002)</w:t>
          </w:r>
          <w:r w:rsidRPr="003B2D9A">
            <w:rPr>
              <w:rFonts w:cstheme="minorHAnsi"/>
            </w:rPr>
            <w:fldChar w:fldCharType="end"/>
          </w:r>
        </w:sdtContent>
      </w:sdt>
      <w:r w:rsidRPr="003B2D9A">
        <w:rPr>
          <w:rFonts w:cstheme="minorHAnsi"/>
        </w:rPr>
        <w:t xml:space="preserve"> scrutinised the adoption, and effectiveness, of industrial tourism as a tool for brand building and revenue generation; aside from the obvious potential of an additional revenue stream and brand education benefits of the use of industrial tourism centres (such as at Penderyn), there are </w:t>
      </w:r>
      <w:r w:rsidR="00523C32" w:rsidRPr="003B2D9A">
        <w:rPr>
          <w:rFonts w:cstheme="minorHAnsi"/>
        </w:rPr>
        <w:t>several</w:t>
      </w:r>
      <w:r w:rsidRPr="003B2D9A">
        <w:rPr>
          <w:rFonts w:cstheme="minorHAnsi"/>
        </w:rPr>
        <w:t xml:space="preserve"> secondary positive outcomes possible; a potential direct pool of willing candidates for recruitment, the link to connect with stakeholders and so on. Additionally, the author cites the opportunity for transparency and thus, a strong sense of trust, between the manufacturer and the visitor, by letting them see ‘behind the scenes’.</w:t>
      </w:r>
    </w:p>
    <w:p w14:paraId="04B101B7" w14:textId="12A70241" w:rsidR="00607BD7" w:rsidRPr="003B2D9A" w:rsidRDefault="00607BD7" w:rsidP="00523C32">
      <w:pPr>
        <w:spacing w:line="276" w:lineRule="auto"/>
        <w:jc w:val="both"/>
        <w:rPr>
          <w:rFonts w:cstheme="minorHAnsi"/>
        </w:rPr>
      </w:pPr>
      <w:r w:rsidRPr="003B2D9A">
        <w:rPr>
          <w:rFonts w:cstheme="minorHAnsi"/>
        </w:rPr>
        <w:t xml:space="preserve">The contribution of industrial tourism towards brand equity was analysed by </w:t>
      </w:r>
      <w:sdt>
        <w:sdtPr>
          <w:rPr>
            <w:rFonts w:cstheme="minorHAnsi"/>
          </w:rPr>
          <w:id w:val="-273486214"/>
          <w:citation/>
        </w:sdtPr>
        <w:sdtEndPr/>
        <w:sdtContent>
          <w:r w:rsidRPr="003B2D9A">
            <w:rPr>
              <w:rFonts w:cstheme="minorHAnsi"/>
            </w:rPr>
            <w:fldChar w:fldCharType="begin"/>
          </w:r>
          <w:r w:rsidRPr="003B2D9A">
            <w:rPr>
              <w:rFonts w:cstheme="minorHAnsi"/>
            </w:rPr>
            <w:instrText xml:space="preserve"> CITATION Hsu17 \l 2057 </w:instrText>
          </w:r>
          <w:r w:rsidRPr="003B2D9A">
            <w:rPr>
              <w:rFonts w:cstheme="minorHAnsi"/>
            </w:rPr>
            <w:fldChar w:fldCharType="separate"/>
          </w:r>
          <w:r w:rsidR="009D2B16" w:rsidRPr="009D2B16">
            <w:rPr>
              <w:rFonts w:cstheme="minorHAnsi"/>
              <w:noProof/>
            </w:rPr>
            <w:t>(Chow, et al., 2017)</w:t>
          </w:r>
          <w:r w:rsidRPr="003B2D9A">
            <w:rPr>
              <w:rFonts w:cstheme="minorHAnsi"/>
            </w:rPr>
            <w:fldChar w:fldCharType="end"/>
          </w:r>
        </w:sdtContent>
      </w:sdt>
      <w:r w:rsidRPr="003B2D9A">
        <w:rPr>
          <w:rFonts w:cstheme="minorHAnsi"/>
        </w:rPr>
        <w:t xml:space="preserve">. </w:t>
      </w:r>
      <w:sdt>
        <w:sdtPr>
          <w:rPr>
            <w:rFonts w:cstheme="minorHAnsi"/>
          </w:rPr>
          <w:id w:val="1976869787"/>
          <w:citation/>
        </w:sdtPr>
        <w:sdtEndPr/>
        <w:sdtContent>
          <w:r w:rsidRPr="003B2D9A">
            <w:rPr>
              <w:rFonts w:cstheme="minorHAnsi"/>
            </w:rPr>
            <w:fldChar w:fldCharType="begin"/>
          </w:r>
          <w:r w:rsidRPr="003B2D9A">
            <w:rPr>
              <w:rFonts w:cstheme="minorHAnsi"/>
            </w:rPr>
            <w:instrText xml:space="preserve"> CITATION Pik07 \l 2057 </w:instrText>
          </w:r>
          <w:r w:rsidRPr="003B2D9A">
            <w:rPr>
              <w:rFonts w:cstheme="minorHAnsi"/>
            </w:rPr>
            <w:fldChar w:fldCharType="separate"/>
          </w:r>
          <w:r w:rsidR="009D2B16" w:rsidRPr="009D2B16">
            <w:rPr>
              <w:rFonts w:cstheme="minorHAnsi"/>
              <w:noProof/>
            </w:rPr>
            <w:t>(Pike, 2007)</w:t>
          </w:r>
          <w:r w:rsidRPr="003B2D9A">
            <w:rPr>
              <w:rFonts w:cstheme="minorHAnsi"/>
            </w:rPr>
            <w:fldChar w:fldCharType="end"/>
          </w:r>
        </w:sdtContent>
      </w:sdt>
      <w:r w:rsidRPr="003B2D9A">
        <w:rPr>
          <w:rFonts w:cstheme="minorHAnsi"/>
        </w:rPr>
        <w:t xml:space="preserve"> and </w:t>
      </w:r>
      <w:sdt>
        <w:sdtPr>
          <w:rPr>
            <w:rFonts w:cstheme="minorHAnsi"/>
          </w:rPr>
          <w:id w:val="82112590"/>
          <w:citation/>
        </w:sdtPr>
        <w:sdtEndPr/>
        <w:sdtContent>
          <w:r w:rsidRPr="003B2D9A">
            <w:rPr>
              <w:rFonts w:cstheme="minorHAnsi"/>
            </w:rPr>
            <w:fldChar w:fldCharType="begin"/>
          </w:r>
          <w:r w:rsidRPr="003B2D9A">
            <w:rPr>
              <w:rFonts w:cstheme="minorHAnsi"/>
            </w:rPr>
            <w:instrText xml:space="preserve"> CITATION Kot13 \l 2057 </w:instrText>
          </w:r>
          <w:r w:rsidRPr="003B2D9A">
            <w:rPr>
              <w:rFonts w:cstheme="minorHAnsi"/>
            </w:rPr>
            <w:fldChar w:fldCharType="separate"/>
          </w:r>
          <w:r w:rsidR="009D2B16" w:rsidRPr="009D2B16">
            <w:rPr>
              <w:rFonts w:cstheme="minorHAnsi"/>
              <w:noProof/>
            </w:rPr>
            <w:t>(Kotler, et al., 2013)</w:t>
          </w:r>
          <w:r w:rsidRPr="003B2D9A">
            <w:rPr>
              <w:rFonts w:cstheme="minorHAnsi"/>
            </w:rPr>
            <w:fldChar w:fldCharType="end"/>
          </w:r>
        </w:sdtContent>
      </w:sdt>
      <w:r w:rsidRPr="003B2D9A">
        <w:rPr>
          <w:rFonts w:cstheme="minorHAnsi"/>
        </w:rPr>
        <w:t xml:space="preserve"> define brand equity as being the perceived value of a brand, outside of a products monetary value, and linked to the emotions and experiences that a consumer associates with that brand. This can be distilled down to the difference between the value of a branded product, versus the value of that product without the brand name associated with it </w:t>
      </w:r>
      <w:sdt>
        <w:sdtPr>
          <w:rPr>
            <w:rFonts w:cstheme="minorHAnsi"/>
          </w:rPr>
          <w:id w:val="1908346214"/>
          <w:citation/>
        </w:sdtPr>
        <w:sdtEndPr/>
        <w:sdtContent>
          <w:r w:rsidRPr="003B2D9A">
            <w:rPr>
              <w:rFonts w:cstheme="minorHAnsi"/>
            </w:rPr>
            <w:fldChar w:fldCharType="begin"/>
          </w:r>
          <w:r w:rsidRPr="003B2D9A">
            <w:rPr>
              <w:rFonts w:cstheme="minorHAnsi"/>
            </w:rPr>
            <w:instrText xml:space="preserve"> CITATION Ros15 \l 2057 </w:instrText>
          </w:r>
          <w:r w:rsidRPr="003B2D9A">
            <w:rPr>
              <w:rFonts w:cstheme="minorHAnsi"/>
            </w:rPr>
            <w:fldChar w:fldCharType="separate"/>
          </w:r>
          <w:r w:rsidR="009D2B16" w:rsidRPr="009D2B16">
            <w:rPr>
              <w:rFonts w:cstheme="minorHAnsi"/>
              <w:noProof/>
            </w:rPr>
            <w:t>(Rosenbaum-Elliott, et al., 2015)</w:t>
          </w:r>
          <w:r w:rsidRPr="003B2D9A">
            <w:rPr>
              <w:rFonts w:cstheme="minorHAnsi"/>
            </w:rPr>
            <w:fldChar w:fldCharType="end"/>
          </w:r>
        </w:sdtContent>
      </w:sdt>
      <w:r w:rsidRPr="003B2D9A">
        <w:rPr>
          <w:rFonts w:cstheme="minorHAnsi"/>
        </w:rPr>
        <w:t xml:space="preserve">. </w:t>
      </w:r>
      <w:sdt>
        <w:sdtPr>
          <w:rPr>
            <w:rFonts w:cstheme="minorHAnsi"/>
          </w:rPr>
          <w:id w:val="848215762"/>
          <w:citation/>
        </w:sdtPr>
        <w:sdtEndPr/>
        <w:sdtContent>
          <w:r w:rsidRPr="003B2D9A">
            <w:rPr>
              <w:rFonts w:cstheme="minorHAnsi"/>
            </w:rPr>
            <w:fldChar w:fldCharType="begin"/>
          </w:r>
          <w:r w:rsidRPr="003B2D9A">
            <w:rPr>
              <w:rFonts w:cstheme="minorHAnsi"/>
            </w:rPr>
            <w:instrText xml:space="preserve"> CITATION Hsu17 \l 2057 </w:instrText>
          </w:r>
          <w:r w:rsidRPr="003B2D9A">
            <w:rPr>
              <w:rFonts w:cstheme="minorHAnsi"/>
            </w:rPr>
            <w:fldChar w:fldCharType="separate"/>
          </w:r>
          <w:r w:rsidR="009D2B16" w:rsidRPr="009D2B16">
            <w:rPr>
              <w:rFonts w:cstheme="minorHAnsi"/>
              <w:noProof/>
            </w:rPr>
            <w:t>(Chow, et al., 2017)</w:t>
          </w:r>
          <w:r w:rsidRPr="003B2D9A">
            <w:rPr>
              <w:rFonts w:cstheme="minorHAnsi"/>
            </w:rPr>
            <w:fldChar w:fldCharType="end"/>
          </w:r>
        </w:sdtContent>
      </w:sdt>
      <w:r w:rsidRPr="003B2D9A">
        <w:rPr>
          <w:rFonts w:cstheme="minorHAnsi"/>
        </w:rPr>
        <w:t xml:space="preserve"> recognises that, when implemented correctly and by catering for all demographics, the use of visitor centres as engagement tools can be lucrative; engagement with the brand is driven and reinforced at multiple steps through the experience via ‘logo, culture and souvenirs…and enhance brand associations’.</w:t>
      </w:r>
    </w:p>
    <w:p w14:paraId="159B6E59" w14:textId="07EA9BBB" w:rsidR="00607BD7" w:rsidRPr="003B2D9A" w:rsidRDefault="00AC4943" w:rsidP="00523C32">
      <w:pPr>
        <w:spacing w:line="276" w:lineRule="auto"/>
        <w:jc w:val="both"/>
        <w:rPr>
          <w:rFonts w:cstheme="minorHAnsi"/>
        </w:rPr>
      </w:pPr>
      <w:sdt>
        <w:sdtPr>
          <w:rPr>
            <w:rFonts w:cstheme="minorHAnsi"/>
          </w:rPr>
          <w:id w:val="1126738460"/>
          <w:citation/>
        </w:sdtPr>
        <w:sdtEndPr/>
        <w:sdtContent>
          <w:r w:rsidR="00607BD7" w:rsidRPr="003B2D9A">
            <w:rPr>
              <w:rFonts w:cstheme="minorHAnsi"/>
            </w:rPr>
            <w:fldChar w:fldCharType="begin"/>
          </w:r>
          <w:r w:rsidR="00607BD7" w:rsidRPr="003B2D9A">
            <w:rPr>
              <w:rFonts w:cstheme="minorHAnsi"/>
            </w:rPr>
            <w:instrText xml:space="preserve"> CITATION Hsu17 \l 2057 </w:instrText>
          </w:r>
          <w:r w:rsidR="00607BD7" w:rsidRPr="003B2D9A">
            <w:rPr>
              <w:rFonts w:cstheme="minorHAnsi"/>
            </w:rPr>
            <w:fldChar w:fldCharType="separate"/>
          </w:r>
          <w:r w:rsidR="009D2B16" w:rsidRPr="009D2B16">
            <w:rPr>
              <w:rFonts w:cstheme="minorHAnsi"/>
              <w:noProof/>
            </w:rPr>
            <w:t>(Chow, et al., 2017)</w:t>
          </w:r>
          <w:r w:rsidR="00607BD7" w:rsidRPr="003B2D9A">
            <w:rPr>
              <w:rFonts w:cstheme="minorHAnsi"/>
            </w:rPr>
            <w:fldChar w:fldCharType="end"/>
          </w:r>
        </w:sdtContent>
      </w:sdt>
      <w:r w:rsidR="00607BD7" w:rsidRPr="003B2D9A">
        <w:rPr>
          <w:rFonts w:cstheme="minorHAnsi"/>
        </w:rPr>
        <w:t xml:space="preserve"> recognises that manufacturing tourism is established across the world, in both developed and developing countries. However, the authors also acknowledge that there are limitations to the existing research around this topic, in that </w:t>
      </w:r>
      <w:r w:rsidR="00523C32" w:rsidRPr="003B2D9A">
        <w:rPr>
          <w:rFonts w:cstheme="minorHAnsi"/>
        </w:rPr>
        <w:t>most of</w:t>
      </w:r>
      <w:r w:rsidR="00607BD7" w:rsidRPr="003B2D9A">
        <w:rPr>
          <w:rFonts w:cstheme="minorHAnsi"/>
        </w:rPr>
        <w:t xml:space="preserve"> it focusses upon the intangible results of industrial tourism such as ‘brand loyalty’ and ‘brand awareness</w:t>
      </w:r>
      <w:proofErr w:type="gramStart"/>
      <w:r w:rsidR="00607BD7" w:rsidRPr="003B2D9A">
        <w:rPr>
          <w:rFonts w:cstheme="minorHAnsi"/>
        </w:rPr>
        <w:t>’.</w:t>
      </w:r>
      <w:proofErr w:type="gramEnd"/>
      <w:r w:rsidR="00607BD7" w:rsidRPr="003B2D9A">
        <w:rPr>
          <w:rFonts w:cstheme="minorHAnsi"/>
        </w:rPr>
        <w:t xml:space="preserve"> These intangible outcomes do not form in isolation; a significant and sustained level of brand awareness must build before any level of brand loyalty can form. However, it must be acknowledged that </w:t>
      </w:r>
      <w:r w:rsidR="00607BD7" w:rsidRPr="003B2D9A">
        <w:rPr>
          <w:rFonts w:cstheme="minorHAnsi"/>
          <w:bCs/>
          <w:shd w:val="clear" w:color="auto" w:fill="FFFFFF"/>
        </w:rPr>
        <w:t>‘these qualities are transient and the depth to which consumers acknowledge these feelings will vary depending on a number of socio-economic and time-related factors for example, if a consumer who has previously purchased malt whisky monthly for 15 years decides to take part in ‘Dry January’ one year, the brand loyalty towards e.g., Penderyn, is likely to be significantly lower by January 30</w:t>
      </w:r>
      <w:r w:rsidR="00607BD7" w:rsidRPr="003B2D9A">
        <w:rPr>
          <w:rFonts w:cstheme="minorHAnsi"/>
          <w:bCs/>
          <w:shd w:val="clear" w:color="auto" w:fill="FFFFFF"/>
          <w:vertAlign w:val="superscript"/>
        </w:rPr>
        <w:t>th</w:t>
      </w:r>
      <w:r w:rsidR="00607BD7" w:rsidRPr="003B2D9A">
        <w:rPr>
          <w:rFonts w:cstheme="minorHAnsi"/>
          <w:bCs/>
          <w:shd w:val="clear" w:color="auto" w:fill="FFFFFF"/>
        </w:rPr>
        <w:t xml:space="preserve"> than it was on December 1</w:t>
      </w:r>
      <w:r w:rsidR="00607BD7" w:rsidRPr="003B2D9A">
        <w:rPr>
          <w:rFonts w:cstheme="minorHAnsi"/>
          <w:bCs/>
          <w:shd w:val="clear" w:color="auto" w:fill="FFFFFF"/>
          <w:vertAlign w:val="superscript"/>
        </w:rPr>
        <w:t>st</w:t>
      </w:r>
      <w:r w:rsidR="00607BD7" w:rsidRPr="003B2D9A">
        <w:rPr>
          <w:rFonts w:cstheme="minorHAnsi"/>
          <w:bCs/>
          <w:shd w:val="clear" w:color="auto" w:fill="FFFFFF"/>
        </w:rPr>
        <w:t xml:space="preserve">’ </w:t>
      </w:r>
      <w:sdt>
        <w:sdtPr>
          <w:rPr>
            <w:rFonts w:cstheme="minorHAnsi"/>
            <w:bCs/>
            <w:shd w:val="clear" w:color="auto" w:fill="FFFFFF"/>
          </w:rPr>
          <w:id w:val="1176222703"/>
          <w:citation/>
        </w:sdtPr>
        <w:sdtEndPr/>
        <w:sdtContent>
          <w:r w:rsidR="00607BD7" w:rsidRPr="003B2D9A">
            <w:rPr>
              <w:rFonts w:cstheme="minorHAnsi"/>
              <w:bCs/>
              <w:shd w:val="clear" w:color="auto" w:fill="FFFFFF"/>
            </w:rPr>
            <w:fldChar w:fldCharType="begin"/>
          </w:r>
          <w:r w:rsidR="00607BD7" w:rsidRPr="003B2D9A">
            <w:rPr>
              <w:rFonts w:cstheme="minorHAnsi"/>
              <w:bCs/>
              <w:shd w:val="clear" w:color="auto" w:fill="FFFFFF"/>
            </w:rPr>
            <w:instrText xml:space="preserve"> CITATION Dav22 \l 2057 </w:instrText>
          </w:r>
          <w:r w:rsidR="00607BD7" w:rsidRPr="003B2D9A">
            <w:rPr>
              <w:rFonts w:cstheme="minorHAnsi"/>
              <w:bCs/>
              <w:shd w:val="clear" w:color="auto" w:fill="FFFFFF"/>
            </w:rPr>
            <w:fldChar w:fldCharType="separate"/>
          </w:r>
          <w:r w:rsidR="009D2B16" w:rsidRPr="009D2B16">
            <w:rPr>
              <w:rFonts w:cstheme="minorHAnsi"/>
              <w:noProof/>
              <w:shd w:val="clear" w:color="auto" w:fill="FFFFFF"/>
            </w:rPr>
            <w:t>(Davies, 2022)</w:t>
          </w:r>
          <w:r w:rsidR="00607BD7" w:rsidRPr="003B2D9A">
            <w:rPr>
              <w:rFonts w:cstheme="minorHAnsi"/>
              <w:bCs/>
              <w:shd w:val="clear" w:color="auto" w:fill="FFFFFF"/>
            </w:rPr>
            <w:fldChar w:fldCharType="end"/>
          </w:r>
        </w:sdtContent>
      </w:sdt>
      <w:r w:rsidR="00607BD7" w:rsidRPr="003B2D9A">
        <w:rPr>
          <w:rFonts w:cstheme="minorHAnsi"/>
          <w:bCs/>
          <w:shd w:val="clear" w:color="auto" w:fill="FFFFFF"/>
        </w:rPr>
        <w:t xml:space="preserve">. </w:t>
      </w:r>
    </w:p>
    <w:p w14:paraId="06E50DE6" w14:textId="77777777" w:rsidR="00607BD7" w:rsidRPr="003B2D9A" w:rsidRDefault="00607BD7" w:rsidP="00523C32">
      <w:pPr>
        <w:spacing w:line="276" w:lineRule="auto"/>
        <w:jc w:val="both"/>
        <w:rPr>
          <w:rFonts w:cstheme="minorHAnsi"/>
          <w:bCs/>
          <w:shd w:val="clear" w:color="auto" w:fill="FFFFFF"/>
        </w:rPr>
      </w:pPr>
      <w:r w:rsidRPr="003B2D9A">
        <w:rPr>
          <w:rFonts w:cstheme="minorHAnsi"/>
          <w:bCs/>
          <w:shd w:val="clear" w:color="auto" w:fill="FFFFFF"/>
        </w:rPr>
        <w:t xml:space="preserve">The presence of such concepts, then, cannot be regarded as existing in a fixed manner, at static points in time but must be considered within a continuously evolving dynamic. Similarly, the cause-and-effect relationships with regards to these concepts cannot be considered in a linear manner. </w:t>
      </w:r>
    </w:p>
    <w:p w14:paraId="1C52E18F" w14:textId="4111A187" w:rsidR="00607BD7" w:rsidRDefault="00AC4943" w:rsidP="00523C32">
      <w:pPr>
        <w:spacing w:line="276" w:lineRule="auto"/>
        <w:jc w:val="both"/>
        <w:rPr>
          <w:rFonts w:cstheme="minorHAnsi"/>
          <w:bCs/>
          <w:shd w:val="clear" w:color="auto" w:fill="FFFFFF"/>
        </w:rPr>
      </w:pPr>
      <w:sdt>
        <w:sdtPr>
          <w:rPr>
            <w:rFonts w:cstheme="minorHAnsi"/>
            <w:bCs/>
            <w:shd w:val="clear" w:color="auto" w:fill="FFFFFF"/>
          </w:rPr>
          <w:id w:val="-693613323"/>
          <w:citation/>
        </w:sdtPr>
        <w:sdtEndPr/>
        <w:sdtContent>
          <w:r w:rsidR="00607BD7" w:rsidRPr="003B2D9A">
            <w:rPr>
              <w:rFonts w:cstheme="minorHAnsi"/>
              <w:bCs/>
              <w:shd w:val="clear" w:color="auto" w:fill="FFFFFF"/>
            </w:rPr>
            <w:fldChar w:fldCharType="begin"/>
          </w:r>
          <w:r w:rsidR="00607BD7" w:rsidRPr="003B2D9A">
            <w:rPr>
              <w:rFonts w:cstheme="minorHAnsi"/>
              <w:bCs/>
              <w:shd w:val="clear" w:color="auto" w:fill="FFFFFF"/>
            </w:rPr>
            <w:instrText xml:space="preserve"> CITATION Wel192 \l 2057 </w:instrText>
          </w:r>
          <w:r w:rsidR="00607BD7" w:rsidRPr="003B2D9A">
            <w:rPr>
              <w:rFonts w:cstheme="minorHAnsi"/>
              <w:bCs/>
              <w:shd w:val="clear" w:color="auto" w:fill="FFFFFF"/>
            </w:rPr>
            <w:fldChar w:fldCharType="separate"/>
          </w:r>
          <w:r w:rsidR="009D2B16" w:rsidRPr="009D2B16">
            <w:rPr>
              <w:rFonts w:cstheme="minorHAnsi"/>
              <w:noProof/>
              <w:shd w:val="clear" w:color="auto" w:fill="FFFFFF"/>
            </w:rPr>
            <w:t>(Welsh Government, 2019)</w:t>
          </w:r>
          <w:r w:rsidR="00607BD7" w:rsidRPr="003B2D9A">
            <w:rPr>
              <w:rFonts w:cstheme="minorHAnsi"/>
              <w:bCs/>
              <w:shd w:val="clear" w:color="auto" w:fill="FFFFFF"/>
            </w:rPr>
            <w:fldChar w:fldCharType="end"/>
          </w:r>
        </w:sdtContent>
      </w:sdt>
      <w:r w:rsidR="00607BD7" w:rsidRPr="003B2D9A">
        <w:rPr>
          <w:rFonts w:cstheme="minorHAnsi"/>
          <w:bCs/>
          <w:shd w:val="clear" w:color="auto" w:fill="FFFFFF"/>
        </w:rPr>
        <w:t xml:space="preserve"> (figure </w:t>
      </w:r>
      <w:r w:rsidR="00272F25">
        <w:rPr>
          <w:rFonts w:cstheme="minorHAnsi"/>
          <w:bCs/>
          <w:shd w:val="clear" w:color="auto" w:fill="FFFFFF"/>
        </w:rPr>
        <w:t>2.0.1</w:t>
      </w:r>
      <w:r w:rsidR="00607BD7" w:rsidRPr="003B2D9A">
        <w:rPr>
          <w:rFonts w:cstheme="minorHAnsi"/>
          <w:bCs/>
          <w:shd w:val="clear" w:color="auto" w:fill="FFFFFF"/>
        </w:rPr>
        <w:t xml:space="preserve">) has, through a supporting document issued as part of its national inbound visitor strategy, defined the benefits of experiential tourism to businesses within Wales (although one could argue that this is transferable to any business engaged in industrial tourism across most of the world). The document highlights that one of the major benefits to be derived from harnessing industrial tourism is the direct link that it facilitates between manufacturers/brand owners and consumers, offering it an ‘unrivalled channel by which to solicit feedback on all aspects of its operation, from product flavours, insights into what customers would love to see next, thus influencing new product development, and aspects that are putting people off buying, from pricing structures to </w:t>
      </w:r>
      <w:r w:rsidR="00607BD7" w:rsidRPr="003B2D9A">
        <w:rPr>
          <w:rFonts w:cstheme="minorHAnsi"/>
          <w:bCs/>
          <w:shd w:val="clear" w:color="auto" w:fill="FFFFFF"/>
        </w:rPr>
        <w:lastRenderedPageBreak/>
        <w:t xml:space="preserve">labelling format techniques. As a direct result of this, consumers feel listened to; they have a personal connection to the brand and the team behind it, thus driving brand loyalty harder’ </w:t>
      </w:r>
      <w:sdt>
        <w:sdtPr>
          <w:rPr>
            <w:rFonts w:cstheme="minorHAnsi"/>
            <w:bCs/>
            <w:shd w:val="clear" w:color="auto" w:fill="FFFFFF"/>
          </w:rPr>
          <w:id w:val="1556346197"/>
          <w:citation/>
        </w:sdtPr>
        <w:sdtEndPr/>
        <w:sdtContent>
          <w:r w:rsidR="00607BD7" w:rsidRPr="003B2D9A">
            <w:rPr>
              <w:rFonts w:cstheme="minorHAnsi"/>
              <w:bCs/>
              <w:shd w:val="clear" w:color="auto" w:fill="FFFFFF"/>
            </w:rPr>
            <w:fldChar w:fldCharType="begin"/>
          </w:r>
          <w:r w:rsidR="00607BD7" w:rsidRPr="003B2D9A">
            <w:rPr>
              <w:rFonts w:cstheme="minorHAnsi"/>
              <w:bCs/>
              <w:shd w:val="clear" w:color="auto" w:fill="FFFFFF"/>
            </w:rPr>
            <w:instrText xml:space="preserve"> CITATION Dav22 \l 2057 </w:instrText>
          </w:r>
          <w:r w:rsidR="00607BD7" w:rsidRPr="003B2D9A">
            <w:rPr>
              <w:rFonts w:cstheme="minorHAnsi"/>
              <w:bCs/>
              <w:shd w:val="clear" w:color="auto" w:fill="FFFFFF"/>
            </w:rPr>
            <w:fldChar w:fldCharType="separate"/>
          </w:r>
          <w:r w:rsidR="009D2B16" w:rsidRPr="009D2B16">
            <w:rPr>
              <w:rFonts w:cstheme="minorHAnsi"/>
              <w:noProof/>
              <w:shd w:val="clear" w:color="auto" w:fill="FFFFFF"/>
            </w:rPr>
            <w:t>(Davies, 2022)</w:t>
          </w:r>
          <w:r w:rsidR="00607BD7" w:rsidRPr="003B2D9A">
            <w:rPr>
              <w:rFonts w:cstheme="minorHAnsi"/>
              <w:bCs/>
              <w:shd w:val="clear" w:color="auto" w:fill="FFFFFF"/>
            </w:rPr>
            <w:fldChar w:fldCharType="end"/>
          </w:r>
        </w:sdtContent>
      </w:sdt>
      <w:r w:rsidR="00607BD7" w:rsidRPr="003B2D9A">
        <w:rPr>
          <w:rFonts w:cstheme="minorHAnsi"/>
          <w:bCs/>
          <w:shd w:val="clear" w:color="auto" w:fill="FFFFFF"/>
        </w:rPr>
        <w:t>.</w:t>
      </w:r>
    </w:p>
    <w:p w14:paraId="4939FDC2" w14:textId="6649368C" w:rsidR="00272F25" w:rsidRDefault="00272F25" w:rsidP="00523C32">
      <w:pPr>
        <w:spacing w:line="276" w:lineRule="auto"/>
        <w:jc w:val="both"/>
        <w:rPr>
          <w:rFonts w:cstheme="minorHAnsi"/>
          <w:bCs/>
          <w:shd w:val="clear" w:color="auto" w:fill="FFFFFF"/>
        </w:rPr>
      </w:pPr>
      <w:r>
        <w:rPr>
          <w:rFonts w:cstheme="minorHAnsi"/>
          <w:bCs/>
          <w:shd w:val="clear" w:color="auto" w:fill="FFFFFF"/>
        </w:rPr>
        <w:t>Figure 2.0.1 – National Inbound Tourism Strategy: Benefits of experiential tourism to Wales and businesses within Wales</w:t>
      </w:r>
    </w:p>
    <w:p w14:paraId="262E4191" w14:textId="29C9437F" w:rsidR="00272F25" w:rsidRDefault="00AC4943" w:rsidP="00523C32">
      <w:pPr>
        <w:spacing w:line="276" w:lineRule="auto"/>
        <w:jc w:val="both"/>
        <w:rPr>
          <w:rFonts w:cstheme="minorHAnsi"/>
          <w:bCs/>
          <w:shd w:val="clear" w:color="auto" w:fill="FFFFFF"/>
        </w:rPr>
      </w:pPr>
      <w:sdt>
        <w:sdtPr>
          <w:rPr>
            <w:rFonts w:cstheme="minorHAnsi"/>
            <w:bCs/>
            <w:shd w:val="clear" w:color="auto" w:fill="FFFFFF"/>
          </w:rPr>
          <w:id w:val="2040936176"/>
          <w:citation/>
        </w:sdtPr>
        <w:sdtEndPr/>
        <w:sdtContent>
          <w:r w:rsidR="00272F25">
            <w:rPr>
              <w:rFonts w:cstheme="minorHAnsi"/>
              <w:bCs/>
              <w:shd w:val="clear" w:color="auto" w:fill="FFFFFF"/>
            </w:rPr>
            <w:fldChar w:fldCharType="begin"/>
          </w:r>
          <w:r w:rsidR="00272F25">
            <w:rPr>
              <w:rFonts w:cstheme="minorHAnsi"/>
              <w:bCs/>
              <w:shd w:val="clear" w:color="auto" w:fill="FFFFFF"/>
              <w:lang w:val="en-US"/>
            </w:rPr>
            <w:instrText xml:space="preserve"> CITATION Wel192 \l 1033 </w:instrText>
          </w:r>
          <w:r w:rsidR="00272F25">
            <w:rPr>
              <w:rFonts w:cstheme="minorHAnsi"/>
              <w:bCs/>
              <w:shd w:val="clear" w:color="auto" w:fill="FFFFFF"/>
            </w:rPr>
            <w:fldChar w:fldCharType="separate"/>
          </w:r>
          <w:r w:rsidR="009D2B16" w:rsidRPr="009D2B16">
            <w:rPr>
              <w:rFonts w:cstheme="minorHAnsi"/>
              <w:noProof/>
              <w:shd w:val="clear" w:color="auto" w:fill="FFFFFF"/>
              <w:lang w:val="en-US"/>
            </w:rPr>
            <w:t>(Welsh Government, 2019)</w:t>
          </w:r>
          <w:r w:rsidR="00272F25">
            <w:rPr>
              <w:rFonts w:cstheme="minorHAnsi"/>
              <w:bCs/>
              <w:shd w:val="clear" w:color="auto" w:fill="FFFFFF"/>
            </w:rPr>
            <w:fldChar w:fldCharType="end"/>
          </w:r>
        </w:sdtContent>
      </w:sdt>
    </w:p>
    <w:p w14:paraId="43ECA542" w14:textId="0A455707" w:rsidR="00272F25" w:rsidRPr="003B2D9A" w:rsidRDefault="00272F25" w:rsidP="00523C32">
      <w:pPr>
        <w:spacing w:line="276" w:lineRule="auto"/>
        <w:jc w:val="both"/>
        <w:rPr>
          <w:rFonts w:cstheme="minorHAnsi"/>
          <w:bCs/>
          <w:shd w:val="clear" w:color="auto" w:fill="FFFFFF"/>
        </w:rPr>
      </w:pPr>
      <w:r w:rsidRPr="000C490B">
        <w:rPr>
          <w:rFonts w:cstheme="minorHAnsi"/>
          <w:noProof/>
        </w:rPr>
        <w:drawing>
          <wp:anchor distT="0" distB="0" distL="114300" distR="114300" simplePos="0" relativeHeight="251665408" behindDoc="1" locked="0" layoutInCell="1" allowOverlap="1" wp14:anchorId="761BB09D" wp14:editId="60D987E2">
            <wp:simplePos x="0" y="0"/>
            <wp:positionH relativeFrom="margin">
              <wp:align>center</wp:align>
            </wp:positionH>
            <wp:positionV relativeFrom="paragraph">
              <wp:posOffset>179705</wp:posOffset>
            </wp:positionV>
            <wp:extent cx="3025252" cy="2886954"/>
            <wp:effectExtent l="19050" t="19050" r="22860" b="2794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025252" cy="2886954"/>
                    </a:xfrm>
                    <a:prstGeom prst="rect">
                      <a:avLst/>
                    </a:prstGeom>
                    <a:ln w="3175">
                      <a:solidFill>
                        <a:schemeClr val="tx1"/>
                      </a:solidFill>
                    </a:ln>
                  </pic:spPr>
                </pic:pic>
              </a:graphicData>
            </a:graphic>
            <wp14:sizeRelH relativeFrom="margin">
              <wp14:pctWidth>0</wp14:pctWidth>
            </wp14:sizeRelH>
            <wp14:sizeRelV relativeFrom="margin">
              <wp14:pctHeight>0</wp14:pctHeight>
            </wp14:sizeRelV>
          </wp:anchor>
        </w:drawing>
      </w:r>
    </w:p>
    <w:p w14:paraId="32A3FCD9" w14:textId="4AB8456B" w:rsidR="00607BD7" w:rsidRPr="003B2D9A" w:rsidRDefault="00AC4943" w:rsidP="00523C32">
      <w:pPr>
        <w:spacing w:line="276" w:lineRule="auto"/>
        <w:jc w:val="both"/>
        <w:rPr>
          <w:rFonts w:cstheme="minorHAnsi"/>
          <w:bCs/>
          <w:shd w:val="clear" w:color="auto" w:fill="FFFFFF"/>
        </w:rPr>
      </w:pPr>
      <w:sdt>
        <w:sdtPr>
          <w:rPr>
            <w:rFonts w:cstheme="minorHAnsi"/>
            <w:bCs/>
            <w:shd w:val="clear" w:color="auto" w:fill="FFFFFF"/>
          </w:rPr>
          <w:id w:val="-1074114578"/>
          <w:citation/>
        </w:sdtPr>
        <w:sdtEndPr/>
        <w:sdtContent>
          <w:r w:rsidR="00607BD7" w:rsidRPr="003B2D9A">
            <w:rPr>
              <w:rFonts w:cstheme="minorHAnsi"/>
              <w:bCs/>
              <w:shd w:val="clear" w:color="auto" w:fill="FFFFFF"/>
            </w:rPr>
            <w:fldChar w:fldCharType="begin"/>
          </w:r>
          <w:r w:rsidR="00607BD7" w:rsidRPr="003B2D9A">
            <w:rPr>
              <w:rFonts w:cstheme="minorHAnsi"/>
              <w:bCs/>
              <w:shd w:val="clear" w:color="auto" w:fill="FFFFFF"/>
            </w:rPr>
            <w:instrText xml:space="preserve"> CITATION Geo96 \l 2057 </w:instrText>
          </w:r>
          <w:r w:rsidR="00607BD7" w:rsidRPr="003B2D9A">
            <w:rPr>
              <w:rFonts w:cstheme="minorHAnsi"/>
              <w:bCs/>
              <w:shd w:val="clear" w:color="auto" w:fill="FFFFFF"/>
            </w:rPr>
            <w:fldChar w:fldCharType="separate"/>
          </w:r>
          <w:r w:rsidR="009D2B16" w:rsidRPr="009D2B16">
            <w:rPr>
              <w:rFonts w:cstheme="minorHAnsi"/>
              <w:noProof/>
              <w:shd w:val="clear" w:color="auto" w:fill="FFFFFF"/>
            </w:rPr>
            <w:t>(McBoyle, 1996)</w:t>
          </w:r>
          <w:r w:rsidR="00607BD7" w:rsidRPr="003B2D9A">
            <w:rPr>
              <w:rFonts w:cstheme="minorHAnsi"/>
              <w:bCs/>
              <w:shd w:val="clear" w:color="auto" w:fill="FFFFFF"/>
            </w:rPr>
            <w:fldChar w:fldCharType="end"/>
          </w:r>
        </w:sdtContent>
      </w:sdt>
      <w:r w:rsidR="00607BD7" w:rsidRPr="003B2D9A">
        <w:rPr>
          <w:rFonts w:cstheme="minorHAnsi"/>
          <w:bCs/>
          <w:shd w:val="clear" w:color="auto" w:fill="FFFFFF"/>
        </w:rPr>
        <w:t xml:space="preserve">, </w:t>
      </w:r>
      <w:sdt>
        <w:sdtPr>
          <w:rPr>
            <w:rFonts w:cstheme="minorHAnsi"/>
            <w:bCs/>
            <w:shd w:val="clear" w:color="auto" w:fill="FFFFFF"/>
          </w:rPr>
          <w:id w:val="1569302256"/>
          <w:citation/>
        </w:sdtPr>
        <w:sdtEndPr/>
        <w:sdtContent>
          <w:r w:rsidR="00607BD7" w:rsidRPr="003B2D9A">
            <w:rPr>
              <w:rFonts w:cstheme="minorHAnsi"/>
              <w:bCs/>
              <w:shd w:val="clear" w:color="auto" w:fill="FFFFFF"/>
            </w:rPr>
            <w:fldChar w:fldCharType="begin"/>
          </w:r>
          <w:r w:rsidR="00607BD7" w:rsidRPr="003B2D9A">
            <w:rPr>
              <w:rFonts w:cstheme="minorHAnsi"/>
              <w:bCs/>
              <w:shd w:val="clear" w:color="auto" w:fill="FFFFFF"/>
            </w:rPr>
            <w:instrText xml:space="preserve"> CITATION AOt12 \l 2057 </w:instrText>
          </w:r>
          <w:r w:rsidR="00607BD7" w:rsidRPr="003B2D9A">
            <w:rPr>
              <w:rFonts w:cstheme="minorHAnsi"/>
              <w:bCs/>
              <w:shd w:val="clear" w:color="auto" w:fill="FFFFFF"/>
            </w:rPr>
            <w:fldChar w:fldCharType="separate"/>
          </w:r>
          <w:r w:rsidR="009D2B16" w:rsidRPr="009D2B16">
            <w:rPr>
              <w:rFonts w:cstheme="minorHAnsi"/>
              <w:noProof/>
              <w:shd w:val="clear" w:color="auto" w:fill="FFFFFF"/>
            </w:rPr>
            <w:t>(Otgaar, 2012)</w:t>
          </w:r>
          <w:r w:rsidR="00607BD7" w:rsidRPr="003B2D9A">
            <w:rPr>
              <w:rFonts w:cstheme="minorHAnsi"/>
              <w:bCs/>
              <w:shd w:val="clear" w:color="auto" w:fill="FFFFFF"/>
            </w:rPr>
            <w:fldChar w:fldCharType="end"/>
          </w:r>
        </w:sdtContent>
      </w:sdt>
      <w:r w:rsidR="00607BD7" w:rsidRPr="003B2D9A">
        <w:rPr>
          <w:rFonts w:cstheme="minorHAnsi"/>
          <w:bCs/>
          <w:shd w:val="clear" w:color="auto" w:fill="FFFFFF"/>
        </w:rPr>
        <w:t xml:space="preserve"> and </w:t>
      </w:r>
      <w:sdt>
        <w:sdtPr>
          <w:rPr>
            <w:rFonts w:cstheme="minorHAnsi"/>
            <w:bCs/>
            <w:shd w:val="clear" w:color="auto" w:fill="FFFFFF"/>
          </w:rPr>
          <w:id w:val="827023345"/>
          <w:citation/>
        </w:sdtPr>
        <w:sdtEndPr/>
        <w:sdtContent>
          <w:r w:rsidR="00607BD7" w:rsidRPr="003B2D9A">
            <w:rPr>
              <w:rFonts w:cstheme="minorHAnsi"/>
              <w:bCs/>
              <w:shd w:val="clear" w:color="auto" w:fill="FFFFFF"/>
            </w:rPr>
            <w:fldChar w:fldCharType="begin"/>
          </w:r>
          <w:r w:rsidR="00607BD7" w:rsidRPr="003B2D9A">
            <w:rPr>
              <w:rFonts w:cstheme="minorHAnsi"/>
              <w:bCs/>
              <w:shd w:val="clear" w:color="auto" w:fill="FFFFFF"/>
            </w:rPr>
            <w:instrText xml:space="preserve"> CITATION Cob95 \l 2057 </w:instrText>
          </w:r>
          <w:r w:rsidR="00607BD7" w:rsidRPr="003B2D9A">
            <w:rPr>
              <w:rFonts w:cstheme="minorHAnsi"/>
              <w:bCs/>
              <w:shd w:val="clear" w:color="auto" w:fill="FFFFFF"/>
            </w:rPr>
            <w:fldChar w:fldCharType="separate"/>
          </w:r>
          <w:r w:rsidR="009D2B16" w:rsidRPr="009D2B16">
            <w:rPr>
              <w:rFonts w:cstheme="minorHAnsi"/>
              <w:noProof/>
              <w:shd w:val="clear" w:color="auto" w:fill="FFFFFF"/>
            </w:rPr>
            <w:t>(Cobb-Walgren, et al., 1995)</w:t>
          </w:r>
          <w:r w:rsidR="00607BD7" w:rsidRPr="003B2D9A">
            <w:rPr>
              <w:rFonts w:cstheme="minorHAnsi"/>
              <w:bCs/>
              <w:shd w:val="clear" w:color="auto" w:fill="FFFFFF"/>
            </w:rPr>
            <w:fldChar w:fldCharType="end"/>
          </w:r>
        </w:sdtContent>
      </w:sdt>
      <w:r w:rsidR="00607BD7" w:rsidRPr="003B2D9A">
        <w:rPr>
          <w:rFonts w:cstheme="minorHAnsi"/>
          <w:bCs/>
          <w:shd w:val="clear" w:color="auto" w:fill="FFFFFF"/>
        </w:rPr>
        <w:t xml:space="preserve"> recognise that consumers who hold a level of loyalty to a brand are more receptive, and accepting, to changes made to a product of the brand – including to price point – than non-loyal consumers; it can be seen then, that having a direct channel by which to engage with these consumers can be invaluable with regards to the availability of market insight. </w:t>
      </w:r>
    </w:p>
    <w:p w14:paraId="7A9841B3" w14:textId="77777777" w:rsidR="00607BD7" w:rsidRPr="003B2D9A" w:rsidRDefault="00607BD7" w:rsidP="00523C32">
      <w:pPr>
        <w:spacing w:line="276" w:lineRule="auto"/>
        <w:jc w:val="both"/>
        <w:rPr>
          <w:rFonts w:cstheme="minorHAnsi"/>
        </w:rPr>
      </w:pPr>
    </w:p>
    <w:p w14:paraId="00CA79DF" w14:textId="2596632E" w:rsidR="00607BD7" w:rsidRPr="00523C32" w:rsidRDefault="00607BD7" w:rsidP="00523C32">
      <w:pPr>
        <w:pStyle w:val="Heading2"/>
        <w:spacing w:line="360" w:lineRule="auto"/>
        <w:rPr>
          <w:b/>
          <w:bCs/>
          <w:color w:val="auto"/>
          <w:sz w:val="24"/>
          <w:szCs w:val="24"/>
        </w:rPr>
      </w:pPr>
      <w:bookmarkStart w:id="14" w:name="_Toc160624580"/>
      <w:r w:rsidRPr="00523C32">
        <w:rPr>
          <w:b/>
          <w:bCs/>
          <w:color w:val="auto"/>
          <w:sz w:val="24"/>
          <w:szCs w:val="24"/>
        </w:rPr>
        <w:t>2.1</w:t>
      </w:r>
      <w:r w:rsidRPr="00523C32">
        <w:rPr>
          <w:b/>
          <w:bCs/>
          <w:color w:val="auto"/>
          <w:sz w:val="24"/>
          <w:szCs w:val="24"/>
        </w:rPr>
        <w:tab/>
      </w:r>
      <w:r w:rsidR="003B2D9A" w:rsidRPr="00523C32">
        <w:rPr>
          <w:b/>
          <w:bCs/>
          <w:color w:val="auto"/>
          <w:sz w:val="24"/>
          <w:szCs w:val="24"/>
        </w:rPr>
        <w:t>INVOLVEMENT THEORY</w:t>
      </w:r>
      <w:bookmarkEnd w:id="14"/>
    </w:p>
    <w:p w14:paraId="73D67E25" w14:textId="22EDBBBD" w:rsidR="00607BD7" w:rsidRPr="003B2D9A" w:rsidRDefault="00607BD7" w:rsidP="00523C32">
      <w:pPr>
        <w:spacing w:line="276" w:lineRule="auto"/>
        <w:jc w:val="both"/>
        <w:rPr>
          <w:rFonts w:cstheme="minorHAnsi"/>
        </w:rPr>
      </w:pPr>
      <w:r w:rsidRPr="003B2D9A">
        <w:rPr>
          <w:rFonts w:cstheme="minorHAnsi"/>
        </w:rPr>
        <w:t>Involvement theory can be summarised as ‘</w:t>
      </w:r>
      <w:r w:rsidR="00CD5D9B">
        <w:rPr>
          <w:rFonts w:cstheme="minorHAnsi"/>
          <w:shd w:val="clear" w:color="auto" w:fill="FFFFFF"/>
        </w:rPr>
        <w:t>t</w:t>
      </w:r>
      <w:r w:rsidRPr="003B2D9A">
        <w:rPr>
          <w:rFonts w:cstheme="minorHAnsi"/>
          <w:shd w:val="clear" w:color="auto" w:fill="FFFFFF"/>
        </w:rPr>
        <w:t xml:space="preserve">he concept that consumers feel an affinity to specific products, services or brands as a result of their previous positive experiences and interactions with that brand or company’ </w:t>
      </w:r>
      <w:sdt>
        <w:sdtPr>
          <w:rPr>
            <w:rFonts w:cstheme="minorHAnsi"/>
            <w:shd w:val="clear" w:color="auto" w:fill="FFFFFF"/>
          </w:rPr>
          <w:id w:val="1469328823"/>
          <w:citation/>
        </w:sdtPr>
        <w:sdtEndPr/>
        <w:sdtContent>
          <w:r w:rsidRPr="003B2D9A">
            <w:rPr>
              <w:rFonts w:cstheme="minorHAnsi"/>
              <w:shd w:val="clear" w:color="auto" w:fill="FFFFFF"/>
            </w:rPr>
            <w:fldChar w:fldCharType="begin"/>
          </w:r>
          <w:r w:rsidRPr="003B2D9A">
            <w:rPr>
              <w:rFonts w:cstheme="minorHAnsi"/>
              <w:shd w:val="clear" w:color="auto" w:fill="FFFFFF"/>
            </w:rPr>
            <w:instrText xml:space="preserve"> CITATION Dav22 \l 2057 </w:instrText>
          </w:r>
          <w:r w:rsidRPr="003B2D9A">
            <w:rPr>
              <w:rFonts w:cstheme="minorHAnsi"/>
              <w:shd w:val="clear" w:color="auto" w:fill="FFFFFF"/>
            </w:rPr>
            <w:fldChar w:fldCharType="separate"/>
          </w:r>
          <w:r w:rsidR="009D2B16" w:rsidRPr="009D2B16">
            <w:rPr>
              <w:rFonts w:cstheme="minorHAnsi"/>
              <w:noProof/>
              <w:shd w:val="clear" w:color="auto" w:fill="FFFFFF"/>
            </w:rPr>
            <w:t>(Davies, 2022)</w:t>
          </w:r>
          <w:r w:rsidRPr="003B2D9A">
            <w:rPr>
              <w:rFonts w:cstheme="minorHAnsi"/>
              <w:shd w:val="clear" w:color="auto" w:fill="FFFFFF"/>
            </w:rPr>
            <w:fldChar w:fldCharType="end"/>
          </w:r>
        </w:sdtContent>
      </w:sdt>
      <w:r w:rsidRPr="003B2D9A">
        <w:rPr>
          <w:rFonts w:cstheme="minorHAnsi"/>
          <w:shd w:val="clear" w:color="auto" w:fill="FFFFFF"/>
        </w:rPr>
        <w:t xml:space="preserve">. </w:t>
      </w:r>
      <w:sdt>
        <w:sdtPr>
          <w:rPr>
            <w:rFonts w:cstheme="minorHAnsi"/>
          </w:rPr>
          <w:id w:val="1802502203"/>
          <w:citation/>
        </w:sdtPr>
        <w:sdtEndPr/>
        <w:sdtContent>
          <w:r w:rsidRPr="003B2D9A">
            <w:rPr>
              <w:rFonts w:cstheme="minorHAnsi"/>
            </w:rPr>
            <w:fldChar w:fldCharType="begin"/>
          </w:r>
          <w:r w:rsidRPr="003B2D9A">
            <w:rPr>
              <w:rFonts w:cstheme="minorHAnsi"/>
            </w:rPr>
            <w:instrText xml:space="preserve"> CITATION Hel15 \l 2057 </w:instrText>
          </w:r>
          <w:r w:rsidRPr="003B2D9A">
            <w:rPr>
              <w:rFonts w:cstheme="minorHAnsi"/>
            </w:rPr>
            <w:fldChar w:fldCharType="separate"/>
          </w:r>
          <w:r w:rsidR="009D2B16" w:rsidRPr="009D2B16">
            <w:rPr>
              <w:rFonts w:cstheme="minorHAnsi"/>
              <w:noProof/>
            </w:rPr>
            <w:t>(Heller &amp; Kelly, 2015)</w:t>
          </w:r>
          <w:r w:rsidRPr="003B2D9A">
            <w:rPr>
              <w:rFonts w:cstheme="minorHAnsi"/>
            </w:rPr>
            <w:fldChar w:fldCharType="end"/>
          </w:r>
        </w:sdtContent>
      </w:sdt>
      <w:r w:rsidRPr="003B2D9A">
        <w:rPr>
          <w:rFonts w:cstheme="minorHAnsi"/>
        </w:rPr>
        <w:t xml:space="preserve"> discuss the concept of high involvement brands versus low involvement brands, and the notion that low involvement brands are effectively sold on to consumers through salience linked directly to the tangible assets of its products (packaging, image and positioning within retail spaces). The inference, then, supported by </w:t>
      </w:r>
      <w:sdt>
        <w:sdtPr>
          <w:rPr>
            <w:rFonts w:cstheme="minorHAnsi"/>
          </w:rPr>
          <w:id w:val="-1575041949"/>
          <w:citation/>
        </w:sdtPr>
        <w:sdtEndPr/>
        <w:sdtContent>
          <w:r w:rsidRPr="003B2D9A">
            <w:rPr>
              <w:rFonts w:cstheme="minorHAnsi"/>
            </w:rPr>
            <w:fldChar w:fldCharType="begin"/>
          </w:r>
          <w:r w:rsidRPr="003B2D9A">
            <w:rPr>
              <w:rFonts w:cstheme="minorHAnsi"/>
            </w:rPr>
            <w:instrText xml:space="preserve"> CITATION Ell07 \l 2057 </w:instrText>
          </w:r>
          <w:r w:rsidRPr="003B2D9A">
            <w:rPr>
              <w:rFonts w:cstheme="minorHAnsi"/>
            </w:rPr>
            <w:fldChar w:fldCharType="separate"/>
          </w:r>
          <w:r w:rsidR="009D2B16" w:rsidRPr="009D2B16">
            <w:rPr>
              <w:rFonts w:cstheme="minorHAnsi"/>
              <w:noProof/>
            </w:rPr>
            <w:t>(Elliot &amp; Yannopoulou, 2007)</w:t>
          </w:r>
          <w:r w:rsidRPr="003B2D9A">
            <w:rPr>
              <w:rFonts w:cstheme="minorHAnsi"/>
            </w:rPr>
            <w:fldChar w:fldCharType="end"/>
          </w:r>
        </w:sdtContent>
      </w:sdt>
      <w:r w:rsidRPr="003B2D9A">
        <w:rPr>
          <w:rFonts w:cstheme="minorHAnsi"/>
        </w:rPr>
        <w:t xml:space="preserve"> and </w:t>
      </w:r>
      <w:sdt>
        <w:sdtPr>
          <w:rPr>
            <w:rFonts w:cstheme="minorHAnsi"/>
          </w:rPr>
          <w:id w:val="641085345"/>
          <w:citation/>
        </w:sdtPr>
        <w:sdtEndPr/>
        <w:sdtContent>
          <w:r w:rsidRPr="003B2D9A">
            <w:rPr>
              <w:rFonts w:cstheme="minorHAnsi"/>
            </w:rPr>
            <w:fldChar w:fldCharType="begin"/>
          </w:r>
          <w:r w:rsidRPr="003B2D9A">
            <w:rPr>
              <w:rFonts w:cstheme="minorHAnsi"/>
            </w:rPr>
            <w:instrText xml:space="preserve"> CITATION Ehr97 \l 2057 </w:instrText>
          </w:r>
          <w:r w:rsidRPr="003B2D9A">
            <w:rPr>
              <w:rFonts w:cstheme="minorHAnsi"/>
            </w:rPr>
            <w:fldChar w:fldCharType="separate"/>
          </w:r>
          <w:r w:rsidR="009D2B16" w:rsidRPr="009D2B16">
            <w:rPr>
              <w:rFonts w:cstheme="minorHAnsi"/>
              <w:noProof/>
            </w:rPr>
            <w:t>(Ehrenberg, et al., 1997)</w:t>
          </w:r>
          <w:r w:rsidRPr="003B2D9A">
            <w:rPr>
              <w:rFonts w:cstheme="minorHAnsi"/>
            </w:rPr>
            <w:fldChar w:fldCharType="end"/>
          </w:r>
        </w:sdtContent>
      </w:sdt>
      <w:r w:rsidRPr="003B2D9A">
        <w:rPr>
          <w:rFonts w:cstheme="minorHAnsi"/>
        </w:rPr>
        <w:t xml:space="preserve"> is that high involvement brands require a far greater level of product and service distinction and, additionally personal and emotional attachment in order create the same level of familiarity and engagement with consumers. Given </w:t>
      </w:r>
      <w:r w:rsidR="00523C32">
        <w:rPr>
          <w:rFonts w:cstheme="minorHAnsi"/>
        </w:rPr>
        <w:t>its</w:t>
      </w:r>
      <w:r w:rsidRPr="003B2D9A">
        <w:rPr>
          <w:rFonts w:cstheme="minorHAnsi"/>
        </w:rPr>
        <w:t xml:space="preserve"> positioning as a luxury item, the price point and its alcohol content (all of which would suggest that, for most consumers, this </w:t>
      </w:r>
      <w:r w:rsidR="00523C32" w:rsidRPr="003B2D9A">
        <w:rPr>
          <w:rFonts w:cstheme="minorHAnsi"/>
        </w:rPr>
        <w:t>is not</w:t>
      </w:r>
      <w:r w:rsidRPr="003B2D9A">
        <w:rPr>
          <w:rFonts w:cstheme="minorHAnsi"/>
        </w:rPr>
        <w:t xml:space="preserve"> a product that is purchased daily or weekly), Penderyn Single Malt Welsh Whisky would fall very clearly into the ‘high involvement brand’ camp. What better way then, to generate and strengthen emotional attachment to the brand, and thus cement and maintain involvement, than by inviting consumers to </w:t>
      </w:r>
      <w:r w:rsidRPr="003B2D9A">
        <w:rPr>
          <w:rFonts w:cstheme="minorHAnsi"/>
        </w:rPr>
        <w:lastRenderedPageBreak/>
        <w:t xml:space="preserve">sample the products with the team of experts behind them, show them the products being produced in real time and allowing them to feel the heat of the distillery floor, smell the aromas of the malt being mashed and watch the wort fermenting in the washbacks? </w:t>
      </w:r>
      <w:sdt>
        <w:sdtPr>
          <w:rPr>
            <w:rFonts w:cstheme="minorHAnsi"/>
          </w:rPr>
          <w:id w:val="-691913434"/>
          <w:citation/>
        </w:sdtPr>
        <w:sdtEndPr/>
        <w:sdtContent>
          <w:r w:rsidRPr="003B2D9A">
            <w:rPr>
              <w:rFonts w:cstheme="minorHAnsi"/>
            </w:rPr>
            <w:fldChar w:fldCharType="begin"/>
          </w:r>
          <w:r w:rsidRPr="003B2D9A">
            <w:rPr>
              <w:rFonts w:cstheme="minorHAnsi"/>
            </w:rPr>
            <w:instrText xml:space="preserve"> CITATION Pro23 \l 2057 </w:instrText>
          </w:r>
          <w:r w:rsidRPr="003B2D9A">
            <w:rPr>
              <w:rFonts w:cstheme="minorHAnsi"/>
            </w:rPr>
            <w:fldChar w:fldCharType="separate"/>
          </w:r>
          <w:r w:rsidR="009D2B16" w:rsidRPr="009D2B16">
            <w:rPr>
              <w:rFonts w:cstheme="minorHAnsi"/>
              <w:noProof/>
            </w:rPr>
            <w:t>(Christou, et al., 2023)</w:t>
          </w:r>
          <w:r w:rsidRPr="003B2D9A">
            <w:rPr>
              <w:rFonts w:cstheme="minorHAnsi"/>
            </w:rPr>
            <w:fldChar w:fldCharType="end"/>
          </w:r>
        </w:sdtContent>
      </w:sdt>
      <w:r w:rsidRPr="003B2D9A">
        <w:rPr>
          <w:rFonts w:cstheme="minorHAnsi"/>
        </w:rPr>
        <w:t xml:space="preserve"> recognise the unique, intrinsic value of visitor centres to the whisky industry and discuss the use of such facilities as vehicles for deep consumer engagement with the brands and products, development of brand identity through a ‘sense of place</w:t>
      </w:r>
      <w:proofErr w:type="gramStart"/>
      <w:r w:rsidRPr="003B2D9A">
        <w:rPr>
          <w:rFonts w:cstheme="minorHAnsi"/>
        </w:rPr>
        <w:t>’,</w:t>
      </w:r>
      <w:proofErr w:type="gramEnd"/>
      <w:r w:rsidRPr="003B2D9A">
        <w:rPr>
          <w:rFonts w:cstheme="minorHAnsi"/>
        </w:rPr>
        <w:t xml:space="preserve"> and as a fully immersive experience for visitors which supports later brand recall and preference.</w:t>
      </w:r>
    </w:p>
    <w:p w14:paraId="06B239E6" w14:textId="6358FF92" w:rsidR="00607BD7" w:rsidRPr="003B2D9A" w:rsidRDefault="00AC4943" w:rsidP="00523C32">
      <w:pPr>
        <w:spacing w:line="276" w:lineRule="auto"/>
        <w:jc w:val="both"/>
        <w:rPr>
          <w:rFonts w:cstheme="minorHAnsi"/>
        </w:rPr>
      </w:pPr>
      <w:sdt>
        <w:sdtPr>
          <w:rPr>
            <w:rFonts w:cstheme="minorHAnsi"/>
          </w:rPr>
          <w:id w:val="676620204"/>
          <w:citation/>
        </w:sdtPr>
        <w:sdtEndPr/>
        <w:sdtContent>
          <w:r w:rsidR="00607BD7" w:rsidRPr="003B2D9A">
            <w:rPr>
              <w:rFonts w:cstheme="minorHAnsi"/>
            </w:rPr>
            <w:fldChar w:fldCharType="begin"/>
          </w:r>
          <w:r w:rsidR="00607BD7" w:rsidRPr="003B2D9A">
            <w:rPr>
              <w:rFonts w:cstheme="minorHAnsi"/>
            </w:rPr>
            <w:instrText xml:space="preserve"> CITATION Akb15 \l 2057 </w:instrText>
          </w:r>
          <w:r w:rsidR="00607BD7" w:rsidRPr="003B2D9A">
            <w:rPr>
              <w:rFonts w:cstheme="minorHAnsi"/>
            </w:rPr>
            <w:fldChar w:fldCharType="separate"/>
          </w:r>
          <w:r w:rsidR="009D2B16" w:rsidRPr="009D2B16">
            <w:rPr>
              <w:rFonts w:cstheme="minorHAnsi"/>
              <w:noProof/>
            </w:rPr>
            <w:t>(Akbari, 2015)</w:t>
          </w:r>
          <w:r w:rsidR="00607BD7" w:rsidRPr="003B2D9A">
            <w:rPr>
              <w:rFonts w:cstheme="minorHAnsi"/>
            </w:rPr>
            <w:fldChar w:fldCharType="end"/>
          </w:r>
        </w:sdtContent>
      </w:sdt>
      <w:r w:rsidR="00607BD7" w:rsidRPr="003B2D9A">
        <w:rPr>
          <w:rFonts w:cstheme="minorHAnsi"/>
        </w:rPr>
        <w:t xml:space="preserve"> building on </w:t>
      </w:r>
      <w:sdt>
        <w:sdtPr>
          <w:rPr>
            <w:rFonts w:cstheme="minorHAnsi"/>
          </w:rPr>
          <w:id w:val="687879424"/>
          <w:citation/>
        </w:sdtPr>
        <w:sdtEndPr/>
        <w:sdtContent>
          <w:r w:rsidR="00607BD7" w:rsidRPr="003B2D9A">
            <w:rPr>
              <w:rFonts w:cstheme="minorHAnsi"/>
            </w:rPr>
            <w:fldChar w:fldCharType="begin"/>
          </w:r>
          <w:r w:rsidR="00607BD7" w:rsidRPr="003B2D9A">
            <w:rPr>
              <w:rFonts w:cstheme="minorHAnsi"/>
            </w:rPr>
            <w:instrText xml:space="preserve"> CITATION Per20 \l 2057 </w:instrText>
          </w:r>
          <w:r w:rsidR="00607BD7" w:rsidRPr="003B2D9A">
            <w:rPr>
              <w:rFonts w:cstheme="minorHAnsi"/>
            </w:rPr>
            <w:fldChar w:fldCharType="separate"/>
          </w:r>
          <w:r w:rsidR="009D2B16" w:rsidRPr="009D2B16">
            <w:rPr>
              <w:rFonts w:cstheme="minorHAnsi"/>
              <w:noProof/>
            </w:rPr>
            <w:t>(Perloff, 2020)</w:t>
          </w:r>
          <w:r w:rsidR="00607BD7" w:rsidRPr="003B2D9A">
            <w:rPr>
              <w:rFonts w:cstheme="minorHAnsi"/>
            </w:rPr>
            <w:fldChar w:fldCharType="end"/>
          </w:r>
        </w:sdtContent>
      </w:sdt>
      <w:r w:rsidR="00607BD7" w:rsidRPr="003B2D9A">
        <w:rPr>
          <w:rFonts w:cstheme="minorHAnsi"/>
        </w:rPr>
        <w:t xml:space="preserve"> acknowledges that purchasers of goods from high involvement brands will be heavily influenced by persuasion and that the decision on whether or not to purchase such items will be made over a longer period of time than for low involvement goods, with far more ‘touch points’ required during the consideration process, and for those touch points to be repeated at regular intervals. It is easy, then, to see the power that industrial tourism can have for a brand such as Penderyn, whereby, over the course of an hour, the visitor is subjected to a wonderful bombardment of aromas, imagery, flavours and positive language around the brands product range. Rather than separate, defined and limited touch points, the consumer is fully immersed in the brand for the entire period, creating an unrivalled involvement and engagement with the brand, resulting in a (hoped for) unshakeable sense of brand loyalty leaving with the visitor on the way out; indeed, one of the founding concepts of the Penderyn visitor centres is the aim that </w:t>
      </w:r>
      <w:r w:rsidR="00523C32" w:rsidRPr="003B2D9A">
        <w:rPr>
          <w:rFonts w:cstheme="minorHAnsi"/>
        </w:rPr>
        <w:t>every</w:t>
      </w:r>
      <w:r w:rsidR="00607BD7" w:rsidRPr="003B2D9A">
        <w:rPr>
          <w:rFonts w:cstheme="minorHAnsi"/>
        </w:rPr>
        <w:t xml:space="preserve"> visitor leaves as a brand ambassador. </w:t>
      </w:r>
    </w:p>
    <w:p w14:paraId="3C049D14" w14:textId="6530A298" w:rsidR="00607BD7" w:rsidRPr="003B2D9A" w:rsidRDefault="00607BD7" w:rsidP="00523C32">
      <w:pPr>
        <w:spacing w:line="276" w:lineRule="auto"/>
        <w:jc w:val="both"/>
        <w:rPr>
          <w:rFonts w:cstheme="minorHAnsi"/>
        </w:rPr>
      </w:pPr>
      <w:r w:rsidRPr="003B2D9A">
        <w:rPr>
          <w:rFonts w:cstheme="minorHAnsi"/>
        </w:rPr>
        <w:t xml:space="preserve">The value of involvement theory has increased over the past five to ten years as a result of the growth of social media, and the resultant additional ways in which brands can interact with their supporters </w:t>
      </w:r>
      <w:sdt>
        <w:sdtPr>
          <w:rPr>
            <w:rFonts w:cstheme="minorHAnsi"/>
          </w:rPr>
          <w:id w:val="2072465225"/>
          <w:citation/>
        </w:sdtPr>
        <w:sdtEndPr/>
        <w:sdtContent>
          <w:r w:rsidRPr="003B2D9A">
            <w:rPr>
              <w:rFonts w:cstheme="minorHAnsi"/>
            </w:rPr>
            <w:fldChar w:fldCharType="begin"/>
          </w:r>
          <w:r w:rsidRPr="003B2D9A">
            <w:rPr>
              <w:rFonts w:cstheme="minorHAnsi"/>
            </w:rPr>
            <w:instrText xml:space="preserve"> CITATION McC20 \l 2057 </w:instrText>
          </w:r>
          <w:r w:rsidRPr="003B2D9A">
            <w:rPr>
              <w:rFonts w:cstheme="minorHAnsi"/>
            </w:rPr>
            <w:fldChar w:fldCharType="separate"/>
          </w:r>
          <w:r w:rsidR="009D2B16" w:rsidRPr="009D2B16">
            <w:rPr>
              <w:rFonts w:cstheme="minorHAnsi"/>
              <w:noProof/>
            </w:rPr>
            <w:t>(McClure &amp; Seock, 2020)</w:t>
          </w:r>
          <w:r w:rsidRPr="003B2D9A">
            <w:rPr>
              <w:rFonts w:cstheme="minorHAnsi"/>
            </w:rPr>
            <w:fldChar w:fldCharType="end"/>
          </w:r>
        </w:sdtContent>
      </w:sdt>
      <w:r w:rsidRPr="003B2D9A">
        <w:rPr>
          <w:rFonts w:cstheme="minorHAnsi"/>
        </w:rPr>
        <w:t>. During the Covid-19 pandemic, the presence of social media helped to ensure that high involvement brands could still feature heavily within their consumers consciousness and helped to maintain a positive future purchasing potential.</w:t>
      </w:r>
    </w:p>
    <w:p w14:paraId="7D66801F" w14:textId="77777777" w:rsidR="00607BD7" w:rsidRPr="003B2D9A" w:rsidRDefault="00607BD7" w:rsidP="00523C32">
      <w:pPr>
        <w:spacing w:line="276" w:lineRule="auto"/>
        <w:jc w:val="both"/>
        <w:rPr>
          <w:rFonts w:cstheme="minorHAnsi"/>
          <w:shd w:val="clear" w:color="auto" w:fill="FFFFFF"/>
        </w:rPr>
      </w:pPr>
    </w:p>
    <w:p w14:paraId="7345C2D8" w14:textId="58C3E184" w:rsidR="00607BD7" w:rsidRPr="00523C32" w:rsidRDefault="00607BD7" w:rsidP="00523C32">
      <w:pPr>
        <w:pStyle w:val="Heading2"/>
        <w:spacing w:line="360" w:lineRule="auto"/>
        <w:rPr>
          <w:b/>
          <w:bCs/>
          <w:color w:val="auto"/>
          <w:sz w:val="24"/>
          <w:szCs w:val="24"/>
          <w:shd w:val="clear" w:color="auto" w:fill="FFFFFF"/>
        </w:rPr>
      </w:pPr>
      <w:bookmarkStart w:id="15" w:name="_Toc160624581"/>
      <w:r w:rsidRPr="00523C32">
        <w:rPr>
          <w:b/>
          <w:bCs/>
          <w:color w:val="auto"/>
          <w:sz w:val="24"/>
          <w:szCs w:val="24"/>
          <w:shd w:val="clear" w:color="auto" w:fill="FFFFFF"/>
        </w:rPr>
        <w:t>2.2</w:t>
      </w:r>
      <w:r w:rsidRPr="00523C32">
        <w:rPr>
          <w:b/>
          <w:bCs/>
          <w:color w:val="auto"/>
          <w:sz w:val="24"/>
          <w:szCs w:val="24"/>
          <w:shd w:val="clear" w:color="auto" w:fill="FFFFFF"/>
        </w:rPr>
        <w:tab/>
        <w:t>T</w:t>
      </w:r>
      <w:r w:rsidR="003B2D9A" w:rsidRPr="00523C32">
        <w:rPr>
          <w:b/>
          <w:bCs/>
          <w:color w:val="auto"/>
          <w:sz w:val="24"/>
          <w:szCs w:val="24"/>
          <w:shd w:val="clear" w:color="auto" w:fill="FFFFFF"/>
        </w:rPr>
        <w:t>HE INDUSTRIAL TOURISM/EXPERIENTIAL TOURISM CONCEPT</w:t>
      </w:r>
      <w:bookmarkEnd w:id="15"/>
    </w:p>
    <w:p w14:paraId="1F8FB515" w14:textId="5DBB3CE7" w:rsidR="00607BD7" w:rsidRPr="003B2D9A" w:rsidRDefault="00607BD7" w:rsidP="00523C32">
      <w:pPr>
        <w:spacing w:line="276" w:lineRule="auto"/>
        <w:jc w:val="both"/>
        <w:rPr>
          <w:rFonts w:cstheme="minorHAnsi"/>
        </w:rPr>
      </w:pPr>
      <w:r w:rsidRPr="003B2D9A">
        <w:rPr>
          <w:rFonts w:cstheme="minorHAnsi"/>
        </w:rPr>
        <w:t xml:space="preserve">Industrial tourism can perhaps be best summarised as the experience of visiting manufacturing sites, be that those currently operational, or those that have ceased functioning in a production capacity but still hold a degree of the infrastructure and/or inventory for which it was known. The concept also encompasses sites that do not, or have not, directly been part of the manufacturing process, but are ‘in tribute to’ or otherwise positively aligned with, a particular manufacturing sector </w:t>
      </w:r>
      <w:sdt>
        <w:sdtPr>
          <w:rPr>
            <w:rFonts w:cstheme="minorHAnsi"/>
          </w:rPr>
          <w:id w:val="1452048282"/>
          <w:citation/>
        </w:sdtPr>
        <w:sdtEndPr/>
        <w:sdtContent>
          <w:r w:rsidRPr="003B2D9A">
            <w:rPr>
              <w:rFonts w:cstheme="minorHAnsi"/>
            </w:rPr>
            <w:fldChar w:fldCharType="begin"/>
          </w:r>
          <w:r w:rsidRPr="003B2D9A">
            <w:rPr>
              <w:rFonts w:cstheme="minorHAnsi"/>
            </w:rPr>
            <w:instrText xml:space="preserve"> CITATION Mon22 \l 2057 </w:instrText>
          </w:r>
          <w:r w:rsidRPr="003B2D9A">
            <w:rPr>
              <w:rFonts w:cstheme="minorHAnsi"/>
            </w:rPr>
            <w:fldChar w:fldCharType="separate"/>
          </w:r>
          <w:r w:rsidR="009D2B16" w:rsidRPr="009D2B16">
            <w:rPr>
              <w:rFonts w:cstheme="minorHAnsi"/>
              <w:noProof/>
            </w:rPr>
            <w:t>(Montenegro, et al., 2022)</w:t>
          </w:r>
          <w:r w:rsidRPr="003B2D9A">
            <w:rPr>
              <w:rFonts w:cstheme="minorHAnsi"/>
            </w:rPr>
            <w:fldChar w:fldCharType="end"/>
          </w:r>
        </w:sdtContent>
      </w:sdt>
      <w:r w:rsidRPr="003B2D9A">
        <w:rPr>
          <w:rFonts w:cstheme="minorHAnsi"/>
        </w:rPr>
        <w:t>. As a result, then, industrial tourism centres may be operated by the brand owner/manufacturer themselves, or licensed out to a more consumer-friendly experience provider. Industrial tourism varies from traditional tourism, which is best illustrated by the movement of individuals from one place to another, usually moving out of their day-to-day areas, by the notion that individuals taking part in industrial tourism may be visiting facilities within their immediate area, with no overnight stays required. By definition, industrial tourism exists as a major section of experiential tourism; some of the best-known industrial tourism centres across the world include the likes of Cadbury World (Birmingham, UK), BMW Welt (Germany), the Guinness Storehouse (Dublin), Houses of Parliament and Buckingham Palace (UK) and the Kennedy Space Center at Cape Canaveral. On a smaller scale, vineyards, artisan breweries and petting farms also fall within this concept.</w:t>
      </w:r>
    </w:p>
    <w:p w14:paraId="5F79FD50" w14:textId="7B4DCA08" w:rsidR="00607BD7" w:rsidRPr="003B2D9A" w:rsidRDefault="00607BD7" w:rsidP="00523C32">
      <w:pPr>
        <w:spacing w:line="276" w:lineRule="auto"/>
        <w:jc w:val="both"/>
        <w:rPr>
          <w:rFonts w:cstheme="minorHAnsi"/>
          <w:shd w:val="clear" w:color="auto" w:fill="FFFFFF"/>
        </w:rPr>
      </w:pPr>
    </w:p>
    <w:p w14:paraId="7B694E4D" w14:textId="612C7CEE" w:rsidR="00607BD7" w:rsidRPr="00523C32" w:rsidRDefault="00607BD7" w:rsidP="00523C32">
      <w:pPr>
        <w:pStyle w:val="Heading2"/>
        <w:spacing w:line="360" w:lineRule="auto"/>
        <w:rPr>
          <w:b/>
          <w:bCs/>
          <w:color w:val="auto"/>
          <w:sz w:val="24"/>
          <w:szCs w:val="24"/>
          <w:shd w:val="clear" w:color="auto" w:fill="FFFFFF"/>
        </w:rPr>
      </w:pPr>
      <w:bookmarkStart w:id="16" w:name="_Toc160624582"/>
      <w:r w:rsidRPr="00523C32">
        <w:rPr>
          <w:b/>
          <w:bCs/>
          <w:color w:val="auto"/>
          <w:sz w:val="24"/>
          <w:szCs w:val="24"/>
          <w:shd w:val="clear" w:color="auto" w:fill="FFFFFF"/>
        </w:rPr>
        <w:lastRenderedPageBreak/>
        <w:t>2.3</w:t>
      </w:r>
      <w:r w:rsidRPr="00523C32">
        <w:rPr>
          <w:b/>
          <w:bCs/>
          <w:color w:val="auto"/>
          <w:sz w:val="24"/>
          <w:szCs w:val="24"/>
          <w:shd w:val="clear" w:color="auto" w:fill="FFFFFF"/>
        </w:rPr>
        <w:tab/>
        <w:t>T</w:t>
      </w:r>
      <w:r w:rsidR="003B2D9A" w:rsidRPr="00523C32">
        <w:rPr>
          <w:b/>
          <w:bCs/>
          <w:color w:val="auto"/>
          <w:sz w:val="24"/>
          <w:szCs w:val="24"/>
          <w:shd w:val="clear" w:color="auto" w:fill="FFFFFF"/>
        </w:rPr>
        <w:t>HE WHISKY TOURISM CONCEPT</w:t>
      </w:r>
      <w:bookmarkEnd w:id="16"/>
    </w:p>
    <w:p w14:paraId="49C90EEE" w14:textId="77777777" w:rsidR="00607BD7" w:rsidRPr="003B2D9A" w:rsidRDefault="00607BD7" w:rsidP="00523C32">
      <w:pPr>
        <w:spacing w:line="276" w:lineRule="auto"/>
        <w:jc w:val="both"/>
        <w:rPr>
          <w:rFonts w:cstheme="minorHAnsi"/>
          <w:i/>
          <w:iCs/>
        </w:rPr>
      </w:pPr>
      <w:r w:rsidRPr="003B2D9A">
        <w:rPr>
          <w:rFonts w:cstheme="minorHAnsi"/>
          <w:i/>
          <w:iCs/>
        </w:rPr>
        <w:t>(Whilst this project specifically considers Penderyn, a Welsh single malt whisky distillery, due to the embryonic nature of the whisky industry outside of Scotland, and thus, there being a lack of verifiable or meaningful industry data, for the purposes of defining the current state of the whisky tourism industry the economic figures relating to the Scotch whisky industry will be considered.)</w:t>
      </w:r>
    </w:p>
    <w:p w14:paraId="414E8F70" w14:textId="5DADD696" w:rsidR="00607BD7" w:rsidRPr="003B2D9A" w:rsidRDefault="00607BD7" w:rsidP="00523C32">
      <w:pPr>
        <w:spacing w:line="276" w:lineRule="auto"/>
        <w:jc w:val="both"/>
        <w:rPr>
          <w:rFonts w:cstheme="minorHAnsi"/>
        </w:rPr>
      </w:pPr>
      <w:r w:rsidRPr="003B2D9A">
        <w:rPr>
          <w:rFonts w:cstheme="minorHAnsi"/>
        </w:rPr>
        <w:t xml:space="preserve">According to </w:t>
      </w:r>
      <w:sdt>
        <w:sdtPr>
          <w:rPr>
            <w:rFonts w:cstheme="minorHAnsi"/>
          </w:rPr>
          <w:id w:val="-1921238222"/>
          <w:citation/>
        </w:sdtPr>
        <w:sdtEndPr/>
        <w:sdtContent>
          <w:r w:rsidRPr="003B2D9A">
            <w:rPr>
              <w:rFonts w:cstheme="minorHAnsi"/>
            </w:rPr>
            <w:fldChar w:fldCharType="begin"/>
          </w:r>
          <w:r w:rsidRPr="003B2D9A">
            <w:rPr>
              <w:rFonts w:cstheme="minorHAnsi"/>
            </w:rPr>
            <w:instrText xml:space="preserve"> CITATION Vis18 \l 2057 </w:instrText>
          </w:r>
          <w:r w:rsidRPr="003B2D9A">
            <w:rPr>
              <w:rFonts w:cstheme="minorHAnsi"/>
            </w:rPr>
            <w:fldChar w:fldCharType="separate"/>
          </w:r>
          <w:r w:rsidR="009D2B16" w:rsidRPr="009D2B16">
            <w:rPr>
              <w:rFonts w:cstheme="minorHAnsi"/>
              <w:noProof/>
            </w:rPr>
            <w:t>(Visit Scotland, 2018)</w:t>
          </w:r>
          <w:r w:rsidRPr="003B2D9A">
            <w:rPr>
              <w:rFonts w:cstheme="minorHAnsi"/>
            </w:rPr>
            <w:fldChar w:fldCharType="end"/>
          </w:r>
        </w:sdtContent>
      </w:sdt>
      <w:r w:rsidRPr="003B2D9A">
        <w:rPr>
          <w:rFonts w:cstheme="minorHAnsi"/>
        </w:rPr>
        <w:t>, the whisky industry is currently the largest single food and drink sector within the UK, responsible for more than a quarter of the food/drink exports from the UK and being shipped to more than 200 markets globally; the UK economy benefits to the tune of £3.3 billion annually. However, the revenue potential for the whisky industry does not lie solely within the bottled product; there are currently more than 80 distillery visitor centres across the UK, with more in the planning or build stages.</w:t>
      </w:r>
    </w:p>
    <w:p w14:paraId="7DE18065" w14:textId="78DECE96" w:rsidR="00607BD7" w:rsidRPr="003B2D9A" w:rsidRDefault="00607BD7" w:rsidP="00523C32">
      <w:pPr>
        <w:spacing w:line="276" w:lineRule="auto"/>
        <w:jc w:val="both"/>
        <w:rPr>
          <w:rFonts w:cstheme="minorHAnsi"/>
        </w:rPr>
      </w:pPr>
      <w:r w:rsidRPr="003B2D9A">
        <w:rPr>
          <w:rFonts w:cstheme="minorHAnsi"/>
        </w:rPr>
        <w:t xml:space="preserve">The concept of whisky tourism encompasses visits to operational and no longer operational distilleries to undertake tours, participate in events, join masterclasses or certificated study opportunities and/or to visit any associated gift shop or retail space. The sector has seen an exponential growth over the past two decades, with 1.7 million visits taking place in Scotland alone in 2017 – an increase of 65% from 2013 figures </w:t>
      </w:r>
      <w:sdt>
        <w:sdtPr>
          <w:rPr>
            <w:rFonts w:cstheme="minorHAnsi"/>
          </w:rPr>
          <w:id w:val="-1463963582"/>
          <w:citation/>
        </w:sdtPr>
        <w:sdtEndPr/>
        <w:sdtContent>
          <w:r w:rsidRPr="003B2D9A">
            <w:rPr>
              <w:rFonts w:cstheme="minorHAnsi"/>
            </w:rPr>
            <w:fldChar w:fldCharType="begin"/>
          </w:r>
          <w:r w:rsidRPr="003B2D9A">
            <w:rPr>
              <w:rFonts w:cstheme="minorHAnsi"/>
            </w:rPr>
            <w:instrText xml:space="preserve"> CITATION Fel18 \l 2057 </w:instrText>
          </w:r>
          <w:r w:rsidRPr="003B2D9A">
            <w:rPr>
              <w:rFonts w:cstheme="minorHAnsi"/>
            </w:rPr>
            <w:fldChar w:fldCharType="separate"/>
          </w:r>
          <w:r w:rsidR="009D2B16" w:rsidRPr="009D2B16">
            <w:rPr>
              <w:rFonts w:cstheme="minorHAnsi"/>
              <w:noProof/>
            </w:rPr>
            <w:t>(Schrieberg, 2018)</w:t>
          </w:r>
          <w:r w:rsidRPr="003B2D9A">
            <w:rPr>
              <w:rFonts w:cstheme="minorHAnsi"/>
            </w:rPr>
            <w:fldChar w:fldCharType="end"/>
          </w:r>
        </w:sdtContent>
      </w:sdt>
      <w:r w:rsidRPr="003B2D9A">
        <w:rPr>
          <w:rFonts w:cstheme="minorHAnsi"/>
        </w:rPr>
        <w:t xml:space="preserve"> with a huge proportion of those being international visitors. Distilleries have long understood the unique threads in their stories that captivate their followers, and, since Glenfiddich opened their first-of-its-kind visitor centre in 1969, have harnessed the opportunity to market directly to their followers and, as such, to reap the rewards of doing so.</w:t>
      </w:r>
    </w:p>
    <w:p w14:paraId="344B8316" w14:textId="717429D3" w:rsidR="00607BD7" w:rsidRPr="003B2D9A" w:rsidRDefault="00607BD7" w:rsidP="00523C32">
      <w:pPr>
        <w:spacing w:line="276" w:lineRule="auto"/>
        <w:jc w:val="both"/>
        <w:rPr>
          <w:rFonts w:cstheme="minorHAnsi"/>
        </w:rPr>
      </w:pPr>
      <w:r w:rsidRPr="003B2D9A">
        <w:rPr>
          <w:rFonts w:cstheme="minorHAnsi"/>
        </w:rPr>
        <w:t>According to a statistical report by the Scotch Whisky Association (SWA), France and Germany are the only European countries to sit within the top 10 export markets for Scotch whisky</w:t>
      </w:r>
      <w:r w:rsidR="00E960A3">
        <w:rPr>
          <w:rFonts w:cstheme="minorHAnsi"/>
        </w:rPr>
        <w:t xml:space="preserve"> </w:t>
      </w:r>
      <w:sdt>
        <w:sdtPr>
          <w:rPr>
            <w:rFonts w:cstheme="minorHAnsi"/>
          </w:rPr>
          <w:id w:val="-918013669"/>
          <w:citation/>
        </w:sdtPr>
        <w:sdtContent>
          <w:r w:rsidR="00751126">
            <w:rPr>
              <w:rFonts w:cstheme="minorHAnsi"/>
            </w:rPr>
            <w:fldChar w:fldCharType="begin"/>
          </w:r>
          <w:r w:rsidR="00751126">
            <w:rPr>
              <w:rFonts w:cstheme="minorHAnsi"/>
              <w:lang w:val="en-US"/>
            </w:rPr>
            <w:instrText xml:space="preserve"> CITATION Sco24 \l 1033 </w:instrText>
          </w:r>
          <w:r w:rsidR="00751126">
            <w:rPr>
              <w:rFonts w:cstheme="minorHAnsi"/>
            </w:rPr>
            <w:fldChar w:fldCharType="separate"/>
          </w:r>
          <w:r w:rsidR="00751126" w:rsidRPr="00751126">
            <w:rPr>
              <w:rFonts w:cstheme="minorHAnsi"/>
              <w:noProof/>
              <w:lang w:val="en-US"/>
            </w:rPr>
            <w:t>(Scotch Whisky Association, 2024)</w:t>
          </w:r>
          <w:r w:rsidR="00751126">
            <w:rPr>
              <w:rFonts w:cstheme="minorHAnsi"/>
            </w:rPr>
            <w:fldChar w:fldCharType="end"/>
          </w:r>
        </w:sdtContent>
      </w:sdt>
      <w:r w:rsidRPr="003B2D9A">
        <w:rPr>
          <w:rFonts w:cstheme="minorHAnsi"/>
        </w:rPr>
        <w:t xml:space="preserve">; whether cause or correlation then, of all international visitors to Scotland in 2015 and 2016, 44% of French visitors and 50% of German visitors attended a distillery experience </w:t>
      </w:r>
      <w:sdt>
        <w:sdtPr>
          <w:rPr>
            <w:rFonts w:cstheme="minorHAnsi"/>
          </w:rPr>
          <w:id w:val="1660193778"/>
          <w:citation/>
        </w:sdtPr>
        <w:sdtEndPr/>
        <w:sdtContent>
          <w:r w:rsidRPr="003B2D9A">
            <w:rPr>
              <w:rFonts w:cstheme="minorHAnsi"/>
            </w:rPr>
            <w:fldChar w:fldCharType="begin"/>
          </w:r>
          <w:r w:rsidRPr="003B2D9A">
            <w:rPr>
              <w:rFonts w:cstheme="minorHAnsi"/>
            </w:rPr>
            <w:instrText xml:space="preserve"> CITATION Vis18 \l 2057 </w:instrText>
          </w:r>
          <w:r w:rsidRPr="003B2D9A">
            <w:rPr>
              <w:rFonts w:cstheme="minorHAnsi"/>
            </w:rPr>
            <w:fldChar w:fldCharType="separate"/>
          </w:r>
          <w:r w:rsidR="009D2B16" w:rsidRPr="009D2B16">
            <w:rPr>
              <w:rFonts w:cstheme="minorHAnsi"/>
              <w:noProof/>
            </w:rPr>
            <w:t>(Visit Scotland, 2018)</w:t>
          </w:r>
          <w:r w:rsidRPr="003B2D9A">
            <w:rPr>
              <w:rFonts w:cstheme="minorHAnsi"/>
            </w:rPr>
            <w:fldChar w:fldCharType="end"/>
          </w:r>
        </w:sdtContent>
      </w:sdt>
      <w:r w:rsidRPr="003B2D9A">
        <w:rPr>
          <w:rFonts w:cstheme="minorHAnsi"/>
        </w:rPr>
        <w:t>.</w:t>
      </w:r>
    </w:p>
    <w:p w14:paraId="1BBE01DF" w14:textId="77777777" w:rsidR="00607BD7" w:rsidRPr="003B2D9A" w:rsidRDefault="00607BD7" w:rsidP="00523C32">
      <w:pPr>
        <w:spacing w:line="276" w:lineRule="auto"/>
        <w:jc w:val="both"/>
        <w:rPr>
          <w:rFonts w:cstheme="minorHAnsi"/>
        </w:rPr>
      </w:pPr>
    </w:p>
    <w:p w14:paraId="234884AD" w14:textId="6E065C04" w:rsidR="00607BD7" w:rsidRPr="00523C32" w:rsidRDefault="00607BD7" w:rsidP="00523C32">
      <w:pPr>
        <w:pStyle w:val="Heading2"/>
        <w:spacing w:line="360" w:lineRule="auto"/>
        <w:rPr>
          <w:b/>
          <w:bCs/>
          <w:color w:val="auto"/>
          <w:sz w:val="24"/>
          <w:szCs w:val="24"/>
        </w:rPr>
      </w:pPr>
      <w:bookmarkStart w:id="17" w:name="_Toc160624583"/>
      <w:r w:rsidRPr="00523C32">
        <w:rPr>
          <w:b/>
          <w:bCs/>
          <w:color w:val="auto"/>
          <w:sz w:val="24"/>
          <w:szCs w:val="24"/>
        </w:rPr>
        <w:t>2.4</w:t>
      </w:r>
      <w:r w:rsidRPr="00523C32">
        <w:rPr>
          <w:b/>
          <w:bCs/>
          <w:color w:val="auto"/>
          <w:sz w:val="24"/>
          <w:szCs w:val="24"/>
        </w:rPr>
        <w:tab/>
        <w:t>T</w:t>
      </w:r>
      <w:r w:rsidR="003B2D9A" w:rsidRPr="00523C32">
        <w:rPr>
          <w:b/>
          <w:bCs/>
          <w:color w:val="auto"/>
          <w:sz w:val="24"/>
          <w:szCs w:val="24"/>
        </w:rPr>
        <w:t>HE EMERGENCE OF INDUSTRIAL TOURISM</w:t>
      </w:r>
      <w:bookmarkEnd w:id="17"/>
    </w:p>
    <w:p w14:paraId="2D78DFDA" w14:textId="579B3521" w:rsidR="00133EE5" w:rsidRPr="003B2D9A" w:rsidRDefault="00133EE5" w:rsidP="00523C32">
      <w:pPr>
        <w:spacing w:line="276" w:lineRule="auto"/>
        <w:jc w:val="both"/>
        <w:rPr>
          <w:rFonts w:cstheme="minorHAnsi"/>
        </w:rPr>
      </w:pPr>
      <w:r w:rsidRPr="003B2D9A">
        <w:rPr>
          <w:rFonts w:cstheme="minorHAnsi"/>
        </w:rPr>
        <w:t>With hindsight, the industrial revolution in the 18</w:t>
      </w:r>
      <w:r w:rsidRPr="003B2D9A">
        <w:rPr>
          <w:rFonts w:cstheme="minorHAnsi"/>
          <w:vertAlign w:val="superscript"/>
        </w:rPr>
        <w:t>th</w:t>
      </w:r>
      <w:r w:rsidRPr="003B2D9A">
        <w:rPr>
          <w:rFonts w:cstheme="minorHAnsi"/>
        </w:rPr>
        <w:t xml:space="preserve"> century was undoubtedly one of the ignition points for industrial tourism </w:t>
      </w:r>
      <w:sdt>
        <w:sdtPr>
          <w:rPr>
            <w:rFonts w:cstheme="minorHAnsi"/>
          </w:rPr>
          <w:id w:val="2080626438"/>
          <w:citation/>
        </w:sdtPr>
        <w:sdtEndPr/>
        <w:sdtContent>
          <w:r w:rsidRPr="003B2D9A">
            <w:rPr>
              <w:rFonts w:cstheme="minorHAnsi"/>
            </w:rPr>
            <w:fldChar w:fldCharType="begin"/>
          </w:r>
          <w:r w:rsidRPr="003B2D9A">
            <w:rPr>
              <w:rFonts w:cstheme="minorHAnsi"/>
            </w:rPr>
            <w:instrText xml:space="preserve"> CITATION Jan13 \l 2057 </w:instrText>
          </w:r>
          <w:r w:rsidRPr="003B2D9A">
            <w:rPr>
              <w:rFonts w:cstheme="minorHAnsi"/>
            </w:rPr>
            <w:fldChar w:fldCharType="separate"/>
          </w:r>
          <w:r w:rsidR="009D2B16" w:rsidRPr="009D2B16">
            <w:rPr>
              <w:rFonts w:cstheme="minorHAnsi"/>
              <w:noProof/>
            </w:rPr>
            <w:t>(Jansirani &amp; Mangai, 2013)</w:t>
          </w:r>
          <w:r w:rsidRPr="003B2D9A">
            <w:rPr>
              <w:rFonts w:cstheme="minorHAnsi"/>
            </w:rPr>
            <w:fldChar w:fldCharType="end"/>
          </w:r>
        </w:sdtContent>
      </w:sdt>
      <w:r w:rsidRPr="003B2D9A">
        <w:rPr>
          <w:rFonts w:cstheme="minorHAnsi"/>
        </w:rPr>
        <w:t xml:space="preserve"> – the automation of many processes, the advent of mass production and so the resultant start of the decline in artisan skills created a niche whereby the familiarity with particular skills and experiences became less prevalent. However, through the 19</w:t>
      </w:r>
      <w:r w:rsidRPr="003B2D9A">
        <w:rPr>
          <w:rFonts w:cstheme="minorHAnsi"/>
          <w:vertAlign w:val="superscript"/>
        </w:rPr>
        <w:t>th</w:t>
      </w:r>
      <w:r w:rsidRPr="003B2D9A">
        <w:rPr>
          <w:rFonts w:cstheme="minorHAnsi"/>
        </w:rPr>
        <w:t>, and early part of the 20</w:t>
      </w:r>
      <w:r w:rsidRPr="003B2D9A">
        <w:rPr>
          <w:rFonts w:cstheme="minorHAnsi"/>
          <w:vertAlign w:val="superscript"/>
        </w:rPr>
        <w:t>th</w:t>
      </w:r>
      <w:r w:rsidRPr="003B2D9A">
        <w:rPr>
          <w:rFonts w:cstheme="minorHAnsi"/>
        </w:rPr>
        <w:t xml:space="preserve"> centuries, cultural, infrastructure and communication limitations stemmed any opportunity for the birth of an industrial tourism industry. The catalyst, then, was in the mid-20</w:t>
      </w:r>
      <w:r w:rsidRPr="003B2D9A">
        <w:rPr>
          <w:rFonts w:cstheme="minorHAnsi"/>
          <w:vertAlign w:val="superscript"/>
        </w:rPr>
        <w:t>th</w:t>
      </w:r>
      <w:r w:rsidRPr="003B2D9A">
        <w:rPr>
          <w:rFonts w:cstheme="minorHAnsi"/>
        </w:rPr>
        <w:t xml:space="preserve"> century, with the dawn of simplified, and more economically accessible, domestic and global travel and the boom in household and luxury items being imported and exported across the world, resulting in people having ready access to a huge range of products from across the globe for the first time. The industry was further excelled with the emergence of social media and the influencer scene, whereby awareness of experiential travel experiences increased exponentially. By the end of 2023, the global industrial tourism industry is projected to be worth an estimated £1.86 billion, up 30% from the previous year; its value is estimated to hit £5.47 billion by the close of 2027 </w:t>
      </w:r>
      <w:sdt>
        <w:sdtPr>
          <w:rPr>
            <w:rFonts w:cstheme="minorHAnsi"/>
          </w:rPr>
          <w:id w:val="2057194963"/>
          <w:citation/>
        </w:sdtPr>
        <w:sdtEndPr/>
        <w:sdtContent>
          <w:r w:rsidRPr="003B2D9A">
            <w:rPr>
              <w:rFonts w:cstheme="minorHAnsi"/>
            </w:rPr>
            <w:fldChar w:fldCharType="begin"/>
          </w:r>
          <w:r w:rsidRPr="003B2D9A">
            <w:rPr>
              <w:rFonts w:cstheme="minorHAnsi"/>
            </w:rPr>
            <w:instrText xml:space="preserve">CITATION The23 \l 2057 </w:instrText>
          </w:r>
          <w:r w:rsidRPr="003B2D9A">
            <w:rPr>
              <w:rFonts w:cstheme="minorHAnsi"/>
            </w:rPr>
            <w:fldChar w:fldCharType="separate"/>
          </w:r>
          <w:r w:rsidR="009D2B16" w:rsidRPr="009D2B16">
            <w:rPr>
              <w:rFonts w:cstheme="minorHAnsi"/>
              <w:noProof/>
            </w:rPr>
            <w:t>(Industrial Tourism Global Market Report, 2023)</w:t>
          </w:r>
          <w:r w:rsidRPr="003B2D9A">
            <w:rPr>
              <w:rFonts w:cstheme="minorHAnsi"/>
            </w:rPr>
            <w:fldChar w:fldCharType="end"/>
          </w:r>
        </w:sdtContent>
      </w:sdt>
      <w:r w:rsidRPr="003B2D9A">
        <w:rPr>
          <w:rFonts w:cstheme="minorHAnsi"/>
        </w:rPr>
        <w:t>.</w:t>
      </w:r>
    </w:p>
    <w:p w14:paraId="38FE47F9" w14:textId="77777777" w:rsidR="00133EE5" w:rsidRPr="003B2D9A" w:rsidRDefault="00133EE5" w:rsidP="00523C32">
      <w:pPr>
        <w:spacing w:line="276" w:lineRule="auto"/>
        <w:jc w:val="both"/>
        <w:rPr>
          <w:rFonts w:cstheme="minorHAnsi"/>
          <w:shd w:val="clear" w:color="auto" w:fill="FFFFFF"/>
        </w:rPr>
      </w:pPr>
    </w:p>
    <w:p w14:paraId="1A51D5B4" w14:textId="5B5143B6" w:rsidR="00133EE5" w:rsidRPr="00523C32" w:rsidRDefault="00133EE5" w:rsidP="00523C32">
      <w:pPr>
        <w:pStyle w:val="Heading2"/>
        <w:spacing w:line="360" w:lineRule="auto"/>
        <w:rPr>
          <w:b/>
          <w:bCs/>
          <w:color w:val="auto"/>
          <w:sz w:val="24"/>
          <w:szCs w:val="24"/>
          <w:shd w:val="clear" w:color="auto" w:fill="FFFFFF"/>
        </w:rPr>
      </w:pPr>
      <w:bookmarkStart w:id="18" w:name="_Toc160624584"/>
      <w:r w:rsidRPr="00523C32">
        <w:rPr>
          <w:b/>
          <w:bCs/>
          <w:color w:val="auto"/>
          <w:sz w:val="24"/>
          <w:szCs w:val="24"/>
          <w:shd w:val="clear" w:color="auto" w:fill="FFFFFF"/>
        </w:rPr>
        <w:lastRenderedPageBreak/>
        <w:t>2.5</w:t>
      </w:r>
      <w:r w:rsidRPr="00523C32">
        <w:rPr>
          <w:b/>
          <w:bCs/>
          <w:color w:val="auto"/>
          <w:sz w:val="24"/>
          <w:szCs w:val="24"/>
          <w:shd w:val="clear" w:color="auto" w:fill="FFFFFF"/>
        </w:rPr>
        <w:tab/>
      </w:r>
      <w:r w:rsidR="003B2D9A" w:rsidRPr="00523C32">
        <w:rPr>
          <w:b/>
          <w:bCs/>
          <w:color w:val="auto"/>
          <w:sz w:val="24"/>
          <w:szCs w:val="24"/>
          <w:shd w:val="clear" w:color="auto" w:fill="FFFFFF"/>
        </w:rPr>
        <w:t>THE EFFECT OF THE COVID-19</w:t>
      </w:r>
      <w:r w:rsidRPr="00523C32">
        <w:rPr>
          <w:b/>
          <w:bCs/>
          <w:color w:val="auto"/>
          <w:sz w:val="24"/>
          <w:szCs w:val="24"/>
          <w:shd w:val="clear" w:color="auto" w:fill="FFFFFF"/>
        </w:rPr>
        <w:t xml:space="preserve"> </w:t>
      </w:r>
      <w:r w:rsidR="003B2D9A" w:rsidRPr="00523C32">
        <w:rPr>
          <w:b/>
          <w:bCs/>
          <w:color w:val="auto"/>
          <w:sz w:val="24"/>
          <w:szCs w:val="24"/>
          <w:shd w:val="clear" w:color="auto" w:fill="FFFFFF"/>
        </w:rPr>
        <w:t>PANDEMIC ON UK</w:t>
      </w:r>
      <w:r w:rsidRPr="00523C32">
        <w:rPr>
          <w:b/>
          <w:bCs/>
          <w:color w:val="auto"/>
          <w:sz w:val="24"/>
          <w:szCs w:val="24"/>
          <w:shd w:val="clear" w:color="auto" w:fill="FFFFFF"/>
        </w:rPr>
        <w:t xml:space="preserve"> </w:t>
      </w:r>
      <w:r w:rsidR="003B2D9A" w:rsidRPr="00523C32">
        <w:rPr>
          <w:b/>
          <w:bCs/>
          <w:color w:val="auto"/>
          <w:sz w:val="24"/>
          <w:szCs w:val="24"/>
          <w:shd w:val="clear" w:color="auto" w:fill="FFFFFF"/>
        </w:rPr>
        <w:t>INBOUND AND DOMESTIC TOURISM</w:t>
      </w:r>
      <w:bookmarkEnd w:id="18"/>
    </w:p>
    <w:p w14:paraId="091F953F" w14:textId="1B58CDDC" w:rsidR="00133EE5" w:rsidRPr="003B2D9A" w:rsidRDefault="00133EE5" w:rsidP="00523C32">
      <w:pPr>
        <w:spacing w:line="276" w:lineRule="auto"/>
        <w:jc w:val="both"/>
        <w:rPr>
          <w:rFonts w:cstheme="minorHAnsi"/>
        </w:rPr>
      </w:pPr>
      <w:r w:rsidRPr="003B2D9A">
        <w:rPr>
          <w:rFonts w:cstheme="minorHAnsi"/>
        </w:rPr>
        <w:t xml:space="preserve">March 2020 saw a global pandemic on a never-seen-before scale; non-essential activities were prohibited across the world overnight and the resultant travel ban was catastrophic for the tourism industry. UK inbound monthly air passenger arrivals fell by over 98%, to 112,300, between February and April 2020; the number of international visitors to the UK in summer 2020 was down 96% on the previous year, with associated spending down 97% </w:t>
      </w:r>
      <w:sdt>
        <w:sdtPr>
          <w:rPr>
            <w:rFonts w:cstheme="minorHAnsi"/>
          </w:rPr>
          <w:id w:val="-352036192"/>
          <w:citation/>
        </w:sdtPr>
        <w:sdtEndPr/>
        <w:sdtContent>
          <w:r w:rsidRPr="003B2D9A">
            <w:rPr>
              <w:rFonts w:cstheme="minorHAnsi"/>
            </w:rPr>
            <w:fldChar w:fldCharType="begin"/>
          </w:r>
          <w:r w:rsidRPr="003B2D9A">
            <w:rPr>
              <w:rFonts w:cstheme="minorHAnsi"/>
            </w:rPr>
            <w:instrText xml:space="preserve"> CITATION Off21 \l 2057 </w:instrText>
          </w:r>
          <w:r w:rsidRPr="003B2D9A">
            <w:rPr>
              <w:rFonts w:cstheme="minorHAnsi"/>
            </w:rPr>
            <w:fldChar w:fldCharType="separate"/>
          </w:r>
          <w:r w:rsidR="009D2B16" w:rsidRPr="009D2B16">
            <w:rPr>
              <w:rFonts w:cstheme="minorHAnsi"/>
              <w:noProof/>
            </w:rPr>
            <w:t>(Office for National Statistics, 2021)</w:t>
          </w:r>
          <w:r w:rsidRPr="003B2D9A">
            <w:rPr>
              <w:rFonts w:cstheme="minorHAnsi"/>
            </w:rPr>
            <w:fldChar w:fldCharType="end"/>
          </w:r>
        </w:sdtContent>
      </w:sdt>
      <w:r w:rsidRPr="003B2D9A">
        <w:rPr>
          <w:rFonts w:cstheme="minorHAnsi"/>
        </w:rPr>
        <w:t xml:space="preserve">. According to an evidence submission to a select committee enquiry, the overall loss to the UK economy in 2020 from the decline in inbound visitors (and associated spending) was estimated to be £22.2 billion </w:t>
      </w:r>
      <w:sdt>
        <w:sdtPr>
          <w:rPr>
            <w:rFonts w:cstheme="minorHAnsi"/>
          </w:rPr>
          <w:id w:val="-1131020807"/>
          <w:citation/>
        </w:sdtPr>
        <w:sdtEndPr/>
        <w:sdtContent>
          <w:r w:rsidRPr="003B2D9A">
            <w:rPr>
              <w:rFonts w:cstheme="minorHAnsi"/>
            </w:rPr>
            <w:fldChar w:fldCharType="begin"/>
          </w:r>
          <w:r w:rsidRPr="003B2D9A">
            <w:rPr>
              <w:rFonts w:cstheme="minorHAnsi"/>
            </w:rPr>
            <w:instrText xml:space="preserve"> CITATION UKI22 \l 2057 </w:instrText>
          </w:r>
          <w:r w:rsidRPr="003B2D9A">
            <w:rPr>
              <w:rFonts w:cstheme="minorHAnsi"/>
            </w:rPr>
            <w:fldChar w:fldCharType="separate"/>
          </w:r>
          <w:r w:rsidR="009D2B16" w:rsidRPr="009D2B16">
            <w:rPr>
              <w:rFonts w:cstheme="minorHAnsi"/>
              <w:noProof/>
            </w:rPr>
            <w:t>(UKInbound, 2022)</w:t>
          </w:r>
          <w:r w:rsidRPr="003B2D9A">
            <w:rPr>
              <w:rFonts w:cstheme="minorHAnsi"/>
            </w:rPr>
            <w:fldChar w:fldCharType="end"/>
          </w:r>
        </w:sdtContent>
      </w:sdt>
      <w:r w:rsidRPr="003B2D9A">
        <w:rPr>
          <w:rFonts w:cstheme="minorHAnsi"/>
        </w:rPr>
        <w:t xml:space="preserve">. </w:t>
      </w:r>
    </w:p>
    <w:p w14:paraId="373C5707" w14:textId="0BF58E52" w:rsidR="00133EE5" w:rsidRPr="003B2D9A" w:rsidRDefault="00133EE5" w:rsidP="00523C32">
      <w:pPr>
        <w:spacing w:line="276" w:lineRule="auto"/>
        <w:jc w:val="both"/>
        <w:rPr>
          <w:rFonts w:cstheme="minorHAnsi"/>
        </w:rPr>
      </w:pPr>
      <w:r w:rsidRPr="003B2D9A">
        <w:rPr>
          <w:rFonts w:cstheme="minorHAnsi"/>
        </w:rPr>
        <w:t xml:space="preserve">Restrictions on movements in England ended completely in early 2021, although the devolved nations, including Wales, </w:t>
      </w:r>
      <w:r w:rsidR="00523C32" w:rsidRPr="003B2D9A">
        <w:rPr>
          <w:rFonts w:cstheme="minorHAnsi"/>
        </w:rPr>
        <w:t>did not</w:t>
      </w:r>
      <w:r w:rsidRPr="003B2D9A">
        <w:rPr>
          <w:rFonts w:cstheme="minorHAnsi"/>
        </w:rPr>
        <w:t xml:space="preserve"> follow suit until </w:t>
      </w:r>
      <w:r w:rsidR="00425C06" w:rsidRPr="003B2D9A">
        <w:rPr>
          <w:rFonts w:cstheme="minorHAnsi"/>
        </w:rPr>
        <w:t>several</w:t>
      </w:r>
      <w:r w:rsidRPr="003B2D9A">
        <w:rPr>
          <w:rFonts w:cstheme="minorHAnsi"/>
        </w:rPr>
        <w:t xml:space="preserve"> weeks later. During a temporary relaxation in restrictions, in August 2020, passenger traffic (those visitors in camper vans, cars, coaches etc.) increased but still peaked at just over 28% below the peak number of August the previous year.</w:t>
      </w:r>
    </w:p>
    <w:p w14:paraId="52FF08D5" w14:textId="77777777" w:rsidR="00133EE5" w:rsidRPr="003B2D9A" w:rsidRDefault="00133EE5" w:rsidP="00523C32">
      <w:pPr>
        <w:spacing w:line="276" w:lineRule="auto"/>
        <w:jc w:val="both"/>
        <w:rPr>
          <w:rFonts w:cstheme="minorHAnsi"/>
        </w:rPr>
      </w:pPr>
    </w:p>
    <w:p w14:paraId="0AEA0CF3" w14:textId="0B51D544" w:rsidR="00133EE5" w:rsidRPr="00523C32" w:rsidRDefault="00133EE5" w:rsidP="00523C32">
      <w:pPr>
        <w:pStyle w:val="Heading2"/>
        <w:spacing w:line="360" w:lineRule="auto"/>
        <w:rPr>
          <w:b/>
          <w:bCs/>
          <w:color w:val="auto"/>
          <w:sz w:val="24"/>
          <w:szCs w:val="24"/>
        </w:rPr>
      </w:pPr>
      <w:bookmarkStart w:id="19" w:name="_Toc160624585"/>
      <w:r w:rsidRPr="00523C32">
        <w:rPr>
          <w:b/>
          <w:bCs/>
          <w:color w:val="auto"/>
          <w:sz w:val="24"/>
          <w:szCs w:val="24"/>
        </w:rPr>
        <w:t>2.6</w:t>
      </w:r>
      <w:r w:rsidRPr="00523C32">
        <w:rPr>
          <w:b/>
          <w:bCs/>
          <w:color w:val="auto"/>
          <w:sz w:val="24"/>
          <w:szCs w:val="24"/>
        </w:rPr>
        <w:tab/>
      </w:r>
      <w:r w:rsidR="003B2D9A" w:rsidRPr="00523C32">
        <w:rPr>
          <w:b/>
          <w:bCs/>
          <w:color w:val="auto"/>
          <w:sz w:val="24"/>
          <w:szCs w:val="24"/>
        </w:rPr>
        <w:t>QUALITY STANDARDS AS DRIVERS FOR</w:t>
      </w:r>
      <w:r w:rsidRPr="00523C32">
        <w:rPr>
          <w:b/>
          <w:bCs/>
          <w:color w:val="auto"/>
          <w:sz w:val="24"/>
          <w:szCs w:val="24"/>
        </w:rPr>
        <w:t xml:space="preserve"> </w:t>
      </w:r>
      <w:r w:rsidR="003B2D9A" w:rsidRPr="00523C32">
        <w:rPr>
          <w:b/>
          <w:bCs/>
          <w:color w:val="auto"/>
          <w:sz w:val="24"/>
          <w:szCs w:val="24"/>
        </w:rPr>
        <w:t>BRAND AWARENESS AND PERCEPTION</w:t>
      </w:r>
      <w:bookmarkEnd w:id="19"/>
    </w:p>
    <w:p w14:paraId="657BF6B0" w14:textId="3537A48E" w:rsidR="00133EE5" w:rsidRPr="003B2D9A" w:rsidRDefault="00133EE5" w:rsidP="00523C32">
      <w:pPr>
        <w:spacing w:line="276" w:lineRule="auto"/>
        <w:jc w:val="both"/>
        <w:rPr>
          <w:rFonts w:cstheme="minorHAnsi"/>
          <w:bCs/>
          <w:shd w:val="clear" w:color="auto" w:fill="FFFFFF"/>
        </w:rPr>
      </w:pPr>
      <w:r w:rsidRPr="003B2D9A">
        <w:rPr>
          <w:rFonts w:cstheme="minorHAnsi"/>
        </w:rPr>
        <w:t>Penderyn aligns itself within the premium/super premium segment of the spirits market; quality standards fall within two distinct categories – product quality (taste, aroma, packaging etc.) and service quality (standard of visitor experience, customer service, demeanour of staff etc.). There is a clear link between the perceived standard, or level of quality, that a consumer receives from a brand and their subsequent ability to subconsciously recall that brand at a later opportunity.</w:t>
      </w:r>
      <w:r w:rsidR="008B0E93">
        <w:rPr>
          <w:rFonts w:cstheme="minorHAnsi"/>
        </w:rPr>
        <w:t xml:space="preserve"> </w:t>
      </w:r>
      <w:sdt>
        <w:sdtPr>
          <w:rPr>
            <w:rFonts w:cstheme="minorHAnsi"/>
          </w:rPr>
          <w:id w:val="638930198"/>
          <w:citation/>
        </w:sdtPr>
        <w:sdtEndPr/>
        <w:sdtContent>
          <w:r w:rsidR="008B0E93">
            <w:rPr>
              <w:rFonts w:cstheme="minorHAnsi"/>
            </w:rPr>
            <w:fldChar w:fldCharType="begin"/>
          </w:r>
          <w:r w:rsidR="008B0E93">
            <w:rPr>
              <w:rFonts w:cstheme="minorHAnsi"/>
              <w:lang w:val="en-US"/>
            </w:rPr>
            <w:instrText xml:space="preserve">CITATION Izz18 \l 1033 </w:instrText>
          </w:r>
          <w:r w:rsidR="008B0E93">
            <w:rPr>
              <w:rFonts w:cstheme="minorHAnsi"/>
            </w:rPr>
            <w:fldChar w:fldCharType="separate"/>
          </w:r>
          <w:r w:rsidR="009D2B16" w:rsidRPr="009D2B16">
            <w:rPr>
              <w:rFonts w:cstheme="minorHAnsi"/>
              <w:noProof/>
              <w:lang w:val="en-US"/>
            </w:rPr>
            <w:t>(Izzudin &amp; Novandari, 2018)</w:t>
          </w:r>
          <w:r w:rsidR="008B0E93">
            <w:rPr>
              <w:rFonts w:cstheme="minorHAnsi"/>
            </w:rPr>
            <w:fldChar w:fldCharType="end"/>
          </w:r>
        </w:sdtContent>
      </w:sdt>
      <w:r w:rsidR="008B0E93">
        <w:rPr>
          <w:rFonts w:cstheme="minorHAnsi"/>
        </w:rPr>
        <w:t xml:space="preserve"> </w:t>
      </w:r>
      <w:r w:rsidRPr="003B2D9A">
        <w:rPr>
          <w:rFonts w:cstheme="minorHAnsi"/>
        </w:rPr>
        <w:t xml:space="preserve">and </w:t>
      </w:r>
      <w:sdt>
        <w:sdtPr>
          <w:rPr>
            <w:rFonts w:cstheme="minorHAnsi"/>
          </w:rPr>
          <w:id w:val="-454405526"/>
          <w:citation/>
        </w:sdtPr>
        <w:sdtEndPr/>
        <w:sdtContent>
          <w:r w:rsidR="00677570">
            <w:rPr>
              <w:rFonts w:cstheme="minorHAnsi"/>
            </w:rPr>
            <w:fldChar w:fldCharType="begin"/>
          </w:r>
          <w:r w:rsidR="00677570">
            <w:rPr>
              <w:rFonts w:cstheme="minorHAnsi"/>
              <w:lang w:val="en-US"/>
            </w:rPr>
            <w:instrText xml:space="preserve"> CITATION And22 \l 1033 </w:instrText>
          </w:r>
          <w:r w:rsidR="00677570">
            <w:rPr>
              <w:rFonts w:cstheme="minorHAnsi"/>
            </w:rPr>
            <w:fldChar w:fldCharType="separate"/>
          </w:r>
          <w:r w:rsidR="009D2B16" w:rsidRPr="009D2B16">
            <w:rPr>
              <w:rFonts w:cstheme="minorHAnsi"/>
              <w:noProof/>
              <w:lang w:val="en-US"/>
            </w:rPr>
            <w:t>(Andik &amp; Rachma, 2022)</w:t>
          </w:r>
          <w:r w:rsidR="00677570">
            <w:rPr>
              <w:rFonts w:cstheme="minorHAnsi"/>
            </w:rPr>
            <w:fldChar w:fldCharType="end"/>
          </w:r>
        </w:sdtContent>
      </w:sdt>
      <w:r w:rsidRPr="003B2D9A">
        <w:rPr>
          <w:rFonts w:cstheme="minorHAnsi"/>
        </w:rPr>
        <w:t xml:space="preserve"> infer that the intensity of the quality perception is also critical – polarising experiences at either end of the scale result in a stronger brand recall and, therefore, a strengthened brand awareness (although, clearly, this applies to perceived ‘bad’ experiences as much as to positive experiences). According to </w:t>
      </w:r>
      <w:sdt>
        <w:sdtPr>
          <w:rPr>
            <w:rFonts w:cstheme="minorHAnsi"/>
          </w:rPr>
          <w:id w:val="-158697825"/>
          <w:citation/>
        </w:sdtPr>
        <w:sdtEndPr/>
        <w:sdtContent>
          <w:r w:rsidRPr="003B2D9A">
            <w:rPr>
              <w:rFonts w:cstheme="minorHAnsi"/>
            </w:rPr>
            <w:fldChar w:fldCharType="begin"/>
          </w:r>
          <w:r w:rsidRPr="003B2D9A">
            <w:rPr>
              <w:rFonts w:cstheme="minorHAnsi"/>
            </w:rPr>
            <w:instrText xml:space="preserve"> CITATION Dav22 \l 2057 </w:instrText>
          </w:r>
          <w:r w:rsidRPr="003B2D9A">
            <w:rPr>
              <w:rFonts w:cstheme="minorHAnsi"/>
            </w:rPr>
            <w:fldChar w:fldCharType="separate"/>
          </w:r>
          <w:r w:rsidR="009D2B16" w:rsidRPr="009D2B16">
            <w:rPr>
              <w:rFonts w:cstheme="minorHAnsi"/>
              <w:noProof/>
            </w:rPr>
            <w:t>(Davies, 2022)</w:t>
          </w:r>
          <w:r w:rsidRPr="003B2D9A">
            <w:rPr>
              <w:rFonts w:cstheme="minorHAnsi"/>
            </w:rPr>
            <w:fldChar w:fldCharType="end"/>
          </w:r>
        </w:sdtContent>
      </w:sdt>
      <w:r w:rsidRPr="003B2D9A">
        <w:rPr>
          <w:rFonts w:cstheme="minorHAnsi"/>
        </w:rPr>
        <w:t>, ‘w</w:t>
      </w:r>
      <w:r w:rsidRPr="003B2D9A">
        <w:rPr>
          <w:rFonts w:cstheme="minorHAnsi"/>
          <w:bCs/>
          <w:shd w:val="clear" w:color="auto" w:fill="FFFFFF"/>
        </w:rPr>
        <w:t>hen visitors experience either a very poor service or an excellent service, this creates an imprint of brand awareness; when visitors experience a mediocre service, almost no imprint at all is created, leaving no legacy of brand awareness – this is the case even if there was no actual fault with the service or product.’</w:t>
      </w:r>
    </w:p>
    <w:p w14:paraId="5FB3A842" w14:textId="25842CB4" w:rsidR="002E2687" w:rsidRDefault="00133EE5" w:rsidP="00523C32">
      <w:pPr>
        <w:spacing w:line="276" w:lineRule="auto"/>
        <w:jc w:val="both"/>
        <w:rPr>
          <w:rFonts w:cstheme="minorHAnsi"/>
          <w:bCs/>
          <w:shd w:val="clear" w:color="auto" w:fill="FFFFFF"/>
        </w:rPr>
      </w:pPr>
      <w:r w:rsidRPr="003B2D9A">
        <w:rPr>
          <w:rFonts w:cstheme="minorHAnsi"/>
          <w:bCs/>
          <w:shd w:val="clear" w:color="auto" w:fill="FFFFFF"/>
        </w:rPr>
        <w:t>Experiential tourism facilities, by their nature, rely upon their consumers being able to reach their sites; the service output then, of the transport and infrastructure providers utilised prior to and following such a visit are equally as critical as that of the facility itself</w:t>
      </w:r>
      <w:sdt>
        <w:sdtPr>
          <w:rPr>
            <w:rFonts w:cstheme="minorHAnsi"/>
            <w:bCs/>
            <w:shd w:val="clear" w:color="auto" w:fill="FFFFFF"/>
          </w:rPr>
          <w:id w:val="583258178"/>
          <w:citation/>
        </w:sdtPr>
        <w:sdtEndPr/>
        <w:sdtContent>
          <w:r w:rsidRPr="003B2D9A">
            <w:rPr>
              <w:rFonts w:cstheme="minorHAnsi"/>
              <w:bCs/>
              <w:shd w:val="clear" w:color="auto" w:fill="FFFFFF"/>
            </w:rPr>
            <w:fldChar w:fldCharType="begin"/>
          </w:r>
          <w:r w:rsidRPr="003B2D9A">
            <w:rPr>
              <w:rFonts w:cstheme="minorHAnsi"/>
              <w:bCs/>
              <w:shd w:val="clear" w:color="auto" w:fill="FFFFFF"/>
            </w:rPr>
            <w:instrText xml:space="preserve"> CITATION Orw02 \l 2057 </w:instrText>
          </w:r>
          <w:r w:rsidRPr="003B2D9A">
            <w:rPr>
              <w:rFonts w:cstheme="minorHAnsi"/>
              <w:bCs/>
              <w:shd w:val="clear" w:color="auto" w:fill="FFFFFF"/>
            </w:rPr>
            <w:fldChar w:fldCharType="separate"/>
          </w:r>
          <w:r w:rsidR="009D2B16">
            <w:rPr>
              <w:rFonts w:cstheme="minorHAnsi"/>
              <w:bCs/>
              <w:noProof/>
              <w:shd w:val="clear" w:color="auto" w:fill="FFFFFF"/>
            </w:rPr>
            <w:t xml:space="preserve"> </w:t>
          </w:r>
          <w:r w:rsidR="009D2B16" w:rsidRPr="009D2B16">
            <w:rPr>
              <w:rFonts w:cstheme="minorHAnsi"/>
              <w:noProof/>
              <w:shd w:val="clear" w:color="auto" w:fill="FFFFFF"/>
            </w:rPr>
            <w:t>(Mitchell &amp; Orwig, 2002)</w:t>
          </w:r>
          <w:r w:rsidRPr="003B2D9A">
            <w:rPr>
              <w:rFonts w:cstheme="minorHAnsi"/>
              <w:bCs/>
              <w:shd w:val="clear" w:color="auto" w:fill="FFFFFF"/>
            </w:rPr>
            <w:fldChar w:fldCharType="end"/>
          </w:r>
        </w:sdtContent>
      </w:sdt>
      <w:r w:rsidRPr="003B2D9A">
        <w:rPr>
          <w:rFonts w:cstheme="minorHAnsi"/>
          <w:bCs/>
          <w:shd w:val="clear" w:color="auto" w:fill="FFFFFF"/>
        </w:rPr>
        <w:t>. The Welsh Government, through its national tourism management arm, Visit Wales, acknowledged this in 2019 and included it as part of its national tourism strategy going forward (</w:t>
      </w:r>
      <w:r w:rsidR="002E2687">
        <w:rPr>
          <w:rFonts w:cstheme="minorHAnsi"/>
          <w:bCs/>
          <w:shd w:val="clear" w:color="auto" w:fill="FFFFFF"/>
        </w:rPr>
        <w:t>f</w:t>
      </w:r>
      <w:r w:rsidRPr="003B2D9A">
        <w:rPr>
          <w:rFonts w:cstheme="minorHAnsi"/>
          <w:bCs/>
          <w:shd w:val="clear" w:color="auto" w:fill="FFFFFF"/>
        </w:rPr>
        <w:t xml:space="preserve">igure </w:t>
      </w:r>
      <w:r w:rsidR="002E2687">
        <w:rPr>
          <w:rFonts w:cstheme="minorHAnsi"/>
          <w:bCs/>
          <w:shd w:val="clear" w:color="auto" w:fill="FFFFFF"/>
        </w:rPr>
        <w:t>2.6.1 on next page</w:t>
      </w:r>
      <w:r w:rsidRPr="003B2D9A">
        <w:rPr>
          <w:rFonts w:cstheme="minorHAnsi"/>
          <w:bCs/>
          <w:shd w:val="clear" w:color="auto" w:fill="FFFFFF"/>
        </w:rPr>
        <w:t xml:space="preserve">). </w:t>
      </w:r>
    </w:p>
    <w:p w14:paraId="460DC76B" w14:textId="77777777" w:rsidR="002E2687" w:rsidRDefault="002E2687">
      <w:pPr>
        <w:rPr>
          <w:rFonts w:cstheme="minorHAnsi"/>
          <w:bCs/>
          <w:shd w:val="clear" w:color="auto" w:fill="FFFFFF"/>
        </w:rPr>
      </w:pPr>
      <w:r>
        <w:rPr>
          <w:rFonts w:cstheme="minorHAnsi"/>
          <w:bCs/>
          <w:shd w:val="clear" w:color="auto" w:fill="FFFFFF"/>
        </w:rPr>
        <w:br w:type="page"/>
      </w:r>
    </w:p>
    <w:p w14:paraId="4DA23FFD" w14:textId="610126D1" w:rsidR="00133EE5" w:rsidRPr="003B2D9A" w:rsidRDefault="002E2687" w:rsidP="00523C32">
      <w:pPr>
        <w:spacing w:line="276" w:lineRule="auto"/>
        <w:jc w:val="both"/>
        <w:rPr>
          <w:rFonts w:cstheme="minorHAnsi"/>
          <w:bCs/>
          <w:shd w:val="clear" w:color="auto" w:fill="FFFFFF"/>
        </w:rPr>
      </w:pPr>
      <w:r w:rsidRPr="007E51D2">
        <w:rPr>
          <w:b/>
          <w:bCs/>
          <w:noProof/>
          <w:sz w:val="24"/>
          <w:szCs w:val="24"/>
        </w:rPr>
        <w:lastRenderedPageBreak/>
        <w:drawing>
          <wp:anchor distT="0" distB="0" distL="114300" distR="114300" simplePos="0" relativeHeight="251661312" behindDoc="1" locked="0" layoutInCell="1" allowOverlap="1" wp14:anchorId="1673FEFF" wp14:editId="482B6B8C">
            <wp:simplePos x="0" y="0"/>
            <wp:positionH relativeFrom="margin">
              <wp:align>center</wp:align>
            </wp:positionH>
            <wp:positionV relativeFrom="margin">
              <wp:align>center</wp:align>
            </wp:positionV>
            <wp:extent cx="6249670" cy="8135620"/>
            <wp:effectExtent l="19050" t="19050" r="17780" b="1778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6249670" cy="8135620"/>
                    </a:xfrm>
                    <a:prstGeom prst="rect">
                      <a:avLst/>
                    </a:prstGeom>
                    <a:ln w="3175">
                      <a:solidFill>
                        <a:sysClr val="windowText" lastClr="000000"/>
                      </a:solidFill>
                    </a:ln>
                  </pic:spPr>
                </pic:pic>
              </a:graphicData>
            </a:graphic>
            <wp14:sizeRelH relativeFrom="margin">
              <wp14:pctWidth>0</wp14:pctWidth>
            </wp14:sizeRelH>
            <wp14:sizeRelV relativeFrom="margin">
              <wp14:pctHeight>0</wp14:pctHeight>
            </wp14:sizeRelV>
          </wp:anchor>
        </w:drawing>
      </w:r>
      <w:r>
        <w:rPr>
          <w:rFonts w:cstheme="minorHAnsi"/>
          <w:bCs/>
          <w:shd w:val="clear" w:color="auto" w:fill="FFFFFF"/>
        </w:rPr>
        <w:t xml:space="preserve">Figure 2.6.1 – Priorities for the Visitor Economy </w:t>
      </w:r>
      <w:sdt>
        <w:sdtPr>
          <w:rPr>
            <w:rFonts w:cstheme="minorHAnsi"/>
            <w:bCs/>
            <w:shd w:val="clear" w:color="auto" w:fill="FFFFFF"/>
          </w:rPr>
          <w:id w:val="159429981"/>
          <w:citation/>
        </w:sdtPr>
        <w:sdtEndPr/>
        <w:sdtContent>
          <w:r>
            <w:rPr>
              <w:rFonts w:cstheme="minorHAnsi"/>
              <w:bCs/>
              <w:shd w:val="clear" w:color="auto" w:fill="FFFFFF"/>
            </w:rPr>
            <w:fldChar w:fldCharType="begin"/>
          </w:r>
          <w:r>
            <w:rPr>
              <w:rFonts w:cstheme="minorHAnsi"/>
              <w:bCs/>
              <w:shd w:val="clear" w:color="auto" w:fill="FFFFFF"/>
              <w:lang w:val="en-US"/>
            </w:rPr>
            <w:instrText xml:space="preserve"> CITATION Wel192 \l 1033 </w:instrText>
          </w:r>
          <w:r>
            <w:rPr>
              <w:rFonts w:cstheme="minorHAnsi"/>
              <w:bCs/>
              <w:shd w:val="clear" w:color="auto" w:fill="FFFFFF"/>
            </w:rPr>
            <w:fldChar w:fldCharType="separate"/>
          </w:r>
          <w:r w:rsidR="009D2B16" w:rsidRPr="009D2B16">
            <w:rPr>
              <w:rFonts w:cstheme="minorHAnsi"/>
              <w:noProof/>
              <w:shd w:val="clear" w:color="auto" w:fill="FFFFFF"/>
              <w:lang w:val="en-US"/>
            </w:rPr>
            <w:t>(Welsh Government, 2019)</w:t>
          </w:r>
          <w:r>
            <w:rPr>
              <w:rFonts w:cstheme="minorHAnsi"/>
              <w:bCs/>
              <w:shd w:val="clear" w:color="auto" w:fill="FFFFFF"/>
            </w:rPr>
            <w:fldChar w:fldCharType="end"/>
          </w:r>
        </w:sdtContent>
      </w:sdt>
    </w:p>
    <w:p w14:paraId="79BBCA56" w14:textId="77777777" w:rsidR="00221290" w:rsidRPr="003B2D9A" w:rsidRDefault="00221290" w:rsidP="00523C32">
      <w:pPr>
        <w:spacing w:line="276" w:lineRule="auto"/>
        <w:jc w:val="both"/>
        <w:rPr>
          <w:rFonts w:cstheme="minorHAnsi"/>
          <w:shd w:val="clear" w:color="auto" w:fill="FFFFFF"/>
        </w:rPr>
      </w:pPr>
    </w:p>
    <w:p w14:paraId="450225F2" w14:textId="7FF41597" w:rsidR="00133EE5" w:rsidRPr="00523C32" w:rsidRDefault="00133EE5" w:rsidP="00523C32">
      <w:pPr>
        <w:pStyle w:val="Heading2"/>
        <w:spacing w:line="360" w:lineRule="auto"/>
        <w:rPr>
          <w:b/>
          <w:bCs/>
          <w:color w:val="auto"/>
          <w:sz w:val="24"/>
          <w:szCs w:val="24"/>
          <w:shd w:val="clear" w:color="auto" w:fill="FFFFFF"/>
        </w:rPr>
      </w:pPr>
      <w:bookmarkStart w:id="20" w:name="_Toc160624586"/>
      <w:r w:rsidRPr="00523C32">
        <w:rPr>
          <w:b/>
          <w:bCs/>
          <w:color w:val="auto"/>
          <w:sz w:val="24"/>
          <w:szCs w:val="24"/>
          <w:shd w:val="clear" w:color="auto" w:fill="FFFFFF"/>
        </w:rPr>
        <w:lastRenderedPageBreak/>
        <w:t>3.0</w:t>
      </w:r>
      <w:r w:rsidRPr="00523C32">
        <w:rPr>
          <w:b/>
          <w:bCs/>
          <w:color w:val="auto"/>
          <w:sz w:val="24"/>
          <w:szCs w:val="24"/>
          <w:shd w:val="clear" w:color="auto" w:fill="FFFFFF"/>
        </w:rPr>
        <w:tab/>
      </w:r>
      <w:r w:rsidR="003B2D9A" w:rsidRPr="00523C32">
        <w:rPr>
          <w:b/>
          <w:bCs/>
          <w:color w:val="auto"/>
          <w:sz w:val="24"/>
          <w:szCs w:val="24"/>
          <w:shd w:val="clear" w:color="auto" w:fill="FFFFFF"/>
        </w:rPr>
        <w:t>CASE STUDY - PENDERYN</w:t>
      </w:r>
      <w:bookmarkEnd w:id="20"/>
    </w:p>
    <w:p w14:paraId="6E46A7C3" w14:textId="77777777" w:rsidR="00133EE5" w:rsidRPr="003B2D9A" w:rsidRDefault="00133EE5" w:rsidP="00523C32">
      <w:pPr>
        <w:spacing w:line="276" w:lineRule="auto"/>
        <w:jc w:val="both"/>
        <w:rPr>
          <w:rFonts w:cstheme="minorHAnsi"/>
        </w:rPr>
      </w:pPr>
      <w:r w:rsidRPr="003B2D9A">
        <w:rPr>
          <w:rFonts w:cstheme="minorHAnsi"/>
        </w:rPr>
        <w:t>The Welsh Whisky Company Limited (better known as, and from here-on-in referred to as ‘Penderyn’) is a producer of premium and super-premium Single Malt Welsh Whisky, headquartered in the village of Penderyn, in South Wales, but with four manufacturing/processing sites across North Wales (Lloyd St, Llandudno Distillery) and South Wales (Brecon Beacons Distillery, Swansea Copperworks Distillery and Hirwaun Maturation Warehouse) and three commercial operations – ‘Visitor Centres’ (adjoined to Llandudno, Brecon Beacons and Swansea distilleries).  In addition to its primary business as a whisky producer, bottler and seller, the company also processes (but does not directly manufacture) a range of gins, vodka, a cream liqueur, and produces two rums under licence.</w:t>
      </w:r>
    </w:p>
    <w:p w14:paraId="279EDE33" w14:textId="77777777" w:rsidR="00133EE5" w:rsidRPr="003B2D9A" w:rsidRDefault="00133EE5" w:rsidP="00523C32">
      <w:pPr>
        <w:spacing w:line="276" w:lineRule="auto"/>
        <w:jc w:val="both"/>
        <w:rPr>
          <w:rFonts w:cstheme="minorHAnsi"/>
        </w:rPr>
      </w:pPr>
      <w:r w:rsidRPr="003B2D9A">
        <w:rPr>
          <w:rFonts w:cstheme="minorHAnsi"/>
        </w:rPr>
        <w:t>The company was founded in 1999, and at this point was the first distillery in Wales for around 100 years. Penderyn is one of the very few independently owned distilleries within the UK, with the majority being under the arms of global beverage producers such as Diago, Beam Suntory, Brown Forman Corporation, Pernod Ricard or Inver House, amongst others. Penderyn is owned by around 60 shareholders, with the major shareholder being an individual who owns circa 65% of the company. Whilst there are strategic benefits to being an independently-owned distillery (such as a greater licence to be creative with regards to product portfolios and new releases) Penderyn does not have anywhere close to the budgetary input (particularly in terms of marketing) that, for example, a Diageo distillery does, and equally would not benefit from the same level of attention or focus from their distribution partners.</w:t>
      </w:r>
    </w:p>
    <w:p w14:paraId="14BF15D5" w14:textId="5E06B5C8" w:rsidR="00133EE5" w:rsidRPr="003B2D9A" w:rsidRDefault="00133EE5" w:rsidP="00523C32">
      <w:pPr>
        <w:spacing w:line="276" w:lineRule="auto"/>
        <w:jc w:val="both"/>
        <w:rPr>
          <w:rFonts w:cstheme="minorHAnsi"/>
        </w:rPr>
      </w:pPr>
      <w:r w:rsidRPr="003B2D9A">
        <w:rPr>
          <w:rFonts w:cstheme="minorHAnsi"/>
        </w:rPr>
        <w:t xml:space="preserve">As a fledging producer in the South Wales valleys during the early 2000s – including the noted economic recession in 2008 – Penderyn’s breakeven point came over a decade after </w:t>
      </w:r>
      <w:r w:rsidR="00523C32" w:rsidRPr="003B2D9A">
        <w:rPr>
          <w:rFonts w:cstheme="minorHAnsi"/>
        </w:rPr>
        <w:t>its</w:t>
      </w:r>
      <w:r w:rsidRPr="003B2D9A">
        <w:rPr>
          <w:rFonts w:cstheme="minorHAnsi"/>
        </w:rPr>
        <w:t xml:space="preserve"> inception, n 2012. Contributing to this was a unique quirk experienced in very few industries – whisky is not legally whisky until it has spent over 3 years maturing in a wooden cask; in reality, whisky, particularly single malt, is rarely of a high quality or flavour/aroma characteristic to be on sale as a premium product until it has matured for 6 years or more. Therefore, for the first 4-5 years of operation, Penderyn suffered all the (very high) costs of laying down spirit for maturation, but none of the return via whisky sales. In order assist with bringing in cash (and building a brand ready to welcome Penderyn Single Malt Welsh Whisky with open arms once it was ready for bottling) the company released a gin, vodka and a cream liqueur as part of its spirit range. </w:t>
      </w:r>
    </w:p>
    <w:p w14:paraId="3BDC5A22" w14:textId="01B554EA" w:rsidR="00133EE5" w:rsidRPr="003B2D9A" w:rsidRDefault="00133EE5" w:rsidP="00523C32">
      <w:pPr>
        <w:spacing w:line="276" w:lineRule="auto"/>
        <w:jc w:val="both"/>
        <w:rPr>
          <w:rFonts w:cstheme="minorHAnsi"/>
        </w:rPr>
      </w:pPr>
      <w:r w:rsidRPr="003B2D9A">
        <w:rPr>
          <w:rFonts w:cstheme="minorHAnsi"/>
        </w:rPr>
        <w:t>Whilst in 1999, Penderyn was the only operational distillery in Wales, by 2012 several other, smaller producers had sprung up across the country, albeit with the majority producing in token volumes. Penderyn had built a prestigious name for itself across the world by this time, and with the advent of the ‘World Whisky’ category firmly in place, it was critical that the image, not only of Penderyn, but of Welsh Whisky, was protected if it were to remain eminent. As a result, work began to enshrine in law a defined status for Single Malt Welsh Whisky, giving it the protection afforded to, amongst others, Gower Salt Marsh Lamb, Melton Mowbray Pork Pies and – perhaps most relevant – Scotch Whisky. This geographic indicator was awarded in mid-2023, ensuring that any product labelled as Single Malt Welsh Whisky met clearly defined and tightly verified sourcing and production regulations. Whilst a major driver for achieving this protected status was in ensuring a high-quality standard for beverages sharing the category with Penderyn, equally as valuable was in its use as a marketing tool.</w:t>
      </w:r>
    </w:p>
    <w:p w14:paraId="3D275A2A" w14:textId="77777777" w:rsidR="00133EE5" w:rsidRPr="003B2D9A" w:rsidRDefault="00133EE5" w:rsidP="00523C32">
      <w:pPr>
        <w:spacing w:line="276" w:lineRule="auto"/>
        <w:jc w:val="both"/>
        <w:rPr>
          <w:rFonts w:cstheme="minorHAnsi"/>
        </w:rPr>
      </w:pPr>
    </w:p>
    <w:p w14:paraId="002E0802" w14:textId="7C299E6E" w:rsidR="00133EE5" w:rsidRPr="00523C32" w:rsidRDefault="00133EE5" w:rsidP="00523C32">
      <w:pPr>
        <w:pStyle w:val="Heading2"/>
        <w:spacing w:line="360" w:lineRule="auto"/>
        <w:rPr>
          <w:b/>
          <w:bCs/>
          <w:color w:val="auto"/>
          <w:sz w:val="24"/>
          <w:szCs w:val="24"/>
        </w:rPr>
      </w:pPr>
      <w:bookmarkStart w:id="21" w:name="_Toc160624587"/>
      <w:r w:rsidRPr="00523C32">
        <w:rPr>
          <w:b/>
          <w:bCs/>
          <w:color w:val="auto"/>
          <w:sz w:val="24"/>
          <w:szCs w:val="24"/>
        </w:rPr>
        <w:lastRenderedPageBreak/>
        <w:t>3.1</w:t>
      </w:r>
      <w:r w:rsidRPr="00523C32">
        <w:rPr>
          <w:b/>
          <w:bCs/>
          <w:color w:val="auto"/>
          <w:sz w:val="24"/>
          <w:szCs w:val="24"/>
        </w:rPr>
        <w:tab/>
      </w:r>
      <w:r w:rsidR="003B2D9A" w:rsidRPr="00523C32">
        <w:rPr>
          <w:b/>
          <w:bCs/>
          <w:color w:val="auto"/>
          <w:sz w:val="24"/>
          <w:szCs w:val="24"/>
        </w:rPr>
        <w:t>PENDERYN BRAND GROWTH STRATEGY: PRE-2008</w:t>
      </w:r>
      <w:bookmarkEnd w:id="21"/>
    </w:p>
    <w:p w14:paraId="48E99C67" w14:textId="28A22B15" w:rsidR="00133EE5" w:rsidRPr="003B2D9A" w:rsidRDefault="00133EE5" w:rsidP="00523C32">
      <w:pPr>
        <w:spacing w:line="276" w:lineRule="auto"/>
        <w:jc w:val="both"/>
        <w:rPr>
          <w:rFonts w:cstheme="minorHAnsi"/>
        </w:rPr>
      </w:pPr>
      <w:r w:rsidRPr="003B2D9A">
        <w:rPr>
          <w:rFonts w:cstheme="minorHAnsi"/>
        </w:rPr>
        <w:t xml:space="preserve">In the years predating its initial visitor centre (at the Brecon Beacons site) Penderyn faced two main challenges; first, to raise cash to ensure not only the continuity of day-to-day operations but also the ongoing survival of the business, by way of sufficient product sales. The secondary challenge was to drive awareness of the brand and its products to ensure that sales followed. As the first commercial whisky distillery in Wales for a century, it was critical that Penderyn was perceived, and accepted, as a serious producer of single malt whisky if the business was to be sustainable. </w:t>
      </w:r>
      <w:r w:rsidR="00523C32" w:rsidRPr="003B2D9A">
        <w:rPr>
          <w:rFonts w:cstheme="minorHAnsi"/>
        </w:rPr>
        <w:t>Then</w:t>
      </w:r>
      <w:r w:rsidRPr="003B2D9A">
        <w:rPr>
          <w:rFonts w:cstheme="minorHAnsi"/>
        </w:rPr>
        <w:t xml:space="preserve">, the early brand growth strategy was two-pronged; the release of the gin, vodka and cream liqueur lines to develop a brand following and raise immediate cash, alongside an intensive, blanket-style marketing campaign to make the Penderyn name known. The early executive team ploughed significant amounts of money into local and regional radio and television advertising, utilising well-known Welsh household names such as Sian Lloyd and Rob Brydon. Additionally, the sales team would attend every possible showcasing opportunity, from trade shows to farmers markets. This was not a sustainable strategy – whilst it did allow for a certain level of reach to potential consumers it was incredibly cash intensive with radio campaigns costing in the thousands for minutes of promotion, and high wage and expense costs for staff members to stand at trade stalls; with a small team, losing several team members to weekend shows impacted greatly on other focuses during the working week. </w:t>
      </w:r>
    </w:p>
    <w:p w14:paraId="69A044CF" w14:textId="4521EF7D" w:rsidR="00133EE5" w:rsidRPr="003B2D9A" w:rsidRDefault="00133EE5" w:rsidP="00523C32">
      <w:pPr>
        <w:spacing w:line="276" w:lineRule="auto"/>
        <w:jc w:val="both"/>
        <w:rPr>
          <w:rFonts w:cstheme="minorHAnsi"/>
        </w:rPr>
      </w:pPr>
      <w:r w:rsidRPr="003B2D9A">
        <w:rPr>
          <w:rFonts w:cstheme="minorHAnsi"/>
        </w:rPr>
        <w:t>It is key to recognise that at this point, Penderyn was aiming to raise awareness of its bottled products only – there was no distillery to promote. The company was focussed on distributing product primarily in the UK, and small areas of Europe, namely Germany and France, with an ambition to extend to the USA as soon as stock volumes were sufficient to support a sales drive there, and marketing budgets were adequate to support. At this time, the Penderyn whisky range consisted of only one standard product (the Penderyn Madeira Finish expression), supported in a very ad-hoc manner by the release of limited editions or single cask expressions.</w:t>
      </w:r>
    </w:p>
    <w:p w14:paraId="0B6EDF26" w14:textId="77777777" w:rsidR="00133EE5" w:rsidRPr="003B2D9A" w:rsidRDefault="00133EE5" w:rsidP="00523C32">
      <w:pPr>
        <w:spacing w:line="276" w:lineRule="auto"/>
        <w:jc w:val="both"/>
        <w:rPr>
          <w:rFonts w:cstheme="minorHAnsi"/>
        </w:rPr>
      </w:pPr>
    </w:p>
    <w:p w14:paraId="6251B9DE" w14:textId="1748E15A" w:rsidR="00133EE5" w:rsidRPr="00523C32" w:rsidRDefault="00133EE5" w:rsidP="00523C32">
      <w:pPr>
        <w:pStyle w:val="Heading2"/>
        <w:spacing w:line="360" w:lineRule="auto"/>
        <w:rPr>
          <w:b/>
          <w:bCs/>
          <w:color w:val="auto"/>
          <w:sz w:val="24"/>
          <w:szCs w:val="24"/>
        </w:rPr>
      </w:pPr>
      <w:bookmarkStart w:id="22" w:name="_Toc160624588"/>
      <w:r w:rsidRPr="00523C32">
        <w:rPr>
          <w:b/>
          <w:bCs/>
          <w:color w:val="auto"/>
          <w:sz w:val="24"/>
          <w:szCs w:val="24"/>
        </w:rPr>
        <w:t>3.2</w:t>
      </w:r>
      <w:r w:rsidRPr="00523C32">
        <w:rPr>
          <w:b/>
          <w:bCs/>
          <w:color w:val="auto"/>
          <w:sz w:val="24"/>
          <w:szCs w:val="24"/>
        </w:rPr>
        <w:tab/>
      </w:r>
      <w:r w:rsidR="003B2D9A" w:rsidRPr="00523C32">
        <w:rPr>
          <w:b/>
          <w:bCs/>
          <w:color w:val="auto"/>
          <w:sz w:val="24"/>
          <w:szCs w:val="24"/>
        </w:rPr>
        <w:t>PENDERYN BRAND GROWTH STRATEGY: POST-2008</w:t>
      </w:r>
      <w:bookmarkEnd w:id="22"/>
    </w:p>
    <w:p w14:paraId="1E9776DE" w14:textId="5FF514CA" w:rsidR="00133EE5" w:rsidRPr="003B2D9A" w:rsidRDefault="00133EE5" w:rsidP="00523C32">
      <w:pPr>
        <w:spacing w:line="276" w:lineRule="auto"/>
        <w:jc w:val="both"/>
        <w:rPr>
          <w:rFonts w:cstheme="minorHAnsi"/>
        </w:rPr>
      </w:pPr>
      <w:r w:rsidRPr="003B2D9A">
        <w:rPr>
          <w:rFonts w:cstheme="minorHAnsi"/>
        </w:rPr>
        <w:t>The brand growth strategy post-2008 was markedly different to that prior; from this point onwards, Penderyn not only had a full product range to market, but it also had a distillery to promote. The visitor centre had opened in March 2008, with the (then) Prince of Wales (Prince Charles) cutting the ribbon to much fanfare. The executive team at Penderyn had taken the stance that it was more lucrative, for the reasons detailed further in section</w:t>
      </w:r>
      <w:r w:rsidR="00CA219B">
        <w:rPr>
          <w:rFonts w:cstheme="minorHAnsi"/>
        </w:rPr>
        <w:t xml:space="preserve"> 3.1</w:t>
      </w:r>
      <w:r w:rsidRPr="003B2D9A">
        <w:rPr>
          <w:rFonts w:cstheme="minorHAnsi"/>
        </w:rPr>
        <w:t xml:space="preserve">, to bring potential consumers into Penderyn, rather than sending Penderyn out to search them out. The marketing budgets at Penderyn at that time were almost non-existent, and certainly would not have stretched anywhere near a decent approach in various countries across the world and so this strategy allowed for one very limited marketing budget to attempt the same coverage. Penderyn’s stance was, and </w:t>
      </w:r>
      <w:r w:rsidR="00523C32" w:rsidRPr="003B2D9A">
        <w:rPr>
          <w:rFonts w:cstheme="minorHAnsi"/>
        </w:rPr>
        <w:t>remains</w:t>
      </w:r>
      <w:r w:rsidRPr="003B2D9A">
        <w:rPr>
          <w:rFonts w:cstheme="minorHAnsi"/>
        </w:rPr>
        <w:t xml:space="preserve">, that </w:t>
      </w:r>
      <w:r w:rsidR="00523C32" w:rsidRPr="003B2D9A">
        <w:rPr>
          <w:rFonts w:cstheme="minorHAnsi"/>
        </w:rPr>
        <w:t>every</w:t>
      </w:r>
      <w:r w:rsidRPr="003B2D9A">
        <w:rPr>
          <w:rFonts w:cstheme="minorHAnsi"/>
        </w:rPr>
        <w:t xml:space="preserve"> person that comes into one of their visitor centres should leave as an ambassador for the brand. Penderyn enacts this using an authentic brand story featuring its all-female distilling and blending team – a rarity in the industry and a definite USP – along with its Welsh identity and intimate tours, all leveraging into its home territory. This was, and still is, supported by the ongoing extension of the product range, which diversified into a ‘Gold’ range (signature, core range), a ‘Dragon’ range (entry-level) and then premium and super-premium single casks, small batches and limited editions. Building on this, then, was the inception of the Icons of Wales series in 2012 – a plan for 50 limited-edition bottling runs spanning the </w:t>
      </w:r>
      <w:r w:rsidRPr="003B2D9A">
        <w:rPr>
          <w:rFonts w:cstheme="minorHAnsi"/>
        </w:rPr>
        <w:lastRenderedPageBreak/>
        <w:t>next 25 years, each celebrating significant moments or people within Welsh history or society. Those released to date (</w:t>
      </w:r>
      <w:r w:rsidR="006C49C7">
        <w:rPr>
          <w:rFonts w:cstheme="minorHAnsi"/>
        </w:rPr>
        <w:t>11</w:t>
      </w:r>
      <w:r w:rsidRPr="003B2D9A">
        <w:rPr>
          <w:rFonts w:cstheme="minorHAnsi"/>
        </w:rPr>
        <w:t>) have become extremely collectible and have helped to cement Penderyn in the heart of consumers across Wales and further afield. The same is true for the distilleries Grand Slam special edition bottlings, with three since 2008.</w:t>
      </w:r>
    </w:p>
    <w:p w14:paraId="33B7E69C" w14:textId="77777777" w:rsidR="00133EE5" w:rsidRPr="003B2D9A" w:rsidRDefault="00133EE5" w:rsidP="00523C32">
      <w:pPr>
        <w:spacing w:line="276" w:lineRule="auto"/>
        <w:jc w:val="both"/>
        <w:rPr>
          <w:rFonts w:cstheme="minorHAnsi"/>
        </w:rPr>
      </w:pPr>
      <w:r w:rsidRPr="003B2D9A">
        <w:rPr>
          <w:rFonts w:cstheme="minorHAnsi"/>
        </w:rPr>
        <w:t>Furthermore, with the installation of the first Penderyn visitor centre, the team opted to let radio and television advertising slide, due to cost and resource consumption, and chose instead a heavier focus on more organic marketing strategies, spurred on by the advent of social media – again allowing a more global reach (albeit, only as strong as the supporting marketing campaign) for a far lower capital outlay.</w:t>
      </w:r>
    </w:p>
    <w:p w14:paraId="3116BED9" w14:textId="1D735D34" w:rsidR="00133EE5" w:rsidRPr="003B2D9A" w:rsidRDefault="00133EE5" w:rsidP="00523C32">
      <w:pPr>
        <w:spacing w:line="276" w:lineRule="auto"/>
        <w:jc w:val="both"/>
        <w:rPr>
          <w:rFonts w:cstheme="minorHAnsi"/>
        </w:rPr>
      </w:pPr>
      <w:r w:rsidRPr="003B2D9A">
        <w:rPr>
          <w:rFonts w:cstheme="minorHAnsi"/>
        </w:rPr>
        <w:t xml:space="preserve">It was around 2008 that Penderyn reassessed itself and crystallised its brand image and what exactly Penderyn stood for – this was a pivotal point in the future of the brands perception; it allowed the company to determine which consumers/segments to target and how best to target them. After all, if a company </w:t>
      </w:r>
      <w:r w:rsidR="00523C32" w:rsidRPr="003B2D9A">
        <w:rPr>
          <w:rFonts w:cstheme="minorHAnsi"/>
        </w:rPr>
        <w:t>cannot</w:t>
      </w:r>
      <w:r w:rsidRPr="003B2D9A">
        <w:rPr>
          <w:rFonts w:cstheme="minorHAnsi"/>
        </w:rPr>
        <w:t xml:space="preserve"> perceive its own brand clearly, consumers stand little chance. The company paired with prominent and strategic import and distribution partners in the USA, Germany, France and the Far East with the aim of establishing itself as a known name and driving sales in those regions – to date, these remain key catalyst export markets for the company.</w:t>
      </w:r>
    </w:p>
    <w:p w14:paraId="39F871D5" w14:textId="794AC684" w:rsidR="00133EE5" w:rsidRPr="003B2D9A" w:rsidRDefault="00133EE5" w:rsidP="00523C32">
      <w:pPr>
        <w:spacing w:line="276" w:lineRule="auto"/>
        <w:jc w:val="both"/>
        <w:rPr>
          <w:rFonts w:cstheme="minorHAnsi"/>
        </w:rPr>
      </w:pPr>
      <w:r w:rsidRPr="003B2D9A">
        <w:rPr>
          <w:rFonts w:cstheme="minorHAnsi"/>
        </w:rPr>
        <w:t xml:space="preserve">The brand growth strategy was hampered somewhat in 2009 when, due to a UK recession and subsequent downturn in sales, the company had to suspend all distillation operations for a period of 9 months </w:t>
      </w:r>
      <w:r w:rsidR="00523C32" w:rsidRPr="003B2D9A">
        <w:rPr>
          <w:rFonts w:cstheme="minorHAnsi"/>
        </w:rPr>
        <w:t>to</w:t>
      </w:r>
      <w:r w:rsidRPr="003B2D9A">
        <w:rPr>
          <w:rFonts w:cstheme="minorHAnsi"/>
        </w:rPr>
        <w:t xml:space="preserve"> preserve cash to ensure the survival of the business. Whilst the visitor centre remained open during this period, visitors </w:t>
      </w:r>
      <w:r w:rsidR="00523C32" w:rsidRPr="003B2D9A">
        <w:rPr>
          <w:rFonts w:cstheme="minorHAnsi"/>
        </w:rPr>
        <w:t>understood</w:t>
      </w:r>
      <w:r w:rsidRPr="003B2D9A">
        <w:rPr>
          <w:rFonts w:cstheme="minorHAnsi"/>
        </w:rPr>
        <w:t xml:space="preserve"> the distillery was ‘cold</w:t>
      </w:r>
      <w:proofErr w:type="gramStart"/>
      <w:r w:rsidRPr="003B2D9A">
        <w:rPr>
          <w:rFonts w:cstheme="minorHAnsi"/>
        </w:rPr>
        <w:t>’;</w:t>
      </w:r>
      <w:proofErr w:type="gramEnd"/>
      <w:r w:rsidRPr="003B2D9A">
        <w:rPr>
          <w:rFonts w:cstheme="minorHAnsi"/>
        </w:rPr>
        <w:t xml:space="preserve"> additionally, all but the most strategic – and low cost – marketing functions were paused until normality resumed in early 2010.</w:t>
      </w:r>
    </w:p>
    <w:p w14:paraId="1A22F065" w14:textId="77777777" w:rsidR="00133EE5" w:rsidRPr="003B2D9A" w:rsidRDefault="00133EE5" w:rsidP="00523C32">
      <w:pPr>
        <w:spacing w:line="276" w:lineRule="auto"/>
        <w:jc w:val="both"/>
        <w:rPr>
          <w:rFonts w:cstheme="minorHAnsi"/>
        </w:rPr>
      </w:pPr>
    </w:p>
    <w:p w14:paraId="7B49BAF9" w14:textId="61085971" w:rsidR="00133EE5" w:rsidRPr="00523C32" w:rsidRDefault="00133EE5" w:rsidP="00523C32">
      <w:pPr>
        <w:pStyle w:val="Heading2"/>
        <w:spacing w:line="360" w:lineRule="auto"/>
        <w:rPr>
          <w:b/>
          <w:bCs/>
          <w:color w:val="auto"/>
          <w:sz w:val="24"/>
          <w:szCs w:val="24"/>
        </w:rPr>
      </w:pPr>
      <w:bookmarkStart w:id="23" w:name="_Toc160624589"/>
      <w:r w:rsidRPr="00523C32">
        <w:rPr>
          <w:b/>
          <w:bCs/>
          <w:color w:val="auto"/>
          <w:sz w:val="24"/>
          <w:szCs w:val="24"/>
        </w:rPr>
        <w:t>3.3</w:t>
      </w:r>
      <w:r w:rsidRPr="00523C32">
        <w:rPr>
          <w:b/>
          <w:bCs/>
          <w:color w:val="auto"/>
          <w:sz w:val="24"/>
          <w:szCs w:val="24"/>
        </w:rPr>
        <w:tab/>
      </w:r>
      <w:r w:rsidR="003B2D9A" w:rsidRPr="00523C32">
        <w:rPr>
          <w:b/>
          <w:bCs/>
          <w:color w:val="auto"/>
          <w:sz w:val="24"/>
          <w:szCs w:val="24"/>
        </w:rPr>
        <w:t>THE IMPACT OF COVID-19 ON PENDERYN’S EXPERIENTIAL TOURISM MODEL</w:t>
      </w:r>
      <w:bookmarkEnd w:id="23"/>
    </w:p>
    <w:p w14:paraId="7CD23FA1" w14:textId="77777777" w:rsidR="00133EE5" w:rsidRPr="003B2D9A" w:rsidRDefault="00133EE5" w:rsidP="00523C32">
      <w:pPr>
        <w:spacing w:line="276" w:lineRule="auto"/>
        <w:jc w:val="both"/>
        <w:rPr>
          <w:rFonts w:cstheme="minorHAnsi"/>
        </w:rPr>
      </w:pPr>
      <w:r w:rsidRPr="003B2D9A">
        <w:rPr>
          <w:rFonts w:cstheme="minorHAnsi"/>
        </w:rPr>
        <w:t>The global Covid-19 pandemic shook tourism in a way never seen before; for Penderyn’s Brecon Beacons Visitor Centre, the effects were multi-faceted:</w:t>
      </w:r>
    </w:p>
    <w:p w14:paraId="28DFED83" w14:textId="2A738B8E" w:rsidR="00133EE5" w:rsidRPr="003B2D9A" w:rsidRDefault="00133EE5" w:rsidP="00523C32">
      <w:pPr>
        <w:pStyle w:val="ListParagraph"/>
        <w:numPr>
          <w:ilvl w:val="0"/>
          <w:numId w:val="8"/>
        </w:numPr>
        <w:spacing w:line="276" w:lineRule="auto"/>
        <w:jc w:val="both"/>
        <w:rPr>
          <w:rFonts w:cstheme="minorHAnsi"/>
        </w:rPr>
      </w:pPr>
      <w:r w:rsidRPr="003B2D9A">
        <w:rPr>
          <w:rFonts w:cstheme="minorHAnsi"/>
        </w:rPr>
        <w:t>A drop in visitor numbers from 40,682 for the financial year ending 31</w:t>
      </w:r>
      <w:r w:rsidRPr="003B2D9A">
        <w:rPr>
          <w:rFonts w:cstheme="minorHAnsi"/>
          <w:vertAlign w:val="superscript"/>
        </w:rPr>
        <w:t>st</w:t>
      </w:r>
      <w:r w:rsidRPr="003B2D9A">
        <w:rPr>
          <w:rFonts w:cstheme="minorHAnsi"/>
        </w:rPr>
        <w:t xml:space="preserve"> August 2019, to 28,033 for the following financial year, then again to 17,118 for the year ending 31</w:t>
      </w:r>
      <w:r w:rsidRPr="003B2D9A">
        <w:rPr>
          <w:rFonts w:cstheme="minorHAnsi"/>
          <w:vertAlign w:val="superscript"/>
        </w:rPr>
        <w:t>st</w:t>
      </w:r>
      <w:r w:rsidRPr="003B2D9A">
        <w:rPr>
          <w:rFonts w:cstheme="minorHAnsi"/>
        </w:rPr>
        <w:t xml:space="preserve"> August 2021 (illustrated in table </w:t>
      </w:r>
      <w:r w:rsidR="003103BA">
        <w:rPr>
          <w:rFonts w:cstheme="minorHAnsi"/>
        </w:rPr>
        <w:t>3.3.1</w:t>
      </w:r>
      <w:r w:rsidRPr="003B2D9A">
        <w:rPr>
          <w:rFonts w:cstheme="minorHAnsi"/>
        </w:rPr>
        <w:t>)</w:t>
      </w:r>
    </w:p>
    <w:p w14:paraId="31A79554" w14:textId="7B9467E5" w:rsidR="00133EE5" w:rsidRPr="003B2D9A" w:rsidRDefault="00133EE5" w:rsidP="00523C32">
      <w:pPr>
        <w:pStyle w:val="ListParagraph"/>
        <w:numPr>
          <w:ilvl w:val="0"/>
          <w:numId w:val="8"/>
        </w:numPr>
        <w:spacing w:line="276" w:lineRule="auto"/>
        <w:jc w:val="both"/>
        <w:rPr>
          <w:rFonts w:cstheme="minorHAnsi"/>
        </w:rPr>
      </w:pPr>
      <w:r w:rsidRPr="003B2D9A">
        <w:rPr>
          <w:rFonts w:cstheme="minorHAnsi"/>
        </w:rPr>
        <w:t>An associated fall in total revenue for the site from just shy of £1.1 million (year ending 31</w:t>
      </w:r>
      <w:r w:rsidRPr="003B2D9A">
        <w:rPr>
          <w:rFonts w:cstheme="minorHAnsi"/>
          <w:vertAlign w:val="superscript"/>
        </w:rPr>
        <w:t>st</w:t>
      </w:r>
      <w:r w:rsidRPr="003B2D9A">
        <w:rPr>
          <w:rFonts w:cstheme="minorHAnsi"/>
        </w:rPr>
        <w:t xml:space="preserve"> August 2019), to £656k (year ending 31</w:t>
      </w:r>
      <w:r w:rsidRPr="003B2D9A">
        <w:rPr>
          <w:rFonts w:cstheme="minorHAnsi"/>
          <w:vertAlign w:val="superscript"/>
        </w:rPr>
        <w:t>st</w:t>
      </w:r>
      <w:r w:rsidRPr="003B2D9A">
        <w:rPr>
          <w:rFonts w:cstheme="minorHAnsi"/>
        </w:rPr>
        <w:t xml:space="preserve"> August 2020), although, interestingly, revenue increased slightly (approx. 7% increase) in the following year, despite the </w:t>
      </w:r>
      <w:r w:rsidR="00523C32" w:rsidRPr="003B2D9A">
        <w:rPr>
          <w:rFonts w:cstheme="minorHAnsi"/>
        </w:rPr>
        <w:t>drop</w:t>
      </w:r>
      <w:r w:rsidRPr="003B2D9A">
        <w:rPr>
          <w:rFonts w:cstheme="minorHAnsi"/>
        </w:rPr>
        <w:t xml:space="preserve"> in visitors of around 39% for the same period</w:t>
      </w:r>
      <w:r w:rsidR="003103BA">
        <w:rPr>
          <w:rFonts w:cstheme="minorHAnsi"/>
        </w:rPr>
        <w:t xml:space="preserve"> (again, illustrated in table 3.3.1)</w:t>
      </w:r>
    </w:p>
    <w:p w14:paraId="05189016" w14:textId="77777777" w:rsidR="00133EE5" w:rsidRPr="003B2D9A" w:rsidRDefault="00133EE5" w:rsidP="00523C32">
      <w:pPr>
        <w:pStyle w:val="ListParagraph"/>
        <w:numPr>
          <w:ilvl w:val="0"/>
          <w:numId w:val="8"/>
        </w:numPr>
        <w:spacing w:line="276" w:lineRule="auto"/>
        <w:jc w:val="both"/>
        <w:rPr>
          <w:rFonts w:cstheme="minorHAnsi"/>
        </w:rPr>
      </w:pPr>
      <w:r w:rsidRPr="003B2D9A">
        <w:rPr>
          <w:rFonts w:cstheme="minorHAnsi"/>
        </w:rPr>
        <w:t xml:space="preserve">A move (necessitated by the UK Government closure of all non-essential facilities) to offer virtual Masterclasses and tasting sessions online – this was a lucrative move in some ways as it created an effective revenue channel to temporarily take the place of the on-site experiences, whilst saving heavily on overheads such as lighting, heat, cleaning etc. associated with the physical events. However, whilst consumers were paying for these experiences, Penderyn missed out on a crucial aspect – the impulsive spend in the gift shop on the way out of the tours. Additionally, on the face of things, these virtual events also had a wider potential reach – consumers were no longer constrained by travel times, costs or infrastructure limitations and the team were able to connect with consumers across the UK who would </w:t>
      </w:r>
      <w:r w:rsidRPr="003B2D9A">
        <w:rPr>
          <w:rFonts w:cstheme="minorHAnsi"/>
        </w:rPr>
        <w:lastRenderedPageBreak/>
        <w:t>perhaps ordinarily not have travelled to South Wales. However, just as Penderyn was able to reach a wider pool of whisky explorers, so were other distilleries. Overnight, Penderyn shifted from being the only working distillery within perhaps a 400-mile radius offering visitor experiences, to being one of hundreds doing the same thing – literally within a click of each other. The whisky tourism market became saturated overnight and so the Penderyn marketing team needed to make a stronger push than ever.</w:t>
      </w:r>
    </w:p>
    <w:p w14:paraId="1A5C43EE" w14:textId="77777777" w:rsidR="00133EE5" w:rsidRPr="003B2D9A" w:rsidRDefault="00133EE5" w:rsidP="00523C32">
      <w:pPr>
        <w:pStyle w:val="ListParagraph"/>
        <w:numPr>
          <w:ilvl w:val="0"/>
          <w:numId w:val="8"/>
        </w:numPr>
        <w:spacing w:line="276" w:lineRule="auto"/>
        <w:jc w:val="both"/>
        <w:rPr>
          <w:rFonts w:cstheme="minorHAnsi"/>
        </w:rPr>
      </w:pPr>
      <w:r w:rsidRPr="003B2D9A">
        <w:rPr>
          <w:rFonts w:cstheme="minorHAnsi"/>
        </w:rPr>
        <w:t>The lack of face-to-face visits resulted in fewer opportunities for the Penderyn teams to use the Visitor Centres as research bases, resulting in a less intrinsic view of what consumers were looking for (arguably at a time when consumers had more time than ever before to explore their whisky preferences).</w:t>
      </w:r>
    </w:p>
    <w:p w14:paraId="60A6D42E" w14:textId="77777777" w:rsidR="00133EE5" w:rsidRPr="003B2D9A" w:rsidRDefault="00133EE5" w:rsidP="00523C32">
      <w:pPr>
        <w:pStyle w:val="ListParagraph"/>
        <w:numPr>
          <w:ilvl w:val="0"/>
          <w:numId w:val="8"/>
        </w:numPr>
        <w:spacing w:line="276" w:lineRule="auto"/>
        <w:jc w:val="both"/>
        <w:rPr>
          <w:rFonts w:cstheme="minorHAnsi"/>
        </w:rPr>
      </w:pPr>
      <w:r w:rsidRPr="003B2D9A">
        <w:rPr>
          <w:rFonts w:cstheme="minorHAnsi"/>
        </w:rPr>
        <w:t>Wales’ image as a tourism destination suffered significantly when the then-First Minister publicly made clear that visitors crossing the border from England were not wanted, and then imposed more stringent, and longer-lasting, restrictions than the UK Government did – this resultant sentiment held by visitors prevailed for a significant period following relaxation of the restrictions.</w:t>
      </w:r>
    </w:p>
    <w:p w14:paraId="7B8D4052" w14:textId="7B26D6ED" w:rsidR="00133EE5" w:rsidRDefault="00133EE5" w:rsidP="00523C32">
      <w:pPr>
        <w:spacing w:line="276" w:lineRule="auto"/>
        <w:jc w:val="both"/>
        <w:rPr>
          <w:rFonts w:cstheme="minorHAnsi"/>
        </w:rPr>
      </w:pPr>
      <w:r w:rsidRPr="003B2D9A">
        <w:rPr>
          <w:rFonts w:cstheme="minorHAnsi"/>
        </w:rPr>
        <w:t>Prior to Covid-19, Penderyn had relied heavily upon word-of-mouth recommendations and leaflet distribution via other attractions; these were not viable options during the pandemic, and so, in order not to be forgotten, Penderyn needed to increase its marketing spend vastly to ensure suitable exposure.</w:t>
      </w:r>
    </w:p>
    <w:p w14:paraId="50452AF8" w14:textId="77777777" w:rsidR="007D12BC" w:rsidRDefault="007D12BC" w:rsidP="00523C32">
      <w:pPr>
        <w:spacing w:line="276" w:lineRule="auto"/>
        <w:jc w:val="both"/>
        <w:rPr>
          <w:rFonts w:cstheme="minorHAnsi"/>
        </w:rPr>
      </w:pPr>
    </w:p>
    <w:p w14:paraId="2AF546C9" w14:textId="77777777" w:rsidR="007D12BC" w:rsidRDefault="007D12BC" w:rsidP="00523C32">
      <w:pPr>
        <w:spacing w:line="276" w:lineRule="auto"/>
        <w:jc w:val="both"/>
        <w:rPr>
          <w:rFonts w:cstheme="minorHAnsi"/>
        </w:rPr>
      </w:pPr>
    </w:p>
    <w:p w14:paraId="5EE550C1" w14:textId="77777777" w:rsidR="007D12BC" w:rsidRDefault="007D12BC" w:rsidP="00523C32">
      <w:pPr>
        <w:spacing w:line="276" w:lineRule="auto"/>
        <w:jc w:val="both"/>
        <w:rPr>
          <w:rFonts w:cstheme="minorHAnsi"/>
        </w:rPr>
      </w:pPr>
    </w:p>
    <w:p w14:paraId="2D69A447" w14:textId="77777777" w:rsidR="007D12BC" w:rsidRDefault="007D12BC" w:rsidP="00523C32">
      <w:pPr>
        <w:spacing w:line="276" w:lineRule="auto"/>
        <w:jc w:val="both"/>
        <w:rPr>
          <w:rFonts w:cstheme="minorHAnsi"/>
        </w:rPr>
      </w:pPr>
    </w:p>
    <w:p w14:paraId="6CB23A07" w14:textId="77777777" w:rsidR="007D12BC" w:rsidRDefault="007D12BC" w:rsidP="00523C32">
      <w:pPr>
        <w:spacing w:line="276" w:lineRule="auto"/>
        <w:jc w:val="both"/>
        <w:rPr>
          <w:rFonts w:cstheme="minorHAnsi"/>
        </w:rPr>
      </w:pPr>
    </w:p>
    <w:p w14:paraId="3582F184" w14:textId="77777777" w:rsidR="007D12BC" w:rsidRDefault="007D12BC" w:rsidP="00523C32">
      <w:pPr>
        <w:spacing w:line="276" w:lineRule="auto"/>
        <w:jc w:val="both"/>
        <w:rPr>
          <w:rFonts w:cstheme="minorHAnsi"/>
        </w:rPr>
      </w:pPr>
    </w:p>
    <w:p w14:paraId="4D238DDB" w14:textId="77777777" w:rsidR="007D12BC" w:rsidRDefault="007D12BC" w:rsidP="00523C32">
      <w:pPr>
        <w:spacing w:line="276" w:lineRule="auto"/>
        <w:jc w:val="both"/>
        <w:rPr>
          <w:rFonts w:cstheme="minorHAnsi"/>
        </w:rPr>
      </w:pPr>
    </w:p>
    <w:p w14:paraId="473A1628" w14:textId="77777777" w:rsidR="007D12BC" w:rsidRDefault="007D12BC" w:rsidP="00523C32">
      <w:pPr>
        <w:spacing w:line="276" w:lineRule="auto"/>
        <w:jc w:val="both"/>
        <w:rPr>
          <w:rFonts w:cstheme="minorHAnsi"/>
        </w:rPr>
      </w:pPr>
    </w:p>
    <w:p w14:paraId="736FE81D" w14:textId="77777777" w:rsidR="007D12BC" w:rsidRDefault="007D12BC" w:rsidP="00523C32">
      <w:pPr>
        <w:spacing w:line="276" w:lineRule="auto"/>
        <w:jc w:val="both"/>
        <w:rPr>
          <w:rFonts w:cstheme="minorHAnsi"/>
        </w:rPr>
      </w:pPr>
    </w:p>
    <w:p w14:paraId="5DC4F7BB" w14:textId="77777777" w:rsidR="007D12BC" w:rsidRDefault="007D12BC" w:rsidP="00523C32">
      <w:pPr>
        <w:spacing w:line="276" w:lineRule="auto"/>
        <w:jc w:val="both"/>
        <w:rPr>
          <w:rFonts w:cstheme="minorHAnsi"/>
        </w:rPr>
      </w:pPr>
    </w:p>
    <w:p w14:paraId="60D0250D" w14:textId="77777777" w:rsidR="007D12BC" w:rsidRDefault="007D12BC" w:rsidP="00523C32">
      <w:pPr>
        <w:spacing w:line="276" w:lineRule="auto"/>
        <w:jc w:val="both"/>
        <w:rPr>
          <w:rFonts w:cstheme="minorHAnsi"/>
        </w:rPr>
      </w:pPr>
    </w:p>
    <w:p w14:paraId="6F40042D" w14:textId="77777777" w:rsidR="007D12BC" w:rsidRDefault="007D12BC" w:rsidP="00523C32">
      <w:pPr>
        <w:spacing w:line="276" w:lineRule="auto"/>
        <w:jc w:val="both"/>
        <w:rPr>
          <w:rFonts w:cstheme="minorHAnsi"/>
        </w:rPr>
      </w:pPr>
    </w:p>
    <w:p w14:paraId="7474A287" w14:textId="77777777" w:rsidR="007D12BC" w:rsidRDefault="007D12BC" w:rsidP="00523C32">
      <w:pPr>
        <w:spacing w:line="276" w:lineRule="auto"/>
        <w:jc w:val="both"/>
        <w:rPr>
          <w:rFonts w:cstheme="minorHAnsi"/>
        </w:rPr>
      </w:pPr>
    </w:p>
    <w:p w14:paraId="49C53580" w14:textId="77777777" w:rsidR="007D12BC" w:rsidRDefault="007D12BC" w:rsidP="00523C32">
      <w:pPr>
        <w:spacing w:line="276" w:lineRule="auto"/>
        <w:jc w:val="both"/>
        <w:rPr>
          <w:rFonts w:cstheme="minorHAnsi"/>
        </w:rPr>
      </w:pPr>
    </w:p>
    <w:p w14:paraId="4438138C" w14:textId="77777777" w:rsidR="007D12BC" w:rsidRDefault="007D12BC" w:rsidP="00523C32">
      <w:pPr>
        <w:spacing w:line="276" w:lineRule="auto"/>
        <w:jc w:val="both"/>
        <w:rPr>
          <w:rFonts w:cstheme="minorHAnsi"/>
        </w:rPr>
      </w:pPr>
    </w:p>
    <w:p w14:paraId="1EEEF417" w14:textId="77777777" w:rsidR="007D12BC" w:rsidRDefault="007D12BC" w:rsidP="00523C32">
      <w:pPr>
        <w:spacing w:line="276" w:lineRule="auto"/>
        <w:jc w:val="both"/>
        <w:rPr>
          <w:rFonts w:cstheme="minorHAnsi"/>
        </w:rPr>
      </w:pPr>
    </w:p>
    <w:p w14:paraId="5BB3C3C8" w14:textId="218E132B" w:rsidR="00BE389A" w:rsidRPr="007D12BC" w:rsidRDefault="00BE389A" w:rsidP="007D12BC">
      <w:pPr>
        <w:rPr>
          <w:rFonts w:cstheme="minorHAnsi"/>
        </w:rPr>
        <w:sectPr w:rsidR="00BE389A" w:rsidRPr="007D12BC" w:rsidSect="00856DCA">
          <w:footerReference w:type="default" r:id="rId10"/>
          <w:footerReference w:type="first" r:id="rId11"/>
          <w:pgSz w:w="11906" w:h="16838"/>
          <w:pgMar w:top="1440" w:right="1440" w:bottom="1440" w:left="1440" w:header="708" w:footer="708" w:gutter="0"/>
          <w:pgNumType w:start="0"/>
          <w:cols w:space="708"/>
          <w:titlePg/>
          <w:docGrid w:linePitch="360"/>
        </w:sectPr>
      </w:pPr>
    </w:p>
    <w:p w14:paraId="4720FF6C" w14:textId="77777777" w:rsidR="007D12BC" w:rsidRDefault="007D12BC" w:rsidP="007D12BC">
      <w:pPr>
        <w:spacing w:line="276" w:lineRule="auto"/>
        <w:jc w:val="both"/>
        <w:rPr>
          <w:rFonts w:cstheme="minorHAnsi"/>
        </w:rPr>
      </w:pPr>
      <w:r>
        <w:rPr>
          <w:rFonts w:cstheme="minorHAnsi"/>
        </w:rPr>
        <w:lastRenderedPageBreak/>
        <w:t>Figure 3.3.1 – Key headlines on Visitor Centre performance data</w:t>
      </w:r>
    </w:p>
    <w:tbl>
      <w:tblPr>
        <w:tblpPr w:leftFromText="180" w:rightFromText="180" w:vertAnchor="page" w:horzAnchor="margin" w:tblpY="2401"/>
        <w:tblW w:w="13420" w:type="dxa"/>
        <w:tblLook w:val="04A0" w:firstRow="1" w:lastRow="0" w:firstColumn="1" w:lastColumn="0" w:noHBand="0" w:noVBand="1"/>
      </w:tblPr>
      <w:tblGrid>
        <w:gridCol w:w="4180"/>
        <w:gridCol w:w="1320"/>
        <w:gridCol w:w="1320"/>
        <w:gridCol w:w="1320"/>
        <w:gridCol w:w="1320"/>
        <w:gridCol w:w="1320"/>
        <w:gridCol w:w="1320"/>
        <w:gridCol w:w="1320"/>
      </w:tblGrid>
      <w:tr w:rsidR="007D12BC" w:rsidRPr="00383927" w14:paraId="14F8B64D" w14:textId="77777777" w:rsidTr="007D12BC">
        <w:trPr>
          <w:trHeight w:val="315"/>
        </w:trPr>
        <w:tc>
          <w:tcPr>
            <w:tcW w:w="13420" w:type="dxa"/>
            <w:gridSpan w:val="8"/>
            <w:tcBorders>
              <w:top w:val="single" w:sz="8" w:space="0" w:color="auto"/>
              <w:left w:val="single" w:sz="8" w:space="0" w:color="auto"/>
              <w:bottom w:val="nil"/>
              <w:right w:val="single" w:sz="8" w:space="0" w:color="000000"/>
            </w:tcBorders>
            <w:shd w:val="clear" w:color="auto" w:fill="auto"/>
            <w:noWrap/>
            <w:vAlign w:val="bottom"/>
            <w:hideMark/>
          </w:tcPr>
          <w:p w14:paraId="674674B8" w14:textId="77777777" w:rsidR="007D12BC" w:rsidRPr="00383927" w:rsidRDefault="007D12BC" w:rsidP="007D12BC">
            <w:pPr>
              <w:spacing w:after="0" w:line="240" w:lineRule="auto"/>
              <w:rPr>
                <w:rFonts w:ascii="Calibri" w:eastAsia="Times New Roman" w:hAnsi="Calibri" w:cs="Calibri"/>
                <w:b/>
                <w:bCs/>
                <w:color w:val="000000"/>
                <w:kern w:val="0"/>
                <w:sz w:val="18"/>
                <w:szCs w:val="18"/>
                <w:lang w:eastAsia="en-GB"/>
                <w14:ligatures w14:val="none"/>
              </w:rPr>
            </w:pPr>
            <w:r w:rsidRPr="00383927">
              <w:rPr>
                <w:rFonts w:ascii="Calibri" w:eastAsia="Times New Roman" w:hAnsi="Calibri" w:cs="Calibri"/>
                <w:b/>
                <w:bCs/>
                <w:color w:val="000000"/>
                <w:kern w:val="0"/>
                <w:sz w:val="18"/>
                <w:szCs w:val="18"/>
                <w:lang w:eastAsia="en-GB"/>
                <w14:ligatures w14:val="none"/>
              </w:rPr>
              <w:t>Brecon Beacons Distillery</w:t>
            </w:r>
          </w:p>
        </w:tc>
      </w:tr>
      <w:tr w:rsidR="007D12BC" w:rsidRPr="00383927" w14:paraId="14F95E99" w14:textId="77777777" w:rsidTr="007D12BC">
        <w:trPr>
          <w:trHeight w:val="582"/>
        </w:trPr>
        <w:tc>
          <w:tcPr>
            <w:tcW w:w="4180" w:type="dxa"/>
            <w:tcBorders>
              <w:top w:val="single" w:sz="8" w:space="0" w:color="auto"/>
              <w:left w:val="single" w:sz="8" w:space="0" w:color="auto"/>
              <w:bottom w:val="single" w:sz="4" w:space="0" w:color="auto"/>
              <w:right w:val="single" w:sz="4" w:space="0" w:color="auto"/>
            </w:tcBorders>
            <w:shd w:val="clear" w:color="auto" w:fill="auto"/>
            <w:vAlign w:val="center"/>
            <w:hideMark/>
          </w:tcPr>
          <w:p w14:paraId="24765A54"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Period</w:t>
            </w:r>
          </w:p>
        </w:tc>
        <w:tc>
          <w:tcPr>
            <w:tcW w:w="1320" w:type="dxa"/>
            <w:tcBorders>
              <w:top w:val="single" w:sz="8" w:space="0" w:color="auto"/>
              <w:left w:val="nil"/>
              <w:bottom w:val="single" w:sz="4" w:space="0" w:color="auto"/>
              <w:right w:val="single" w:sz="4" w:space="0" w:color="auto"/>
            </w:tcBorders>
            <w:shd w:val="clear" w:color="auto" w:fill="auto"/>
            <w:vAlign w:val="center"/>
            <w:hideMark/>
          </w:tcPr>
          <w:p w14:paraId="6B73FE63"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Visitors Received</w:t>
            </w:r>
          </w:p>
        </w:tc>
        <w:tc>
          <w:tcPr>
            <w:tcW w:w="1320" w:type="dxa"/>
            <w:tcBorders>
              <w:top w:val="single" w:sz="8" w:space="0" w:color="auto"/>
              <w:left w:val="nil"/>
              <w:bottom w:val="single" w:sz="4" w:space="0" w:color="auto"/>
              <w:right w:val="single" w:sz="4" w:space="0" w:color="auto"/>
            </w:tcBorders>
            <w:shd w:val="clear" w:color="auto" w:fill="auto"/>
            <w:vAlign w:val="center"/>
            <w:hideMark/>
          </w:tcPr>
          <w:p w14:paraId="5BF30CCE"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 Variation YOY</w:t>
            </w:r>
          </w:p>
        </w:tc>
        <w:tc>
          <w:tcPr>
            <w:tcW w:w="1320" w:type="dxa"/>
            <w:tcBorders>
              <w:top w:val="single" w:sz="8" w:space="0" w:color="auto"/>
              <w:left w:val="nil"/>
              <w:bottom w:val="single" w:sz="4" w:space="0" w:color="auto"/>
              <w:right w:val="single" w:sz="4" w:space="0" w:color="auto"/>
            </w:tcBorders>
            <w:shd w:val="clear" w:color="auto" w:fill="auto"/>
            <w:vAlign w:val="center"/>
            <w:hideMark/>
          </w:tcPr>
          <w:p w14:paraId="163F29F5"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Admission Revenue</w:t>
            </w:r>
          </w:p>
        </w:tc>
        <w:tc>
          <w:tcPr>
            <w:tcW w:w="1320" w:type="dxa"/>
            <w:tcBorders>
              <w:top w:val="single" w:sz="8" w:space="0" w:color="auto"/>
              <w:left w:val="nil"/>
              <w:bottom w:val="single" w:sz="4" w:space="0" w:color="auto"/>
              <w:right w:val="single" w:sz="4" w:space="0" w:color="auto"/>
            </w:tcBorders>
            <w:shd w:val="clear" w:color="auto" w:fill="auto"/>
            <w:vAlign w:val="center"/>
            <w:hideMark/>
          </w:tcPr>
          <w:p w14:paraId="10395DCB"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Retail Revenue</w:t>
            </w:r>
          </w:p>
        </w:tc>
        <w:tc>
          <w:tcPr>
            <w:tcW w:w="1320" w:type="dxa"/>
            <w:tcBorders>
              <w:top w:val="single" w:sz="8" w:space="0" w:color="auto"/>
              <w:left w:val="nil"/>
              <w:bottom w:val="single" w:sz="4" w:space="0" w:color="auto"/>
              <w:right w:val="single" w:sz="4" w:space="0" w:color="auto"/>
            </w:tcBorders>
            <w:shd w:val="clear" w:color="auto" w:fill="auto"/>
            <w:vAlign w:val="center"/>
            <w:hideMark/>
          </w:tcPr>
          <w:p w14:paraId="03CFFAA8"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Total Revenue</w:t>
            </w:r>
          </w:p>
        </w:tc>
        <w:tc>
          <w:tcPr>
            <w:tcW w:w="1320" w:type="dxa"/>
            <w:tcBorders>
              <w:top w:val="single" w:sz="8" w:space="0" w:color="auto"/>
              <w:left w:val="nil"/>
              <w:bottom w:val="single" w:sz="4" w:space="0" w:color="auto"/>
              <w:right w:val="single" w:sz="4" w:space="0" w:color="auto"/>
            </w:tcBorders>
            <w:shd w:val="clear" w:color="auto" w:fill="auto"/>
            <w:vAlign w:val="center"/>
            <w:hideMark/>
          </w:tcPr>
          <w:p w14:paraId="5CCFC490"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 Variation YOY</w:t>
            </w:r>
          </w:p>
        </w:tc>
        <w:tc>
          <w:tcPr>
            <w:tcW w:w="1320" w:type="dxa"/>
            <w:tcBorders>
              <w:top w:val="single" w:sz="8" w:space="0" w:color="auto"/>
              <w:left w:val="nil"/>
              <w:bottom w:val="single" w:sz="4" w:space="0" w:color="auto"/>
              <w:right w:val="single" w:sz="8" w:space="0" w:color="auto"/>
            </w:tcBorders>
            <w:shd w:val="clear" w:color="auto" w:fill="auto"/>
            <w:vAlign w:val="center"/>
            <w:hideMark/>
          </w:tcPr>
          <w:p w14:paraId="29B4B7BC"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Average Spend Per Individual</w:t>
            </w:r>
          </w:p>
        </w:tc>
      </w:tr>
      <w:tr w:rsidR="007D12BC" w:rsidRPr="00383927" w14:paraId="77F73681" w14:textId="77777777" w:rsidTr="007D12BC">
        <w:trPr>
          <w:trHeight w:val="300"/>
        </w:trPr>
        <w:tc>
          <w:tcPr>
            <w:tcW w:w="4180" w:type="dxa"/>
            <w:tcBorders>
              <w:top w:val="nil"/>
              <w:left w:val="single" w:sz="8" w:space="0" w:color="auto"/>
              <w:bottom w:val="single" w:sz="4" w:space="0" w:color="auto"/>
              <w:right w:val="single" w:sz="4" w:space="0" w:color="auto"/>
            </w:tcBorders>
            <w:shd w:val="clear" w:color="auto" w:fill="auto"/>
            <w:noWrap/>
            <w:vAlign w:val="center"/>
            <w:hideMark/>
          </w:tcPr>
          <w:p w14:paraId="3DAEC902"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September 1st 2018 - August 31st 2019</w:t>
            </w:r>
          </w:p>
        </w:tc>
        <w:tc>
          <w:tcPr>
            <w:tcW w:w="1320" w:type="dxa"/>
            <w:tcBorders>
              <w:top w:val="nil"/>
              <w:left w:val="nil"/>
              <w:bottom w:val="single" w:sz="4" w:space="0" w:color="auto"/>
              <w:right w:val="single" w:sz="4" w:space="0" w:color="auto"/>
            </w:tcBorders>
            <w:shd w:val="clear" w:color="auto" w:fill="auto"/>
            <w:noWrap/>
            <w:vAlign w:val="center"/>
            <w:hideMark/>
          </w:tcPr>
          <w:p w14:paraId="756218C1" w14:textId="6D1EAA0F"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40</w:t>
            </w:r>
            <w:r w:rsidR="0032092B">
              <w:rPr>
                <w:rFonts w:ascii="Calibri" w:eastAsia="Times New Roman" w:hAnsi="Calibri" w:cs="Calibri"/>
                <w:color w:val="000000"/>
                <w:kern w:val="0"/>
                <w:sz w:val="18"/>
                <w:szCs w:val="18"/>
                <w:lang w:eastAsia="en-GB"/>
                <w14:ligatures w14:val="none"/>
              </w:rPr>
              <w:t>,</w:t>
            </w:r>
            <w:r w:rsidRPr="00383927">
              <w:rPr>
                <w:rFonts w:ascii="Calibri" w:eastAsia="Times New Roman" w:hAnsi="Calibri" w:cs="Calibri"/>
                <w:color w:val="000000"/>
                <w:kern w:val="0"/>
                <w:sz w:val="18"/>
                <w:szCs w:val="18"/>
                <w:lang w:eastAsia="en-GB"/>
                <w14:ligatures w14:val="none"/>
              </w:rPr>
              <w:t>682</w:t>
            </w:r>
          </w:p>
        </w:tc>
        <w:tc>
          <w:tcPr>
            <w:tcW w:w="1320" w:type="dxa"/>
            <w:tcBorders>
              <w:top w:val="nil"/>
              <w:left w:val="nil"/>
              <w:bottom w:val="single" w:sz="4" w:space="0" w:color="auto"/>
              <w:right w:val="single" w:sz="4" w:space="0" w:color="auto"/>
            </w:tcBorders>
            <w:shd w:val="clear" w:color="auto" w:fill="auto"/>
            <w:noWrap/>
            <w:vAlign w:val="center"/>
            <w:hideMark/>
          </w:tcPr>
          <w:p w14:paraId="4F5CABCF"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w:t>
            </w:r>
          </w:p>
        </w:tc>
        <w:tc>
          <w:tcPr>
            <w:tcW w:w="1320" w:type="dxa"/>
            <w:tcBorders>
              <w:top w:val="nil"/>
              <w:left w:val="nil"/>
              <w:bottom w:val="single" w:sz="4" w:space="0" w:color="auto"/>
              <w:right w:val="single" w:sz="4" w:space="0" w:color="auto"/>
            </w:tcBorders>
            <w:shd w:val="clear" w:color="auto" w:fill="auto"/>
            <w:noWrap/>
            <w:vAlign w:val="center"/>
            <w:hideMark/>
          </w:tcPr>
          <w:p w14:paraId="3137FC3E"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£131,495.13</w:t>
            </w:r>
          </w:p>
        </w:tc>
        <w:tc>
          <w:tcPr>
            <w:tcW w:w="1320" w:type="dxa"/>
            <w:tcBorders>
              <w:top w:val="nil"/>
              <w:left w:val="nil"/>
              <w:bottom w:val="single" w:sz="4" w:space="0" w:color="auto"/>
              <w:right w:val="single" w:sz="4" w:space="0" w:color="auto"/>
            </w:tcBorders>
            <w:shd w:val="clear" w:color="auto" w:fill="auto"/>
            <w:noWrap/>
            <w:vAlign w:val="center"/>
            <w:hideMark/>
          </w:tcPr>
          <w:p w14:paraId="4BD49A68"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£924,662.07</w:t>
            </w:r>
          </w:p>
        </w:tc>
        <w:tc>
          <w:tcPr>
            <w:tcW w:w="1320" w:type="dxa"/>
            <w:tcBorders>
              <w:top w:val="nil"/>
              <w:left w:val="nil"/>
              <w:bottom w:val="single" w:sz="4" w:space="0" w:color="auto"/>
              <w:right w:val="single" w:sz="4" w:space="0" w:color="auto"/>
            </w:tcBorders>
            <w:shd w:val="clear" w:color="auto" w:fill="auto"/>
            <w:noWrap/>
            <w:vAlign w:val="center"/>
            <w:hideMark/>
          </w:tcPr>
          <w:p w14:paraId="3634775A"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£1,056,157.20</w:t>
            </w:r>
          </w:p>
        </w:tc>
        <w:tc>
          <w:tcPr>
            <w:tcW w:w="1320" w:type="dxa"/>
            <w:tcBorders>
              <w:top w:val="nil"/>
              <w:left w:val="nil"/>
              <w:bottom w:val="single" w:sz="4" w:space="0" w:color="auto"/>
              <w:right w:val="single" w:sz="4" w:space="0" w:color="auto"/>
            </w:tcBorders>
            <w:shd w:val="clear" w:color="auto" w:fill="auto"/>
            <w:noWrap/>
            <w:vAlign w:val="center"/>
            <w:hideMark/>
          </w:tcPr>
          <w:p w14:paraId="15D37CEF"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w:t>
            </w:r>
          </w:p>
        </w:tc>
        <w:tc>
          <w:tcPr>
            <w:tcW w:w="1320" w:type="dxa"/>
            <w:tcBorders>
              <w:top w:val="nil"/>
              <w:left w:val="nil"/>
              <w:bottom w:val="single" w:sz="4" w:space="0" w:color="auto"/>
              <w:right w:val="single" w:sz="8" w:space="0" w:color="auto"/>
            </w:tcBorders>
            <w:shd w:val="clear" w:color="auto" w:fill="auto"/>
            <w:noWrap/>
            <w:vAlign w:val="center"/>
            <w:hideMark/>
          </w:tcPr>
          <w:p w14:paraId="6D6C8A01"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£25.96</w:t>
            </w:r>
          </w:p>
        </w:tc>
      </w:tr>
      <w:tr w:rsidR="007D12BC" w:rsidRPr="00383927" w14:paraId="22CBD56C" w14:textId="77777777" w:rsidTr="007D12BC">
        <w:trPr>
          <w:trHeight w:val="300"/>
        </w:trPr>
        <w:tc>
          <w:tcPr>
            <w:tcW w:w="4180" w:type="dxa"/>
            <w:tcBorders>
              <w:top w:val="nil"/>
              <w:left w:val="single" w:sz="8" w:space="0" w:color="auto"/>
              <w:bottom w:val="single" w:sz="4" w:space="0" w:color="auto"/>
              <w:right w:val="single" w:sz="4" w:space="0" w:color="auto"/>
            </w:tcBorders>
            <w:shd w:val="clear" w:color="auto" w:fill="auto"/>
            <w:noWrap/>
            <w:vAlign w:val="center"/>
            <w:hideMark/>
          </w:tcPr>
          <w:p w14:paraId="61F2F3AA"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September 1st 2019 - August 31st 2020</w:t>
            </w:r>
          </w:p>
        </w:tc>
        <w:tc>
          <w:tcPr>
            <w:tcW w:w="1320" w:type="dxa"/>
            <w:tcBorders>
              <w:top w:val="nil"/>
              <w:left w:val="nil"/>
              <w:bottom w:val="single" w:sz="4" w:space="0" w:color="auto"/>
              <w:right w:val="single" w:sz="4" w:space="0" w:color="auto"/>
            </w:tcBorders>
            <w:shd w:val="clear" w:color="auto" w:fill="auto"/>
            <w:noWrap/>
            <w:vAlign w:val="center"/>
            <w:hideMark/>
          </w:tcPr>
          <w:p w14:paraId="407AA3E3" w14:textId="4C6EFF8E"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28</w:t>
            </w:r>
            <w:r w:rsidR="0032092B">
              <w:rPr>
                <w:rFonts w:ascii="Calibri" w:eastAsia="Times New Roman" w:hAnsi="Calibri" w:cs="Calibri"/>
                <w:color w:val="000000"/>
                <w:kern w:val="0"/>
                <w:sz w:val="18"/>
                <w:szCs w:val="18"/>
                <w:lang w:eastAsia="en-GB"/>
                <w14:ligatures w14:val="none"/>
              </w:rPr>
              <w:t>,</w:t>
            </w:r>
            <w:r w:rsidRPr="00383927">
              <w:rPr>
                <w:rFonts w:ascii="Calibri" w:eastAsia="Times New Roman" w:hAnsi="Calibri" w:cs="Calibri"/>
                <w:color w:val="000000"/>
                <w:kern w:val="0"/>
                <w:sz w:val="18"/>
                <w:szCs w:val="18"/>
                <w:lang w:eastAsia="en-GB"/>
                <w14:ligatures w14:val="none"/>
              </w:rPr>
              <w:t>033</w:t>
            </w:r>
          </w:p>
        </w:tc>
        <w:tc>
          <w:tcPr>
            <w:tcW w:w="1320" w:type="dxa"/>
            <w:tcBorders>
              <w:top w:val="nil"/>
              <w:left w:val="nil"/>
              <w:bottom w:val="single" w:sz="4" w:space="0" w:color="auto"/>
              <w:right w:val="single" w:sz="4" w:space="0" w:color="auto"/>
            </w:tcBorders>
            <w:shd w:val="clear" w:color="auto" w:fill="auto"/>
            <w:noWrap/>
            <w:vAlign w:val="center"/>
            <w:hideMark/>
          </w:tcPr>
          <w:p w14:paraId="3BEE2138"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-31%</w:t>
            </w:r>
          </w:p>
        </w:tc>
        <w:tc>
          <w:tcPr>
            <w:tcW w:w="1320" w:type="dxa"/>
            <w:tcBorders>
              <w:top w:val="nil"/>
              <w:left w:val="nil"/>
              <w:bottom w:val="single" w:sz="4" w:space="0" w:color="auto"/>
              <w:right w:val="single" w:sz="4" w:space="0" w:color="auto"/>
            </w:tcBorders>
            <w:shd w:val="clear" w:color="auto" w:fill="auto"/>
            <w:noWrap/>
            <w:vAlign w:val="center"/>
            <w:hideMark/>
          </w:tcPr>
          <w:p w14:paraId="397D2E72"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£94,271.56</w:t>
            </w:r>
          </w:p>
        </w:tc>
        <w:tc>
          <w:tcPr>
            <w:tcW w:w="1320" w:type="dxa"/>
            <w:tcBorders>
              <w:top w:val="nil"/>
              <w:left w:val="nil"/>
              <w:bottom w:val="single" w:sz="4" w:space="0" w:color="auto"/>
              <w:right w:val="single" w:sz="4" w:space="0" w:color="auto"/>
            </w:tcBorders>
            <w:shd w:val="clear" w:color="auto" w:fill="auto"/>
            <w:noWrap/>
            <w:vAlign w:val="center"/>
            <w:hideMark/>
          </w:tcPr>
          <w:p w14:paraId="126BA1BC"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£562,451.48</w:t>
            </w:r>
          </w:p>
        </w:tc>
        <w:tc>
          <w:tcPr>
            <w:tcW w:w="1320" w:type="dxa"/>
            <w:tcBorders>
              <w:top w:val="nil"/>
              <w:left w:val="nil"/>
              <w:bottom w:val="single" w:sz="4" w:space="0" w:color="auto"/>
              <w:right w:val="single" w:sz="4" w:space="0" w:color="auto"/>
            </w:tcBorders>
            <w:shd w:val="clear" w:color="auto" w:fill="auto"/>
            <w:noWrap/>
            <w:vAlign w:val="center"/>
            <w:hideMark/>
          </w:tcPr>
          <w:p w14:paraId="4628665D"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£656,723.04</w:t>
            </w:r>
          </w:p>
        </w:tc>
        <w:tc>
          <w:tcPr>
            <w:tcW w:w="1320" w:type="dxa"/>
            <w:tcBorders>
              <w:top w:val="nil"/>
              <w:left w:val="nil"/>
              <w:bottom w:val="single" w:sz="4" w:space="0" w:color="auto"/>
              <w:right w:val="single" w:sz="4" w:space="0" w:color="auto"/>
            </w:tcBorders>
            <w:shd w:val="clear" w:color="auto" w:fill="auto"/>
            <w:noWrap/>
            <w:vAlign w:val="center"/>
            <w:hideMark/>
          </w:tcPr>
          <w:p w14:paraId="16EBD90D"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-38%</w:t>
            </w:r>
          </w:p>
        </w:tc>
        <w:tc>
          <w:tcPr>
            <w:tcW w:w="1320" w:type="dxa"/>
            <w:tcBorders>
              <w:top w:val="nil"/>
              <w:left w:val="nil"/>
              <w:bottom w:val="single" w:sz="4" w:space="0" w:color="auto"/>
              <w:right w:val="single" w:sz="8" w:space="0" w:color="auto"/>
            </w:tcBorders>
            <w:shd w:val="clear" w:color="auto" w:fill="auto"/>
            <w:noWrap/>
            <w:vAlign w:val="center"/>
            <w:hideMark/>
          </w:tcPr>
          <w:p w14:paraId="70F28456"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£23.43</w:t>
            </w:r>
          </w:p>
        </w:tc>
      </w:tr>
      <w:tr w:rsidR="007D12BC" w:rsidRPr="00383927" w14:paraId="7AB42900" w14:textId="77777777" w:rsidTr="007D12BC">
        <w:trPr>
          <w:trHeight w:val="300"/>
        </w:trPr>
        <w:tc>
          <w:tcPr>
            <w:tcW w:w="4180" w:type="dxa"/>
            <w:tcBorders>
              <w:top w:val="nil"/>
              <w:left w:val="single" w:sz="8" w:space="0" w:color="auto"/>
              <w:bottom w:val="single" w:sz="4" w:space="0" w:color="auto"/>
              <w:right w:val="single" w:sz="4" w:space="0" w:color="auto"/>
            </w:tcBorders>
            <w:shd w:val="clear" w:color="auto" w:fill="auto"/>
            <w:noWrap/>
            <w:vAlign w:val="center"/>
            <w:hideMark/>
          </w:tcPr>
          <w:p w14:paraId="00C76595"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September 1st 2020 - August 31st 2021</w:t>
            </w:r>
          </w:p>
        </w:tc>
        <w:tc>
          <w:tcPr>
            <w:tcW w:w="1320" w:type="dxa"/>
            <w:tcBorders>
              <w:top w:val="nil"/>
              <w:left w:val="nil"/>
              <w:bottom w:val="single" w:sz="4" w:space="0" w:color="auto"/>
              <w:right w:val="single" w:sz="4" w:space="0" w:color="auto"/>
            </w:tcBorders>
            <w:shd w:val="clear" w:color="auto" w:fill="auto"/>
            <w:noWrap/>
            <w:vAlign w:val="center"/>
            <w:hideMark/>
          </w:tcPr>
          <w:p w14:paraId="7C90B455" w14:textId="594EB909"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17</w:t>
            </w:r>
            <w:r w:rsidR="0032092B">
              <w:rPr>
                <w:rFonts w:ascii="Calibri" w:eastAsia="Times New Roman" w:hAnsi="Calibri" w:cs="Calibri"/>
                <w:color w:val="000000"/>
                <w:kern w:val="0"/>
                <w:sz w:val="18"/>
                <w:szCs w:val="18"/>
                <w:lang w:eastAsia="en-GB"/>
                <w14:ligatures w14:val="none"/>
              </w:rPr>
              <w:t>,</w:t>
            </w:r>
            <w:r w:rsidRPr="00383927">
              <w:rPr>
                <w:rFonts w:ascii="Calibri" w:eastAsia="Times New Roman" w:hAnsi="Calibri" w:cs="Calibri"/>
                <w:color w:val="000000"/>
                <w:kern w:val="0"/>
                <w:sz w:val="18"/>
                <w:szCs w:val="18"/>
                <w:lang w:eastAsia="en-GB"/>
                <w14:ligatures w14:val="none"/>
              </w:rPr>
              <w:t>118</w:t>
            </w:r>
          </w:p>
        </w:tc>
        <w:tc>
          <w:tcPr>
            <w:tcW w:w="1320" w:type="dxa"/>
            <w:tcBorders>
              <w:top w:val="nil"/>
              <w:left w:val="nil"/>
              <w:bottom w:val="single" w:sz="4" w:space="0" w:color="auto"/>
              <w:right w:val="single" w:sz="4" w:space="0" w:color="auto"/>
            </w:tcBorders>
            <w:shd w:val="clear" w:color="auto" w:fill="auto"/>
            <w:noWrap/>
            <w:vAlign w:val="center"/>
            <w:hideMark/>
          </w:tcPr>
          <w:p w14:paraId="56630B5A"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-39%</w:t>
            </w:r>
          </w:p>
        </w:tc>
        <w:tc>
          <w:tcPr>
            <w:tcW w:w="1320" w:type="dxa"/>
            <w:tcBorders>
              <w:top w:val="nil"/>
              <w:left w:val="nil"/>
              <w:bottom w:val="single" w:sz="4" w:space="0" w:color="auto"/>
              <w:right w:val="single" w:sz="4" w:space="0" w:color="auto"/>
            </w:tcBorders>
            <w:shd w:val="clear" w:color="auto" w:fill="auto"/>
            <w:noWrap/>
            <w:vAlign w:val="center"/>
            <w:hideMark/>
          </w:tcPr>
          <w:p w14:paraId="30B7656C"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£130,091.13</w:t>
            </w:r>
          </w:p>
        </w:tc>
        <w:tc>
          <w:tcPr>
            <w:tcW w:w="1320" w:type="dxa"/>
            <w:tcBorders>
              <w:top w:val="nil"/>
              <w:left w:val="nil"/>
              <w:bottom w:val="single" w:sz="4" w:space="0" w:color="auto"/>
              <w:right w:val="single" w:sz="4" w:space="0" w:color="auto"/>
            </w:tcBorders>
            <w:shd w:val="clear" w:color="auto" w:fill="auto"/>
            <w:noWrap/>
            <w:vAlign w:val="center"/>
            <w:hideMark/>
          </w:tcPr>
          <w:p w14:paraId="06BA9F07"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£573,593.12</w:t>
            </w:r>
          </w:p>
        </w:tc>
        <w:tc>
          <w:tcPr>
            <w:tcW w:w="1320" w:type="dxa"/>
            <w:tcBorders>
              <w:top w:val="nil"/>
              <w:left w:val="nil"/>
              <w:bottom w:val="single" w:sz="4" w:space="0" w:color="auto"/>
              <w:right w:val="single" w:sz="4" w:space="0" w:color="auto"/>
            </w:tcBorders>
            <w:shd w:val="clear" w:color="auto" w:fill="auto"/>
            <w:noWrap/>
            <w:vAlign w:val="center"/>
            <w:hideMark/>
          </w:tcPr>
          <w:p w14:paraId="40738B43"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£703,684.25</w:t>
            </w:r>
          </w:p>
        </w:tc>
        <w:tc>
          <w:tcPr>
            <w:tcW w:w="1320" w:type="dxa"/>
            <w:tcBorders>
              <w:top w:val="nil"/>
              <w:left w:val="nil"/>
              <w:bottom w:val="single" w:sz="4" w:space="0" w:color="auto"/>
              <w:right w:val="single" w:sz="4" w:space="0" w:color="auto"/>
            </w:tcBorders>
            <w:shd w:val="clear" w:color="auto" w:fill="auto"/>
            <w:noWrap/>
            <w:vAlign w:val="center"/>
            <w:hideMark/>
          </w:tcPr>
          <w:p w14:paraId="2BB25A44"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7%</w:t>
            </w:r>
          </w:p>
        </w:tc>
        <w:tc>
          <w:tcPr>
            <w:tcW w:w="1320" w:type="dxa"/>
            <w:tcBorders>
              <w:top w:val="nil"/>
              <w:left w:val="nil"/>
              <w:bottom w:val="single" w:sz="4" w:space="0" w:color="auto"/>
              <w:right w:val="single" w:sz="8" w:space="0" w:color="auto"/>
            </w:tcBorders>
            <w:shd w:val="clear" w:color="auto" w:fill="auto"/>
            <w:noWrap/>
            <w:vAlign w:val="center"/>
            <w:hideMark/>
          </w:tcPr>
          <w:p w14:paraId="743D9CC5"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£41.11</w:t>
            </w:r>
          </w:p>
        </w:tc>
      </w:tr>
      <w:tr w:rsidR="007D12BC" w:rsidRPr="00383927" w14:paraId="7D485F10" w14:textId="77777777" w:rsidTr="007D12BC">
        <w:trPr>
          <w:trHeight w:val="300"/>
        </w:trPr>
        <w:tc>
          <w:tcPr>
            <w:tcW w:w="4180" w:type="dxa"/>
            <w:tcBorders>
              <w:top w:val="nil"/>
              <w:left w:val="single" w:sz="8" w:space="0" w:color="auto"/>
              <w:bottom w:val="single" w:sz="4" w:space="0" w:color="auto"/>
              <w:right w:val="single" w:sz="4" w:space="0" w:color="auto"/>
            </w:tcBorders>
            <w:shd w:val="clear" w:color="auto" w:fill="auto"/>
            <w:noWrap/>
            <w:vAlign w:val="center"/>
            <w:hideMark/>
          </w:tcPr>
          <w:p w14:paraId="6C95D384"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September 1st 2021 - August 31st 2022</w:t>
            </w:r>
          </w:p>
        </w:tc>
        <w:tc>
          <w:tcPr>
            <w:tcW w:w="1320" w:type="dxa"/>
            <w:tcBorders>
              <w:top w:val="nil"/>
              <w:left w:val="nil"/>
              <w:bottom w:val="single" w:sz="4" w:space="0" w:color="auto"/>
              <w:right w:val="single" w:sz="4" w:space="0" w:color="auto"/>
            </w:tcBorders>
            <w:shd w:val="clear" w:color="auto" w:fill="auto"/>
            <w:noWrap/>
            <w:vAlign w:val="center"/>
            <w:hideMark/>
          </w:tcPr>
          <w:p w14:paraId="4AE06C28" w14:textId="3C1D6EED"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25</w:t>
            </w:r>
            <w:r w:rsidR="0032092B">
              <w:rPr>
                <w:rFonts w:ascii="Calibri" w:eastAsia="Times New Roman" w:hAnsi="Calibri" w:cs="Calibri"/>
                <w:color w:val="000000"/>
                <w:kern w:val="0"/>
                <w:sz w:val="18"/>
                <w:szCs w:val="18"/>
                <w:lang w:eastAsia="en-GB"/>
                <w14:ligatures w14:val="none"/>
              </w:rPr>
              <w:t>,</w:t>
            </w:r>
            <w:r w:rsidRPr="00383927">
              <w:rPr>
                <w:rFonts w:ascii="Calibri" w:eastAsia="Times New Roman" w:hAnsi="Calibri" w:cs="Calibri"/>
                <w:color w:val="000000"/>
                <w:kern w:val="0"/>
                <w:sz w:val="18"/>
                <w:szCs w:val="18"/>
                <w:lang w:eastAsia="en-GB"/>
                <w14:ligatures w14:val="none"/>
              </w:rPr>
              <w:t>223</w:t>
            </w:r>
          </w:p>
        </w:tc>
        <w:tc>
          <w:tcPr>
            <w:tcW w:w="1320" w:type="dxa"/>
            <w:tcBorders>
              <w:top w:val="nil"/>
              <w:left w:val="nil"/>
              <w:bottom w:val="single" w:sz="4" w:space="0" w:color="auto"/>
              <w:right w:val="single" w:sz="4" w:space="0" w:color="auto"/>
            </w:tcBorders>
            <w:shd w:val="clear" w:color="auto" w:fill="auto"/>
            <w:noWrap/>
            <w:vAlign w:val="center"/>
            <w:hideMark/>
          </w:tcPr>
          <w:p w14:paraId="1EA22874"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47%</w:t>
            </w:r>
          </w:p>
        </w:tc>
        <w:tc>
          <w:tcPr>
            <w:tcW w:w="1320" w:type="dxa"/>
            <w:tcBorders>
              <w:top w:val="nil"/>
              <w:left w:val="nil"/>
              <w:bottom w:val="single" w:sz="4" w:space="0" w:color="auto"/>
              <w:right w:val="single" w:sz="4" w:space="0" w:color="auto"/>
            </w:tcBorders>
            <w:shd w:val="clear" w:color="auto" w:fill="auto"/>
            <w:noWrap/>
            <w:vAlign w:val="center"/>
            <w:hideMark/>
          </w:tcPr>
          <w:p w14:paraId="4DF6AF86"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£187,502.01</w:t>
            </w:r>
          </w:p>
        </w:tc>
        <w:tc>
          <w:tcPr>
            <w:tcW w:w="1320" w:type="dxa"/>
            <w:tcBorders>
              <w:top w:val="nil"/>
              <w:left w:val="nil"/>
              <w:bottom w:val="single" w:sz="4" w:space="0" w:color="auto"/>
              <w:right w:val="single" w:sz="4" w:space="0" w:color="auto"/>
            </w:tcBorders>
            <w:shd w:val="clear" w:color="auto" w:fill="auto"/>
            <w:noWrap/>
            <w:vAlign w:val="center"/>
            <w:hideMark/>
          </w:tcPr>
          <w:p w14:paraId="0BB8892A"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£792,519.45</w:t>
            </w:r>
          </w:p>
        </w:tc>
        <w:tc>
          <w:tcPr>
            <w:tcW w:w="1320" w:type="dxa"/>
            <w:tcBorders>
              <w:top w:val="nil"/>
              <w:left w:val="nil"/>
              <w:bottom w:val="single" w:sz="4" w:space="0" w:color="auto"/>
              <w:right w:val="single" w:sz="4" w:space="0" w:color="auto"/>
            </w:tcBorders>
            <w:shd w:val="clear" w:color="auto" w:fill="auto"/>
            <w:noWrap/>
            <w:vAlign w:val="center"/>
            <w:hideMark/>
          </w:tcPr>
          <w:p w14:paraId="4172CFCC"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£980,021.46</w:t>
            </w:r>
          </w:p>
        </w:tc>
        <w:tc>
          <w:tcPr>
            <w:tcW w:w="1320" w:type="dxa"/>
            <w:tcBorders>
              <w:top w:val="nil"/>
              <w:left w:val="nil"/>
              <w:bottom w:val="single" w:sz="4" w:space="0" w:color="auto"/>
              <w:right w:val="single" w:sz="4" w:space="0" w:color="auto"/>
            </w:tcBorders>
            <w:shd w:val="clear" w:color="auto" w:fill="auto"/>
            <w:noWrap/>
            <w:vAlign w:val="center"/>
            <w:hideMark/>
          </w:tcPr>
          <w:p w14:paraId="6C9AA025"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39%</w:t>
            </w:r>
          </w:p>
        </w:tc>
        <w:tc>
          <w:tcPr>
            <w:tcW w:w="1320" w:type="dxa"/>
            <w:tcBorders>
              <w:top w:val="nil"/>
              <w:left w:val="nil"/>
              <w:bottom w:val="single" w:sz="4" w:space="0" w:color="auto"/>
              <w:right w:val="single" w:sz="8" w:space="0" w:color="auto"/>
            </w:tcBorders>
            <w:shd w:val="clear" w:color="auto" w:fill="auto"/>
            <w:noWrap/>
            <w:vAlign w:val="center"/>
            <w:hideMark/>
          </w:tcPr>
          <w:p w14:paraId="02FE9FE2"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£38.85</w:t>
            </w:r>
          </w:p>
        </w:tc>
      </w:tr>
      <w:tr w:rsidR="007D12BC" w:rsidRPr="00383927" w14:paraId="3D135FD1" w14:textId="77777777" w:rsidTr="007D12BC">
        <w:trPr>
          <w:trHeight w:val="300"/>
        </w:trPr>
        <w:tc>
          <w:tcPr>
            <w:tcW w:w="4180" w:type="dxa"/>
            <w:tcBorders>
              <w:top w:val="nil"/>
              <w:left w:val="single" w:sz="8" w:space="0" w:color="auto"/>
              <w:bottom w:val="single" w:sz="4" w:space="0" w:color="auto"/>
              <w:right w:val="single" w:sz="4" w:space="0" w:color="auto"/>
            </w:tcBorders>
            <w:shd w:val="clear" w:color="auto" w:fill="auto"/>
            <w:noWrap/>
            <w:vAlign w:val="center"/>
            <w:hideMark/>
          </w:tcPr>
          <w:p w14:paraId="5C73F155"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September 1st 2022 - August 31st 2023</w:t>
            </w:r>
          </w:p>
        </w:tc>
        <w:tc>
          <w:tcPr>
            <w:tcW w:w="1320" w:type="dxa"/>
            <w:tcBorders>
              <w:top w:val="nil"/>
              <w:left w:val="nil"/>
              <w:bottom w:val="single" w:sz="4" w:space="0" w:color="auto"/>
              <w:right w:val="single" w:sz="4" w:space="0" w:color="auto"/>
            </w:tcBorders>
            <w:shd w:val="clear" w:color="auto" w:fill="auto"/>
            <w:noWrap/>
            <w:vAlign w:val="center"/>
            <w:hideMark/>
          </w:tcPr>
          <w:p w14:paraId="66FE38D8" w14:textId="50356013"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31</w:t>
            </w:r>
            <w:r w:rsidR="0032092B">
              <w:rPr>
                <w:rFonts w:ascii="Calibri" w:eastAsia="Times New Roman" w:hAnsi="Calibri" w:cs="Calibri"/>
                <w:color w:val="000000"/>
                <w:kern w:val="0"/>
                <w:sz w:val="18"/>
                <w:szCs w:val="18"/>
                <w:lang w:eastAsia="en-GB"/>
                <w14:ligatures w14:val="none"/>
              </w:rPr>
              <w:t>,</w:t>
            </w:r>
            <w:r w:rsidRPr="00383927">
              <w:rPr>
                <w:rFonts w:ascii="Calibri" w:eastAsia="Times New Roman" w:hAnsi="Calibri" w:cs="Calibri"/>
                <w:color w:val="000000"/>
                <w:kern w:val="0"/>
                <w:sz w:val="18"/>
                <w:szCs w:val="18"/>
                <w:lang w:eastAsia="en-GB"/>
                <w14:ligatures w14:val="none"/>
              </w:rPr>
              <w:t>541</w:t>
            </w:r>
          </w:p>
        </w:tc>
        <w:tc>
          <w:tcPr>
            <w:tcW w:w="1320" w:type="dxa"/>
            <w:tcBorders>
              <w:top w:val="nil"/>
              <w:left w:val="nil"/>
              <w:bottom w:val="single" w:sz="4" w:space="0" w:color="auto"/>
              <w:right w:val="single" w:sz="4" w:space="0" w:color="auto"/>
            </w:tcBorders>
            <w:shd w:val="clear" w:color="auto" w:fill="auto"/>
            <w:noWrap/>
            <w:vAlign w:val="center"/>
            <w:hideMark/>
          </w:tcPr>
          <w:p w14:paraId="41D7B70C"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25%</w:t>
            </w:r>
          </w:p>
        </w:tc>
        <w:tc>
          <w:tcPr>
            <w:tcW w:w="1320" w:type="dxa"/>
            <w:tcBorders>
              <w:top w:val="nil"/>
              <w:left w:val="nil"/>
              <w:bottom w:val="single" w:sz="4" w:space="0" w:color="auto"/>
              <w:right w:val="single" w:sz="4" w:space="0" w:color="auto"/>
            </w:tcBorders>
            <w:shd w:val="clear" w:color="auto" w:fill="auto"/>
            <w:noWrap/>
            <w:vAlign w:val="center"/>
            <w:hideMark/>
          </w:tcPr>
          <w:p w14:paraId="0B961583"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£218,714.28</w:t>
            </w:r>
          </w:p>
        </w:tc>
        <w:tc>
          <w:tcPr>
            <w:tcW w:w="1320" w:type="dxa"/>
            <w:tcBorders>
              <w:top w:val="nil"/>
              <w:left w:val="nil"/>
              <w:bottom w:val="single" w:sz="4" w:space="0" w:color="auto"/>
              <w:right w:val="single" w:sz="4" w:space="0" w:color="auto"/>
            </w:tcBorders>
            <w:shd w:val="clear" w:color="auto" w:fill="auto"/>
            <w:noWrap/>
            <w:vAlign w:val="center"/>
            <w:hideMark/>
          </w:tcPr>
          <w:p w14:paraId="17C40760"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£743,261.10</w:t>
            </w:r>
          </w:p>
        </w:tc>
        <w:tc>
          <w:tcPr>
            <w:tcW w:w="1320" w:type="dxa"/>
            <w:tcBorders>
              <w:top w:val="nil"/>
              <w:left w:val="nil"/>
              <w:bottom w:val="single" w:sz="4" w:space="0" w:color="auto"/>
              <w:right w:val="single" w:sz="4" w:space="0" w:color="auto"/>
            </w:tcBorders>
            <w:shd w:val="clear" w:color="auto" w:fill="auto"/>
            <w:noWrap/>
            <w:vAlign w:val="center"/>
            <w:hideMark/>
          </w:tcPr>
          <w:p w14:paraId="565BBDF9"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£961,975.38</w:t>
            </w:r>
          </w:p>
        </w:tc>
        <w:tc>
          <w:tcPr>
            <w:tcW w:w="1320" w:type="dxa"/>
            <w:tcBorders>
              <w:top w:val="nil"/>
              <w:left w:val="nil"/>
              <w:bottom w:val="single" w:sz="4" w:space="0" w:color="auto"/>
              <w:right w:val="single" w:sz="4" w:space="0" w:color="auto"/>
            </w:tcBorders>
            <w:shd w:val="clear" w:color="auto" w:fill="auto"/>
            <w:noWrap/>
            <w:vAlign w:val="center"/>
            <w:hideMark/>
          </w:tcPr>
          <w:p w14:paraId="1893D9F8"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-2%</w:t>
            </w:r>
          </w:p>
        </w:tc>
        <w:tc>
          <w:tcPr>
            <w:tcW w:w="1320" w:type="dxa"/>
            <w:tcBorders>
              <w:top w:val="nil"/>
              <w:left w:val="nil"/>
              <w:bottom w:val="single" w:sz="4" w:space="0" w:color="auto"/>
              <w:right w:val="single" w:sz="8" w:space="0" w:color="auto"/>
            </w:tcBorders>
            <w:shd w:val="clear" w:color="auto" w:fill="auto"/>
            <w:noWrap/>
            <w:vAlign w:val="center"/>
            <w:hideMark/>
          </w:tcPr>
          <w:p w14:paraId="7B1DB0C5"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£30.50</w:t>
            </w:r>
          </w:p>
        </w:tc>
      </w:tr>
      <w:tr w:rsidR="007D12BC" w:rsidRPr="00383927" w14:paraId="517865F3" w14:textId="77777777" w:rsidTr="007D12BC">
        <w:trPr>
          <w:trHeight w:val="315"/>
        </w:trPr>
        <w:tc>
          <w:tcPr>
            <w:tcW w:w="4180" w:type="dxa"/>
            <w:tcBorders>
              <w:top w:val="nil"/>
              <w:left w:val="single" w:sz="8" w:space="0" w:color="auto"/>
              <w:bottom w:val="single" w:sz="8" w:space="0" w:color="auto"/>
              <w:right w:val="single" w:sz="4" w:space="0" w:color="auto"/>
            </w:tcBorders>
            <w:shd w:val="clear" w:color="auto" w:fill="auto"/>
            <w:noWrap/>
            <w:vAlign w:val="center"/>
            <w:hideMark/>
          </w:tcPr>
          <w:p w14:paraId="2B4F9E48"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September 1st 2023 - August 31st 2024 PROJECTED</w:t>
            </w:r>
          </w:p>
        </w:tc>
        <w:tc>
          <w:tcPr>
            <w:tcW w:w="1320" w:type="dxa"/>
            <w:tcBorders>
              <w:top w:val="nil"/>
              <w:left w:val="nil"/>
              <w:bottom w:val="single" w:sz="8" w:space="0" w:color="auto"/>
              <w:right w:val="single" w:sz="4" w:space="0" w:color="auto"/>
            </w:tcBorders>
            <w:shd w:val="clear" w:color="auto" w:fill="auto"/>
            <w:noWrap/>
            <w:vAlign w:val="center"/>
            <w:hideMark/>
          </w:tcPr>
          <w:p w14:paraId="28780354" w14:textId="2AB39AE9"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40</w:t>
            </w:r>
            <w:r w:rsidR="0032092B">
              <w:rPr>
                <w:rFonts w:ascii="Calibri" w:eastAsia="Times New Roman" w:hAnsi="Calibri" w:cs="Calibri"/>
                <w:color w:val="000000"/>
                <w:kern w:val="0"/>
                <w:sz w:val="18"/>
                <w:szCs w:val="18"/>
                <w:lang w:eastAsia="en-GB"/>
                <w14:ligatures w14:val="none"/>
              </w:rPr>
              <w:t>,</w:t>
            </w:r>
            <w:r w:rsidRPr="00383927">
              <w:rPr>
                <w:rFonts w:ascii="Calibri" w:eastAsia="Times New Roman" w:hAnsi="Calibri" w:cs="Calibri"/>
                <w:color w:val="000000"/>
                <w:kern w:val="0"/>
                <w:sz w:val="18"/>
                <w:szCs w:val="18"/>
                <w:lang w:eastAsia="en-GB"/>
                <w14:ligatures w14:val="none"/>
              </w:rPr>
              <w:t>000</w:t>
            </w:r>
          </w:p>
        </w:tc>
        <w:tc>
          <w:tcPr>
            <w:tcW w:w="1320" w:type="dxa"/>
            <w:tcBorders>
              <w:top w:val="nil"/>
              <w:left w:val="nil"/>
              <w:bottom w:val="single" w:sz="8" w:space="0" w:color="auto"/>
              <w:right w:val="single" w:sz="4" w:space="0" w:color="auto"/>
            </w:tcBorders>
            <w:shd w:val="clear" w:color="auto" w:fill="auto"/>
            <w:noWrap/>
            <w:vAlign w:val="center"/>
            <w:hideMark/>
          </w:tcPr>
          <w:p w14:paraId="1F2478D2"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27%</w:t>
            </w:r>
          </w:p>
        </w:tc>
        <w:tc>
          <w:tcPr>
            <w:tcW w:w="1320" w:type="dxa"/>
            <w:tcBorders>
              <w:top w:val="nil"/>
              <w:left w:val="nil"/>
              <w:bottom w:val="single" w:sz="8" w:space="0" w:color="auto"/>
              <w:right w:val="single" w:sz="4" w:space="0" w:color="auto"/>
            </w:tcBorders>
            <w:shd w:val="clear" w:color="auto" w:fill="auto"/>
            <w:noWrap/>
            <w:vAlign w:val="center"/>
            <w:hideMark/>
          </w:tcPr>
          <w:p w14:paraId="553BD8D2"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£300,000.00</w:t>
            </w:r>
          </w:p>
        </w:tc>
        <w:tc>
          <w:tcPr>
            <w:tcW w:w="1320" w:type="dxa"/>
            <w:tcBorders>
              <w:top w:val="nil"/>
              <w:left w:val="nil"/>
              <w:bottom w:val="single" w:sz="8" w:space="0" w:color="auto"/>
              <w:right w:val="single" w:sz="4" w:space="0" w:color="auto"/>
            </w:tcBorders>
            <w:shd w:val="clear" w:color="auto" w:fill="auto"/>
            <w:noWrap/>
            <w:vAlign w:val="center"/>
            <w:hideMark/>
          </w:tcPr>
          <w:p w14:paraId="73F9C388"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£870,000.00</w:t>
            </w:r>
          </w:p>
        </w:tc>
        <w:tc>
          <w:tcPr>
            <w:tcW w:w="1320" w:type="dxa"/>
            <w:tcBorders>
              <w:top w:val="nil"/>
              <w:left w:val="nil"/>
              <w:bottom w:val="single" w:sz="8" w:space="0" w:color="auto"/>
              <w:right w:val="single" w:sz="4" w:space="0" w:color="auto"/>
            </w:tcBorders>
            <w:shd w:val="clear" w:color="auto" w:fill="auto"/>
            <w:noWrap/>
            <w:vAlign w:val="center"/>
            <w:hideMark/>
          </w:tcPr>
          <w:p w14:paraId="4FCF310A"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£1,170,000.00</w:t>
            </w:r>
          </w:p>
        </w:tc>
        <w:tc>
          <w:tcPr>
            <w:tcW w:w="1320" w:type="dxa"/>
            <w:tcBorders>
              <w:top w:val="nil"/>
              <w:left w:val="nil"/>
              <w:bottom w:val="single" w:sz="8" w:space="0" w:color="auto"/>
              <w:right w:val="single" w:sz="4" w:space="0" w:color="auto"/>
            </w:tcBorders>
            <w:shd w:val="clear" w:color="auto" w:fill="auto"/>
            <w:noWrap/>
            <w:vAlign w:val="center"/>
            <w:hideMark/>
          </w:tcPr>
          <w:p w14:paraId="5A99378E"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22%</w:t>
            </w:r>
          </w:p>
        </w:tc>
        <w:tc>
          <w:tcPr>
            <w:tcW w:w="1320" w:type="dxa"/>
            <w:tcBorders>
              <w:top w:val="nil"/>
              <w:left w:val="nil"/>
              <w:bottom w:val="single" w:sz="8" w:space="0" w:color="auto"/>
              <w:right w:val="single" w:sz="8" w:space="0" w:color="auto"/>
            </w:tcBorders>
            <w:shd w:val="clear" w:color="auto" w:fill="auto"/>
            <w:noWrap/>
            <w:vAlign w:val="center"/>
            <w:hideMark/>
          </w:tcPr>
          <w:p w14:paraId="42F52425"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£29.25</w:t>
            </w:r>
          </w:p>
        </w:tc>
      </w:tr>
      <w:tr w:rsidR="007D12BC" w:rsidRPr="00383927" w14:paraId="4D11FDB7" w14:textId="77777777" w:rsidTr="007D12BC">
        <w:trPr>
          <w:trHeight w:val="315"/>
        </w:trPr>
        <w:tc>
          <w:tcPr>
            <w:tcW w:w="4180" w:type="dxa"/>
            <w:tcBorders>
              <w:top w:val="nil"/>
              <w:left w:val="nil"/>
              <w:bottom w:val="nil"/>
              <w:right w:val="nil"/>
            </w:tcBorders>
            <w:shd w:val="clear" w:color="auto" w:fill="auto"/>
            <w:noWrap/>
            <w:vAlign w:val="bottom"/>
            <w:hideMark/>
          </w:tcPr>
          <w:p w14:paraId="12EBF232"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p>
        </w:tc>
        <w:tc>
          <w:tcPr>
            <w:tcW w:w="1320" w:type="dxa"/>
            <w:tcBorders>
              <w:top w:val="nil"/>
              <w:left w:val="nil"/>
              <w:bottom w:val="nil"/>
              <w:right w:val="nil"/>
            </w:tcBorders>
            <w:shd w:val="clear" w:color="auto" w:fill="auto"/>
            <w:noWrap/>
            <w:vAlign w:val="bottom"/>
            <w:hideMark/>
          </w:tcPr>
          <w:p w14:paraId="00B7369E" w14:textId="77777777" w:rsidR="007D12BC" w:rsidRPr="00383927" w:rsidRDefault="007D12BC" w:rsidP="007D12BC">
            <w:pPr>
              <w:spacing w:after="0" w:line="240" w:lineRule="auto"/>
              <w:rPr>
                <w:rFonts w:ascii="Times New Roman" w:eastAsia="Times New Roman" w:hAnsi="Times New Roman" w:cs="Times New Roman"/>
                <w:kern w:val="0"/>
                <w:sz w:val="20"/>
                <w:szCs w:val="20"/>
                <w:lang w:eastAsia="en-GB"/>
                <w14:ligatures w14:val="none"/>
              </w:rPr>
            </w:pPr>
          </w:p>
        </w:tc>
        <w:tc>
          <w:tcPr>
            <w:tcW w:w="1320" w:type="dxa"/>
            <w:tcBorders>
              <w:top w:val="nil"/>
              <w:left w:val="nil"/>
              <w:bottom w:val="nil"/>
              <w:right w:val="nil"/>
            </w:tcBorders>
            <w:shd w:val="clear" w:color="auto" w:fill="auto"/>
            <w:noWrap/>
            <w:vAlign w:val="bottom"/>
            <w:hideMark/>
          </w:tcPr>
          <w:p w14:paraId="0FB705B2" w14:textId="77777777" w:rsidR="007D12BC" w:rsidRPr="00383927" w:rsidRDefault="007D12BC" w:rsidP="007D12BC">
            <w:pPr>
              <w:spacing w:after="0" w:line="240" w:lineRule="auto"/>
              <w:rPr>
                <w:rFonts w:ascii="Times New Roman" w:eastAsia="Times New Roman" w:hAnsi="Times New Roman" w:cs="Times New Roman"/>
                <w:kern w:val="0"/>
                <w:sz w:val="20"/>
                <w:szCs w:val="20"/>
                <w:lang w:eastAsia="en-GB"/>
                <w14:ligatures w14:val="none"/>
              </w:rPr>
            </w:pPr>
          </w:p>
        </w:tc>
        <w:tc>
          <w:tcPr>
            <w:tcW w:w="1320" w:type="dxa"/>
            <w:tcBorders>
              <w:top w:val="nil"/>
              <w:left w:val="nil"/>
              <w:bottom w:val="nil"/>
              <w:right w:val="nil"/>
            </w:tcBorders>
            <w:shd w:val="clear" w:color="auto" w:fill="auto"/>
            <w:noWrap/>
            <w:vAlign w:val="bottom"/>
            <w:hideMark/>
          </w:tcPr>
          <w:p w14:paraId="7B623D47" w14:textId="77777777" w:rsidR="007D12BC" w:rsidRPr="00383927" w:rsidRDefault="007D12BC" w:rsidP="007D12BC">
            <w:pPr>
              <w:spacing w:after="0" w:line="240" w:lineRule="auto"/>
              <w:rPr>
                <w:rFonts w:ascii="Times New Roman" w:eastAsia="Times New Roman" w:hAnsi="Times New Roman" w:cs="Times New Roman"/>
                <w:kern w:val="0"/>
                <w:sz w:val="20"/>
                <w:szCs w:val="20"/>
                <w:lang w:eastAsia="en-GB"/>
                <w14:ligatures w14:val="none"/>
              </w:rPr>
            </w:pPr>
          </w:p>
        </w:tc>
        <w:tc>
          <w:tcPr>
            <w:tcW w:w="1320" w:type="dxa"/>
            <w:tcBorders>
              <w:top w:val="nil"/>
              <w:left w:val="nil"/>
              <w:bottom w:val="nil"/>
              <w:right w:val="nil"/>
            </w:tcBorders>
            <w:shd w:val="clear" w:color="auto" w:fill="auto"/>
            <w:noWrap/>
            <w:vAlign w:val="bottom"/>
            <w:hideMark/>
          </w:tcPr>
          <w:p w14:paraId="02D5BA4E" w14:textId="77777777" w:rsidR="007D12BC" w:rsidRPr="00383927" w:rsidRDefault="007D12BC" w:rsidP="007D12BC">
            <w:pPr>
              <w:spacing w:after="0" w:line="240" w:lineRule="auto"/>
              <w:rPr>
                <w:rFonts w:ascii="Times New Roman" w:eastAsia="Times New Roman" w:hAnsi="Times New Roman" w:cs="Times New Roman"/>
                <w:kern w:val="0"/>
                <w:sz w:val="20"/>
                <w:szCs w:val="20"/>
                <w:lang w:eastAsia="en-GB"/>
                <w14:ligatures w14:val="none"/>
              </w:rPr>
            </w:pPr>
          </w:p>
        </w:tc>
        <w:tc>
          <w:tcPr>
            <w:tcW w:w="1320" w:type="dxa"/>
            <w:tcBorders>
              <w:top w:val="nil"/>
              <w:left w:val="nil"/>
              <w:bottom w:val="nil"/>
              <w:right w:val="nil"/>
            </w:tcBorders>
            <w:shd w:val="clear" w:color="auto" w:fill="auto"/>
            <w:noWrap/>
            <w:vAlign w:val="bottom"/>
            <w:hideMark/>
          </w:tcPr>
          <w:p w14:paraId="5C58F49D" w14:textId="77777777" w:rsidR="007D12BC" w:rsidRPr="00383927" w:rsidRDefault="007D12BC" w:rsidP="007D12BC">
            <w:pPr>
              <w:spacing w:after="0" w:line="240" w:lineRule="auto"/>
              <w:rPr>
                <w:rFonts w:ascii="Times New Roman" w:eastAsia="Times New Roman" w:hAnsi="Times New Roman" w:cs="Times New Roman"/>
                <w:kern w:val="0"/>
                <w:sz w:val="20"/>
                <w:szCs w:val="20"/>
                <w:lang w:eastAsia="en-GB"/>
                <w14:ligatures w14:val="none"/>
              </w:rPr>
            </w:pPr>
          </w:p>
        </w:tc>
        <w:tc>
          <w:tcPr>
            <w:tcW w:w="1320" w:type="dxa"/>
            <w:tcBorders>
              <w:top w:val="nil"/>
              <w:left w:val="nil"/>
              <w:bottom w:val="nil"/>
              <w:right w:val="nil"/>
            </w:tcBorders>
            <w:shd w:val="clear" w:color="auto" w:fill="auto"/>
            <w:noWrap/>
            <w:vAlign w:val="bottom"/>
            <w:hideMark/>
          </w:tcPr>
          <w:p w14:paraId="5BAD004E" w14:textId="77777777" w:rsidR="007D12BC" w:rsidRPr="00383927" w:rsidRDefault="007D12BC" w:rsidP="007D12BC">
            <w:pPr>
              <w:spacing w:after="0" w:line="240" w:lineRule="auto"/>
              <w:rPr>
                <w:rFonts w:ascii="Times New Roman" w:eastAsia="Times New Roman" w:hAnsi="Times New Roman" w:cs="Times New Roman"/>
                <w:kern w:val="0"/>
                <w:sz w:val="20"/>
                <w:szCs w:val="20"/>
                <w:lang w:eastAsia="en-GB"/>
                <w14:ligatures w14:val="none"/>
              </w:rPr>
            </w:pPr>
          </w:p>
        </w:tc>
        <w:tc>
          <w:tcPr>
            <w:tcW w:w="1320" w:type="dxa"/>
            <w:tcBorders>
              <w:top w:val="nil"/>
              <w:left w:val="nil"/>
              <w:bottom w:val="nil"/>
              <w:right w:val="nil"/>
            </w:tcBorders>
            <w:shd w:val="clear" w:color="auto" w:fill="auto"/>
            <w:noWrap/>
            <w:vAlign w:val="bottom"/>
            <w:hideMark/>
          </w:tcPr>
          <w:p w14:paraId="16F195F1" w14:textId="77777777" w:rsidR="007D12BC" w:rsidRPr="00383927" w:rsidRDefault="007D12BC" w:rsidP="007D12BC">
            <w:pPr>
              <w:spacing w:after="0" w:line="240" w:lineRule="auto"/>
              <w:rPr>
                <w:rFonts w:ascii="Times New Roman" w:eastAsia="Times New Roman" w:hAnsi="Times New Roman" w:cs="Times New Roman"/>
                <w:kern w:val="0"/>
                <w:sz w:val="20"/>
                <w:szCs w:val="20"/>
                <w:lang w:eastAsia="en-GB"/>
                <w14:ligatures w14:val="none"/>
              </w:rPr>
            </w:pPr>
          </w:p>
        </w:tc>
      </w:tr>
      <w:tr w:rsidR="007D12BC" w:rsidRPr="00383927" w14:paraId="01BC4651" w14:textId="77777777" w:rsidTr="007D12BC">
        <w:trPr>
          <w:trHeight w:val="315"/>
        </w:trPr>
        <w:tc>
          <w:tcPr>
            <w:tcW w:w="13420" w:type="dxa"/>
            <w:gridSpan w:val="8"/>
            <w:tcBorders>
              <w:top w:val="single" w:sz="8" w:space="0" w:color="auto"/>
              <w:left w:val="single" w:sz="8" w:space="0" w:color="auto"/>
              <w:bottom w:val="nil"/>
              <w:right w:val="single" w:sz="8" w:space="0" w:color="000000"/>
            </w:tcBorders>
            <w:shd w:val="clear" w:color="auto" w:fill="auto"/>
            <w:noWrap/>
            <w:vAlign w:val="bottom"/>
            <w:hideMark/>
          </w:tcPr>
          <w:p w14:paraId="463F340A" w14:textId="77777777" w:rsidR="007D12BC" w:rsidRPr="00383927" w:rsidRDefault="007D12BC" w:rsidP="007D12BC">
            <w:pPr>
              <w:spacing w:after="0" w:line="240" w:lineRule="auto"/>
              <w:rPr>
                <w:rFonts w:ascii="Calibri" w:eastAsia="Times New Roman" w:hAnsi="Calibri" w:cs="Calibri"/>
                <w:b/>
                <w:bCs/>
                <w:color w:val="000000"/>
                <w:kern w:val="0"/>
                <w:sz w:val="18"/>
                <w:szCs w:val="18"/>
                <w:lang w:eastAsia="en-GB"/>
                <w14:ligatures w14:val="none"/>
              </w:rPr>
            </w:pPr>
            <w:r w:rsidRPr="00383927">
              <w:rPr>
                <w:rFonts w:ascii="Calibri" w:eastAsia="Times New Roman" w:hAnsi="Calibri" w:cs="Calibri"/>
                <w:b/>
                <w:bCs/>
                <w:color w:val="000000"/>
                <w:kern w:val="0"/>
                <w:sz w:val="18"/>
                <w:szCs w:val="18"/>
                <w:lang w:eastAsia="en-GB"/>
                <w14:ligatures w14:val="none"/>
              </w:rPr>
              <w:t>Llandudno Lloyd Street Distillery</w:t>
            </w:r>
          </w:p>
        </w:tc>
      </w:tr>
      <w:tr w:rsidR="007D12BC" w:rsidRPr="00383927" w14:paraId="1CADE047" w14:textId="77777777" w:rsidTr="007D12BC">
        <w:trPr>
          <w:trHeight w:val="480"/>
        </w:trPr>
        <w:tc>
          <w:tcPr>
            <w:tcW w:w="4180" w:type="dxa"/>
            <w:tcBorders>
              <w:top w:val="single" w:sz="8" w:space="0" w:color="auto"/>
              <w:left w:val="single" w:sz="8" w:space="0" w:color="auto"/>
              <w:bottom w:val="single" w:sz="4" w:space="0" w:color="auto"/>
              <w:right w:val="single" w:sz="4" w:space="0" w:color="auto"/>
            </w:tcBorders>
            <w:shd w:val="clear" w:color="auto" w:fill="auto"/>
            <w:vAlign w:val="center"/>
            <w:hideMark/>
          </w:tcPr>
          <w:p w14:paraId="2EE24D5F"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Period</w:t>
            </w:r>
          </w:p>
        </w:tc>
        <w:tc>
          <w:tcPr>
            <w:tcW w:w="1320" w:type="dxa"/>
            <w:tcBorders>
              <w:top w:val="single" w:sz="8" w:space="0" w:color="auto"/>
              <w:left w:val="nil"/>
              <w:bottom w:val="single" w:sz="4" w:space="0" w:color="auto"/>
              <w:right w:val="single" w:sz="4" w:space="0" w:color="auto"/>
            </w:tcBorders>
            <w:shd w:val="clear" w:color="auto" w:fill="auto"/>
            <w:vAlign w:val="center"/>
            <w:hideMark/>
          </w:tcPr>
          <w:p w14:paraId="3ABEF4FB"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Visitors Received</w:t>
            </w:r>
          </w:p>
        </w:tc>
        <w:tc>
          <w:tcPr>
            <w:tcW w:w="1320" w:type="dxa"/>
            <w:tcBorders>
              <w:top w:val="single" w:sz="8" w:space="0" w:color="auto"/>
              <w:left w:val="nil"/>
              <w:bottom w:val="single" w:sz="4" w:space="0" w:color="auto"/>
              <w:right w:val="single" w:sz="4" w:space="0" w:color="auto"/>
            </w:tcBorders>
            <w:shd w:val="clear" w:color="auto" w:fill="auto"/>
            <w:vAlign w:val="center"/>
            <w:hideMark/>
          </w:tcPr>
          <w:p w14:paraId="4AC905E4"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 Variation YOY</w:t>
            </w:r>
          </w:p>
        </w:tc>
        <w:tc>
          <w:tcPr>
            <w:tcW w:w="1320" w:type="dxa"/>
            <w:tcBorders>
              <w:top w:val="single" w:sz="8" w:space="0" w:color="auto"/>
              <w:left w:val="nil"/>
              <w:bottom w:val="single" w:sz="4" w:space="0" w:color="auto"/>
              <w:right w:val="single" w:sz="4" w:space="0" w:color="auto"/>
            </w:tcBorders>
            <w:shd w:val="clear" w:color="auto" w:fill="auto"/>
            <w:vAlign w:val="center"/>
            <w:hideMark/>
          </w:tcPr>
          <w:p w14:paraId="1CF3EB53"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Admission Revenue</w:t>
            </w:r>
          </w:p>
        </w:tc>
        <w:tc>
          <w:tcPr>
            <w:tcW w:w="1320" w:type="dxa"/>
            <w:tcBorders>
              <w:top w:val="single" w:sz="8" w:space="0" w:color="auto"/>
              <w:left w:val="nil"/>
              <w:bottom w:val="single" w:sz="4" w:space="0" w:color="auto"/>
              <w:right w:val="single" w:sz="4" w:space="0" w:color="auto"/>
            </w:tcBorders>
            <w:shd w:val="clear" w:color="auto" w:fill="auto"/>
            <w:vAlign w:val="center"/>
            <w:hideMark/>
          </w:tcPr>
          <w:p w14:paraId="54978D6B"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Retail Revenue</w:t>
            </w:r>
          </w:p>
        </w:tc>
        <w:tc>
          <w:tcPr>
            <w:tcW w:w="1320" w:type="dxa"/>
            <w:tcBorders>
              <w:top w:val="single" w:sz="8" w:space="0" w:color="auto"/>
              <w:left w:val="nil"/>
              <w:bottom w:val="single" w:sz="4" w:space="0" w:color="auto"/>
              <w:right w:val="single" w:sz="4" w:space="0" w:color="auto"/>
            </w:tcBorders>
            <w:shd w:val="clear" w:color="auto" w:fill="auto"/>
            <w:vAlign w:val="center"/>
            <w:hideMark/>
          </w:tcPr>
          <w:p w14:paraId="55191989"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Total Revenue</w:t>
            </w:r>
          </w:p>
        </w:tc>
        <w:tc>
          <w:tcPr>
            <w:tcW w:w="1320" w:type="dxa"/>
            <w:tcBorders>
              <w:top w:val="single" w:sz="8" w:space="0" w:color="auto"/>
              <w:left w:val="nil"/>
              <w:bottom w:val="single" w:sz="4" w:space="0" w:color="auto"/>
              <w:right w:val="single" w:sz="4" w:space="0" w:color="auto"/>
            </w:tcBorders>
            <w:shd w:val="clear" w:color="auto" w:fill="auto"/>
            <w:vAlign w:val="center"/>
            <w:hideMark/>
          </w:tcPr>
          <w:p w14:paraId="3EF58A8A"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 Variation YOY</w:t>
            </w:r>
          </w:p>
        </w:tc>
        <w:tc>
          <w:tcPr>
            <w:tcW w:w="1320" w:type="dxa"/>
            <w:tcBorders>
              <w:top w:val="single" w:sz="8" w:space="0" w:color="auto"/>
              <w:left w:val="nil"/>
              <w:bottom w:val="single" w:sz="4" w:space="0" w:color="auto"/>
              <w:right w:val="single" w:sz="8" w:space="0" w:color="auto"/>
            </w:tcBorders>
            <w:shd w:val="clear" w:color="auto" w:fill="auto"/>
            <w:vAlign w:val="center"/>
            <w:hideMark/>
          </w:tcPr>
          <w:p w14:paraId="6CD0ADF1"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Average Spend Per Individual</w:t>
            </w:r>
          </w:p>
        </w:tc>
      </w:tr>
      <w:tr w:rsidR="007D12BC" w:rsidRPr="00383927" w14:paraId="78CCF2FE" w14:textId="77777777" w:rsidTr="007D12BC">
        <w:trPr>
          <w:trHeight w:val="300"/>
        </w:trPr>
        <w:tc>
          <w:tcPr>
            <w:tcW w:w="4180" w:type="dxa"/>
            <w:tcBorders>
              <w:top w:val="nil"/>
              <w:left w:val="single" w:sz="8" w:space="0" w:color="auto"/>
              <w:bottom w:val="single" w:sz="4" w:space="0" w:color="auto"/>
              <w:right w:val="single" w:sz="4" w:space="0" w:color="auto"/>
            </w:tcBorders>
            <w:shd w:val="clear" w:color="auto" w:fill="auto"/>
            <w:noWrap/>
            <w:vAlign w:val="center"/>
            <w:hideMark/>
          </w:tcPr>
          <w:p w14:paraId="5581C2A8"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September 1st 2021 - August 31st 2022</w:t>
            </w:r>
          </w:p>
        </w:tc>
        <w:tc>
          <w:tcPr>
            <w:tcW w:w="1320" w:type="dxa"/>
            <w:tcBorders>
              <w:top w:val="nil"/>
              <w:left w:val="nil"/>
              <w:bottom w:val="single" w:sz="4" w:space="0" w:color="auto"/>
              <w:right w:val="single" w:sz="4" w:space="0" w:color="auto"/>
            </w:tcBorders>
            <w:shd w:val="clear" w:color="auto" w:fill="auto"/>
            <w:noWrap/>
            <w:vAlign w:val="center"/>
            <w:hideMark/>
          </w:tcPr>
          <w:p w14:paraId="6E159014" w14:textId="386BAF6A"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22</w:t>
            </w:r>
            <w:r w:rsidR="0032092B">
              <w:rPr>
                <w:rFonts w:ascii="Calibri" w:eastAsia="Times New Roman" w:hAnsi="Calibri" w:cs="Calibri"/>
                <w:color w:val="000000"/>
                <w:kern w:val="0"/>
                <w:sz w:val="18"/>
                <w:szCs w:val="18"/>
                <w:lang w:eastAsia="en-GB"/>
                <w14:ligatures w14:val="none"/>
              </w:rPr>
              <w:t>,</w:t>
            </w:r>
            <w:r w:rsidRPr="00383927">
              <w:rPr>
                <w:rFonts w:ascii="Calibri" w:eastAsia="Times New Roman" w:hAnsi="Calibri" w:cs="Calibri"/>
                <w:color w:val="000000"/>
                <w:kern w:val="0"/>
                <w:sz w:val="18"/>
                <w:szCs w:val="18"/>
                <w:lang w:eastAsia="en-GB"/>
                <w14:ligatures w14:val="none"/>
              </w:rPr>
              <w:t>689</w:t>
            </w:r>
          </w:p>
        </w:tc>
        <w:tc>
          <w:tcPr>
            <w:tcW w:w="1320" w:type="dxa"/>
            <w:tcBorders>
              <w:top w:val="nil"/>
              <w:left w:val="nil"/>
              <w:bottom w:val="single" w:sz="4" w:space="0" w:color="auto"/>
              <w:right w:val="single" w:sz="4" w:space="0" w:color="auto"/>
            </w:tcBorders>
            <w:shd w:val="clear" w:color="auto" w:fill="auto"/>
            <w:noWrap/>
            <w:vAlign w:val="center"/>
            <w:hideMark/>
          </w:tcPr>
          <w:p w14:paraId="4C45426E"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w:t>
            </w:r>
          </w:p>
        </w:tc>
        <w:tc>
          <w:tcPr>
            <w:tcW w:w="1320" w:type="dxa"/>
            <w:tcBorders>
              <w:top w:val="nil"/>
              <w:left w:val="nil"/>
              <w:bottom w:val="single" w:sz="4" w:space="0" w:color="auto"/>
              <w:right w:val="single" w:sz="4" w:space="0" w:color="auto"/>
            </w:tcBorders>
            <w:shd w:val="clear" w:color="auto" w:fill="auto"/>
            <w:noWrap/>
            <w:vAlign w:val="center"/>
            <w:hideMark/>
          </w:tcPr>
          <w:p w14:paraId="181256D9"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£83,085.14</w:t>
            </w:r>
          </w:p>
        </w:tc>
        <w:tc>
          <w:tcPr>
            <w:tcW w:w="1320" w:type="dxa"/>
            <w:tcBorders>
              <w:top w:val="nil"/>
              <w:left w:val="nil"/>
              <w:bottom w:val="single" w:sz="4" w:space="0" w:color="auto"/>
              <w:right w:val="single" w:sz="4" w:space="0" w:color="auto"/>
            </w:tcBorders>
            <w:shd w:val="clear" w:color="auto" w:fill="auto"/>
            <w:noWrap/>
            <w:vAlign w:val="center"/>
            <w:hideMark/>
          </w:tcPr>
          <w:p w14:paraId="129A70FE"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£522,652.02</w:t>
            </w:r>
          </w:p>
        </w:tc>
        <w:tc>
          <w:tcPr>
            <w:tcW w:w="1320" w:type="dxa"/>
            <w:tcBorders>
              <w:top w:val="nil"/>
              <w:left w:val="nil"/>
              <w:bottom w:val="single" w:sz="4" w:space="0" w:color="auto"/>
              <w:right w:val="single" w:sz="4" w:space="0" w:color="auto"/>
            </w:tcBorders>
            <w:shd w:val="clear" w:color="auto" w:fill="auto"/>
            <w:noWrap/>
            <w:vAlign w:val="center"/>
            <w:hideMark/>
          </w:tcPr>
          <w:p w14:paraId="49ED6F8E"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£605,737.16</w:t>
            </w:r>
          </w:p>
        </w:tc>
        <w:tc>
          <w:tcPr>
            <w:tcW w:w="1320" w:type="dxa"/>
            <w:tcBorders>
              <w:top w:val="nil"/>
              <w:left w:val="nil"/>
              <w:bottom w:val="single" w:sz="4" w:space="0" w:color="auto"/>
              <w:right w:val="single" w:sz="4" w:space="0" w:color="auto"/>
            </w:tcBorders>
            <w:shd w:val="clear" w:color="auto" w:fill="auto"/>
            <w:noWrap/>
            <w:vAlign w:val="center"/>
            <w:hideMark/>
          </w:tcPr>
          <w:p w14:paraId="34DD65AA"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w:t>
            </w:r>
          </w:p>
        </w:tc>
        <w:tc>
          <w:tcPr>
            <w:tcW w:w="1320" w:type="dxa"/>
            <w:tcBorders>
              <w:top w:val="nil"/>
              <w:left w:val="nil"/>
              <w:bottom w:val="single" w:sz="4" w:space="0" w:color="auto"/>
              <w:right w:val="single" w:sz="8" w:space="0" w:color="auto"/>
            </w:tcBorders>
            <w:shd w:val="clear" w:color="auto" w:fill="auto"/>
            <w:noWrap/>
            <w:vAlign w:val="center"/>
            <w:hideMark/>
          </w:tcPr>
          <w:p w14:paraId="2C9204C0"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£26.70</w:t>
            </w:r>
          </w:p>
        </w:tc>
      </w:tr>
      <w:tr w:rsidR="007D12BC" w:rsidRPr="00383927" w14:paraId="607C1149" w14:textId="77777777" w:rsidTr="007D12BC">
        <w:trPr>
          <w:trHeight w:val="300"/>
        </w:trPr>
        <w:tc>
          <w:tcPr>
            <w:tcW w:w="4180" w:type="dxa"/>
            <w:tcBorders>
              <w:top w:val="nil"/>
              <w:left w:val="single" w:sz="8" w:space="0" w:color="auto"/>
              <w:bottom w:val="single" w:sz="4" w:space="0" w:color="auto"/>
              <w:right w:val="single" w:sz="4" w:space="0" w:color="auto"/>
            </w:tcBorders>
            <w:shd w:val="clear" w:color="auto" w:fill="auto"/>
            <w:noWrap/>
            <w:vAlign w:val="center"/>
            <w:hideMark/>
          </w:tcPr>
          <w:p w14:paraId="6992F1C8"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September 1st 2022 - August 31st 2023</w:t>
            </w:r>
          </w:p>
        </w:tc>
        <w:tc>
          <w:tcPr>
            <w:tcW w:w="1320" w:type="dxa"/>
            <w:tcBorders>
              <w:top w:val="nil"/>
              <w:left w:val="nil"/>
              <w:bottom w:val="single" w:sz="4" w:space="0" w:color="auto"/>
              <w:right w:val="single" w:sz="4" w:space="0" w:color="auto"/>
            </w:tcBorders>
            <w:shd w:val="clear" w:color="auto" w:fill="auto"/>
            <w:noWrap/>
            <w:vAlign w:val="center"/>
            <w:hideMark/>
          </w:tcPr>
          <w:p w14:paraId="45527B12" w14:textId="15E62024"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28</w:t>
            </w:r>
            <w:r w:rsidR="0032092B">
              <w:rPr>
                <w:rFonts w:ascii="Calibri" w:eastAsia="Times New Roman" w:hAnsi="Calibri" w:cs="Calibri"/>
                <w:color w:val="000000"/>
                <w:kern w:val="0"/>
                <w:sz w:val="18"/>
                <w:szCs w:val="18"/>
                <w:lang w:eastAsia="en-GB"/>
                <w14:ligatures w14:val="none"/>
              </w:rPr>
              <w:t>,</w:t>
            </w:r>
            <w:r w:rsidRPr="00383927">
              <w:rPr>
                <w:rFonts w:ascii="Calibri" w:eastAsia="Times New Roman" w:hAnsi="Calibri" w:cs="Calibri"/>
                <w:color w:val="000000"/>
                <w:kern w:val="0"/>
                <w:sz w:val="18"/>
                <w:szCs w:val="18"/>
                <w:lang w:eastAsia="en-GB"/>
                <w14:ligatures w14:val="none"/>
              </w:rPr>
              <w:t>456</w:t>
            </w:r>
          </w:p>
        </w:tc>
        <w:tc>
          <w:tcPr>
            <w:tcW w:w="1320" w:type="dxa"/>
            <w:tcBorders>
              <w:top w:val="nil"/>
              <w:left w:val="nil"/>
              <w:bottom w:val="single" w:sz="4" w:space="0" w:color="auto"/>
              <w:right w:val="single" w:sz="4" w:space="0" w:color="auto"/>
            </w:tcBorders>
            <w:shd w:val="clear" w:color="auto" w:fill="auto"/>
            <w:noWrap/>
            <w:vAlign w:val="center"/>
            <w:hideMark/>
          </w:tcPr>
          <w:p w14:paraId="08482D38"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25%</w:t>
            </w:r>
          </w:p>
        </w:tc>
        <w:tc>
          <w:tcPr>
            <w:tcW w:w="1320" w:type="dxa"/>
            <w:tcBorders>
              <w:top w:val="nil"/>
              <w:left w:val="nil"/>
              <w:bottom w:val="single" w:sz="4" w:space="0" w:color="auto"/>
              <w:right w:val="single" w:sz="4" w:space="0" w:color="auto"/>
            </w:tcBorders>
            <w:shd w:val="clear" w:color="auto" w:fill="auto"/>
            <w:noWrap/>
            <w:vAlign w:val="center"/>
            <w:hideMark/>
          </w:tcPr>
          <w:p w14:paraId="53FB825A"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£61,602.28</w:t>
            </w:r>
          </w:p>
        </w:tc>
        <w:tc>
          <w:tcPr>
            <w:tcW w:w="1320" w:type="dxa"/>
            <w:tcBorders>
              <w:top w:val="nil"/>
              <w:left w:val="nil"/>
              <w:bottom w:val="single" w:sz="4" w:space="0" w:color="auto"/>
              <w:right w:val="single" w:sz="4" w:space="0" w:color="auto"/>
            </w:tcBorders>
            <w:shd w:val="clear" w:color="auto" w:fill="auto"/>
            <w:noWrap/>
            <w:vAlign w:val="center"/>
            <w:hideMark/>
          </w:tcPr>
          <w:p w14:paraId="72C49BB2"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£582,169.60</w:t>
            </w:r>
          </w:p>
        </w:tc>
        <w:tc>
          <w:tcPr>
            <w:tcW w:w="1320" w:type="dxa"/>
            <w:tcBorders>
              <w:top w:val="nil"/>
              <w:left w:val="nil"/>
              <w:bottom w:val="single" w:sz="4" w:space="0" w:color="auto"/>
              <w:right w:val="single" w:sz="4" w:space="0" w:color="auto"/>
            </w:tcBorders>
            <w:shd w:val="clear" w:color="auto" w:fill="auto"/>
            <w:noWrap/>
            <w:vAlign w:val="center"/>
            <w:hideMark/>
          </w:tcPr>
          <w:p w14:paraId="7B95F62B"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£643,771.88</w:t>
            </w:r>
          </w:p>
        </w:tc>
        <w:tc>
          <w:tcPr>
            <w:tcW w:w="1320" w:type="dxa"/>
            <w:tcBorders>
              <w:top w:val="nil"/>
              <w:left w:val="nil"/>
              <w:bottom w:val="single" w:sz="4" w:space="0" w:color="auto"/>
              <w:right w:val="single" w:sz="4" w:space="0" w:color="auto"/>
            </w:tcBorders>
            <w:shd w:val="clear" w:color="auto" w:fill="auto"/>
            <w:noWrap/>
            <w:vAlign w:val="center"/>
            <w:hideMark/>
          </w:tcPr>
          <w:p w14:paraId="4311CF39"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6%</w:t>
            </w:r>
          </w:p>
        </w:tc>
        <w:tc>
          <w:tcPr>
            <w:tcW w:w="1320" w:type="dxa"/>
            <w:tcBorders>
              <w:top w:val="nil"/>
              <w:left w:val="nil"/>
              <w:bottom w:val="single" w:sz="4" w:space="0" w:color="auto"/>
              <w:right w:val="single" w:sz="8" w:space="0" w:color="auto"/>
            </w:tcBorders>
            <w:shd w:val="clear" w:color="auto" w:fill="auto"/>
            <w:noWrap/>
            <w:vAlign w:val="center"/>
            <w:hideMark/>
          </w:tcPr>
          <w:p w14:paraId="1D47A470"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£22.62</w:t>
            </w:r>
          </w:p>
        </w:tc>
      </w:tr>
      <w:tr w:rsidR="007D12BC" w:rsidRPr="00383927" w14:paraId="397D0430" w14:textId="77777777" w:rsidTr="007D12BC">
        <w:trPr>
          <w:trHeight w:val="315"/>
        </w:trPr>
        <w:tc>
          <w:tcPr>
            <w:tcW w:w="4180" w:type="dxa"/>
            <w:tcBorders>
              <w:top w:val="nil"/>
              <w:left w:val="single" w:sz="8" w:space="0" w:color="auto"/>
              <w:bottom w:val="single" w:sz="8" w:space="0" w:color="auto"/>
              <w:right w:val="single" w:sz="4" w:space="0" w:color="auto"/>
            </w:tcBorders>
            <w:shd w:val="clear" w:color="auto" w:fill="auto"/>
            <w:noWrap/>
            <w:vAlign w:val="center"/>
            <w:hideMark/>
          </w:tcPr>
          <w:p w14:paraId="12B00AFE"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September 1st 2023 - August 31st 2024 PROJECTED</w:t>
            </w:r>
          </w:p>
        </w:tc>
        <w:tc>
          <w:tcPr>
            <w:tcW w:w="1320" w:type="dxa"/>
            <w:tcBorders>
              <w:top w:val="nil"/>
              <w:left w:val="nil"/>
              <w:bottom w:val="single" w:sz="8" w:space="0" w:color="auto"/>
              <w:right w:val="single" w:sz="4" w:space="0" w:color="auto"/>
            </w:tcBorders>
            <w:shd w:val="clear" w:color="auto" w:fill="auto"/>
            <w:noWrap/>
            <w:vAlign w:val="center"/>
            <w:hideMark/>
          </w:tcPr>
          <w:p w14:paraId="06A27437" w14:textId="474AA699"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40</w:t>
            </w:r>
            <w:r w:rsidR="0032092B">
              <w:rPr>
                <w:rFonts w:ascii="Calibri" w:eastAsia="Times New Roman" w:hAnsi="Calibri" w:cs="Calibri"/>
                <w:color w:val="000000"/>
                <w:kern w:val="0"/>
                <w:sz w:val="18"/>
                <w:szCs w:val="18"/>
                <w:lang w:eastAsia="en-GB"/>
                <w14:ligatures w14:val="none"/>
              </w:rPr>
              <w:t>,</w:t>
            </w:r>
            <w:r w:rsidRPr="00383927">
              <w:rPr>
                <w:rFonts w:ascii="Calibri" w:eastAsia="Times New Roman" w:hAnsi="Calibri" w:cs="Calibri"/>
                <w:color w:val="000000"/>
                <w:kern w:val="0"/>
                <w:sz w:val="18"/>
                <w:szCs w:val="18"/>
                <w:lang w:eastAsia="en-GB"/>
                <w14:ligatures w14:val="none"/>
              </w:rPr>
              <w:t>000</w:t>
            </w:r>
          </w:p>
        </w:tc>
        <w:tc>
          <w:tcPr>
            <w:tcW w:w="1320" w:type="dxa"/>
            <w:tcBorders>
              <w:top w:val="nil"/>
              <w:left w:val="nil"/>
              <w:bottom w:val="single" w:sz="8" w:space="0" w:color="auto"/>
              <w:right w:val="single" w:sz="4" w:space="0" w:color="auto"/>
            </w:tcBorders>
            <w:shd w:val="clear" w:color="auto" w:fill="auto"/>
            <w:noWrap/>
            <w:vAlign w:val="center"/>
            <w:hideMark/>
          </w:tcPr>
          <w:p w14:paraId="21510F77"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41%</w:t>
            </w:r>
          </w:p>
        </w:tc>
        <w:tc>
          <w:tcPr>
            <w:tcW w:w="1320" w:type="dxa"/>
            <w:tcBorders>
              <w:top w:val="nil"/>
              <w:left w:val="nil"/>
              <w:bottom w:val="single" w:sz="8" w:space="0" w:color="auto"/>
              <w:right w:val="single" w:sz="4" w:space="0" w:color="auto"/>
            </w:tcBorders>
            <w:shd w:val="clear" w:color="auto" w:fill="auto"/>
            <w:noWrap/>
            <w:vAlign w:val="center"/>
            <w:hideMark/>
          </w:tcPr>
          <w:p w14:paraId="3DCB0586"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£90,000.00</w:t>
            </w:r>
          </w:p>
        </w:tc>
        <w:tc>
          <w:tcPr>
            <w:tcW w:w="1320" w:type="dxa"/>
            <w:tcBorders>
              <w:top w:val="nil"/>
              <w:left w:val="nil"/>
              <w:bottom w:val="single" w:sz="8" w:space="0" w:color="auto"/>
              <w:right w:val="single" w:sz="4" w:space="0" w:color="auto"/>
            </w:tcBorders>
            <w:shd w:val="clear" w:color="auto" w:fill="auto"/>
            <w:noWrap/>
            <w:vAlign w:val="center"/>
            <w:hideMark/>
          </w:tcPr>
          <w:p w14:paraId="309FAF7C"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£790,000.00</w:t>
            </w:r>
          </w:p>
        </w:tc>
        <w:tc>
          <w:tcPr>
            <w:tcW w:w="1320" w:type="dxa"/>
            <w:tcBorders>
              <w:top w:val="nil"/>
              <w:left w:val="nil"/>
              <w:bottom w:val="single" w:sz="8" w:space="0" w:color="auto"/>
              <w:right w:val="single" w:sz="4" w:space="0" w:color="auto"/>
            </w:tcBorders>
            <w:shd w:val="clear" w:color="auto" w:fill="auto"/>
            <w:noWrap/>
            <w:vAlign w:val="center"/>
            <w:hideMark/>
          </w:tcPr>
          <w:p w14:paraId="791BFEA9"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£880,000.00</w:t>
            </w:r>
          </w:p>
        </w:tc>
        <w:tc>
          <w:tcPr>
            <w:tcW w:w="1320" w:type="dxa"/>
            <w:tcBorders>
              <w:top w:val="nil"/>
              <w:left w:val="nil"/>
              <w:bottom w:val="single" w:sz="8" w:space="0" w:color="auto"/>
              <w:right w:val="single" w:sz="4" w:space="0" w:color="auto"/>
            </w:tcBorders>
            <w:shd w:val="clear" w:color="auto" w:fill="auto"/>
            <w:noWrap/>
            <w:vAlign w:val="center"/>
            <w:hideMark/>
          </w:tcPr>
          <w:p w14:paraId="420598B3"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37%</w:t>
            </w:r>
          </w:p>
        </w:tc>
        <w:tc>
          <w:tcPr>
            <w:tcW w:w="1320" w:type="dxa"/>
            <w:tcBorders>
              <w:top w:val="nil"/>
              <w:left w:val="nil"/>
              <w:bottom w:val="single" w:sz="8" w:space="0" w:color="auto"/>
              <w:right w:val="single" w:sz="8" w:space="0" w:color="auto"/>
            </w:tcBorders>
            <w:shd w:val="clear" w:color="auto" w:fill="auto"/>
            <w:noWrap/>
            <w:vAlign w:val="center"/>
            <w:hideMark/>
          </w:tcPr>
          <w:p w14:paraId="6BBFD5E1"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£22.00</w:t>
            </w:r>
          </w:p>
        </w:tc>
      </w:tr>
      <w:tr w:rsidR="007D12BC" w:rsidRPr="00383927" w14:paraId="5E4F7689" w14:textId="77777777" w:rsidTr="007D12BC">
        <w:trPr>
          <w:trHeight w:val="315"/>
        </w:trPr>
        <w:tc>
          <w:tcPr>
            <w:tcW w:w="4180" w:type="dxa"/>
            <w:tcBorders>
              <w:top w:val="nil"/>
              <w:left w:val="nil"/>
              <w:bottom w:val="nil"/>
              <w:right w:val="nil"/>
            </w:tcBorders>
            <w:shd w:val="clear" w:color="auto" w:fill="auto"/>
            <w:noWrap/>
            <w:vAlign w:val="bottom"/>
            <w:hideMark/>
          </w:tcPr>
          <w:p w14:paraId="0C166B33"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p>
        </w:tc>
        <w:tc>
          <w:tcPr>
            <w:tcW w:w="1320" w:type="dxa"/>
            <w:tcBorders>
              <w:top w:val="nil"/>
              <w:left w:val="nil"/>
              <w:bottom w:val="nil"/>
              <w:right w:val="nil"/>
            </w:tcBorders>
            <w:shd w:val="clear" w:color="auto" w:fill="auto"/>
            <w:noWrap/>
            <w:vAlign w:val="bottom"/>
            <w:hideMark/>
          </w:tcPr>
          <w:p w14:paraId="531B3B20" w14:textId="77777777" w:rsidR="007D12BC" w:rsidRPr="00383927" w:rsidRDefault="007D12BC" w:rsidP="007D12BC">
            <w:pPr>
              <w:spacing w:after="0" w:line="240" w:lineRule="auto"/>
              <w:rPr>
                <w:rFonts w:ascii="Times New Roman" w:eastAsia="Times New Roman" w:hAnsi="Times New Roman" w:cs="Times New Roman"/>
                <w:kern w:val="0"/>
                <w:sz w:val="20"/>
                <w:szCs w:val="20"/>
                <w:lang w:eastAsia="en-GB"/>
                <w14:ligatures w14:val="none"/>
              </w:rPr>
            </w:pPr>
          </w:p>
        </w:tc>
        <w:tc>
          <w:tcPr>
            <w:tcW w:w="1320" w:type="dxa"/>
            <w:tcBorders>
              <w:top w:val="nil"/>
              <w:left w:val="nil"/>
              <w:bottom w:val="nil"/>
              <w:right w:val="nil"/>
            </w:tcBorders>
            <w:shd w:val="clear" w:color="auto" w:fill="auto"/>
            <w:noWrap/>
            <w:vAlign w:val="bottom"/>
            <w:hideMark/>
          </w:tcPr>
          <w:p w14:paraId="56B80BEC" w14:textId="77777777" w:rsidR="007D12BC" w:rsidRPr="00383927" w:rsidRDefault="007D12BC" w:rsidP="007D12BC">
            <w:pPr>
              <w:spacing w:after="0" w:line="240" w:lineRule="auto"/>
              <w:rPr>
                <w:rFonts w:ascii="Times New Roman" w:eastAsia="Times New Roman" w:hAnsi="Times New Roman" w:cs="Times New Roman"/>
                <w:kern w:val="0"/>
                <w:sz w:val="20"/>
                <w:szCs w:val="20"/>
                <w:lang w:eastAsia="en-GB"/>
                <w14:ligatures w14:val="none"/>
              </w:rPr>
            </w:pPr>
          </w:p>
        </w:tc>
        <w:tc>
          <w:tcPr>
            <w:tcW w:w="1320" w:type="dxa"/>
            <w:tcBorders>
              <w:top w:val="nil"/>
              <w:left w:val="nil"/>
              <w:bottom w:val="nil"/>
              <w:right w:val="nil"/>
            </w:tcBorders>
            <w:shd w:val="clear" w:color="auto" w:fill="auto"/>
            <w:noWrap/>
            <w:vAlign w:val="bottom"/>
            <w:hideMark/>
          </w:tcPr>
          <w:p w14:paraId="6DAE39A5" w14:textId="77777777" w:rsidR="007D12BC" w:rsidRPr="00383927" w:rsidRDefault="007D12BC" w:rsidP="007D12BC">
            <w:pPr>
              <w:spacing w:after="0" w:line="240" w:lineRule="auto"/>
              <w:rPr>
                <w:rFonts w:ascii="Times New Roman" w:eastAsia="Times New Roman" w:hAnsi="Times New Roman" w:cs="Times New Roman"/>
                <w:kern w:val="0"/>
                <w:sz w:val="20"/>
                <w:szCs w:val="20"/>
                <w:lang w:eastAsia="en-GB"/>
                <w14:ligatures w14:val="none"/>
              </w:rPr>
            </w:pPr>
          </w:p>
        </w:tc>
        <w:tc>
          <w:tcPr>
            <w:tcW w:w="1320" w:type="dxa"/>
            <w:tcBorders>
              <w:top w:val="nil"/>
              <w:left w:val="nil"/>
              <w:bottom w:val="nil"/>
              <w:right w:val="nil"/>
            </w:tcBorders>
            <w:shd w:val="clear" w:color="auto" w:fill="auto"/>
            <w:noWrap/>
            <w:vAlign w:val="bottom"/>
            <w:hideMark/>
          </w:tcPr>
          <w:p w14:paraId="4FE651C5" w14:textId="77777777" w:rsidR="007D12BC" w:rsidRPr="00383927" w:rsidRDefault="007D12BC" w:rsidP="007D12BC">
            <w:pPr>
              <w:spacing w:after="0" w:line="240" w:lineRule="auto"/>
              <w:rPr>
                <w:rFonts w:ascii="Times New Roman" w:eastAsia="Times New Roman" w:hAnsi="Times New Roman" w:cs="Times New Roman"/>
                <w:kern w:val="0"/>
                <w:sz w:val="20"/>
                <w:szCs w:val="20"/>
                <w:lang w:eastAsia="en-GB"/>
                <w14:ligatures w14:val="none"/>
              </w:rPr>
            </w:pPr>
          </w:p>
        </w:tc>
        <w:tc>
          <w:tcPr>
            <w:tcW w:w="1320" w:type="dxa"/>
            <w:tcBorders>
              <w:top w:val="nil"/>
              <w:left w:val="nil"/>
              <w:bottom w:val="nil"/>
              <w:right w:val="nil"/>
            </w:tcBorders>
            <w:shd w:val="clear" w:color="auto" w:fill="auto"/>
            <w:noWrap/>
            <w:vAlign w:val="bottom"/>
            <w:hideMark/>
          </w:tcPr>
          <w:p w14:paraId="51DBE2E2" w14:textId="77777777" w:rsidR="007D12BC" w:rsidRPr="00383927" w:rsidRDefault="007D12BC" w:rsidP="007D12BC">
            <w:pPr>
              <w:spacing w:after="0" w:line="240" w:lineRule="auto"/>
              <w:rPr>
                <w:rFonts w:ascii="Times New Roman" w:eastAsia="Times New Roman" w:hAnsi="Times New Roman" w:cs="Times New Roman"/>
                <w:kern w:val="0"/>
                <w:sz w:val="20"/>
                <w:szCs w:val="20"/>
                <w:lang w:eastAsia="en-GB"/>
                <w14:ligatures w14:val="none"/>
              </w:rPr>
            </w:pPr>
          </w:p>
        </w:tc>
        <w:tc>
          <w:tcPr>
            <w:tcW w:w="1320" w:type="dxa"/>
            <w:tcBorders>
              <w:top w:val="nil"/>
              <w:left w:val="nil"/>
              <w:bottom w:val="nil"/>
              <w:right w:val="nil"/>
            </w:tcBorders>
            <w:shd w:val="clear" w:color="auto" w:fill="auto"/>
            <w:noWrap/>
            <w:vAlign w:val="bottom"/>
            <w:hideMark/>
          </w:tcPr>
          <w:p w14:paraId="7B9BDCA7" w14:textId="77777777" w:rsidR="007D12BC" w:rsidRPr="00383927" w:rsidRDefault="007D12BC" w:rsidP="007D12BC">
            <w:pPr>
              <w:spacing w:after="0" w:line="240" w:lineRule="auto"/>
              <w:rPr>
                <w:rFonts w:ascii="Times New Roman" w:eastAsia="Times New Roman" w:hAnsi="Times New Roman" w:cs="Times New Roman"/>
                <w:kern w:val="0"/>
                <w:sz w:val="20"/>
                <w:szCs w:val="20"/>
                <w:lang w:eastAsia="en-GB"/>
                <w14:ligatures w14:val="none"/>
              </w:rPr>
            </w:pPr>
          </w:p>
        </w:tc>
        <w:tc>
          <w:tcPr>
            <w:tcW w:w="1320" w:type="dxa"/>
            <w:tcBorders>
              <w:top w:val="nil"/>
              <w:left w:val="nil"/>
              <w:bottom w:val="nil"/>
              <w:right w:val="nil"/>
            </w:tcBorders>
            <w:shd w:val="clear" w:color="auto" w:fill="auto"/>
            <w:noWrap/>
            <w:vAlign w:val="bottom"/>
            <w:hideMark/>
          </w:tcPr>
          <w:p w14:paraId="256CE9BB" w14:textId="77777777" w:rsidR="007D12BC" w:rsidRPr="00383927" w:rsidRDefault="007D12BC" w:rsidP="007D12BC">
            <w:pPr>
              <w:spacing w:after="0" w:line="240" w:lineRule="auto"/>
              <w:rPr>
                <w:rFonts w:ascii="Times New Roman" w:eastAsia="Times New Roman" w:hAnsi="Times New Roman" w:cs="Times New Roman"/>
                <w:kern w:val="0"/>
                <w:sz w:val="20"/>
                <w:szCs w:val="20"/>
                <w:lang w:eastAsia="en-GB"/>
                <w14:ligatures w14:val="none"/>
              </w:rPr>
            </w:pPr>
          </w:p>
        </w:tc>
      </w:tr>
      <w:tr w:rsidR="007D12BC" w:rsidRPr="00383927" w14:paraId="2CC1631C" w14:textId="77777777" w:rsidTr="007D12BC">
        <w:trPr>
          <w:trHeight w:val="315"/>
        </w:trPr>
        <w:tc>
          <w:tcPr>
            <w:tcW w:w="13420" w:type="dxa"/>
            <w:gridSpan w:val="8"/>
            <w:tcBorders>
              <w:top w:val="single" w:sz="8" w:space="0" w:color="auto"/>
              <w:left w:val="single" w:sz="8" w:space="0" w:color="auto"/>
              <w:bottom w:val="nil"/>
              <w:right w:val="single" w:sz="8" w:space="0" w:color="000000"/>
            </w:tcBorders>
            <w:shd w:val="clear" w:color="auto" w:fill="auto"/>
            <w:noWrap/>
            <w:vAlign w:val="bottom"/>
            <w:hideMark/>
          </w:tcPr>
          <w:p w14:paraId="29834A2D" w14:textId="77777777" w:rsidR="007D12BC" w:rsidRPr="00383927" w:rsidRDefault="007D12BC" w:rsidP="007D12BC">
            <w:pPr>
              <w:spacing w:after="0" w:line="240" w:lineRule="auto"/>
              <w:rPr>
                <w:rFonts w:ascii="Calibri" w:eastAsia="Times New Roman" w:hAnsi="Calibri" w:cs="Calibri"/>
                <w:b/>
                <w:bCs/>
                <w:color w:val="000000"/>
                <w:kern w:val="0"/>
                <w:sz w:val="18"/>
                <w:szCs w:val="18"/>
                <w:lang w:eastAsia="en-GB"/>
                <w14:ligatures w14:val="none"/>
              </w:rPr>
            </w:pPr>
            <w:r w:rsidRPr="00383927">
              <w:rPr>
                <w:rFonts w:ascii="Calibri" w:eastAsia="Times New Roman" w:hAnsi="Calibri" w:cs="Calibri"/>
                <w:b/>
                <w:bCs/>
                <w:color w:val="000000"/>
                <w:kern w:val="0"/>
                <w:sz w:val="18"/>
                <w:szCs w:val="18"/>
                <w:lang w:eastAsia="en-GB"/>
                <w14:ligatures w14:val="none"/>
              </w:rPr>
              <w:t>Swansea Copperworks Distillery</w:t>
            </w:r>
          </w:p>
        </w:tc>
      </w:tr>
      <w:tr w:rsidR="007D12BC" w:rsidRPr="00383927" w14:paraId="58C17BB0" w14:textId="77777777" w:rsidTr="007D12BC">
        <w:trPr>
          <w:trHeight w:val="480"/>
        </w:trPr>
        <w:tc>
          <w:tcPr>
            <w:tcW w:w="4180" w:type="dxa"/>
            <w:tcBorders>
              <w:top w:val="single" w:sz="8" w:space="0" w:color="auto"/>
              <w:left w:val="single" w:sz="8" w:space="0" w:color="auto"/>
              <w:bottom w:val="single" w:sz="4" w:space="0" w:color="auto"/>
              <w:right w:val="single" w:sz="4" w:space="0" w:color="auto"/>
            </w:tcBorders>
            <w:shd w:val="clear" w:color="auto" w:fill="auto"/>
            <w:vAlign w:val="center"/>
            <w:hideMark/>
          </w:tcPr>
          <w:p w14:paraId="1203FCF2"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Period</w:t>
            </w:r>
          </w:p>
        </w:tc>
        <w:tc>
          <w:tcPr>
            <w:tcW w:w="1320" w:type="dxa"/>
            <w:tcBorders>
              <w:top w:val="single" w:sz="8" w:space="0" w:color="auto"/>
              <w:left w:val="nil"/>
              <w:bottom w:val="single" w:sz="4" w:space="0" w:color="auto"/>
              <w:right w:val="single" w:sz="4" w:space="0" w:color="auto"/>
            </w:tcBorders>
            <w:shd w:val="clear" w:color="auto" w:fill="auto"/>
            <w:vAlign w:val="center"/>
            <w:hideMark/>
          </w:tcPr>
          <w:p w14:paraId="3E0B863D"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Visitors Received</w:t>
            </w:r>
          </w:p>
        </w:tc>
        <w:tc>
          <w:tcPr>
            <w:tcW w:w="1320" w:type="dxa"/>
            <w:tcBorders>
              <w:top w:val="single" w:sz="8" w:space="0" w:color="auto"/>
              <w:left w:val="nil"/>
              <w:bottom w:val="single" w:sz="4" w:space="0" w:color="auto"/>
              <w:right w:val="single" w:sz="4" w:space="0" w:color="auto"/>
            </w:tcBorders>
            <w:shd w:val="clear" w:color="auto" w:fill="auto"/>
            <w:vAlign w:val="center"/>
            <w:hideMark/>
          </w:tcPr>
          <w:p w14:paraId="5B29A016"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 Variation YOY</w:t>
            </w:r>
          </w:p>
        </w:tc>
        <w:tc>
          <w:tcPr>
            <w:tcW w:w="1320" w:type="dxa"/>
            <w:tcBorders>
              <w:top w:val="single" w:sz="8" w:space="0" w:color="auto"/>
              <w:left w:val="nil"/>
              <w:bottom w:val="single" w:sz="4" w:space="0" w:color="auto"/>
              <w:right w:val="single" w:sz="4" w:space="0" w:color="auto"/>
            </w:tcBorders>
            <w:shd w:val="clear" w:color="auto" w:fill="auto"/>
            <w:vAlign w:val="center"/>
            <w:hideMark/>
          </w:tcPr>
          <w:p w14:paraId="66EF423C"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Admission Revenue</w:t>
            </w:r>
          </w:p>
        </w:tc>
        <w:tc>
          <w:tcPr>
            <w:tcW w:w="1320" w:type="dxa"/>
            <w:tcBorders>
              <w:top w:val="single" w:sz="8" w:space="0" w:color="auto"/>
              <w:left w:val="nil"/>
              <w:bottom w:val="single" w:sz="4" w:space="0" w:color="auto"/>
              <w:right w:val="single" w:sz="4" w:space="0" w:color="auto"/>
            </w:tcBorders>
            <w:shd w:val="clear" w:color="auto" w:fill="auto"/>
            <w:vAlign w:val="center"/>
            <w:hideMark/>
          </w:tcPr>
          <w:p w14:paraId="03CCD443"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Retail Revenue</w:t>
            </w:r>
          </w:p>
        </w:tc>
        <w:tc>
          <w:tcPr>
            <w:tcW w:w="1320" w:type="dxa"/>
            <w:tcBorders>
              <w:top w:val="single" w:sz="8" w:space="0" w:color="auto"/>
              <w:left w:val="nil"/>
              <w:bottom w:val="single" w:sz="4" w:space="0" w:color="auto"/>
              <w:right w:val="single" w:sz="4" w:space="0" w:color="auto"/>
            </w:tcBorders>
            <w:shd w:val="clear" w:color="auto" w:fill="auto"/>
            <w:vAlign w:val="center"/>
            <w:hideMark/>
          </w:tcPr>
          <w:p w14:paraId="63F7C75C"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Total Revenue</w:t>
            </w:r>
          </w:p>
        </w:tc>
        <w:tc>
          <w:tcPr>
            <w:tcW w:w="1320" w:type="dxa"/>
            <w:tcBorders>
              <w:top w:val="single" w:sz="8" w:space="0" w:color="auto"/>
              <w:left w:val="nil"/>
              <w:bottom w:val="single" w:sz="4" w:space="0" w:color="auto"/>
              <w:right w:val="single" w:sz="4" w:space="0" w:color="auto"/>
            </w:tcBorders>
            <w:shd w:val="clear" w:color="auto" w:fill="auto"/>
            <w:vAlign w:val="center"/>
            <w:hideMark/>
          </w:tcPr>
          <w:p w14:paraId="33A7F707"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 Variation YOY</w:t>
            </w:r>
          </w:p>
        </w:tc>
        <w:tc>
          <w:tcPr>
            <w:tcW w:w="1320" w:type="dxa"/>
            <w:tcBorders>
              <w:top w:val="single" w:sz="8" w:space="0" w:color="auto"/>
              <w:left w:val="nil"/>
              <w:bottom w:val="single" w:sz="4" w:space="0" w:color="auto"/>
              <w:right w:val="single" w:sz="8" w:space="0" w:color="auto"/>
            </w:tcBorders>
            <w:shd w:val="clear" w:color="auto" w:fill="auto"/>
            <w:vAlign w:val="center"/>
            <w:hideMark/>
          </w:tcPr>
          <w:p w14:paraId="4DBCA2E1"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Average Spend Per Individual</w:t>
            </w:r>
          </w:p>
        </w:tc>
      </w:tr>
      <w:tr w:rsidR="007D12BC" w:rsidRPr="00383927" w14:paraId="3C647628" w14:textId="77777777" w:rsidTr="007D12BC">
        <w:trPr>
          <w:trHeight w:val="300"/>
        </w:trPr>
        <w:tc>
          <w:tcPr>
            <w:tcW w:w="4180" w:type="dxa"/>
            <w:tcBorders>
              <w:top w:val="nil"/>
              <w:left w:val="single" w:sz="8" w:space="0" w:color="auto"/>
              <w:bottom w:val="single" w:sz="4" w:space="0" w:color="auto"/>
              <w:right w:val="single" w:sz="4" w:space="0" w:color="auto"/>
            </w:tcBorders>
            <w:shd w:val="clear" w:color="auto" w:fill="auto"/>
            <w:noWrap/>
            <w:vAlign w:val="center"/>
            <w:hideMark/>
          </w:tcPr>
          <w:p w14:paraId="11B2E2A3"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September 1st 2022 - August 31st 2023</w:t>
            </w:r>
          </w:p>
        </w:tc>
        <w:tc>
          <w:tcPr>
            <w:tcW w:w="1320" w:type="dxa"/>
            <w:tcBorders>
              <w:top w:val="nil"/>
              <w:left w:val="nil"/>
              <w:bottom w:val="single" w:sz="4" w:space="0" w:color="auto"/>
              <w:right w:val="single" w:sz="4" w:space="0" w:color="auto"/>
            </w:tcBorders>
            <w:shd w:val="clear" w:color="auto" w:fill="auto"/>
            <w:noWrap/>
            <w:vAlign w:val="center"/>
            <w:hideMark/>
          </w:tcPr>
          <w:p w14:paraId="16AD3693" w14:textId="1635410A"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3</w:t>
            </w:r>
            <w:r w:rsidR="0032092B">
              <w:rPr>
                <w:rFonts w:ascii="Calibri" w:eastAsia="Times New Roman" w:hAnsi="Calibri" w:cs="Calibri"/>
                <w:color w:val="000000"/>
                <w:kern w:val="0"/>
                <w:sz w:val="18"/>
                <w:szCs w:val="18"/>
                <w:lang w:eastAsia="en-GB"/>
                <w14:ligatures w14:val="none"/>
              </w:rPr>
              <w:t>,</w:t>
            </w:r>
            <w:r w:rsidRPr="00383927">
              <w:rPr>
                <w:rFonts w:ascii="Calibri" w:eastAsia="Times New Roman" w:hAnsi="Calibri" w:cs="Calibri"/>
                <w:color w:val="000000"/>
                <w:kern w:val="0"/>
                <w:sz w:val="18"/>
                <w:szCs w:val="18"/>
                <w:lang w:eastAsia="en-GB"/>
                <w14:ligatures w14:val="none"/>
              </w:rPr>
              <w:t>740</w:t>
            </w:r>
          </w:p>
        </w:tc>
        <w:tc>
          <w:tcPr>
            <w:tcW w:w="1320" w:type="dxa"/>
            <w:tcBorders>
              <w:top w:val="nil"/>
              <w:left w:val="nil"/>
              <w:bottom w:val="single" w:sz="4" w:space="0" w:color="auto"/>
              <w:right w:val="single" w:sz="4" w:space="0" w:color="auto"/>
            </w:tcBorders>
            <w:shd w:val="clear" w:color="auto" w:fill="auto"/>
            <w:noWrap/>
            <w:vAlign w:val="center"/>
            <w:hideMark/>
          </w:tcPr>
          <w:p w14:paraId="0E135117"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w:t>
            </w:r>
          </w:p>
        </w:tc>
        <w:tc>
          <w:tcPr>
            <w:tcW w:w="1320" w:type="dxa"/>
            <w:tcBorders>
              <w:top w:val="nil"/>
              <w:left w:val="nil"/>
              <w:bottom w:val="single" w:sz="4" w:space="0" w:color="auto"/>
              <w:right w:val="single" w:sz="4" w:space="0" w:color="auto"/>
            </w:tcBorders>
            <w:shd w:val="clear" w:color="auto" w:fill="auto"/>
            <w:noWrap/>
            <w:vAlign w:val="center"/>
            <w:hideMark/>
          </w:tcPr>
          <w:p w14:paraId="161A8EDD"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£25,634.94</w:t>
            </w:r>
          </w:p>
        </w:tc>
        <w:tc>
          <w:tcPr>
            <w:tcW w:w="1320" w:type="dxa"/>
            <w:tcBorders>
              <w:top w:val="nil"/>
              <w:left w:val="nil"/>
              <w:bottom w:val="single" w:sz="4" w:space="0" w:color="auto"/>
              <w:right w:val="single" w:sz="4" w:space="0" w:color="auto"/>
            </w:tcBorders>
            <w:shd w:val="clear" w:color="auto" w:fill="auto"/>
            <w:noWrap/>
            <w:vAlign w:val="center"/>
            <w:hideMark/>
          </w:tcPr>
          <w:p w14:paraId="13E76DE8"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£78,375.48</w:t>
            </w:r>
          </w:p>
        </w:tc>
        <w:tc>
          <w:tcPr>
            <w:tcW w:w="1320" w:type="dxa"/>
            <w:tcBorders>
              <w:top w:val="nil"/>
              <w:left w:val="nil"/>
              <w:bottom w:val="single" w:sz="4" w:space="0" w:color="auto"/>
              <w:right w:val="single" w:sz="4" w:space="0" w:color="auto"/>
            </w:tcBorders>
            <w:shd w:val="clear" w:color="auto" w:fill="auto"/>
            <w:noWrap/>
            <w:vAlign w:val="center"/>
            <w:hideMark/>
          </w:tcPr>
          <w:p w14:paraId="30702AE9"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£104,010.42</w:t>
            </w:r>
          </w:p>
        </w:tc>
        <w:tc>
          <w:tcPr>
            <w:tcW w:w="1320" w:type="dxa"/>
            <w:tcBorders>
              <w:top w:val="nil"/>
              <w:left w:val="nil"/>
              <w:bottom w:val="single" w:sz="4" w:space="0" w:color="auto"/>
              <w:right w:val="single" w:sz="4" w:space="0" w:color="auto"/>
            </w:tcBorders>
            <w:shd w:val="clear" w:color="auto" w:fill="auto"/>
            <w:noWrap/>
            <w:vAlign w:val="center"/>
            <w:hideMark/>
          </w:tcPr>
          <w:p w14:paraId="5A2AE703"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w:t>
            </w:r>
          </w:p>
        </w:tc>
        <w:tc>
          <w:tcPr>
            <w:tcW w:w="1320" w:type="dxa"/>
            <w:tcBorders>
              <w:top w:val="nil"/>
              <w:left w:val="nil"/>
              <w:bottom w:val="single" w:sz="4" w:space="0" w:color="auto"/>
              <w:right w:val="single" w:sz="8" w:space="0" w:color="auto"/>
            </w:tcBorders>
            <w:shd w:val="clear" w:color="auto" w:fill="auto"/>
            <w:noWrap/>
            <w:vAlign w:val="center"/>
            <w:hideMark/>
          </w:tcPr>
          <w:p w14:paraId="3AED4B09"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£27.81</w:t>
            </w:r>
          </w:p>
        </w:tc>
      </w:tr>
      <w:tr w:rsidR="007D12BC" w:rsidRPr="00383927" w14:paraId="12908E2D" w14:textId="77777777" w:rsidTr="007D12BC">
        <w:trPr>
          <w:trHeight w:val="315"/>
        </w:trPr>
        <w:tc>
          <w:tcPr>
            <w:tcW w:w="4180" w:type="dxa"/>
            <w:tcBorders>
              <w:top w:val="nil"/>
              <w:left w:val="single" w:sz="8" w:space="0" w:color="auto"/>
              <w:bottom w:val="single" w:sz="8" w:space="0" w:color="auto"/>
              <w:right w:val="single" w:sz="4" w:space="0" w:color="auto"/>
            </w:tcBorders>
            <w:shd w:val="clear" w:color="auto" w:fill="auto"/>
            <w:noWrap/>
            <w:vAlign w:val="center"/>
            <w:hideMark/>
          </w:tcPr>
          <w:p w14:paraId="7515A6DB"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September 1st 2023 - August 31st 2024 PROJECTED</w:t>
            </w:r>
          </w:p>
        </w:tc>
        <w:tc>
          <w:tcPr>
            <w:tcW w:w="1320" w:type="dxa"/>
            <w:tcBorders>
              <w:top w:val="nil"/>
              <w:left w:val="nil"/>
              <w:bottom w:val="single" w:sz="8" w:space="0" w:color="auto"/>
              <w:right w:val="single" w:sz="4" w:space="0" w:color="auto"/>
            </w:tcBorders>
            <w:shd w:val="clear" w:color="auto" w:fill="auto"/>
            <w:noWrap/>
            <w:vAlign w:val="center"/>
            <w:hideMark/>
          </w:tcPr>
          <w:p w14:paraId="5AAF26F4" w14:textId="140CD3B5"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40</w:t>
            </w:r>
            <w:r w:rsidR="0032092B">
              <w:rPr>
                <w:rFonts w:ascii="Calibri" w:eastAsia="Times New Roman" w:hAnsi="Calibri" w:cs="Calibri"/>
                <w:color w:val="000000"/>
                <w:kern w:val="0"/>
                <w:sz w:val="18"/>
                <w:szCs w:val="18"/>
                <w:lang w:eastAsia="en-GB"/>
                <w14:ligatures w14:val="none"/>
              </w:rPr>
              <w:t>,</w:t>
            </w:r>
            <w:r w:rsidRPr="00383927">
              <w:rPr>
                <w:rFonts w:ascii="Calibri" w:eastAsia="Times New Roman" w:hAnsi="Calibri" w:cs="Calibri"/>
                <w:color w:val="000000"/>
                <w:kern w:val="0"/>
                <w:sz w:val="18"/>
                <w:szCs w:val="18"/>
                <w:lang w:eastAsia="en-GB"/>
                <w14:ligatures w14:val="none"/>
              </w:rPr>
              <w:t>000</w:t>
            </w:r>
          </w:p>
        </w:tc>
        <w:tc>
          <w:tcPr>
            <w:tcW w:w="1320" w:type="dxa"/>
            <w:tcBorders>
              <w:top w:val="nil"/>
              <w:left w:val="nil"/>
              <w:bottom w:val="single" w:sz="8" w:space="0" w:color="auto"/>
              <w:right w:val="single" w:sz="4" w:space="0" w:color="auto"/>
            </w:tcBorders>
            <w:shd w:val="clear" w:color="auto" w:fill="auto"/>
            <w:noWrap/>
            <w:vAlign w:val="center"/>
            <w:hideMark/>
          </w:tcPr>
          <w:p w14:paraId="0C76412D"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970%</w:t>
            </w:r>
          </w:p>
        </w:tc>
        <w:tc>
          <w:tcPr>
            <w:tcW w:w="1320" w:type="dxa"/>
            <w:tcBorders>
              <w:top w:val="nil"/>
              <w:left w:val="nil"/>
              <w:bottom w:val="single" w:sz="8" w:space="0" w:color="auto"/>
              <w:right w:val="single" w:sz="4" w:space="0" w:color="auto"/>
            </w:tcBorders>
            <w:shd w:val="clear" w:color="auto" w:fill="auto"/>
            <w:noWrap/>
            <w:vAlign w:val="center"/>
            <w:hideMark/>
          </w:tcPr>
          <w:p w14:paraId="2FAF095B"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£350,000.00</w:t>
            </w:r>
          </w:p>
        </w:tc>
        <w:tc>
          <w:tcPr>
            <w:tcW w:w="1320" w:type="dxa"/>
            <w:tcBorders>
              <w:top w:val="nil"/>
              <w:left w:val="nil"/>
              <w:bottom w:val="single" w:sz="8" w:space="0" w:color="auto"/>
              <w:right w:val="single" w:sz="4" w:space="0" w:color="auto"/>
            </w:tcBorders>
            <w:shd w:val="clear" w:color="auto" w:fill="auto"/>
            <w:noWrap/>
            <w:vAlign w:val="center"/>
            <w:hideMark/>
          </w:tcPr>
          <w:p w14:paraId="6906AFC3"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£850,000.00</w:t>
            </w:r>
          </w:p>
        </w:tc>
        <w:tc>
          <w:tcPr>
            <w:tcW w:w="1320" w:type="dxa"/>
            <w:tcBorders>
              <w:top w:val="nil"/>
              <w:left w:val="nil"/>
              <w:bottom w:val="single" w:sz="8" w:space="0" w:color="auto"/>
              <w:right w:val="single" w:sz="4" w:space="0" w:color="auto"/>
            </w:tcBorders>
            <w:shd w:val="clear" w:color="auto" w:fill="auto"/>
            <w:noWrap/>
            <w:vAlign w:val="center"/>
            <w:hideMark/>
          </w:tcPr>
          <w:p w14:paraId="4091C586"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£1,200,000.00</w:t>
            </w:r>
          </w:p>
        </w:tc>
        <w:tc>
          <w:tcPr>
            <w:tcW w:w="1320" w:type="dxa"/>
            <w:tcBorders>
              <w:top w:val="nil"/>
              <w:left w:val="nil"/>
              <w:bottom w:val="single" w:sz="8" w:space="0" w:color="auto"/>
              <w:right w:val="single" w:sz="4" w:space="0" w:color="auto"/>
            </w:tcBorders>
            <w:shd w:val="clear" w:color="auto" w:fill="auto"/>
            <w:noWrap/>
            <w:vAlign w:val="center"/>
            <w:hideMark/>
          </w:tcPr>
          <w:p w14:paraId="33537EEC" w14:textId="4B228DA3"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1</w:t>
            </w:r>
            <w:r w:rsidR="0032092B">
              <w:rPr>
                <w:rFonts w:ascii="Calibri" w:eastAsia="Times New Roman" w:hAnsi="Calibri" w:cs="Calibri"/>
                <w:color w:val="000000"/>
                <w:kern w:val="0"/>
                <w:sz w:val="18"/>
                <w:szCs w:val="18"/>
                <w:lang w:eastAsia="en-GB"/>
                <w14:ligatures w14:val="none"/>
              </w:rPr>
              <w:t>,</w:t>
            </w:r>
            <w:r w:rsidRPr="00383927">
              <w:rPr>
                <w:rFonts w:ascii="Calibri" w:eastAsia="Times New Roman" w:hAnsi="Calibri" w:cs="Calibri"/>
                <w:color w:val="000000"/>
                <w:kern w:val="0"/>
                <w:sz w:val="18"/>
                <w:szCs w:val="18"/>
                <w:lang w:eastAsia="en-GB"/>
                <w14:ligatures w14:val="none"/>
              </w:rPr>
              <w:t>054%</w:t>
            </w:r>
          </w:p>
        </w:tc>
        <w:tc>
          <w:tcPr>
            <w:tcW w:w="1320" w:type="dxa"/>
            <w:tcBorders>
              <w:top w:val="nil"/>
              <w:left w:val="nil"/>
              <w:bottom w:val="single" w:sz="8" w:space="0" w:color="auto"/>
              <w:right w:val="single" w:sz="8" w:space="0" w:color="auto"/>
            </w:tcBorders>
            <w:shd w:val="clear" w:color="auto" w:fill="auto"/>
            <w:noWrap/>
            <w:vAlign w:val="center"/>
            <w:hideMark/>
          </w:tcPr>
          <w:p w14:paraId="2538E406" w14:textId="77777777" w:rsidR="007D12BC" w:rsidRPr="00383927" w:rsidRDefault="007D12BC" w:rsidP="007D12BC">
            <w:pPr>
              <w:spacing w:after="0" w:line="240" w:lineRule="auto"/>
              <w:jc w:val="center"/>
              <w:rPr>
                <w:rFonts w:ascii="Calibri" w:eastAsia="Times New Roman" w:hAnsi="Calibri" w:cs="Calibri"/>
                <w:color w:val="000000"/>
                <w:kern w:val="0"/>
                <w:sz w:val="18"/>
                <w:szCs w:val="18"/>
                <w:lang w:eastAsia="en-GB"/>
                <w14:ligatures w14:val="none"/>
              </w:rPr>
            </w:pPr>
            <w:r w:rsidRPr="00383927">
              <w:rPr>
                <w:rFonts w:ascii="Calibri" w:eastAsia="Times New Roman" w:hAnsi="Calibri" w:cs="Calibri"/>
                <w:color w:val="000000"/>
                <w:kern w:val="0"/>
                <w:sz w:val="18"/>
                <w:szCs w:val="18"/>
                <w:lang w:eastAsia="en-GB"/>
                <w14:ligatures w14:val="none"/>
              </w:rPr>
              <w:t>£30.00</w:t>
            </w:r>
          </w:p>
        </w:tc>
      </w:tr>
    </w:tbl>
    <w:p w14:paraId="57F3BB82" w14:textId="0BD00F70" w:rsidR="007D12BC" w:rsidRDefault="007D12BC" w:rsidP="007D12BC">
      <w:pPr>
        <w:spacing w:line="276" w:lineRule="auto"/>
        <w:jc w:val="both"/>
        <w:rPr>
          <w:rFonts w:cstheme="minorHAnsi"/>
        </w:rPr>
      </w:pPr>
      <w:r>
        <w:rPr>
          <w:rFonts w:cstheme="minorHAnsi"/>
        </w:rPr>
        <w:t xml:space="preserve"> </w:t>
      </w:r>
      <w:sdt>
        <w:sdtPr>
          <w:rPr>
            <w:rFonts w:cstheme="minorHAnsi"/>
          </w:rPr>
          <w:id w:val="1825234948"/>
          <w:citation/>
        </w:sdtPr>
        <w:sdtEndPr/>
        <w:sdtContent>
          <w:r>
            <w:rPr>
              <w:rFonts w:cstheme="minorHAnsi"/>
            </w:rPr>
            <w:fldChar w:fldCharType="begin"/>
          </w:r>
          <w:r>
            <w:rPr>
              <w:rFonts w:cstheme="minorHAnsi"/>
              <w:lang w:val="en-US"/>
            </w:rPr>
            <w:instrText xml:space="preserve"> CITATION The24 \l 1033 </w:instrText>
          </w:r>
          <w:r>
            <w:rPr>
              <w:rFonts w:cstheme="minorHAnsi"/>
            </w:rPr>
            <w:fldChar w:fldCharType="separate"/>
          </w:r>
          <w:r w:rsidR="009D2B16" w:rsidRPr="009D2B16">
            <w:rPr>
              <w:rFonts w:cstheme="minorHAnsi"/>
              <w:noProof/>
              <w:lang w:val="en-US"/>
            </w:rPr>
            <w:t>(The Welsh Whisky Company Limited, 2024)</w:t>
          </w:r>
          <w:r>
            <w:rPr>
              <w:rFonts w:cstheme="minorHAnsi"/>
            </w:rPr>
            <w:fldChar w:fldCharType="end"/>
          </w:r>
        </w:sdtContent>
      </w:sdt>
    </w:p>
    <w:p w14:paraId="68785E27" w14:textId="79F6C951" w:rsidR="007D12BC" w:rsidRDefault="007D12BC" w:rsidP="007D12BC">
      <w:pPr>
        <w:rPr>
          <w:rFonts w:cstheme="minorHAnsi"/>
        </w:rPr>
        <w:sectPr w:rsidR="007D12BC" w:rsidSect="00891587">
          <w:pgSz w:w="16838" w:h="11906" w:orient="landscape"/>
          <w:pgMar w:top="1440" w:right="1440" w:bottom="1440" w:left="1440" w:header="708" w:footer="708" w:gutter="0"/>
          <w:pgNumType w:start="21"/>
          <w:cols w:space="708"/>
          <w:titlePg/>
          <w:docGrid w:linePitch="360"/>
        </w:sectPr>
      </w:pPr>
    </w:p>
    <w:p w14:paraId="45782181" w14:textId="4B416A17" w:rsidR="00133EE5" w:rsidRPr="00523C32" w:rsidRDefault="00133EE5" w:rsidP="00523C32">
      <w:pPr>
        <w:pStyle w:val="Heading2"/>
        <w:spacing w:line="360" w:lineRule="auto"/>
        <w:rPr>
          <w:b/>
          <w:bCs/>
          <w:color w:val="auto"/>
          <w:sz w:val="24"/>
          <w:szCs w:val="24"/>
        </w:rPr>
      </w:pPr>
      <w:bookmarkStart w:id="24" w:name="_Toc160624590"/>
      <w:r w:rsidRPr="00523C32">
        <w:rPr>
          <w:b/>
          <w:bCs/>
          <w:color w:val="auto"/>
          <w:sz w:val="24"/>
          <w:szCs w:val="24"/>
        </w:rPr>
        <w:lastRenderedPageBreak/>
        <w:t>3.4</w:t>
      </w:r>
      <w:r w:rsidRPr="00523C32">
        <w:rPr>
          <w:b/>
          <w:bCs/>
          <w:color w:val="auto"/>
          <w:sz w:val="24"/>
          <w:szCs w:val="24"/>
        </w:rPr>
        <w:tab/>
        <w:t>T</w:t>
      </w:r>
      <w:r w:rsidR="003B2D9A" w:rsidRPr="00523C32">
        <w:rPr>
          <w:b/>
          <w:bCs/>
          <w:color w:val="auto"/>
          <w:sz w:val="24"/>
          <w:szCs w:val="24"/>
        </w:rPr>
        <w:t>HE OPERATING MODEL OF PENDERYN’S VISITOR CENTRES</w:t>
      </w:r>
      <w:bookmarkEnd w:id="24"/>
    </w:p>
    <w:p w14:paraId="09468674" w14:textId="77777777" w:rsidR="00133EE5" w:rsidRPr="003B2D9A" w:rsidRDefault="00133EE5" w:rsidP="00523C32">
      <w:pPr>
        <w:spacing w:line="276" w:lineRule="auto"/>
        <w:jc w:val="both"/>
        <w:rPr>
          <w:rFonts w:cstheme="minorHAnsi"/>
        </w:rPr>
      </w:pPr>
      <w:r w:rsidRPr="003B2D9A">
        <w:rPr>
          <w:rFonts w:cstheme="minorHAnsi"/>
        </w:rPr>
        <w:t>The operating model of the Penderyn visitor centres is comprised of three main sectors, best defined as follows:</w:t>
      </w:r>
    </w:p>
    <w:p w14:paraId="71A0D5AC" w14:textId="77777777" w:rsidR="00133EE5" w:rsidRPr="003B2D9A" w:rsidRDefault="00133EE5" w:rsidP="00523C32">
      <w:pPr>
        <w:pStyle w:val="ListParagraph"/>
        <w:numPr>
          <w:ilvl w:val="0"/>
          <w:numId w:val="9"/>
        </w:numPr>
        <w:spacing w:line="276" w:lineRule="auto"/>
        <w:jc w:val="both"/>
        <w:rPr>
          <w:rFonts w:cstheme="minorHAnsi"/>
        </w:rPr>
      </w:pPr>
      <w:r w:rsidRPr="003B2D9A">
        <w:rPr>
          <w:rFonts w:cstheme="minorHAnsi"/>
        </w:rPr>
        <w:t>Commercial outlets – the facilities are retail spaces, operating as additional revenue streams for the main business and interrogated via standalone entries on the balance sheet and P&amp;L. The primary function of the commercial centres is to make an operating profit.</w:t>
      </w:r>
    </w:p>
    <w:p w14:paraId="423216E7" w14:textId="77777777" w:rsidR="00133EE5" w:rsidRPr="003B2D9A" w:rsidRDefault="00133EE5" w:rsidP="00523C32">
      <w:pPr>
        <w:pStyle w:val="ListParagraph"/>
        <w:numPr>
          <w:ilvl w:val="0"/>
          <w:numId w:val="9"/>
        </w:numPr>
        <w:spacing w:line="276" w:lineRule="auto"/>
        <w:jc w:val="both"/>
        <w:rPr>
          <w:rFonts w:cstheme="minorHAnsi"/>
        </w:rPr>
      </w:pPr>
      <w:r w:rsidRPr="003B2D9A">
        <w:rPr>
          <w:rFonts w:cstheme="minorHAnsi"/>
        </w:rPr>
        <w:t>Education facilities – the commercial centres offer distillery tours and Masterclasses; both are profit-making, but serve an additional purpose of educating visitors as to the product portfolio and the brand story.</w:t>
      </w:r>
    </w:p>
    <w:p w14:paraId="16A579A8" w14:textId="77777777" w:rsidR="00133EE5" w:rsidRPr="003B2D9A" w:rsidRDefault="00133EE5" w:rsidP="00523C32">
      <w:pPr>
        <w:pStyle w:val="ListParagraph"/>
        <w:numPr>
          <w:ilvl w:val="0"/>
          <w:numId w:val="9"/>
        </w:numPr>
        <w:spacing w:line="276" w:lineRule="auto"/>
        <w:jc w:val="both"/>
        <w:rPr>
          <w:rFonts w:cstheme="minorHAnsi"/>
        </w:rPr>
      </w:pPr>
      <w:r w:rsidRPr="003B2D9A">
        <w:rPr>
          <w:rFonts w:cstheme="minorHAnsi"/>
        </w:rPr>
        <w:t>Corporate hospitality venues – the centres provide a ‘showroom’ to which the Penderyn team can welcome current and potential clients, partners and VIPs, at no additional cost and where the brand narrative and image can be tightly maintained. Additionally, these spaces can be privately hired for external corporate or personal events, thereby directly contributing to the revenue stream.</w:t>
      </w:r>
    </w:p>
    <w:p w14:paraId="14F4EBBE" w14:textId="77777777" w:rsidR="00133EE5" w:rsidRPr="003B2D9A" w:rsidRDefault="00133EE5" w:rsidP="00523C32">
      <w:pPr>
        <w:spacing w:line="276" w:lineRule="auto"/>
        <w:jc w:val="both"/>
        <w:rPr>
          <w:rFonts w:cstheme="minorHAnsi"/>
          <w:shd w:val="clear" w:color="auto" w:fill="FFFFFF"/>
        </w:rPr>
      </w:pPr>
    </w:p>
    <w:p w14:paraId="31966166" w14:textId="2F5A2E8C" w:rsidR="00133EE5" w:rsidRPr="00523C32" w:rsidRDefault="00133EE5" w:rsidP="00523C32">
      <w:pPr>
        <w:pStyle w:val="Heading2"/>
        <w:spacing w:line="360" w:lineRule="auto"/>
        <w:rPr>
          <w:b/>
          <w:bCs/>
          <w:color w:val="auto"/>
          <w:sz w:val="24"/>
          <w:szCs w:val="24"/>
          <w:shd w:val="clear" w:color="auto" w:fill="FFFFFF"/>
        </w:rPr>
      </w:pPr>
      <w:bookmarkStart w:id="25" w:name="_Toc160624591"/>
      <w:r w:rsidRPr="00523C32">
        <w:rPr>
          <w:b/>
          <w:bCs/>
          <w:color w:val="auto"/>
          <w:sz w:val="24"/>
          <w:szCs w:val="24"/>
          <w:shd w:val="clear" w:color="auto" w:fill="FFFFFF"/>
        </w:rPr>
        <w:t>3.5</w:t>
      </w:r>
      <w:r w:rsidRPr="00523C32">
        <w:rPr>
          <w:b/>
          <w:bCs/>
          <w:color w:val="auto"/>
          <w:sz w:val="24"/>
          <w:szCs w:val="24"/>
          <w:shd w:val="clear" w:color="auto" w:fill="FFFFFF"/>
        </w:rPr>
        <w:tab/>
        <w:t>T</w:t>
      </w:r>
      <w:r w:rsidR="003B2D9A" w:rsidRPr="00523C32">
        <w:rPr>
          <w:b/>
          <w:bCs/>
          <w:color w:val="auto"/>
          <w:sz w:val="24"/>
          <w:szCs w:val="24"/>
          <w:shd w:val="clear" w:color="auto" w:fill="FFFFFF"/>
        </w:rPr>
        <w:t>HE COST OF PENDERYN’S VISITOR CENTRES</w:t>
      </w:r>
      <w:bookmarkEnd w:id="25"/>
    </w:p>
    <w:p w14:paraId="1FC770D9" w14:textId="19FD7FB9" w:rsidR="00133EE5" w:rsidRPr="003B2D9A" w:rsidRDefault="00133EE5" w:rsidP="00523C32">
      <w:pPr>
        <w:spacing w:line="276" w:lineRule="auto"/>
        <w:jc w:val="both"/>
        <w:rPr>
          <w:rFonts w:cstheme="minorHAnsi"/>
        </w:rPr>
      </w:pPr>
      <w:r w:rsidRPr="003B2D9A">
        <w:rPr>
          <w:rFonts w:cstheme="minorHAnsi"/>
        </w:rPr>
        <w:t xml:space="preserve">The Penderyn Brecon Beacons visitor centre cost circa £1.8 million to complete, with the project taking 18 months to fulfil and requiring a near total renovation of the office space at the distillery, along with a full recladding of the distillery </w:t>
      </w:r>
      <w:r w:rsidR="00523C32" w:rsidRPr="003B2D9A">
        <w:rPr>
          <w:rFonts w:cstheme="minorHAnsi"/>
        </w:rPr>
        <w:t>to</w:t>
      </w:r>
      <w:r w:rsidRPr="003B2D9A">
        <w:rPr>
          <w:rFonts w:cstheme="minorHAnsi"/>
        </w:rPr>
        <w:t xml:space="preserve"> meet updated building regulations. This was supplemented in 2014 by a £2 million expansion project which ostensibly quadrupled production capacity within the distillery to allow Penderyn to meet ever-increasing sales demand but equally enhanced the visitor experience ten-fold by allowing visitors onto the production floor at Penderyn for the first time to experience the aromas, sights and sensations of a working distillery, with the aim of attracting more ‘whisky explorers’ than ever before </w:t>
      </w:r>
      <w:sdt>
        <w:sdtPr>
          <w:rPr>
            <w:rFonts w:cstheme="minorHAnsi"/>
          </w:rPr>
          <w:id w:val="-1347859830"/>
          <w:citation/>
        </w:sdtPr>
        <w:sdtEndPr/>
        <w:sdtContent>
          <w:r w:rsidRPr="003B2D9A">
            <w:rPr>
              <w:rFonts w:cstheme="minorHAnsi"/>
            </w:rPr>
            <w:fldChar w:fldCharType="begin"/>
          </w:r>
          <w:r w:rsidRPr="003B2D9A">
            <w:rPr>
              <w:rFonts w:cstheme="minorHAnsi"/>
            </w:rPr>
            <w:instrText xml:space="preserve"> CITATION Dav222 \l 2057 </w:instrText>
          </w:r>
          <w:r w:rsidRPr="003B2D9A">
            <w:rPr>
              <w:rFonts w:cstheme="minorHAnsi"/>
            </w:rPr>
            <w:fldChar w:fldCharType="separate"/>
          </w:r>
          <w:r w:rsidR="009D2B16" w:rsidRPr="009D2B16">
            <w:rPr>
              <w:rFonts w:cstheme="minorHAnsi"/>
              <w:noProof/>
            </w:rPr>
            <w:t>(Davies, 2022)</w:t>
          </w:r>
          <w:r w:rsidRPr="003B2D9A">
            <w:rPr>
              <w:rFonts w:cstheme="minorHAnsi"/>
            </w:rPr>
            <w:fldChar w:fldCharType="end"/>
          </w:r>
        </w:sdtContent>
      </w:sdt>
      <w:r w:rsidRPr="003B2D9A">
        <w:rPr>
          <w:rFonts w:cstheme="minorHAnsi"/>
        </w:rPr>
        <w:t xml:space="preserve">. By comparison, then, the Llandudno Lloyd Street project as a whole totalled £5 million in 2021, with the Swansea Copperworks project requiring £6.5 million two years later. </w:t>
      </w:r>
    </w:p>
    <w:p w14:paraId="4140F69F" w14:textId="4D9D45C3" w:rsidR="00133EE5" w:rsidRPr="003B2D9A" w:rsidRDefault="00133EE5" w:rsidP="00523C32">
      <w:pPr>
        <w:spacing w:line="276" w:lineRule="auto"/>
        <w:jc w:val="both"/>
        <w:rPr>
          <w:rFonts w:cstheme="minorHAnsi"/>
        </w:rPr>
      </w:pPr>
      <w:r w:rsidRPr="003B2D9A">
        <w:rPr>
          <w:rFonts w:cstheme="minorHAnsi"/>
        </w:rPr>
        <w:t>When assessing the Penderyn visitor centres as tools to drive brand growth, however, it is critical to consider not only the initial cost but also the ongoing costs to operate, maintain and improve them – as discussed in section</w:t>
      </w:r>
      <w:r w:rsidR="00A347D4">
        <w:rPr>
          <w:rFonts w:cstheme="minorHAnsi"/>
        </w:rPr>
        <w:t>s</w:t>
      </w:r>
      <w:r w:rsidRPr="003B2D9A">
        <w:rPr>
          <w:rFonts w:cstheme="minorHAnsi"/>
        </w:rPr>
        <w:t xml:space="preserve"> </w:t>
      </w:r>
      <w:r w:rsidR="00A347D4">
        <w:rPr>
          <w:rFonts w:cstheme="minorHAnsi"/>
        </w:rPr>
        <w:t>4.1</w:t>
      </w:r>
      <w:r w:rsidR="001E7945">
        <w:rPr>
          <w:rFonts w:cstheme="minorHAnsi"/>
        </w:rPr>
        <w:t xml:space="preserve"> and 6.0</w:t>
      </w:r>
      <w:r w:rsidRPr="003B2D9A">
        <w:rPr>
          <w:rFonts w:cstheme="minorHAnsi"/>
        </w:rPr>
        <w:t xml:space="preserve">, all three visitor centres are financially self-sustaining, and, moreover, </w:t>
      </w:r>
      <w:r w:rsidR="001E7945">
        <w:rPr>
          <w:rFonts w:cstheme="minorHAnsi"/>
        </w:rPr>
        <w:t xml:space="preserve">either currently </w:t>
      </w:r>
      <w:r w:rsidRPr="003B2D9A">
        <w:rPr>
          <w:rFonts w:cstheme="minorHAnsi"/>
        </w:rPr>
        <w:t>profit-making</w:t>
      </w:r>
      <w:r w:rsidR="001E7945">
        <w:rPr>
          <w:rFonts w:cstheme="minorHAnsi"/>
        </w:rPr>
        <w:t xml:space="preserve"> or forecast to be so within the next 12 months</w:t>
      </w:r>
      <w:r w:rsidRPr="003B2D9A">
        <w:rPr>
          <w:rFonts w:cstheme="minorHAnsi"/>
        </w:rPr>
        <w:t>.</w:t>
      </w:r>
    </w:p>
    <w:p w14:paraId="0650735E" w14:textId="65683016" w:rsidR="00133EE5" w:rsidRPr="003B2D9A" w:rsidRDefault="00FF6684" w:rsidP="00FF6684">
      <w:pPr>
        <w:rPr>
          <w:rFonts w:cstheme="minorHAnsi"/>
          <w:shd w:val="clear" w:color="auto" w:fill="FFFFFF"/>
        </w:rPr>
      </w:pPr>
      <w:r>
        <w:rPr>
          <w:rFonts w:cstheme="minorHAnsi"/>
          <w:shd w:val="clear" w:color="auto" w:fill="FFFFFF"/>
        </w:rPr>
        <w:br w:type="page"/>
      </w:r>
    </w:p>
    <w:p w14:paraId="319A8058" w14:textId="4F2DEBBD" w:rsidR="00133EE5" w:rsidRPr="00523C32" w:rsidRDefault="00133EE5" w:rsidP="00523C32">
      <w:pPr>
        <w:pStyle w:val="Heading2"/>
        <w:spacing w:line="360" w:lineRule="auto"/>
        <w:rPr>
          <w:b/>
          <w:bCs/>
          <w:color w:val="auto"/>
          <w:sz w:val="24"/>
          <w:szCs w:val="24"/>
          <w:shd w:val="clear" w:color="auto" w:fill="FFFFFF"/>
        </w:rPr>
      </w:pPr>
      <w:bookmarkStart w:id="26" w:name="_Toc160624592"/>
      <w:r w:rsidRPr="00523C32">
        <w:rPr>
          <w:b/>
          <w:bCs/>
          <w:color w:val="auto"/>
          <w:sz w:val="24"/>
          <w:szCs w:val="24"/>
          <w:shd w:val="clear" w:color="auto" w:fill="FFFFFF"/>
        </w:rPr>
        <w:lastRenderedPageBreak/>
        <w:t>4.0</w:t>
      </w:r>
      <w:r w:rsidRPr="00523C32">
        <w:rPr>
          <w:b/>
          <w:bCs/>
          <w:color w:val="auto"/>
          <w:sz w:val="24"/>
          <w:szCs w:val="24"/>
          <w:shd w:val="clear" w:color="auto" w:fill="FFFFFF"/>
        </w:rPr>
        <w:tab/>
      </w:r>
      <w:r w:rsidR="003B2D9A" w:rsidRPr="00523C32">
        <w:rPr>
          <w:b/>
          <w:bCs/>
          <w:color w:val="auto"/>
          <w:sz w:val="24"/>
          <w:szCs w:val="24"/>
          <w:shd w:val="clear" w:color="auto" w:fill="FFFFFF"/>
        </w:rPr>
        <w:t>CONTRIBUTION OF PENDERYN’S VISITOR CENTRES</w:t>
      </w:r>
      <w:bookmarkEnd w:id="26"/>
    </w:p>
    <w:p w14:paraId="52CE2024" w14:textId="3C03029E" w:rsidR="00133EE5" w:rsidRPr="00523C32" w:rsidRDefault="00133EE5" w:rsidP="00523C32">
      <w:pPr>
        <w:pStyle w:val="Heading2"/>
        <w:spacing w:line="360" w:lineRule="auto"/>
        <w:rPr>
          <w:b/>
          <w:bCs/>
          <w:color w:val="auto"/>
          <w:sz w:val="24"/>
          <w:szCs w:val="24"/>
          <w:shd w:val="clear" w:color="auto" w:fill="FFFFFF"/>
        </w:rPr>
      </w:pPr>
      <w:bookmarkStart w:id="27" w:name="_Toc160624593"/>
      <w:r w:rsidRPr="00523C32">
        <w:rPr>
          <w:b/>
          <w:bCs/>
          <w:color w:val="auto"/>
          <w:sz w:val="24"/>
          <w:szCs w:val="24"/>
          <w:shd w:val="clear" w:color="auto" w:fill="FFFFFF"/>
        </w:rPr>
        <w:t>4.1</w:t>
      </w:r>
      <w:r w:rsidRPr="00523C32">
        <w:rPr>
          <w:b/>
          <w:bCs/>
          <w:color w:val="auto"/>
          <w:sz w:val="24"/>
          <w:szCs w:val="24"/>
          <w:shd w:val="clear" w:color="auto" w:fill="FFFFFF"/>
        </w:rPr>
        <w:tab/>
      </w:r>
      <w:r w:rsidR="003B2D9A" w:rsidRPr="00523C32">
        <w:rPr>
          <w:b/>
          <w:bCs/>
          <w:color w:val="auto"/>
          <w:sz w:val="24"/>
          <w:szCs w:val="24"/>
          <w:shd w:val="clear" w:color="auto" w:fill="FFFFFF"/>
        </w:rPr>
        <w:t>FINANCIAL CONTRIBUTION</w:t>
      </w:r>
      <w:bookmarkEnd w:id="27"/>
      <w:r w:rsidR="003B2D9A" w:rsidRPr="00523C32">
        <w:rPr>
          <w:b/>
          <w:bCs/>
          <w:color w:val="auto"/>
          <w:sz w:val="24"/>
          <w:szCs w:val="24"/>
          <w:shd w:val="clear" w:color="auto" w:fill="FFFFFF"/>
        </w:rPr>
        <w:t xml:space="preserve"> </w:t>
      </w:r>
    </w:p>
    <w:p w14:paraId="5A2A23E2" w14:textId="162A0666" w:rsidR="00133EE5" w:rsidRPr="003B2D9A" w:rsidRDefault="00133EE5" w:rsidP="00523C32">
      <w:pPr>
        <w:spacing w:line="276" w:lineRule="auto"/>
        <w:jc w:val="both"/>
        <w:rPr>
          <w:rFonts w:cstheme="minorHAnsi"/>
        </w:rPr>
      </w:pPr>
      <w:r w:rsidRPr="003B2D9A">
        <w:rPr>
          <w:rFonts w:cstheme="minorHAnsi"/>
        </w:rPr>
        <w:t xml:space="preserve">The Penderyn Visitor Centres exist as micro-businesses and are, to a degree, self-funding (in terms of day-to-day operations, although larger scale projects or renovations will be financed in terms of the whole site budgets). The sites are accounted for by specific profit and loss accounting, and are also considered in terms of their contribution to the business. For the financial year ending August 2024, the 3 Visitor Centres are projected to attract a total combined revenue of £3.25m – approximately 7% of the total company turnover for the year </w:t>
      </w:r>
      <w:sdt>
        <w:sdtPr>
          <w:rPr>
            <w:rFonts w:cstheme="minorHAnsi"/>
          </w:rPr>
          <w:id w:val="1455207407"/>
          <w:citation/>
        </w:sdtPr>
        <w:sdtEndPr/>
        <w:sdtContent>
          <w:r w:rsidRPr="003B2D9A">
            <w:rPr>
              <w:rFonts w:cstheme="minorHAnsi"/>
            </w:rPr>
            <w:fldChar w:fldCharType="begin"/>
          </w:r>
          <w:r w:rsidRPr="003B2D9A">
            <w:rPr>
              <w:rFonts w:cstheme="minorHAnsi"/>
              <w:lang w:val="en-US"/>
            </w:rPr>
            <w:instrText xml:space="preserve"> CITATION The24 \l 1033 </w:instrText>
          </w:r>
          <w:r w:rsidRPr="003B2D9A">
            <w:rPr>
              <w:rFonts w:cstheme="minorHAnsi"/>
            </w:rPr>
            <w:fldChar w:fldCharType="separate"/>
          </w:r>
          <w:r w:rsidR="009D2B16" w:rsidRPr="009D2B16">
            <w:rPr>
              <w:rFonts w:cstheme="minorHAnsi"/>
              <w:noProof/>
              <w:lang w:val="en-US"/>
            </w:rPr>
            <w:t>(The Welsh Whisky Company Limited, 2024)</w:t>
          </w:r>
          <w:r w:rsidRPr="003B2D9A">
            <w:rPr>
              <w:rFonts w:cstheme="minorHAnsi"/>
            </w:rPr>
            <w:fldChar w:fldCharType="end"/>
          </w:r>
        </w:sdtContent>
      </w:sdt>
      <w:r w:rsidRPr="003B2D9A">
        <w:rPr>
          <w:rFonts w:cstheme="minorHAnsi"/>
        </w:rPr>
        <w:t>, demonstrating that the value of the experiential tourism model at Penderyn is almost as much its commercial input as any of the other factors. Arguably, the proportional contribution of the Visitor Centres to the profit base of the total business is greater than their contribution to its total turnover due to the Visitor Centres selling at preferential margins due to the direct-sales-to-customer model that the facilities permit.</w:t>
      </w:r>
    </w:p>
    <w:p w14:paraId="5DA49642" w14:textId="77777777" w:rsidR="00133EE5" w:rsidRPr="003B2D9A" w:rsidRDefault="00133EE5" w:rsidP="00523C32">
      <w:pPr>
        <w:spacing w:line="276" w:lineRule="auto"/>
        <w:jc w:val="both"/>
        <w:rPr>
          <w:rFonts w:cstheme="minorHAnsi"/>
        </w:rPr>
      </w:pPr>
    </w:p>
    <w:p w14:paraId="474EDD42" w14:textId="69C20BBC" w:rsidR="00133EE5" w:rsidRPr="00523C32" w:rsidRDefault="00133EE5" w:rsidP="00523C32">
      <w:pPr>
        <w:pStyle w:val="Heading2"/>
        <w:spacing w:line="360" w:lineRule="auto"/>
        <w:rPr>
          <w:b/>
          <w:bCs/>
          <w:color w:val="auto"/>
          <w:sz w:val="24"/>
          <w:szCs w:val="24"/>
        </w:rPr>
      </w:pPr>
      <w:bookmarkStart w:id="28" w:name="_Toc160624594"/>
      <w:r w:rsidRPr="00523C32">
        <w:rPr>
          <w:b/>
          <w:bCs/>
          <w:color w:val="auto"/>
          <w:sz w:val="24"/>
          <w:szCs w:val="24"/>
        </w:rPr>
        <w:t>4.2</w:t>
      </w:r>
      <w:r w:rsidRPr="00523C32">
        <w:rPr>
          <w:b/>
          <w:bCs/>
          <w:color w:val="auto"/>
          <w:sz w:val="24"/>
          <w:szCs w:val="24"/>
        </w:rPr>
        <w:tab/>
      </w:r>
      <w:r w:rsidR="003B2D9A" w:rsidRPr="00523C32">
        <w:rPr>
          <w:b/>
          <w:bCs/>
          <w:color w:val="auto"/>
          <w:sz w:val="24"/>
          <w:szCs w:val="24"/>
        </w:rPr>
        <w:t>CONTRIBUTION TO BRAND AWARENESS</w:t>
      </w:r>
      <w:bookmarkEnd w:id="28"/>
    </w:p>
    <w:p w14:paraId="58B02B6D" w14:textId="539B0CD9" w:rsidR="0054159B" w:rsidRDefault="00133EE5" w:rsidP="00523C32">
      <w:pPr>
        <w:spacing w:line="276" w:lineRule="auto"/>
        <w:jc w:val="both"/>
        <w:rPr>
          <w:rFonts w:cstheme="minorHAnsi"/>
        </w:rPr>
      </w:pPr>
      <w:r w:rsidRPr="003B2D9A">
        <w:rPr>
          <w:rFonts w:cstheme="minorHAnsi"/>
        </w:rPr>
        <w:t>The buildings and facilities comprising the Penderyn visitor centres have been awarded several nominations and accolades in their own right, notwithstanding the experiences that take place within them, including, amongst others, awards from Trip Advisor and the Royal Society of Architects and a nomination for the best venue within a listed or historic building for the Blue Badge Access Awards. The tour and Masterclass experiences themselves have attracted awards from Go North Wales, the Welsh Government and Visit Wales (all three sites hold Visit Wales VAQAS Gold Accolades). The associated publicity that comes with such successes can be far-reaching, and ensures further promotion via, for example, inclusion in the Visit Wales top attractions listings as a result of an accola</w:t>
      </w:r>
      <w:r w:rsidR="005673D8">
        <w:rPr>
          <w:rFonts w:cstheme="minorHAnsi"/>
        </w:rPr>
        <w:t>de</w:t>
      </w:r>
      <w:r w:rsidR="0054159B">
        <w:rPr>
          <w:rFonts w:cstheme="minorHAnsi"/>
        </w:rPr>
        <w:t xml:space="preserve"> </w:t>
      </w:r>
      <w:r w:rsidR="005673D8">
        <w:rPr>
          <w:rFonts w:cstheme="minorHAnsi"/>
        </w:rPr>
        <w:t>(figure 4.</w:t>
      </w:r>
      <w:r w:rsidR="0054159B">
        <w:rPr>
          <w:rFonts w:cstheme="minorHAnsi"/>
        </w:rPr>
        <w:t>2.1)</w:t>
      </w:r>
      <w:r w:rsidRPr="003B2D9A">
        <w:rPr>
          <w:rFonts w:cstheme="minorHAnsi"/>
        </w:rPr>
        <w:t>, company-derived press releases highlighting achievements or through repetitive exposure to Trip Advisor website visitors due to website algorithms.</w:t>
      </w:r>
    </w:p>
    <w:p w14:paraId="2779B134" w14:textId="6EEA2D37" w:rsidR="0054159B" w:rsidRDefault="0054159B" w:rsidP="0054159B">
      <w:pPr>
        <w:spacing w:line="240" w:lineRule="auto"/>
        <w:jc w:val="both"/>
        <w:rPr>
          <w:rFonts w:cstheme="minorHAnsi"/>
        </w:rPr>
      </w:pPr>
      <w:r>
        <w:rPr>
          <w:rFonts w:cstheme="minorHAnsi"/>
        </w:rPr>
        <w:t>Figure 4.2.1 – Welsh Whisky’s Swansea Distillery Wows Tourist Board</w:t>
      </w:r>
    </w:p>
    <w:p w14:paraId="0FFC1949" w14:textId="25CF15B5" w:rsidR="0054159B" w:rsidRDefault="0054159B" w:rsidP="0054159B">
      <w:pPr>
        <w:spacing w:line="240" w:lineRule="auto"/>
        <w:jc w:val="both"/>
        <w:rPr>
          <w:rFonts w:cstheme="minorHAnsi"/>
        </w:rPr>
      </w:pPr>
      <w:r>
        <w:rPr>
          <w:noProof/>
        </w:rPr>
        <w:lastRenderedPageBreak/>
        <w:drawing>
          <wp:anchor distT="0" distB="0" distL="114300" distR="114300" simplePos="0" relativeHeight="251662336" behindDoc="0" locked="0" layoutInCell="1" allowOverlap="1" wp14:anchorId="02654DE3" wp14:editId="7C69C2BE">
            <wp:simplePos x="0" y="0"/>
            <wp:positionH relativeFrom="margin">
              <wp:align>right</wp:align>
            </wp:positionH>
            <wp:positionV relativeFrom="paragraph">
              <wp:posOffset>397510</wp:posOffset>
            </wp:positionV>
            <wp:extent cx="5619750" cy="3970020"/>
            <wp:effectExtent l="19050" t="19050" r="19050" b="11430"/>
            <wp:wrapThrough wrapText="bothSides">
              <wp:wrapPolygon edited="0">
                <wp:start x="-73" y="-104"/>
                <wp:lineTo x="-73" y="21559"/>
                <wp:lineTo x="21600" y="21559"/>
                <wp:lineTo x="21600" y="-104"/>
                <wp:lineTo x="-73" y="-104"/>
              </wp:wrapPolygon>
            </wp:wrapThrough>
            <wp:docPr id="5618793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879354" name=""/>
                    <pic:cNvPicPr/>
                  </pic:nvPicPr>
                  <pic:blipFill rotWithShape="1">
                    <a:blip r:embed="rId12">
                      <a:extLst>
                        <a:ext uri="{28A0092B-C50C-407E-A947-70E740481C1C}">
                          <a14:useLocalDpi xmlns:a14="http://schemas.microsoft.com/office/drawing/2010/main" val="0"/>
                        </a:ext>
                      </a:extLst>
                    </a:blip>
                    <a:srcRect l="665" r="1285"/>
                    <a:stretch/>
                  </pic:blipFill>
                  <pic:spPr bwMode="auto">
                    <a:xfrm>
                      <a:off x="0" y="0"/>
                      <a:ext cx="5619750" cy="3970020"/>
                    </a:xfrm>
                    <a:prstGeom prst="rect">
                      <a:avLst/>
                    </a:prstGeom>
                    <a:ln w="3175">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sdt>
        <w:sdtPr>
          <w:rPr>
            <w:rFonts w:cstheme="minorHAnsi"/>
          </w:rPr>
          <w:id w:val="-612207617"/>
          <w:citation/>
        </w:sdtPr>
        <w:sdtEndPr/>
        <w:sdtContent>
          <w:r>
            <w:rPr>
              <w:rFonts w:cstheme="minorHAnsi"/>
            </w:rPr>
            <w:fldChar w:fldCharType="begin"/>
          </w:r>
          <w:r>
            <w:rPr>
              <w:rFonts w:cstheme="minorHAnsi"/>
              <w:lang w:val="en-US"/>
            </w:rPr>
            <w:instrText xml:space="preserve"> CITATION TheWWC23 \l 1033 </w:instrText>
          </w:r>
          <w:r>
            <w:rPr>
              <w:rFonts w:cstheme="minorHAnsi"/>
            </w:rPr>
            <w:fldChar w:fldCharType="separate"/>
          </w:r>
          <w:r w:rsidR="009D2B16">
            <w:rPr>
              <w:rFonts w:cstheme="minorHAnsi"/>
              <w:noProof/>
              <w:lang w:val="en-US"/>
            </w:rPr>
            <w:t xml:space="preserve"> </w:t>
          </w:r>
          <w:r w:rsidR="009D2B16" w:rsidRPr="009D2B16">
            <w:rPr>
              <w:rFonts w:cstheme="minorHAnsi"/>
              <w:noProof/>
              <w:lang w:val="en-US"/>
            </w:rPr>
            <w:t>(The Welsh Whisky Company Limited, 2023)</w:t>
          </w:r>
          <w:r>
            <w:rPr>
              <w:rFonts w:cstheme="minorHAnsi"/>
            </w:rPr>
            <w:fldChar w:fldCharType="end"/>
          </w:r>
        </w:sdtContent>
      </w:sdt>
    </w:p>
    <w:p w14:paraId="4AAAA2DB" w14:textId="77777777" w:rsidR="0054159B" w:rsidRPr="003B2D9A" w:rsidRDefault="0054159B" w:rsidP="00523C32">
      <w:pPr>
        <w:spacing w:line="276" w:lineRule="auto"/>
        <w:jc w:val="both"/>
        <w:rPr>
          <w:rFonts w:cstheme="minorHAnsi"/>
        </w:rPr>
      </w:pPr>
    </w:p>
    <w:p w14:paraId="12BDFDBF" w14:textId="591FD580" w:rsidR="00133EE5" w:rsidRPr="003B2D9A" w:rsidRDefault="00133EE5" w:rsidP="00523C32">
      <w:pPr>
        <w:spacing w:line="276" w:lineRule="auto"/>
        <w:jc w:val="both"/>
        <w:rPr>
          <w:rFonts w:cstheme="minorHAnsi"/>
        </w:rPr>
      </w:pPr>
      <w:r w:rsidRPr="003B2D9A">
        <w:rPr>
          <w:rFonts w:cstheme="minorHAnsi"/>
        </w:rPr>
        <w:t xml:space="preserve">The marketing team also ensure that each visitor centre is featured in strategic publications such as ‘What’s On’ or ‘What </w:t>
      </w:r>
      <w:proofErr w:type="gramStart"/>
      <w:r w:rsidRPr="003B2D9A">
        <w:rPr>
          <w:rFonts w:cstheme="minorHAnsi"/>
        </w:rPr>
        <w:t>To</w:t>
      </w:r>
      <w:proofErr w:type="gramEnd"/>
      <w:r w:rsidRPr="003B2D9A">
        <w:rPr>
          <w:rFonts w:cstheme="minorHAnsi"/>
        </w:rPr>
        <w:t xml:space="preserve"> Do In…’ guides, be it in print or online, to raise awareness of the attractions and encourage visitors to attend. In this way, the sites, and subsequently the Penderyn brands, are given a platform for awareness to a large and diverse pool of potential consumers. </w:t>
      </w:r>
      <w:sdt>
        <w:sdtPr>
          <w:rPr>
            <w:rFonts w:cstheme="minorHAnsi"/>
          </w:rPr>
          <w:id w:val="530763827"/>
          <w:citation/>
        </w:sdtPr>
        <w:sdtEndPr/>
        <w:sdtContent>
          <w:r w:rsidRPr="003B2D9A">
            <w:rPr>
              <w:rFonts w:cstheme="minorHAnsi"/>
            </w:rPr>
            <w:fldChar w:fldCharType="begin"/>
          </w:r>
          <w:r w:rsidRPr="003B2D9A">
            <w:rPr>
              <w:rFonts w:cstheme="minorHAnsi"/>
            </w:rPr>
            <w:instrText xml:space="preserve"> CITATION Ded20 \l 2057 </w:instrText>
          </w:r>
          <w:r w:rsidRPr="003B2D9A">
            <w:rPr>
              <w:rFonts w:cstheme="minorHAnsi"/>
            </w:rPr>
            <w:fldChar w:fldCharType="separate"/>
          </w:r>
          <w:r w:rsidR="009D2B16" w:rsidRPr="009D2B16">
            <w:rPr>
              <w:rFonts w:cstheme="minorHAnsi"/>
              <w:noProof/>
            </w:rPr>
            <w:t>(Dedeoğlu, et al., 2020)</w:t>
          </w:r>
          <w:r w:rsidRPr="003B2D9A">
            <w:rPr>
              <w:rFonts w:cstheme="minorHAnsi"/>
            </w:rPr>
            <w:fldChar w:fldCharType="end"/>
          </w:r>
        </w:sdtContent>
      </w:sdt>
      <w:r w:rsidRPr="003B2D9A">
        <w:rPr>
          <w:rFonts w:cstheme="minorHAnsi"/>
        </w:rPr>
        <w:t xml:space="preserve">, referencing </w:t>
      </w:r>
      <w:sdt>
        <w:sdtPr>
          <w:rPr>
            <w:rFonts w:cstheme="minorHAnsi"/>
          </w:rPr>
          <w:id w:val="561921605"/>
          <w:citation/>
        </w:sdtPr>
        <w:sdtEndPr/>
        <w:sdtContent>
          <w:r w:rsidRPr="003B2D9A">
            <w:rPr>
              <w:rFonts w:cstheme="minorHAnsi"/>
            </w:rPr>
            <w:fldChar w:fldCharType="begin"/>
          </w:r>
          <w:r w:rsidRPr="003B2D9A">
            <w:rPr>
              <w:rFonts w:cstheme="minorHAnsi"/>
            </w:rPr>
            <w:instrText xml:space="preserve"> CITATION Aak91 \l 2057 </w:instrText>
          </w:r>
          <w:r w:rsidRPr="003B2D9A">
            <w:rPr>
              <w:rFonts w:cstheme="minorHAnsi"/>
            </w:rPr>
            <w:fldChar w:fldCharType="separate"/>
          </w:r>
          <w:r w:rsidR="009D2B16" w:rsidRPr="009D2B16">
            <w:rPr>
              <w:rFonts w:cstheme="minorHAnsi"/>
              <w:noProof/>
            </w:rPr>
            <w:t>(Aaker, 1991)</w:t>
          </w:r>
          <w:r w:rsidRPr="003B2D9A">
            <w:rPr>
              <w:rFonts w:cstheme="minorHAnsi"/>
            </w:rPr>
            <w:fldChar w:fldCharType="end"/>
          </w:r>
        </w:sdtContent>
      </w:sdt>
      <w:r w:rsidRPr="003B2D9A">
        <w:rPr>
          <w:rFonts w:cstheme="minorHAnsi"/>
        </w:rPr>
        <w:t xml:space="preserve">, recognises that the higher the level of brand awareness, the more likely a consumer is to ‘recognize or recall that a brand is a member of a certain product category’ – thus, the greater awareness one has of the Penderyn brand, the more likely they are to actively seek out a bottle of Penderyn. </w:t>
      </w:r>
      <w:sdt>
        <w:sdtPr>
          <w:rPr>
            <w:rFonts w:cstheme="minorHAnsi"/>
          </w:rPr>
          <w:id w:val="1519112608"/>
          <w:citation/>
        </w:sdtPr>
        <w:sdtEndPr/>
        <w:sdtContent>
          <w:r w:rsidRPr="003B2D9A">
            <w:rPr>
              <w:rFonts w:cstheme="minorHAnsi"/>
            </w:rPr>
            <w:fldChar w:fldCharType="begin"/>
          </w:r>
          <w:r w:rsidRPr="003B2D9A">
            <w:rPr>
              <w:rFonts w:cstheme="minorHAnsi"/>
            </w:rPr>
            <w:instrText xml:space="preserve">CITATION Hoy90 \l 2057 </w:instrText>
          </w:r>
          <w:r w:rsidRPr="003B2D9A">
            <w:rPr>
              <w:rFonts w:cstheme="minorHAnsi"/>
            </w:rPr>
            <w:fldChar w:fldCharType="separate"/>
          </w:r>
          <w:r w:rsidR="009D2B16" w:rsidRPr="009D2B16">
            <w:rPr>
              <w:rFonts w:cstheme="minorHAnsi"/>
              <w:noProof/>
            </w:rPr>
            <w:t>(Hoyer &amp; Brown, 1990)</w:t>
          </w:r>
          <w:r w:rsidRPr="003B2D9A">
            <w:rPr>
              <w:rFonts w:cstheme="minorHAnsi"/>
            </w:rPr>
            <w:fldChar w:fldCharType="end"/>
          </w:r>
        </w:sdtContent>
      </w:sdt>
      <w:r w:rsidRPr="003B2D9A">
        <w:rPr>
          <w:rFonts w:cstheme="minorHAnsi"/>
        </w:rPr>
        <w:t xml:space="preserve">, and </w:t>
      </w:r>
      <w:sdt>
        <w:sdtPr>
          <w:rPr>
            <w:rFonts w:cstheme="minorHAnsi"/>
          </w:rPr>
          <w:id w:val="-1935742349"/>
          <w:citation/>
        </w:sdtPr>
        <w:sdtEndPr/>
        <w:sdtContent>
          <w:r w:rsidRPr="003B2D9A">
            <w:rPr>
              <w:rFonts w:cstheme="minorHAnsi"/>
            </w:rPr>
            <w:fldChar w:fldCharType="begin"/>
          </w:r>
          <w:r w:rsidRPr="003B2D9A">
            <w:rPr>
              <w:rFonts w:cstheme="minorHAnsi"/>
            </w:rPr>
            <w:instrText xml:space="preserve">CITATION Kla14 \l 2057 </w:instrText>
          </w:r>
          <w:r w:rsidRPr="003B2D9A">
            <w:rPr>
              <w:rFonts w:cstheme="minorHAnsi"/>
            </w:rPr>
            <w:fldChar w:fldCharType="separate"/>
          </w:r>
          <w:r w:rsidR="009D2B16" w:rsidRPr="009D2B16">
            <w:rPr>
              <w:rFonts w:cstheme="minorHAnsi"/>
              <w:noProof/>
            </w:rPr>
            <w:t>(Kladou &amp; Kehagias, 2014)</w:t>
          </w:r>
          <w:r w:rsidRPr="003B2D9A">
            <w:rPr>
              <w:rFonts w:cstheme="minorHAnsi"/>
            </w:rPr>
            <w:fldChar w:fldCharType="end"/>
          </w:r>
        </w:sdtContent>
      </w:sdt>
      <w:r w:rsidRPr="003B2D9A">
        <w:rPr>
          <w:rFonts w:cstheme="minorHAnsi"/>
        </w:rPr>
        <w:t xml:space="preserve">, support this theory, acknowledging that when faced with a range from which to </w:t>
      </w:r>
      <w:r w:rsidR="00523C32" w:rsidRPr="003B2D9A">
        <w:rPr>
          <w:rFonts w:cstheme="minorHAnsi"/>
        </w:rPr>
        <w:t>select</w:t>
      </w:r>
      <w:r w:rsidRPr="003B2D9A">
        <w:rPr>
          <w:rFonts w:cstheme="minorHAnsi"/>
        </w:rPr>
        <w:t xml:space="preserve"> (in this case, which whisky to purchase), a consumer is more likely to show preference for the brand they are most readily able to recall.</w:t>
      </w:r>
    </w:p>
    <w:p w14:paraId="1DBC3E7D" w14:textId="77777777" w:rsidR="00133EE5" w:rsidRPr="003B2D9A" w:rsidRDefault="00133EE5" w:rsidP="00523C32">
      <w:pPr>
        <w:spacing w:line="276" w:lineRule="auto"/>
        <w:jc w:val="both"/>
        <w:rPr>
          <w:rFonts w:cstheme="minorHAnsi"/>
        </w:rPr>
      </w:pPr>
      <w:r w:rsidRPr="003B2D9A">
        <w:rPr>
          <w:rFonts w:cstheme="minorHAnsi"/>
        </w:rPr>
        <w:t>A key factor in brand awareness for the Penderyn visitor sites is in their exposure to visitors from every corner of the world; if a visitor from China takes a tour at the distilleries, regardless of whether or not they purchase at that moment in time, then once back in China upon seeing a bottle of Penderyn they will more than likely experience some degree of brand recognition (and, it would be hoped, positive memories of their time at the visitor centre) and may be persuaded to take the next step on their Penderyn brand journey (e.g. sampling another expression).</w:t>
      </w:r>
    </w:p>
    <w:p w14:paraId="59B5FA6E" w14:textId="77777777" w:rsidR="00133EE5" w:rsidRPr="003B2D9A" w:rsidRDefault="00133EE5" w:rsidP="00523C32">
      <w:pPr>
        <w:spacing w:line="276" w:lineRule="auto"/>
        <w:jc w:val="both"/>
        <w:rPr>
          <w:rFonts w:cstheme="minorHAnsi"/>
        </w:rPr>
      </w:pPr>
      <w:r w:rsidRPr="003B2D9A">
        <w:rPr>
          <w:rFonts w:cstheme="minorHAnsi"/>
        </w:rPr>
        <w:t xml:space="preserve">The visitor centres see a large volume of repeat visitors – those who return time and time again with other family members, friends or on corporate hospitality trips. Additionally, the centres receive </w:t>
      </w:r>
      <w:r w:rsidRPr="003B2D9A">
        <w:rPr>
          <w:rFonts w:cstheme="minorHAnsi"/>
        </w:rPr>
        <w:lastRenderedPageBreak/>
        <w:t>numerous enquiries to hold milestone birthday, or even wedding, celebrations at the facilities, which demonstrates that the brand awareness is strong and is creating a brand affinity to consumers.</w:t>
      </w:r>
    </w:p>
    <w:p w14:paraId="6DBE965B" w14:textId="77777777" w:rsidR="00133EE5" w:rsidRPr="003B2D9A" w:rsidRDefault="00133EE5" w:rsidP="00523C32">
      <w:pPr>
        <w:spacing w:line="276" w:lineRule="auto"/>
        <w:jc w:val="both"/>
        <w:rPr>
          <w:rFonts w:cstheme="minorHAnsi"/>
        </w:rPr>
      </w:pPr>
    </w:p>
    <w:p w14:paraId="2FA6F200" w14:textId="76CB91B1" w:rsidR="00133EE5" w:rsidRPr="00523C32" w:rsidRDefault="00133EE5" w:rsidP="00523C32">
      <w:pPr>
        <w:pStyle w:val="Heading2"/>
        <w:spacing w:line="360" w:lineRule="auto"/>
        <w:rPr>
          <w:b/>
          <w:bCs/>
          <w:color w:val="auto"/>
          <w:sz w:val="24"/>
          <w:szCs w:val="24"/>
        </w:rPr>
      </w:pPr>
      <w:bookmarkStart w:id="29" w:name="_Toc160624595"/>
      <w:r w:rsidRPr="00523C32">
        <w:rPr>
          <w:b/>
          <w:bCs/>
          <w:color w:val="auto"/>
          <w:sz w:val="24"/>
          <w:szCs w:val="24"/>
        </w:rPr>
        <w:t>4.3</w:t>
      </w:r>
      <w:r w:rsidRPr="00523C32">
        <w:rPr>
          <w:b/>
          <w:bCs/>
          <w:color w:val="auto"/>
          <w:sz w:val="24"/>
          <w:szCs w:val="24"/>
        </w:rPr>
        <w:tab/>
      </w:r>
      <w:r w:rsidR="003B2D9A" w:rsidRPr="00523C32">
        <w:rPr>
          <w:b/>
          <w:bCs/>
          <w:color w:val="auto"/>
          <w:sz w:val="24"/>
          <w:szCs w:val="24"/>
        </w:rPr>
        <w:t>CONTRIBUTION TO BRAND PERCEPTION</w:t>
      </w:r>
      <w:bookmarkEnd w:id="29"/>
      <w:r w:rsidR="003B2D9A" w:rsidRPr="00523C32">
        <w:rPr>
          <w:b/>
          <w:bCs/>
          <w:color w:val="auto"/>
          <w:sz w:val="24"/>
          <w:szCs w:val="24"/>
        </w:rPr>
        <w:t xml:space="preserve"> </w:t>
      </w:r>
    </w:p>
    <w:p w14:paraId="71614E92" w14:textId="4DA5CDEC" w:rsidR="003B2D9A" w:rsidRDefault="00133EE5" w:rsidP="00523C32">
      <w:pPr>
        <w:spacing w:line="276" w:lineRule="auto"/>
        <w:jc w:val="both"/>
        <w:rPr>
          <w:rFonts w:cstheme="minorHAnsi"/>
        </w:rPr>
      </w:pPr>
      <w:r w:rsidRPr="003B2D9A">
        <w:rPr>
          <w:rFonts w:cstheme="minorHAnsi"/>
        </w:rPr>
        <w:t>The addition of the visitor centres at Penderyn was a game-changer for the company in terms of brand perception; for the first time ever, Penderyn could showcase its products in exactly the way it wanted, and needed, them to be seen to match the strategic brand image. The aesthetics, lighting, colours were all considered and added specifically to be on-brand and to compliment the products in the best way possible, and the team went to great lengths to ensure that the products were shown in a premium setting</w:t>
      </w:r>
      <w:r w:rsidR="001E7945">
        <w:rPr>
          <w:rFonts w:cstheme="minorHAnsi"/>
        </w:rPr>
        <w:t xml:space="preserve"> (</w:t>
      </w:r>
      <w:r w:rsidR="001E7945" w:rsidRPr="00256563">
        <w:rPr>
          <w:rFonts w:cstheme="minorHAnsi"/>
        </w:rPr>
        <w:t>figures 4.3.1 to 4.3.3</w:t>
      </w:r>
      <w:r w:rsidR="001E7945">
        <w:rPr>
          <w:rFonts w:cstheme="minorHAnsi"/>
        </w:rPr>
        <w:t>).</w:t>
      </w:r>
    </w:p>
    <w:p w14:paraId="3F2BEE4C" w14:textId="4A12F45C" w:rsidR="00B9398D" w:rsidRDefault="00B9398D" w:rsidP="00523C32">
      <w:pPr>
        <w:spacing w:line="276" w:lineRule="auto"/>
        <w:jc w:val="both"/>
        <w:rPr>
          <w:rFonts w:cstheme="minorHAnsi"/>
        </w:rPr>
      </w:pPr>
      <w:r>
        <w:rPr>
          <w:rFonts w:cstheme="minorHAnsi"/>
        </w:rPr>
        <w:t xml:space="preserve">Figure 4.3.1 – </w:t>
      </w:r>
      <w:r w:rsidR="00256563">
        <w:rPr>
          <w:rFonts w:cstheme="minorHAnsi"/>
        </w:rPr>
        <w:t>Product and experience showcasing at Penderyn Distillery Visitor Centres</w:t>
      </w:r>
    </w:p>
    <w:p w14:paraId="0945DF2A" w14:textId="66608980" w:rsidR="00256563" w:rsidRPr="003B2D9A" w:rsidRDefault="00AC4943" w:rsidP="00523C32">
      <w:pPr>
        <w:spacing w:line="276" w:lineRule="auto"/>
        <w:jc w:val="both"/>
        <w:rPr>
          <w:rFonts w:cstheme="minorHAnsi"/>
        </w:rPr>
      </w:pPr>
      <w:sdt>
        <w:sdtPr>
          <w:rPr>
            <w:rFonts w:cstheme="minorHAnsi"/>
          </w:rPr>
          <w:id w:val="1875652505"/>
          <w:citation/>
        </w:sdtPr>
        <w:sdtEndPr/>
        <w:sdtContent>
          <w:r w:rsidR="00256563">
            <w:rPr>
              <w:rFonts w:cstheme="minorHAnsi"/>
            </w:rPr>
            <w:fldChar w:fldCharType="begin"/>
          </w:r>
          <w:r w:rsidR="00256563">
            <w:rPr>
              <w:rFonts w:cstheme="minorHAnsi"/>
              <w:lang w:val="en-US"/>
            </w:rPr>
            <w:instrText xml:space="preserve"> CITATION TheWWCP23 \l 1033 </w:instrText>
          </w:r>
          <w:r w:rsidR="00256563">
            <w:rPr>
              <w:rFonts w:cstheme="minorHAnsi"/>
            </w:rPr>
            <w:fldChar w:fldCharType="separate"/>
          </w:r>
          <w:r w:rsidR="009D2B16" w:rsidRPr="009D2B16">
            <w:rPr>
              <w:rFonts w:cstheme="minorHAnsi"/>
              <w:noProof/>
              <w:lang w:val="en-US"/>
            </w:rPr>
            <w:t>(The Welsh Whisky Company Limited, 2023)</w:t>
          </w:r>
          <w:r w:rsidR="00256563">
            <w:rPr>
              <w:rFonts w:cstheme="minorHAnsi"/>
            </w:rPr>
            <w:fldChar w:fldCharType="end"/>
          </w:r>
        </w:sdtContent>
      </w:sdt>
      <w:r w:rsidR="00256563">
        <w:rPr>
          <w:rFonts w:cstheme="minorHAnsi"/>
          <w:noProof/>
        </w:rPr>
        <w:drawing>
          <wp:anchor distT="0" distB="0" distL="114300" distR="114300" simplePos="0" relativeHeight="251666432" behindDoc="0" locked="0" layoutInCell="1" allowOverlap="1" wp14:anchorId="2C6BCFF4" wp14:editId="7E921919">
            <wp:simplePos x="0" y="0"/>
            <wp:positionH relativeFrom="margin">
              <wp:align>center</wp:align>
            </wp:positionH>
            <wp:positionV relativeFrom="paragraph">
              <wp:posOffset>302895</wp:posOffset>
            </wp:positionV>
            <wp:extent cx="3348000" cy="2232000"/>
            <wp:effectExtent l="19050" t="19050" r="24130" b="16510"/>
            <wp:wrapTopAndBottom/>
            <wp:docPr id="15491284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9128445" name="Picture 1549128445"/>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348000" cy="2232000"/>
                    </a:xfrm>
                    <a:prstGeom prst="rect">
                      <a:avLst/>
                    </a:prstGeom>
                    <a:ln w="3175">
                      <a:solidFill>
                        <a:schemeClr val="tx1"/>
                      </a:solidFill>
                    </a:ln>
                  </pic:spPr>
                </pic:pic>
              </a:graphicData>
            </a:graphic>
            <wp14:sizeRelH relativeFrom="page">
              <wp14:pctWidth>0</wp14:pctWidth>
            </wp14:sizeRelH>
            <wp14:sizeRelV relativeFrom="page">
              <wp14:pctHeight>0</wp14:pctHeight>
            </wp14:sizeRelV>
          </wp:anchor>
        </w:drawing>
      </w:r>
    </w:p>
    <w:p w14:paraId="35351F75" w14:textId="77777777" w:rsidR="00FF6684" w:rsidRDefault="00FF6684" w:rsidP="00523C32">
      <w:pPr>
        <w:spacing w:line="276" w:lineRule="auto"/>
        <w:jc w:val="both"/>
        <w:rPr>
          <w:rFonts w:cstheme="minorHAnsi"/>
        </w:rPr>
      </w:pPr>
    </w:p>
    <w:p w14:paraId="2353F54D" w14:textId="6909BA18" w:rsidR="00B9398D" w:rsidRDefault="00B9398D" w:rsidP="00523C32">
      <w:pPr>
        <w:spacing w:line="276" w:lineRule="auto"/>
        <w:jc w:val="both"/>
        <w:rPr>
          <w:rFonts w:cstheme="minorHAnsi"/>
        </w:rPr>
      </w:pPr>
      <w:r>
        <w:rPr>
          <w:rFonts w:cstheme="minorHAnsi"/>
        </w:rPr>
        <w:t>Figure 4.3.</w:t>
      </w:r>
      <w:r w:rsidR="00671CA9">
        <w:rPr>
          <w:rFonts w:cstheme="minorHAnsi"/>
        </w:rPr>
        <w:t>2 – Product</w:t>
      </w:r>
      <w:r w:rsidR="00D534A1">
        <w:rPr>
          <w:rFonts w:cstheme="minorHAnsi"/>
        </w:rPr>
        <w:t xml:space="preserve"> and experience</w:t>
      </w:r>
      <w:r w:rsidR="00671CA9">
        <w:rPr>
          <w:rFonts w:cstheme="minorHAnsi"/>
        </w:rPr>
        <w:t xml:space="preserve"> showcasing at Penderyn Distillery Visitor Centre</w:t>
      </w:r>
      <w:r w:rsidR="00256563">
        <w:rPr>
          <w:rFonts w:cstheme="minorHAnsi"/>
        </w:rPr>
        <w:t>s</w:t>
      </w:r>
    </w:p>
    <w:p w14:paraId="6C311A81" w14:textId="6E127497" w:rsidR="00256563" w:rsidRDefault="00AC4943" w:rsidP="00523C32">
      <w:pPr>
        <w:spacing w:line="276" w:lineRule="auto"/>
        <w:jc w:val="both"/>
        <w:rPr>
          <w:rFonts w:cstheme="minorHAnsi"/>
        </w:rPr>
      </w:pPr>
      <w:sdt>
        <w:sdtPr>
          <w:rPr>
            <w:rFonts w:cstheme="minorHAnsi"/>
          </w:rPr>
          <w:id w:val="989977180"/>
          <w:citation/>
        </w:sdtPr>
        <w:sdtEndPr/>
        <w:sdtContent>
          <w:r w:rsidR="00256563">
            <w:rPr>
              <w:rFonts w:cstheme="minorHAnsi"/>
            </w:rPr>
            <w:fldChar w:fldCharType="begin"/>
          </w:r>
          <w:r w:rsidR="00256563">
            <w:rPr>
              <w:rFonts w:cstheme="minorHAnsi"/>
              <w:lang w:val="en-US"/>
            </w:rPr>
            <w:instrText xml:space="preserve"> CITATION TheWWCP23 \l 1033 </w:instrText>
          </w:r>
          <w:r w:rsidR="00256563">
            <w:rPr>
              <w:rFonts w:cstheme="minorHAnsi"/>
            </w:rPr>
            <w:fldChar w:fldCharType="separate"/>
          </w:r>
          <w:r w:rsidR="009D2B16" w:rsidRPr="009D2B16">
            <w:rPr>
              <w:rFonts w:cstheme="minorHAnsi"/>
              <w:noProof/>
              <w:lang w:val="en-US"/>
            </w:rPr>
            <w:t>(The Welsh Whisky Company Limited, 2023)</w:t>
          </w:r>
          <w:r w:rsidR="00256563">
            <w:rPr>
              <w:rFonts w:cstheme="minorHAnsi"/>
            </w:rPr>
            <w:fldChar w:fldCharType="end"/>
          </w:r>
        </w:sdtContent>
      </w:sdt>
      <w:r w:rsidR="00256563">
        <w:rPr>
          <w:rFonts w:cstheme="minorHAnsi"/>
          <w:noProof/>
        </w:rPr>
        <w:drawing>
          <wp:anchor distT="0" distB="0" distL="114300" distR="114300" simplePos="0" relativeHeight="251667456" behindDoc="0" locked="0" layoutInCell="1" allowOverlap="1" wp14:anchorId="3253573F" wp14:editId="6D8ABD6E">
            <wp:simplePos x="0" y="0"/>
            <wp:positionH relativeFrom="margin">
              <wp:align>center</wp:align>
            </wp:positionH>
            <wp:positionV relativeFrom="paragraph">
              <wp:posOffset>330835</wp:posOffset>
            </wp:positionV>
            <wp:extent cx="3347085" cy="2231390"/>
            <wp:effectExtent l="19050" t="19050" r="24765" b="16510"/>
            <wp:wrapTopAndBottom/>
            <wp:docPr id="47171681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16817" name="Picture 471716817"/>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347085" cy="2231390"/>
                    </a:xfrm>
                    <a:prstGeom prst="rect">
                      <a:avLst/>
                    </a:prstGeom>
                    <a:ln w="3175">
                      <a:solidFill>
                        <a:schemeClr val="tx1"/>
                      </a:solidFill>
                    </a:ln>
                  </pic:spPr>
                </pic:pic>
              </a:graphicData>
            </a:graphic>
            <wp14:sizeRelH relativeFrom="page">
              <wp14:pctWidth>0</wp14:pctWidth>
            </wp14:sizeRelH>
            <wp14:sizeRelV relativeFrom="page">
              <wp14:pctHeight>0</wp14:pctHeight>
            </wp14:sizeRelV>
          </wp:anchor>
        </w:drawing>
      </w:r>
    </w:p>
    <w:p w14:paraId="11590159" w14:textId="77777777" w:rsidR="00B9398D" w:rsidRDefault="00B9398D" w:rsidP="00523C32">
      <w:pPr>
        <w:spacing w:line="276" w:lineRule="auto"/>
        <w:jc w:val="both"/>
        <w:rPr>
          <w:rFonts w:cstheme="minorHAnsi"/>
        </w:rPr>
      </w:pPr>
    </w:p>
    <w:p w14:paraId="174232E7" w14:textId="77777777" w:rsidR="00FF6684" w:rsidRDefault="00FF6684" w:rsidP="00523C32">
      <w:pPr>
        <w:spacing w:line="276" w:lineRule="auto"/>
        <w:jc w:val="both"/>
        <w:rPr>
          <w:rFonts w:cstheme="minorHAnsi"/>
        </w:rPr>
      </w:pPr>
    </w:p>
    <w:p w14:paraId="0BF8FDEB" w14:textId="03D4F016" w:rsidR="00256563" w:rsidRDefault="00256563" w:rsidP="00256563">
      <w:pPr>
        <w:spacing w:line="276" w:lineRule="auto"/>
        <w:jc w:val="both"/>
        <w:rPr>
          <w:rFonts w:cstheme="minorHAnsi"/>
        </w:rPr>
      </w:pPr>
      <w:r>
        <w:rPr>
          <w:rFonts w:cstheme="minorHAnsi"/>
        </w:rPr>
        <w:lastRenderedPageBreak/>
        <w:t>Figure 4.3.3 – Product and experience showcasing at Penderyn Distillery Visitor Centres</w:t>
      </w:r>
    </w:p>
    <w:p w14:paraId="12996748" w14:textId="62BB3251" w:rsidR="00256563" w:rsidRDefault="00AC4943" w:rsidP="00256563">
      <w:pPr>
        <w:spacing w:line="276" w:lineRule="auto"/>
        <w:jc w:val="both"/>
        <w:rPr>
          <w:rFonts w:cstheme="minorHAnsi"/>
        </w:rPr>
      </w:pPr>
      <w:sdt>
        <w:sdtPr>
          <w:rPr>
            <w:rFonts w:cstheme="minorHAnsi"/>
          </w:rPr>
          <w:id w:val="-97488055"/>
          <w:citation/>
        </w:sdtPr>
        <w:sdtEndPr/>
        <w:sdtContent>
          <w:r w:rsidR="00256563">
            <w:rPr>
              <w:rFonts w:cstheme="minorHAnsi"/>
            </w:rPr>
            <w:fldChar w:fldCharType="begin"/>
          </w:r>
          <w:r w:rsidR="00256563">
            <w:rPr>
              <w:rFonts w:cstheme="minorHAnsi"/>
              <w:lang w:val="en-US"/>
            </w:rPr>
            <w:instrText xml:space="preserve"> CITATION TheWWCP23 \l 1033 </w:instrText>
          </w:r>
          <w:r w:rsidR="00256563">
            <w:rPr>
              <w:rFonts w:cstheme="minorHAnsi"/>
            </w:rPr>
            <w:fldChar w:fldCharType="separate"/>
          </w:r>
          <w:r w:rsidR="009D2B16" w:rsidRPr="009D2B16">
            <w:rPr>
              <w:rFonts w:cstheme="minorHAnsi"/>
              <w:noProof/>
              <w:lang w:val="en-US"/>
            </w:rPr>
            <w:t>(The Welsh Whisky Company Limited, 2023)</w:t>
          </w:r>
          <w:r w:rsidR="00256563">
            <w:rPr>
              <w:rFonts w:cstheme="minorHAnsi"/>
            </w:rPr>
            <w:fldChar w:fldCharType="end"/>
          </w:r>
        </w:sdtContent>
      </w:sdt>
      <w:r w:rsidR="00256563">
        <w:rPr>
          <w:rFonts w:cstheme="minorHAnsi"/>
          <w:noProof/>
        </w:rPr>
        <w:drawing>
          <wp:anchor distT="0" distB="0" distL="114300" distR="114300" simplePos="0" relativeHeight="251668480" behindDoc="0" locked="0" layoutInCell="1" allowOverlap="1" wp14:anchorId="60F9AB76" wp14:editId="4C0817ED">
            <wp:simplePos x="0" y="0"/>
            <wp:positionH relativeFrom="margin">
              <wp:align>center</wp:align>
            </wp:positionH>
            <wp:positionV relativeFrom="paragraph">
              <wp:posOffset>337820</wp:posOffset>
            </wp:positionV>
            <wp:extent cx="3347630" cy="2232000"/>
            <wp:effectExtent l="19050" t="19050" r="24765" b="16510"/>
            <wp:wrapTopAndBottom/>
            <wp:docPr id="161641221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6412215" name="Picture 1616412215"/>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347630" cy="2232000"/>
                    </a:xfrm>
                    <a:prstGeom prst="rect">
                      <a:avLst/>
                    </a:prstGeom>
                    <a:ln w="3175">
                      <a:solidFill>
                        <a:schemeClr val="tx1"/>
                      </a:solidFill>
                    </a:ln>
                  </pic:spPr>
                </pic:pic>
              </a:graphicData>
            </a:graphic>
            <wp14:sizeRelH relativeFrom="page">
              <wp14:pctWidth>0</wp14:pctWidth>
            </wp14:sizeRelH>
            <wp14:sizeRelV relativeFrom="page">
              <wp14:pctHeight>0</wp14:pctHeight>
            </wp14:sizeRelV>
          </wp:anchor>
        </w:drawing>
      </w:r>
    </w:p>
    <w:p w14:paraId="7116F1CA" w14:textId="1134B9FD" w:rsidR="00256563" w:rsidRDefault="00256563" w:rsidP="00523C32">
      <w:pPr>
        <w:spacing w:line="276" w:lineRule="auto"/>
        <w:jc w:val="both"/>
        <w:rPr>
          <w:rFonts w:cstheme="minorHAnsi"/>
        </w:rPr>
      </w:pPr>
    </w:p>
    <w:p w14:paraId="58A8C7EE" w14:textId="3E8803AF" w:rsidR="00133EE5" w:rsidRPr="003B2D9A" w:rsidRDefault="00133EE5" w:rsidP="00523C32">
      <w:pPr>
        <w:spacing w:line="276" w:lineRule="auto"/>
        <w:jc w:val="both"/>
        <w:rPr>
          <w:rFonts w:cstheme="minorHAnsi"/>
        </w:rPr>
      </w:pPr>
      <w:r w:rsidRPr="003B2D9A">
        <w:rPr>
          <w:rFonts w:cstheme="minorHAnsi"/>
        </w:rPr>
        <w:t xml:space="preserve">The visitor experience teams </w:t>
      </w:r>
      <w:r w:rsidR="00523C32" w:rsidRPr="003B2D9A">
        <w:rPr>
          <w:rFonts w:cstheme="minorHAnsi"/>
        </w:rPr>
        <w:t>can</w:t>
      </w:r>
      <w:r w:rsidRPr="003B2D9A">
        <w:rPr>
          <w:rFonts w:cstheme="minorHAnsi"/>
        </w:rPr>
        <w:t xml:space="preserve"> present the products in exactly the way they ‘should’ be presented, focussing on driving home key soundbites, with guides afforded the time to discuss each part of the production process in detail, and answering any questions that visitors might have – something impossible when the ‘brand home’ is a supermarket shelf. Visitors see the working distillery, meet the people behind the products and watch the work being done to create them…all the while absorbing the artisan nature of the brand which is exactly the image that Penderyn wants consumers to hold. Being able to welcome visitors onto tours and Masterclasses allows Penderyn to immerse them completely in the brand – experiencing the sights, sounds and aromas of the site – and sets the foundations for a strong and lasting brand affinity. In providing visitors with positive memories of their experience, they are likely to capture memories that will come to mind once again when the product is seen elsewhere, and so a repeat purchase is more likely, fostering brand loyalty, as recognised by </w:t>
      </w:r>
      <w:sdt>
        <w:sdtPr>
          <w:rPr>
            <w:rFonts w:cstheme="minorHAnsi"/>
          </w:rPr>
          <w:id w:val="65458934"/>
          <w:citation/>
        </w:sdtPr>
        <w:sdtEndPr/>
        <w:sdtContent>
          <w:r w:rsidRPr="003B2D9A">
            <w:rPr>
              <w:rFonts w:cstheme="minorHAnsi"/>
            </w:rPr>
            <w:fldChar w:fldCharType="begin"/>
          </w:r>
          <w:r w:rsidRPr="003B2D9A">
            <w:rPr>
              <w:rFonts w:cstheme="minorHAnsi"/>
            </w:rPr>
            <w:instrText xml:space="preserve"> CITATION Bal03 \l 2057 </w:instrText>
          </w:r>
          <w:r w:rsidRPr="003B2D9A">
            <w:rPr>
              <w:rFonts w:cstheme="minorHAnsi"/>
            </w:rPr>
            <w:fldChar w:fldCharType="separate"/>
          </w:r>
          <w:r w:rsidR="009D2B16" w:rsidRPr="009D2B16">
            <w:rPr>
              <w:rFonts w:cstheme="minorHAnsi"/>
              <w:noProof/>
            </w:rPr>
            <w:t>(Baldauf, et al., 2003)</w:t>
          </w:r>
          <w:r w:rsidRPr="003B2D9A">
            <w:rPr>
              <w:rFonts w:cstheme="minorHAnsi"/>
            </w:rPr>
            <w:fldChar w:fldCharType="end"/>
          </w:r>
        </w:sdtContent>
      </w:sdt>
      <w:r w:rsidRPr="003B2D9A">
        <w:rPr>
          <w:rFonts w:cstheme="minorHAnsi"/>
        </w:rPr>
        <w:t>.</w:t>
      </w:r>
    </w:p>
    <w:p w14:paraId="609724F2" w14:textId="7F934F50" w:rsidR="00133EE5" w:rsidRPr="00523C32" w:rsidRDefault="00133EE5" w:rsidP="00523C32">
      <w:pPr>
        <w:pStyle w:val="Heading2"/>
        <w:spacing w:line="360" w:lineRule="auto"/>
        <w:rPr>
          <w:b/>
          <w:bCs/>
          <w:color w:val="auto"/>
          <w:sz w:val="24"/>
          <w:szCs w:val="24"/>
        </w:rPr>
      </w:pPr>
      <w:bookmarkStart w:id="30" w:name="_Toc160624596"/>
      <w:r w:rsidRPr="00523C32">
        <w:rPr>
          <w:b/>
          <w:bCs/>
          <w:color w:val="auto"/>
          <w:sz w:val="24"/>
          <w:szCs w:val="24"/>
        </w:rPr>
        <w:t>4.4</w:t>
      </w:r>
      <w:r w:rsidRPr="00523C32">
        <w:rPr>
          <w:b/>
          <w:bCs/>
          <w:color w:val="auto"/>
          <w:sz w:val="24"/>
          <w:szCs w:val="24"/>
        </w:rPr>
        <w:tab/>
      </w:r>
      <w:r w:rsidR="003B2D9A" w:rsidRPr="00523C32">
        <w:rPr>
          <w:b/>
          <w:bCs/>
          <w:color w:val="auto"/>
          <w:sz w:val="24"/>
          <w:szCs w:val="24"/>
        </w:rPr>
        <w:t>CONTRIBUTION AS RESEARCH BASES</w:t>
      </w:r>
      <w:bookmarkEnd w:id="30"/>
    </w:p>
    <w:p w14:paraId="30B9B910" w14:textId="035B1A3A" w:rsidR="00133EE5" w:rsidRPr="003B2D9A" w:rsidRDefault="00133EE5" w:rsidP="00523C32">
      <w:pPr>
        <w:spacing w:line="276" w:lineRule="auto"/>
        <w:jc w:val="both"/>
        <w:rPr>
          <w:rFonts w:cstheme="minorHAnsi"/>
        </w:rPr>
      </w:pPr>
      <w:r w:rsidRPr="003B2D9A">
        <w:rPr>
          <w:rFonts w:cstheme="minorHAnsi"/>
        </w:rPr>
        <w:t>By their nature, the Penderyn Visitor Centres offer a unique opportunity for the NPD and marketing teams to interact with consumers loyal to the brand, allowing them both the ability to gain insight into what trends these consumers are looking out for in terms of whisky products, and the chance to demo on these consumers in real time and observe the results first-hand. A prime example of this was around the brands Portwood whisky; in 2011, the distillery team was hearing more and more hype, particularly those from other World Whisky countries such as France, around whiskies matured for significant periods of time in Port wine casks. Armed with this knowledge, the maturation team increased the volume of spirit being laid down in Port casks, allowing for a very limited bottling run in 2014. These bottles were released as exclusives through only two channels – one being the Penderyn Visitor Centre, the other being carefully selected independent French spirit retailers (</w:t>
      </w:r>
      <w:r w:rsidR="00523C32" w:rsidRPr="003B2D9A">
        <w:rPr>
          <w:rFonts w:cstheme="minorHAnsi"/>
        </w:rPr>
        <w:t>to</w:t>
      </w:r>
      <w:r w:rsidRPr="003B2D9A">
        <w:rPr>
          <w:rFonts w:cstheme="minorHAnsi"/>
        </w:rPr>
        <w:t xml:space="preserve"> gain feedback from their - at that time – largest export market). The fact that the product was only available in the UK by visiting Penderyn directly certainly helped to drive visitors to the site, and inevitably, they often made other purchases whilst they were on site, but crucially, the NPD and marketing teams were able to monitor the success of this expression, and interact with customers at point of sampling and sale to get their honest feedback – what did they think of the favour, the packaging, the price point? Ultimately the </w:t>
      </w:r>
      <w:r w:rsidRPr="003B2D9A">
        <w:rPr>
          <w:rFonts w:cstheme="minorHAnsi"/>
        </w:rPr>
        <w:lastRenderedPageBreak/>
        <w:t>product was a resounding success, but the research allowed by the existence of the Visitor Centre in this case led to the Portwood expression being relaunched, at a higher ABV level, as part of the core Penderyn ‘Gold’ range a few years later, elevating it from a small side expression to one of the signatures of the brand.</w:t>
      </w:r>
    </w:p>
    <w:p w14:paraId="00D584FB" w14:textId="77777777" w:rsidR="00133EE5" w:rsidRDefault="00133EE5" w:rsidP="00523C32">
      <w:pPr>
        <w:spacing w:line="276" w:lineRule="auto"/>
        <w:rPr>
          <w:rFonts w:cstheme="minorHAnsi"/>
        </w:rPr>
      </w:pPr>
    </w:p>
    <w:p w14:paraId="6C476391" w14:textId="77777777" w:rsidR="00221290" w:rsidRDefault="00221290" w:rsidP="00523C32">
      <w:pPr>
        <w:spacing w:line="276" w:lineRule="auto"/>
        <w:rPr>
          <w:rFonts w:cstheme="minorHAnsi"/>
        </w:rPr>
      </w:pPr>
    </w:p>
    <w:p w14:paraId="20D4CFC5" w14:textId="77777777" w:rsidR="00221290" w:rsidRDefault="00221290" w:rsidP="00523C32">
      <w:pPr>
        <w:spacing w:line="276" w:lineRule="auto"/>
        <w:rPr>
          <w:rFonts w:cstheme="minorHAnsi"/>
        </w:rPr>
      </w:pPr>
    </w:p>
    <w:p w14:paraId="50D8AC1F" w14:textId="77777777" w:rsidR="00221290" w:rsidRDefault="00221290" w:rsidP="00523C32">
      <w:pPr>
        <w:spacing w:line="276" w:lineRule="auto"/>
        <w:rPr>
          <w:rFonts w:cstheme="minorHAnsi"/>
        </w:rPr>
      </w:pPr>
    </w:p>
    <w:p w14:paraId="5726A5C0" w14:textId="77777777" w:rsidR="00221290" w:rsidRDefault="00221290" w:rsidP="00523C32">
      <w:pPr>
        <w:spacing w:line="276" w:lineRule="auto"/>
        <w:rPr>
          <w:rFonts w:cstheme="minorHAnsi"/>
        </w:rPr>
      </w:pPr>
    </w:p>
    <w:p w14:paraId="16608AB4" w14:textId="77777777" w:rsidR="00221290" w:rsidRDefault="00221290" w:rsidP="00523C32">
      <w:pPr>
        <w:spacing w:line="276" w:lineRule="auto"/>
        <w:rPr>
          <w:rFonts w:cstheme="minorHAnsi"/>
        </w:rPr>
      </w:pPr>
    </w:p>
    <w:p w14:paraId="05BD83F2" w14:textId="77777777" w:rsidR="00221290" w:rsidRDefault="00221290" w:rsidP="00523C32">
      <w:pPr>
        <w:spacing w:line="276" w:lineRule="auto"/>
        <w:rPr>
          <w:rFonts w:cstheme="minorHAnsi"/>
        </w:rPr>
      </w:pPr>
    </w:p>
    <w:p w14:paraId="41C22713" w14:textId="77777777" w:rsidR="00221290" w:rsidRDefault="00221290" w:rsidP="00523C32">
      <w:pPr>
        <w:spacing w:line="276" w:lineRule="auto"/>
        <w:rPr>
          <w:rFonts w:cstheme="minorHAnsi"/>
        </w:rPr>
      </w:pPr>
    </w:p>
    <w:p w14:paraId="1473778E" w14:textId="77777777" w:rsidR="00221290" w:rsidRDefault="00221290" w:rsidP="00523C32">
      <w:pPr>
        <w:spacing w:line="276" w:lineRule="auto"/>
        <w:rPr>
          <w:rFonts w:cstheme="minorHAnsi"/>
        </w:rPr>
      </w:pPr>
    </w:p>
    <w:p w14:paraId="74F20366" w14:textId="77777777" w:rsidR="00221290" w:rsidRDefault="00221290" w:rsidP="00523C32">
      <w:pPr>
        <w:spacing w:line="276" w:lineRule="auto"/>
        <w:rPr>
          <w:rFonts w:cstheme="minorHAnsi"/>
        </w:rPr>
      </w:pPr>
    </w:p>
    <w:p w14:paraId="64366015" w14:textId="77777777" w:rsidR="00221290" w:rsidRDefault="00221290" w:rsidP="00523C32">
      <w:pPr>
        <w:spacing w:line="276" w:lineRule="auto"/>
        <w:rPr>
          <w:rFonts w:cstheme="minorHAnsi"/>
        </w:rPr>
      </w:pPr>
    </w:p>
    <w:p w14:paraId="0AA8CC15" w14:textId="77777777" w:rsidR="00221290" w:rsidRDefault="00221290" w:rsidP="00523C32">
      <w:pPr>
        <w:spacing w:line="276" w:lineRule="auto"/>
        <w:rPr>
          <w:rFonts w:cstheme="minorHAnsi"/>
        </w:rPr>
      </w:pPr>
    </w:p>
    <w:p w14:paraId="26FCA7B7" w14:textId="77777777" w:rsidR="00221290" w:rsidRDefault="00221290" w:rsidP="00523C32">
      <w:pPr>
        <w:spacing w:line="276" w:lineRule="auto"/>
        <w:rPr>
          <w:rFonts w:cstheme="minorHAnsi"/>
        </w:rPr>
      </w:pPr>
    </w:p>
    <w:p w14:paraId="71FC6BD3" w14:textId="77777777" w:rsidR="00221290" w:rsidRDefault="00221290" w:rsidP="00523C32">
      <w:pPr>
        <w:spacing w:line="276" w:lineRule="auto"/>
        <w:rPr>
          <w:rFonts w:cstheme="minorHAnsi"/>
        </w:rPr>
      </w:pPr>
    </w:p>
    <w:p w14:paraId="2B841286" w14:textId="77777777" w:rsidR="00221290" w:rsidRDefault="00221290" w:rsidP="00523C32">
      <w:pPr>
        <w:spacing w:line="276" w:lineRule="auto"/>
        <w:rPr>
          <w:rFonts w:cstheme="minorHAnsi"/>
        </w:rPr>
      </w:pPr>
    </w:p>
    <w:p w14:paraId="05300D7B" w14:textId="738CDF43" w:rsidR="00221290" w:rsidRPr="003B2D9A" w:rsidRDefault="00FF6684" w:rsidP="00FF6684">
      <w:pPr>
        <w:rPr>
          <w:rFonts w:cstheme="minorHAnsi"/>
        </w:rPr>
      </w:pPr>
      <w:r>
        <w:rPr>
          <w:rFonts w:cstheme="minorHAnsi"/>
        </w:rPr>
        <w:br w:type="page"/>
      </w:r>
    </w:p>
    <w:p w14:paraId="37831A4E" w14:textId="14931BA9" w:rsidR="00133EE5" w:rsidRPr="00523C32" w:rsidRDefault="00133EE5" w:rsidP="00523C32">
      <w:pPr>
        <w:pStyle w:val="Heading2"/>
        <w:spacing w:line="360" w:lineRule="auto"/>
        <w:rPr>
          <w:b/>
          <w:bCs/>
          <w:color w:val="auto"/>
          <w:sz w:val="24"/>
          <w:szCs w:val="24"/>
        </w:rPr>
      </w:pPr>
      <w:bookmarkStart w:id="31" w:name="_Toc160624597"/>
      <w:r w:rsidRPr="00523C32">
        <w:rPr>
          <w:b/>
          <w:bCs/>
          <w:color w:val="auto"/>
          <w:sz w:val="24"/>
          <w:szCs w:val="24"/>
        </w:rPr>
        <w:lastRenderedPageBreak/>
        <w:t>5.0</w:t>
      </w:r>
      <w:r w:rsidRPr="00523C32">
        <w:rPr>
          <w:b/>
          <w:bCs/>
          <w:color w:val="auto"/>
          <w:sz w:val="24"/>
          <w:szCs w:val="24"/>
        </w:rPr>
        <w:tab/>
      </w:r>
      <w:r w:rsidR="003B2D9A" w:rsidRPr="00523C32">
        <w:rPr>
          <w:b/>
          <w:bCs/>
          <w:color w:val="auto"/>
          <w:sz w:val="24"/>
          <w:szCs w:val="24"/>
        </w:rPr>
        <w:t>FINDINGS</w:t>
      </w:r>
      <w:bookmarkEnd w:id="31"/>
    </w:p>
    <w:p w14:paraId="489BEE19" w14:textId="4A958903" w:rsidR="00133EE5" w:rsidRPr="009A5502" w:rsidRDefault="00133EE5" w:rsidP="009A5502">
      <w:pPr>
        <w:pStyle w:val="Heading2"/>
        <w:spacing w:line="360" w:lineRule="auto"/>
        <w:rPr>
          <w:b/>
          <w:bCs/>
          <w:color w:val="auto"/>
          <w:sz w:val="24"/>
          <w:szCs w:val="24"/>
        </w:rPr>
      </w:pPr>
      <w:bookmarkStart w:id="32" w:name="_Toc160624598"/>
      <w:r w:rsidRPr="00523C32">
        <w:rPr>
          <w:b/>
          <w:bCs/>
          <w:color w:val="auto"/>
          <w:sz w:val="24"/>
          <w:szCs w:val="24"/>
        </w:rPr>
        <w:t>5.1</w:t>
      </w:r>
      <w:r w:rsidRPr="00523C32">
        <w:rPr>
          <w:b/>
          <w:bCs/>
          <w:color w:val="auto"/>
          <w:sz w:val="24"/>
          <w:szCs w:val="24"/>
        </w:rPr>
        <w:tab/>
      </w:r>
      <w:r w:rsidR="003B2D9A" w:rsidRPr="00523C32">
        <w:rPr>
          <w:b/>
          <w:bCs/>
          <w:color w:val="auto"/>
          <w:sz w:val="24"/>
          <w:szCs w:val="24"/>
        </w:rPr>
        <w:t>DATA SET</w:t>
      </w:r>
      <w:r w:rsidRPr="00523C32">
        <w:rPr>
          <w:b/>
          <w:bCs/>
          <w:color w:val="auto"/>
          <w:sz w:val="24"/>
          <w:szCs w:val="24"/>
        </w:rPr>
        <w:t xml:space="preserve"> 1: </w:t>
      </w:r>
      <w:r w:rsidR="003B2D9A" w:rsidRPr="00523C32">
        <w:rPr>
          <w:b/>
          <w:bCs/>
          <w:color w:val="auto"/>
          <w:sz w:val="24"/>
          <w:szCs w:val="24"/>
        </w:rPr>
        <w:t>PENDERYN BRAND POSITIONING</w:t>
      </w:r>
      <w:r w:rsidRPr="00523C32">
        <w:rPr>
          <w:b/>
          <w:bCs/>
          <w:color w:val="auto"/>
          <w:sz w:val="24"/>
          <w:szCs w:val="24"/>
        </w:rPr>
        <w:t xml:space="preserve"> –</w:t>
      </w:r>
      <w:r w:rsidR="00523C32">
        <w:rPr>
          <w:b/>
          <w:bCs/>
          <w:color w:val="auto"/>
          <w:sz w:val="24"/>
          <w:szCs w:val="24"/>
        </w:rPr>
        <w:t xml:space="preserve"> </w:t>
      </w:r>
      <w:r w:rsidR="003B2D9A" w:rsidRPr="00523C32">
        <w:rPr>
          <w:b/>
          <w:bCs/>
          <w:color w:val="auto"/>
          <w:sz w:val="24"/>
          <w:szCs w:val="24"/>
        </w:rPr>
        <w:t>MARKET RESEARCH STUDY</w:t>
      </w:r>
      <w:bookmarkEnd w:id="32"/>
    </w:p>
    <w:p w14:paraId="585144C6" w14:textId="77777777" w:rsidR="00133EE5" w:rsidRPr="003B2D9A" w:rsidRDefault="00133EE5" w:rsidP="00523C32">
      <w:pPr>
        <w:spacing w:line="276" w:lineRule="auto"/>
        <w:jc w:val="both"/>
        <w:rPr>
          <w:rFonts w:cstheme="minorHAnsi"/>
        </w:rPr>
      </w:pPr>
      <w:r w:rsidRPr="003B2D9A">
        <w:rPr>
          <w:rFonts w:cstheme="minorHAnsi"/>
        </w:rPr>
        <w:t>The market research study commissioned by Penderyn is useful in that the data is qualitative; the data is nuanced with regards to subjective feelings and preferences in a way that is more difficult in the discrete numerical/performance data.</w:t>
      </w:r>
    </w:p>
    <w:p w14:paraId="40C83FFD" w14:textId="442902EC" w:rsidR="00133EE5" w:rsidRDefault="00133EE5" w:rsidP="00523C32">
      <w:pPr>
        <w:spacing w:line="276" w:lineRule="auto"/>
        <w:jc w:val="both"/>
        <w:rPr>
          <w:rFonts w:cstheme="minorHAnsi"/>
        </w:rPr>
      </w:pPr>
      <w:r w:rsidRPr="003B2D9A">
        <w:rPr>
          <w:rFonts w:cstheme="minorHAnsi"/>
        </w:rPr>
        <w:t xml:space="preserve">The foundation context, titled Whisky Drinkers Are Easily Able </w:t>
      </w:r>
      <w:proofErr w:type="gramStart"/>
      <w:r w:rsidRPr="003B2D9A">
        <w:rPr>
          <w:rFonts w:cstheme="minorHAnsi"/>
        </w:rPr>
        <w:t>To</w:t>
      </w:r>
      <w:proofErr w:type="gramEnd"/>
      <w:r w:rsidRPr="003B2D9A">
        <w:rPr>
          <w:rFonts w:cstheme="minorHAnsi"/>
        </w:rPr>
        <w:t xml:space="preserve"> Map Their Preferenc</w:t>
      </w:r>
      <w:r w:rsidR="00A738C9">
        <w:rPr>
          <w:rFonts w:cstheme="minorHAnsi"/>
        </w:rPr>
        <w:t xml:space="preserve">es (figure 5.1.1) </w:t>
      </w:r>
      <w:r w:rsidRPr="003B2D9A">
        <w:rPr>
          <w:rFonts w:cstheme="minorHAnsi"/>
        </w:rPr>
        <w:t>demonstrates that in order for true, lasting brand awareness (as opposed to fleeting brand recognition) and thus a subsequent developing of brand loyalty, consumers need to be granted time to learn about the product, and the brand, on an intimate level. The comments raised in this part of the study reference ‘learning to like whisky</w:t>
      </w:r>
      <w:proofErr w:type="gramStart"/>
      <w:r w:rsidRPr="003B2D9A">
        <w:rPr>
          <w:rFonts w:cstheme="minorHAnsi"/>
        </w:rPr>
        <w:t>’,</w:t>
      </w:r>
      <w:proofErr w:type="gramEnd"/>
      <w:r w:rsidRPr="003B2D9A">
        <w:rPr>
          <w:rFonts w:cstheme="minorHAnsi"/>
        </w:rPr>
        <w:t xml:space="preserve"> ‘single malt whisky being more nuanced’ and a need to ‘understand region specific characteristics’ </w:t>
      </w:r>
      <w:sdt>
        <w:sdtPr>
          <w:rPr>
            <w:rFonts w:cstheme="minorHAnsi"/>
          </w:rPr>
          <w:id w:val="1820152340"/>
          <w:citation/>
        </w:sdtPr>
        <w:sdtEndPr/>
        <w:sdtContent>
          <w:r w:rsidRPr="003B2D9A">
            <w:rPr>
              <w:rFonts w:cstheme="minorHAnsi"/>
            </w:rPr>
            <w:fldChar w:fldCharType="begin"/>
          </w:r>
          <w:r w:rsidRPr="003B2D9A">
            <w:rPr>
              <w:rFonts w:cstheme="minorHAnsi"/>
            </w:rPr>
            <w:instrText xml:space="preserve">CITATION The231 \l 2057 </w:instrText>
          </w:r>
          <w:r w:rsidRPr="003B2D9A">
            <w:rPr>
              <w:rFonts w:cstheme="minorHAnsi"/>
            </w:rPr>
            <w:fldChar w:fldCharType="separate"/>
          </w:r>
          <w:r w:rsidR="009D2B16" w:rsidRPr="009D2B16">
            <w:rPr>
              <w:rFonts w:cstheme="minorHAnsi"/>
              <w:noProof/>
            </w:rPr>
            <w:t>(The Big Picture (on behalf of Penderyn), 2023)</w:t>
          </w:r>
          <w:r w:rsidRPr="003B2D9A">
            <w:rPr>
              <w:rFonts w:cstheme="minorHAnsi"/>
            </w:rPr>
            <w:fldChar w:fldCharType="end"/>
          </w:r>
        </w:sdtContent>
      </w:sdt>
      <w:r w:rsidRPr="003B2D9A">
        <w:rPr>
          <w:rFonts w:cstheme="minorHAnsi"/>
        </w:rPr>
        <w:t>.</w:t>
      </w:r>
    </w:p>
    <w:p w14:paraId="373694C1" w14:textId="63262458" w:rsidR="00A738C9" w:rsidRDefault="00A738C9" w:rsidP="00523C32">
      <w:pPr>
        <w:spacing w:line="276" w:lineRule="auto"/>
        <w:jc w:val="both"/>
        <w:rPr>
          <w:rFonts w:cstheme="minorHAnsi"/>
        </w:rPr>
      </w:pPr>
      <w:r>
        <w:rPr>
          <w:rFonts w:cstheme="minorHAnsi"/>
        </w:rPr>
        <w:t xml:space="preserve">Figure 5.1.1 - </w:t>
      </w:r>
      <w:r w:rsidRPr="003B2D9A">
        <w:rPr>
          <w:rFonts w:cstheme="minorHAnsi"/>
        </w:rPr>
        <w:t xml:space="preserve">Whisky </w:t>
      </w:r>
      <w:r w:rsidR="0032092B">
        <w:rPr>
          <w:rFonts w:cstheme="minorHAnsi"/>
        </w:rPr>
        <w:t>d</w:t>
      </w:r>
      <w:r w:rsidRPr="003B2D9A">
        <w:rPr>
          <w:rFonts w:cstheme="minorHAnsi"/>
        </w:rPr>
        <w:t xml:space="preserve">rinkers </w:t>
      </w:r>
      <w:r w:rsidR="0032092B">
        <w:rPr>
          <w:rFonts w:cstheme="minorHAnsi"/>
        </w:rPr>
        <w:t>a</w:t>
      </w:r>
      <w:r w:rsidRPr="003B2D9A">
        <w:rPr>
          <w:rFonts w:cstheme="minorHAnsi"/>
        </w:rPr>
        <w:t xml:space="preserve">re </w:t>
      </w:r>
      <w:r w:rsidR="0032092B">
        <w:rPr>
          <w:rFonts w:cstheme="minorHAnsi"/>
        </w:rPr>
        <w:t>e</w:t>
      </w:r>
      <w:r w:rsidRPr="003B2D9A">
        <w:rPr>
          <w:rFonts w:cstheme="minorHAnsi"/>
        </w:rPr>
        <w:t xml:space="preserve">asily </w:t>
      </w:r>
      <w:r w:rsidR="0032092B">
        <w:rPr>
          <w:rFonts w:cstheme="minorHAnsi"/>
        </w:rPr>
        <w:t>a</w:t>
      </w:r>
      <w:r w:rsidRPr="003B2D9A">
        <w:rPr>
          <w:rFonts w:cstheme="minorHAnsi"/>
        </w:rPr>
        <w:t xml:space="preserve">ble </w:t>
      </w:r>
      <w:r w:rsidR="0032092B">
        <w:rPr>
          <w:rFonts w:cstheme="minorHAnsi"/>
        </w:rPr>
        <w:t>t</w:t>
      </w:r>
      <w:r w:rsidRPr="003B2D9A">
        <w:rPr>
          <w:rFonts w:cstheme="minorHAnsi"/>
        </w:rPr>
        <w:t xml:space="preserve">o </w:t>
      </w:r>
      <w:r w:rsidR="0032092B">
        <w:rPr>
          <w:rFonts w:cstheme="minorHAnsi"/>
        </w:rPr>
        <w:t>m</w:t>
      </w:r>
      <w:r w:rsidRPr="003B2D9A">
        <w:rPr>
          <w:rFonts w:cstheme="minorHAnsi"/>
        </w:rPr>
        <w:t xml:space="preserve">ap </w:t>
      </w:r>
      <w:r w:rsidR="0032092B">
        <w:rPr>
          <w:rFonts w:cstheme="minorHAnsi"/>
        </w:rPr>
        <w:t>t</w:t>
      </w:r>
      <w:r w:rsidRPr="003B2D9A">
        <w:rPr>
          <w:rFonts w:cstheme="minorHAnsi"/>
        </w:rPr>
        <w:t xml:space="preserve">heir </w:t>
      </w:r>
      <w:r w:rsidR="0032092B">
        <w:rPr>
          <w:rFonts w:cstheme="minorHAnsi"/>
        </w:rPr>
        <w:t>p</w:t>
      </w:r>
      <w:r w:rsidRPr="003B2D9A">
        <w:rPr>
          <w:rFonts w:cstheme="minorHAnsi"/>
        </w:rPr>
        <w:t>referenc</w:t>
      </w:r>
      <w:r>
        <w:rPr>
          <w:rFonts w:cstheme="minorHAnsi"/>
        </w:rPr>
        <w:t>es</w:t>
      </w:r>
    </w:p>
    <w:p w14:paraId="35035EC6" w14:textId="0CA84DE9" w:rsidR="001E62B4" w:rsidRDefault="00AC4943" w:rsidP="00523C32">
      <w:pPr>
        <w:spacing w:line="276" w:lineRule="auto"/>
        <w:jc w:val="both"/>
        <w:rPr>
          <w:rFonts w:cstheme="minorHAnsi"/>
        </w:rPr>
      </w:pPr>
      <w:sdt>
        <w:sdtPr>
          <w:rPr>
            <w:rFonts w:cstheme="minorHAnsi"/>
          </w:rPr>
          <w:id w:val="1250463438"/>
          <w:citation/>
        </w:sdtPr>
        <w:sdtEndPr/>
        <w:sdtContent>
          <w:r w:rsidR="00A738C9">
            <w:rPr>
              <w:rFonts w:cstheme="minorHAnsi"/>
            </w:rPr>
            <w:fldChar w:fldCharType="begin"/>
          </w:r>
          <w:r w:rsidR="00A738C9">
            <w:rPr>
              <w:rFonts w:cstheme="minorHAnsi"/>
              <w:lang w:val="en-US"/>
            </w:rPr>
            <w:instrText xml:space="preserve"> CITATION The231 \l 1033 </w:instrText>
          </w:r>
          <w:r w:rsidR="00A738C9">
            <w:rPr>
              <w:rFonts w:cstheme="minorHAnsi"/>
            </w:rPr>
            <w:fldChar w:fldCharType="separate"/>
          </w:r>
          <w:r w:rsidR="009D2B16" w:rsidRPr="009D2B16">
            <w:rPr>
              <w:rFonts w:cstheme="minorHAnsi"/>
              <w:noProof/>
              <w:lang w:val="en-US"/>
            </w:rPr>
            <w:t>(The Big Picture (on behalf of Penderyn), 2023)</w:t>
          </w:r>
          <w:r w:rsidR="00A738C9">
            <w:rPr>
              <w:rFonts w:cstheme="minorHAnsi"/>
            </w:rPr>
            <w:fldChar w:fldCharType="end"/>
          </w:r>
        </w:sdtContent>
      </w:sdt>
    </w:p>
    <w:p w14:paraId="39BF2532" w14:textId="5000427C" w:rsidR="00A738C9" w:rsidRPr="003B2D9A" w:rsidRDefault="00CA393B" w:rsidP="00523C32">
      <w:pPr>
        <w:spacing w:line="276" w:lineRule="auto"/>
        <w:jc w:val="both"/>
        <w:rPr>
          <w:rFonts w:cstheme="minorHAnsi"/>
        </w:rPr>
      </w:pPr>
      <w:r>
        <w:rPr>
          <w:noProof/>
        </w:rPr>
        <w:drawing>
          <wp:anchor distT="0" distB="0" distL="114300" distR="114300" simplePos="0" relativeHeight="251663360" behindDoc="0" locked="0" layoutInCell="1" allowOverlap="1" wp14:anchorId="03367A73" wp14:editId="0B337059">
            <wp:simplePos x="0" y="0"/>
            <wp:positionH relativeFrom="margin">
              <wp:align>left</wp:align>
            </wp:positionH>
            <wp:positionV relativeFrom="paragraph">
              <wp:posOffset>91440</wp:posOffset>
            </wp:positionV>
            <wp:extent cx="5731510" cy="3065145"/>
            <wp:effectExtent l="19050" t="19050" r="21590" b="20955"/>
            <wp:wrapThrough wrapText="bothSides">
              <wp:wrapPolygon edited="0">
                <wp:start x="-72" y="-134"/>
                <wp:lineTo x="-72" y="21613"/>
                <wp:lineTo x="21610" y="21613"/>
                <wp:lineTo x="21610" y="-134"/>
                <wp:lineTo x="-72" y="-134"/>
              </wp:wrapPolygon>
            </wp:wrapThrough>
            <wp:docPr id="16111017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1101774" name=""/>
                    <pic:cNvPicPr/>
                  </pic:nvPicPr>
                  <pic:blipFill>
                    <a:blip r:embed="rId16">
                      <a:extLst>
                        <a:ext uri="{28A0092B-C50C-407E-A947-70E740481C1C}">
                          <a14:useLocalDpi xmlns:a14="http://schemas.microsoft.com/office/drawing/2010/main" val="0"/>
                        </a:ext>
                      </a:extLst>
                    </a:blip>
                    <a:stretch>
                      <a:fillRect/>
                    </a:stretch>
                  </pic:blipFill>
                  <pic:spPr>
                    <a:xfrm>
                      <a:off x="0" y="0"/>
                      <a:ext cx="5731510" cy="3065145"/>
                    </a:xfrm>
                    <a:prstGeom prst="rect">
                      <a:avLst/>
                    </a:prstGeom>
                    <a:ln w="3175">
                      <a:solidFill>
                        <a:schemeClr val="tx1"/>
                      </a:solidFill>
                    </a:ln>
                  </pic:spPr>
                </pic:pic>
              </a:graphicData>
            </a:graphic>
            <wp14:sizeRelH relativeFrom="page">
              <wp14:pctWidth>0</wp14:pctWidth>
            </wp14:sizeRelH>
            <wp14:sizeRelV relativeFrom="page">
              <wp14:pctHeight>0</wp14:pctHeight>
            </wp14:sizeRelV>
          </wp:anchor>
        </w:drawing>
      </w:r>
    </w:p>
    <w:p w14:paraId="5D4BA181" w14:textId="687E0A88" w:rsidR="00133EE5" w:rsidRPr="003B2D9A" w:rsidRDefault="00133EE5" w:rsidP="00523C32">
      <w:pPr>
        <w:spacing w:line="276" w:lineRule="auto"/>
        <w:jc w:val="both"/>
        <w:rPr>
          <w:rFonts w:cstheme="minorHAnsi"/>
        </w:rPr>
      </w:pPr>
      <w:r w:rsidRPr="003B2D9A">
        <w:rPr>
          <w:rFonts w:cstheme="minorHAnsi"/>
        </w:rPr>
        <w:t xml:space="preserve">This section also references that consumers are ‘more open to different experiences with taste being a key driver of consideration and choice’ </w:t>
      </w:r>
      <w:sdt>
        <w:sdtPr>
          <w:rPr>
            <w:rFonts w:cstheme="minorHAnsi"/>
          </w:rPr>
          <w:id w:val="1495447364"/>
          <w:citation/>
        </w:sdtPr>
        <w:sdtEndPr/>
        <w:sdtContent>
          <w:r w:rsidRPr="003B2D9A">
            <w:rPr>
              <w:rFonts w:cstheme="minorHAnsi"/>
            </w:rPr>
            <w:fldChar w:fldCharType="begin"/>
          </w:r>
          <w:r w:rsidRPr="003B2D9A">
            <w:rPr>
              <w:rFonts w:cstheme="minorHAnsi"/>
            </w:rPr>
            <w:instrText xml:space="preserve"> CITATION The231 \l 2057 </w:instrText>
          </w:r>
          <w:r w:rsidRPr="003B2D9A">
            <w:rPr>
              <w:rFonts w:cstheme="minorHAnsi"/>
            </w:rPr>
            <w:fldChar w:fldCharType="separate"/>
          </w:r>
          <w:r w:rsidR="009D2B16" w:rsidRPr="009D2B16">
            <w:rPr>
              <w:rFonts w:cstheme="minorHAnsi"/>
              <w:noProof/>
            </w:rPr>
            <w:t>(The Big Picture (on behalf of Penderyn), 2023)</w:t>
          </w:r>
          <w:r w:rsidRPr="003B2D9A">
            <w:rPr>
              <w:rFonts w:cstheme="minorHAnsi"/>
            </w:rPr>
            <w:fldChar w:fldCharType="end"/>
          </w:r>
        </w:sdtContent>
      </w:sdt>
      <w:r w:rsidRPr="003B2D9A">
        <w:rPr>
          <w:rFonts w:cstheme="minorHAnsi"/>
        </w:rPr>
        <w:t xml:space="preserve"> – this is a critical point to understand as very few, if any, retailers will carry the full range of Penderyn products, often choosing to focus their offering on 2-3 from the range. Therefore, if a consumer is to find a product from the range that resonates with them, most likely in terms of flavour profile, this is most likely to happen at one of the dedicated Penderyn Visitor Centres, which carry not only the full core ranges, but also a selection of limited-edition expressions and small batches available exclusively at Penderyn stores. In addition, whilst at a standard retailer the customer shops only with their eyes, at a Penderyn Visitor Centre they </w:t>
      </w:r>
      <w:r w:rsidR="00523C32" w:rsidRPr="003B2D9A">
        <w:rPr>
          <w:rFonts w:cstheme="minorHAnsi"/>
        </w:rPr>
        <w:t>can</w:t>
      </w:r>
      <w:r w:rsidRPr="003B2D9A">
        <w:rPr>
          <w:rFonts w:cstheme="minorHAnsi"/>
        </w:rPr>
        <w:t xml:space="preserve"> taste each product that they wish to, whilst receiving information, and subtle encouraging cues, about that product from a Penderyn expert, immersing them in the Penderyn experience. </w:t>
      </w:r>
    </w:p>
    <w:p w14:paraId="397FAE7A" w14:textId="4A437716" w:rsidR="00133EE5" w:rsidRDefault="00133EE5" w:rsidP="00523C32">
      <w:pPr>
        <w:spacing w:line="276" w:lineRule="auto"/>
        <w:jc w:val="both"/>
        <w:rPr>
          <w:rFonts w:cstheme="minorHAnsi"/>
        </w:rPr>
      </w:pPr>
      <w:r w:rsidRPr="003B2D9A">
        <w:rPr>
          <w:rFonts w:cstheme="minorHAnsi"/>
        </w:rPr>
        <w:lastRenderedPageBreak/>
        <w:t>The foundation context also – in the subsection titled Realise The Relationship Between Provenance And Flavour</w:t>
      </w:r>
      <w:r w:rsidR="001E62B4">
        <w:rPr>
          <w:rFonts w:cstheme="minorHAnsi"/>
        </w:rPr>
        <w:t xml:space="preserve"> (figure 5.1.2)</w:t>
      </w:r>
      <w:r w:rsidRPr="003B2D9A">
        <w:rPr>
          <w:rFonts w:cstheme="minorHAnsi"/>
        </w:rPr>
        <w:t xml:space="preserve"> – provides subjective data supporting the stance that the Penderyn Visitor Centres are intrinsic not only to brand awareness, but also to brand positioning and to defining a sense of place for the brand, creating and honing the brand image and thus contributing heavily to brand perception; in the same manner that terroir is inherent to a wine, so the Visitor Centres add a layer of authenticity to the brand provenance – a notion endorsed by </w:t>
      </w:r>
      <w:sdt>
        <w:sdtPr>
          <w:rPr>
            <w:rFonts w:cstheme="minorHAnsi"/>
          </w:rPr>
          <w:id w:val="324943700"/>
          <w:citation/>
        </w:sdtPr>
        <w:sdtEndPr/>
        <w:sdtContent>
          <w:r w:rsidRPr="003B2D9A">
            <w:rPr>
              <w:rFonts w:cstheme="minorHAnsi"/>
            </w:rPr>
            <w:fldChar w:fldCharType="begin"/>
          </w:r>
          <w:r w:rsidRPr="003B2D9A">
            <w:rPr>
              <w:rFonts w:cstheme="minorHAnsi"/>
            </w:rPr>
            <w:instrText xml:space="preserve"> CITATION Bal03 \l 2057 </w:instrText>
          </w:r>
          <w:r w:rsidRPr="003B2D9A">
            <w:rPr>
              <w:rFonts w:cstheme="minorHAnsi"/>
            </w:rPr>
            <w:fldChar w:fldCharType="separate"/>
          </w:r>
          <w:r w:rsidR="009D2B16" w:rsidRPr="009D2B16">
            <w:rPr>
              <w:rFonts w:cstheme="minorHAnsi"/>
              <w:noProof/>
            </w:rPr>
            <w:t>(Baldauf, et al., 2003)</w:t>
          </w:r>
          <w:r w:rsidRPr="003B2D9A">
            <w:rPr>
              <w:rFonts w:cstheme="minorHAnsi"/>
            </w:rPr>
            <w:fldChar w:fldCharType="end"/>
          </w:r>
        </w:sdtContent>
      </w:sdt>
      <w:r w:rsidRPr="003B2D9A">
        <w:rPr>
          <w:rFonts w:cstheme="minorHAnsi"/>
        </w:rPr>
        <w:t xml:space="preserve"> in their statement that ‘the creation and sustainability of destination brand awareness are important because they provide optimistic information and create positive emotions that will likely increase the possibility of purchasing the brand’s offerings’. The statement ‘appreciate how region/locality forms an integral part of the spirit characteristics and distilleries’ identity’ </w:t>
      </w:r>
      <w:sdt>
        <w:sdtPr>
          <w:rPr>
            <w:rFonts w:cstheme="minorHAnsi"/>
          </w:rPr>
          <w:id w:val="-2120743736"/>
          <w:citation/>
        </w:sdtPr>
        <w:sdtEndPr/>
        <w:sdtContent>
          <w:r w:rsidRPr="003B2D9A">
            <w:rPr>
              <w:rFonts w:cstheme="minorHAnsi"/>
            </w:rPr>
            <w:fldChar w:fldCharType="begin"/>
          </w:r>
          <w:r w:rsidRPr="003B2D9A">
            <w:rPr>
              <w:rFonts w:cstheme="minorHAnsi"/>
            </w:rPr>
            <w:instrText xml:space="preserve"> CITATION The231 \l 2057 </w:instrText>
          </w:r>
          <w:r w:rsidRPr="003B2D9A">
            <w:rPr>
              <w:rFonts w:cstheme="minorHAnsi"/>
            </w:rPr>
            <w:fldChar w:fldCharType="separate"/>
          </w:r>
          <w:r w:rsidR="009D2B16" w:rsidRPr="009D2B16">
            <w:rPr>
              <w:rFonts w:cstheme="minorHAnsi"/>
              <w:noProof/>
            </w:rPr>
            <w:t>(The Big Picture (on behalf of Penderyn), 2023)</w:t>
          </w:r>
          <w:r w:rsidRPr="003B2D9A">
            <w:rPr>
              <w:rFonts w:cstheme="minorHAnsi"/>
            </w:rPr>
            <w:fldChar w:fldCharType="end"/>
          </w:r>
        </w:sdtContent>
      </w:sdt>
      <w:r w:rsidRPr="003B2D9A">
        <w:rPr>
          <w:rFonts w:cstheme="minorHAnsi"/>
        </w:rPr>
        <w:t xml:space="preserve"> also returns to the overarching principle – that of familiarity with the brand which can only be achieved by prolonged, direct contact with representatives of it, and of having the time to learn, and be taught, about the deeper principles of that brand. Supporting this, then, the statement that ‘each brand has a completely different taste and you can find lots of different origins of Water, barley, even peat’ highlights that </w:t>
      </w:r>
      <w:r w:rsidR="00523C32" w:rsidRPr="003B2D9A">
        <w:rPr>
          <w:rFonts w:cstheme="minorHAnsi"/>
        </w:rPr>
        <w:t>it is</w:t>
      </w:r>
      <w:r w:rsidRPr="003B2D9A">
        <w:rPr>
          <w:rFonts w:cstheme="minorHAnsi"/>
        </w:rPr>
        <w:t xml:space="preserve"> this level of drilled-down, insider knowledge that those whisky explorers are seeking, supported by later feedback such as ‘the Faraday still is interesting and unique, they should definitely talk about this technique. It makes me want to know more’, ‘unique distillation process is very important! - Not about the details of alcohol levels etc. - But do want to know what the payoff is…’ and ‘consumers want to know how this makes the whisky exceptional… - This has potential to help drive trial if clearly tied into the liquid </w:t>
      </w:r>
      <w:proofErr w:type="gramStart"/>
      <w:r w:rsidRPr="003B2D9A">
        <w:rPr>
          <w:rFonts w:cstheme="minorHAnsi"/>
        </w:rPr>
        <w:t>properties’</w:t>
      </w:r>
      <w:proofErr w:type="gramEnd"/>
      <w:r w:rsidR="001E62B4">
        <w:rPr>
          <w:rFonts w:cstheme="minorHAnsi"/>
        </w:rPr>
        <w:t>.</w:t>
      </w:r>
    </w:p>
    <w:p w14:paraId="1BD87930" w14:textId="3E1C4206" w:rsidR="001E62B4" w:rsidRDefault="001E62B4" w:rsidP="00523C32">
      <w:pPr>
        <w:spacing w:line="276" w:lineRule="auto"/>
        <w:jc w:val="both"/>
        <w:rPr>
          <w:rFonts w:cstheme="minorHAnsi"/>
        </w:rPr>
      </w:pPr>
      <w:r>
        <w:rPr>
          <w:rFonts w:cstheme="minorHAnsi"/>
        </w:rPr>
        <w:t xml:space="preserve">Figure 5.1.2 - </w:t>
      </w:r>
      <w:r w:rsidRPr="003B2D9A">
        <w:rPr>
          <w:rFonts w:cstheme="minorHAnsi"/>
        </w:rPr>
        <w:t xml:space="preserve">Realise </w:t>
      </w:r>
      <w:r w:rsidR="0032092B">
        <w:rPr>
          <w:rFonts w:cstheme="minorHAnsi"/>
        </w:rPr>
        <w:t>t</w:t>
      </w:r>
      <w:r w:rsidRPr="003B2D9A">
        <w:rPr>
          <w:rFonts w:cstheme="minorHAnsi"/>
        </w:rPr>
        <w:t xml:space="preserve">he </w:t>
      </w:r>
      <w:r w:rsidR="0032092B">
        <w:rPr>
          <w:rFonts w:cstheme="minorHAnsi"/>
        </w:rPr>
        <w:t>r</w:t>
      </w:r>
      <w:r w:rsidRPr="003B2D9A">
        <w:rPr>
          <w:rFonts w:cstheme="minorHAnsi"/>
        </w:rPr>
        <w:t xml:space="preserve">elationship </w:t>
      </w:r>
      <w:r w:rsidR="0032092B">
        <w:rPr>
          <w:rFonts w:cstheme="minorHAnsi"/>
        </w:rPr>
        <w:t>b</w:t>
      </w:r>
      <w:r w:rsidRPr="003B2D9A">
        <w:rPr>
          <w:rFonts w:cstheme="minorHAnsi"/>
        </w:rPr>
        <w:t xml:space="preserve">etween </w:t>
      </w:r>
      <w:r w:rsidR="0032092B">
        <w:rPr>
          <w:rFonts w:cstheme="minorHAnsi"/>
        </w:rPr>
        <w:t>p</w:t>
      </w:r>
      <w:r w:rsidRPr="003B2D9A">
        <w:rPr>
          <w:rFonts w:cstheme="minorHAnsi"/>
        </w:rPr>
        <w:t xml:space="preserve">rovenance </w:t>
      </w:r>
      <w:r w:rsidR="0032092B">
        <w:rPr>
          <w:rFonts w:cstheme="minorHAnsi"/>
        </w:rPr>
        <w:t>a</w:t>
      </w:r>
      <w:r w:rsidRPr="003B2D9A">
        <w:rPr>
          <w:rFonts w:cstheme="minorHAnsi"/>
        </w:rPr>
        <w:t xml:space="preserve">nd </w:t>
      </w:r>
      <w:r w:rsidR="0032092B">
        <w:rPr>
          <w:rFonts w:cstheme="minorHAnsi"/>
        </w:rPr>
        <w:t>f</w:t>
      </w:r>
      <w:r w:rsidRPr="003B2D9A">
        <w:rPr>
          <w:rFonts w:cstheme="minorHAnsi"/>
        </w:rPr>
        <w:t>lavour</w:t>
      </w:r>
    </w:p>
    <w:p w14:paraId="5EABBD3B" w14:textId="0254D6C0" w:rsidR="001E62B4" w:rsidRDefault="00AC4943" w:rsidP="00523C32">
      <w:pPr>
        <w:spacing w:line="276" w:lineRule="auto"/>
        <w:jc w:val="both"/>
        <w:rPr>
          <w:rFonts w:cstheme="minorHAnsi"/>
        </w:rPr>
      </w:pPr>
      <w:sdt>
        <w:sdtPr>
          <w:rPr>
            <w:rFonts w:cstheme="minorHAnsi"/>
          </w:rPr>
          <w:id w:val="-621614029"/>
          <w:citation/>
        </w:sdtPr>
        <w:sdtEndPr/>
        <w:sdtContent>
          <w:r w:rsidR="001E62B4">
            <w:rPr>
              <w:rFonts w:cstheme="minorHAnsi"/>
            </w:rPr>
            <w:fldChar w:fldCharType="begin"/>
          </w:r>
          <w:r w:rsidR="001E62B4">
            <w:rPr>
              <w:rFonts w:cstheme="minorHAnsi"/>
              <w:lang w:val="en-US"/>
            </w:rPr>
            <w:instrText xml:space="preserve"> CITATION The231 \l 1033 </w:instrText>
          </w:r>
          <w:r w:rsidR="001E62B4">
            <w:rPr>
              <w:rFonts w:cstheme="minorHAnsi"/>
            </w:rPr>
            <w:fldChar w:fldCharType="separate"/>
          </w:r>
          <w:r w:rsidR="009D2B16" w:rsidRPr="009D2B16">
            <w:rPr>
              <w:rFonts w:cstheme="minorHAnsi"/>
              <w:noProof/>
              <w:lang w:val="en-US"/>
            </w:rPr>
            <w:t>(The Big Picture (on behalf of Penderyn), 2023)</w:t>
          </w:r>
          <w:r w:rsidR="001E62B4">
            <w:rPr>
              <w:rFonts w:cstheme="minorHAnsi"/>
            </w:rPr>
            <w:fldChar w:fldCharType="end"/>
          </w:r>
        </w:sdtContent>
      </w:sdt>
    </w:p>
    <w:p w14:paraId="416E782D" w14:textId="5996C857" w:rsidR="001E62B4" w:rsidRPr="003B2D9A" w:rsidRDefault="0065646C" w:rsidP="00523C32">
      <w:pPr>
        <w:spacing w:line="276" w:lineRule="auto"/>
        <w:jc w:val="both"/>
        <w:rPr>
          <w:rFonts w:cstheme="minorHAnsi"/>
        </w:rPr>
      </w:pPr>
      <w:r>
        <w:rPr>
          <w:noProof/>
        </w:rPr>
        <w:drawing>
          <wp:inline distT="0" distB="0" distL="0" distR="0" wp14:anchorId="5E00CDBE" wp14:editId="7E5E738E">
            <wp:extent cx="5731510" cy="3093720"/>
            <wp:effectExtent l="19050" t="19050" r="21590" b="11430"/>
            <wp:docPr id="12689262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8926202" name=""/>
                    <pic:cNvPicPr/>
                  </pic:nvPicPr>
                  <pic:blipFill>
                    <a:blip r:embed="rId17"/>
                    <a:stretch>
                      <a:fillRect/>
                    </a:stretch>
                  </pic:blipFill>
                  <pic:spPr>
                    <a:xfrm>
                      <a:off x="0" y="0"/>
                      <a:ext cx="5731510" cy="3093720"/>
                    </a:xfrm>
                    <a:prstGeom prst="rect">
                      <a:avLst/>
                    </a:prstGeom>
                    <a:ln w="3175">
                      <a:solidFill>
                        <a:schemeClr val="tx1"/>
                      </a:solidFill>
                    </a:ln>
                  </pic:spPr>
                </pic:pic>
              </a:graphicData>
            </a:graphic>
          </wp:inline>
        </w:drawing>
      </w:r>
    </w:p>
    <w:p w14:paraId="72554546" w14:textId="34F2D377" w:rsidR="00133EE5" w:rsidRDefault="00133EE5" w:rsidP="00523C32">
      <w:pPr>
        <w:spacing w:line="276" w:lineRule="auto"/>
        <w:jc w:val="both"/>
        <w:rPr>
          <w:rFonts w:cstheme="minorHAnsi"/>
        </w:rPr>
      </w:pPr>
      <w:r w:rsidRPr="003B2D9A">
        <w:rPr>
          <w:rFonts w:cstheme="minorHAnsi"/>
        </w:rPr>
        <w:t xml:space="preserve">However, it is highlighted in the subsequent section – A Broad Range </w:t>
      </w:r>
      <w:proofErr w:type="gramStart"/>
      <w:r w:rsidRPr="003B2D9A">
        <w:rPr>
          <w:rFonts w:cstheme="minorHAnsi"/>
        </w:rPr>
        <w:t>Of</w:t>
      </w:r>
      <w:proofErr w:type="gramEnd"/>
      <w:r w:rsidRPr="003B2D9A">
        <w:rPr>
          <w:rFonts w:cstheme="minorHAnsi"/>
        </w:rPr>
        <w:t xml:space="preserve"> Understanding</w:t>
      </w:r>
      <w:r w:rsidR="00F1545F">
        <w:rPr>
          <w:rFonts w:cstheme="minorHAnsi"/>
        </w:rPr>
        <w:t xml:space="preserve"> (figu</w:t>
      </w:r>
      <w:r w:rsidR="00D375A3">
        <w:rPr>
          <w:rFonts w:cstheme="minorHAnsi"/>
        </w:rPr>
        <w:t>re 5.1.3)</w:t>
      </w:r>
      <w:r w:rsidRPr="003B2D9A">
        <w:rPr>
          <w:rFonts w:cstheme="minorHAnsi"/>
        </w:rPr>
        <w:t xml:space="preserve"> – that not all consumers seek out this in-depth experience; indeed, it is suggested that, particularly for a segment of the domestic market, they base their purchasing decisions on more traditional characteristics (in this case, age statements and the familiar brand names). A cross-reference of this data with the (also qualitative) Trip Advisor summary data demonstrates that when such consumers </w:t>
      </w:r>
      <w:r w:rsidRPr="003B2D9A">
        <w:rPr>
          <w:rFonts w:cstheme="minorHAnsi"/>
        </w:rPr>
        <w:lastRenderedPageBreak/>
        <w:t xml:space="preserve">do attend the Penderyn Visitor Centres, they are often ‘converted’ with a range of positive comments alluding to consumers having only previously ever tried cheaper blends with mixers up until their visit. In this way, then, the correlation of these two data sources indicates that the Penderyn Visitor Centres are strong drivers for both brand awareness (through sampling for the first time) and for subsequent development into brand loyalty. </w:t>
      </w:r>
    </w:p>
    <w:p w14:paraId="05C9A318" w14:textId="46163F29" w:rsidR="00FD518F" w:rsidRDefault="00FD518F" w:rsidP="00523C32">
      <w:pPr>
        <w:spacing w:line="276" w:lineRule="auto"/>
        <w:jc w:val="both"/>
        <w:rPr>
          <w:rFonts w:cstheme="minorHAnsi"/>
        </w:rPr>
      </w:pPr>
      <w:r>
        <w:rPr>
          <w:rFonts w:cstheme="minorHAnsi"/>
        </w:rPr>
        <w:t xml:space="preserve">Figure 5.1.3 - </w:t>
      </w:r>
      <w:r w:rsidRPr="003B2D9A">
        <w:rPr>
          <w:rFonts w:cstheme="minorHAnsi"/>
        </w:rPr>
        <w:t xml:space="preserve">A </w:t>
      </w:r>
      <w:r w:rsidR="0032092B">
        <w:rPr>
          <w:rFonts w:cstheme="minorHAnsi"/>
        </w:rPr>
        <w:t>b</w:t>
      </w:r>
      <w:r w:rsidRPr="003B2D9A">
        <w:rPr>
          <w:rFonts w:cstheme="minorHAnsi"/>
        </w:rPr>
        <w:t xml:space="preserve">road </w:t>
      </w:r>
      <w:r w:rsidR="0032092B">
        <w:rPr>
          <w:rFonts w:cstheme="minorHAnsi"/>
        </w:rPr>
        <w:t>r</w:t>
      </w:r>
      <w:r w:rsidRPr="003B2D9A">
        <w:rPr>
          <w:rFonts w:cstheme="minorHAnsi"/>
        </w:rPr>
        <w:t xml:space="preserve">ange </w:t>
      </w:r>
      <w:r w:rsidR="0032092B">
        <w:rPr>
          <w:rFonts w:cstheme="minorHAnsi"/>
        </w:rPr>
        <w:t>o</w:t>
      </w:r>
      <w:r w:rsidRPr="003B2D9A">
        <w:rPr>
          <w:rFonts w:cstheme="minorHAnsi"/>
        </w:rPr>
        <w:t xml:space="preserve">f </w:t>
      </w:r>
      <w:r w:rsidR="0032092B">
        <w:rPr>
          <w:rFonts w:cstheme="minorHAnsi"/>
        </w:rPr>
        <w:t>u</w:t>
      </w:r>
      <w:r w:rsidRPr="003B2D9A">
        <w:rPr>
          <w:rFonts w:cstheme="minorHAnsi"/>
        </w:rPr>
        <w:t>nderstanding</w:t>
      </w:r>
    </w:p>
    <w:p w14:paraId="23F0C597" w14:textId="7224EF0B" w:rsidR="00FD518F" w:rsidRDefault="00AC4943" w:rsidP="00523C32">
      <w:pPr>
        <w:spacing w:line="276" w:lineRule="auto"/>
        <w:jc w:val="both"/>
        <w:rPr>
          <w:rFonts w:cstheme="minorHAnsi"/>
        </w:rPr>
      </w:pPr>
      <w:sdt>
        <w:sdtPr>
          <w:rPr>
            <w:rFonts w:cstheme="minorHAnsi"/>
          </w:rPr>
          <w:id w:val="2130352046"/>
          <w:citation/>
        </w:sdtPr>
        <w:sdtEndPr/>
        <w:sdtContent>
          <w:r w:rsidR="00FD518F">
            <w:rPr>
              <w:rFonts w:cstheme="minorHAnsi"/>
            </w:rPr>
            <w:fldChar w:fldCharType="begin"/>
          </w:r>
          <w:r w:rsidR="00FD518F">
            <w:rPr>
              <w:rFonts w:cstheme="minorHAnsi"/>
              <w:lang w:val="en-US"/>
            </w:rPr>
            <w:instrText xml:space="preserve"> CITATION The231 \l 1033 </w:instrText>
          </w:r>
          <w:r w:rsidR="00FD518F">
            <w:rPr>
              <w:rFonts w:cstheme="minorHAnsi"/>
            </w:rPr>
            <w:fldChar w:fldCharType="separate"/>
          </w:r>
          <w:r w:rsidR="009D2B16" w:rsidRPr="009D2B16">
            <w:rPr>
              <w:rFonts w:cstheme="minorHAnsi"/>
              <w:noProof/>
              <w:lang w:val="en-US"/>
            </w:rPr>
            <w:t>(The Big Picture (on behalf of Penderyn), 2023)</w:t>
          </w:r>
          <w:r w:rsidR="00FD518F">
            <w:rPr>
              <w:rFonts w:cstheme="minorHAnsi"/>
            </w:rPr>
            <w:fldChar w:fldCharType="end"/>
          </w:r>
        </w:sdtContent>
      </w:sdt>
    </w:p>
    <w:p w14:paraId="4FC0A645" w14:textId="2759FE17" w:rsidR="00FD518F" w:rsidRPr="003B2D9A" w:rsidRDefault="00216AF1" w:rsidP="00523C32">
      <w:pPr>
        <w:spacing w:line="276" w:lineRule="auto"/>
        <w:jc w:val="both"/>
        <w:rPr>
          <w:rFonts w:cstheme="minorHAnsi"/>
        </w:rPr>
      </w:pPr>
      <w:r>
        <w:rPr>
          <w:noProof/>
        </w:rPr>
        <w:drawing>
          <wp:inline distT="0" distB="0" distL="0" distR="0" wp14:anchorId="0C858D98" wp14:editId="75C66411">
            <wp:extent cx="5731510" cy="3000375"/>
            <wp:effectExtent l="19050" t="19050" r="21590" b="28575"/>
            <wp:docPr id="2100989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098944" name=""/>
                    <pic:cNvPicPr/>
                  </pic:nvPicPr>
                  <pic:blipFill>
                    <a:blip r:embed="rId18"/>
                    <a:stretch>
                      <a:fillRect/>
                    </a:stretch>
                  </pic:blipFill>
                  <pic:spPr>
                    <a:xfrm>
                      <a:off x="0" y="0"/>
                      <a:ext cx="5731510" cy="3000375"/>
                    </a:xfrm>
                    <a:prstGeom prst="rect">
                      <a:avLst/>
                    </a:prstGeom>
                    <a:ln w="3175">
                      <a:solidFill>
                        <a:schemeClr val="tx1"/>
                      </a:solidFill>
                    </a:ln>
                  </pic:spPr>
                </pic:pic>
              </a:graphicData>
            </a:graphic>
          </wp:inline>
        </w:drawing>
      </w:r>
    </w:p>
    <w:p w14:paraId="4C4F8F28" w14:textId="632444D6" w:rsidR="00133EE5" w:rsidRDefault="00133EE5" w:rsidP="00523C32">
      <w:pPr>
        <w:spacing w:line="276" w:lineRule="auto"/>
        <w:jc w:val="both"/>
        <w:rPr>
          <w:rFonts w:cstheme="minorHAnsi"/>
        </w:rPr>
      </w:pPr>
      <w:r w:rsidRPr="003B2D9A">
        <w:rPr>
          <w:rFonts w:cstheme="minorHAnsi"/>
        </w:rPr>
        <w:t>The segment Whisky Explorers Are Excited And Intrigued By New Experiences</w:t>
      </w:r>
      <w:r w:rsidR="00216AF1">
        <w:rPr>
          <w:rFonts w:cstheme="minorHAnsi"/>
        </w:rPr>
        <w:t xml:space="preserve"> (figure 5.1.4)</w:t>
      </w:r>
      <w:r w:rsidRPr="003B2D9A">
        <w:rPr>
          <w:rFonts w:cstheme="minorHAnsi"/>
        </w:rPr>
        <w:t xml:space="preserve"> reflects upon the emerging popularity of ‘world whiskies’ and the growing number of women who identify as whisky explorers, following those whisky-makers ‘helping to broaden mindsets and drive awareness of ‘new world’ quality’ just as Penderyn is doing, which ‘presents a strong opportunity for Penderyn given its genuinely different flavour profile and story’ </w:t>
      </w:r>
      <w:sdt>
        <w:sdtPr>
          <w:rPr>
            <w:rFonts w:cstheme="minorHAnsi"/>
          </w:rPr>
          <w:id w:val="-741716007"/>
          <w:citation/>
        </w:sdtPr>
        <w:sdtEndPr/>
        <w:sdtContent>
          <w:r w:rsidRPr="003B2D9A">
            <w:rPr>
              <w:rFonts w:cstheme="minorHAnsi"/>
            </w:rPr>
            <w:fldChar w:fldCharType="begin"/>
          </w:r>
          <w:r w:rsidRPr="003B2D9A">
            <w:rPr>
              <w:rFonts w:cstheme="minorHAnsi"/>
            </w:rPr>
            <w:instrText xml:space="preserve"> CITATION The231 \l 2057 </w:instrText>
          </w:r>
          <w:r w:rsidRPr="003B2D9A">
            <w:rPr>
              <w:rFonts w:cstheme="minorHAnsi"/>
            </w:rPr>
            <w:fldChar w:fldCharType="separate"/>
          </w:r>
          <w:r w:rsidR="009D2B16" w:rsidRPr="009D2B16">
            <w:rPr>
              <w:rFonts w:cstheme="minorHAnsi"/>
              <w:noProof/>
            </w:rPr>
            <w:t>(The Big Picture (on behalf of Penderyn), 2023)</w:t>
          </w:r>
          <w:r w:rsidRPr="003B2D9A">
            <w:rPr>
              <w:rFonts w:cstheme="minorHAnsi"/>
            </w:rPr>
            <w:fldChar w:fldCharType="end"/>
          </w:r>
        </w:sdtContent>
      </w:sdt>
      <w:r w:rsidRPr="003B2D9A">
        <w:rPr>
          <w:rFonts w:cstheme="minorHAnsi"/>
        </w:rPr>
        <w:t>. One of Penderyn’s USPs is, and always has been, its all-female technical team – by visiting the distilleries, consumers are able to mingle with this technical team on occasion, drawing on their expertise. Additionally, by showing so readily its products being produced by females, it helps to make those same products more accessible, and attractive to females – a point not to be understated in a market traditionally, and still predominantly, seen as one for men.</w:t>
      </w:r>
    </w:p>
    <w:p w14:paraId="4DCDF8DC" w14:textId="77777777" w:rsidR="00D74378" w:rsidRDefault="00D74378" w:rsidP="00523C32">
      <w:pPr>
        <w:spacing w:line="276" w:lineRule="auto"/>
        <w:jc w:val="both"/>
        <w:rPr>
          <w:rFonts w:cstheme="minorHAnsi"/>
        </w:rPr>
      </w:pPr>
    </w:p>
    <w:p w14:paraId="78CC96AE" w14:textId="77777777" w:rsidR="00D74378" w:rsidRDefault="00D74378" w:rsidP="00523C32">
      <w:pPr>
        <w:spacing w:line="276" w:lineRule="auto"/>
        <w:jc w:val="both"/>
        <w:rPr>
          <w:rFonts w:cstheme="minorHAnsi"/>
        </w:rPr>
      </w:pPr>
    </w:p>
    <w:p w14:paraId="0EDD0B29" w14:textId="77777777" w:rsidR="00D74378" w:rsidRDefault="00D74378" w:rsidP="00523C32">
      <w:pPr>
        <w:spacing w:line="276" w:lineRule="auto"/>
        <w:jc w:val="both"/>
        <w:rPr>
          <w:rFonts w:cstheme="minorHAnsi"/>
        </w:rPr>
      </w:pPr>
    </w:p>
    <w:p w14:paraId="4E8ACADD" w14:textId="77777777" w:rsidR="00D74378" w:rsidRDefault="00D74378" w:rsidP="00523C32">
      <w:pPr>
        <w:spacing w:line="276" w:lineRule="auto"/>
        <w:jc w:val="both"/>
        <w:rPr>
          <w:rFonts w:cstheme="minorHAnsi"/>
        </w:rPr>
      </w:pPr>
    </w:p>
    <w:p w14:paraId="27E595D2" w14:textId="77777777" w:rsidR="00D74378" w:rsidRDefault="00D74378" w:rsidP="00523C32">
      <w:pPr>
        <w:spacing w:line="276" w:lineRule="auto"/>
        <w:jc w:val="both"/>
        <w:rPr>
          <w:rFonts w:cstheme="minorHAnsi"/>
        </w:rPr>
      </w:pPr>
    </w:p>
    <w:p w14:paraId="0A9AB62C" w14:textId="77777777" w:rsidR="00D74378" w:rsidRDefault="00D74378" w:rsidP="00523C32">
      <w:pPr>
        <w:spacing w:line="276" w:lineRule="auto"/>
        <w:jc w:val="both"/>
        <w:rPr>
          <w:rFonts w:cstheme="minorHAnsi"/>
        </w:rPr>
      </w:pPr>
    </w:p>
    <w:p w14:paraId="217840E6" w14:textId="1874C2B7" w:rsidR="00216AF1" w:rsidRDefault="00216AF1" w:rsidP="00523C32">
      <w:pPr>
        <w:spacing w:line="276" w:lineRule="auto"/>
        <w:jc w:val="both"/>
        <w:rPr>
          <w:rFonts w:cstheme="minorHAnsi"/>
        </w:rPr>
      </w:pPr>
      <w:r>
        <w:rPr>
          <w:rFonts w:cstheme="minorHAnsi"/>
        </w:rPr>
        <w:lastRenderedPageBreak/>
        <w:t xml:space="preserve">Figure 5.1.4 - </w:t>
      </w:r>
      <w:r w:rsidRPr="003B2D9A">
        <w:rPr>
          <w:rFonts w:cstheme="minorHAnsi"/>
        </w:rPr>
        <w:t xml:space="preserve">Whisky </w:t>
      </w:r>
      <w:r w:rsidR="0032092B">
        <w:rPr>
          <w:rFonts w:cstheme="minorHAnsi"/>
        </w:rPr>
        <w:t>e</w:t>
      </w:r>
      <w:r w:rsidRPr="003B2D9A">
        <w:rPr>
          <w:rFonts w:cstheme="minorHAnsi"/>
        </w:rPr>
        <w:t xml:space="preserve">xplorers </w:t>
      </w:r>
      <w:r w:rsidR="0032092B">
        <w:rPr>
          <w:rFonts w:cstheme="minorHAnsi"/>
        </w:rPr>
        <w:t>a</w:t>
      </w:r>
      <w:r w:rsidRPr="003B2D9A">
        <w:rPr>
          <w:rFonts w:cstheme="minorHAnsi"/>
        </w:rPr>
        <w:t xml:space="preserve">re </w:t>
      </w:r>
      <w:r w:rsidR="0032092B">
        <w:rPr>
          <w:rFonts w:cstheme="minorHAnsi"/>
        </w:rPr>
        <w:t>e</w:t>
      </w:r>
      <w:r w:rsidRPr="003B2D9A">
        <w:rPr>
          <w:rFonts w:cstheme="minorHAnsi"/>
        </w:rPr>
        <w:t xml:space="preserve">xcited </w:t>
      </w:r>
      <w:r w:rsidR="0032092B">
        <w:rPr>
          <w:rFonts w:cstheme="minorHAnsi"/>
        </w:rPr>
        <w:t>a</w:t>
      </w:r>
      <w:r w:rsidRPr="003B2D9A">
        <w:rPr>
          <w:rFonts w:cstheme="minorHAnsi"/>
        </w:rPr>
        <w:t xml:space="preserve">nd </w:t>
      </w:r>
      <w:r w:rsidR="0032092B">
        <w:rPr>
          <w:rFonts w:cstheme="minorHAnsi"/>
        </w:rPr>
        <w:t>i</w:t>
      </w:r>
      <w:r w:rsidRPr="003B2D9A">
        <w:rPr>
          <w:rFonts w:cstheme="minorHAnsi"/>
        </w:rPr>
        <w:t xml:space="preserve">ntrigued </w:t>
      </w:r>
      <w:r w:rsidR="0032092B">
        <w:rPr>
          <w:rFonts w:cstheme="minorHAnsi"/>
        </w:rPr>
        <w:t>b</w:t>
      </w:r>
      <w:r w:rsidRPr="003B2D9A">
        <w:rPr>
          <w:rFonts w:cstheme="minorHAnsi"/>
        </w:rPr>
        <w:t xml:space="preserve">y </w:t>
      </w:r>
      <w:r w:rsidR="0032092B">
        <w:rPr>
          <w:rFonts w:cstheme="minorHAnsi"/>
        </w:rPr>
        <w:t>n</w:t>
      </w:r>
      <w:r w:rsidRPr="003B2D9A">
        <w:rPr>
          <w:rFonts w:cstheme="minorHAnsi"/>
        </w:rPr>
        <w:t xml:space="preserve">ew </w:t>
      </w:r>
      <w:r w:rsidR="0032092B">
        <w:rPr>
          <w:rFonts w:cstheme="minorHAnsi"/>
        </w:rPr>
        <w:t>e</w:t>
      </w:r>
      <w:r w:rsidRPr="003B2D9A">
        <w:rPr>
          <w:rFonts w:cstheme="minorHAnsi"/>
        </w:rPr>
        <w:t>xperience</w:t>
      </w:r>
      <w:r>
        <w:rPr>
          <w:rFonts w:cstheme="minorHAnsi"/>
        </w:rPr>
        <w:t>s</w:t>
      </w:r>
    </w:p>
    <w:p w14:paraId="783E4949" w14:textId="7BDDE1D3" w:rsidR="00216AF1" w:rsidRDefault="00AC4943" w:rsidP="00523C32">
      <w:pPr>
        <w:spacing w:line="276" w:lineRule="auto"/>
        <w:jc w:val="both"/>
        <w:rPr>
          <w:rFonts w:cstheme="minorHAnsi"/>
        </w:rPr>
      </w:pPr>
      <w:sdt>
        <w:sdtPr>
          <w:rPr>
            <w:rFonts w:cstheme="minorHAnsi"/>
          </w:rPr>
          <w:id w:val="-2147188367"/>
          <w:citation/>
        </w:sdtPr>
        <w:sdtEndPr/>
        <w:sdtContent>
          <w:r w:rsidR="00A6559A">
            <w:rPr>
              <w:rFonts w:cstheme="minorHAnsi"/>
            </w:rPr>
            <w:fldChar w:fldCharType="begin"/>
          </w:r>
          <w:r w:rsidR="00A6559A">
            <w:rPr>
              <w:rFonts w:cstheme="minorHAnsi"/>
              <w:lang w:val="en-US"/>
            </w:rPr>
            <w:instrText xml:space="preserve"> CITATION The231 \l 1033 </w:instrText>
          </w:r>
          <w:r w:rsidR="00A6559A">
            <w:rPr>
              <w:rFonts w:cstheme="minorHAnsi"/>
            </w:rPr>
            <w:fldChar w:fldCharType="separate"/>
          </w:r>
          <w:r w:rsidR="009D2B16" w:rsidRPr="009D2B16">
            <w:rPr>
              <w:rFonts w:cstheme="minorHAnsi"/>
              <w:noProof/>
              <w:lang w:val="en-US"/>
            </w:rPr>
            <w:t>(The Big Picture (on behalf of Penderyn), 2023)</w:t>
          </w:r>
          <w:r w:rsidR="00A6559A">
            <w:rPr>
              <w:rFonts w:cstheme="minorHAnsi"/>
            </w:rPr>
            <w:fldChar w:fldCharType="end"/>
          </w:r>
        </w:sdtContent>
      </w:sdt>
    </w:p>
    <w:p w14:paraId="639969BD" w14:textId="0FE6B29E" w:rsidR="00A6559A" w:rsidRPr="003B2D9A" w:rsidRDefault="00D74378" w:rsidP="00523C32">
      <w:pPr>
        <w:spacing w:line="276" w:lineRule="auto"/>
        <w:jc w:val="both"/>
        <w:rPr>
          <w:rFonts w:cstheme="minorHAnsi"/>
        </w:rPr>
      </w:pPr>
      <w:r>
        <w:rPr>
          <w:noProof/>
        </w:rPr>
        <w:drawing>
          <wp:inline distT="0" distB="0" distL="0" distR="0" wp14:anchorId="762A3B4A" wp14:editId="0EF91961">
            <wp:extent cx="5731510" cy="3076575"/>
            <wp:effectExtent l="19050" t="19050" r="21590" b="28575"/>
            <wp:docPr id="13157873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5787395" name=""/>
                    <pic:cNvPicPr/>
                  </pic:nvPicPr>
                  <pic:blipFill>
                    <a:blip r:embed="rId19"/>
                    <a:stretch>
                      <a:fillRect/>
                    </a:stretch>
                  </pic:blipFill>
                  <pic:spPr>
                    <a:xfrm>
                      <a:off x="0" y="0"/>
                      <a:ext cx="5731510" cy="3076575"/>
                    </a:xfrm>
                    <a:prstGeom prst="rect">
                      <a:avLst/>
                    </a:prstGeom>
                    <a:ln w="3175">
                      <a:solidFill>
                        <a:schemeClr val="tx1"/>
                      </a:solidFill>
                    </a:ln>
                  </pic:spPr>
                </pic:pic>
              </a:graphicData>
            </a:graphic>
          </wp:inline>
        </w:drawing>
      </w:r>
    </w:p>
    <w:p w14:paraId="2333CDC5" w14:textId="20F1F6A2" w:rsidR="00133EE5" w:rsidRDefault="00133EE5" w:rsidP="00523C32">
      <w:pPr>
        <w:spacing w:line="276" w:lineRule="auto"/>
        <w:jc w:val="both"/>
        <w:rPr>
          <w:rFonts w:cstheme="minorHAnsi"/>
        </w:rPr>
      </w:pPr>
      <w:r w:rsidRPr="003B2D9A">
        <w:rPr>
          <w:rFonts w:cstheme="minorHAnsi"/>
        </w:rPr>
        <w:t xml:space="preserve">One of the founding principles of the Penderyn executive team when developing the Visitor Centres was that each and every visitor should leave as a brand ambassador; there is no better way to summarise this than in the section Whisky Explorers Will Engage Others </w:t>
      </w:r>
      <w:proofErr w:type="gramStart"/>
      <w:r w:rsidRPr="003B2D9A">
        <w:rPr>
          <w:rFonts w:cstheme="minorHAnsi"/>
        </w:rPr>
        <w:t>To</w:t>
      </w:r>
      <w:proofErr w:type="gramEnd"/>
      <w:r w:rsidRPr="003B2D9A">
        <w:rPr>
          <w:rFonts w:cstheme="minorHAnsi"/>
        </w:rPr>
        <w:t xml:space="preserve"> Guide Discovery</w:t>
      </w:r>
      <w:r w:rsidR="00D74378">
        <w:rPr>
          <w:rFonts w:cstheme="minorHAnsi"/>
        </w:rPr>
        <w:t xml:space="preserve"> (figure 5.1.5)</w:t>
      </w:r>
      <w:r w:rsidRPr="003B2D9A">
        <w:rPr>
          <w:rFonts w:cstheme="minorHAnsi"/>
        </w:rPr>
        <w:t xml:space="preserve">. In this case, the ‘friendly expert’ referenced in the section as the original guide would be the Penderyn expert within the Visitor Centres, those staff members conducting the tours, tastings and Masterclasses; these are the ‘key introducers’ who ‘impart further knowledge and stories’, permitted by the ‘experiences (that) are further developed through distillery visits, tasting events/fairs etc.’ </w:t>
      </w:r>
      <w:sdt>
        <w:sdtPr>
          <w:rPr>
            <w:rFonts w:cstheme="minorHAnsi"/>
          </w:rPr>
          <w:id w:val="1887364909"/>
          <w:citation/>
        </w:sdtPr>
        <w:sdtEndPr/>
        <w:sdtContent>
          <w:r w:rsidRPr="003B2D9A">
            <w:rPr>
              <w:rFonts w:cstheme="minorHAnsi"/>
            </w:rPr>
            <w:fldChar w:fldCharType="begin"/>
          </w:r>
          <w:r w:rsidRPr="003B2D9A">
            <w:rPr>
              <w:rFonts w:cstheme="minorHAnsi"/>
            </w:rPr>
            <w:instrText xml:space="preserve"> CITATION The231 \l 2057 </w:instrText>
          </w:r>
          <w:r w:rsidRPr="003B2D9A">
            <w:rPr>
              <w:rFonts w:cstheme="minorHAnsi"/>
            </w:rPr>
            <w:fldChar w:fldCharType="separate"/>
          </w:r>
          <w:r w:rsidR="009D2B16" w:rsidRPr="009D2B16">
            <w:rPr>
              <w:rFonts w:cstheme="minorHAnsi"/>
              <w:noProof/>
            </w:rPr>
            <w:t>(The Big Picture (on behalf of Penderyn), 2023)</w:t>
          </w:r>
          <w:r w:rsidRPr="003B2D9A">
            <w:rPr>
              <w:rFonts w:cstheme="minorHAnsi"/>
            </w:rPr>
            <w:fldChar w:fldCharType="end"/>
          </w:r>
        </w:sdtContent>
      </w:sdt>
      <w:r w:rsidRPr="003B2D9A">
        <w:rPr>
          <w:rFonts w:cstheme="minorHAnsi"/>
        </w:rPr>
        <w:t xml:space="preserve">. This section also acknowledges the value of the Penderyn Visitor Centres in that they are designed to showcase the products in their very best manners – from strategic lighting showcasing the colour of the whisky, to the most elegant tasting glasses chosen for their ability to contain and build the whisky aromas, to the absence of any conflicting aromas which might detract from the quality of the whisky – the ‘impactful talking points that help frame discussions around the whisky’ </w:t>
      </w:r>
      <w:sdt>
        <w:sdtPr>
          <w:rPr>
            <w:rFonts w:cstheme="minorHAnsi"/>
          </w:rPr>
          <w:id w:val="-2082585617"/>
          <w:citation/>
        </w:sdtPr>
        <w:sdtEndPr/>
        <w:sdtContent>
          <w:r w:rsidRPr="003B2D9A">
            <w:rPr>
              <w:rFonts w:cstheme="minorHAnsi"/>
            </w:rPr>
            <w:fldChar w:fldCharType="begin"/>
          </w:r>
          <w:r w:rsidRPr="003B2D9A">
            <w:rPr>
              <w:rFonts w:cstheme="minorHAnsi"/>
            </w:rPr>
            <w:instrText xml:space="preserve"> CITATION The231 \l 2057 </w:instrText>
          </w:r>
          <w:r w:rsidRPr="003B2D9A">
            <w:rPr>
              <w:rFonts w:cstheme="minorHAnsi"/>
            </w:rPr>
            <w:fldChar w:fldCharType="separate"/>
          </w:r>
          <w:r w:rsidR="009D2B16" w:rsidRPr="009D2B16">
            <w:rPr>
              <w:rFonts w:cstheme="minorHAnsi"/>
              <w:noProof/>
            </w:rPr>
            <w:t>(The Big Picture (on behalf of Penderyn), 2023)</w:t>
          </w:r>
          <w:r w:rsidRPr="003B2D9A">
            <w:rPr>
              <w:rFonts w:cstheme="minorHAnsi"/>
            </w:rPr>
            <w:fldChar w:fldCharType="end"/>
          </w:r>
        </w:sdtContent>
      </w:sdt>
      <w:r w:rsidRPr="003B2D9A">
        <w:rPr>
          <w:rFonts w:cstheme="minorHAnsi"/>
        </w:rPr>
        <w:t xml:space="preserve">. A key consideration is the statement that ‘the gatekeeper often leads choice’ </w:t>
      </w:r>
      <w:sdt>
        <w:sdtPr>
          <w:rPr>
            <w:rFonts w:cstheme="minorHAnsi"/>
          </w:rPr>
          <w:id w:val="-422490074"/>
          <w:citation/>
        </w:sdtPr>
        <w:sdtEndPr/>
        <w:sdtContent>
          <w:r w:rsidRPr="003B2D9A">
            <w:rPr>
              <w:rFonts w:cstheme="minorHAnsi"/>
            </w:rPr>
            <w:fldChar w:fldCharType="begin"/>
          </w:r>
          <w:r w:rsidRPr="003B2D9A">
            <w:rPr>
              <w:rFonts w:cstheme="minorHAnsi"/>
            </w:rPr>
            <w:instrText xml:space="preserve"> CITATION The231 \l 2057 </w:instrText>
          </w:r>
          <w:r w:rsidRPr="003B2D9A">
            <w:rPr>
              <w:rFonts w:cstheme="minorHAnsi"/>
            </w:rPr>
            <w:fldChar w:fldCharType="separate"/>
          </w:r>
          <w:r w:rsidR="009D2B16" w:rsidRPr="009D2B16">
            <w:rPr>
              <w:rFonts w:cstheme="minorHAnsi"/>
              <w:noProof/>
            </w:rPr>
            <w:t>(The Big Picture (on behalf of Penderyn), 2023)</w:t>
          </w:r>
          <w:r w:rsidRPr="003B2D9A">
            <w:rPr>
              <w:rFonts w:cstheme="minorHAnsi"/>
            </w:rPr>
            <w:fldChar w:fldCharType="end"/>
          </w:r>
        </w:sdtContent>
      </w:sdt>
      <w:r w:rsidRPr="003B2D9A">
        <w:rPr>
          <w:rFonts w:cstheme="minorHAnsi"/>
        </w:rPr>
        <w:t xml:space="preserve"> – that is, Penderyn can be strategic with the expressions that are offered to individuals, dependent upon whichever expressions it is looking to drive awareness and/or sales of, or even, if a customer was determined to be open to considering a high-value product, for example. The data within this section also suggests that the consumers who partake in the experiences at the Penderyn Visitor Centres will be hungry for more (‘a powerful “tell me more” mindset prevails…Whisky Explorers embrace and enjoy the fact that they don’t know everything’) </w:t>
      </w:r>
      <w:sdt>
        <w:sdtPr>
          <w:rPr>
            <w:rFonts w:cstheme="minorHAnsi"/>
          </w:rPr>
          <w:id w:val="1439330859"/>
          <w:citation/>
        </w:sdtPr>
        <w:sdtEndPr/>
        <w:sdtContent>
          <w:r w:rsidRPr="003B2D9A">
            <w:rPr>
              <w:rFonts w:cstheme="minorHAnsi"/>
            </w:rPr>
            <w:fldChar w:fldCharType="begin"/>
          </w:r>
          <w:r w:rsidRPr="003B2D9A">
            <w:rPr>
              <w:rFonts w:cstheme="minorHAnsi"/>
            </w:rPr>
            <w:instrText xml:space="preserve"> CITATION The231 \l 2057 </w:instrText>
          </w:r>
          <w:r w:rsidRPr="003B2D9A">
            <w:rPr>
              <w:rFonts w:cstheme="minorHAnsi"/>
            </w:rPr>
            <w:fldChar w:fldCharType="separate"/>
          </w:r>
          <w:r w:rsidR="009D2B16" w:rsidRPr="009D2B16">
            <w:rPr>
              <w:rFonts w:cstheme="minorHAnsi"/>
              <w:noProof/>
            </w:rPr>
            <w:t>(The Big Picture (on behalf of Penderyn), 2023)</w:t>
          </w:r>
          <w:r w:rsidRPr="003B2D9A">
            <w:rPr>
              <w:rFonts w:cstheme="minorHAnsi"/>
            </w:rPr>
            <w:fldChar w:fldCharType="end"/>
          </w:r>
        </w:sdtContent>
      </w:sdt>
      <w:r w:rsidRPr="003B2D9A">
        <w:rPr>
          <w:rFonts w:cstheme="minorHAnsi"/>
        </w:rPr>
        <w:t xml:space="preserve"> which makes the buildable experiences that Penderyn offers (in terms of its tours, Masterclasses and special events) more valuable and attractive to these explorers, and for whom such experiences will be more memorable – ‘I like that you’re discovering something, unearthing something, which is interesting. You have to unearth gold and find it, a treasure you go and find’ – this statement implies that the consumer sees the Penderyn they’ve discovered as a reward, suggesting that that have extremely positive </w:t>
      </w:r>
      <w:r w:rsidRPr="003B2D9A">
        <w:rPr>
          <w:rFonts w:cstheme="minorHAnsi"/>
        </w:rPr>
        <w:lastRenderedPageBreak/>
        <w:t xml:space="preserve">associated memories and emotions with the brand, correlating with the wider observations of </w:t>
      </w:r>
      <w:sdt>
        <w:sdtPr>
          <w:rPr>
            <w:rFonts w:cstheme="minorHAnsi"/>
          </w:rPr>
          <w:id w:val="-382324860"/>
          <w:citation/>
        </w:sdtPr>
        <w:sdtEndPr/>
        <w:sdtContent>
          <w:r w:rsidRPr="003B2D9A">
            <w:rPr>
              <w:rFonts w:cstheme="minorHAnsi"/>
            </w:rPr>
            <w:fldChar w:fldCharType="begin"/>
          </w:r>
          <w:r w:rsidRPr="003B2D9A">
            <w:rPr>
              <w:rFonts w:cstheme="minorHAnsi"/>
            </w:rPr>
            <w:instrText xml:space="preserve"> CITATION Pik07 \l 2057 </w:instrText>
          </w:r>
          <w:r w:rsidRPr="003B2D9A">
            <w:rPr>
              <w:rFonts w:cstheme="minorHAnsi"/>
            </w:rPr>
            <w:fldChar w:fldCharType="separate"/>
          </w:r>
          <w:r w:rsidR="009D2B16" w:rsidRPr="009D2B16">
            <w:rPr>
              <w:rFonts w:cstheme="minorHAnsi"/>
              <w:noProof/>
            </w:rPr>
            <w:t>(Pike, 2007)</w:t>
          </w:r>
          <w:r w:rsidRPr="003B2D9A">
            <w:rPr>
              <w:rFonts w:cstheme="minorHAnsi"/>
            </w:rPr>
            <w:fldChar w:fldCharType="end"/>
          </w:r>
        </w:sdtContent>
      </w:sdt>
      <w:r w:rsidRPr="003B2D9A">
        <w:rPr>
          <w:rFonts w:cstheme="minorHAnsi"/>
        </w:rPr>
        <w:t xml:space="preserve"> and </w:t>
      </w:r>
      <w:sdt>
        <w:sdtPr>
          <w:rPr>
            <w:rFonts w:cstheme="minorHAnsi"/>
          </w:rPr>
          <w:id w:val="-1040434520"/>
          <w:citation/>
        </w:sdtPr>
        <w:sdtEndPr/>
        <w:sdtContent>
          <w:r w:rsidRPr="003B2D9A">
            <w:rPr>
              <w:rFonts w:cstheme="minorHAnsi"/>
            </w:rPr>
            <w:fldChar w:fldCharType="begin"/>
          </w:r>
          <w:r w:rsidRPr="003B2D9A">
            <w:rPr>
              <w:rFonts w:cstheme="minorHAnsi"/>
            </w:rPr>
            <w:instrText xml:space="preserve"> CITATION Kot13 \l 2057 </w:instrText>
          </w:r>
          <w:r w:rsidRPr="003B2D9A">
            <w:rPr>
              <w:rFonts w:cstheme="minorHAnsi"/>
            </w:rPr>
            <w:fldChar w:fldCharType="separate"/>
          </w:r>
          <w:r w:rsidR="009D2B16" w:rsidRPr="009D2B16">
            <w:rPr>
              <w:rFonts w:cstheme="minorHAnsi"/>
              <w:noProof/>
            </w:rPr>
            <w:t>(Kotler, et al., 2013)</w:t>
          </w:r>
          <w:r w:rsidRPr="003B2D9A">
            <w:rPr>
              <w:rFonts w:cstheme="minorHAnsi"/>
            </w:rPr>
            <w:fldChar w:fldCharType="end"/>
          </w:r>
        </w:sdtContent>
      </w:sdt>
      <w:r w:rsidR="00D74378">
        <w:rPr>
          <w:rFonts w:cstheme="minorHAnsi"/>
        </w:rPr>
        <w:t>.</w:t>
      </w:r>
    </w:p>
    <w:p w14:paraId="3982C6B1" w14:textId="15F18959" w:rsidR="00D74378" w:rsidRDefault="00D74378" w:rsidP="00523C32">
      <w:pPr>
        <w:spacing w:line="276" w:lineRule="auto"/>
        <w:jc w:val="both"/>
        <w:rPr>
          <w:rFonts w:cstheme="minorHAnsi"/>
        </w:rPr>
      </w:pPr>
      <w:r>
        <w:rPr>
          <w:rFonts w:cstheme="minorHAnsi"/>
        </w:rPr>
        <w:t xml:space="preserve">Figure 5.1.5 - </w:t>
      </w:r>
      <w:r w:rsidRPr="003B2D9A">
        <w:rPr>
          <w:rFonts w:cstheme="minorHAnsi"/>
        </w:rPr>
        <w:t xml:space="preserve">Whisky </w:t>
      </w:r>
      <w:r w:rsidR="0032092B">
        <w:rPr>
          <w:rFonts w:cstheme="minorHAnsi"/>
        </w:rPr>
        <w:t>e</w:t>
      </w:r>
      <w:r w:rsidRPr="003B2D9A">
        <w:rPr>
          <w:rFonts w:cstheme="minorHAnsi"/>
        </w:rPr>
        <w:t xml:space="preserve">xplorers </w:t>
      </w:r>
      <w:r w:rsidR="0032092B">
        <w:rPr>
          <w:rFonts w:cstheme="minorHAnsi"/>
        </w:rPr>
        <w:t>w</w:t>
      </w:r>
      <w:r w:rsidRPr="003B2D9A">
        <w:rPr>
          <w:rFonts w:cstheme="minorHAnsi"/>
        </w:rPr>
        <w:t xml:space="preserve">ill </w:t>
      </w:r>
      <w:r w:rsidR="0032092B">
        <w:rPr>
          <w:rFonts w:cstheme="minorHAnsi"/>
        </w:rPr>
        <w:t>e</w:t>
      </w:r>
      <w:r w:rsidRPr="003B2D9A">
        <w:rPr>
          <w:rFonts w:cstheme="minorHAnsi"/>
        </w:rPr>
        <w:t xml:space="preserve">ngage </w:t>
      </w:r>
      <w:r w:rsidR="0032092B">
        <w:rPr>
          <w:rFonts w:cstheme="minorHAnsi"/>
        </w:rPr>
        <w:t>o</w:t>
      </w:r>
      <w:r w:rsidRPr="003B2D9A">
        <w:rPr>
          <w:rFonts w:cstheme="minorHAnsi"/>
        </w:rPr>
        <w:t xml:space="preserve">thers </w:t>
      </w:r>
      <w:r w:rsidR="0032092B">
        <w:rPr>
          <w:rFonts w:cstheme="minorHAnsi"/>
        </w:rPr>
        <w:t>t</w:t>
      </w:r>
      <w:r w:rsidRPr="003B2D9A">
        <w:rPr>
          <w:rFonts w:cstheme="minorHAnsi"/>
        </w:rPr>
        <w:t xml:space="preserve">o </w:t>
      </w:r>
      <w:r w:rsidR="0032092B">
        <w:rPr>
          <w:rFonts w:cstheme="minorHAnsi"/>
        </w:rPr>
        <w:t>g</w:t>
      </w:r>
      <w:r w:rsidRPr="003B2D9A">
        <w:rPr>
          <w:rFonts w:cstheme="minorHAnsi"/>
        </w:rPr>
        <w:t xml:space="preserve">uide </w:t>
      </w:r>
      <w:r w:rsidR="0032092B">
        <w:rPr>
          <w:rFonts w:cstheme="minorHAnsi"/>
        </w:rPr>
        <w:t>d</w:t>
      </w:r>
      <w:r w:rsidRPr="003B2D9A">
        <w:rPr>
          <w:rFonts w:cstheme="minorHAnsi"/>
        </w:rPr>
        <w:t>iscovery</w:t>
      </w:r>
    </w:p>
    <w:p w14:paraId="34F6FC3A" w14:textId="6F46C57E" w:rsidR="00D74378" w:rsidRDefault="00AC4943" w:rsidP="00523C32">
      <w:pPr>
        <w:spacing w:line="276" w:lineRule="auto"/>
        <w:jc w:val="both"/>
        <w:rPr>
          <w:rFonts w:cstheme="minorHAnsi"/>
        </w:rPr>
      </w:pPr>
      <w:sdt>
        <w:sdtPr>
          <w:rPr>
            <w:rFonts w:cstheme="minorHAnsi"/>
          </w:rPr>
          <w:id w:val="1446269374"/>
          <w:citation/>
        </w:sdtPr>
        <w:sdtEndPr/>
        <w:sdtContent>
          <w:r w:rsidR="00D74378">
            <w:rPr>
              <w:rFonts w:cstheme="minorHAnsi"/>
            </w:rPr>
            <w:fldChar w:fldCharType="begin"/>
          </w:r>
          <w:r w:rsidR="00D74378">
            <w:rPr>
              <w:rFonts w:cstheme="minorHAnsi"/>
              <w:lang w:val="en-US"/>
            </w:rPr>
            <w:instrText xml:space="preserve"> CITATION The231 \l 1033 </w:instrText>
          </w:r>
          <w:r w:rsidR="00D74378">
            <w:rPr>
              <w:rFonts w:cstheme="minorHAnsi"/>
            </w:rPr>
            <w:fldChar w:fldCharType="separate"/>
          </w:r>
          <w:r w:rsidR="009D2B16" w:rsidRPr="009D2B16">
            <w:rPr>
              <w:rFonts w:cstheme="minorHAnsi"/>
              <w:noProof/>
              <w:lang w:val="en-US"/>
            </w:rPr>
            <w:t>(The Big Picture (on behalf of Penderyn), 2023)</w:t>
          </w:r>
          <w:r w:rsidR="00D74378">
            <w:rPr>
              <w:rFonts w:cstheme="minorHAnsi"/>
            </w:rPr>
            <w:fldChar w:fldCharType="end"/>
          </w:r>
        </w:sdtContent>
      </w:sdt>
    </w:p>
    <w:p w14:paraId="1F2BBC76" w14:textId="6372B7CF" w:rsidR="00D74378" w:rsidRPr="003B2D9A" w:rsidRDefault="008571C4" w:rsidP="00523C32">
      <w:pPr>
        <w:spacing w:line="276" w:lineRule="auto"/>
        <w:jc w:val="both"/>
        <w:rPr>
          <w:rFonts w:cstheme="minorHAnsi"/>
        </w:rPr>
      </w:pPr>
      <w:r>
        <w:rPr>
          <w:noProof/>
        </w:rPr>
        <w:drawing>
          <wp:inline distT="0" distB="0" distL="0" distR="0" wp14:anchorId="3D457A30" wp14:editId="5D5EC180">
            <wp:extent cx="5731510" cy="3013710"/>
            <wp:effectExtent l="19050" t="19050" r="21590" b="15240"/>
            <wp:docPr id="10089976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997622" name=""/>
                    <pic:cNvPicPr/>
                  </pic:nvPicPr>
                  <pic:blipFill>
                    <a:blip r:embed="rId20"/>
                    <a:stretch>
                      <a:fillRect/>
                    </a:stretch>
                  </pic:blipFill>
                  <pic:spPr>
                    <a:xfrm>
                      <a:off x="0" y="0"/>
                      <a:ext cx="5731510" cy="3013710"/>
                    </a:xfrm>
                    <a:prstGeom prst="rect">
                      <a:avLst/>
                    </a:prstGeom>
                    <a:ln w="3175">
                      <a:solidFill>
                        <a:schemeClr val="tx1"/>
                      </a:solidFill>
                    </a:ln>
                  </pic:spPr>
                </pic:pic>
              </a:graphicData>
            </a:graphic>
          </wp:inline>
        </w:drawing>
      </w:r>
    </w:p>
    <w:p w14:paraId="1569C90C" w14:textId="4A576867" w:rsidR="00133EE5" w:rsidRPr="003B2D9A" w:rsidRDefault="00133EE5" w:rsidP="00523C32">
      <w:pPr>
        <w:spacing w:line="276" w:lineRule="auto"/>
        <w:jc w:val="both"/>
        <w:rPr>
          <w:rFonts w:cstheme="minorHAnsi"/>
        </w:rPr>
      </w:pPr>
      <w:r w:rsidRPr="003B2D9A">
        <w:rPr>
          <w:rFonts w:cstheme="minorHAnsi"/>
        </w:rPr>
        <w:t xml:space="preserve">Critically, the foundation segment also recognises that the more aware and involved a consumer becomes with a whisky brand, the more it ‘provides (them) the opportunity to give better/more informed gifts’ </w:t>
      </w:r>
      <w:sdt>
        <w:sdtPr>
          <w:rPr>
            <w:rFonts w:cstheme="minorHAnsi"/>
          </w:rPr>
          <w:id w:val="-2069795795"/>
          <w:citation/>
        </w:sdtPr>
        <w:sdtEndPr/>
        <w:sdtContent>
          <w:r w:rsidRPr="003B2D9A">
            <w:rPr>
              <w:rFonts w:cstheme="minorHAnsi"/>
            </w:rPr>
            <w:fldChar w:fldCharType="begin"/>
          </w:r>
          <w:r w:rsidRPr="003B2D9A">
            <w:rPr>
              <w:rFonts w:cstheme="minorHAnsi"/>
            </w:rPr>
            <w:instrText xml:space="preserve"> CITATION The231 \l 2057 </w:instrText>
          </w:r>
          <w:r w:rsidRPr="003B2D9A">
            <w:rPr>
              <w:rFonts w:cstheme="minorHAnsi"/>
            </w:rPr>
            <w:fldChar w:fldCharType="separate"/>
          </w:r>
          <w:r w:rsidR="009D2B16" w:rsidRPr="009D2B16">
            <w:rPr>
              <w:rFonts w:cstheme="minorHAnsi"/>
              <w:noProof/>
            </w:rPr>
            <w:t>(The Big Picture (on behalf of Penderyn), 2023)</w:t>
          </w:r>
          <w:r w:rsidRPr="003B2D9A">
            <w:rPr>
              <w:rFonts w:cstheme="minorHAnsi"/>
            </w:rPr>
            <w:fldChar w:fldCharType="end"/>
          </w:r>
        </w:sdtContent>
      </w:sdt>
      <w:r w:rsidRPr="003B2D9A">
        <w:rPr>
          <w:rFonts w:cstheme="minorHAnsi"/>
        </w:rPr>
        <w:t xml:space="preserve"> – in this way, then, the data strongly supports the notion that the positive experiences a consumer takes from the Visitor Centres will promote brand recall and subsequent brand preference when selecting gifts, building on the concepts of involvement theory discussed by, amongst others, </w:t>
      </w:r>
      <w:sdt>
        <w:sdtPr>
          <w:rPr>
            <w:rFonts w:cstheme="minorHAnsi"/>
          </w:rPr>
          <w:id w:val="-1145202224"/>
          <w:citation/>
        </w:sdtPr>
        <w:sdtEndPr/>
        <w:sdtContent>
          <w:r w:rsidRPr="003B2D9A">
            <w:rPr>
              <w:rFonts w:cstheme="minorHAnsi"/>
            </w:rPr>
            <w:fldChar w:fldCharType="begin"/>
          </w:r>
          <w:r w:rsidRPr="003B2D9A">
            <w:rPr>
              <w:rFonts w:cstheme="minorHAnsi"/>
            </w:rPr>
            <w:instrText xml:space="preserve"> CITATION Hel15 \l 2057 </w:instrText>
          </w:r>
          <w:r w:rsidRPr="003B2D9A">
            <w:rPr>
              <w:rFonts w:cstheme="minorHAnsi"/>
            </w:rPr>
            <w:fldChar w:fldCharType="separate"/>
          </w:r>
          <w:r w:rsidR="009D2B16" w:rsidRPr="009D2B16">
            <w:rPr>
              <w:rFonts w:cstheme="minorHAnsi"/>
              <w:noProof/>
            </w:rPr>
            <w:t>(Heller &amp; Kelly, 2015)</w:t>
          </w:r>
          <w:r w:rsidRPr="003B2D9A">
            <w:rPr>
              <w:rFonts w:cstheme="minorHAnsi"/>
            </w:rPr>
            <w:fldChar w:fldCharType="end"/>
          </w:r>
        </w:sdtContent>
      </w:sdt>
      <w:r w:rsidRPr="003B2D9A">
        <w:rPr>
          <w:rFonts w:cstheme="minorHAnsi"/>
        </w:rPr>
        <w:t>. Likewise, the same data determines that, when a consumer is purchasing whisky as a gift, ‘</w:t>
      </w:r>
      <w:proofErr w:type="gramStart"/>
      <w:r w:rsidRPr="003B2D9A">
        <w:rPr>
          <w:rFonts w:cstheme="minorHAnsi"/>
        </w:rPr>
        <w:t>it’s</w:t>
      </w:r>
      <w:proofErr w:type="gramEnd"/>
      <w:r w:rsidRPr="003B2D9A">
        <w:rPr>
          <w:rFonts w:cstheme="minorHAnsi"/>
        </w:rPr>
        <w:t xml:space="preserve"> important to be super-clear on… - What it is that makes a whisky special, particularly characteristics/profile…Offer something to ‘buy into</w:t>
      </w:r>
      <w:proofErr w:type="gramStart"/>
      <w:r w:rsidRPr="003B2D9A">
        <w:rPr>
          <w:rFonts w:cstheme="minorHAnsi"/>
        </w:rPr>
        <w:t>’,</w:t>
      </w:r>
      <w:proofErr w:type="gramEnd"/>
      <w:r w:rsidRPr="003B2D9A">
        <w:rPr>
          <w:rFonts w:cstheme="minorHAnsi"/>
        </w:rPr>
        <w:t xml:space="preserve"> like representing Wales and/or being a new region’ – the Penderyn Visitor Centres hit this objective every time; the entire brand story of Penderyn is centred around what makes that product special and unique, from the unique Faraday stills to the synergy with Welsh gold, and, again, the ‘terroir’, or ‘Welshness’ of the products is a cornerstone of the brand.</w:t>
      </w:r>
    </w:p>
    <w:p w14:paraId="165299F8" w14:textId="213C2D36" w:rsidR="00133EE5" w:rsidRPr="003B2D9A" w:rsidRDefault="00133EE5" w:rsidP="00523C32">
      <w:pPr>
        <w:spacing w:line="276" w:lineRule="auto"/>
        <w:jc w:val="both"/>
        <w:rPr>
          <w:rFonts w:cstheme="minorHAnsi"/>
        </w:rPr>
      </w:pPr>
      <w:r w:rsidRPr="003B2D9A">
        <w:rPr>
          <w:rFonts w:cstheme="minorHAnsi"/>
        </w:rPr>
        <w:t xml:space="preserve">Further on in this study, the data indicates that ‘very few had experienced the (Welsh) whisky before, but those who had felt positively’ </w:t>
      </w:r>
      <w:sdt>
        <w:sdtPr>
          <w:rPr>
            <w:rFonts w:cstheme="minorHAnsi"/>
          </w:rPr>
          <w:id w:val="1041713753"/>
          <w:citation/>
        </w:sdtPr>
        <w:sdtEndPr/>
        <w:sdtContent>
          <w:r w:rsidRPr="003B2D9A">
            <w:rPr>
              <w:rFonts w:cstheme="minorHAnsi"/>
            </w:rPr>
            <w:fldChar w:fldCharType="begin"/>
          </w:r>
          <w:r w:rsidRPr="003B2D9A">
            <w:rPr>
              <w:rFonts w:cstheme="minorHAnsi"/>
            </w:rPr>
            <w:instrText xml:space="preserve"> CITATION The231 \l 2057 </w:instrText>
          </w:r>
          <w:r w:rsidRPr="003B2D9A">
            <w:rPr>
              <w:rFonts w:cstheme="minorHAnsi"/>
            </w:rPr>
            <w:fldChar w:fldCharType="separate"/>
          </w:r>
          <w:r w:rsidR="009D2B16" w:rsidRPr="009D2B16">
            <w:rPr>
              <w:rFonts w:cstheme="minorHAnsi"/>
              <w:noProof/>
            </w:rPr>
            <w:t>(The Big Picture (on behalf of Penderyn), 2023)</w:t>
          </w:r>
          <w:r w:rsidRPr="003B2D9A">
            <w:rPr>
              <w:rFonts w:cstheme="minorHAnsi"/>
            </w:rPr>
            <w:fldChar w:fldCharType="end"/>
          </w:r>
        </w:sdtContent>
      </w:sdt>
      <w:r w:rsidRPr="003B2D9A">
        <w:rPr>
          <w:rFonts w:cstheme="minorHAnsi"/>
        </w:rPr>
        <w:t xml:space="preserve"> – i.e. that the biggest hurdle on the way to brand awareness, and then brand loyalty, for Penderyn was in actually getting consumers to take notice of it in the first place. Whilst this supports the work of the Penderyn Visitor Centres in that they provide spaces for strangers to the brand to try for the first time, and to absorb the on-brand information to set them on their way, it does highlight a limitation to the facilities; those who </w:t>
      </w:r>
      <w:r w:rsidR="00523C32" w:rsidRPr="003B2D9A">
        <w:rPr>
          <w:rFonts w:cstheme="minorHAnsi"/>
        </w:rPr>
        <w:t>are not</w:t>
      </w:r>
      <w:r w:rsidRPr="003B2D9A">
        <w:rPr>
          <w:rFonts w:cstheme="minorHAnsi"/>
        </w:rPr>
        <w:t xml:space="preserve"> whisky drinkers, or those who have an unshakeable opinion on what whisky should be (i.e. Scotch) are unlikely to visit. It must be acknowledged, then, that the value of the Visitors Centres is somewhat limited to those consumers (or potential consumers) who have actively chosen to visit in the first place, and so whom are most likely to be already impressionable to Penderyn.</w:t>
      </w:r>
    </w:p>
    <w:p w14:paraId="79E972F1" w14:textId="3C3B5E59" w:rsidR="00133EE5" w:rsidRPr="003B2D9A" w:rsidRDefault="00133EE5" w:rsidP="00523C32">
      <w:pPr>
        <w:spacing w:line="276" w:lineRule="auto"/>
        <w:jc w:val="both"/>
        <w:rPr>
          <w:rFonts w:cstheme="minorHAnsi"/>
        </w:rPr>
      </w:pPr>
      <w:r w:rsidRPr="003B2D9A">
        <w:rPr>
          <w:rFonts w:cstheme="minorHAnsi"/>
        </w:rPr>
        <w:lastRenderedPageBreak/>
        <w:t xml:space="preserve">Finally, later feedback suggests that there is a value to Penderyn in having Visitor Centres in that they help to cement its position as the prominent brand in the emerging ‘Welsh Whisky’ category – there is a ‘potential to use this to take ownership of Welshness’, that is to say, by having these facilities, and the teams within them to deliver the on-brand Penderyn message in a fully immersive way, right at the start of the Welsh Whisky movement, Penderyn is getting to set the stage for how it wants Welsh Whisky to be portrayed and perceived – to suit its own strategy… ‘there’s scope for Penderyn to be synonymous with Welsh whisky’ </w:t>
      </w:r>
      <w:sdt>
        <w:sdtPr>
          <w:rPr>
            <w:rFonts w:cstheme="minorHAnsi"/>
          </w:rPr>
          <w:id w:val="1800802234"/>
          <w:citation/>
        </w:sdtPr>
        <w:sdtEndPr/>
        <w:sdtContent>
          <w:r w:rsidRPr="003B2D9A">
            <w:rPr>
              <w:rFonts w:cstheme="minorHAnsi"/>
            </w:rPr>
            <w:fldChar w:fldCharType="begin"/>
          </w:r>
          <w:r w:rsidRPr="003B2D9A">
            <w:rPr>
              <w:rFonts w:cstheme="minorHAnsi"/>
            </w:rPr>
            <w:instrText xml:space="preserve"> CITATION The231 \l 2057 </w:instrText>
          </w:r>
          <w:r w:rsidRPr="003B2D9A">
            <w:rPr>
              <w:rFonts w:cstheme="minorHAnsi"/>
            </w:rPr>
            <w:fldChar w:fldCharType="separate"/>
          </w:r>
          <w:r w:rsidR="009D2B16" w:rsidRPr="009D2B16">
            <w:rPr>
              <w:rFonts w:cstheme="minorHAnsi"/>
              <w:noProof/>
            </w:rPr>
            <w:t>(The Big Picture (on behalf of Penderyn), 2023)</w:t>
          </w:r>
          <w:r w:rsidRPr="003B2D9A">
            <w:rPr>
              <w:rFonts w:cstheme="minorHAnsi"/>
            </w:rPr>
            <w:fldChar w:fldCharType="end"/>
          </w:r>
        </w:sdtContent>
      </w:sdt>
      <w:r w:rsidRPr="003B2D9A">
        <w:rPr>
          <w:rFonts w:cstheme="minorHAnsi"/>
        </w:rPr>
        <w:t>. This is incredibly powerful, and Penderyn recognises this and the impact on driving the brand forward in the coming years as more Welsh whisky distilleries begin appearing.</w:t>
      </w:r>
    </w:p>
    <w:p w14:paraId="0BEB7C11" w14:textId="2B093345" w:rsidR="00133EE5" w:rsidRDefault="00133EE5" w:rsidP="00523C32">
      <w:pPr>
        <w:spacing w:line="276" w:lineRule="auto"/>
        <w:jc w:val="both"/>
        <w:rPr>
          <w:rFonts w:cstheme="minorHAnsi"/>
        </w:rPr>
      </w:pPr>
      <w:r w:rsidRPr="003B2D9A">
        <w:rPr>
          <w:rFonts w:cstheme="minorHAnsi"/>
        </w:rPr>
        <w:t>The ‘positioning framework – customer viewpoint’</w:t>
      </w:r>
      <w:r w:rsidR="00F16A1A">
        <w:rPr>
          <w:rFonts w:cstheme="minorHAnsi"/>
        </w:rPr>
        <w:t xml:space="preserve"> (figure 5.1.6)</w:t>
      </w:r>
      <w:r w:rsidRPr="003B2D9A">
        <w:rPr>
          <w:rFonts w:cstheme="minorHAnsi"/>
        </w:rPr>
        <w:t xml:space="preserve"> clearly outlines those key messages that are critical to pass on to consumers to build brand </w:t>
      </w:r>
      <w:r w:rsidR="00F16A1A">
        <w:rPr>
          <w:rFonts w:cstheme="minorHAnsi"/>
        </w:rPr>
        <w:t>awareness and subsequent affinity</w:t>
      </w:r>
      <w:r w:rsidRPr="003B2D9A">
        <w:rPr>
          <w:rFonts w:cstheme="minorHAnsi"/>
        </w:rPr>
        <w:t xml:space="preserve"> – but clearly these messages are too long-winded to portray on supermarket shelves or bar shelves, so the only strong, focussed way in which to convey these messages is in direct, prolonged, face to face contact with consumers – afforded primarily by the Visitor Centre experience.</w:t>
      </w:r>
    </w:p>
    <w:p w14:paraId="04573F92" w14:textId="4D40A0BA" w:rsidR="00F16A1A" w:rsidRDefault="00F16A1A" w:rsidP="00523C32">
      <w:pPr>
        <w:spacing w:line="276" w:lineRule="auto"/>
        <w:jc w:val="both"/>
        <w:rPr>
          <w:rFonts w:cstheme="minorHAnsi"/>
        </w:rPr>
      </w:pPr>
      <w:r>
        <w:rPr>
          <w:rFonts w:cstheme="minorHAnsi"/>
        </w:rPr>
        <w:t>Figure 5.1.6 – Positioning framework – customer viewpoint</w:t>
      </w:r>
    </w:p>
    <w:p w14:paraId="41A5E98B" w14:textId="4815190A" w:rsidR="00F16A1A" w:rsidRDefault="00AC4943" w:rsidP="00523C32">
      <w:pPr>
        <w:spacing w:line="276" w:lineRule="auto"/>
        <w:jc w:val="both"/>
        <w:rPr>
          <w:rFonts w:cstheme="minorHAnsi"/>
        </w:rPr>
      </w:pPr>
      <w:sdt>
        <w:sdtPr>
          <w:rPr>
            <w:rFonts w:cstheme="minorHAnsi"/>
          </w:rPr>
          <w:id w:val="-1796595135"/>
          <w:citation/>
        </w:sdtPr>
        <w:sdtEndPr/>
        <w:sdtContent>
          <w:r w:rsidR="00F16A1A">
            <w:rPr>
              <w:rFonts w:cstheme="minorHAnsi"/>
            </w:rPr>
            <w:fldChar w:fldCharType="begin"/>
          </w:r>
          <w:r w:rsidR="00F16A1A">
            <w:rPr>
              <w:rFonts w:cstheme="minorHAnsi"/>
              <w:lang w:val="en-US"/>
            </w:rPr>
            <w:instrText xml:space="preserve"> CITATION The231 \l 1033 </w:instrText>
          </w:r>
          <w:r w:rsidR="00F16A1A">
            <w:rPr>
              <w:rFonts w:cstheme="minorHAnsi"/>
            </w:rPr>
            <w:fldChar w:fldCharType="separate"/>
          </w:r>
          <w:r w:rsidR="009D2B16" w:rsidRPr="009D2B16">
            <w:rPr>
              <w:rFonts w:cstheme="minorHAnsi"/>
              <w:noProof/>
              <w:lang w:val="en-US"/>
            </w:rPr>
            <w:t>(The Big Picture (on behalf of Penderyn), 2023)</w:t>
          </w:r>
          <w:r w:rsidR="00F16A1A">
            <w:rPr>
              <w:rFonts w:cstheme="minorHAnsi"/>
            </w:rPr>
            <w:fldChar w:fldCharType="end"/>
          </w:r>
        </w:sdtContent>
      </w:sdt>
    </w:p>
    <w:p w14:paraId="372CE917" w14:textId="1E1F4D97" w:rsidR="00F16A1A" w:rsidRPr="003B2D9A" w:rsidRDefault="00F16A1A" w:rsidP="00523C32">
      <w:pPr>
        <w:spacing w:line="276" w:lineRule="auto"/>
        <w:jc w:val="both"/>
        <w:rPr>
          <w:rFonts w:cstheme="minorHAnsi"/>
        </w:rPr>
      </w:pPr>
      <w:r>
        <w:rPr>
          <w:noProof/>
        </w:rPr>
        <w:drawing>
          <wp:inline distT="0" distB="0" distL="0" distR="0" wp14:anchorId="31F04CA8" wp14:editId="6B2A0B03">
            <wp:extent cx="5731510" cy="3099435"/>
            <wp:effectExtent l="19050" t="19050" r="21590" b="24765"/>
            <wp:docPr id="6562548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6254828" name=""/>
                    <pic:cNvPicPr/>
                  </pic:nvPicPr>
                  <pic:blipFill>
                    <a:blip r:embed="rId21"/>
                    <a:stretch>
                      <a:fillRect/>
                    </a:stretch>
                  </pic:blipFill>
                  <pic:spPr>
                    <a:xfrm>
                      <a:off x="0" y="0"/>
                      <a:ext cx="5731510" cy="3099435"/>
                    </a:xfrm>
                    <a:prstGeom prst="rect">
                      <a:avLst/>
                    </a:prstGeom>
                    <a:ln w="3175">
                      <a:solidFill>
                        <a:schemeClr val="tx1"/>
                      </a:solidFill>
                    </a:ln>
                  </pic:spPr>
                </pic:pic>
              </a:graphicData>
            </a:graphic>
          </wp:inline>
        </w:drawing>
      </w:r>
    </w:p>
    <w:p w14:paraId="72807BC3" w14:textId="77777777" w:rsidR="00133EE5" w:rsidRPr="003B2D9A" w:rsidRDefault="00133EE5" w:rsidP="00523C32">
      <w:pPr>
        <w:spacing w:line="276" w:lineRule="auto"/>
        <w:rPr>
          <w:rFonts w:cstheme="minorHAnsi"/>
        </w:rPr>
      </w:pPr>
    </w:p>
    <w:p w14:paraId="136B6C81" w14:textId="78EC8A81" w:rsidR="00133EE5" w:rsidRPr="00F16A1A" w:rsidRDefault="00133EE5" w:rsidP="00F16A1A">
      <w:pPr>
        <w:pStyle w:val="Heading2"/>
        <w:spacing w:line="360" w:lineRule="auto"/>
        <w:rPr>
          <w:b/>
          <w:bCs/>
          <w:color w:val="auto"/>
          <w:sz w:val="24"/>
          <w:szCs w:val="24"/>
        </w:rPr>
      </w:pPr>
      <w:bookmarkStart w:id="33" w:name="_Toc160624599"/>
      <w:r w:rsidRPr="00523C32">
        <w:rPr>
          <w:b/>
          <w:bCs/>
          <w:color w:val="auto"/>
          <w:sz w:val="24"/>
          <w:szCs w:val="24"/>
        </w:rPr>
        <w:t>5.2</w:t>
      </w:r>
      <w:r w:rsidRPr="00523C32">
        <w:rPr>
          <w:b/>
          <w:bCs/>
          <w:color w:val="auto"/>
          <w:sz w:val="24"/>
          <w:szCs w:val="24"/>
        </w:rPr>
        <w:tab/>
      </w:r>
      <w:r w:rsidR="003B2D9A" w:rsidRPr="00523C32">
        <w:rPr>
          <w:b/>
          <w:bCs/>
          <w:color w:val="auto"/>
          <w:sz w:val="24"/>
          <w:szCs w:val="24"/>
        </w:rPr>
        <w:t>DATA SET 2</w:t>
      </w:r>
      <w:r w:rsidRPr="00523C32">
        <w:rPr>
          <w:b/>
          <w:bCs/>
          <w:color w:val="auto"/>
          <w:sz w:val="24"/>
          <w:szCs w:val="24"/>
        </w:rPr>
        <w:t xml:space="preserve">: </w:t>
      </w:r>
      <w:r w:rsidR="003B2D9A" w:rsidRPr="00523C32">
        <w:rPr>
          <w:b/>
          <w:bCs/>
          <w:color w:val="auto"/>
          <w:sz w:val="24"/>
          <w:szCs w:val="24"/>
        </w:rPr>
        <w:t>PENDERYN CUSTOMER EXPERIENCE SURVEYS</w:t>
      </w:r>
      <w:bookmarkEnd w:id="33"/>
    </w:p>
    <w:p w14:paraId="7E8091CF" w14:textId="36570B19" w:rsidR="00133EE5" w:rsidRDefault="00133EE5" w:rsidP="00523C32">
      <w:pPr>
        <w:spacing w:line="276" w:lineRule="auto"/>
        <w:jc w:val="both"/>
        <w:rPr>
          <w:rFonts w:cstheme="minorHAnsi"/>
        </w:rPr>
      </w:pPr>
      <w:r w:rsidRPr="003B2D9A">
        <w:rPr>
          <w:rFonts w:cstheme="minorHAnsi"/>
        </w:rPr>
        <w:t>For the period considered (October through to December, inclusive, 2023), Penderyn achieved an NPS (Net Promoter Score – an indication of how satisfied a customer was with an experience or service, and thus how likely they are to recommend the provider to others, thereby essentially giving an insight into their loyalty to the brand) of 98%, against a sector average (Wales) of 33%,</w:t>
      </w:r>
      <w:r w:rsidR="00F16A1A">
        <w:rPr>
          <w:rFonts w:cstheme="minorHAnsi"/>
        </w:rPr>
        <w:t xml:space="preserve"> (figure 5.2.1)</w:t>
      </w:r>
      <w:r w:rsidRPr="003B2D9A">
        <w:rPr>
          <w:rFonts w:cstheme="minorHAnsi"/>
        </w:rPr>
        <w:t xml:space="preserve"> demonstrating that almost every visitor attending one of the centres experiences the positive emotions discussed by </w:t>
      </w:r>
      <w:sdt>
        <w:sdtPr>
          <w:rPr>
            <w:rFonts w:cstheme="minorHAnsi"/>
          </w:rPr>
          <w:id w:val="-688057406"/>
          <w:citation/>
        </w:sdtPr>
        <w:sdtEndPr/>
        <w:sdtContent>
          <w:r w:rsidRPr="003B2D9A">
            <w:rPr>
              <w:rFonts w:cstheme="minorHAnsi"/>
            </w:rPr>
            <w:fldChar w:fldCharType="begin"/>
          </w:r>
          <w:r w:rsidRPr="003B2D9A">
            <w:rPr>
              <w:rFonts w:cstheme="minorHAnsi"/>
            </w:rPr>
            <w:instrText xml:space="preserve"> CITATION Pik07 \l 2057 </w:instrText>
          </w:r>
          <w:r w:rsidRPr="003B2D9A">
            <w:rPr>
              <w:rFonts w:cstheme="minorHAnsi"/>
            </w:rPr>
            <w:fldChar w:fldCharType="separate"/>
          </w:r>
          <w:r w:rsidR="009D2B16" w:rsidRPr="009D2B16">
            <w:rPr>
              <w:rFonts w:cstheme="minorHAnsi"/>
              <w:noProof/>
            </w:rPr>
            <w:t>(Pike, 2007)</w:t>
          </w:r>
          <w:r w:rsidRPr="003B2D9A">
            <w:rPr>
              <w:rFonts w:cstheme="minorHAnsi"/>
            </w:rPr>
            <w:fldChar w:fldCharType="end"/>
          </w:r>
        </w:sdtContent>
      </w:sdt>
      <w:r w:rsidRPr="003B2D9A">
        <w:rPr>
          <w:rFonts w:cstheme="minorHAnsi"/>
        </w:rPr>
        <w:t xml:space="preserve"> and </w:t>
      </w:r>
      <w:sdt>
        <w:sdtPr>
          <w:rPr>
            <w:rFonts w:cstheme="minorHAnsi"/>
          </w:rPr>
          <w:id w:val="1056428198"/>
          <w:citation/>
        </w:sdtPr>
        <w:sdtEndPr/>
        <w:sdtContent>
          <w:r w:rsidRPr="003B2D9A">
            <w:rPr>
              <w:rFonts w:cstheme="minorHAnsi"/>
            </w:rPr>
            <w:fldChar w:fldCharType="begin"/>
          </w:r>
          <w:r w:rsidRPr="003B2D9A">
            <w:rPr>
              <w:rFonts w:cstheme="minorHAnsi"/>
            </w:rPr>
            <w:instrText xml:space="preserve"> CITATION Kot13 \l 2057 </w:instrText>
          </w:r>
          <w:r w:rsidRPr="003B2D9A">
            <w:rPr>
              <w:rFonts w:cstheme="minorHAnsi"/>
            </w:rPr>
            <w:fldChar w:fldCharType="separate"/>
          </w:r>
          <w:r w:rsidR="009D2B16" w:rsidRPr="009D2B16">
            <w:rPr>
              <w:rFonts w:cstheme="minorHAnsi"/>
              <w:noProof/>
            </w:rPr>
            <w:t>(Kotler, et al., 2013)</w:t>
          </w:r>
          <w:r w:rsidRPr="003B2D9A">
            <w:rPr>
              <w:rFonts w:cstheme="minorHAnsi"/>
            </w:rPr>
            <w:fldChar w:fldCharType="end"/>
          </w:r>
        </w:sdtContent>
      </w:sdt>
      <w:r w:rsidRPr="003B2D9A">
        <w:rPr>
          <w:rFonts w:cstheme="minorHAnsi"/>
        </w:rPr>
        <w:t xml:space="preserve">, and that these visitors are ‘promoters’, </w:t>
      </w:r>
      <w:r w:rsidRPr="003B2D9A">
        <w:rPr>
          <w:rFonts w:cstheme="minorHAnsi"/>
        </w:rPr>
        <w:lastRenderedPageBreak/>
        <w:t>i.e. will then promote brand awareness – thus achieving Penderyn’s aim that every visitor should leave as a brand ambassador.</w:t>
      </w:r>
    </w:p>
    <w:p w14:paraId="419FB4F5" w14:textId="57FEFB50" w:rsidR="00F16A1A" w:rsidRDefault="00F16A1A" w:rsidP="00523C32">
      <w:pPr>
        <w:spacing w:line="276" w:lineRule="auto"/>
        <w:jc w:val="both"/>
        <w:rPr>
          <w:rFonts w:cstheme="minorHAnsi"/>
        </w:rPr>
      </w:pPr>
      <w:r>
        <w:rPr>
          <w:rFonts w:cstheme="minorHAnsi"/>
        </w:rPr>
        <w:t xml:space="preserve">Figure 5.2.1 – Net promoter scores </w:t>
      </w:r>
      <w:sdt>
        <w:sdtPr>
          <w:rPr>
            <w:rFonts w:cstheme="minorHAnsi"/>
          </w:rPr>
          <w:id w:val="2103912365"/>
          <w:citation/>
        </w:sdtPr>
        <w:sdtEndPr/>
        <w:sdtContent>
          <w:r>
            <w:rPr>
              <w:rFonts w:cstheme="minorHAnsi"/>
            </w:rPr>
            <w:fldChar w:fldCharType="begin"/>
          </w:r>
          <w:r>
            <w:rPr>
              <w:rFonts w:cstheme="minorHAnsi"/>
              <w:lang w:val="en-US"/>
            </w:rPr>
            <w:instrText xml:space="preserve"> CITATION Ins24 \l 1033 </w:instrText>
          </w:r>
          <w:r>
            <w:rPr>
              <w:rFonts w:cstheme="minorHAnsi"/>
            </w:rPr>
            <w:fldChar w:fldCharType="separate"/>
          </w:r>
          <w:r w:rsidR="009D2B16" w:rsidRPr="009D2B16">
            <w:rPr>
              <w:rFonts w:cstheme="minorHAnsi"/>
              <w:noProof/>
              <w:lang w:val="en-US"/>
            </w:rPr>
            <w:t>(Insight6, 2024)</w:t>
          </w:r>
          <w:r>
            <w:rPr>
              <w:rFonts w:cstheme="minorHAnsi"/>
            </w:rPr>
            <w:fldChar w:fldCharType="end"/>
          </w:r>
        </w:sdtContent>
      </w:sdt>
    </w:p>
    <w:p w14:paraId="1099038B" w14:textId="49E5D7CB" w:rsidR="00F16A1A" w:rsidRPr="003B2D9A" w:rsidRDefault="00352C0E" w:rsidP="00523C32">
      <w:pPr>
        <w:spacing w:line="276" w:lineRule="auto"/>
        <w:jc w:val="both"/>
        <w:rPr>
          <w:rFonts w:cstheme="minorHAnsi"/>
        </w:rPr>
      </w:pPr>
      <w:r>
        <w:rPr>
          <w:noProof/>
        </w:rPr>
        <w:drawing>
          <wp:inline distT="0" distB="0" distL="0" distR="0" wp14:anchorId="119471E6" wp14:editId="0BED901D">
            <wp:extent cx="5731510" cy="2621280"/>
            <wp:effectExtent l="19050" t="19050" r="21590" b="26670"/>
            <wp:docPr id="19026929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2692971" name=""/>
                    <pic:cNvPicPr/>
                  </pic:nvPicPr>
                  <pic:blipFill>
                    <a:blip r:embed="rId22"/>
                    <a:stretch>
                      <a:fillRect/>
                    </a:stretch>
                  </pic:blipFill>
                  <pic:spPr>
                    <a:xfrm>
                      <a:off x="0" y="0"/>
                      <a:ext cx="5731510" cy="2621280"/>
                    </a:xfrm>
                    <a:prstGeom prst="rect">
                      <a:avLst/>
                    </a:prstGeom>
                    <a:ln w="3175">
                      <a:solidFill>
                        <a:schemeClr val="tx1"/>
                      </a:solidFill>
                    </a:ln>
                  </pic:spPr>
                </pic:pic>
              </a:graphicData>
            </a:graphic>
          </wp:inline>
        </w:drawing>
      </w:r>
    </w:p>
    <w:p w14:paraId="2566A49E" w14:textId="68070E91" w:rsidR="00047316" w:rsidRDefault="00133EE5" w:rsidP="00523C32">
      <w:pPr>
        <w:spacing w:line="276" w:lineRule="auto"/>
        <w:jc w:val="both"/>
        <w:rPr>
          <w:rFonts w:cstheme="minorHAnsi"/>
        </w:rPr>
      </w:pPr>
      <w:r w:rsidRPr="003B2D9A">
        <w:rPr>
          <w:rFonts w:cstheme="minorHAnsi"/>
        </w:rPr>
        <w:t>A significant number – 67.5% - of responses to this survey specifically referenced the depth of knowledge or technical insight shared with them as being one of the reasons for their score</w:t>
      </w:r>
      <w:r w:rsidR="006067B5">
        <w:rPr>
          <w:rFonts w:cstheme="minorHAnsi"/>
        </w:rPr>
        <w:t>s (</w:t>
      </w:r>
      <w:r w:rsidR="006067B5" w:rsidRPr="00047316">
        <w:rPr>
          <w:rFonts w:cstheme="minorHAnsi"/>
        </w:rPr>
        <w:t>verified through linked keywords to account for individual variability in descriptions)</w:t>
      </w:r>
      <w:r w:rsidRPr="00047316">
        <w:rPr>
          <w:rFonts w:cstheme="minorHAnsi"/>
        </w:rPr>
        <w:t>,</w:t>
      </w:r>
      <w:r w:rsidRPr="003B2D9A">
        <w:rPr>
          <w:rFonts w:cstheme="minorHAnsi"/>
        </w:rPr>
        <w:t xml:space="preserve"> correlating the findings of the market research study discussed in section 5.1, and reinforcing the positive impact upon brand perception</w:t>
      </w:r>
      <w:r w:rsidR="006067B5">
        <w:rPr>
          <w:rFonts w:cstheme="minorHAnsi"/>
        </w:rPr>
        <w:t xml:space="preserve"> (data illustrated in figure 5.2.2).</w:t>
      </w:r>
    </w:p>
    <w:p w14:paraId="06AE4E86" w14:textId="67FBB5FE" w:rsidR="00133EE5" w:rsidRDefault="00047316" w:rsidP="0032092B">
      <w:pPr>
        <w:rPr>
          <w:rFonts w:cstheme="minorHAnsi"/>
        </w:rPr>
      </w:pPr>
      <w:r>
        <w:rPr>
          <w:rFonts w:cstheme="minorHAnsi"/>
        </w:rPr>
        <w:br w:type="page"/>
      </w:r>
    </w:p>
    <w:p w14:paraId="58C61965" w14:textId="503B4046" w:rsidR="006067B5" w:rsidRPr="00047316" w:rsidRDefault="006067B5" w:rsidP="00523C32">
      <w:pPr>
        <w:spacing w:line="276" w:lineRule="auto"/>
        <w:jc w:val="both"/>
        <w:rPr>
          <w:rFonts w:cstheme="minorHAnsi"/>
        </w:rPr>
      </w:pPr>
      <w:r w:rsidRPr="00047316">
        <w:rPr>
          <w:rFonts w:cstheme="minorHAnsi"/>
        </w:rPr>
        <w:lastRenderedPageBreak/>
        <w:t xml:space="preserve">Figure 5.2.2 </w:t>
      </w:r>
      <w:r w:rsidR="009D2DF8" w:rsidRPr="00047316">
        <w:rPr>
          <w:rFonts w:cstheme="minorHAnsi"/>
        </w:rPr>
        <w:t>– Linked keywords used in qualitative feedback</w:t>
      </w:r>
      <w:r w:rsidR="00047316" w:rsidRPr="00047316">
        <w:rPr>
          <w:rFonts w:cstheme="minorHAnsi"/>
        </w:rPr>
        <w:t xml:space="preserve"> &amp; attributing of experience outcome/quality to individual staff member (names redacted to maintain anonymity)</w:t>
      </w:r>
    </w:p>
    <w:p w14:paraId="5CEE02B5" w14:textId="27007C92" w:rsidR="009D2DF8" w:rsidRDefault="00AC4943" w:rsidP="00523C32">
      <w:pPr>
        <w:spacing w:line="276" w:lineRule="auto"/>
        <w:jc w:val="both"/>
        <w:rPr>
          <w:rFonts w:cstheme="minorHAnsi"/>
        </w:rPr>
      </w:pPr>
      <w:sdt>
        <w:sdtPr>
          <w:rPr>
            <w:rFonts w:cstheme="minorHAnsi"/>
          </w:rPr>
          <w:id w:val="-1962326740"/>
          <w:citation/>
        </w:sdtPr>
        <w:sdtEndPr/>
        <w:sdtContent>
          <w:r w:rsidR="009D2DF8" w:rsidRPr="00047316">
            <w:rPr>
              <w:rFonts w:cstheme="minorHAnsi"/>
            </w:rPr>
            <w:fldChar w:fldCharType="begin"/>
          </w:r>
          <w:r w:rsidR="009D2DF8" w:rsidRPr="00047316">
            <w:rPr>
              <w:rFonts w:cstheme="minorHAnsi"/>
              <w:lang w:val="en-US"/>
            </w:rPr>
            <w:instrText xml:space="preserve"> CITATION Ins24 \l 1033 </w:instrText>
          </w:r>
          <w:r w:rsidR="009D2DF8" w:rsidRPr="00047316">
            <w:rPr>
              <w:rFonts w:cstheme="minorHAnsi"/>
            </w:rPr>
            <w:fldChar w:fldCharType="separate"/>
          </w:r>
          <w:r w:rsidR="009D2B16" w:rsidRPr="009D2B16">
            <w:rPr>
              <w:rFonts w:cstheme="minorHAnsi"/>
              <w:noProof/>
              <w:lang w:val="en-US"/>
            </w:rPr>
            <w:t>(Insight6, 2024)</w:t>
          </w:r>
          <w:r w:rsidR="009D2DF8" w:rsidRPr="00047316">
            <w:rPr>
              <w:rFonts w:cstheme="minorHAnsi"/>
            </w:rPr>
            <w:fldChar w:fldCharType="end"/>
          </w:r>
        </w:sdtContent>
      </w:sdt>
    </w:p>
    <w:tbl>
      <w:tblPr>
        <w:tblStyle w:val="TableGrid"/>
        <w:tblW w:w="0" w:type="auto"/>
        <w:tblLook w:val="04A0" w:firstRow="1" w:lastRow="0" w:firstColumn="1" w:lastColumn="0" w:noHBand="0" w:noVBand="1"/>
      </w:tblPr>
      <w:tblGrid>
        <w:gridCol w:w="1200"/>
        <w:gridCol w:w="7816"/>
      </w:tblGrid>
      <w:tr w:rsidR="00047316" w:rsidRPr="00E16179" w14:paraId="185C266E" w14:textId="77777777" w:rsidTr="00EA4B74">
        <w:trPr>
          <w:trHeight w:val="300"/>
        </w:trPr>
        <w:tc>
          <w:tcPr>
            <w:tcW w:w="1200" w:type="dxa"/>
            <w:noWrap/>
            <w:hideMark/>
          </w:tcPr>
          <w:p w14:paraId="6F932CB9" w14:textId="77777777" w:rsidR="00047316" w:rsidRPr="00E16179" w:rsidRDefault="00047316" w:rsidP="00EA4B74">
            <w:pPr>
              <w:jc w:val="center"/>
              <w:rPr>
                <w:rFonts w:eastAsia="Times New Roman" w:cstheme="minorHAnsi"/>
                <w:b/>
                <w:bCs/>
                <w:color w:val="000000"/>
                <w:kern w:val="0"/>
                <w:lang w:eastAsia="en-GB"/>
                <w14:ligatures w14:val="none"/>
              </w:rPr>
            </w:pPr>
            <w:r w:rsidRPr="00E16179">
              <w:rPr>
                <w:rFonts w:eastAsia="Times New Roman" w:cstheme="minorHAnsi"/>
                <w:b/>
                <w:bCs/>
                <w:color w:val="000000"/>
                <w:kern w:val="0"/>
                <w:lang w:eastAsia="en-GB"/>
                <w14:ligatures w14:val="none"/>
              </w:rPr>
              <w:t>Location</w:t>
            </w:r>
          </w:p>
        </w:tc>
        <w:tc>
          <w:tcPr>
            <w:tcW w:w="7816" w:type="dxa"/>
            <w:noWrap/>
            <w:hideMark/>
          </w:tcPr>
          <w:p w14:paraId="7C27A7C5" w14:textId="77777777" w:rsidR="00047316" w:rsidRPr="00E16179" w:rsidRDefault="00047316" w:rsidP="00EA4B74">
            <w:pPr>
              <w:jc w:val="center"/>
              <w:rPr>
                <w:rFonts w:eastAsia="Times New Roman" w:cstheme="minorHAnsi"/>
                <w:b/>
                <w:bCs/>
                <w:color w:val="000000"/>
                <w:kern w:val="0"/>
                <w:lang w:eastAsia="en-GB"/>
                <w14:ligatures w14:val="none"/>
              </w:rPr>
            </w:pPr>
            <w:r w:rsidRPr="00E16179">
              <w:rPr>
                <w:rFonts w:eastAsia="Times New Roman" w:cstheme="minorHAnsi"/>
                <w:b/>
                <w:bCs/>
                <w:color w:val="000000"/>
                <w:kern w:val="0"/>
                <w:lang w:eastAsia="en-GB"/>
                <w14:ligatures w14:val="none"/>
              </w:rPr>
              <w:t>Comment</w:t>
            </w:r>
          </w:p>
        </w:tc>
      </w:tr>
      <w:tr w:rsidR="00047316" w:rsidRPr="00E16179" w14:paraId="6B96455B" w14:textId="77777777" w:rsidTr="00EA4B74">
        <w:trPr>
          <w:trHeight w:val="300"/>
        </w:trPr>
        <w:tc>
          <w:tcPr>
            <w:tcW w:w="1200" w:type="dxa"/>
            <w:noWrap/>
            <w:hideMark/>
          </w:tcPr>
          <w:p w14:paraId="223B192A"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lang w:eastAsia="en-GB"/>
                <w14:ligatures w14:val="none"/>
              </w:rPr>
              <w:t>Brecon</w:t>
            </w:r>
          </w:p>
        </w:tc>
        <w:tc>
          <w:tcPr>
            <w:tcW w:w="7816" w:type="dxa"/>
            <w:noWrap/>
            <w:hideMark/>
          </w:tcPr>
          <w:p w14:paraId="50411382"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lang w:eastAsia="en-GB"/>
                <w14:ligatures w14:val="none"/>
              </w:rPr>
              <w:t xml:space="preserve">Great tour! Very </w:t>
            </w:r>
            <w:r w:rsidRPr="00E16179">
              <w:rPr>
                <w:rFonts w:eastAsia="Times New Roman" w:cstheme="minorHAnsi"/>
                <w:color w:val="000000"/>
                <w:kern w:val="0"/>
                <w:highlight w:val="yellow"/>
                <w:lang w:eastAsia="en-GB"/>
                <w14:ligatures w14:val="none"/>
              </w:rPr>
              <w:t>informative</w:t>
            </w:r>
            <w:r w:rsidRPr="00E16179">
              <w:rPr>
                <w:rFonts w:eastAsia="Times New Roman" w:cstheme="minorHAnsi"/>
                <w:color w:val="000000"/>
                <w:kern w:val="0"/>
                <w:lang w:eastAsia="en-GB"/>
                <w14:ligatures w14:val="none"/>
              </w:rPr>
              <w:t xml:space="preserve"> and our guide was super nice.</w:t>
            </w:r>
          </w:p>
        </w:tc>
      </w:tr>
      <w:tr w:rsidR="00047316" w:rsidRPr="00E16179" w14:paraId="360948E4" w14:textId="77777777" w:rsidTr="00EA4B74">
        <w:trPr>
          <w:trHeight w:val="300"/>
        </w:trPr>
        <w:tc>
          <w:tcPr>
            <w:tcW w:w="1200" w:type="dxa"/>
            <w:noWrap/>
            <w:hideMark/>
          </w:tcPr>
          <w:p w14:paraId="7EEF99CF"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lang w:eastAsia="en-GB"/>
                <w14:ligatures w14:val="none"/>
              </w:rPr>
              <w:t>Llandudno</w:t>
            </w:r>
          </w:p>
        </w:tc>
        <w:tc>
          <w:tcPr>
            <w:tcW w:w="7816" w:type="dxa"/>
            <w:noWrap/>
            <w:hideMark/>
          </w:tcPr>
          <w:p w14:paraId="48EC8DD0"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highlight w:val="cyan"/>
                <w:lang w:eastAsia="en-GB"/>
                <w14:ligatures w14:val="none"/>
              </w:rPr>
              <w:t>NAME REDACTED</w:t>
            </w:r>
            <w:r w:rsidRPr="00E16179">
              <w:rPr>
                <w:rFonts w:eastAsia="Times New Roman" w:cstheme="minorHAnsi"/>
                <w:color w:val="000000"/>
                <w:kern w:val="0"/>
                <w:lang w:eastAsia="en-GB"/>
                <w14:ligatures w14:val="none"/>
              </w:rPr>
              <w:t xml:space="preserve"> was absolutely amazing, she explained things so well</w:t>
            </w:r>
          </w:p>
        </w:tc>
      </w:tr>
      <w:tr w:rsidR="00047316" w:rsidRPr="00E16179" w14:paraId="2DBCC800" w14:textId="77777777" w:rsidTr="00EA4B74">
        <w:trPr>
          <w:trHeight w:val="300"/>
        </w:trPr>
        <w:tc>
          <w:tcPr>
            <w:tcW w:w="1200" w:type="dxa"/>
            <w:noWrap/>
            <w:hideMark/>
          </w:tcPr>
          <w:p w14:paraId="1D3E34FD"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lang w:eastAsia="en-GB"/>
                <w14:ligatures w14:val="none"/>
              </w:rPr>
              <w:t>Swansea</w:t>
            </w:r>
          </w:p>
        </w:tc>
        <w:tc>
          <w:tcPr>
            <w:tcW w:w="7816" w:type="dxa"/>
            <w:noWrap/>
            <w:hideMark/>
          </w:tcPr>
          <w:p w14:paraId="76837F6F"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lang w:eastAsia="en-GB"/>
                <w14:ligatures w14:val="none"/>
              </w:rPr>
              <w:t>I enjoyed learning about the history of the site and tasting at the end of the tour.</w:t>
            </w:r>
          </w:p>
        </w:tc>
      </w:tr>
      <w:tr w:rsidR="00047316" w:rsidRPr="00E16179" w14:paraId="4449E5EE" w14:textId="77777777" w:rsidTr="00EA4B74">
        <w:trPr>
          <w:trHeight w:val="300"/>
        </w:trPr>
        <w:tc>
          <w:tcPr>
            <w:tcW w:w="1200" w:type="dxa"/>
            <w:noWrap/>
            <w:hideMark/>
          </w:tcPr>
          <w:p w14:paraId="3E517973"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lang w:eastAsia="en-GB"/>
                <w14:ligatures w14:val="none"/>
              </w:rPr>
              <w:t>Swansea</w:t>
            </w:r>
          </w:p>
        </w:tc>
        <w:tc>
          <w:tcPr>
            <w:tcW w:w="7816" w:type="dxa"/>
            <w:noWrap/>
            <w:hideMark/>
          </w:tcPr>
          <w:p w14:paraId="56ACF543"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lang w:eastAsia="en-GB"/>
                <w14:ligatures w14:val="none"/>
              </w:rPr>
              <w:t>The venue is amazing and the story of the history is super interesting.</w:t>
            </w:r>
          </w:p>
        </w:tc>
      </w:tr>
      <w:tr w:rsidR="00047316" w:rsidRPr="00E16179" w14:paraId="148FC787" w14:textId="77777777" w:rsidTr="00EA4B74">
        <w:trPr>
          <w:trHeight w:val="300"/>
        </w:trPr>
        <w:tc>
          <w:tcPr>
            <w:tcW w:w="1200" w:type="dxa"/>
            <w:noWrap/>
            <w:hideMark/>
          </w:tcPr>
          <w:p w14:paraId="6206A616"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lang w:eastAsia="en-GB"/>
                <w14:ligatures w14:val="none"/>
              </w:rPr>
              <w:t>Swansea</w:t>
            </w:r>
          </w:p>
        </w:tc>
        <w:tc>
          <w:tcPr>
            <w:tcW w:w="7816" w:type="dxa"/>
            <w:noWrap/>
            <w:hideMark/>
          </w:tcPr>
          <w:p w14:paraId="341E96E6"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lang w:eastAsia="en-GB"/>
                <w14:ligatures w14:val="none"/>
              </w:rPr>
              <w:t xml:space="preserve">She was super </w:t>
            </w:r>
            <w:r w:rsidRPr="00E16179">
              <w:rPr>
                <w:rFonts w:eastAsia="Times New Roman" w:cstheme="minorHAnsi"/>
                <w:color w:val="000000"/>
                <w:kern w:val="0"/>
                <w:highlight w:val="yellow"/>
                <w:lang w:eastAsia="en-GB"/>
                <w14:ligatures w14:val="none"/>
              </w:rPr>
              <w:t>knowledgeable</w:t>
            </w:r>
            <w:r w:rsidRPr="00E16179">
              <w:rPr>
                <w:rFonts w:eastAsia="Times New Roman" w:cstheme="minorHAnsi"/>
                <w:color w:val="000000"/>
                <w:kern w:val="0"/>
                <w:lang w:eastAsia="en-GB"/>
                <w14:ligatures w14:val="none"/>
              </w:rPr>
              <w:t xml:space="preserve"> about everything. I am embarrassed to say that I have forgotten her name but </w:t>
            </w:r>
            <w:proofErr w:type="gramStart"/>
            <w:r w:rsidRPr="00E16179">
              <w:rPr>
                <w:rFonts w:eastAsia="Times New Roman" w:cstheme="minorHAnsi"/>
                <w:color w:val="000000"/>
                <w:kern w:val="0"/>
                <w:lang w:eastAsia="en-GB"/>
                <w14:ligatures w14:val="none"/>
              </w:rPr>
              <w:t>I’m</w:t>
            </w:r>
            <w:proofErr w:type="gramEnd"/>
            <w:r w:rsidRPr="00E16179">
              <w:rPr>
                <w:rFonts w:eastAsia="Times New Roman" w:cstheme="minorHAnsi"/>
                <w:color w:val="000000"/>
                <w:kern w:val="0"/>
                <w:lang w:eastAsia="en-GB"/>
                <w14:ligatures w14:val="none"/>
              </w:rPr>
              <w:t xml:space="preserve"> sure you’ll know who she is!</w:t>
            </w:r>
          </w:p>
        </w:tc>
      </w:tr>
      <w:tr w:rsidR="00047316" w:rsidRPr="00E16179" w14:paraId="68F54B48" w14:textId="77777777" w:rsidTr="00EA4B74">
        <w:trPr>
          <w:trHeight w:val="300"/>
        </w:trPr>
        <w:tc>
          <w:tcPr>
            <w:tcW w:w="1200" w:type="dxa"/>
            <w:noWrap/>
            <w:hideMark/>
          </w:tcPr>
          <w:p w14:paraId="6AE654F1"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lang w:eastAsia="en-GB"/>
                <w14:ligatures w14:val="none"/>
              </w:rPr>
              <w:t>Brecon</w:t>
            </w:r>
          </w:p>
        </w:tc>
        <w:tc>
          <w:tcPr>
            <w:tcW w:w="7816" w:type="dxa"/>
            <w:noWrap/>
            <w:hideMark/>
          </w:tcPr>
          <w:p w14:paraId="215585A8"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highlight w:val="cyan"/>
                <w:lang w:eastAsia="en-GB"/>
                <w14:ligatures w14:val="none"/>
              </w:rPr>
              <w:t>NAME REDACTED</w:t>
            </w:r>
            <w:r w:rsidRPr="00E16179">
              <w:rPr>
                <w:rFonts w:eastAsia="Times New Roman" w:cstheme="minorHAnsi"/>
                <w:color w:val="000000"/>
                <w:kern w:val="0"/>
                <w:lang w:eastAsia="en-GB"/>
                <w14:ligatures w14:val="none"/>
              </w:rPr>
              <w:t xml:space="preserve"> did a fantastic tour just for the two of us. She </w:t>
            </w:r>
            <w:proofErr w:type="gramStart"/>
            <w:r w:rsidRPr="00E16179">
              <w:rPr>
                <w:rFonts w:eastAsia="Times New Roman" w:cstheme="minorHAnsi"/>
                <w:color w:val="000000"/>
                <w:kern w:val="0"/>
                <w:highlight w:val="yellow"/>
                <w:lang w:eastAsia="en-GB"/>
                <w14:ligatures w14:val="none"/>
              </w:rPr>
              <w:t>answer</w:t>
            </w:r>
            <w:proofErr w:type="gramEnd"/>
            <w:r w:rsidRPr="00E16179">
              <w:rPr>
                <w:rFonts w:eastAsia="Times New Roman" w:cstheme="minorHAnsi"/>
                <w:color w:val="000000"/>
                <w:kern w:val="0"/>
                <w:highlight w:val="yellow"/>
                <w:lang w:eastAsia="en-GB"/>
                <w14:ligatures w14:val="none"/>
              </w:rPr>
              <w:t xml:space="preserve"> all our questions and my husband had some annoying ones as he loves his scotch</w:t>
            </w:r>
            <w:r w:rsidRPr="00E16179">
              <w:rPr>
                <w:rFonts w:eastAsia="Times New Roman" w:cstheme="minorHAnsi"/>
                <w:color w:val="000000"/>
                <w:kern w:val="0"/>
                <w:lang w:eastAsia="en-GB"/>
                <w14:ligatures w14:val="none"/>
              </w:rPr>
              <w:t xml:space="preserve">. Fascinating to taste the spirit straight from the stills. Felt really relaxed and friendly in the bar in the end. Only adjustment, the info in the little museum was 10 years out of date, thankfully </w:t>
            </w:r>
            <w:r w:rsidRPr="00E16179">
              <w:rPr>
                <w:rFonts w:eastAsia="Times New Roman" w:cstheme="minorHAnsi"/>
                <w:color w:val="000000"/>
                <w:kern w:val="0"/>
                <w:highlight w:val="cyan"/>
                <w:lang w:eastAsia="en-GB"/>
                <w14:ligatures w14:val="none"/>
              </w:rPr>
              <w:t>NAME REDACTED</w:t>
            </w:r>
            <w:r w:rsidRPr="00E16179">
              <w:rPr>
                <w:rFonts w:eastAsia="Times New Roman" w:cstheme="minorHAnsi"/>
                <w:color w:val="000000"/>
                <w:kern w:val="0"/>
                <w:lang w:eastAsia="en-GB"/>
                <w14:ligatures w14:val="none"/>
              </w:rPr>
              <w:t xml:space="preserve"> knew all the updated history.</w:t>
            </w:r>
          </w:p>
        </w:tc>
      </w:tr>
      <w:tr w:rsidR="00047316" w:rsidRPr="00E16179" w14:paraId="465688E4" w14:textId="77777777" w:rsidTr="00EA4B74">
        <w:trPr>
          <w:trHeight w:val="300"/>
        </w:trPr>
        <w:tc>
          <w:tcPr>
            <w:tcW w:w="1200" w:type="dxa"/>
            <w:noWrap/>
            <w:hideMark/>
          </w:tcPr>
          <w:p w14:paraId="2555ED6A"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lang w:eastAsia="en-GB"/>
                <w14:ligatures w14:val="none"/>
              </w:rPr>
              <w:t>Llandudno</w:t>
            </w:r>
          </w:p>
        </w:tc>
        <w:tc>
          <w:tcPr>
            <w:tcW w:w="7816" w:type="dxa"/>
            <w:noWrap/>
            <w:hideMark/>
          </w:tcPr>
          <w:p w14:paraId="6C81B054"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lang w:eastAsia="en-GB"/>
                <w14:ligatures w14:val="none"/>
              </w:rPr>
              <w:t xml:space="preserve">Very </w:t>
            </w:r>
            <w:r w:rsidRPr="00E16179">
              <w:rPr>
                <w:rFonts w:eastAsia="Times New Roman" w:cstheme="minorHAnsi"/>
                <w:color w:val="000000"/>
                <w:kern w:val="0"/>
                <w:highlight w:val="yellow"/>
                <w:lang w:eastAsia="en-GB"/>
                <w14:ligatures w14:val="none"/>
              </w:rPr>
              <w:t>informative</w:t>
            </w:r>
            <w:r w:rsidRPr="00E16179">
              <w:rPr>
                <w:rFonts w:eastAsia="Times New Roman" w:cstheme="minorHAnsi"/>
                <w:color w:val="000000"/>
                <w:kern w:val="0"/>
                <w:lang w:eastAsia="en-GB"/>
                <w14:ligatures w14:val="none"/>
              </w:rPr>
              <w:t xml:space="preserve"> and opportunity to taste after was brilliant.</w:t>
            </w:r>
          </w:p>
        </w:tc>
      </w:tr>
      <w:tr w:rsidR="00047316" w:rsidRPr="00E16179" w14:paraId="586AB313" w14:textId="77777777" w:rsidTr="00EA4B74">
        <w:trPr>
          <w:trHeight w:val="300"/>
        </w:trPr>
        <w:tc>
          <w:tcPr>
            <w:tcW w:w="1200" w:type="dxa"/>
            <w:noWrap/>
            <w:hideMark/>
          </w:tcPr>
          <w:p w14:paraId="00CE6EC5"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lang w:eastAsia="en-GB"/>
                <w14:ligatures w14:val="none"/>
              </w:rPr>
              <w:t>Brecon</w:t>
            </w:r>
          </w:p>
        </w:tc>
        <w:tc>
          <w:tcPr>
            <w:tcW w:w="7816" w:type="dxa"/>
            <w:noWrap/>
            <w:hideMark/>
          </w:tcPr>
          <w:p w14:paraId="0A7C2A2D"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highlight w:val="cyan"/>
                <w:lang w:eastAsia="en-GB"/>
                <w14:ligatures w14:val="none"/>
              </w:rPr>
              <w:t>NAME REDACTED</w:t>
            </w:r>
            <w:r w:rsidRPr="00E16179">
              <w:rPr>
                <w:rFonts w:eastAsia="Times New Roman" w:cstheme="minorHAnsi"/>
                <w:color w:val="000000"/>
                <w:kern w:val="0"/>
                <w:lang w:eastAsia="en-GB"/>
                <w14:ligatures w14:val="none"/>
              </w:rPr>
              <w:t xml:space="preserve"> was very </w:t>
            </w:r>
            <w:r w:rsidRPr="00E16179">
              <w:rPr>
                <w:rFonts w:eastAsia="Times New Roman" w:cstheme="minorHAnsi"/>
                <w:color w:val="000000"/>
                <w:kern w:val="0"/>
                <w:highlight w:val="yellow"/>
                <w:lang w:eastAsia="en-GB"/>
                <w14:ligatures w14:val="none"/>
              </w:rPr>
              <w:t>knowledgeable</w:t>
            </w:r>
            <w:r w:rsidRPr="00E16179">
              <w:rPr>
                <w:rFonts w:eastAsia="Times New Roman" w:cstheme="minorHAnsi"/>
                <w:color w:val="000000"/>
                <w:kern w:val="0"/>
                <w:lang w:eastAsia="en-GB"/>
                <w14:ligatures w14:val="none"/>
              </w:rPr>
              <w:t xml:space="preserve"> and lots of fun, absolutely made the tour what it was. We would definitely come back.</w:t>
            </w:r>
          </w:p>
        </w:tc>
      </w:tr>
      <w:tr w:rsidR="00047316" w:rsidRPr="00E16179" w14:paraId="05E482FB" w14:textId="77777777" w:rsidTr="00EA4B74">
        <w:trPr>
          <w:trHeight w:val="300"/>
        </w:trPr>
        <w:tc>
          <w:tcPr>
            <w:tcW w:w="1200" w:type="dxa"/>
            <w:noWrap/>
            <w:hideMark/>
          </w:tcPr>
          <w:p w14:paraId="1064C41F"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lang w:eastAsia="en-GB"/>
                <w14:ligatures w14:val="none"/>
              </w:rPr>
              <w:t>Brecon</w:t>
            </w:r>
          </w:p>
        </w:tc>
        <w:tc>
          <w:tcPr>
            <w:tcW w:w="7816" w:type="dxa"/>
            <w:noWrap/>
            <w:hideMark/>
          </w:tcPr>
          <w:p w14:paraId="04C49DC0"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lang w:eastAsia="en-GB"/>
                <w14:ligatures w14:val="none"/>
              </w:rPr>
              <w:t xml:space="preserve">The whisky made me forget the name but he was Scottish! </w:t>
            </w:r>
            <w:r w:rsidRPr="00E16179">
              <w:rPr>
                <w:rFonts w:eastAsia="Times New Roman" w:cstheme="minorHAnsi"/>
                <w:color w:val="000000"/>
                <w:kern w:val="0"/>
                <w:highlight w:val="yellow"/>
                <w:lang w:eastAsia="en-GB"/>
                <w14:ligatures w14:val="none"/>
              </w:rPr>
              <w:t>Informative</w:t>
            </w:r>
            <w:r w:rsidRPr="00E16179">
              <w:rPr>
                <w:rFonts w:eastAsia="Times New Roman" w:cstheme="minorHAnsi"/>
                <w:color w:val="000000"/>
                <w:kern w:val="0"/>
                <w:lang w:eastAsia="en-GB"/>
                <w14:ligatures w14:val="none"/>
              </w:rPr>
              <w:t xml:space="preserve">, helpful, friendly, and happy to answer questions and share </w:t>
            </w:r>
            <w:r w:rsidRPr="00E16179">
              <w:rPr>
                <w:rFonts w:eastAsia="Times New Roman" w:cstheme="minorHAnsi"/>
                <w:color w:val="000000"/>
                <w:kern w:val="0"/>
                <w:highlight w:val="yellow"/>
                <w:lang w:eastAsia="en-GB"/>
                <w14:ligatures w14:val="none"/>
              </w:rPr>
              <w:t>knowledge</w:t>
            </w:r>
            <w:r w:rsidRPr="00E16179">
              <w:rPr>
                <w:rFonts w:eastAsia="Times New Roman" w:cstheme="minorHAnsi"/>
                <w:color w:val="000000"/>
                <w:kern w:val="0"/>
                <w:lang w:eastAsia="en-GB"/>
                <w14:ligatures w14:val="none"/>
              </w:rPr>
              <w:t xml:space="preserve"> (and very </w:t>
            </w:r>
            <w:r w:rsidRPr="00E16179">
              <w:rPr>
                <w:rFonts w:eastAsia="Times New Roman" w:cstheme="minorHAnsi"/>
                <w:color w:val="000000"/>
                <w:kern w:val="0"/>
                <w:highlight w:val="yellow"/>
                <w:lang w:eastAsia="en-GB"/>
                <w14:ligatures w14:val="none"/>
              </w:rPr>
              <w:t>knowledgeable</w:t>
            </w:r>
            <w:r w:rsidRPr="00E16179">
              <w:rPr>
                <w:rFonts w:eastAsia="Times New Roman" w:cstheme="minorHAnsi"/>
                <w:color w:val="000000"/>
                <w:kern w:val="0"/>
                <w:lang w:eastAsia="en-GB"/>
                <w14:ligatures w14:val="none"/>
              </w:rPr>
              <w:t>!)</w:t>
            </w:r>
          </w:p>
        </w:tc>
      </w:tr>
      <w:tr w:rsidR="00047316" w:rsidRPr="00E16179" w14:paraId="282A38C3" w14:textId="77777777" w:rsidTr="00EA4B74">
        <w:trPr>
          <w:trHeight w:val="300"/>
        </w:trPr>
        <w:tc>
          <w:tcPr>
            <w:tcW w:w="1200" w:type="dxa"/>
            <w:noWrap/>
            <w:hideMark/>
          </w:tcPr>
          <w:p w14:paraId="2A817B73"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lang w:eastAsia="en-GB"/>
                <w14:ligatures w14:val="none"/>
              </w:rPr>
              <w:t>Llandudno</w:t>
            </w:r>
          </w:p>
        </w:tc>
        <w:tc>
          <w:tcPr>
            <w:tcW w:w="7816" w:type="dxa"/>
            <w:noWrap/>
            <w:hideMark/>
          </w:tcPr>
          <w:p w14:paraId="4469C152"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lang w:eastAsia="en-GB"/>
                <w14:ligatures w14:val="none"/>
              </w:rPr>
              <w:t>Excellent tour guide &amp; atmosphere</w:t>
            </w:r>
          </w:p>
        </w:tc>
      </w:tr>
      <w:tr w:rsidR="00047316" w:rsidRPr="00E16179" w14:paraId="17E46175" w14:textId="77777777" w:rsidTr="00EA4B74">
        <w:trPr>
          <w:trHeight w:val="300"/>
        </w:trPr>
        <w:tc>
          <w:tcPr>
            <w:tcW w:w="1200" w:type="dxa"/>
            <w:noWrap/>
            <w:hideMark/>
          </w:tcPr>
          <w:p w14:paraId="76D05FBC"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lang w:eastAsia="en-GB"/>
                <w14:ligatures w14:val="none"/>
              </w:rPr>
              <w:t>Brecon</w:t>
            </w:r>
          </w:p>
        </w:tc>
        <w:tc>
          <w:tcPr>
            <w:tcW w:w="7816" w:type="dxa"/>
            <w:noWrap/>
            <w:hideMark/>
          </w:tcPr>
          <w:p w14:paraId="32F5B9C4"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highlight w:val="cyan"/>
                <w:lang w:eastAsia="en-GB"/>
                <w14:ligatures w14:val="none"/>
              </w:rPr>
              <w:t>NAME REDACTED</w:t>
            </w:r>
            <w:r w:rsidRPr="00E16179">
              <w:rPr>
                <w:rFonts w:eastAsia="Times New Roman" w:cstheme="minorHAnsi"/>
                <w:color w:val="000000"/>
                <w:kern w:val="0"/>
                <w:lang w:eastAsia="en-GB"/>
                <w14:ligatures w14:val="none"/>
              </w:rPr>
              <w:t xml:space="preserve"> was an absolutely wonderful tour guide! She was very </w:t>
            </w:r>
            <w:r w:rsidRPr="00E16179">
              <w:rPr>
                <w:rFonts w:eastAsia="Times New Roman" w:cstheme="minorHAnsi"/>
                <w:color w:val="000000"/>
                <w:kern w:val="0"/>
                <w:highlight w:val="yellow"/>
                <w:lang w:eastAsia="en-GB"/>
                <w14:ligatures w14:val="none"/>
              </w:rPr>
              <w:t>informative</w:t>
            </w:r>
            <w:r w:rsidRPr="00E16179">
              <w:rPr>
                <w:rFonts w:eastAsia="Times New Roman" w:cstheme="minorHAnsi"/>
                <w:color w:val="000000"/>
                <w:kern w:val="0"/>
                <w:lang w:eastAsia="en-GB"/>
                <w14:ligatures w14:val="none"/>
              </w:rPr>
              <w:t xml:space="preserve">, fun, and </w:t>
            </w:r>
            <w:r w:rsidRPr="00E16179">
              <w:rPr>
                <w:rFonts w:eastAsia="Times New Roman" w:cstheme="minorHAnsi"/>
                <w:color w:val="000000"/>
                <w:kern w:val="0"/>
                <w:highlight w:val="yellow"/>
                <w:lang w:eastAsia="en-GB"/>
                <w14:ligatures w14:val="none"/>
              </w:rPr>
              <w:t>knowledgeable</w:t>
            </w:r>
            <w:r w:rsidRPr="00E16179">
              <w:rPr>
                <w:rFonts w:eastAsia="Times New Roman" w:cstheme="minorHAnsi"/>
                <w:color w:val="000000"/>
                <w:kern w:val="0"/>
                <w:lang w:eastAsia="en-GB"/>
                <w14:ligatures w14:val="none"/>
              </w:rPr>
              <w:t>. Thank you!</w:t>
            </w:r>
          </w:p>
        </w:tc>
      </w:tr>
      <w:tr w:rsidR="00047316" w:rsidRPr="00E16179" w14:paraId="509857C0" w14:textId="77777777" w:rsidTr="00EA4B74">
        <w:trPr>
          <w:trHeight w:val="300"/>
        </w:trPr>
        <w:tc>
          <w:tcPr>
            <w:tcW w:w="1200" w:type="dxa"/>
            <w:noWrap/>
            <w:hideMark/>
          </w:tcPr>
          <w:p w14:paraId="2F7B8365"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lang w:eastAsia="en-GB"/>
                <w14:ligatures w14:val="none"/>
              </w:rPr>
              <w:t>Llandudno</w:t>
            </w:r>
          </w:p>
        </w:tc>
        <w:tc>
          <w:tcPr>
            <w:tcW w:w="7816" w:type="dxa"/>
            <w:noWrap/>
            <w:hideMark/>
          </w:tcPr>
          <w:p w14:paraId="306C94E1"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highlight w:val="cyan"/>
                <w:lang w:eastAsia="en-GB"/>
                <w14:ligatures w14:val="none"/>
              </w:rPr>
              <w:t>NAME REDACTED</w:t>
            </w:r>
            <w:r w:rsidRPr="00E16179">
              <w:rPr>
                <w:rFonts w:eastAsia="Times New Roman" w:cstheme="minorHAnsi"/>
                <w:color w:val="000000"/>
                <w:kern w:val="0"/>
                <w:lang w:eastAsia="en-GB"/>
                <w14:ligatures w14:val="none"/>
              </w:rPr>
              <w:t xml:space="preserve"> gave a very </w:t>
            </w:r>
            <w:r w:rsidRPr="00E16179">
              <w:rPr>
                <w:rFonts w:eastAsia="Times New Roman" w:cstheme="minorHAnsi"/>
                <w:color w:val="000000"/>
                <w:kern w:val="0"/>
                <w:highlight w:val="yellow"/>
                <w:lang w:eastAsia="en-GB"/>
                <w14:ligatures w14:val="none"/>
              </w:rPr>
              <w:t>informative</w:t>
            </w:r>
            <w:r w:rsidRPr="00E16179">
              <w:rPr>
                <w:rFonts w:eastAsia="Times New Roman" w:cstheme="minorHAnsi"/>
                <w:color w:val="000000"/>
                <w:kern w:val="0"/>
                <w:lang w:eastAsia="en-GB"/>
                <w14:ligatures w14:val="none"/>
              </w:rPr>
              <w:t xml:space="preserve"> interesting tour</w:t>
            </w:r>
          </w:p>
        </w:tc>
      </w:tr>
      <w:tr w:rsidR="00047316" w:rsidRPr="00E16179" w14:paraId="44A39D85" w14:textId="77777777" w:rsidTr="00EA4B74">
        <w:trPr>
          <w:trHeight w:val="300"/>
        </w:trPr>
        <w:tc>
          <w:tcPr>
            <w:tcW w:w="1200" w:type="dxa"/>
            <w:noWrap/>
            <w:hideMark/>
          </w:tcPr>
          <w:p w14:paraId="7F6B3CAF"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lang w:eastAsia="en-GB"/>
                <w14:ligatures w14:val="none"/>
              </w:rPr>
              <w:t>Brecon</w:t>
            </w:r>
          </w:p>
        </w:tc>
        <w:tc>
          <w:tcPr>
            <w:tcW w:w="7816" w:type="dxa"/>
            <w:noWrap/>
            <w:hideMark/>
          </w:tcPr>
          <w:p w14:paraId="500400E8"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highlight w:val="cyan"/>
                <w:lang w:eastAsia="en-GB"/>
                <w14:ligatures w14:val="none"/>
              </w:rPr>
              <w:t>NAME REDACTED</w:t>
            </w:r>
            <w:r w:rsidRPr="00E16179">
              <w:rPr>
                <w:rFonts w:eastAsia="Times New Roman" w:cstheme="minorHAnsi"/>
                <w:color w:val="000000"/>
                <w:kern w:val="0"/>
                <w:lang w:eastAsia="en-GB"/>
                <w14:ligatures w14:val="none"/>
              </w:rPr>
              <w:t xml:space="preserve"> has been brilliant, never drunk whisky before but definitely been converted now</w:t>
            </w:r>
          </w:p>
        </w:tc>
      </w:tr>
      <w:tr w:rsidR="00047316" w:rsidRPr="00E16179" w14:paraId="2E120896" w14:textId="77777777" w:rsidTr="00EA4B74">
        <w:trPr>
          <w:trHeight w:val="300"/>
        </w:trPr>
        <w:tc>
          <w:tcPr>
            <w:tcW w:w="1200" w:type="dxa"/>
            <w:noWrap/>
            <w:hideMark/>
          </w:tcPr>
          <w:p w14:paraId="53DEDDF8"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lang w:eastAsia="en-GB"/>
                <w14:ligatures w14:val="none"/>
              </w:rPr>
              <w:t>Swansea</w:t>
            </w:r>
          </w:p>
        </w:tc>
        <w:tc>
          <w:tcPr>
            <w:tcW w:w="7816" w:type="dxa"/>
            <w:noWrap/>
            <w:hideMark/>
          </w:tcPr>
          <w:p w14:paraId="27F64717"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lang w:eastAsia="en-GB"/>
                <w14:ligatures w14:val="none"/>
              </w:rPr>
              <w:t xml:space="preserve">Very </w:t>
            </w:r>
            <w:r w:rsidRPr="00E16179">
              <w:rPr>
                <w:rFonts w:eastAsia="Times New Roman" w:cstheme="minorHAnsi"/>
                <w:color w:val="000000"/>
                <w:kern w:val="0"/>
                <w:highlight w:val="yellow"/>
                <w:lang w:eastAsia="en-GB"/>
                <w14:ligatures w14:val="none"/>
              </w:rPr>
              <w:t>knowledgeable</w:t>
            </w:r>
            <w:r w:rsidRPr="00E16179">
              <w:rPr>
                <w:rFonts w:eastAsia="Times New Roman" w:cstheme="minorHAnsi"/>
                <w:color w:val="000000"/>
                <w:kern w:val="0"/>
                <w:lang w:eastAsia="en-GB"/>
                <w14:ligatures w14:val="none"/>
              </w:rPr>
              <w:t>, answered all questions reliably, thank you!</w:t>
            </w:r>
          </w:p>
        </w:tc>
      </w:tr>
      <w:tr w:rsidR="00047316" w:rsidRPr="00E16179" w14:paraId="51BBA809" w14:textId="77777777" w:rsidTr="00EA4B74">
        <w:trPr>
          <w:trHeight w:val="300"/>
        </w:trPr>
        <w:tc>
          <w:tcPr>
            <w:tcW w:w="1200" w:type="dxa"/>
            <w:noWrap/>
            <w:hideMark/>
          </w:tcPr>
          <w:p w14:paraId="04E0240F"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lang w:eastAsia="en-GB"/>
                <w14:ligatures w14:val="none"/>
              </w:rPr>
              <w:t>Brecon</w:t>
            </w:r>
          </w:p>
        </w:tc>
        <w:tc>
          <w:tcPr>
            <w:tcW w:w="7816" w:type="dxa"/>
            <w:noWrap/>
            <w:hideMark/>
          </w:tcPr>
          <w:p w14:paraId="25D40474"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highlight w:val="cyan"/>
                <w:lang w:eastAsia="en-GB"/>
                <w14:ligatures w14:val="none"/>
              </w:rPr>
              <w:t>NAME REDACTED</w:t>
            </w:r>
            <w:r w:rsidRPr="00E16179">
              <w:rPr>
                <w:rFonts w:eastAsia="Times New Roman" w:cstheme="minorHAnsi"/>
                <w:color w:val="000000"/>
                <w:kern w:val="0"/>
                <w:lang w:eastAsia="en-GB"/>
                <w14:ligatures w14:val="none"/>
              </w:rPr>
              <w:t xml:space="preserve"> was obviously passionate about the distillery and sharing her </w:t>
            </w:r>
            <w:r w:rsidRPr="00E16179">
              <w:rPr>
                <w:rFonts w:eastAsia="Times New Roman" w:cstheme="minorHAnsi"/>
                <w:color w:val="000000"/>
                <w:kern w:val="0"/>
                <w:highlight w:val="yellow"/>
                <w:lang w:eastAsia="en-GB"/>
                <w14:ligatures w14:val="none"/>
              </w:rPr>
              <w:t>knowledge</w:t>
            </w:r>
            <w:r w:rsidRPr="00E16179">
              <w:rPr>
                <w:rFonts w:eastAsia="Times New Roman" w:cstheme="minorHAnsi"/>
                <w:color w:val="000000"/>
                <w:kern w:val="0"/>
                <w:lang w:eastAsia="en-GB"/>
                <w14:ligatures w14:val="none"/>
              </w:rPr>
              <w:t xml:space="preserve">. I have hearing difficulties and often struggle to hear people clearly. </w:t>
            </w:r>
            <w:r w:rsidRPr="00E16179">
              <w:rPr>
                <w:rFonts w:eastAsia="Times New Roman" w:cstheme="minorHAnsi"/>
                <w:color w:val="000000"/>
                <w:kern w:val="0"/>
                <w:highlight w:val="cyan"/>
                <w:lang w:eastAsia="en-GB"/>
                <w14:ligatures w14:val="none"/>
              </w:rPr>
              <w:t>NAME REDACTED</w:t>
            </w:r>
            <w:r w:rsidRPr="00E16179">
              <w:rPr>
                <w:rFonts w:eastAsia="Times New Roman" w:cstheme="minorHAnsi"/>
                <w:color w:val="000000"/>
                <w:kern w:val="0"/>
                <w:lang w:eastAsia="en-GB"/>
                <w14:ligatures w14:val="none"/>
              </w:rPr>
              <w:t xml:space="preserve"> spoke so well that I </w:t>
            </w:r>
            <w:proofErr w:type="gramStart"/>
            <w:r w:rsidRPr="00E16179">
              <w:rPr>
                <w:rFonts w:eastAsia="Times New Roman" w:cstheme="minorHAnsi"/>
                <w:color w:val="000000"/>
                <w:kern w:val="0"/>
                <w:lang w:eastAsia="en-GB"/>
                <w14:ligatures w14:val="none"/>
              </w:rPr>
              <w:t>didn’t</w:t>
            </w:r>
            <w:proofErr w:type="gramEnd"/>
            <w:r w:rsidRPr="00E16179">
              <w:rPr>
                <w:rFonts w:eastAsia="Times New Roman" w:cstheme="minorHAnsi"/>
                <w:color w:val="000000"/>
                <w:kern w:val="0"/>
                <w:lang w:eastAsia="en-GB"/>
                <w14:ligatures w14:val="none"/>
              </w:rPr>
              <w:t xml:space="preserve"> miss a word, even with background noise.</w:t>
            </w:r>
          </w:p>
        </w:tc>
      </w:tr>
      <w:tr w:rsidR="00047316" w:rsidRPr="00E16179" w14:paraId="029B8E03" w14:textId="77777777" w:rsidTr="00EA4B74">
        <w:trPr>
          <w:trHeight w:val="300"/>
        </w:trPr>
        <w:tc>
          <w:tcPr>
            <w:tcW w:w="1200" w:type="dxa"/>
            <w:noWrap/>
            <w:hideMark/>
          </w:tcPr>
          <w:p w14:paraId="272A4F91"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lang w:eastAsia="en-GB"/>
                <w14:ligatures w14:val="none"/>
              </w:rPr>
              <w:t>Llandudno</w:t>
            </w:r>
          </w:p>
        </w:tc>
        <w:tc>
          <w:tcPr>
            <w:tcW w:w="7816" w:type="dxa"/>
            <w:noWrap/>
            <w:hideMark/>
          </w:tcPr>
          <w:p w14:paraId="1D3B2F8A"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lang w:eastAsia="en-GB"/>
                <w14:ligatures w14:val="none"/>
              </w:rPr>
              <w:t xml:space="preserve">The experience was very </w:t>
            </w:r>
            <w:r w:rsidRPr="00E16179">
              <w:rPr>
                <w:rFonts w:eastAsia="Times New Roman" w:cstheme="minorHAnsi"/>
                <w:color w:val="000000"/>
                <w:kern w:val="0"/>
                <w:highlight w:val="yellow"/>
                <w:lang w:eastAsia="en-GB"/>
                <w14:ligatures w14:val="none"/>
              </w:rPr>
              <w:t>informative</w:t>
            </w:r>
            <w:r w:rsidRPr="00E16179">
              <w:rPr>
                <w:rFonts w:eastAsia="Times New Roman" w:cstheme="minorHAnsi"/>
                <w:color w:val="000000"/>
                <w:kern w:val="0"/>
                <w:lang w:eastAsia="en-GB"/>
                <w14:ligatures w14:val="none"/>
              </w:rPr>
              <w:t xml:space="preserve">. Our guide was </w:t>
            </w:r>
            <w:r w:rsidRPr="00E16179">
              <w:rPr>
                <w:rFonts w:eastAsia="Times New Roman" w:cstheme="minorHAnsi"/>
                <w:color w:val="000000"/>
                <w:kern w:val="0"/>
                <w:highlight w:val="cyan"/>
                <w:lang w:eastAsia="en-GB"/>
                <w14:ligatures w14:val="none"/>
              </w:rPr>
              <w:t>NAME REDACTED</w:t>
            </w:r>
            <w:r w:rsidRPr="00E16179">
              <w:rPr>
                <w:rFonts w:eastAsia="Times New Roman" w:cstheme="minorHAnsi"/>
                <w:color w:val="000000"/>
                <w:kern w:val="0"/>
                <w:lang w:eastAsia="en-GB"/>
                <w14:ligatures w14:val="none"/>
              </w:rPr>
              <w:t xml:space="preserve">, she was very </w:t>
            </w:r>
            <w:r w:rsidRPr="00E16179">
              <w:rPr>
                <w:rFonts w:eastAsia="Times New Roman" w:cstheme="minorHAnsi"/>
                <w:color w:val="000000"/>
                <w:kern w:val="0"/>
                <w:highlight w:val="yellow"/>
                <w:lang w:eastAsia="en-GB"/>
                <w14:ligatures w14:val="none"/>
              </w:rPr>
              <w:t>knowledgeable</w:t>
            </w:r>
            <w:r w:rsidRPr="00E16179">
              <w:rPr>
                <w:rFonts w:eastAsia="Times New Roman" w:cstheme="minorHAnsi"/>
                <w:color w:val="000000"/>
                <w:kern w:val="0"/>
                <w:lang w:eastAsia="en-GB"/>
                <w14:ligatures w14:val="none"/>
              </w:rPr>
              <w:t xml:space="preserve"> and friendly. We loved the tasting at the end of the tour.</w:t>
            </w:r>
          </w:p>
        </w:tc>
      </w:tr>
      <w:tr w:rsidR="00047316" w:rsidRPr="00E16179" w14:paraId="20F2AE64" w14:textId="77777777" w:rsidTr="00EA4B74">
        <w:trPr>
          <w:trHeight w:val="300"/>
        </w:trPr>
        <w:tc>
          <w:tcPr>
            <w:tcW w:w="1200" w:type="dxa"/>
            <w:noWrap/>
            <w:hideMark/>
          </w:tcPr>
          <w:p w14:paraId="24A3CA81"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lang w:eastAsia="en-GB"/>
                <w14:ligatures w14:val="none"/>
              </w:rPr>
              <w:t>Llandudno</w:t>
            </w:r>
          </w:p>
        </w:tc>
        <w:tc>
          <w:tcPr>
            <w:tcW w:w="7816" w:type="dxa"/>
            <w:noWrap/>
            <w:hideMark/>
          </w:tcPr>
          <w:p w14:paraId="3A9C804C"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lang w:eastAsia="en-GB"/>
                <w14:ligatures w14:val="none"/>
              </w:rPr>
              <w:t xml:space="preserve">Very </w:t>
            </w:r>
            <w:r w:rsidRPr="00E16179">
              <w:rPr>
                <w:rFonts w:eastAsia="Times New Roman" w:cstheme="minorHAnsi"/>
                <w:color w:val="000000"/>
                <w:kern w:val="0"/>
                <w:highlight w:val="yellow"/>
                <w:lang w:eastAsia="en-GB"/>
                <w14:ligatures w14:val="none"/>
              </w:rPr>
              <w:t>informative</w:t>
            </w:r>
            <w:r w:rsidRPr="00E16179">
              <w:rPr>
                <w:rFonts w:eastAsia="Times New Roman" w:cstheme="minorHAnsi"/>
                <w:color w:val="000000"/>
                <w:kern w:val="0"/>
                <w:lang w:eastAsia="en-GB"/>
                <w14:ligatures w14:val="none"/>
              </w:rPr>
              <w:t xml:space="preserve"> and great </w:t>
            </w:r>
            <w:r w:rsidRPr="00E16179">
              <w:rPr>
                <w:rFonts w:eastAsia="Times New Roman" w:cstheme="minorHAnsi"/>
                <w:color w:val="000000"/>
                <w:kern w:val="0"/>
                <w:highlight w:val="yellow"/>
                <w:lang w:eastAsia="en-GB"/>
                <w14:ligatures w14:val="none"/>
              </w:rPr>
              <w:t>knowledge</w:t>
            </w:r>
          </w:p>
        </w:tc>
      </w:tr>
      <w:tr w:rsidR="00047316" w:rsidRPr="00E16179" w14:paraId="11CACE18" w14:textId="77777777" w:rsidTr="00EA4B74">
        <w:trPr>
          <w:trHeight w:val="300"/>
        </w:trPr>
        <w:tc>
          <w:tcPr>
            <w:tcW w:w="1200" w:type="dxa"/>
            <w:noWrap/>
            <w:hideMark/>
          </w:tcPr>
          <w:p w14:paraId="1918F072" w14:textId="77777777" w:rsidR="00047316" w:rsidRPr="00E16179" w:rsidRDefault="00047316" w:rsidP="00EA4B74">
            <w:pPr>
              <w:jc w:val="center"/>
              <w:rPr>
                <w:rFonts w:eastAsia="Times New Roman" w:cstheme="minorHAnsi"/>
                <w:color w:val="000000"/>
                <w:kern w:val="0"/>
                <w:lang w:eastAsia="en-GB"/>
                <w14:ligatures w14:val="none"/>
              </w:rPr>
            </w:pPr>
          </w:p>
        </w:tc>
        <w:tc>
          <w:tcPr>
            <w:tcW w:w="7816" w:type="dxa"/>
            <w:noWrap/>
            <w:hideMark/>
          </w:tcPr>
          <w:p w14:paraId="6CCD0F24"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lang w:eastAsia="en-GB"/>
                <w14:ligatures w14:val="none"/>
              </w:rPr>
              <w:t xml:space="preserve">Very </w:t>
            </w:r>
            <w:r w:rsidRPr="00E16179">
              <w:rPr>
                <w:rFonts w:eastAsia="Times New Roman" w:cstheme="minorHAnsi"/>
                <w:color w:val="000000"/>
                <w:kern w:val="0"/>
                <w:highlight w:val="yellow"/>
                <w:lang w:eastAsia="en-GB"/>
                <w14:ligatures w14:val="none"/>
              </w:rPr>
              <w:t>informative</w:t>
            </w:r>
            <w:r w:rsidRPr="00E16179">
              <w:rPr>
                <w:rFonts w:eastAsia="Times New Roman" w:cstheme="minorHAnsi"/>
                <w:color w:val="000000"/>
                <w:kern w:val="0"/>
                <w:lang w:eastAsia="en-GB"/>
                <w14:ligatures w14:val="none"/>
              </w:rPr>
              <w:t xml:space="preserve"> and friendly.</w:t>
            </w:r>
          </w:p>
        </w:tc>
      </w:tr>
      <w:tr w:rsidR="00047316" w:rsidRPr="00E16179" w14:paraId="792F8351" w14:textId="77777777" w:rsidTr="00EA4B74">
        <w:trPr>
          <w:trHeight w:val="300"/>
        </w:trPr>
        <w:tc>
          <w:tcPr>
            <w:tcW w:w="1200" w:type="dxa"/>
            <w:noWrap/>
            <w:hideMark/>
          </w:tcPr>
          <w:p w14:paraId="2C51257E"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lang w:eastAsia="en-GB"/>
                <w14:ligatures w14:val="none"/>
              </w:rPr>
              <w:t>Brecon</w:t>
            </w:r>
          </w:p>
        </w:tc>
        <w:tc>
          <w:tcPr>
            <w:tcW w:w="7816" w:type="dxa"/>
            <w:noWrap/>
            <w:hideMark/>
          </w:tcPr>
          <w:p w14:paraId="40182425"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highlight w:val="cyan"/>
                <w:lang w:eastAsia="en-GB"/>
                <w14:ligatures w14:val="none"/>
              </w:rPr>
              <w:t>NAME REDACTED</w:t>
            </w:r>
            <w:r w:rsidRPr="00E16179">
              <w:rPr>
                <w:rFonts w:eastAsia="Times New Roman" w:cstheme="minorHAnsi"/>
                <w:color w:val="000000"/>
                <w:kern w:val="0"/>
                <w:lang w:eastAsia="en-GB"/>
                <w14:ligatures w14:val="none"/>
              </w:rPr>
              <w:t xml:space="preserve"> was lovely, </w:t>
            </w:r>
            <w:r w:rsidRPr="00E16179">
              <w:rPr>
                <w:rFonts w:eastAsia="Times New Roman" w:cstheme="minorHAnsi"/>
                <w:color w:val="000000"/>
                <w:kern w:val="0"/>
                <w:highlight w:val="yellow"/>
                <w:lang w:eastAsia="en-GB"/>
                <w14:ligatures w14:val="none"/>
              </w:rPr>
              <w:t>knowledgeable</w:t>
            </w:r>
            <w:r w:rsidRPr="00E16179">
              <w:rPr>
                <w:rFonts w:eastAsia="Times New Roman" w:cstheme="minorHAnsi"/>
                <w:color w:val="000000"/>
                <w:kern w:val="0"/>
                <w:lang w:eastAsia="en-GB"/>
                <w14:ligatures w14:val="none"/>
              </w:rPr>
              <w:t xml:space="preserve"> and really fun. Thoroughly enjoyed our tour!</w:t>
            </w:r>
          </w:p>
        </w:tc>
      </w:tr>
      <w:tr w:rsidR="00047316" w:rsidRPr="00E16179" w14:paraId="5B24D52D" w14:textId="77777777" w:rsidTr="00EA4B74">
        <w:trPr>
          <w:trHeight w:val="300"/>
        </w:trPr>
        <w:tc>
          <w:tcPr>
            <w:tcW w:w="1200" w:type="dxa"/>
            <w:noWrap/>
            <w:hideMark/>
          </w:tcPr>
          <w:p w14:paraId="2ECDBF80"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lang w:eastAsia="en-GB"/>
                <w14:ligatures w14:val="none"/>
              </w:rPr>
              <w:t>Brecon</w:t>
            </w:r>
          </w:p>
        </w:tc>
        <w:tc>
          <w:tcPr>
            <w:tcW w:w="7816" w:type="dxa"/>
            <w:noWrap/>
            <w:hideMark/>
          </w:tcPr>
          <w:p w14:paraId="26385BC1"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lang w:eastAsia="en-GB"/>
                <w14:ligatures w14:val="none"/>
              </w:rPr>
              <w:t>Enjoyed the tour, Great whisky.</w:t>
            </w:r>
          </w:p>
        </w:tc>
      </w:tr>
      <w:tr w:rsidR="00047316" w:rsidRPr="00E16179" w14:paraId="6344F4F9" w14:textId="77777777" w:rsidTr="00EA4B74">
        <w:trPr>
          <w:trHeight w:val="300"/>
        </w:trPr>
        <w:tc>
          <w:tcPr>
            <w:tcW w:w="1200" w:type="dxa"/>
            <w:noWrap/>
            <w:hideMark/>
          </w:tcPr>
          <w:p w14:paraId="2F1305ED"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lang w:eastAsia="en-GB"/>
                <w14:ligatures w14:val="none"/>
              </w:rPr>
              <w:t>Brecon</w:t>
            </w:r>
          </w:p>
        </w:tc>
        <w:tc>
          <w:tcPr>
            <w:tcW w:w="7816" w:type="dxa"/>
            <w:noWrap/>
            <w:hideMark/>
          </w:tcPr>
          <w:p w14:paraId="07D72221"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lang w:eastAsia="en-GB"/>
                <w14:ligatures w14:val="none"/>
              </w:rPr>
              <w:t xml:space="preserve">Good information, made it fun and </w:t>
            </w:r>
            <w:r w:rsidRPr="00E16179">
              <w:rPr>
                <w:rFonts w:eastAsia="Times New Roman" w:cstheme="minorHAnsi"/>
                <w:color w:val="000000"/>
                <w:kern w:val="0"/>
                <w:highlight w:val="yellow"/>
                <w:lang w:eastAsia="en-GB"/>
                <w14:ligatures w14:val="none"/>
              </w:rPr>
              <w:t>informative</w:t>
            </w:r>
          </w:p>
        </w:tc>
      </w:tr>
      <w:tr w:rsidR="00047316" w:rsidRPr="00E16179" w14:paraId="0374548B" w14:textId="77777777" w:rsidTr="00EA4B74">
        <w:trPr>
          <w:trHeight w:val="300"/>
        </w:trPr>
        <w:tc>
          <w:tcPr>
            <w:tcW w:w="1200" w:type="dxa"/>
            <w:noWrap/>
            <w:hideMark/>
          </w:tcPr>
          <w:p w14:paraId="6776DC01"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lang w:eastAsia="en-GB"/>
                <w14:ligatures w14:val="none"/>
              </w:rPr>
              <w:t>Brecon</w:t>
            </w:r>
          </w:p>
        </w:tc>
        <w:tc>
          <w:tcPr>
            <w:tcW w:w="7816" w:type="dxa"/>
            <w:noWrap/>
            <w:hideMark/>
          </w:tcPr>
          <w:p w14:paraId="55E3139D"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highlight w:val="cyan"/>
                <w:lang w:eastAsia="en-GB"/>
                <w14:ligatures w14:val="none"/>
              </w:rPr>
              <w:t>NAME REDACTED</w:t>
            </w:r>
            <w:r w:rsidRPr="00E16179">
              <w:rPr>
                <w:rFonts w:eastAsia="Times New Roman" w:cstheme="minorHAnsi"/>
                <w:color w:val="000000"/>
                <w:kern w:val="0"/>
                <w:lang w:eastAsia="en-GB"/>
                <w14:ligatures w14:val="none"/>
              </w:rPr>
              <w:t xml:space="preserve"> was wonderful. </w:t>
            </w:r>
            <w:r w:rsidRPr="00E16179">
              <w:rPr>
                <w:rFonts w:eastAsia="Times New Roman" w:cstheme="minorHAnsi"/>
                <w:color w:val="000000"/>
                <w:kern w:val="0"/>
                <w:highlight w:val="yellow"/>
                <w:lang w:eastAsia="en-GB"/>
                <w14:ligatures w14:val="none"/>
              </w:rPr>
              <w:t>Knowledgeable</w:t>
            </w:r>
            <w:r w:rsidRPr="00E16179">
              <w:rPr>
                <w:rFonts w:eastAsia="Times New Roman" w:cstheme="minorHAnsi"/>
                <w:color w:val="000000"/>
                <w:kern w:val="0"/>
                <w:lang w:eastAsia="en-GB"/>
                <w14:ligatures w14:val="none"/>
              </w:rPr>
              <w:t xml:space="preserve"> and funny</w:t>
            </w:r>
          </w:p>
        </w:tc>
      </w:tr>
      <w:tr w:rsidR="00047316" w:rsidRPr="00E16179" w14:paraId="2A9A953F" w14:textId="77777777" w:rsidTr="00EA4B74">
        <w:trPr>
          <w:trHeight w:val="300"/>
        </w:trPr>
        <w:tc>
          <w:tcPr>
            <w:tcW w:w="1200" w:type="dxa"/>
            <w:noWrap/>
            <w:hideMark/>
          </w:tcPr>
          <w:p w14:paraId="20DBF831"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lang w:eastAsia="en-GB"/>
                <w14:ligatures w14:val="none"/>
              </w:rPr>
              <w:t>Brecon</w:t>
            </w:r>
          </w:p>
        </w:tc>
        <w:tc>
          <w:tcPr>
            <w:tcW w:w="7816" w:type="dxa"/>
            <w:noWrap/>
            <w:hideMark/>
          </w:tcPr>
          <w:p w14:paraId="31CD4346"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highlight w:val="cyan"/>
                <w:lang w:eastAsia="en-GB"/>
                <w14:ligatures w14:val="none"/>
              </w:rPr>
              <w:t>NAME REDACTED</w:t>
            </w:r>
            <w:r w:rsidRPr="00E16179">
              <w:rPr>
                <w:rFonts w:eastAsia="Times New Roman" w:cstheme="minorHAnsi"/>
                <w:color w:val="000000"/>
                <w:kern w:val="0"/>
                <w:lang w:eastAsia="en-GB"/>
                <w14:ligatures w14:val="none"/>
              </w:rPr>
              <w:t xml:space="preserve"> was brilliant! </w:t>
            </w:r>
            <w:r w:rsidRPr="00E16179">
              <w:rPr>
                <w:rFonts w:eastAsia="Times New Roman" w:cstheme="minorHAnsi"/>
                <w:color w:val="000000"/>
                <w:kern w:val="0"/>
                <w:highlight w:val="yellow"/>
                <w:lang w:eastAsia="en-GB"/>
                <w14:ligatures w14:val="none"/>
              </w:rPr>
              <w:t>Knowledgeable</w:t>
            </w:r>
            <w:r w:rsidRPr="00E16179">
              <w:rPr>
                <w:rFonts w:eastAsia="Times New Roman" w:cstheme="minorHAnsi"/>
                <w:color w:val="000000"/>
                <w:kern w:val="0"/>
                <w:lang w:eastAsia="en-GB"/>
                <w14:ligatures w14:val="none"/>
              </w:rPr>
              <w:t xml:space="preserve">, warm and funny. </w:t>
            </w:r>
            <w:proofErr w:type="gramStart"/>
            <w:r w:rsidRPr="00E16179">
              <w:rPr>
                <w:rFonts w:eastAsia="Times New Roman" w:cstheme="minorHAnsi"/>
                <w:color w:val="000000"/>
                <w:kern w:val="0"/>
                <w:lang w:eastAsia="en-GB"/>
                <w14:ligatures w14:val="none"/>
              </w:rPr>
              <w:t>Couldn’t</w:t>
            </w:r>
            <w:proofErr w:type="gramEnd"/>
            <w:r w:rsidRPr="00E16179">
              <w:rPr>
                <w:rFonts w:eastAsia="Times New Roman" w:cstheme="minorHAnsi"/>
                <w:color w:val="000000"/>
                <w:kern w:val="0"/>
                <w:lang w:eastAsia="en-GB"/>
                <w14:ligatures w14:val="none"/>
              </w:rPr>
              <w:t xml:space="preserve"> have asked for a better guide</w:t>
            </w:r>
          </w:p>
        </w:tc>
      </w:tr>
      <w:tr w:rsidR="00047316" w:rsidRPr="00E16179" w14:paraId="14A6E73A" w14:textId="77777777" w:rsidTr="00EA4B74">
        <w:trPr>
          <w:trHeight w:val="300"/>
        </w:trPr>
        <w:tc>
          <w:tcPr>
            <w:tcW w:w="1200" w:type="dxa"/>
            <w:noWrap/>
            <w:hideMark/>
          </w:tcPr>
          <w:p w14:paraId="075C49F0"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lang w:eastAsia="en-GB"/>
                <w14:ligatures w14:val="none"/>
              </w:rPr>
              <w:t>Brecon</w:t>
            </w:r>
          </w:p>
        </w:tc>
        <w:tc>
          <w:tcPr>
            <w:tcW w:w="7816" w:type="dxa"/>
            <w:noWrap/>
            <w:hideMark/>
          </w:tcPr>
          <w:p w14:paraId="7A8D2A91"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lang w:eastAsia="en-GB"/>
                <w14:ligatures w14:val="none"/>
              </w:rPr>
              <w:t xml:space="preserve">Great tour guide who provided a lot great </w:t>
            </w:r>
            <w:r w:rsidRPr="00E16179">
              <w:rPr>
                <w:rFonts w:eastAsia="Times New Roman" w:cstheme="minorHAnsi"/>
                <w:color w:val="000000"/>
                <w:kern w:val="0"/>
                <w:highlight w:val="yellow"/>
                <w:lang w:eastAsia="en-GB"/>
                <w14:ligatures w14:val="none"/>
              </w:rPr>
              <w:t>information</w:t>
            </w:r>
          </w:p>
        </w:tc>
      </w:tr>
      <w:tr w:rsidR="00047316" w:rsidRPr="00E16179" w14:paraId="4FD93D2D" w14:textId="77777777" w:rsidTr="00EA4B74">
        <w:trPr>
          <w:trHeight w:val="300"/>
        </w:trPr>
        <w:tc>
          <w:tcPr>
            <w:tcW w:w="1200" w:type="dxa"/>
            <w:noWrap/>
            <w:hideMark/>
          </w:tcPr>
          <w:p w14:paraId="62015AEF"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lang w:eastAsia="en-GB"/>
                <w14:ligatures w14:val="none"/>
              </w:rPr>
              <w:t>Brecon</w:t>
            </w:r>
          </w:p>
        </w:tc>
        <w:tc>
          <w:tcPr>
            <w:tcW w:w="7816" w:type="dxa"/>
            <w:noWrap/>
            <w:hideMark/>
          </w:tcPr>
          <w:p w14:paraId="690A6BDF"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lang w:eastAsia="en-GB"/>
                <w14:ligatures w14:val="none"/>
              </w:rPr>
              <w:t>Excellent tour guide really chatty and helpful</w:t>
            </w:r>
          </w:p>
        </w:tc>
      </w:tr>
      <w:tr w:rsidR="00047316" w:rsidRPr="00E16179" w14:paraId="28DD2365" w14:textId="77777777" w:rsidTr="00EA4B74">
        <w:trPr>
          <w:trHeight w:val="300"/>
        </w:trPr>
        <w:tc>
          <w:tcPr>
            <w:tcW w:w="1200" w:type="dxa"/>
            <w:noWrap/>
            <w:hideMark/>
          </w:tcPr>
          <w:p w14:paraId="5C0CC827"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lang w:eastAsia="en-GB"/>
                <w14:ligatures w14:val="none"/>
              </w:rPr>
              <w:t>Brecon</w:t>
            </w:r>
          </w:p>
        </w:tc>
        <w:tc>
          <w:tcPr>
            <w:tcW w:w="7816" w:type="dxa"/>
            <w:noWrap/>
            <w:hideMark/>
          </w:tcPr>
          <w:p w14:paraId="71677414"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lang w:eastAsia="en-GB"/>
                <w14:ligatures w14:val="none"/>
              </w:rPr>
              <w:t>Excellent tour guide, really chatty and helpful</w:t>
            </w:r>
          </w:p>
        </w:tc>
      </w:tr>
      <w:tr w:rsidR="00047316" w:rsidRPr="00E16179" w14:paraId="1B5D3086" w14:textId="77777777" w:rsidTr="00EA4B74">
        <w:trPr>
          <w:trHeight w:val="300"/>
        </w:trPr>
        <w:tc>
          <w:tcPr>
            <w:tcW w:w="1200" w:type="dxa"/>
            <w:noWrap/>
            <w:hideMark/>
          </w:tcPr>
          <w:p w14:paraId="46A3A48B"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lang w:eastAsia="en-GB"/>
                <w14:ligatures w14:val="none"/>
              </w:rPr>
              <w:lastRenderedPageBreak/>
              <w:t>Llandudno</w:t>
            </w:r>
          </w:p>
        </w:tc>
        <w:tc>
          <w:tcPr>
            <w:tcW w:w="7816" w:type="dxa"/>
            <w:noWrap/>
            <w:hideMark/>
          </w:tcPr>
          <w:p w14:paraId="0EEC53F2"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highlight w:val="cyan"/>
                <w:lang w:eastAsia="en-GB"/>
                <w14:ligatures w14:val="none"/>
              </w:rPr>
              <w:t>NAME REDACTED</w:t>
            </w:r>
            <w:r w:rsidRPr="00E16179">
              <w:rPr>
                <w:rFonts w:eastAsia="Times New Roman" w:cstheme="minorHAnsi"/>
                <w:color w:val="000000"/>
                <w:kern w:val="0"/>
                <w:lang w:eastAsia="en-GB"/>
                <w14:ligatures w14:val="none"/>
              </w:rPr>
              <w:t xml:space="preserve"> was a great tour guide - very </w:t>
            </w:r>
            <w:r w:rsidRPr="00E16179">
              <w:rPr>
                <w:rFonts w:eastAsia="Times New Roman" w:cstheme="minorHAnsi"/>
                <w:color w:val="000000"/>
                <w:kern w:val="0"/>
                <w:highlight w:val="yellow"/>
                <w:lang w:eastAsia="en-GB"/>
                <w14:ligatures w14:val="none"/>
              </w:rPr>
              <w:t>knowledgeable</w:t>
            </w:r>
            <w:r w:rsidRPr="00E16179">
              <w:rPr>
                <w:rFonts w:eastAsia="Times New Roman" w:cstheme="minorHAnsi"/>
                <w:color w:val="000000"/>
                <w:kern w:val="0"/>
                <w:lang w:eastAsia="en-GB"/>
                <w14:ligatures w14:val="none"/>
              </w:rPr>
              <w:t xml:space="preserve"> and enthusiastic bringing the whisky to life. We </w:t>
            </w:r>
            <w:r w:rsidRPr="00E16179">
              <w:rPr>
                <w:rFonts w:eastAsia="Times New Roman" w:cstheme="minorHAnsi"/>
                <w:color w:val="000000"/>
                <w:kern w:val="0"/>
                <w:highlight w:val="yellow"/>
                <w:lang w:eastAsia="en-GB"/>
                <w14:ligatures w14:val="none"/>
              </w:rPr>
              <w:t>learnt a great deal</w:t>
            </w:r>
            <w:r w:rsidRPr="00E16179">
              <w:rPr>
                <w:rFonts w:eastAsia="Times New Roman" w:cstheme="minorHAnsi"/>
                <w:color w:val="000000"/>
                <w:kern w:val="0"/>
                <w:lang w:eastAsia="en-GB"/>
                <w14:ligatures w14:val="none"/>
              </w:rPr>
              <w:t xml:space="preserve"> and had fun too! Thanks </w:t>
            </w:r>
            <w:r w:rsidRPr="00E16179">
              <w:rPr>
                <w:rFonts w:eastAsia="Times New Roman" w:cstheme="minorHAnsi"/>
                <w:color w:val="000000"/>
                <w:kern w:val="0"/>
                <w:highlight w:val="cyan"/>
                <w:lang w:eastAsia="en-GB"/>
                <w14:ligatures w14:val="none"/>
              </w:rPr>
              <w:t>NAME REDACTED</w:t>
            </w:r>
          </w:p>
        </w:tc>
      </w:tr>
      <w:tr w:rsidR="00047316" w:rsidRPr="00E16179" w14:paraId="794CC49F" w14:textId="77777777" w:rsidTr="00EA4B74">
        <w:trPr>
          <w:trHeight w:val="300"/>
        </w:trPr>
        <w:tc>
          <w:tcPr>
            <w:tcW w:w="1200" w:type="dxa"/>
            <w:noWrap/>
            <w:hideMark/>
          </w:tcPr>
          <w:p w14:paraId="611B54B4"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lang w:eastAsia="en-GB"/>
                <w14:ligatures w14:val="none"/>
              </w:rPr>
              <w:t>Brecon</w:t>
            </w:r>
          </w:p>
        </w:tc>
        <w:tc>
          <w:tcPr>
            <w:tcW w:w="7816" w:type="dxa"/>
            <w:noWrap/>
            <w:hideMark/>
          </w:tcPr>
          <w:p w14:paraId="708D56ED"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highlight w:val="cyan"/>
                <w:lang w:eastAsia="en-GB"/>
                <w14:ligatures w14:val="none"/>
              </w:rPr>
              <w:t>NAME REDACTED</w:t>
            </w:r>
            <w:r w:rsidRPr="00E16179">
              <w:rPr>
                <w:rFonts w:eastAsia="Times New Roman" w:cstheme="minorHAnsi"/>
                <w:color w:val="000000"/>
                <w:kern w:val="0"/>
                <w:lang w:eastAsia="en-GB"/>
                <w14:ligatures w14:val="none"/>
              </w:rPr>
              <w:t xml:space="preserve"> was fantastic very </w:t>
            </w:r>
            <w:r w:rsidRPr="00E16179">
              <w:rPr>
                <w:rFonts w:eastAsia="Times New Roman" w:cstheme="minorHAnsi"/>
                <w:color w:val="000000"/>
                <w:kern w:val="0"/>
                <w:highlight w:val="yellow"/>
                <w:lang w:eastAsia="en-GB"/>
                <w14:ligatures w14:val="none"/>
              </w:rPr>
              <w:t>knowledgeable</w:t>
            </w:r>
            <w:r w:rsidRPr="00E16179">
              <w:rPr>
                <w:rFonts w:eastAsia="Times New Roman" w:cstheme="minorHAnsi"/>
                <w:color w:val="000000"/>
                <w:kern w:val="0"/>
                <w:lang w:eastAsia="en-GB"/>
                <w14:ligatures w14:val="none"/>
              </w:rPr>
              <w:t>, friendly! Definitely would like to re book back in for the master class!</w:t>
            </w:r>
          </w:p>
        </w:tc>
      </w:tr>
      <w:tr w:rsidR="00047316" w:rsidRPr="00E16179" w14:paraId="30BD990B" w14:textId="77777777" w:rsidTr="00EA4B74">
        <w:trPr>
          <w:trHeight w:val="300"/>
        </w:trPr>
        <w:tc>
          <w:tcPr>
            <w:tcW w:w="1200" w:type="dxa"/>
            <w:noWrap/>
            <w:hideMark/>
          </w:tcPr>
          <w:p w14:paraId="111FF1CA"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lang w:eastAsia="en-GB"/>
                <w14:ligatures w14:val="none"/>
              </w:rPr>
              <w:t>Brecon</w:t>
            </w:r>
          </w:p>
        </w:tc>
        <w:tc>
          <w:tcPr>
            <w:tcW w:w="7816" w:type="dxa"/>
            <w:noWrap/>
            <w:hideMark/>
          </w:tcPr>
          <w:p w14:paraId="118B86C3" w14:textId="77777777" w:rsidR="00047316" w:rsidRPr="00E16179" w:rsidRDefault="00047316" w:rsidP="00EA4B74">
            <w:pPr>
              <w:jc w:val="center"/>
              <w:rPr>
                <w:rFonts w:eastAsia="Times New Roman" w:cstheme="minorHAnsi"/>
                <w:color w:val="000000"/>
                <w:kern w:val="0"/>
                <w:lang w:eastAsia="en-GB"/>
                <w14:ligatures w14:val="none"/>
              </w:rPr>
            </w:pPr>
            <w:proofErr w:type="gramStart"/>
            <w:r w:rsidRPr="00E16179">
              <w:rPr>
                <w:rFonts w:eastAsia="Times New Roman" w:cstheme="minorHAnsi"/>
                <w:color w:val="000000"/>
                <w:kern w:val="0"/>
                <w:lang w:eastAsia="en-GB"/>
                <w14:ligatures w14:val="none"/>
              </w:rPr>
              <w:t>Can't</w:t>
            </w:r>
            <w:proofErr w:type="gramEnd"/>
            <w:r w:rsidRPr="00E16179">
              <w:rPr>
                <w:rFonts w:eastAsia="Times New Roman" w:cstheme="minorHAnsi"/>
                <w:color w:val="000000"/>
                <w:kern w:val="0"/>
                <w:lang w:eastAsia="en-GB"/>
                <w14:ligatures w14:val="none"/>
              </w:rPr>
              <w:t xml:space="preserve"> remember the ladies name but she was lovely. Really passionate about the whiskey and </w:t>
            </w:r>
            <w:r w:rsidRPr="00E16179">
              <w:rPr>
                <w:rFonts w:eastAsia="Times New Roman" w:cstheme="minorHAnsi"/>
                <w:color w:val="000000"/>
                <w:kern w:val="0"/>
                <w:highlight w:val="yellow"/>
                <w:lang w:eastAsia="en-GB"/>
                <w14:ligatures w14:val="none"/>
              </w:rPr>
              <w:t>knowledgeable</w:t>
            </w:r>
            <w:r w:rsidRPr="00E16179">
              <w:rPr>
                <w:rFonts w:eastAsia="Times New Roman" w:cstheme="minorHAnsi"/>
                <w:color w:val="000000"/>
                <w:kern w:val="0"/>
                <w:lang w:eastAsia="en-GB"/>
                <w14:ligatures w14:val="none"/>
              </w:rPr>
              <w:t xml:space="preserve"> about the process. Shared a few laughs. All round lovely experience</w:t>
            </w:r>
          </w:p>
        </w:tc>
      </w:tr>
      <w:tr w:rsidR="00047316" w:rsidRPr="00E16179" w14:paraId="2F2233BD" w14:textId="77777777" w:rsidTr="00EA4B74">
        <w:trPr>
          <w:trHeight w:val="300"/>
        </w:trPr>
        <w:tc>
          <w:tcPr>
            <w:tcW w:w="1200" w:type="dxa"/>
            <w:noWrap/>
            <w:hideMark/>
          </w:tcPr>
          <w:p w14:paraId="74A5094B"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lang w:eastAsia="en-GB"/>
                <w14:ligatures w14:val="none"/>
              </w:rPr>
              <w:t>Brecon</w:t>
            </w:r>
          </w:p>
        </w:tc>
        <w:tc>
          <w:tcPr>
            <w:tcW w:w="7816" w:type="dxa"/>
            <w:noWrap/>
            <w:hideMark/>
          </w:tcPr>
          <w:p w14:paraId="7A627B54"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highlight w:val="cyan"/>
                <w:lang w:eastAsia="en-GB"/>
                <w14:ligatures w14:val="none"/>
              </w:rPr>
              <w:t>NAME REDACTED</w:t>
            </w:r>
            <w:r w:rsidRPr="00E16179">
              <w:rPr>
                <w:rFonts w:eastAsia="Times New Roman" w:cstheme="minorHAnsi"/>
                <w:color w:val="000000"/>
                <w:kern w:val="0"/>
                <w:lang w:eastAsia="en-GB"/>
                <w14:ligatures w14:val="none"/>
              </w:rPr>
              <w:t xml:space="preserve"> was very </w:t>
            </w:r>
            <w:r w:rsidRPr="00E16179">
              <w:rPr>
                <w:rFonts w:eastAsia="Times New Roman" w:cstheme="minorHAnsi"/>
                <w:color w:val="000000"/>
                <w:kern w:val="0"/>
                <w:highlight w:val="yellow"/>
                <w:lang w:eastAsia="en-GB"/>
                <w14:ligatures w14:val="none"/>
              </w:rPr>
              <w:t>knowledgeable</w:t>
            </w:r>
            <w:r w:rsidRPr="00E16179">
              <w:rPr>
                <w:rFonts w:eastAsia="Times New Roman" w:cstheme="minorHAnsi"/>
                <w:color w:val="000000"/>
                <w:kern w:val="0"/>
                <w:lang w:eastAsia="en-GB"/>
                <w14:ligatures w14:val="none"/>
              </w:rPr>
              <w:t xml:space="preserve"> and incredibly entertaining. She managed the group with ease and was very engaging</w:t>
            </w:r>
          </w:p>
        </w:tc>
      </w:tr>
      <w:tr w:rsidR="00047316" w:rsidRPr="00E16179" w14:paraId="75B3916B" w14:textId="77777777" w:rsidTr="00EA4B74">
        <w:trPr>
          <w:trHeight w:val="300"/>
        </w:trPr>
        <w:tc>
          <w:tcPr>
            <w:tcW w:w="1200" w:type="dxa"/>
            <w:noWrap/>
            <w:hideMark/>
          </w:tcPr>
          <w:p w14:paraId="4E2794A1"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lang w:eastAsia="en-GB"/>
                <w14:ligatures w14:val="none"/>
              </w:rPr>
              <w:t>Brecon</w:t>
            </w:r>
          </w:p>
        </w:tc>
        <w:tc>
          <w:tcPr>
            <w:tcW w:w="7816" w:type="dxa"/>
            <w:noWrap/>
            <w:hideMark/>
          </w:tcPr>
          <w:p w14:paraId="5F7DBC74"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lang w:eastAsia="en-GB"/>
                <w14:ligatures w14:val="none"/>
              </w:rPr>
              <w:t xml:space="preserve">Terrifically entertaining and </w:t>
            </w:r>
            <w:r w:rsidRPr="00E16179">
              <w:rPr>
                <w:rFonts w:eastAsia="Times New Roman" w:cstheme="minorHAnsi"/>
                <w:color w:val="000000"/>
                <w:kern w:val="0"/>
                <w:highlight w:val="yellow"/>
                <w:lang w:eastAsia="en-GB"/>
                <w14:ligatures w14:val="none"/>
              </w:rPr>
              <w:t>informative</w:t>
            </w:r>
            <w:r w:rsidRPr="00E16179">
              <w:rPr>
                <w:rFonts w:eastAsia="Times New Roman" w:cstheme="minorHAnsi"/>
                <w:color w:val="000000"/>
                <w:kern w:val="0"/>
                <w:lang w:eastAsia="en-GB"/>
                <w14:ligatures w14:val="none"/>
              </w:rPr>
              <w:t>. How whiskey is made is only so interesting, honestly, but the tour guide added zest and charm to make the time fly by.</w:t>
            </w:r>
          </w:p>
        </w:tc>
      </w:tr>
      <w:tr w:rsidR="00047316" w:rsidRPr="00E16179" w14:paraId="5C5B750D" w14:textId="77777777" w:rsidTr="00EA4B74">
        <w:trPr>
          <w:trHeight w:val="300"/>
        </w:trPr>
        <w:tc>
          <w:tcPr>
            <w:tcW w:w="1200" w:type="dxa"/>
            <w:noWrap/>
            <w:hideMark/>
          </w:tcPr>
          <w:p w14:paraId="04DEA990"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lang w:eastAsia="en-GB"/>
                <w14:ligatures w14:val="none"/>
              </w:rPr>
              <w:t>Brecon</w:t>
            </w:r>
          </w:p>
        </w:tc>
        <w:tc>
          <w:tcPr>
            <w:tcW w:w="7816" w:type="dxa"/>
            <w:noWrap/>
            <w:hideMark/>
          </w:tcPr>
          <w:p w14:paraId="6D1BBE2B"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lang w:eastAsia="en-GB"/>
                <w14:ligatures w14:val="none"/>
              </w:rPr>
              <w:t xml:space="preserve">Excellent tour, really </w:t>
            </w:r>
            <w:r w:rsidRPr="00E16179">
              <w:rPr>
                <w:rFonts w:eastAsia="Times New Roman" w:cstheme="minorHAnsi"/>
                <w:color w:val="000000"/>
                <w:kern w:val="0"/>
                <w:highlight w:val="yellow"/>
                <w:lang w:eastAsia="en-GB"/>
                <w14:ligatures w14:val="none"/>
              </w:rPr>
              <w:t>informative</w:t>
            </w:r>
          </w:p>
        </w:tc>
      </w:tr>
      <w:tr w:rsidR="00047316" w:rsidRPr="00E16179" w14:paraId="2301A701" w14:textId="77777777" w:rsidTr="00EA4B74">
        <w:trPr>
          <w:trHeight w:val="300"/>
        </w:trPr>
        <w:tc>
          <w:tcPr>
            <w:tcW w:w="1200" w:type="dxa"/>
            <w:noWrap/>
            <w:hideMark/>
          </w:tcPr>
          <w:p w14:paraId="3BA65042"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lang w:eastAsia="en-GB"/>
                <w14:ligatures w14:val="none"/>
              </w:rPr>
              <w:t>Brecon</w:t>
            </w:r>
          </w:p>
        </w:tc>
        <w:tc>
          <w:tcPr>
            <w:tcW w:w="7816" w:type="dxa"/>
            <w:noWrap/>
            <w:hideMark/>
          </w:tcPr>
          <w:p w14:paraId="7661DA53"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lang w:eastAsia="en-GB"/>
                <w14:ligatures w14:val="none"/>
              </w:rPr>
              <w:t xml:space="preserve">Interesting nuggets of the history and the </w:t>
            </w:r>
            <w:r w:rsidRPr="00E16179">
              <w:rPr>
                <w:rFonts w:eastAsia="Times New Roman" w:cstheme="minorHAnsi"/>
                <w:color w:val="000000"/>
                <w:kern w:val="0"/>
                <w:highlight w:val="yellow"/>
                <w:lang w:eastAsia="en-GB"/>
                <w14:ligatures w14:val="none"/>
              </w:rPr>
              <w:t>knowledge</w:t>
            </w:r>
            <w:r w:rsidRPr="00E16179">
              <w:rPr>
                <w:rFonts w:eastAsia="Times New Roman" w:cstheme="minorHAnsi"/>
                <w:color w:val="000000"/>
                <w:kern w:val="0"/>
                <w:lang w:eastAsia="en-GB"/>
                <w14:ligatures w14:val="none"/>
              </w:rPr>
              <w:t xml:space="preserve"> of the distillery. Engaging, super friendly guide (</w:t>
            </w:r>
            <w:r w:rsidRPr="00E16179">
              <w:rPr>
                <w:rFonts w:eastAsia="Times New Roman" w:cstheme="minorHAnsi"/>
                <w:color w:val="000000"/>
                <w:kern w:val="0"/>
                <w:highlight w:val="cyan"/>
                <w:lang w:eastAsia="en-GB"/>
                <w14:ligatures w14:val="none"/>
              </w:rPr>
              <w:t>NAME REDACTED</w:t>
            </w:r>
            <w:r w:rsidRPr="00E16179">
              <w:rPr>
                <w:rFonts w:eastAsia="Times New Roman" w:cstheme="minorHAnsi"/>
                <w:color w:val="000000"/>
                <w:kern w:val="0"/>
                <w:lang w:eastAsia="en-GB"/>
                <w14:ligatures w14:val="none"/>
              </w:rPr>
              <w:t>)</w:t>
            </w:r>
          </w:p>
        </w:tc>
      </w:tr>
      <w:tr w:rsidR="00047316" w:rsidRPr="00E16179" w14:paraId="1BCF55D8" w14:textId="77777777" w:rsidTr="00EA4B74">
        <w:trPr>
          <w:trHeight w:val="300"/>
        </w:trPr>
        <w:tc>
          <w:tcPr>
            <w:tcW w:w="1200" w:type="dxa"/>
            <w:noWrap/>
            <w:hideMark/>
          </w:tcPr>
          <w:p w14:paraId="117086CA"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lang w:eastAsia="en-GB"/>
                <w14:ligatures w14:val="none"/>
              </w:rPr>
              <w:t>Brecon</w:t>
            </w:r>
          </w:p>
        </w:tc>
        <w:tc>
          <w:tcPr>
            <w:tcW w:w="7816" w:type="dxa"/>
            <w:noWrap/>
            <w:hideMark/>
          </w:tcPr>
          <w:p w14:paraId="24EFBA6B"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lang w:eastAsia="en-GB"/>
                <w14:ligatures w14:val="none"/>
              </w:rPr>
              <w:t xml:space="preserve">Very relaxed and enjoyable experience </w:t>
            </w:r>
            <w:r w:rsidRPr="00E16179">
              <w:rPr>
                <w:rFonts w:eastAsia="Times New Roman" w:cstheme="minorHAnsi"/>
                <w:color w:val="000000"/>
                <w:kern w:val="0"/>
                <w:highlight w:val="cyan"/>
                <w:lang w:eastAsia="en-GB"/>
                <w14:ligatures w14:val="none"/>
              </w:rPr>
              <w:t>NAME REDACTED</w:t>
            </w:r>
            <w:r w:rsidRPr="00E16179">
              <w:rPr>
                <w:rFonts w:eastAsia="Times New Roman" w:cstheme="minorHAnsi"/>
                <w:color w:val="000000"/>
                <w:kern w:val="0"/>
                <w:lang w:eastAsia="en-GB"/>
                <w14:ligatures w14:val="none"/>
              </w:rPr>
              <w:t xml:space="preserve"> made it </w:t>
            </w:r>
            <w:r w:rsidRPr="00E16179">
              <w:rPr>
                <w:rFonts w:eastAsia="Times New Roman" w:cstheme="minorHAnsi"/>
                <w:color w:val="000000"/>
                <w:kern w:val="0"/>
                <w:highlight w:val="yellow"/>
                <w:lang w:eastAsia="en-GB"/>
                <w14:ligatures w14:val="none"/>
              </w:rPr>
              <w:t>informative</w:t>
            </w:r>
            <w:r w:rsidRPr="00E16179">
              <w:rPr>
                <w:rFonts w:eastAsia="Times New Roman" w:cstheme="minorHAnsi"/>
                <w:color w:val="000000"/>
                <w:kern w:val="0"/>
                <w:lang w:eastAsia="en-GB"/>
                <w14:ligatures w14:val="none"/>
              </w:rPr>
              <w:t xml:space="preserve"> but entertaining.</w:t>
            </w:r>
          </w:p>
        </w:tc>
      </w:tr>
      <w:tr w:rsidR="00047316" w:rsidRPr="00E16179" w14:paraId="5F999FB0" w14:textId="77777777" w:rsidTr="00EA4B74">
        <w:trPr>
          <w:trHeight w:val="300"/>
        </w:trPr>
        <w:tc>
          <w:tcPr>
            <w:tcW w:w="1200" w:type="dxa"/>
            <w:noWrap/>
            <w:hideMark/>
          </w:tcPr>
          <w:p w14:paraId="7C1CF111"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lang w:eastAsia="en-GB"/>
                <w14:ligatures w14:val="none"/>
              </w:rPr>
              <w:t>Brecon</w:t>
            </w:r>
          </w:p>
        </w:tc>
        <w:tc>
          <w:tcPr>
            <w:tcW w:w="7816" w:type="dxa"/>
            <w:noWrap/>
            <w:hideMark/>
          </w:tcPr>
          <w:p w14:paraId="7D5922D1"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highlight w:val="yellow"/>
                <w:lang w:eastAsia="en-GB"/>
                <w14:ligatures w14:val="none"/>
              </w:rPr>
              <w:t>Detailed explanation</w:t>
            </w:r>
            <w:r w:rsidRPr="00E16179">
              <w:rPr>
                <w:rFonts w:eastAsia="Times New Roman" w:cstheme="minorHAnsi"/>
                <w:color w:val="000000"/>
                <w:kern w:val="0"/>
                <w:lang w:eastAsia="en-GB"/>
                <w14:ligatures w14:val="none"/>
              </w:rPr>
              <w:t xml:space="preserve"> about each type of whisky. Forgot her name but I took a tour from 3pm on 24th November.</w:t>
            </w:r>
          </w:p>
        </w:tc>
      </w:tr>
      <w:tr w:rsidR="00047316" w:rsidRPr="00E16179" w14:paraId="78A4C879" w14:textId="77777777" w:rsidTr="00EA4B74">
        <w:trPr>
          <w:trHeight w:val="300"/>
        </w:trPr>
        <w:tc>
          <w:tcPr>
            <w:tcW w:w="1200" w:type="dxa"/>
            <w:noWrap/>
            <w:hideMark/>
          </w:tcPr>
          <w:p w14:paraId="23901535"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lang w:eastAsia="en-GB"/>
                <w14:ligatures w14:val="none"/>
              </w:rPr>
              <w:t>Brecon</w:t>
            </w:r>
          </w:p>
        </w:tc>
        <w:tc>
          <w:tcPr>
            <w:tcW w:w="7816" w:type="dxa"/>
            <w:noWrap/>
            <w:hideMark/>
          </w:tcPr>
          <w:p w14:paraId="698A45CD"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highlight w:val="cyan"/>
                <w:lang w:eastAsia="en-GB"/>
                <w14:ligatures w14:val="none"/>
              </w:rPr>
              <w:t>NAME REDACTED</w:t>
            </w:r>
            <w:r w:rsidRPr="00E16179">
              <w:rPr>
                <w:rFonts w:eastAsia="Times New Roman" w:cstheme="minorHAnsi"/>
                <w:color w:val="000000"/>
                <w:kern w:val="0"/>
                <w:lang w:eastAsia="en-GB"/>
                <w14:ligatures w14:val="none"/>
              </w:rPr>
              <w:t xml:space="preserve"> who was very </w:t>
            </w:r>
            <w:proofErr w:type="gramStart"/>
            <w:r w:rsidRPr="00E16179">
              <w:rPr>
                <w:rFonts w:eastAsia="Times New Roman" w:cstheme="minorHAnsi"/>
                <w:color w:val="000000"/>
                <w:kern w:val="0"/>
                <w:lang w:eastAsia="en-GB"/>
                <w14:ligatures w14:val="none"/>
              </w:rPr>
              <w:t>clear ,</w:t>
            </w:r>
            <w:proofErr w:type="gramEnd"/>
            <w:r w:rsidRPr="00E16179">
              <w:rPr>
                <w:rFonts w:eastAsia="Times New Roman" w:cstheme="minorHAnsi"/>
                <w:color w:val="000000"/>
                <w:kern w:val="0"/>
                <w:lang w:eastAsia="en-GB"/>
                <w14:ligatures w14:val="none"/>
              </w:rPr>
              <w:t xml:space="preserve"> warm and friendly</w:t>
            </w:r>
          </w:p>
        </w:tc>
      </w:tr>
      <w:tr w:rsidR="00047316" w:rsidRPr="00E16179" w14:paraId="0FCC107B" w14:textId="77777777" w:rsidTr="00EA4B74">
        <w:trPr>
          <w:trHeight w:val="300"/>
        </w:trPr>
        <w:tc>
          <w:tcPr>
            <w:tcW w:w="1200" w:type="dxa"/>
            <w:noWrap/>
            <w:hideMark/>
          </w:tcPr>
          <w:p w14:paraId="64ABC596"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lang w:eastAsia="en-GB"/>
                <w14:ligatures w14:val="none"/>
              </w:rPr>
              <w:t>Brecon</w:t>
            </w:r>
          </w:p>
        </w:tc>
        <w:tc>
          <w:tcPr>
            <w:tcW w:w="7816" w:type="dxa"/>
            <w:noWrap/>
            <w:hideMark/>
          </w:tcPr>
          <w:p w14:paraId="2CC8009B"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lang w:eastAsia="en-GB"/>
                <w14:ligatures w14:val="none"/>
              </w:rPr>
              <w:t xml:space="preserve">For the size of the area, </w:t>
            </w:r>
            <w:r w:rsidRPr="00E16179">
              <w:rPr>
                <w:rFonts w:eastAsia="Times New Roman" w:cstheme="minorHAnsi"/>
                <w:color w:val="000000"/>
                <w:kern w:val="0"/>
                <w:highlight w:val="cyan"/>
                <w:lang w:eastAsia="en-GB"/>
                <w14:ligatures w14:val="none"/>
              </w:rPr>
              <w:t>NAME REDACTED</w:t>
            </w:r>
            <w:r w:rsidRPr="00E16179">
              <w:rPr>
                <w:rFonts w:eastAsia="Times New Roman" w:cstheme="minorHAnsi"/>
                <w:color w:val="000000"/>
                <w:kern w:val="0"/>
                <w:lang w:eastAsia="en-GB"/>
                <w14:ligatures w14:val="none"/>
              </w:rPr>
              <w:t xml:space="preserve"> gave an incredibly </w:t>
            </w:r>
            <w:r w:rsidRPr="00E16179">
              <w:rPr>
                <w:rFonts w:eastAsia="Times New Roman" w:cstheme="minorHAnsi"/>
                <w:color w:val="000000"/>
                <w:kern w:val="0"/>
                <w:highlight w:val="yellow"/>
                <w:lang w:eastAsia="en-GB"/>
                <w14:ligatures w14:val="none"/>
              </w:rPr>
              <w:t>great tour explaining each process, the equipment, its task and the output at each stage</w:t>
            </w:r>
            <w:r w:rsidRPr="00E16179">
              <w:rPr>
                <w:rFonts w:eastAsia="Times New Roman" w:cstheme="minorHAnsi"/>
                <w:color w:val="000000"/>
                <w:kern w:val="0"/>
                <w:lang w:eastAsia="en-GB"/>
                <w14:ligatures w14:val="none"/>
              </w:rPr>
              <w:t xml:space="preserve">. It was refreshing to have such a </w:t>
            </w:r>
            <w:r w:rsidRPr="00E16179">
              <w:rPr>
                <w:rFonts w:eastAsia="Times New Roman" w:cstheme="minorHAnsi"/>
                <w:color w:val="000000"/>
                <w:kern w:val="0"/>
                <w:highlight w:val="yellow"/>
                <w:lang w:eastAsia="en-GB"/>
                <w14:ligatures w14:val="none"/>
              </w:rPr>
              <w:t>knowledgeable insight into the whole process</w:t>
            </w:r>
            <w:r w:rsidRPr="00E16179">
              <w:rPr>
                <w:rFonts w:eastAsia="Times New Roman" w:cstheme="minorHAnsi"/>
                <w:color w:val="000000"/>
                <w:kern w:val="0"/>
                <w:lang w:eastAsia="en-GB"/>
                <w14:ligatures w14:val="none"/>
              </w:rPr>
              <w:t>. It was also fantastic to have open and honest explanations that the blending, bottling and distribution happened from other sites not open to the tour. We would recommend the tour to friends and relatives. Our daughter and her boyfriend have done Scottish distilleries, and would really enjoy your site along with the wonderful drivers’ roads in the Breacon Beacons.</w:t>
            </w:r>
          </w:p>
        </w:tc>
      </w:tr>
      <w:tr w:rsidR="00047316" w:rsidRPr="00E16179" w14:paraId="569DF668" w14:textId="77777777" w:rsidTr="00EA4B74">
        <w:trPr>
          <w:trHeight w:val="300"/>
        </w:trPr>
        <w:tc>
          <w:tcPr>
            <w:tcW w:w="1200" w:type="dxa"/>
            <w:noWrap/>
            <w:hideMark/>
          </w:tcPr>
          <w:p w14:paraId="22A0EDD1"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lang w:eastAsia="en-GB"/>
                <w14:ligatures w14:val="none"/>
              </w:rPr>
              <w:t>Brecon</w:t>
            </w:r>
          </w:p>
        </w:tc>
        <w:tc>
          <w:tcPr>
            <w:tcW w:w="7816" w:type="dxa"/>
            <w:noWrap/>
            <w:hideMark/>
          </w:tcPr>
          <w:p w14:paraId="12D02812"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lang w:eastAsia="en-GB"/>
                <w14:ligatures w14:val="none"/>
              </w:rPr>
              <w:t xml:space="preserve">Very informative and well presented by </w:t>
            </w:r>
            <w:r w:rsidRPr="00E16179">
              <w:rPr>
                <w:rFonts w:eastAsia="Times New Roman" w:cstheme="minorHAnsi"/>
                <w:color w:val="000000"/>
                <w:kern w:val="0"/>
                <w:highlight w:val="cyan"/>
                <w:lang w:eastAsia="en-GB"/>
                <w14:ligatures w14:val="none"/>
              </w:rPr>
              <w:t>NAME REDACTED</w:t>
            </w:r>
            <w:r w:rsidRPr="00E16179">
              <w:rPr>
                <w:rFonts w:eastAsia="Times New Roman" w:cstheme="minorHAnsi"/>
                <w:color w:val="000000"/>
                <w:kern w:val="0"/>
                <w:lang w:eastAsia="en-GB"/>
                <w14:ligatures w14:val="none"/>
              </w:rPr>
              <w:t xml:space="preserve"> very friendly with exceptional </w:t>
            </w:r>
            <w:r w:rsidRPr="00E16179">
              <w:rPr>
                <w:rFonts w:eastAsia="Times New Roman" w:cstheme="minorHAnsi"/>
                <w:color w:val="000000"/>
                <w:kern w:val="0"/>
                <w:highlight w:val="yellow"/>
                <w:lang w:eastAsia="en-GB"/>
                <w14:ligatures w14:val="none"/>
              </w:rPr>
              <w:t>knowledge</w:t>
            </w:r>
          </w:p>
        </w:tc>
      </w:tr>
      <w:tr w:rsidR="00047316" w:rsidRPr="00E16179" w14:paraId="37E51864" w14:textId="77777777" w:rsidTr="00EA4B74">
        <w:trPr>
          <w:trHeight w:val="300"/>
        </w:trPr>
        <w:tc>
          <w:tcPr>
            <w:tcW w:w="1200" w:type="dxa"/>
            <w:noWrap/>
            <w:hideMark/>
          </w:tcPr>
          <w:p w14:paraId="0502D2A5"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lang w:eastAsia="en-GB"/>
                <w14:ligatures w14:val="none"/>
              </w:rPr>
              <w:t>Brecon</w:t>
            </w:r>
          </w:p>
        </w:tc>
        <w:tc>
          <w:tcPr>
            <w:tcW w:w="7816" w:type="dxa"/>
            <w:noWrap/>
            <w:hideMark/>
          </w:tcPr>
          <w:p w14:paraId="5857B5C4"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lang w:eastAsia="en-GB"/>
                <w14:ligatures w14:val="none"/>
              </w:rPr>
              <w:t xml:space="preserve">Fantastic </w:t>
            </w:r>
            <w:r w:rsidRPr="00E16179">
              <w:rPr>
                <w:rFonts w:eastAsia="Times New Roman" w:cstheme="minorHAnsi"/>
                <w:color w:val="000000"/>
                <w:kern w:val="0"/>
                <w:highlight w:val="yellow"/>
                <w:lang w:eastAsia="en-GB"/>
                <w14:ligatures w14:val="none"/>
              </w:rPr>
              <w:t>knowledge</w:t>
            </w:r>
            <w:r w:rsidRPr="00E16179">
              <w:rPr>
                <w:rFonts w:eastAsia="Times New Roman" w:cstheme="minorHAnsi"/>
                <w:color w:val="000000"/>
                <w:kern w:val="0"/>
                <w:lang w:eastAsia="en-GB"/>
                <w14:ligatures w14:val="none"/>
              </w:rPr>
              <w:t xml:space="preserve"> and hosting skills are second to none, </w:t>
            </w:r>
            <w:r w:rsidRPr="00E16179">
              <w:rPr>
                <w:rFonts w:eastAsia="Times New Roman" w:cstheme="minorHAnsi"/>
                <w:color w:val="000000"/>
                <w:kern w:val="0"/>
                <w:highlight w:val="cyan"/>
                <w:lang w:eastAsia="en-GB"/>
                <w14:ligatures w14:val="none"/>
              </w:rPr>
              <w:t>NAME REDACTED</w:t>
            </w:r>
            <w:r w:rsidRPr="00E16179">
              <w:rPr>
                <w:rFonts w:eastAsia="Times New Roman" w:cstheme="minorHAnsi"/>
                <w:color w:val="000000"/>
                <w:kern w:val="0"/>
                <w:lang w:eastAsia="en-GB"/>
                <w14:ligatures w14:val="none"/>
              </w:rPr>
              <w:t xml:space="preserve"> was amazing and is a treasure for Penderyn</w:t>
            </w:r>
          </w:p>
        </w:tc>
      </w:tr>
      <w:tr w:rsidR="00047316" w:rsidRPr="00E16179" w14:paraId="23CA9816" w14:textId="77777777" w:rsidTr="00EA4B74">
        <w:trPr>
          <w:trHeight w:val="300"/>
        </w:trPr>
        <w:tc>
          <w:tcPr>
            <w:tcW w:w="1200" w:type="dxa"/>
            <w:noWrap/>
            <w:hideMark/>
          </w:tcPr>
          <w:p w14:paraId="6AE5754A"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lang w:eastAsia="en-GB"/>
                <w14:ligatures w14:val="none"/>
              </w:rPr>
              <w:t>Brecon</w:t>
            </w:r>
          </w:p>
        </w:tc>
        <w:tc>
          <w:tcPr>
            <w:tcW w:w="7816" w:type="dxa"/>
            <w:noWrap/>
            <w:hideMark/>
          </w:tcPr>
          <w:p w14:paraId="7FD1843A"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highlight w:val="cyan"/>
                <w:lang w:eastAsia="en-GB"/>
                <w14:ligatures w14:val="none"/>
              </w:rPr>
              <w:t>NAME REDACTED</w:t>
            </w:r>
            <w:r w:rsidRPr="00E16179">
              <w:rPr>
                <w:rFonts w:eastAsia="Times New Roman" w:cstheme="minorHAnsi"/>
                <w:color w:val="000000"/>
                <w:kern w:val="0"/>
                <w:lang w:eastAsia="en-GB"/>
                <w14:ligatures w14:val="none"/>
              </w:rPr>
              <w:t xml:space="preserve"> was very </w:t>
            </w:r>
            <w:r w:rsidRPr="00E16179">
              <w:rPr>
                <w:rFonts w:eastAsia="Times New Roman" w:cstheme="minorHAnsi"/>
                <w:color w:val="000000"/>
                <w:kern w:val="0"/>
                <w:highlight w:val="yellow"/>
                <w:lang w:eastAsia="en-GB"/>
                <w14:ligatures w14:val="none"/>
              </w:rPr>
              <w:t>informative</w:t>
            </w:r>
            <w:r w:rsidRPr="00E16179">
              <w:rPr>
                <w:rFonts w:eastAsia="Times New Roman" w:cstheme="minorHAnsi"/>
                <w:color w:val="000000"/>
                <w:kern w:val="0"/>
                <w:lang w:eastAsia="en-GB"/>
                <w14:ligatures w14:val="none"/>
              </w:rPr>
              <w:t xml:space="preserve"> and friendly</w:t>
            </w:r>
          </w:p>
        </w:tc>
      </w:tr>
      <w:tr w:rsidR="00047316" w:rsidRPr="00E16179" w14:paraId="04C26C2D" w14:textId="77777777" w:rsidTr="00EA4B74">
        <w:trPr>
          <w:trHeight w:val="300"/>
        </w:trPr>
        <w:tc>
          <w:tcPr>
            <w:tcW w:w="1200" w:type="dxa"/>
            <w:noWrap/>
            <w:hideMark/>
          </w:tcPr>
          <w:p w14:paraId="2E3956F0"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lang w:eastAsia="en-GB"/>
                <w14:ligatures w14:val="none"/>
              </w:rPr>
              <w:t>Brecon</w:t>
            </w:r>
          </w:p>
        </w:tc>
        <w:tc>
          <w:tcPr>
            <w:tcW w:w="7816" w:type="dxa"/>
            <w:noWrap/>
            <w:hideMark/>
          </w:tcPr>
          <w:p w14:paraId="68C911F2"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lang w:eastAsia="en-GB"/>
                <w14:ligatures w14:val="none"/>
              </w:rPr>
              <w:t xml:space="preserve">Superb guide. Entertaining and </w:t>
            </w:r>
            <w:r w:rsidRPr="00E16179">
              <w:rPr>
                <w:rFonts w:eastAsia="Times New Roman" w:cstheme="minorHAnsi"/>
                <w:color w:val="000000"/>
                <w:kern w:val="0"/>
                <w:highlight w:val="yellow"/>
                <w:lang w:eastAsia="en-GB"/>
                <w14:ligatures w14:val="none"/>
              </w:rPr>
              <w:t>informative</w:t>
            </w:r>
          </w:p>
        </w:tc>
      </w:tr>
      <w:tr w:rsidR="00047316" w:rsidRPr="00E16179" w14:paraId="206633CE" w14:textId="77777777" w:rsidTr="00EA4B74">
        <w:trPr>
          <w:trHeight w:val="300"/>
        </w:trPr>
        <w:tc>
          <w:tcPr>
            <w:tcW w:w="1200" w:type="dxa"/>
            <w:noWrap/>
            <w:hideMark/>
          </w:tcPr>
          <w:p w14:paraId="31BCA61B"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lang w:eastAsia="en-GB"/>
                <w14:ligatures w14:val="none"/>
              </w:rPr>
              <w:t>Brecon</w:t>
            </w:r>
          </w:p>
        </w:tc>
        <w:tc>
          <w:tcPr>
            <w:tcW w:w="7816" w:type="dxa"/>
            <w:noWrap/>
            <w:hideMark/>
          </w:tcPr>
          <w:p w14:paraId="2D3D36A5"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lang w:eastAsia="en-GB"/>
                <w14:ligatures w14:val="none"/>
              </w:rPr>
              <w:t>Great experience</w:t>
            </w:r>
          </w:p>
        </w:tc>
      </w:tr>
      <w:tr w:rsidR="00047316" w:rsidRPr="00E16179" w14:paraId="0FF4E9FC" w14:textId="77777777" w:rsidTr="00EA4B74">
        <w:trPr>
          <w:trHeight w:val="300"/>
        </w:trPr>
        <w:tc>
          <w:tcPr>
            <w:tcW w:w="1200" w:type="dxa"/>
            <w:noWrap/>
            <w:hideMark/>
          </w:tcPr>
          <w:p w14:paraId="0BDE33D7"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lang w:eastAsia="en-GB"/>
                <w14:ligatures w14:val="none"/>
              </w:rPr>
              <w:t>Brecon</w:t>
            </w:r>
          </w:p>
        </w:tc>
        <w:tc>
          <w:tcPr>
            <w:tcW w:w="7816" w:type="dxa"/>
            <w:noWrap/>
            <w:hideMark/>
          </w:tcPr>
          <w:p w14:paraId="667775F3"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lang w:eastAsia="en-GB"/>
                <w14:ligatures w14:val="none"/>
              </w:rPr>
              <w:t>Excellent experience</w:t>
            </w:r>
          </w:p>
        </w:tc>
      </w:tr>
      <w:tr w:rsidR="00047316" w:rsidRPr="00E16179" w14:paraId="1658A8F3" w14:textId="77777777" w:rsidTr="00EA4B74">
        <w:trPr>
          <w:trHeight w:val="300"/>
        </w:trPr>
        <w:tc>
          <w:tcPr>
            <w:tcW w:w="1200" w:type="dxa"/>
            <w:noWrap/>
            <w:hideMark/>
          </w:tcPr>
          <w:p w14:paraId="41C121F1"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lang w:eastAsia="en-GB"/>
                <w14:ligatures w14:val="none"/>
              </w:rPr>
              <w:t>Llandudno</w:t>
            </w:r>
          </w:p>
        </w:tc>
        <w:tc>
          <w:tcPr>
            <w:tcW w:w="7816" w:type="dxa"/>
            <w:noWrap/>
            <w:hideMark/>
          </w:tcPr>
          <w:p w14:paraId="293FF9A3"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lang w:eastAsia="en-GB"/>
                <w14:ligatures w14:val="none"/>
              </w:rPr>
              <w:t xml:space="preserve">Very </w:t>
            </w:r>
            <w:r w:rsidRPr="00E16179">
              <w:rPr>
                <w:rFonts w:eastAsia="Times New Roman" w:cstheme="minorHAnsi"/>
                <w:color w:val="000000"/>
                <w:kern w:val="0"/>
                <w:highlight w:val="yellow"/>
                <w:lang w:eastAsia="en-GB"/>
                <w14:ligatures w14:val="none"/>
              </w:rPr>
              <w:t>informative</w:t>
            </w:r>
            <w:r w:rsidRPr="00E16179">
              <w:rPr>
                <w:rFonts w:eastAsia="Times New Roman" w:cstheme="minorHAnsi"/>
                <w:color w:val="000000"/>
                <w:kern w:val="0"/>
                <w:lang w:eastAsia="en-GB"/>
                <w14:ligatures w14:val="none"/>
              </w:rPr>
              <w:t xml:space="preserve"> and a great experience for anyone who likes whiskey. The team member who took the master class made the day.</w:t>
            </w:r>
          </w:p>
        </w:tc>
      </w:tr>
      <w:tr w:rsidR="00047316" w:rsidRPr="00E16179" w14:paraId="7759F42A" w14:textId="77777777" w:rsidTr="00EA4B74">
        <w:trPr>
          <w:trHeight w:val="300"/>
        </w:trPr>
        <w:tc>
          <w:tcPr>
            <w:tcW w:w="1200" w:type="dxa"/>
            <w:noWrap/>
            <w:hideMark/>
          </w:tcPr>
          <w:p w14:paraId="625637BC"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lang w:eastAsia="en-GB"/>
                <w14:ligatures w14:val="none"/>
              </w:rPr>
              <w:t>Llandudno</w:t>
            </w:r>
          </w:p>
        </w:tc>
        <w:tc>
          <w:tcPr>
            <w:tcW w:w="7816" w:type="dxa"/>
            <w:noWrap/>
            <w:hideMark/>
          </w:tcPr>
          <w:p w14:paraId="20A50FC0"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highlight w:val="cyan"/>
                <w:lang w:eastAsia="en-GB"/>
                <w14:ligatures w14:val="none"/>
              </w:rPr>
              <w:t>NAME REDACTED</w:t>
            </w:r>
            <w:r w:rsidRPr="00E16179">
              <w:rPr>
                <w:rFonts w:eastAsia="Times New Roman" w:cstheme="minorHAnsi"/>
                <w:color w:val="000000"/>
                <w:kern w:val="0"/>
                <w:lang w:eastAsia="en-GB"/>
                <w14:ligatures w14:val="none"/>
              </w:rPr>
              <w:t xml:space="preserve"> was so well </w:t>
            </w:r>
            <w:r w:rsidRPr="00E16179">
              <w:rPr>
                <w:rFonts w:eastAsia="Times New Roman" w:cstheme="minorHAnsi"/>
                <w:color w:val="000000"/>
                <w:kern w:val="0"/>
                <w:highlight w:val="yellow"/>
                <w:lang w:eastAsia="en-GB"/>
                <w14:ligatures w14:val="none"/>
              </w:rPr>
              <w:t>informed</w:t>
            </w:r>
            <w:r w:rsidRPr="00E16179">
              <w:rPr>
                <w:rFonts w:eastAsia="Times New Roman" w:cstheme="minorHAnsi"/>
                <w:color w:val="000000"/>
                <w:kern w:val="0"/>
                <w:lang w:eastAsia="en-GB"/>
                <w14:ligatures w14:val="none"/>
              </w:rPr>
              <w:t xml:space="preserve">, funny and charming. </w:t>
            </w:r>
            <w:r w:rsidRPr="00E16179">
              <w:rPr>
                <w:rFonts w:eastAsia="Times New Roman" w:cstheme="minorHAnsi"/>
                <w:color w:val="000000"/>
                <w:kern w:val="0"/>
                <w:highlight w:val="yellow"/>
                <w:lang w:eastAsia="en-GB"/>
                <w14:ligatures w14:val="none"/>
              </w:rPr>
              <w:t>I learned so much</w:t>
            </w:r>
            <w:r w:rsidRPr="00E16179">
              <w:rPr>
                <w:rFonts w:eastAsia="Times New Roman" w:cstheme="minorHAnsi"/>
                <w:color w:val="000000"/>
                <w:kern w:val="0"/>
                <w:lang w:eastAsia="en-GB"/>
                <w14:ligatures w14:val="none"/>
              </w:rPr>
              <w:t xml:space="preserve"> and had a wonderful tour, thank you!</w:t>
            </w:r>
          </w:p>
        </w:tc>
      </w:tr>
      <w:tr w:rsidR="00047316" w:rsidRPr="00E16179" w14:paraId="34E35E3A" w14:textId="77777777" w:rsidTr="00EA4B74">
        <w:trPr>
          <w:trHeight w:val="300"/>
        </w:trPr>
        <w:tc>
          <w:tcPr>
            <w:tcW w:w="1200" w:type="dxa"/>
            <w:noWrap/>
            <w:hideMark/>
          </w:tcPr>
          <w:p w14:paraId="50F8F108"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lang w:eastAsia="en-GB"/>
                <w14:ligatures w14:val="none"/>
              </w:rPr>
              <w:t>Brecon</w:t>
            </w:r>
          </w:p>
        </w:tc>
        <w:tc>
          <w:tcPr>
            <w:tcW w:w="7816" w:type="dxa"/>
            <w:noWrap/>
            <w:hideMark/>
          </w:tcPr>
          <w:p w14:paraId="7943B0D2"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lang w:eastAsia="en-GB"/>
                <w14:ligatures w14:val="none"/>
              </w:rPr>
              <w:t xml:space="preserve">An excellent tour conducted by a lovely tour guide named </w:t>
            </w:r>
            <w:r w:rsidRPr="00E16179">
              <w:rPr>
                <w:rFonts w:eastAsia="Times New Roman" w:cstheme="minorHAnsi"/>
                <w:color w:val="000000"/>
                <w:kern w:val="0"/>
                <w:highlight w:val="cyan"/>
                <w:lang w:eastAsia="en-GB"/>
                <w14:ligatures w14:val="none"/>
              </w:rPr>
              <w:t>NAME REDACTED</w:t>
            </w:r>
          </w:p>
        </w:tc>
      </w:tr>
      <w:tr w:rsidR="00047316" w:rsidRPr="00E16179" w14:paraId="28D09E11" w14:textId="77777777" w:rsidTr="00EA4B74">
        <w:trPr>
          <w:trHeight w:val="300"/>
        </w:trPr>
        <w:tc>
          <w:tcPr>
            <w:tcW w:w="1200" w:type="dxa"/>
            <w:noWrap/>
            <w:hideMark/>
          </w:tcPr>
          <w:p w14:paraId="11A2AD51"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lang w:eastAsia="en-GB"/>
                <w14:ligatures w14:val="none"/>
              </w:rPr>
              <w:t>Brecon</w:t>
            </w:r>
          </w:p>
        </w:tc>
        <w:tc>
          <w:tcPr>
            <w:tcW w:w="7816" w:type="dxa"/>
            <w:noWrap/>
            <w:hideMark/>
          </w:tcPr>
          <w:p w14:paraId="28DFB287"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highlight w:val="cyan"/>
                <w:lang w:eastAsia="en-GB"/>
                <w14:ligatures w14:val="none"/>
              </w:rPr>
              <w:t>NAME REDACTED</w:t>
            </w:r>
            <w:r w:rsidRPr="00E16179">
              <w:rPr>
                <w:rFonts w:eastAsia="Times New Roman" w:cstheme="minorHAnsi"/>
                <w:color w:val="000000"/>
                <w:kern w:val="0"/>
                <w:lang w:eastAsia="en-GB"/>
                <w14:ligatures w14:val="none"/>
              </w:rPr>
              <w:t xml:space="preserve"> was very </w:t>
            </w:r>
            <w:r w:rsidRPr="00E16179">
              <w:rPr>
                <w:rFonts w:eastAsia="Times New Roman" w:cstheme="minorHAnsi"/>
                <w:color w:val="000000"/>
                <w:kern w:val="0"/>
                <w:highlight w:val="yellow"/>
                <w:lang w:eastAsia="en-GB"/>
                <w14:ligatures w14:val="none"/>
              </w:rPr>
              <w:t>informative</w:t>
            </w:r>
            <w:r w:rsidRPr="00E16179">
              <w:rPr>
                <w:rFonts w:eastAsia="Times New Roman" w:cstheme="minorHAnsi"/>
                <w:color w:val="000000"/>
                <w:kern w:val="0"/>
                <w:lang w:eastAsia="en-GB"/>
                <w14:ligatures w14:val="none"/>
              </w:rPr>
              <w:t>.</w:t>
            </w:r>
          </w:p>
        </w:tc>
      </w:tr>
      <w:tr w:rsidR="00047316" w:rsidRPr="00E16179" w14:paraId="7F164D33" w14:textId="77777777" w:rsidTr="00EA4B74">
        <w:trPr>
          <w:trHeight w:val="300"/>
        </w:trPr>
        <w:tc>
          <w:tcPr>
            <w:tcW w:w="1200" w:type="dxa"/>
            <w:noWrap/>
            <w:hideMark/>
          </w:tcPr>
          <w:p w14:paraId="664CAE6B"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lang w:eastAsia="en-GB"/>
                <w14:ligatures w14:val="none"/>
              </w:rPr>
              <w:t>Llandudno</w:t>
            </w:r>
          </w:p>
        </w:tc>
        <w:tc>
          <w:tcPr>
            <w:tcW w:w="7816" w:type="dxa"/>
            <w:noWrap/>
            <w:hideMark/>
          </w:tcPr>
          <w:p w14:paraId="26CC1A36" w14:textId="77777777" w:rsidR="00047316" w:rsidRPr="00E16179" w:rsidRDefault="00047316" w:rsidP="00EA4B74">
            <w:pPr>
              <w:jc w:val="center"/>
              <w:rPr>
                <w:rFonts w:eastAsia="Times New Roman" w:cstheme="minorHAnsi"/>
                <w:color w:val="000000"/>
                <w:kern w:val="0"/>
                <w:lang w:eastAsia="en-GB"/>
                <w14:ligatures w14:val="none"/>
              </w:rPr>
            </w:pPr>
            <w:r w:rsidRPr="00E16179">
              <w:rPr>
                <w:rFonts w:eastAsia="Times New Roman" w:cstheme="minorHAnsi"/>
                <w:color w:val="000000"/>
                <w:kern w:val="0"/>
                <w:lang w:eastAsia="en-GB"/>
                <w14:ligatures w14:val="none"/>
              </w:rPr>
              <w:t xml:space="preserve">Very </w:t>
            </w:r>
            <w:r w:rsidRPr="00E16179">
              <w:rPr>
                <w:rFonts w:eastAsia="Times New Roman" w:cstheme="minorHAnsi"/>
                <w:color w:val="000000"/>
                <w:kern w:val="0"/>
                <w:highlight w:val="yellow"/>
                <w:lang w:eastAsia="en-GB"/>
                <w14:ligatures w14:val="none"/>
              </w:rPr>
              <w:t>informative</w:t>
            </w:r>
            <w:r w:rsidRPr="00E16179">
              <w:rPr>
                <w:rFonts w:eastAsia="Times New Roman" w:cstheme="minorHAnsi"/>
                <w:color w:val="000000"/>
                <w:kern w:val="0"/>
                <w:lang w:eastAsia="en-GB"/>
                <w14:ligatures w14:val="none"/>
              </w:rPr>
              <w:t xml:space="preserve">. </w:t>
            </w:r>
            <w:r w:rsidRPr="00E16179">
              <w:rPr>
                <w:rFonts w:eastAsia="Times New Roman" w:cstheme="minorHAnsi"/>
                <w:color w:val="000000"/>
                <w:kern w:val="0"/>
                <w:highlight w:val="cyan"/>
                <w:lang w:eastAsia="en-GB"/>
                <w14:ligatures w14:val="none"/>
              </w:rPr>
              <w:t>NAME REDACTED</w:t>
            </w:r>
            <w:r w:rsidRPr="00E16179">
              <w:rPr>
                <w:rFonts w:eastAsia="Times New Roman" w:cstheme="minorHAnsi"/>
                <w:color w:val="000000"/>
                <w:kern w:val="0"/>
                <w:lang w:eastAsia="en-GB"/>
                <w14:ligatures w14:val="none"/>
              </w:rPr>
              <w:t xml:space="preserve"> was very </w:t>
            </w:r>
            <w:r w:rsidRPr="00E16179">
              <w:rPr>
                <w:rFonts w:eastAsia="Times New Roman" w:cstheme="minorHAnsi"/>
                <w:color w:val="000000"/>
                <w:kern w:val="0"/>
                <w:highlight w:val="yellow"/>
                <w:lang w:eastAsia="en-GB"/>
                <w14:ligatures w14:val="none"/>
              </w:rPr>
              <w:t>knowledgeable</w:t>
            </w:r>
            <w:r w:rsidRPr="00E16179">
              <w:rPr>
                <w:rFonts w:eastAsia="Times New Roman" w:cstheme="minorHAnsi"/>
                <w:color w:val="000000"/>
                <w:kern w:val="0"/>
                <w:lang w:eastAsia="en-GB"/>
                <w14:ligatures w14:val="none"/>
              </w:rPr>
              <w:t xml:space="preserve"> and answered all of our questions. She </w:t>
            </w:r>
            <w:r w:rsidRPr="00E16179">
              <w:rPr>
                <w:rFonts w:eastAsia="Times New Roman" w:cstheme="minorHAnsi"/>
                <w:color w:val="000000"/>
                <w:kern w:val="0"/>
                <w:highlight w:val="yellow"/>
                <w:lang w:eastAsia="en-GB"/>
                <w14:ligatures w14:val="none"/>
              </w:rPr>
              <w:t>explained the whole process thoroughly</w:t>
            </w:r>
            <w:r w:rsidRPr="00E16179">
              <w:rPr>
                <w:rFonts w:eastAsia="Times New Roman" w:cstheme="minorHAnsi"/>
                <w:color w:val="000000"/>
                <w:kern w:val="0"/>
                <w:lang w:eastAsia="en-GB"/>
                <w14:ligatures w14:val="none"/>
              </w:rPr>
              <w:t xml:space="preserve"> and was very welcoming. Great tour would definitely recommend.</w:t>
            </w:r>
          </w:p>
        </w:tc>
      </w:tr>
    </w:tbl>
    <w:p w14:paraId="3682A755" w14:textId="77777777" w:rsidR="00047316" w:rsidRPr="003B2D9A" w:rsidRDefault="00047316" w:rsidP="00523C32">
      <w:pPr>
        <w:spacing w:line="276" w:lineRule="auto"/>
        <w:jc w:val="both"/>
        <w:rPr>
          <w:rFonts w:cstheme="minorHAnsi"/>
        </w:rPr>
      </w:pPr>
    </w:p>
    <w:p w14:paraId="6DC602F5" w14:textId="53957D0C" w:rsidR="00133EE5" w:rsidRDefault="00133EE5" w:rsidP="00523C32">
      <w:pPr>
        <w:spacing w:line="276" w:lineRule="auto"/>
        <w:jc w:val="both"/>
        <w:rPr>
          <w:rFonts w:cstheme="minorHAnsi"/>
        </w:rPr>
      </w:pPr>
      <w:r w:rsidRPr="003B2D9A">
        <w:rPr>
          <w:rFonts w:cstheme="minorHAnsi"/>
        </w:rPr>
        <w:t>Of the surveys completed, 62.5% responses referenced a team member by name</w:t>
      </w:r>
      <w:r w:rsidR="007F490D">
        <w:rPr>
          <w:rFonts w:cstheme="minorHAnsi"/>
        </w:rPr>
        <w:t xml:space="preserve"> (</w:t>
      </w:r>
      <w:r w:rsidR="007F490D" w:rsidRPr="00047316">
        <w:rPr>
          <w:rFonts w:cstheme="minorHAnsi"/>
        </w:rPr>
        <w:t>figure 5.2.</w:t>
      </w:r>
      <w:r w:rsidR="00047316" w:rsidRPr="00047316">
        <w:rPr>
          <w:rFonts w:cstheme="minorHAnsi"/>
        </w:rPr>
        <w:t>2</w:t>
      </w:r>
      <w:r w:rsidR="007F490D">
        <w:rPr>
          <w:rFonts w:cstheme="minorHAnsi"/>
        </w:rPr>
        <w:t>)</w:t>
      </w:r>
      <w:r w:rsidRPr="003B2D9A">
        <w:rPr>
          <w:rFonts w:cstheme="minorHAnsi"/>
        </w:rPr>
        <w:t xml:space="preserve">, again supporting the findings of the market research study (section 5.1) and sustaining the findings that a </w:t>
      </w:r>
      <w:r w:rsidRPr="003B2D9A">
        <w:rPr>
          <w:rFonts w:cstheme="minorHAnsi"/>
        </w:rPr>
        <w:lastRenderedPageBreak/>
        <w:t xml:space="preserve">personal experience assists strengthens brand recall and brand loyalty, a point covered by </w:t>
      </w:r>
      <w:sdt>
        <w:sdtPr>
          <w:rPr>
            <w:rFonts w:cstheme="minorHAnsi"/>
          </w:rPr>
          <w:id w:val="-943760260"/>
          <w:citation/>
        </w:sdtPr>
        <w:sdtEndPr/>
        <w:sdtContent>
          <w:r w:rsidRPr="003B2D9A">
            <w:rPr>
              <w:rFonts w:cstheme="minorHAnsi"/>
            </w:rPr>
            <w:fldChar w:fldCharType="begin"/>
          </w:r>
          <w:r w:rsidRPr="003B2D9A">
            <w:rPr>
              <w:rFonts w:cstheme="minorHAnsi"/>
            </w:rPr>
            <w:instrText xml:space="preserve"> CITATION Per20 \l 2057 </w:instrText>
          </w:r>
          <w:r w:rsidRPr="003B2D9A">
            <w:rPr>
              <w:rFonts w:cstheme="minorHAnsi"/>
            </w:rPr>
            <w:fldChar w:fldCharType="separate"/>
          </w:r>
          <w:r w:rsidR="009D2B16" w:rsidRPr="009D2B16">
            <w:rPr>
              <w:rFonts w:cstheme="minorHAnsi"/>
              <w:noProof/>
            </w:rPr>
            <w:t>(Perloff, 2020)</w:t>
          </w:r>
          <w:r w:rsidRPr="003B2D9A">
            <w:rPr>
              <w:rFonts w:cstheme="minorHAnsi"/>
            </w:rPr>
            <w:fldChar w:fldCharType="end"/>
          </w:r>
        </w:sdtContent>
      </w:sdt>
      <w:r w:rsidRPr="003B2D9A">
        <w:rPr>
          <w:rFonts w:cstheme="minorHAnsi"/>
        </w:rPr>
        <w:t>.</w:t>
      </w:r>
    </w:p>
    <w:p w14:paraId="7B0009C9" w14:textId="77777777" w:rsidR="00133EE5" w:rsidRPr="003B2D9A" w:rsidRDefault="00133EE5" w:rsidP="00523C32">
      <w:pPr>
        <w:spacing w:line="276" w:lineRule="auto"/>
        <w:jc w:val="both"/>
        <w:rPr>
          <w:rFonts w:cstheme="minorHAnsi"/>
        </w:rPr>
      </w:pPr>
    </w:p>
    <w:p w14:paraId="5A1ACC1E" w14:textId="2F3D9082" w:rsidR="00133EE5" w:rsidRPr="00523C32" w:rsidRDefault="00133EE5" w:rsidP="00523C32">
      <w:pPr>
        <w:pStyle w:val="Heading2"/>
        <w:spacing w:line="360" w:lineRule="auto"/>
        <w:rPr>
          <w:b/>
          <w:bCs/>
          <w:color w:val="auto"/>
          <w:sz w:val="24"/>
          <w:szCs w:val="24"/>
        </w:rPr>
      </w:pPr>
      <w:bookmarkStart w:id="34" w:name="_Toc160624600"/>
      <w:r w:rsidRPr="00523C32">
        <w:rPr>
          <w:b/>
          <w:bCs/>
          <w:color w:val="auto"/>
          <w:sz w:val="24"/>
          <w:szCs w:val="24"/>
        </w:rPr>
        <w:t>5.3</w:t>
      </w:r>
      <w:r w:rsidRPr="00523C32">
        <w:rPr>
          <w:b/>
          <w:bCs/>
          <w:color w:val="auto"/>
          <w:sz w:val="24"/>
          <w:szCs w:val="24"/>
        </w:rPr>
        <w:tab/>
      </w:r>
      <w:r w:rsidR="003B2D9A" w:rsidRPr="00523C32">
        <w:rPr>
          <w:b/>
          <w:bCs/>
          <w:color w:val="auto"/>
          <w:sz w:val="24"/>
          <w:szCs w:val="24"/>
        </w:rPr>
        <w:t>DATA SET</w:t>
      </w:r>
      <w:r w:rsidRPr="00523C32">
        <w:rPr>
          <w:b/>
          <w:bCs/>
          <w:color w:val="auto"/>
          <w:sz w:val="24"/>
          <w:szCs w:val="24"/>
        </w:rPr>
        <w:t xml:space="preserve"> 3: </w:t>
      </w:r>
      <w:r w:rsidR="003B2D9A" w:rsidRPr="00523C32">
        <w:rPr>
          <w:b/>
          <w:bCs/>
          <w:color w:val="auto"/>
          <w:sz w:val="24"/>
          <w:szCs w:val="24"/>
        </w:rPr>
        <w:t>PENDERYN VISITOR ACTIVITY DATA</w:t>
      </w:r>
      <w:bookmarkEnd w:id="34"/>
    </w:p>
    <w:p w14:paraId="3B07D443" w14:textId="77777777" w:rsidR="00133EE5" w:rsidRPr="003B2D9A" w:rsidRDefault="00133EE5" w:rsidP="00523C32">
      <w:pPr>
        <w:spacing w:line="276" w:lineRule="auto"/>
        <w:jc w:val="both"/>
        <w:rPr>
          <w:rFonts w:cstheme="minorHAnsi"/>
        </w:rPr>
      </w:pPr>
      <w:r w:rsidRPr="003B2D9A">
        <w:rPr>
          <w:rFonts w:cstheme="minorHAnsi"/>
        </w:rPr>
        <w:t>As discussed in section 1.5, financial data relating to the years impacted wholly or partially by the Covid-19 pandemic will be discounted for the purposes of this study due to domestic and global restrictions.</w:t>
      </w:r>
    </w:p>
    <w:p w14:paraId="3666D17A" w14:textId="3228A2C5" w:rsidR="00133EE5" w:rsidRDefault="00133EE5" w:rsidP="00523C32">
      <w:pPr>
        <w:spacing w:line="276" w:lineRule="auto"/>
        <w:jc w:val="both"/>
        <w:rPr>
          <w:rFonts w:cstheme="minorHAnsi"/>
        </w:rPr>
      </w:pPr>
      <w:r w:rsidRPr="003B2D9A">
        <w:rPr>
          <w:rFonts w:cstheme="minorHAnsi"/>
        </w:rPr>
        <w:t>It is acknowledged that the 2022-2023 data for the Brecon Beacons Visitor Centre illustrates that visitor activity at the site has not yet returned to pre-pandemic levels, a notion observed by Visit Wales Tourism Study Data (</w:t>
      </w:r>
      <w:r w:rsidR="002D77E1">
        <w:rPr>
          <w:rFonts w:cstheme="minorHAnsi"/>
        </w:rPr>
        <w:t>figures 5.3.1 and 5.3.2</w:t>
      </w:r>
      <w:r w:rsidRPr="003B2D9A">
        <w:rPr>
          <w:rFonts w:cstheme="minorHAnsi"/>
        </w:rPr>
        <w:t xml:space="preserve">) updated in mid-2023. However, the data shown in table </w:t>
      </w:r>
      <w:r w:rsidR="007F490D">
        <w:rPr>
          <w:rFonts w:cstheme="minorHAnsi"/>
        </w:rPr>
        <w:t>3.3.1 previously</w:t>
      </w:r>
      <w:r w:rsidRPr="003B2D9A">
        <w:rPr>
          <w:rFonts w:cstheme="minorHAnsi"/>
        </w:rPr>
        <w:t xml:space="preserve"> demonstrates a critical aspect of the value of experiential tourism to Penderyn’s brand growth; with over 63,000 visitors welcomed in the year to August 31</w:t>
      </w:r>
      <w:r w:rsidRPr="003B2D9A">
        <w:rPr>
          <w:rFonts w:cstheme="minorHAnsi"/>
          <w:vertAlign w:val="superscript"/>
        </w:rPr>
        <w:t>st</w:t>
      </w:r>
      <w:r w:rsidRPr="003B2D9A">
        <w:rPr>
          <w:rFonts w:cstheme="minorHAnsi"/>
        </w:rPr>
        <w:t xml:space="preserve"> 2023 alone, and over 100,000 projected to attend across the three sites in the year to end of August 2024, the Visitor Centres are key facilities for exposure to potential consumers. An average consumer trade show would attract around 800 </w:t>
      </w:r>
      <w:proofErr w:type="gramStart"/>
      <w:r w:rsidR="007F490D" w:rsidRPr="003B2D9A">
        <w:rPr>
          <w:rFonts w:cstheme="minorHAnsi"/>
        </w:rPr>
        <w:t>face</w:t>
      </w:r>
      <w:proofErr w:type="gramEnd"/>
      <w:r w:rsidRPr="003B2D9A">
        <w:rPr>
          <w:rFonts w:cstheme="minorHAnsi"/>
        </w:rPr>
        <w:t xml:space="preserve"> to face interactions for Penderyn – with around 50 of these shows attended each year, their potential reach is around 40,000 consumers. Where else could Penderyn possibly have a captive audience of 60 – 100,000 visitors, predisposed to learning about Penderyn (having actively chosen to attend one of the Visitor Centres)? Due to financial commitment required, resourcing levels, logistics, varying regulatory restrictions varying from country to country, to replicate this outside of the Visitor Centres is virtually impossible.</w:t>
      </w:r>
    </w:p>
    <w:p w14:paraId="487BA2FC" w14:textId="10E8EA59" w:rsidR="001D52C2" w:rsidRDefault="001D52C2" w:rsidP="00523C32">
      <w:pPr>
        <w:spacing w:line="276" w:lineRule="auto"/>
        <w:jc w:val="both"/>
        <w:rPr>
          <w:rFonts w:cstheme="minorHAnsi"/>
        </w:rPr>
      </w:pPr>
      <w:r>
        <w:rPr>
          <w:rFonts w:cstheme="minorHAnsi"/>
        </w:rPr>
        <w:t>Figure 5.3.1 – International inbound visits and spend to Wales</w:t>
      </w:r>
      <w:r w:rsidR="0032092B">
        <w:rPr>
          <w:rFonts w:cstheme="minorHAnsi"/>
        </w:rPr>
        <w:t xml:space="preserve"> </w:t>
      </w:r>
      <w:sdt>
        <w:sdtPr>
          <w:rPr>
            <w:rFonts w:cstheme="minorHAnsi"/>
          </w:rPr>
          <w:id w:val="-833836918"/>
          <w:citation/>
        </w:sdtPr>
        <w:sdtEndPr/>
        <w:sdtContent>
          <w:r w:rsidR="00E37E2E">
            <w:rPr>
              <w:rFonts w:cstheme="minorHAnsi"/>
            </w:rPr>
            <w:fldChar w:fldCharType="begin"/>
          </w:r>
          <w:r w:rsidR="00E37E2E">
            <w:rPr>
              <w:rFonts w:cstheme="minorHAnsi"/>
              <w:lang w:val="en-US"/>
            </w:rPr>
            <w:instrText xml:space="preserve"> CITATION Wel23 \l 1033 </w:instrText>
          </w:r>
          <w:r w:rsidR="00E37E2E">
            <w:rPr>
              <w:rFonts w:cstheme="minorHAnsi"/>
            </w:rPr>
            <w:fldChar w:fldCharType="separate"/>
          </w:r>
          <w:r w:rsidR="009D2B16" w:rsidRPr="009D2B16">
            <w:rPr>
              <w:rFonts w:cstheme="minorHAnsi"/>
              <w:noProof/>
              <w:lang w:val="en-US"/>
            </w:rPr>
            <w:t>(Welsh Government, 2023)</w:t>
          </w:r>
          <w:r w:rsidR="00E37E2E">
            <w:rPr>
              <w:rFonts w:cstheme="minorHAnsi"/>
            </w:rPr>
            <w:fldChar w:fldCharType="end"/>
          </w:r>
        </w:sdtContent>
      </w:sdt>
      <w:r>
        <w:rPr>
          <w:noProof/>
        </w:rPr>
        <w:drawing>
          <wp:anchor distT="0" distB="0" distL="114300" distR="114300" simplePos="0" relativeHeight="251669504" behindDoc="0" locked="0" layoutInCell="1" allowOverlap="1" wp14:anchorId="3DC3C4F0" wp14:editId="421B41B9">
            <wp:simplePos x="0" y="0"/>
            <wp:positionH relativeFrom="margin">
              <wp:align>center</wp:align>
            </wp:positionH>
            <wp:positionV relativeFrom="paragraph">
              <wp:posOffset>351790</wp:posOffset>
            </wp:positionV>
            <wp:extent cx="5172075" cy="3642360"/>
            <wp:effectExtent l="19050" t="19050" r="28575" b="15240"/>
            <wp:wrapTopAndBottom/>
            <wp:docPr id="19117704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1770429" name=""/>
                    <pic:cNvPicPr/>
                  </pic:nvPicPr>
                  <pic:blipFill>
                    <a:blip r:embed="rId23">
                      <a:extLst>
                        <a:ext uri="{28A0092B-C50C-407E-A947-70E740481C1C}">
                          <a14:useLocalDpi xmlns:a14="http://schemas.microsoft.com/office/drawing/2010/main" val="0"/>
                        </a:ext>
                      </a:extLst>
                    </a:blip>
                    <a:stretch>
                      <a:fillRect/>
                    </a:stretch>
                  </pic:blipFill>
                  <pic:spPr>
                    <a:xfrm>
                      <a:off x="0" y="0"/>
                      <a:ext cx="5172075" cy="3642360"/>
                    </a:xfrm>
                    <a:prstGeom prst="rect">
                      <a:avLst/>
                    </a:prstGeom>
                    <a:ln w="3175">
                      <a:solidFill>
                        <a:schemeClr val="tx1"/>
                      </a:solidFill>
                    </a:ln>
                  </pic:spPr>
                </pic:pic>
              </a:graphicData>
            </a:graphic>
            <wp14:sizeRelH relativeFrom="page">
              <wp14:pctWidth>0</wp14:pctWidth>
            </wp14:sizeRelH>
            <wp14:sizeRelV relativeFrom="page">
              <wp14:pctHeight>0</wp14:pctHeight>
            </wp14:sizeRelV>
          </wp:anchor>
        </w:drawing>
      </w:r>
    </w:p>
    <w:p w14:paraId="22EF11FE" w14:textId="77777777" w:rsidR="0032092B" w:rsidRDefault="0032092B" w:rsidP="00E37E2E">
      <w:pPr>
        <w:spacing w:line="276" w:lineRule="auto"/>
        <w:jc w:val="both"/>
        <w:rPr>
          <w:rFonts w:cstheme="minorHAnsi"/>
        </w:rPr>
      </w:pPr>
    </w:p>
    <w:p w14:paraId="6002C3B3" w14:textId="4037BED6" w:rsidR="00DC4C19" w:rsidRDefault="00E37E2E" w:rsidP="00523C32">
      <w:pPr>
        <w:spacing w:line="276" w:lineRule="auto"/>
        <w:jc w:val="both"/>
        <w:rPr>
          <w:rFonts w:cstheme="minorHAnsi"/>
        </w:rPr>
      </w:pPr>
      <w:r>
        <w:rPr>
          <w:rFonts w:cstheme="minorHAnsi"/>
        </w:rPr>
        <w:lastRenderedPageBreak/>
        <w:t>Figure 5.3.2 – International inbound visits and spend to Wales</w:t>
      </w:r>
      <w:r w:rsidR="0032092B">
        <w:rPr>
          <w:rFonts w:cstheme="minorHAnsi"/>
        </w:rPr>
        <w:t xml:space="preserve"> </w:t>
      </w:r>
      <w:sdt>
        <w:sdtPr>
          <w:rPr>
            <w:rFonts w:cstheme="minorHAnsi"/>
          </w:rPr>
          <w:id w:val="-1031337690"/>
          <w:citation/>
        </w:sdtPr>
        <w:sdtEndPr/>
        <w:sdtContent>
          <w:r>
            <w:rPr>
              <w:rFonts w:cstheme="minorHAnsi"/>
            </w:rPr>
            <w:fldChar w:fldCharType="begin"/>
          </w:r>
          <w:r>
            <w:rPr>
              <w:rFonts w:cstheme="minorHAnsi"/>
              <w:lang w:val="en-US"/>
            </w:rPr>
            <w:instrText xml:space="preserve"> CITATION Wel23 \l 1033 </w:instrText>
          </w:r>
          <w:r>
            <w:rPr>
              <w:rFonts w:cstheme="minorHAnsi"/>
            </w:rPr>
            <w:fldChar w:fldCharType="separate"/>
          </w:r>
          <w:r w:rsidR="009D2B16" w:rsidRPr="009D2B16">
            <w:rPr>
              <w:rFonts w:cstheme="minorHAnsi"/>
              <w:noProof/>
              <w:lang w:val="en-US"/>
            </w:rPr>
            <w:t>(Welsh Government, 2023)</w:t>
          </w:r>
          <w:r>
            <w:rPr>
              <w:rFonts w:cstheme="minorHAnsi"/>
            </w:rPr>
            <w:fldChar w:fldCharType="end"/>
          </w:r>
        </w:sdtContent>
      </w:sdt>
    </w:p>
    <w:p w14:paraId="5E2E35A1" w14:textId="0AC26E01" w:rsidR="00E37E2E" w:rsidRPr="003B2D9A" w:rsidRDefault="00DC4C19" w:rsidP="00523C32">
      <w:pPr>
        <w:spacing w:line="276" w:lineRule="auto"/>
        <w:jc w:val="both"/>
        <w:rPr>
          <w:rFonts w:cstheme="minorHAnsi"/>
        </w:rPr>
      </w:pPr>
      <w:r>
        <w:rPr>
          <w:noProof/>
        </w:rPr>
        <w:drawing>
          <wp:anchor distT="0" distB="0" distL="114300" distR="114300" simplePos="0" relativeHeight="251670528" behindDoc="0" locked="0" layoutInCell="1" allowOverlap="1" wp14:anchorId="74F0B1B5" wp14:editId="01076080">
            <wp:simplePos x="0" y="0"/>
            <wp:positionH relativeFrom="margin">
              <wp:align>center</wp:align>
            </wp:positionH>
            <wp:positionV relativeFrom="paragraph">
              <wp:posOffset>23495</wp:posOffset>
            </wp:positionV>
            <wp:extent cx="4869180" cy="3642995"/>
            <wp:effectExtent l="19050" t="19050" r="26670" b="14605"/>
            <wp:wrapTopAndBottom/>
            <wp:docPr id="4252718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5271834" name=""/>
                    <pic:cNvPicPr/>
                  </pic:nvPicPr>
                  <pic:blipFill>
                    <a:blip r:embed="rId24">
                      <a:extLst>
                        <a:ext uri="{28A0092B-C50C-407E-A947-70E740481C1C}">
                          <a14:useLocalDpi xmlns:a14="http://schemas.microsoft.com/office/drawing/2010/main" val="0"/>
                        </a:ext>
                      </a:extLst>
                    </a:blip>
                    <a:stretch>
                      <a:fillRect/>
                    </a:stretch>
                  </pic:blipFill>
                  <pic:spPr>
                    <a:xfrm>
                      <a:off x="0" y="0"/>
                      <a:ext cx="4869180" cy="3642995"/>
                    </a:xfrm>
                    <a:prstGeom prst="rect">
                      <a:avLst/>
                    </a:prstGeom>
                    <a:ln w="3175">
                      <a:solidFill>
                        <a:schemeClr val="tx1"/>
                      </a:solidFill>
                    </a:ln>
                  </pic:spPr>
                </pic:pic>
              </a:graphicData>
            </a:graphic>
            <wp14:sizeRelH relativeFrom="page">
              <wp14:pctWidth>0</wp14:pctWidth>
            </wp14:sizeRelH>
            <wp14:sizeRelV relativeFrom="page">
              <wp14:pctHeight>0</wp14:pctHeight>
            </wp14:sizeRelV>
          </wp:anchor>
        </w:drawing>
      </w:r>
    </w:p>
    <w:p w14:paraId="217F0592" w14:textId="10EB4A8F" w:rsidR="00133EE5" w:rsidRPr="003B2D9A" w:rsidRDefault="00133EE5" w:rsidP="00523C32">
      <w:pPr>
        <w:spacing w:line="276" w:lineRule="auto"/>
        <w:jc w:val="both"/>
        <w:rPr>
          <w:rFonts w:cstheme="minorHAnsi"/>
        </w:rPr>
      </w:pPr>
      <w:r w:rsidRPr="003B2D9A">
        <w:rPr>
          <w:rFonts w:cstheme="minorHAnsi"/>
        </w:rPr>
        <w:t xml:space="preserve">Additionally, the revenue raised across the three sites for the year ending August 2023 was just over £1.7 million against an overall company turnover of £23 million </w:t>
      </w:r>
      <w:sdt>
        <w:sdtPr>
          <w:rPr>
            <w:rFonts w:cstheme="minorHAnsi"/>
          </w:rPr>
          <w:id w:val="-1684358576"/>
          <w:citation/>
        </w:sdtPr>
        <w:sdtEndPr/>
        <w:sdtContent>
          <w:r w:rsidRPr="003B2D9A">
            <w:rPr>
              <w:rFonts w:cstheme="minorHAnsi"/>
            </w:rPr>
            <w:fldChar w:fldCharType="begin"/>
          </w:r>
          <w:r w:rsidRPr="003B2D9A">
            <w:rPr>
              <w:rFonts w:cstheme="minorHAnsi"/>
            </w:rPr>
            <w:instrText xml:space="preserve"> CITATION Dav23 \l 2057 </w:instrText>
          </w:r>
          <w:r w:rsidRPr="003B2D9A">
            <w:rPr>
              <w:rFonts w:cstheme="minorHAnsi"/>
            </w:rPr>
            <w:fldChar w:fldCharType="separate"/>
          </w:r>
          <w:r w:rsidR="009D2B16" w:rsidRPr="009D2B16">
            <w:rPr>
              <w:rFonts w:cstheme="minorHAnsi"/>
              <w:noProof/>
            </w:rPr>
            <w:t>(Davies, 2023)</w:t>
          </w:r>
          <w:r w:rsidRPr="003B2D9A">
            <w:rPr>
              <w:rFonts w:cstheme="minorHAnsi"/>
            </w:rPr>
            <w:fldChar w:fldCharType="end"/>
          </w:r>
        </w:sdtContent>
      </w:sdt>
      <w:r w:rsidRPr="003B2D9A">
        <w:rPr>
          <w:rFonts w:cstheme="minorHAnsi"/>
        </w:rPr>
        <w:t>, contributing 7% of the total turnover. However, whilst at first glance this input appears minor, it is hugely strategic for two key reasons:</w:t>
      </w:r>
    </w:p>
    <w:p w14:paraId="21057A1F" w14:textId="77777777" w:rsidR="00133EE5" w:rsidRPr="003B2D9A" w:rsidRDefault="00133EE5" w:rsidP="00523C32">
      <w:pPr>
        <w:pStyle w:val="ListParagraph"/>
        <w:numPr>
          <w:ilvl w:val="0"/>
          <w:numId w:val="10"/>
        </w:numPr>
        <w:spacing w:line="276" w:lineRule="auto"/>
        <w:jc w:val="both"/>
        <w:rPr>
          <w:rFonts w:cstheme="minorHAnsi"/>
        </w:rPr>
      </w:pPr>
      <w:r w:rsidRPr="003B2D9A">
        <w:rPr>
          <w:rFonts w:cstheme="minorHAnsi"/>
        </w:rPr>
        <w:t>The Visitor Centres are operated entirely by Penderyn; sales via multiples such as Tesco, or importers and distributors may contribute a greater revenue to the total turnover than these Visitor Centres, but these relationships are not guaranteed; supermarkets can delist products if their offerings become too saturated with one style of product, for example, ceasing this contribution. However, the Penderyn retail outlets will continue to stock and promote Penderyn products for as long as they are in existence – in this way, they are guaranteed outlets.</w:t>
      </w:r>
    </w:p>
    <w:p w14:paraId="6A2AC70F" w14:textId="77777777" w:rsidR="00133EE5" w:rsidRPr="003B2D9A" w:rsidRDefault="00133EE5" w:rsidP="00523C32">
      <w:pPr>
        <w:pStyle w:val="ListParagraph"/>
        <w:numPr>
          <w:ilvl w:val="0"/>
          <w:numId w:val="10"/>
        </w:numPr>
        <w:spacing w:line="276" w:lineRule="auto"/>
        <w:jc w:val="both"/>
        <w:rPr>
          <w:rFonts w:cstheme="minorHAnsi"/>
        </w:rPr>
      </w:pPr>
      <w:r w:rsidRPr="003B2D9A">
        <w:rPr>
          <w:rFonts w:cstheme="minorHAnsi"/>
        </w:rPr>
        <w:t>Multiples such as the supermarkets, along with importers etc. are critical for Penderyn in that they offer widespread and high-volume distribution, however, the Visitor Centres facilitate Penderyn selling direct to customer, resulting in them contributing the highest profit margin of any retailer.</w:t>
      </w:r>
    </w:p>
    <w:p w14:paraId="06237573" w14:textId="4FAF0684" w:rsidR="00133EE5" w:rsidRPr="003B2D9A" w:rsidRDefault="00133EE5" w:rsidP="00523C32">
      <w:pPr>
        <w:spacing w:line="276" w:lineRule="auto"/>
        <w:jc w:val="both"/>
        <w:rPr>
          <w:rFonts w:cstheme="minorHAnsi"/>
        </w:rPr>
      </w:pPr>
      <w:r w:rsidRPr="003B2D9A">
        <w:rPr>
          <w:rFonts w:cstheme="minorHAnsi"/>
        </w:rPr>
        <w:t>Again, discounting Covid-19 impacts, the significant increase in Average Spend Per Individual (at 17%, or approx. £5 per individual) for the year up to end of August 2023</w:t>
      </w:r>
      <w:r w:rsidR="00744CFC">
        <w:rPr>
          <w:rFonts w:cstheme="minorHAnsi"/>
        </w:rPr>
        <w:t xml:space="preserve"> (figure 3.3.1)</w:t>
      </w:r>
      <w:r w:rsidRPr="003B2D9A">
        <w:rPr>
          <w:rFonts w:cstheme="minorHAnsi"/>
        </w:rPr>
        <w:t xml:space="preserve"> is a strong indicator that visitors are purchasing more freely and a higher value level than they were pre-pandemic, underlining an improved brand awareness and a greater degree of curiosity in other dimensions of the brand (such as limited releases and Visitor Centre exclusives). This can be translated, then, into a greater level of brand involvement – suggesting an increase in brand loyalty.</w:t>
      </w:r>
    </w:p>
    <w:p w14:paraId="195D7EF1" w14:textId="0796B96F" w:rsidR="00133EE5" w:rsidRPr="003B2D9A" w:rsidRDefault="00133EE5" w:rsidP="00523C32">
      <w:pPr>
        <w:spacing w:line="276" w:lineRule="auto"/>
        <w:jc w:val="both"/>
        <w:rPr>
          <w:rFonts w:cstheme="minorHAnsi"/>
        </w:rPr>
      </w:pPr>
      <w:r w:rsidRPr="003B2D9A">
        <w:rPr>
          <w:rFonts w:cstheme="minorHAnsi"/>
        </w:rPr>
        <w:lastRenderedPageBreak/>
        <w:t xml:space="preserve">Table </w:t>
      </w:r>
      <w:r w:rsidR="00BD5C76">
        <w:rPr>
          <w:rFonts w:cstheme="minorHAnsi"/>
        </w:rPr>
        <w:t>5.3.</w:t>
      </w:r>
      <w:r w:rsidR="002D77E1">
        <w:rPr>
          <w:rFonts w:cstheme="minorHAnsi"/>
        </w:rPr>
        <w:t>3</w:t>
      </w:r>
      <w:r w:rsidRPr="003B2D9A">
        <w:rPr>
          <w:rFonts w:cstheme="minorHAnsi"/>
        </w:rPr>
        <w:t xml:space="preserve"> is critical for demonstrating the value of experiential tourism to brand loyalty at Penderyn; of the approx. </w:t>
      </w:r>
      <w:r w:rsidR="00916186">
        <w:rPr>
          <w:rFonts w:cstheme="minorHAnsi"/>
        </w:rPr>
        <w:t>47,889</w:t>
      </w:r>
      <w:r w:rsidRPr="003B2D9A">
        <w:rPr>
          <w:rFonts w:cstheme="minorHAnsi"/>
        </w:rPr>
        <w:t xml:space="preserve"> bookings made via the Penderyn’s online booking system since the beginning of 2017 (not all visitors will register with the online system, and some will make bookings by phone/in person and so their bookings would not be included in this number):</w:t>
      </w:r>
    </w:p>
    <w:p w14:paraId="32DBA5F0" w14:textId="12CDA541" w:rsidR="00133EE5" w:rsidRPr="003B2D9A" w:rsidRDefault="00133EE5" w:rsidP="00523C32">
      <w:pPr>
        <w:pStyle w:val="ListParagraph"/>
        <w:numPr>
          <w:ilvl w:val="0"/>
          <w:numId w:val="11"/>
        </w:numPr>
        <w:spacing w:line="276" w:lineRule="auto"/>
        <w:jc w:val="both"/>
        <w:rPr>
          <w:rFonts w:cstheme="minorHAnsi"/>
        </w:rPr>
      </w:pPr>
      <w:r w:rsidRPr="003B2D9A">
        <w:rPr>
          <w:rFonts w:cstheme="minorHAnsi"/>
        </w:rPr>
        <w:t>33,130 (</w:t>
      </w:r>
      <w:r w:rsidR="00686DED">
        <w:rPr>
          <w:rFonts w:cstheme="minorHAnsi"/>
        </w:rPr>
        <w:t>69</w:t>
      </w:r>
      <w:r w:rsidR="00916186">
        <w:rPr>
          <w:rFonts w:cstheme="minorHAnsi"/>
        </w:rPr>
        <w:t>.18</w:t>
      </w:r>
      <w:r w:rsidRPr="003B2D9A">
        <w:rPr>
          <w:rFonts w:cstheme="minorHAnsi"/>
        </w:rPr>
        <w:t>%) are booking a visit for the first time</w:t>
      </w:r>
    </w:p>
    <w:p w14:paraId="2F79BF7B" w14:textId="6BE175B0" w:rsidR="00133EE5" w:rsidRPr="003B2D9A" w:rsidRDefault="00916186" w:rsidP="00523C32">
      <w:pPr>
        <w:pStyle w:val="ListParagraph"/>
        <w:numPr>
          <w:ilvl w:val="0"/>
          <w:numId w:val="11"/>
        </w:numPr>
        <w:spacing w:line="276" w:lineRule="auto"/>
        <w:jc w:val="both"/>
        <w:rPr>
          <w:rFonts w:cstheme="minorHAnsi"/>
        </w:rPr>
      </w:pPr>
      <w:r>
        <w:rPr>
          <w:rFonts w:cstheme="minorHAnsi"/>
        </w:rPr>
        <w:t>3,890</w:t>
      </w:r>
      <w:r w:rsidR="00133EE5" w:rsidRPr="003B2D9A">
        <w:rPr>
          <w:rFonts w:cstheme="minorHAnsi"/>
        </w:rPr>
        <w:t xml:space="preserve"> (</w:t>
      </w:r>
      <w:r>
        <w:rPr>
          <w:rFonts w:cstheme="minorHAnsi"/>
        </w:rPr>
        <w:t>8.12</w:t>
      </w:r>
      <w:r w:rsidR="00133EE5" w:rsidRPr="003B2D9A">
        <w:rPr>
          <w:rFonts w:cstheme="minorHAnsi"/>
        </w:rPr>
        <w:t>%) have booked once before</w:t>
      </w:r>
    </w:p>
    <w:p w14:paraId="6CB39C9C" w14:textId="14A6DE21" w:rsidR="00133EE5" w:rsidRPr="003B2D9A" w:rsidRDefault="00916186" w:rsidP="00523C32">
      <w:pPr>
        <w:pStyle w:val="ListParagraph"/>
        <w:numPr>
          <w:ilvl w:val="0"/>
          <w:numId w:val="11"/>
        </w:numPr>
        <w:spacing w:line="276" w:lineRule="auto"/>
        <w:jc w:val="both"/>
        <w:rPr>
          <w:rFonts w:cstheme="minorHAnsi"/>
        </w:rPr>
      </w:pPr>
      <w:r>
        <w:rPr>
          <w:rFonts w:cstheme="minorHAnsi"/>
        </w:rPr>
        <w:t>1,514</w:t>
      </w:r>
      <w:r w:rsidR="00133EE5" w:rsidRPr="003B2D9A">
        <w:rPr>
          <w:rFonts w:cstheme="minorHAnsi"/>
        </w:rPr>
        <w:t xml:space="preserve"> (</w:t>
      </w:r>
      <w:r>
        <w:rPr>
          <w:rFonts w:cstheme="minorHAnsi"/>
        </w:rPr>
        <w:t>3.16</w:t>
      </w:r>
      <w:r w:rsidR="00133EE5" w:rsidRPr="003B2D9A">
        <w:rPr>
          <w:rFonts w:cstheme="minorHAnsi"/>
        </w:rPr>
        <w:t xml:space="preserve">%) have booked between </w:t>
      </w:r>
      <w:r w:rsidR="00304F3B">
        <w:rPr>
          <w:rFonts w:cstheme="minorHAnsi"/>
        </w:rPr>
        <w:t xml:space="preserve">2 </w:t>
      </w:r>
      <w:r w:rsidR="00133EE5" w:rsidRPr="003B2D9A">
        <w:rPr>
          <w:rFonts w:cstheme="minorHAnsi"/>
        </w:rPr>
        <w:t xml:space="preserve">and </w:t>
      </w:r>
      <w:r>
        <w:rPr>
          <w:rFonts w:cstheme="minorHAnsi"/>
        </w:rPr>
        <w:t>8</w:t>
      </w:r>
      <w:r w:rsidR="00133EE5" w:rsidRPr="003B2D9A">
        <w:rPr>
          <w:rFonts w:cstheme="minorHAnsi"/>
        </w:rPr>
        <w:t xml:space="preserve"> times prior</w:t>
      </w:r>
    </w:p>
    <w:p w14:paraId="418BFF16" w14:textId="4EA69D48" w:rsidR="00133EE5" w:rsidRDefault="00916186" w:rsidP="00523C32">
      <w:pPr>
        <w:pStyle w:val="ListParagraph"/>
        <w:numPr>
          <w:ilvl w:val="0"/>
          <w:numId w:val="11"/>
        </w:numPr>
        <w:spacing w:line="276" w:lineRule="auto"/>
        <w:jc w:val="both"/>
        <w:rPr>
          <w:rFonts w:cstheme="minorHAnsi"/>
        </w:rPr>
      </w:pPr>
      <w:r>
        <w:rPr>
          <w:rFonts w:cstheme="minorHAnsi"/>
        </w:rPr>
        <w:t>9,354</w:t>
      </w:r>
      <w:r w:rsidR="00133EE5" w:rsidRPr="003B2D9A">
        <w:rPr>
          <w:rFonts w:cstheme="minorHAnsi"/>
        </w:rPr>
        <w:t xml:space="preserve"> (</w:t>
      </w:r>
      <w:r w:rsidR="00364BBD">
        <w:rPr>
          <w:rFonts w:cstheme="minorHAnsi"/>
        </w:rPr>
        <w:t>19.53</w:t>
      </w:r>
      <w:r w:rsidR="00133EE5" w:rsidRPr="003B2D9A">
        <w:rPr>
          <w:rFonts w:cstheme="minorHAnsi"/>
        </w:rPr>
        <w:t>%) have booked 10 or more times prior</w:t>
      </w:r>
    </w:p>
    <w:p w14:paraId="1F9AC57D" w14:textId="6734F716" w:rsidR="00BD5C76" w:rsidRDefault="00BD5C76" w:rsidP="00BD5C76">
      <w:pPr>
        <w:spacing w:line="276" w:lineRule="auto"/>
        <w:jc w:val="both"/>
        <w:rPr>
          <w:rFonts w:cstheme="minorHAnsi"/>
        </w:rPr>
      </w:pPr>
      <w:r>
        <w:rPr>
          <w:rFonts w:cstheme="minorHAnsi"/>
        </w:rPr>
        <w:t>Figure 5.3.</w:t>
      </w:r>
      <w:r w:rsidR="002D77E1">
        <w:rPr>
          <w:rFonts w:cstheme="minorHAnsi"/>
        </w:rPr>
        <w:t>3</w:t>
      </w:r>
      <w:r>
        <w:rPr>
          <w:rFonts w:cstheme="minorHAnsi"/>
        </w:rPr>
        <w:t xml:space="preserve"> – Returning customer data</w:t>
      </w:r>
      <w:r w:rsidR="0032092B">
        <w:rPr>
          <w:rFonts w:cstheme="minorHAnsi"/>
        </w:rPr>
        <w:t xml:space="preserve"> </w:t>
      </w:r>
      <w:sdt>
        <w:sdtPr>
          <w:rPr>
            <w:rFonts w:cstheme="minorHAnsi"/>
          </w:rPr>
          <w:id w:val="-2030474758"/>
          <w:citation/>
        </w:sdtPr>
        <w:sdtEndPr/>
        <w:sdtContent>
          <w:r>
            <w:rPr>
              <w:rFonts w:cstheme="minorHAnsi"/>
            </w:rPr>
            <w:fldChar w:fldCharType="begin"/>
          </w:r>
          <w:r>
            <w:rPr>
              <w:rFonts w:cstheme="minorHAnsi"/>
              <w:lang w:val="en-US"/>
            </w:rPr>
            <w:instrText xml:space="preserve"> CITATION Pen23 \l 1033 </w:instrText>
          </w:r>
          <w:r>
            <w:rPr>
              <w:rFonts w:cstheme="minorHAnsi"/>
            </w:rPr>
            <w:fldChar w:fldCharType="separate"/>
          </w:r>
          <w:r w:rsidR="009D2B16" w:rsidRPr="009D2B16">
            <w:rPr>
              <w:rFonts w:cstheme="minorHAnsi"/>
              <w:noProof/>
              <w:lang w:val="en-US"/>
            </w:rPr>
            <w:t>(Penderyn Checkfront CMS, 2023)</w:t>
          </w:r>
          <w:r>
            <w:rPr>
              <w:rFonts w:cstheme="minorHAnsi"/>
            </w:rPr>
            <w:fldChar w:fldCharType="end"/>
          </w:r>
        </w:sdtContent>
      </w:sdt>
    </w:p>
    <w:tbl>
      <w:tblPr>
        <w:tblW w:w="4220" w:type="dxa"/>
        <w:tblLook w:val="04A0" w:firstRow="1" w:lastRow="0" w:firstColumn="1" w:lastColumn="0" w:noHBand="0" w:noVBand="1"/>
      </w:tblPr>
      <w:tblGrid>
        <w:gridCol w:w="1800"/>
        <w:gridCol w:w="1168"/>
        <w:gridCol w:w="1252"/>
      </w:tblGrid>
      <w:tr w:rsidR="00004C2E" w:rsidRPr="00004C2E" w14:paraId="7929F79A" w14:textId="77777777" w:rsidTr="00004C2E">
        <w:trPr>
          <w:trHeight w:val="315"/>
        </w:trPr>
        <w:tc>
          <w:tcPr>
            <w:tcW w:w="18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FFAE485" w14:textId="77777777" w:rsidR="00004C2E" w:rsidRPr="00004C2E" w:rsidRDefault="00004C2E" w:rsidP="00004C2E">
            <w:pPr>
              <w:spacing w:after="0" w:line="240" w:lineRule="auto"/>
              <w:jc w:val="center"/>
              <w:rPr>
                <w:rFonts w:ascii="Calibri" w:eastAsia="Times New Roman" w:hAnsi="Calibri" w:cs="Calibri"/>
                <w:b/>
                <w:bCs/>
                <w:color w:val="000000"/>
                <w:kern w:val="0"/>
                <w:lang w:eastAsia="en-GB"/>
                <w14:ligatures w14:val="none"/>
              </w:rPr>
            </w:pPr>
            <w:r w:rsidRPr="00004C2E">
              <w:rPr>
                <w:rFonts w:ascii="Calibri" w:eastAsia="Times New Roman" w:hAnsi="Calibri" w:cs="Calibri"/>
                <w:b/>
                <w:bCs/>
                <w:color w:val="000000"/>
                <w:kern w:val="0"/>
                <w:lang w:eastAsia="en-GB"/>
                <w14:ligatures w14:val="none"/>
              </w:rPr>
              <w:t># Prior Bookings</w:t>
            </w:r>
          </w:p>
        </w:tc>
        <w:tc>
          <w:tcPr>
            <w:tcW w:w="2420" w:type="dxa"/>
            <w:gridSpan w:val="2"/>
            <w:tcBorders>
              <w:top w:val="single" w:sz="4" w:space="0" w:color="auto"/>
              <w:left w:val="nil"/>
              <w:bottom w:val="single" w:sz="4" w:space="0" w:color="auto"/>
              <w:right w:val="single" w:sz="4" w:space="0" w:color="000000"/>
            </w:tcBorders>
            <w:shd w:val="clear" w:color="auto" w:fill="auto"/>
            <w:noWrap/>
            <w:vAlign w:val="bottom"/>
            <w:hideMark/>
          </w:tcPr>
          <w:p w14:paraId="671DB15C" w14:textId="77777777" w:rsidR="00004C2E" w:rsidRPr="00004C2E" w:rsidRDefault="00004C2E" w:rsidP="00004C2E">
            <w:pPr>
              <w:spacing w:after="0" w:line="240" w:lineRule="auto"/>
              <w:jc w:val="center"/>
              <w:rPr>
                <w:rFonts w:ascii="Calibri" w:eastAsia="Times New Roman" w:hAnsi="Calibri" w:cs="Calibri"/>
                <w:b/>
                <w:bCs/>
                <w:color w:val="000000"/>
                <w:kern w:val="0"/>
                <w:lang w:eastAsia="en-GB"/>
                <w14:ligatures w14:val="none"/>
              </w:rPr>
            </w:pPr>
            <w:r w:rsidRPr="00004C2E">
              <w:rPr>
                <w:rFonts w:ascii="Calibri" w:eastAsia="Times New Roman" w:hAnsi="Calibri" w:cs="Calibri"/>
                <w:b/>
                <w:bCs/>
                <w:color w:val="000000"/>
                <w:kern w:val="0"/>
                <w:lang w:eastAsia="en-GB"/>
                <w14:ligatures w14:val="none"/>
              </w:rPr>
              <w:t># Individuals</w:t>
            </w:r>
          </w:p>
        </w:tc>
      </w:tr>
      <w:tr w:rsidR="00004C2E" w:rsidRPr="00004C2E" w14:paraId="66AEDC8E" w14:textId="77777777" w:rsidTr="00004C2E">
        <w:trPr>
          <w:trHeight w:val="315"/>
        </w:trPr>
        <w:tc>
          <w:tcPr>
            <w:tcW w:w="1800" w:type="dxa"/>
            <w:tcBorders>
              <w:top w:val="nil"/>
              <w:left w:val="single" w:sz="4" w:space="0" w:color="auto"/>
              <w:bottom w:val="single" w:sz="4" w:space="0" w:color="auto"/>
              <w:right w:val="single" w:sz="4" w:space="0" w:color="auto"/>
            </w:tcBorders>
            <w:shd w:val="clear" w:color="auto" w:fill="auto"/>
            <w:noWrap/>
            <w:vAlign w:val="bottom"/>
            <w:hideMark/>
          </w:tcPr>
          <w:p w14:paraId="5A0CBF56" w14:textId="77777777" w:rsidR="00004C2E" w:rsidRPr="00004C2E" w:rsidRDefault="00004C2E" w:rsidP="00004C2E">
            <w:pPr>
              <w:spacing w:after="0" w:line="240" w:lineRule="auto"/>
              <w:jc w:val="center"/>
              <w:rPr>
                <w:rFonts w:ascii="Calibri" w:eastAsia="Times New Roman" w:hAnsi="Calibri" w:cs="Calibri"/>
                <w:color w:val="000000"/>
                <w:kern w:val="0"/>
                <w:lang w:eastAsia="en-GB"/>
                <w14:ligatures w14:val="none"/>
              </w:rPr>
            </w:pPr>
            <w:r w:rsidRPr="00004C2E">
              <w:rPr>
                <w:rFonts w:ascii="Calibri" w:eastAsia="Times New Roman" w:hAnsi="Calibri" w:cs="Calibri"/>
                <w:color w:val="000000"/>
                <w:kern w:val="0"/>
                <w:lang w:eastAsia="en-GB"/>
                <w14:ligatures w14:val="none"/>
              </w:rPr>
              <w:t>0</w:t>
            </w:r>
          </w:p>
        </w:tc>
        <w:tc>
          <w:tcPr>
            <w:tcW w:w="1168" w:type="dxa"/>
            <w:tcBorders>
              <w:top w:val="nil"/>
              <w:left w:val="nil"/>
              <w:bottom w:val="single" w:sz="4" w:space="0" w:color="auto"/>
              <w:right w:val="single" w:sz="4" w:space="0" w:color="auto"/>
            </w:tcBorders>
            <w:shd w:val="clear" w:color="auto" w:fill="auto"/>
            <w:noWrap/>
            <w:vAlign w:val="bottom"/>
            <w:hideMark/>
          </w:tcPr>
          <w:p w14:paraId="361531C4" w14:textId="77777777" w:rsidR="00004C2E" w:rsidRPr="00004C2E" w:rsidRDefault="00004C2E" w:rsidP="00004C2E">
            <w:pPr>
              <w:spacing w:after="0" w:line="240" w:lineRule="auto"/>
              <w:jc w:val="center"/>
              <w:rPr>
                <w:rFonts w:ascii="Calibri" w:eastAsia="Times New Roman" w:hAnsi="Calibri" w:cs="Calibri"/>
                <w:color w:val="000000"/>
                <w:kern w:val="0"/>
                <w:lang w:eastAsia="en-GB"/>
                <w14:ligatures w14:val="none"/>
              </w:rPr>
            </w:pPr>
            <w:r w:rsidRPr="00004C2E">
              <w:rPr>
                <w:rFonts w:ascii="Calibri" w:eastAsia="Times New Roman" w:hAnsi="Calibri" w:cs="Calibri"/>
                <w:color w:val="000000"/>
                <w:kern w:val="0"/>
                <w:lang w:eastAsia="en-GB"/>
                <w14:ligatures w14:val="none"/>
              </w:rPr>
              <w:t>33,131</w:t>
            </w:r>
          </w:p>
        </w:tc>
        <w:tc>
          <w:tcPr>
            <w:tcW w:w="1252" w:type="dxa"/>
            <w:tcBorders>
              <w:top w:val="nil"/>
              <w:left w:val="nil"/>
              <w:bottom w:val="single" w:sz="4" w:space="0" w:color="auto"/>
              <w:right w:val="single" w:sz="4" w:space="0" w:color="auto"/>
            </w:tcBorders>
            <w:shd w:val="clear" w:color="auto" w:fill="auto"/>
            <w:noWrap/>
            <w:vAlign w:val="bottom"/>
            <w:hideMark/>
          </w:tcPr>
          <w:p w14:paraId="6622F8C7" w14:textId="77777777" w:rsidR="00004C2E" w:rsidRPr="00004C2E" w:rsidRDefault="00004C2E" w:rsidP="00004C2E">
            <w:pPr>
              <w:spacing w:after="0" w:line="240" w:lineRule="auto"/>
              <w:jc w:val="center"/>
              <w:rPr>
                <w:rFonts w:ascii="Calibri" w:eastAsia="Times New Roman" w:hAnsi="Calibri" w:cs="Calibri"/>
                <w:color w:val="000000"/>
                <w:kern w:val="0"/>
                <w:lang w:eastAsia="en-GB"/>
                <w14:ligatures w14:val="none"/>
              </w:rPr>
            </w:pPr>
            <w:r w:rsidRPr="00004C2E">
              <w:rPr>
                <w:rFonts w:ascii="Calibri" w:eastAsia="Times New Roman" w:hAnsi="Calibri" w:cs="Calibri"/>
                <w:color w:val="000000"/>
                <w:kern w:val="0"/>
                <w:lang w:eastAsia="en-GB"/>
                <w14:ligatures w14:val="none"/>
              </w:rPr>
              <w:t>69.18%</w:t>
            </w:r>
          </w:p>
        </w:tc>
      </w:tr>
      <w:tr w:rsidR="00004C2E" w:rsidRPr="00004C2E" w14:paraId="7BFE5EBF" w14:textId="77777777" w:rsidTr="00004C2E">
        <w:trPr>
          <w:trHeight w:val="315"/>
        </w:trPr>
        <w:tc>
          <w:tcPr>
            <w:tcW w:w="1800" w:type="dxa"/>
            <w:tcBorders>
              <w:top w:val="nil"/>
              <w:left w:val="single" w:sz="4" w:space="0" w:color="auto"/>
              <w:bottom w:val="single" w:sz="4" w:space="0" w:color="auto"/>
              <w:right w:val="single" w:sz="4" w:space="0" w:color="auto"/>
            </w:tcBorders>
            <w:shd w:val="clear" w:color="auto" w:fill="auto"/>
            <w:noWrap/>
            <w:vAlign w:val="bottom"/>
            <w:hideMark/>
          </w:tcPr>
          <w:p w14:paraId="5D5033DD" w14:textId="77777777" w:rsidR="00004C2E" w:rsidRPr="00004C2E" w:rsidRDefault="00004C2E" w:rsidP="00004C2E">
            <w:pPr>
              <w:spacing w:after="0" w:line="240" w:lineRule="auto"/>
              <w:jc w:val="center"/>
              <w:rPr>
                <w:rFonts w:ascii="Calibri" w:eastAsia="Times New Roman" w:hAnsi="Calibri" w:cs="Calibri"/>
                <w:color w:val="000000"/>
                <w:kern w:val="0"/>
                <w:lang w:eastAsia="en-GB"/>
                <w14:ligatures w14:val="none"/>
              </w:rPr>
            </w:pPr>
            <w:r w:rsidRPr="00004C2E">
              <w:rPr>
                <w:rFonts w:ascii="Calibri" w:eastAsia="Times New Roman" w:hAnsi="Calibri" w:cs="Calibri"/>
                <w:color w:val="000000"/>
                <w:kern w:val="0"/>
                <w:lang w:eastAsia="en-GB"/>
                <w14:ligatures w14:val="none"/>
              </w:rPr>
              <w:t>1</w:t>
            </w:r>
          </w:p>
        </w:tc>
        <w:tc>
          <w:tcPr>
            <w:tcW w:w="1168" w:type="dxa"/>
            <w:tcBorders>
              <w:top w:val="nil"/>
              <w:left w:val="nil"/>
              <w:bottom w:val="single" w:sz="4" w:space="0" w:color="auto"/>
              <w:right w:val="single" w:sz="4" w:space="0" w:color="auto"/>
            </w:tcBorders>
            <w:shd w:val="clear" w:color="auto" w:fill="auto"/>
            <w:noWrap/>
            <w:vAlign w:val="bottom"/>
            <w:hideMark/>
          </w:tcPr>
          <w:p w14:paraId="68E27DEC" w14:textId="77777777" w:rsidR="00004C2E" w:rsidRPr="00004C2E" w:rsidRDefault="00004C2E" w:rsidP="00004C2E">
            <w:pPr>
              <w:spacing w:after="0" w:line="240" w:lineRule="auto"/>
              <w:jc w:val="center"/>
              <w:rPr>
                <w:rFonts w:ascii="Calibri" w:eastAsia="Times New Roman" w:hAnsi="Calibri" w:cs="Calibri"/>
                <w:color w:val="000000"/>
                <w:kern w:val="0"/>
                <w:lang w:eastAsia="en-GB"/>
                <w14:ligatures w14:val="none"/>
              </w:rPr>
            </w:pPr>
            <w:r w:rsidRPr="00004C2E">
              <w:rPr>
                <w:rFonts w:ascii="Calibri" w:eastAsia="Times New Roman" w:hAnsi="Calibri" w:cs="Calibri"/>
                <w:color w:val="000000"/>
                <w:kern w:val="0"/>
                <w:lang w:eastAsia="en-GB"/>
                <w14:ligatures w14:val="none"/>
              </w:rPr>
              <w:t>3,890</w:t>
            </w:r>
          </w:p>
        </w:tc>
        <w:tc>
          <w:tcPr>
            <w:tcW w:w="1252" w:type="dxa"/>
            <w:tcBorders>
              <w:top w:val="nil"/>
              <w:left w:val="nil"/>
              <w:bottom w:val="single" w:sz="4" w:space="0" w:color="auto"/>
              <w:right w:val="single" w:sz="4" w:space="0" w:color="auto"/>
            </w:tcBorders>
            <w:shd w:val="clear" w:color="auto" w:fill="auto"/>
            <w:noWrap/>
            <w:vAlign w:val="bottom"/>
            <w:hideMark/>
          </w:tcPr>
          <w:p w14:paraId="5405C25D" w14:textId="77777777" w:rsidR="00004C2E" w:rsidRPr="00004C2E" w:rsidRDefault="00004C2E" w:rsidP="00004C2E">
            <w:pPr>
              <w:spacing w:after="0" w:line="240" w:lineRule="auto"/>
              <w:jc w:val="center"/>
              <w:rPr>
                <w:rFonts w:ascii="Calibri" w:eastAsia="Times New Roman" w:hAnsi="Calibri" w:cs="Calibri"/>
                <w:color w:val="000000"/>
                <w:kern w:val="0"/>
                <w:lang w:eastAsia="en-GB"/>
                <w14:ligatures w14:val="none"/>
              </w:rPr>
            </w:pPr>
            <w:r w:rsidRPr="00004C2E">
              <w:rPr>
                <w:rFonts w:ascii="Calibri" w:eastAsia="Times New Roman" w:hAnsi="Calibri" w:cs="Calibri"/>
                <w:color w:val="000000"/>
                <w:kern w:val="0"/>
                <w:lang w:eastAsia="en-GB"/>
                <w14:ligatures w14:val="none"/>
              </w:rPr>
              <w:t>8.12%</w:t>
            </w:r>
          </w:p>
        </w:tc>
      </w:tr>
      <w:tr w:rsidR="00004C2E" w:rsidRPr="00004C2E" w14:paraId="4B8F700C" w14:textId="77777777" w:rsidTr="00004C2E">
        <w:trPr>
          <w:trHeight w:val="315"/>
        </w:trPr>
        <w:tc>
          <w:tcPr>
            <w:tcW w:w="1800" w:type="dxa"/>
            <w:tcBorders>
              <w:top w:val="nil"/>
              <w:left w:val="single" w:sz="4" w:space="0" w:color="auto"/>
              <w:bottom w:val="single" w:sz="4" w:space="0" w:color="auto"/>
              <w:right w:val="single" w:sz="4" w:space="0" w:color="auto"/>
            </w:tcBorders>
            <w:shd w:val="clear" w:color="auto" w:fill="auto"/>
            <w:noWrap/>
            <w:vAlign w:val="bottom"/>
            <w:hideMark/>
          </w:tcPr>
          <w:p w14:paraId="6885B3FB" w14:textId="77777777" w:rsidR="00004C2E" w:rsidRPr="00004C2E" w:rsidRDefault="00004C2E" w:rsidP="00004C2E">
            <w:pPr>
              <w:spacing w:after="0" w:line="240" w:lineRule="auto"/>
              <w:jc w:val="center"/>
              <w:rPr>
                <w:rFonts w:ascii="Calibri" w:eastAsia="Times New Roman" w:hAnsi="Calibri" w:cs="Calibri"/>
                <w:color w:val="000000"/>
                <w:kern w:val="0"/>
                <w:lang w:eastAsia="en-GB"/>
                <w14:ligatures w14:val="none"/>
              </w:rPr>
            </w:pPr>
            <w:r w:rsidRPr="00004C2E">
              <w:rPr>
                <w:rFonts w:ascii="Calibri" w:eastAsia="Times New Roman" w:hAnsi="Calibri" w:cs="Calibri"/>
                <w:color w:val="000000"/>
                <w:kern w:val="0"/>
                <w:lang w:eastAsia="en-GB"/>
                <w14:ligatures w14:val="none"/>
              </w:rPr>
              <w:t>2</w:t>
            </w:r>
          </w:p>
        </w:tc>
        <w:tc>
          <w:tcPr>
            <w:tcW w:w="1168" w:type="dxa"/>
            <w:tcBorders>
              <w:top w:val="nil"/>
              <w:left w:val="nil"/>
              <w:bottom w:val="single" w:sz="4" w:space="0" w:color="auto"/>
              <w:right w:val="single" w:sz="4" w:space="0" w:color="auto"/>
            </w:tcBorders>
            <w:shd w:val="clear" w:color="auto" w:fill="auto"/>
            <w:noWrap/>
            <w:vAlign w:val="bottom"/>
            <w:hideMark/>
          </w:tcPr>
          <w:p w14:paraId="6C5681EB" w14:textId="77777777" w:rsidR="00004C2E" w:rsidRPr="00004C2E" w:rsidRDefault="00004C2E" w:rsidP="00004C2E">
            <w:pPr>
              <w:spacing w:after="0" w:line="240" w:lineRule="auto"/>
              <w:jc w:val="center"/>
              <w:rPr>
                <w:rFonts w:ascii="Calibri" w:eastAsia="Times New Roman" w:hAnsi="Calibri" w:cs="Calibri"/>
                <w:color w:val="000000"/>
                <w:kern w:val="0"/>
                <w:lang w:eastAsia="en-GB"/>
                <w14:ligatures w14:val="none"/>
              </w:rPr>
            </w:pPr>
            <w:r w:rsidRPr="00004C2E">
              <w:rPr>
                <w:rFonts w:ascii="Calibri" w:eastAsia="Times New Roman" w:hAnsi="Calibri" w:cs="Calibri"/>
                <w:color w:val="000000"/>
                <w:kern w:val="0"/>
                <w:lang w:eastAsia="en-GB"/>
                <w14:ligatures w14:val="none"/>
              </w:rPr>
              <w:t>780</w:t>
            </w:r>
          </w:p>
        </w:tc>
        <w:tc>
          <w:tcPr>
            <w:tcW w:w="1252" w:type="dxa"/>
            <w:vMerge w:val="restart"/>
            <w:tcBorders>
              <w:top w:val="nil"/>
              <w:left w:val="single" w:sz="4" w:space="0" w:color="auto"/>
              <w:bottom w:val="single" w:sz="4" w:space="0" w:color="000000"/>
              <w:right w:val="single" w:sz="4" w:space="0" w:color="auto"/>
            </w:tcBorders>
            <w:shd w:val="clear" w:color="auto" w:fill="auto"/>
            <w:noWrap/>
            <w:vAlign w:val="center"/>
            <w:hideMark/>
          </w:tcPr>
          <w:p w14:paraId="4DC2F720" w14:textId="77777777" w:rsidR="00004C2E" w:rsidRPr="00004C2E" w:rsidRDefault="00004C2E" w:rsidP="00004C2E">
            <w:pPr>
              <w:spacing w:after="0" w:line="240" w:lineRule="auto"/>
              <w:jc w:val="center"/>
              <w:rPr>
                <w:rFonts w:ascii="Calibri" w:eastAsia="Times New Roman" w:hAnsi="Calibri" w:cs="Calibri"/>
                <w:color w:val="000000"/>
                <w:kern w:val="0"/>
                <w:lang w:eastAsia="en-GB"/>
                <w14:ligatures w14:val="none"/>
              </w:rPr>
            </w:pPr>
            <w:r w:rsidRPr="00004C2E">
              <w:rPr>
                <w:rFonts w:ascii="Calibri" w:eastAsia="Times New Roman" w:hAnsi="Calibri" w:cs="Calibri"/>
                <w:color w:val="000000"/>
                <w:kern w:val="0"/>
                <w:lang w:eastAsia="en-GB"/>
                <w14:ligatures w14:val="none"/>
              </w:rPr>
              <w:t>3.16%</w:t>
            </w:r>
          </w:p>
        </w:tc>
      </w:tr>
      <w:tr w:rsidR="00004C2E" w:rsidRPr="00004C2E" w14:paraId="5540ED9A" w14:textId="77777777" w:rsidTr="00004C2E">
        <w:trPr>
          <w:trHeight w:val="315"/>
        </w:trPr>
        <w:tc>
          <w:tcPr>
            <w:tcW w:w="1800" w:type="dxa"/>
            <w:tcBorders>
              <w:top w:val="nil"/>
              <w:left w:val="single" w:sz="4" w:space="0" w:color="auto"/>
              <w:bottom w:val="single" w:sz="4" w:space="0" w:color="auto"/>
              <w:right w:val="single" w:sz="4" w:space="0" w:color="auto"/>
            </w:tcBorders>
            <w:shd w:val="clear" w:color="auto" w:fill="auto"/>
            <w:noWrap/>
            <w:vAlign w:val="bottom"/>
            <w:hideMark/>
          </w:tcPr>
          <w:p w14:paraId="58CA6C00" w14:textId="77777777" w:rsidR="00004C2E" w:rsidRPr="00004C2E" w:rsidRDefault="00004C2E" w:rsidP="00004C2E">
            <w:pPr>
              <w:spacing w:after="0" w:line="240" w:lineRule="auto"/>
              <w:jc w:val="center"/>
              <w:rPr>
                <w:rFonts w:ascii="Calibri" w:eastAsia="Times New Roman" w:hAnsi="Calibri" w:cs="Calibri"/>
                <w:color w:val="000000"/>
                <w:kern w:val="0"/>
                <w:lang w:eastAsia="en-GB"/>
                <w14:ligatures w14:val="none"/>
              </w:rPr>
            </w:pPr>
            <w:r w:rsidRPr="00004C2E">
              <w:rPr>
                <w:rFonts w:ascii="Calibri" w:eastAsia="Times New Roman" w:hAnsi="Calibri" w:cs="Calibri"/>
                <w:color w:val="000000"/>
                <w:kern w:val="0"/>
                <w:lang w:eastAsia="en-GB"/>
                <w14:ligatures w14:val="none"/>
              </w:rPr>
              <w:t>3</w:t>
            </w:r>
          </w:p>
        </w:tc>
        <w:tc>
          <w:tcPr>
            <w:tcW w:w="1168" w:type="dxa"/>
            <w:tcBorders>
              <w:top w:val="nil"/>
              <w:left w:val="nil"/>
              <w:bottom w:val="single" w:sz="4" w:space="0" w:color="auto"/>
              <w:right w:val="single" w:sz="4" w:space="0" w:color="auto"/>
            </w:tcBorders>
            <w:shd w:val="clear" w:color="auto" w:fill="auto"/>
            <w:noWrap/>
            <w:vAlign w:val="bottom"/>
            <w:hideMark/>
          </w:tcPr>
          <w:p w14:paraId="689E2E90" w14:textId="77777777" w:rsidR="00004C2E" w:rsidRPr="00004C2E" w:rsidRDefault="00004C2E" w:rsidP="00004C2E">
            <w:pPr>
              <w:spacing w:after="0" w:line="240" w:lineRule="auto"/>
              <w:jc w:val="center"/>
              <w:rPr>
                <w:rFonts w:ascii="Calibri" w:eastAsia="Times New Roman" w:hAnsi="Calibri" w:cs="Calibri"/>
                <w:color w:val="000000"/>
                <w:kern w:val="0"/>
                <w:lang w:eastAsia="en-GB"/>
                <w14:ligatures w14:val="none"/>
              </w:rPr>
            </w:pPr>
            <w:r w:rsidRPr="00004C2E">
              <w:rPr>
                <w:rFonts w:ascii="Calibri" w:eastAsia="Times New Roman" w:hAnsi="Calibri" w:cs="Calibri"/>
                <w:color w:val="000000"/>
                <w:kern w:val="0"/>
                <w:lang w:eastAsia="en-GB"/>
                <w14:ligatures w14:val="none"/>
              </w:rPr>
              <w:t>300</w:t>
            </w:r>
          </w:p>
        </w:tc>
        <w:tc>
          <w:tcPr>
            <w:tcW w:w="1252" w:type="dxa"/>
            <w:vMerge/>
            <w:tcBorders>
              <w:top w:val="nil"/>
              <w:left w:val="single" w:sz="4" w:space="0" w:color="auto"/>
              <w:bottom w:val="single" w:sz="4" w:space="0" w:color="000000"/>
              <w:right w:val="single" w:sz="4" w:space="0" w:color="auto"/>
            </w:tcBorders>
            <w:vAlign w:val="center"/>
            <w:hideMark/>
          </w:tcPr>
          <w:p w14:paraId="176D401A" w14:textId="77777777" w:rsidR="00004C2E" w:rsidRPr="00004C2E" w:rsidRDefault="00004C2E" w:rsidP="00004C2E">
            <w:pPr>
              <w:spacing w:after="0" w:line="240" w:lineRule="auto"/>
              <w:rPr>
                <w:rFonts w:ascii="Calibri" w:eastAsia="Times New Roman" w:hAnsi="Calibri" w:cs="Calibri"/>
                <w:color w:val="000000"/>
                <w:kern w:val="0"/>
                <w:lang w:eastAsia="en-GB"/>
                <w14:ligatures w14:val="none"/>
              </w:rPr>
            </w:pPr>
          </w:p>
        </w:tc>
      </w:tr>
      <w:tr w:rsidR="00004C2E" w:rsidRPr="00004C2E" w14:paraId="2A748D37" w14:textId="77777777" w:rsidTr="00004C2E">
        <w:trPr>
          <w:trHeight w:val="315"/>
        </w:trPr>
        <w:tc>
          <w:tcPr>
            <w:tcW w:w="1800" w:type="dxa"/>
            <w:tcBorders>
              <w:top w:val="nil"/>
              <w:left w:val="single" w:sz="4" w:space="0" w:color="auto"/>
              <w:bottom w:val="single" w:sz="4" w:space="0" w:color="auto"/>
              <w:right w:val="single" w:sz="4" w:space="0" w:color="auto"/>
            </w:tcBorders>
            <w:shd w:val="clear" w:color="auto" w:fill="auto"/>
            <w:noWrap/>
            <w:vAlign w:val="bottom"/>
            <w:hideMark/>
          </w:tcPr>
          <w:p w14:paraId="36E803B7" w14:textId="77777777" w:rsidR="00004C2E" w:rsidRPr="00004C2E" w:rsidRDefault="00004C2E" w:rsidP="00004C2E">
            <w:pPr>
              <w:spacing w:after="0" w:line="240" w:lineRule="auto"/>
              <w:jc w:val="center"/>
              <w:rPr>
                <w:rFonts w:ascii="Calibri" w:eastAsia="Times New Roman" w:hAnsi="Calibri" w:cs="Calibri"/>
                <w:color w:val="000000"/>
                <w:kern w:val="0"/>
                <w:lang w:eastAsia="en-GB"/>
                <w14:ligatures w14:val="none"/>
              </w:rPr>
            </w:pPr>
            <w:r w:rsidRPr="00004C2E">
              <w:rPr>
                <w:rFonts w:ascii="Calibri" w:eastAsia="Times New Roman" w:hAnsi="Calibri" w:cs="Calibri"/>
                <w:color w:val="000000"/>
                <w:kern w:val="0"/>
                <w:lang w:eastAsia="en-GB"/>
                <w14:ligatures w14:val="none"/>
              </w:rPr>
              <w:t>4</w:t>
            </w:r>
          </w:p>
        </w:tc>
        <w:tc>
          <w:tcPr>
            <w:tcW w:w="1168" w:type="dxa"/>
            <w:tcBorders>
              <w:top w:val="nil"/>
              <w:left w:val="nil"/>
              <w:bottom w:val="single" w:sz="4" w:space="0" w:color="auto"/>
              <w:right w:val="single" w:sz="4" w:space="0" w:color="auto"/>
            </w:tcBorders>
            <w:shd w:val="clear" w:color="auto" w:fill="auto"/>
            <w:noWrap/>
            <w:vAlign w:val="bottom"/>
            <w:hideMark/>
          </w:tcPr>
          <w:p w14:paraId="7DE343FE" w14:textId="77777777" w:rsidR="00004C2E" w:rsidRPr="00004C2E" w:rsidRDefault="00004C2E" w:rsidP="00004C2E">
            <w:pPr>
              <w:spacing w:after="0" w:line="240" w:lineRule="auto"/>
              <w:jc w:val="center"/>
              <w:rPr>
                <w:rFonts w:ascii="Calibri" w:eastAsia="Times New Roman" w:hAnsi="Calibri" w:cs="Calibri"/>
                <w:color w:val="000000"/>
                <w:kern w:val="0"/>
                <w:lang w:eastAsia="en-GB"/>
                <w14:ligatures w14:val="none"/>
              </w:rPr>
            </w:pPr>
            <w:r w:rsidRPr="00004C2E">
              <w:rPr>
                <w:rFonts w:ascii="Calibri" w:eastAsia="Times New Roman" w:hAnsi="Calibri" w:cs="Calibri"/>
                <w:color w:val="000000"/>
                <w:kern w:val="0"/>
                <w:lang w:eastAsia="en-GB"/>
                <w14:ligatures w14:val="none"/>
              </w:rPr>
              <w:t>145</w:t>
            </w:r>
          </w:p>
        </w:tc>
        <w:tc>
          <w:tcPr>
            <w:tcW w:w="1252" w:type="dxa"/>
            <w:vMerge/>
            <w:tcBorders>
              <w:top w:val="nil"/>
              <w:left w:val="single" w:sz="4" w:space="0" w:color="auto"/>
              <w:bottom w:val="single" w:sz="4" w:space="0" w:color="000000"/>
              <w:right w:val="single" w:sz="4" w:space="0" w:color="auto"/>
            </w:tcBorders>
            <w:vAlign w:val="center"/>
            <w:hideMark/>
          </w:tcPr>
          <w:p w14:paraId="12B4502D" w14:textId="77777777" w:rsidR="00004C2E" w:rsidRPr="00004C2E" w:rsidRDefault="00004C2E" w:rsidP="00004C2E">
            <w:pPr>
              <w:spacing w:after="0" w:line="240" w:lineRule="auto"/>
              <w:rPr>
                <w:rFonts w:ascii="Calibri" w:eastAsia="Times New Roman" w:hAnsi="Calibri" w:cs="Calibri"/>
                <w:color w:val="000000"/>
                <w:kern w:val="0"/>
                <w:lang w:eastAsia="en-GB"/>
                <w14:ligatures w14:val="none"/>
              </w:rPr>
            </w:pPr>
          </w:p>
        </w:tc>
      </w:tr>
      <w:tr w:rsidR="00004C2E" w:rsidRPr="00004C2E" w14:paraId="050E110D" w14:textId="77777777" w:rsidTr="00004C2E">
        <w:trPr>
          <w:trHeight w:val="315"/>
        </w:trPr>
        <w:tc>
          <w:tcPr>
            <w:tcW w:w="1800" w:type="dxa"/>
            <w:tcBorders>
              <w:top w:val="nil"/>
              <w:left w:val="single" w:sz="4" w:space="0" w:color="auto"/>
              <w:bottom w:val="single" w:sz="4" w:space="0" w:color="auto"/>
              <w:right w:val="single" w:sz="4" w:space="0" w:color="auto"/>
            </w:tcBorders>
            <w:shd w:val="clear" w:color="auto" w:fill="auto"/>
            <w:noWrap/>
            <w:vAlign w:val="bottom"/>
            <w:hideMark/>
          </w:tcPr>
          <w:p w14:paraId="545A39AA" w14:textId="77777777" w:rsidR="00004C2E" w:rsidRPr="00004C2E" w:rsidRDefault="00004C2E" w:rsidP="00004C2E">
            <w:pPr>
              <w:spacing w:after="0" w:line="240" w:lineRule="auto"/>
              <w:jc w:val="center"/>
              <w:rPr>
                <w:rFonts w:ascii="Calibri" w:eastAsia="Times New Roman" w:hAnsi="Calibri" w:cs="Calibri"/>
                <w:color w:val="000000"/>
                <w:kern w:val="0"/>
                <w:lang w:eastAsia="en-GB"/>
                <w14:ligatures w14:val="none"/>
              </w:rPr>
            </w:pPr>
            <w:r w:rsidRPr="00004C2E">
              <w:rPr>
                <w:rFonts w:ascii="Calibri" w:eastAsia="Times New Roman" w:hAnsi="Calibri" w:cs="Calibri"/>
                <w:color w:val="000000"/>
                <w:kern w:val="0"/>
                <w:lang w:eastAsia="en-GB"/>
                <w14:ligatures w14:val="none"/>
              </w:rPr>
              <w:t>5</w:t>
            </w:r>
          </w:p>
        </w:tc>
        <w:tc>
          <w:tcPr>
            <w:tcW w:w="1168" w:type="dxa"/>
            <w:tcBorders>
              <w:top w:val="nil"/>
              <w:left w:val="nil"/>
              <w:bottom w:val="single" w:sz="4" w:space="0" w:color="auto"/>
              <w:right w:val="single" w:sz="4" w:space="0" w:color="auto"/>
            </w:tcBorders>
            <w:shd w:val="clear" w:color="auto" w:fill="auto"/>
            <w:noWrap/>
            <w:vAlign w:val="bottom"/>
            <w:hideMark/>
          </w:tcPr>
          <w:p w14:paraId="246321ED" w14:textId="77777777" w:rsidR="00004C2E" w:rsidRPr="00004C2E" w:rsidRDefault="00004C2E" w:rsidP="00004C2E">
            <w:pPr>
              <w:spacing w:after="0" w:line="240" w:lineRule="auto"/>
              <w:jc w:val="center"/>
              <w:rPr>
                <w:rFonts w:ascii="Calibri" w:eastAsia="Times New Roman" w:hAnsi="Calibri" w:cs="Calibri"/>
                <w:color w:val="000000"/>
                <w:kern w:val="0"/>
                <w:lang w:eastAsia="en-GB"/>
                <w14:ligatures w14:val="none"/>
              </w:rPr>
            </w:pPr>
            <w:r w:rsidRPr="00004C2E">
              <w:rPr>
                <w:rFonts w:ascii="Calibri" w:eastAsia="Times New Roman" w:hAnsi="Calibri" w:cs="Calibri"/>
                <w:color w:val="000000"/>
                <w:kern w:val="0"/>
                <w:lang w:eastAsia="en-GB"/>
                <w14:ligatures w14:val="none"/>
              </w:rPr>
              <w:t>114</w:t>
            </w:r>
          </w:p>
        </w:tc>
        <w:tc>
          <w:tcPr>
            <w:tcW w:w="1252" w:type="dxa"/>
            <w:vMerge/>
            <w:tcBorders>
              <w:top w:val="nil"/>
              <w:left w:val="single" w:sz="4" w:space="0" w:color="auto"/>
              <w:bottom w:val="single" w:sz="4" w:space="0" w:color="000000"/>
              <w:right w:val="single" w:sz="4" w:space="0" w:color="auto"/>
            </w:tcBorders>
            <w:vAlign w:val="center"/>
            <w:hideMark/>
          </w:tcPr>
          <w:p w14:paraId="0A193B8C" w14:textId="77777777" w:rsidR="00004C2E" w:rsidRPr="00004C2E" w:rsidRDefault="00004C2E" w:rsidP="00004C2E">
            <w:pPr>
              <w:spacing w:after="0" w:line="240" w:lineRule="auto"/>
              <w:rPr>
                <w:rFonts w:ascii="Calibri" w:eastAsia="Times New Roman" w:hAnsi="Calibri" w:cs="Calibri"/>
                <w:color w:val="000000"/>
                <w:kern w:val="0"/>
                <w:lang w:eastAsia="en-GB"/>
                <w14:ligatures w14:val="none"/>
              </w:rPr>
            </w:pPr>
          </w:p>
        </w:tc>
      </w:tr>
      <w:tr w:rsidR="00004C2E" w:rsidRPr="00004C2E" w14:paraId="155DE365" w14:textId="77777777" w:rsidTr="00004C2E">
        <w:trPr>
          <w:trHeight w:val="315"/>
        </w:trPr>
        <w:tc>
          <w:tcPr>
            <w:tcW w:w="1800" w:type="dxa"/>
            <w:tcBorders>
              <w:top w:val="nil"/>
              <w:left w:val="single" w:sz="4" w:space="0" w:color="auto"/>
              <w:bottom w:val="single" w:sz="4" w:space="0" w:color="auto"/>
              <w:right w:val="single" w:sz="4" w:space="0" w:color="auto"/>
            </w:tcBorders>
            <w:shd w:val="clear" w:color="auto" w:fill="auto"/>
            <w:noWrap/>
            <w:vAlign w:val="bottom"/>
            <w:hideMark/>
          </w:tcPr>
          <w:p w14:paraId="07B0D321" w14:textId="77777777" w:rsidR="00004C2E" w:rsidRPr="00004C2E" w:rsidRDefault="00004C2E" w:rsidP="00004C2E">
            <w:pPr>
              <w:spacing w:after="0" w:line="240" w:lineRule="auto"/>
              <w:jc w:val="center"/>
              <w:rPr>
                <w:rFonts w:ascii="Calibri" w:eastAsia="Times New Roman" w:hAnsi="Calibri" w:cs="Calibri"/>
                <w:color w:val="000000"/>
                <w:kern w:val="0"/>
                <w:lang w:eastAsia="en-GB"/>
                <w14:ligatures w14:val="none"/>
              </w:rPr>
            </w:pPr>
            <w:r w:rsidRPr="00004C2E">
              <w:rPr>
                <w:rFonts w:ascii="Calibri" w:eastAsia="Times New Roman" w:hAnsi="Calibri" w:cs="Calibri"/>
                <w:color w:val="000000"/>
                <w:kern w:val="0"/>
                <w:lang w:eastAsia="en-GB"/>
                <w14:ligatures w14:val="none"/>
              </w:rPr>
              <w:t>6</w:t>
            </w:r>
          </w:p>
        </w:tc>
        <w:tc>
          <w:tcPr>
            <w:tcW w:w="1168" w:type="dxa"/>
            <w:tcBorders>
              <w:top w:val="nil"/>
              <w:left w:val="nil"/>
              <w:bottom w:val="single" w:sz="4" w:space="0" w:color="auto"/>
              <w:right w:val="single" w:sz="4" w:space="0" w:color="auto"/>
            </w:tcBorders>
            <w:shd w:val="clear" w:color="auto" w:fill="auto"/>
            <w:noWrap/>
            <w:vAlign w:val="bottom"/>
            <w:hideMark/>
          </w:tcPr>
          <w:p w14:paraId="25A03D55" w14:textId="77777777" w:rsidR="00004C2E" w:rsidRPr="00004C2E" w:rsidRDefault="00004C2E" w:rsidP="00004C2E">
            <w:pPr>
              <w:spacing w:after="0" w:line="240" w:lineRule="auto"/>
              <w:jc w:val="center"/>
              <w:rPr>
                <w:rFonts w:ascii="Calibri" w:eastAsia="Times New Roman" w:hAnsi="Calibri" w:cs="Calibri"/>
                <w:color w:val="000000"/>
                <w:kern w:val="0"/>
                <w:lang w:eastAsia="en-GB"/>
                <w14:ligatures w14:val="none"/>
              </w:rPr>
            </w:pPr>
            <w:r w:rsidRPr="00004C2E">
              <w:rPr>
                <w:rFonts w:ascii="Calibri" w:eastAsia="Times New Roman" w:hAnsi="Calibri" w:cs="Calibri"/>
                <w:color w:val="000000"/>
                <w:kern w:val="0"/>
                <w:lang w:eastAsia="en-GB"/>
                <w14:ligatures w14:val="none"/>
              </w:rPr>
              <w:t>49</w:t>
            </w:r>
          </w:p>
        </w:tc>
        <w:tc>
          <w:tcPr>
            <w:tcW w:w="1252" w:type="dxa"/>
            <w:vMerge/>
            <w:tcBorders>
              <w:top w:val="nil"/>
              <w:left w:val="single" w:sz="4" w:space="0" w:color="auto"/>
              <w:bottom w:val="single" w:sz="4" w:space="0" w:color="000000"/>
              <w:right w:val="single" w:sz="4" w:space="0" w:color="auto"/>
            </w:tcBorders>
            <w:vAlign w:val="center"/>
            <w:hideMark/>
          </w:tcPr>
          <w:p w14:paraId="0F5D9D08" w14:textId="77777777" w:rsidR="00004C2E" w:rsidRPr="00004C2E" w:rsidRDefault="00004C2E" w:rsidP="00004C2E">
            <w:pPr>
              <w:spacing w:after="0" w:line="240" w:lineRule="auto"/>
              <w:rPr>
                <w:rFonts w:ascii="Calibri" w:eastAsia="Times New Roman" w:hAnsi="Calibri" w:cs="Calibri"/>
                <w:color w:val="000000"/>
                <w:kern w:val="0"/>
                <w:lang w:eastAsia="en-GB"/>
                <w14:ligatures w14:val="none"/>
              </w:rPr>
            </w:pPr>
          </w:p>
        </w:tc>
      </w:tr>
      <w:tr w:rsidR="00004C2E" w:rsidRPr="00004C2E" w14:paraId="060E90AC" w14:textId="77777777" w:rsidTr="00004C2E">
        <w:trPr>
          <w:trHeight w:val="315"/>
        </w:trPr>
        <w:tc>
          <w:tcPr>
            <w:tcW w:w="1800" w:type="dxa"/>
            <w:tcBorders>
              <w:top w:val="nil"/>
              <w:left w:val="single" w:sz="4" w:space="0" w:color="auto"/>
              <w:bottom w:val="single" w:sz="4" w:space="0" w:color="auto"/>
              <w:right w:val="single" w:sz="4" w:space="0" w:color="auto"/>
            </w:tcBorders>
            <w:shd w:val="clear" w:color="auto" w:fill="auto"/>
            <w:noWrap/>
            <w:vAlign w:val="bottom"/>
            <w:hideMark/>
          </w:tcPr>
          <w:p w14:paraId="4DE968F7" w14:textId="77777777" w:rsidR="00004C2E" w:rsidRPr="00004C2E" w:rsidRDefault="00004C2E" w:rsidP="00004C2E">
            <w:pPr>
              <w:spacing w:after="0" w:line="240" w:lineRule="auto"/>
              <w:jc w:val="center"/>
              <w:rPr>
                <w:rFonts w:ascii="Calibri" w:eastAsia="Times New Roman" w:hAnsi="Calibri" w:cs="Calibri"/>
                <w:color w:val="000000"/>
                <w:kern w:val="0"/>
                <w:lang w:eastAsia="en-GB"/>
                <w14:ligatures w14:val="none"/>
              </w:rPr>
            </w:pPr>
            <w:r w:rsidRPr="00004C2E">
              <w:rPr>
                <w:rFonts w:ascii="Calibri" w:eastAsia="Times New Roman" w:hAnsi="Calibri" w:cs="Calibri"/>
                <w:color w:val="000000"/>
                <w:kern w:val="0"/>
                <w:lang w:eastAsia="en-GB"/>
                <w14:ligatures w14:val="none"/>
              </w:rPr>
              <w:t>7</w:t>
            </w:r>
          </w:p>
        </w:tc>
        <w:tc>
          <w:tcPr>
            <w:tcW w:w="1168" w:type="dxa"/>
            <w:tcBorders>
              <w:top w:val="nil"/>
              <w:left w:val="nil"/>
              <w:bottom w:val="single" w:sz="4" w:space="0" w:color="auto"/>
              <w:right w:val="single" w:sz="4" w:space="0" w:color="auto"/>
            </w:tcBorders>
            <w:shd w:val="clear" w:color="auto" w:fill="auto"/>
            <w:noWrap/>
            <w:vAlign w:val="bottom"/>
            <w:hideMark/>
          </w:tcPr>
          <w:p w14:paraId="0E6CAC51" w14:textId="77777777" w:rsidR="00004C2E" w:rsidRPr="00004C2E" w:rsidRDefault="00004C2E" w:rsidP="00004C2E">
            <w:pPr>
              <w:spacing w:after="0" w:line="240" w:lineRule="auto"/>
              <w:jc w:val="center"/>
              <w:rPr>
                <w:rFonts w:ascii="Calibri" w:eastAsia="Times New Roman" w:hAnsi="Calibri" w:cs="Calibri"/>
                <w:color w:val="000000"/>
                <w:kern w:val="0"/>
                <w:lang w:eastAsia="en-GB"/>
                <w14:ligatures w14:val="none"/>
              </w:rPr>
            </w:pPr>
            <w:r w:rsidRPr="00004C2E">
              <w:rPr>
                <w:rFonts w:ascii="Calibri" w:eastAsia="Times New Roman" w:hAnsi="Calibri" w:cs="Calibri"/>
                <w:color w:val="000000"/>
                <w:kern w:val="0"/>
                <w:lang w:eastAsia="en-GB"/>
                <w14:ligatures w14:val="none"/>
              </w:rPr>
              <w:t>72</w:t>
            </w:r>
          </w:p>
        </w:tc>
        <w:tc>
          <w:tcPr>
            <w:tcW w:w="1252" w:type="dxa"/>
            <w:vMerge/>
            <w:tcBorders>
              <w:top w:val="nil"/>
              <w:left w:val="single" w:sz="4" w:space="0" w:color="auto"/>
              <w:bottom w:val="single" w:sz="4" w:space="0" w:color="000000"/>
              <w:right w:val="single" w:sz="4" w:space="0" w:color="auto"/>
            </w:tcBorders>
            <w:vAlign w:val="center"/>
            <w:hideMark/>
          </w:tcPr>
          <w:p w14:paraId="7A1B5811" w14:textId="77777777" w:rsidR="00004C2E" w:rsidRPr="00004C2E" w:rsidRDefault="00004C2E" w:rsidP="00004C2E">
            <w:pPr>
              <w:spacing w:after="0" w:line="240" w:lineRule="auto"/>
              <w:rPr>
                <w:rFonts w:ascii="Calibri" w:eastAsia="Times New Roman" w:hAnsi="Calibri" w:cs="Calibri"/>
                <w:color w:val="000000"/>
                <w:kern w:val="0"/>
                <w:lang w:eastAsia="en-GB"/>
                <w14:ligatures w14:val="none"/>
              </w:rPr>
            </w:pPr>
          </w:p>
        </w:tc>
      </w:tr>
      <w:tr w:rsidR="00004C2E" w:rsidRPr="00004C2E" w14:paraId="006D715A" w14:textId="77777777" w:rsidTr="00004C2E">
        <w:trPr>
          <w:trHeight w:val="315"/>
        </w:trPr>
        <w:tc>
          <w:tcPr>
            <w:tcW w:w="1800" w:type="dxa"/>
            <w:tcBorders>
              <w:top w:val="nil"/>
              <w:left w:val="single" w:sz="4" w:space="0" w:color="auto"/>
              <w:bottom w:val="single" w:sz="4" w:space="0" w:color="auto"/>
              <w:right w:val="single" w:sz="4" w:space="0" w:color="auto"/>
            </w:tcBorders>
            <w:shd w:val="clear" w:color="auto" w:fill="auto"/>
            <w:noWrap/>
            <w:vAlign w:val="bottom"/>
            <w:hideMark/>
          </w:tcPr>
          <w:p w14:paraId="77D0B9C6" w14:textId="77777777" w:rsidR="00004C2E" w:rsidRPr="00004C2E" w:rsidRDefault="00004C2E" w:rsidP="00004C2E">
            <w:pPr>
              <w:spacing w:after="0" w:line="240" w:lineRule="auto"/>
              <w:jc w:val="center"/>
              <w:rPr>
                <w:rFonts w:ascii="Calibri" w:eastAsia="Times New Roman" w:hAnsi="Calibri" w:cs="Calibri"/>
                <w:color w:val="000000"/>
                <w:kern w:val="0"/>
                <w:lang w:eastAsia="en-GB"/>
                <w14:ligatures w14:val="none"/>
              </w:rPr>
            </w:pPr>
            <w:r w:rsidRPr="00004C2E">
              <w:rPr>
                <w:rFonts w:ascii="Calibri" w:eastAsia="Times New Roman" w:hAnsi="Calibri" w:cs="Calibri"/>
                <w:color w:val="000000"/>
                <w:kern w:val="0"/>
                <w:lang w:eastAsia="en-GB"/>
                <w14:ligatures w14:val="none"/>
              </w:rPr>
              <w:t>8</w:t>
            </w:r>
          </w:p>
        </w:tc>
        <w:tc>
          <w:tcPr>
            <w:tcW w:w="1168" w:type="dxa"/>
            <w:tcBorders>
              <w:top w:val="nil"/>
              <w:left w:val="nil"/>
              <w:bottom w:val="single" w:sz="4" w:space="0" w:color="auto"/>
              <w:right w:val="single" w:sz="4" w:space="0" w:color="auto"/>
            </w:tcBorders>
            <w:shd w:val="clear" w:color="auto" w:fill="auto"/>
            <w:noWrap/>
            <w:vAlign w:val="bottom"/>
            <w:hideMark/>
          </w:tcPr>
          <w:p w14:paraId="1D73CFFA" w14:textId="77777777" w:rsidR="00004C2E" w:rsidRPr="00004C2E" w:rsidRDefault="00004C2E" w:rsidP="00004C2E">
            <w:pPr>
              <w:spacing w:after="0" w:line="240" w:lineRule="auto"/>
              <w:jc w:val="center"/>
              <w:rPr>
                <w:rFonts w:ascii="Calibri" w:eastAsia="Times New Roman" w:hAnsi="Calibri" w:cs="Calibri"/>
                <w:color w:val="000000"/>
                <w:kern w:val="0"/>
                <w:lang w:eastAsia="en-GB"/>
                <w14:ligatures w14:val="none"/>
              </w:rPr>
            </w:pPr>
            <w:r w:rsidRPr="00004C2E">
              <w:rPr>
                <w:rFonts w:ascii="Calibri" w:eastAsia="Times New Roman" w:hAnsi="Calibri" w:cs="Calibri"/>
                <w:color w:val="000000"/>
                <w:kern w:val="0"/>
                <w:lang w:eastAsia="en-GB"/>
                <w14:ligatures w14:val="none"/>
              </w:rPr>
              <w:t>54</w:t>
            </w:r>
          </w:p>
        </w:tc>
        <w:tc>
          <w:tcPr>
            <w:tcW w:w="1252" w:type="dxa"/>
            <w:vMerge/>
            <w:tcBorders>
              <w:top w:val="nil"/>
              <w:left w:val="single" w:sz="4" w:space="0" w:color="auto"/>
              <w:bottom w:val="single" w:sz="4" w:space="0" w:color="000000"/>
              <w:right w:val="single" w:sz="4" w:space="0" w:color="auto"/>
            </w:tcBorders>
            <w:vAlign w:val="center"/>
            <w:hideMark/>
          </w:tcPr>
          <w:p w14:paraId="7EFE64C9" w14:textId="77777777" w:rsidR="00004C2E" w:rsidRPr="00004C2E" w:rsidRDefault="00004C2E" w:rsidP="00004C2E">
            <w:pPr>
              <w:spacing w:after="0" w:line="240" w:lineRule="auto"/>
              <w:rPr>
                <w:rFonts w:ascii="Calibri" w:eastAsia="Times New Roman" w:hAnsi="Calibri" w:cs="Calibri"/>
                <w:color w:val="000000"/>
                <w:kern w:val="0"/>
                <w:lang w:eastAsia="en-GB"/>
                <w14:ligatures w14:val="none"/>
              </w:rPr>
            </w:pPr>
          </w:p>
        </w:tc>
      </w:tr>
      <w:tr w:rsidR="00004C2E" w:rsidRPr="00004C2E" w14:paraId="41480C99" w14:textId="77777777" w:rsidTr="00004C2E">
        <w:trPr>
          <w:trHeight w:val="315"/>
        </w:trPr>
        <w:tc>
          <w:tcPr>
            <w:tcW w:w="1800" w:type="dxa"/>
            <w:tcBorders>
              <w:top w:val="nil"/>
              <w:left w:val="single" w:sz="4" w:space="0" w:color="auto"/>
              <w:bottom w:val="single" w:sz="4" w:space="0" w:color="auto"/>
              <w:right w:val="single" w:sz="4" w:space="0" w:color="auto"/>
            </w:tcBorders>
            <w:shd w:val="clear" w:color="auto" w:fill="auto"/>
            <w:noWrap/>
            <w:vAlign w:val="bottom"/>
            <w:hideMark/>
          </w:tcPr>
          <w:p w14:paraId="01A246C4" w14:textId="77777777" w:rsidR="00004C2E" w:rsidRPr="00004C2E" w:rsidRDefault="00004C2E" w:rsidP="00004C2E">
            <w:pPr>
              <w:spacing w:after="0" w:line="240" w:lineRule="auto"/>
              <w:jc w:val="center"/>
              <w:rPr>
                <w:rFonts w:ascii="Calibri" w:eastAsia="Times New Roman" w:hAnsi="Calibri" w:cs="Calibri"/>
                <w:color w:val="000000"/>
                <w:kern w:val="0"/>
                <w:lang w:eastAsia="en-GB"/>
                <w14:ligatures w14:val="none"/>
              </w:rPr>
            </w:pPr>
            <w:r w:rsidRPr="00004C2E">
              <w:rPr>
                <w:rFonts w:ascii="Calibri" w:eastAsia="Times New Roman" w:hAnsi="Calibri" w:cs="Calibri"/>
                <w:color w:val="000000"/>
                <w:kern w:val="0"/>
                <w:lang w:eastAsia="en-GB"/>
                <w14:ligatures w14:val="none"/>
              </w:rPr>
              <w:t>9+</w:t>
            </w:r>
          </w:p>
        </w:tc>
        <w:tc>
          <w:tcPr>
            <w:tcW w:w="1168" w:type="dxa"/>
            <w:tcBorders>
              <w:top w:val="nil"/>
              <w:left w:val="nil"/>
              <w:bottom w:val="single" w:sz="4" w:space="0" w:color="auto"/>
              <w:right w:val="single" w:sz="4" w:space="0" w:color="auto"/>
            </w:tcBorders>
            <w:shd w:val="clear" w:color="auto" w:fill="auto"/>
            <w:noWrap/>
            <w:vAlign w:val="bottom"/>
            <w:hideMark/>
          </w:tcPr>
          <w:p w14:paraId="4981821A" w14:textId="77777777" w:rsidR="00004C2E" w:rsidRPr="00004C2E" w:rsidRDefault="00004C2E" w:rsidP="00004C2E">
            <w:pPr>
              <w:spacing w:after="0" w:line="240" w:lineRule="auto"/>
              <w:jc w:val="center"/>
              <w:rPr>
                <w:rFonts w:ascii="Calibri" w:eastAsia="Times New Roman" w:hAnsi="Calibri" w:cs="Calibri"/>
                <w:color w:val="000000"/>
                <w:kern w:val="0"/>
                <w:lang w:eastAsia="en-GB"/>
                <w14:ligatures w14:val="none"/>
              </w:rPr>
            </w:pPr>
            <w:r w:rsidRPr="00004C2E">
              <w:rPr>
                <w:rFonts w:ascii="Calibri" w:eastAsia="Times New Roman" w:hAnsi="Calibri" w:cs="Calibri"/>
                <w:color w:val="000000"/>
                <w:kern w:val="0"/>
                <w:lang w:eastAsia="en-GB"/>
                <w14:ligatures w14:val="none"/>
              </w:rPr>
              <w:t>9,354</w:t>
            </w:r>
          </w:p>
        </w:tc>
        <w:tc>
          <w:tcPr>
            <w:tcW w:w="1252" w:type="dxa"/>
            <w:tcBorders>
              <w:top w:val="nil"/>
              <w:left w:val="nil"/>
              <w:bottom w:val="single" w:sz="4" w:space="0" w:color="auto"/>
              <w:right w:val="single" w:sz="4" w:space="0" w:color="auto"/>
            </w:tcBorders>
            <w:shd w:val="clear" w:color="auto" w:fill="auto"/>
            <w:noWrap/>
            <w:vAlign w:val="bottom"/>
            <w:hideMark/>
          </w:tcPr>
          <w:p w14:paraId="08690DEE" w14:textId="77777777" w:rsidR="00004C2E" w:rsidRPr="00004C2E" w:rsidRDefault="00004C2E" w:rsidP="00004C2E">
            <w:pPr>
              <w:spacing w:after="0" w:line="240" w:lineRule="auto"/>
              <w:jc w:val="center"/>
              <w:rPr>
                <w:rFonts w:ascii="Calibri" w:eastAsia="Times New Roman" w:hAnsi="Calibri" w:cs="Calibri"/>
                <w:color w:val="000000"/>
                <w:kern w:val="0"/>
                <w:lang w:eastAsia="en-GB"/>
                <w14:ligatures w14:val="none"/>
              </w:rPr>
            </w:pPr>
            <w:r w:rsidRPr="00004C2E">
              <w:rPr>
                <w:rFonts w:ascii="Calibri" w:eastAsia="Times New Roman" w:hAnsi="Calibri" w:cs="Calibri"/>
                <w:color w:val="000000"/>
                <w:kern w:val="0"/>
                <w:lang w:eastAsia="en-GB"/>
                <w14:ligatures w14:val="none"/>
              </w:rPr>
              <w:t>19.53%</w:t>
            </w:r>
          </w:p>
        </w:tc>
      </w:tr>
      <w:tr w:rsidR="00004C2E" w:rsidRPr="00004C2E" w14:paraId="4F2DF24E" w14:textId="77777777" w:rsidTr="00004C2E">
        <w:trPr>
          <w:trHeight w:val="315"/>
        </w:trPr>
        <w:tc>
          <w:tcPr>
            <w:tcW w:w="1800" w:type="dxa"/>
            <w:tcBorders>
              <w:top w:val="nil"/>
              <w:left w:val="single" w:sz="4" w:space="0" w:color="auto"/>
              <w:bottom w:val="single" w:sz="4" w:space="0" w:color="auto"/>
              <w:right w:val="single" w:sz="4" w:space="0" w:color="auto"/>
            </w:tcBorders>
            <w:shd w:val="clear" w:color="auto" w:fill="auto"/>
            <w:noWrap/>
            <w:vAlign w:val="bottom"/>
            <w:hideMark/>
          </w:tcPr>
          <w:p w14:paraId="041818B6" w14:textId="77777777" w:rsidR="00004C2E" w:rsidRPr="00004C2E" w:rsidRDefault="00004C2E" w:rsidP="00004C2E">
            <w:pPr>
              <w:spacing w:after="0" w:line="240" w:lineRule="auto"/>
              <w:jc w:val="center"/>
              <w:rPr>
                <w:rFonts w:ascii="Calibri" w:eastAsia="Times New Roman" w:hAnsi="Calibri" w:cs="Calibri"/>
                <w:b/>
                <w:bCs/>
                <w:color w:val="000000"/>
                <w:kern w:val="0"/>
                <w:lang w:eastAsia="en-GB"/>
                <w14:ligatures w14:val="none"/>
              </w:rPr>
            </w:pPr>
            <w:r w:rsidRPr="00004C2E">
              <w:rPr>
                <w:rFonts w:ascii="Calibri" w:eastAsia="Times New Roman" w:hAnsi="Calibri" w:cs="Calibri"/>
                <w:b/>
                <w:bCs/>
                <w:color w:val="000000"/>
                <w:kern w:val="0"/>
                <w:lang w:eastAsia="en-GB"/>
                <w14:ligatures w14:val="none"/>
              </w:rPr>
              <w:t>Total Bookings</w:t>
            </w:r>
          </w:p>
        </w:tc>
        <w:tc>
          <w:tcPr>
            <w:tcW w:w="2420" w:type="dxa"/>
            <w:gridSpan w:val="2"/>
            <w:tcBorders>
              <w:top w:val="single" w:sz="4" w:space="0" w:color="auto"/>
              <w:left w:val="nil"/>
              <w:bottom w:val="single" w:sz="4" w:space="0" w:color="auto"/>
              <w:right w:val="single" w:sz="4" w:space="0" w:color="000000"/>
            </w:tcBorders>
            <w:shd w:val="clear" w:color="auto" w:fill="auto"/>
            <w:noWrap/>
            <w:vAlign w:val="bottom"/>
            <w:hideMark/>
          </w:tcPr>
          <w:p w14:paraId="2B78AA67" w14:textId="77777777" w:rsidR="00004C2E" w:rsidRPr="00004C2E" w:rsidRDefault="00004C2E" w:rsidP="00004C2E">
            <w:pPr>
              <w:spacing w:after="0" w:line="240" w:lineRule="auto"/>
              <w:jc w:val="center"/>
              <w:rPr>
                <w:rFonts w:ascii="Calibri" w:eastAsia="Times New Roman" w:hAnsi="Calibri" w:cs="Calibri"/>
                <w:b/>
                <w:bCs/>
                <w:color w:val="000000"/>
                <w:kern w:val="0"/>
                <w:lang w:eastAsia="en-GB"/>
                <w14:ligatures w14:val="none"/>
              </w:rPr>
            </w:pPr>
            <w:r w:rsidRPr="00004C2E">
              <w:rPr>
                <w:rFonts w:ascii="Calibri" w:eastAsia="Times New Roman" w:hAnsi="Calibri" w:cs="Calibri"/>
                <w:b/>
                <w:bCs/>
                <w:color w:val="000000"/>
                <w:kern w:val="0"/>
                <w:lang w:eastAsia="en-GB"/>
                <w14:ligatures w14:val="none"/>
              </w:rPr>
              <w:t>47889</w:t>
            </w:r>
          </w:p>
        </w:tc>
      </w:tr>
    </w:tbl>
    <w:p w14:paraId="745A5DD4" w14:textId="77777777" w:rsidR="00F42606" w:rsidRPr="00BD5C76" w:rsidRDefault="00F42606" w:rsidP="00BD5C76">
      <w:pPr>
        <w:spacing w:line="276" w:lineRule="auto"/>
        <w:jc w:val="both"/>
        <w:rPr>
          <w:rFonts w:cstheme="minorHAnsi"/>
        </w:rPr>
      </w:pPr>
    </w:p>
    <w:p w14:paraId="32C5D6EB" w14:textId="77777777" w:rsidR="00133EE5" w:rsidRPr="003B2D9A" w:rsidRDefault="00133EE5" w:rsidP="00523C32">
      <w:pPr>
        <w:spacing w:line="276" w:lineRule="auto"/>
        <w:jc w:val="both"/>
        <w:rPr>
          <w:rFonts w:cstheme="minorHAnsi"/>
        </w:rPr>
      </w:pPr>
      <w:r w:rsidRPr="003B2D9A">
        <w:rPr>
          <w:rFonts w:cstheme="minorHAnsi"/>
        </w:rPr>
        <w:t>N.B – these figures relate to bookings only, regardless of the number of individuals contained within each booking.</w:t>
      </w:r>
    </w:p>
    <w:p w14:paraId="7B6E4E5B" w14:textId="25629B6E" w:rsidR="00221290" w:rsidRDefault="00133EE5" w:rsidP="00744CFC">
      <w:pPr>
        <w:spacing w:line="276" w:lineRule="auto"/>
        <w:jc w:val="both"/>
        <w:rPr>
          <w:rFonts w:cstheme="minorHAnsi"/>
        </w:rPr>
      </w:pPr>
      <w:r w:rsidRPr="003B2D9A">
        <w:rPr>
          <w:rFonts w:cstheme="minorHAnsi"/>
        </w:rPr>
        <w:t xml:space="preserve">These statistics illustrate very clearly the value of experiential tourism to Penderyn by way of brand loyalty, supporting the work of </w:t>
      </w:r>
      <w:sdt>
        <w:sdtPr>
          <w:rPr>
            <w:rFonts w:cstheme="minorHAnsi"/>
          </w:rPr>
          <w:id w:val="-1082447463"/>
          <w:citation/>
        </w:sdtPr>
        <w:sdtEndPr/>
        <w:sdtContent>
          <w:r w:rsidRPr="003B2D9A">
            <w:rPr>
              <w:rFonts w:cstheme="minorHAnsi"/>
            </w:rPr>
            <w:fldChar w:fldCharType="begin"/>
          </w:r>
          <w:r w:rsidRPr="003B2D9A">
            <w:rPr>
              <w:rFonts w:cstheme="minorHAnsi"/>
            </w:rPr>
            <w:instrText xml:space="preserve"> CITATION Cob95 \l 2057 </w:instrText>
          </w:r>
          <w:r w:rsidRPr="003B2D9A">
            <w:rPr>
              <w:rFonts w:cstheme="minorHAnsi"/>
            </w:rPr>
            <w:fldChar w:fldCharType="separate"/>
          </w:r>
          <w:r w:rsidR="009D2B16" w:rsidRPr="009D2B16">
            <w:rPr>
              <w:rFonts w:cstheme="minorHAnsi"/>
              <w:noProof/>
            </w:rPr>
            <w:t>(Cobb-Walgren, et al., 1995)</w:t>
          </w:r>
          <w:r w:rsidRPr="003B2D9A">
            <w:rPr>
              <w:rFonts w:cstheme="minorHAnsi"/>
            </w:rPr>
            <w:fldChar w:fldCharType="end"/>
          </w:r>
        </w:sdtContent>
      </w:sdt>
      <w:r w:rsidRPr="003B2D9A">
        <w:rPr>
          <w:rFonts w:cstheme="minorHAnsi"/>
        </w:rPr>
        <w:t xml:space="preserve">, </w:t>
      </w:r>
      <w:sdt>
        <w:sdtPr>
          <w:rPr>
            <w:rFonts w:cstheme="minorHAnsi"/>
          </w:rPr>
          <w:id w:val="791477518"/>
          <w:citation/>
        </w:sdtPr>
        <w:sdtEndPr/>
        <w:sdtContent>
          <w:r w:rsidRPr="003B2D9A">
            <w:rPr>
              <w:rFonts w:cstheme="minorHAnsi"/>
            </w:rPr>
            <w:fldChar w:fldCharType="begin"/>
          </w:r>
          <w:r w:rsidRPr="003B2D9A">
            <w:rPr>
              <w:rFonts w:cstheme="minorHAnsi"/>
            </w:rPr>
            <w:instrText xml:space="preserve"> CITATION Hel15 \l 2057 </w:instrText>
          </w:r>
          <w:r w:rsidRPr="003B2D9A">
            <w:rPr>
              <w:rFonts w:cstheme="minorHAnsi"/>
            </w:rPr>
            <w:fldChar w:fldCharType="separate"/>
          </w:r>
          <w:r w:rsidR="009D2B16" w:rsidRPr="009D2B16">
            <w:rPr>
              <w:rFonts w:cstheme="minorHAnsi"/>
              <w:noProof/>
            </w:rPr>
            <w:t>(Heller &amp; Kelly, 2015)</w:t>
          </w:r>
          <w:r w:rsidRPr="003B2D9A">
            <w:rPr>
              <w:rFonts w:cstheme="minorHAnsi"/>
            </w:rPr>
            <w:fldChar w:fldCharType="end"/>
          </w:r>
        </w:sdtContent>
      </w:sdt>
      <w:r w:rsidRPr="003B2D9A">
        <w:rPr>
          <w:rFonts w:cstheme="minorHAnsi"/>
        </w:rPr>
        <w:t xml:space="preserve"> and </w:t>
      </w:r>
      <w:sdt>
        <w:sdtPr>
          <w:rPr>
            <w:rFonts w:cstheme="minorHAnsi"/>
          </w:rPr>
          <w:id w:val="-885491104"/>
          <w:citation/>
        </w:sdtPr>
        <w:sdtEndPr/>
        <w:sdtContent>
          <w:r w:rsidRPr="003B2D9A">
            <w:rPr>
              <w:rFonts w:cstheme="minorHAnsi"/>
            </w:rPr>
            <w:fldChar w:fldCharType="begin"/>
          </w:r>
          <w:r w:rsidRPr="003B2D9A">
            <w:rPr>
              <w:rFonts w:cstheme="minorHAnsi"/>
            </w:rPr>
            <w:instrText xml:space="preserve"> CITATION Hoy90 \l 2057 </w:instrText>
          </w:r>
          <w:r w:rsidRPr="003B2D9A">
            <w:rPr>
              <w:rFonts w:cstheme="minorHAnsi"/>
            </w:rPr>
            <w:fldChar w:fldCharType="separate"/>
          </w:r>
          <w:r w:rsidR="009D2B16" w:rsidRPr="009D2B16">
            <w:rPr>
              <w:rFonts w:cstheme="minorHAnsi"/>
              <w:noProof/>
            </w:rPr>
            <w:t>(Hoyer &amp; Brown, 1990)</w:t>
          </w:r>
          <w:r w:rsidRPr="003B2D9A">
            <w:rPr>
              <w:rFonts w:cstheme="minorHAnsi"/>
            </w:rPr>
            <w:fldChar w:fldCharType="end"/>
          </w:r>
        </w:sdtContent>
      </w:sdt>
      <w:r w:rsidRPr="003B2D9A">
        <w:rPr>
          <w:rFonts w:cstheme="minorHAnsi"/>
        </w:rPr>
        <w:t xml:space="preserve">; to have almost </w:t>
      </w:r>
      <w:r w:rsidR="00BD5C76">
        <w:rPr>
          <w:rFonts w:cstheme="minorHAnsi"/>
        </w:rPr>
        <w:t>31</w:t>
      </w:r>
      <w:r w:rsidRPr="003B2D9A">
        <w:rPr>
          <w:rFonts w:cstheme="minorHAnsi"/>
        </w:rPr>
        <w:t>% of visitors returning, with a number of these coming back for the 10</w:t>
      </w:r>
      <w:r w:rsidRPr="003B2D9A">
        <w:rPr>
          <w:rFonts w:cstheme="minorHAnsi"/>
          <w:vertAlign w:val="superscript"/>
        </w:rPr>
        <w:t>th</w:t>
      </w:r>
      <w:r w:rsidRPr="003B2D9A">
        <w:rPr>
          <w:rFonts w:cstheme="minorHAnsi"/>
        </w:rPr>
        <w:t xml:space="preserve"> time (or more) within the space of 6 years is substantial, particularly when the products and experiences offered by Penderyn sit firmly within the premium/luxury category. These returning visitors are powerful for Penderyn not only from a returning revenue point of view, but because these are the consumers that are highly likely to promote Penderyn so heavily in their own social groups.</w:t>
      </w:r>
    </w:p>
    <w:p w14:paraId="7906A191" w14:textId="4956E09F" w:rsidR="00221290" w:rsidRPr="003B2D9A" w:rsidRDefault="00FF6684" w:rsidP="00FF6684">
      <w:pPr>
        <w:rPr>
          <w:rFonts w:cstheme="minorHAnsi"/>
        </w:rPr>
      </w:pPr>
      <w:r>
        <w:rPr>
          <w:rFonts w:cstheme="minorHAnsi"/>
        </w:rPr>
        <w:br w:type="page"/>
      </w:r>
    </w:p>
    <w:p w14:paraId="60AF4B81" w14:textId="09B5A4C5" w:rsidR="00133EE5" w:rsidRPr="00523C32" w:rsidRDefault="00744CFC" w:rsidP="00523C32">
      <w:pPr>
        <w:pStyle w:val="Heading2"/>
        <w:spacing w:line="360" w:lineRule="auto"/>
        <w:rPr>
          <w:b/>
          <w:bCs/>
          <w:color w:val="auto"/>
          <w:sz w:val="24"/>
          <w:szCs w:val="24"/>
        </w:rPr>
      </w:pPr>
      <w:bookmarkStart w:id="35" w:name="_Toc160624601"/>
      <w:r>
        <w:rPr>
          <w:b/>
          <w:bCs/>
          <w:color w:val="auto"/>
          <w:sz w:val="24"/>
          <w:szCs w:val="24"/>
        </w:rPr>
        <w:lastRenderedPageBreak/>
        <w:t>6</w:t>
      </w:r>
      <w:r w:rsidR="00133EE5" w:rsidRPr="00523C32">
        <w:rPr>
          <w:b/>
          <w:bCs/>
          <w:color w:val="auto"/>
          <w:sz w:val="24"/>
          <w:szCs w:val="24"/>
        </w:rPr>
        <w:t>.0</w:t>
      </w:r>
      <w:r w:rsidR="00133EE5" w:rsidRPr="00523C32">
        <w:rPr>
          <w:b/>
          <w:bCs/>
          <w:color w:val="auto"/>
          <w:sz w:val="24"/>
          <w:szCs w:val="24"/>
        </w:rPr>
        <w:tab/>
      </w:r>
      <w:r w:rsidR="003B2D9A" w:rsidRPr="00523C32">
        <w:rPr>
          <w:b/>
          <w:bCs/>
          <w:color w:val="auto"/>
          <w:sz w:val="24"/>
          <w:szCs w:val="24"/>
        </w:rPr>
        <w:t>CONCLUSION – THE VALUE OF EXPERIENTIAL TOURISM TO PENDERYN</w:t>
      </w:r>
      <w:bookmarkEnd w:id="35"/>
      <w:r w:rsidR="00133EE5" w:rsidRPr="00523C32">
        <w:rPr>
          <w:b/>
          <w:bCs/>
          <w:color w:val="auto"/>
          <w:sz w:val="24"/>
          <w:szCs w:val="24"/>
        </w:rPr>
        <w:t xml:space="preserve"> </w:t>
      </w:r>
    </w:p>
    <w:p w14:paraId="59B1D832" w14:textId="77777777" w:rsidR="00133EE5" w:rsidRPr="003B2D9A" w:rsidRDefault="00133EE5" w:rsidP="00523C32">
      <w:pPr>
        <w:spacing w:line="276" w:lineRule="auto"/>
        <w:jc w:val="both"/>
        <w:rPr>
          <w:rFonts w:cstheme="minorHAnsi"/>
        </w:rPr>
      </w:pPr>
      <w:r w:rsidRPr="003B2D9A">
        <w:rPr>
          <w:rFonts w:cstheme="minorHAnsi"/>
        </w:rPr>
        <w:t xml:space="preserve">The data reviewed makes clear that experiential tourism has a clear and defined value to Penderyn within the facets of developing brand awareness, maximising the preferred brand perception and driving subsequent brand loyalty. </w:t>
      </w:r>
    </w:p>
    <w:p w14:paraId="16BFDBD8" w14:textId="0AE02F75" w:rsidR="00133EE5" w:rsidRPr="003B2D9A" w:rsidRDefault="00133EE5" w:rsidP="00523C32">
      <w:pPr>
        <w:spacing w:line="276" w:lineRule="auto"/>
        <w:jc w:val="both"/>
        <w:rPr>
          <w:rFonts w:cstheme="minorHAnsi"/>
        </w:rPr>
      </w:pPr>
      <w:r w:rsidRPr="003B2D9A">
        <w:rPr>
          <w:rFonts w:cstheme="minorHAnsi"/>
        </w:rPr>
        <w:t xml:space="preserve">However, the experiential tourism model does not influence these factors equally; </w:t>
      </w:r>
      <w:r w:rsidR="003B2D9A" w:rsidRPr="003B2D9A">
        <w:rPr>
          <w:rFonts w:cstheme="minorHAnsi"/>
        </w:rPr>
        <w:t>for</w:t>
      </w:r>
      <w:r w:rsidRPr="003B2D9A">
        <w:rPr>
          <w:rFonts w:cstheme="minorHAnsi"/>
        </w:rPr>
        <w:t xml:space="preserve"> a consumer (or potential consumer) to actively choose to visit a Penderyn Visitor Centre, they must first become aware of them, and thereby the product (or brand) that they are linked to. In this way, then, consumers are more likely to be predisposed to visit in the first place, and so a level of brand awareness is likely pre-existing. Therefore, it would be apparent that there is a higher value to Penderyn in using its experiential model as a strategy to shape brand perception and initiating, and maintaining, brand loyalty, above its value to brand awareness. </w:t>
      </w:r>
    </w:p>
    <w:p w14:paraId="5961B39A" w14:textId="77777777" w:rsidR="00133EE5" w:rsidRPr="003B2D9A" w:rsidRDefault="00133EE5" w:rsidP="00523C32">
      <w:pPr>
        <w:spacing w:line="276" w:lineRule="auto"/>
        <w:jc w:val="both"/>
        <w:rPr>
          <w:rFonts w:cstheme="minorHAnsi"/>
        </w:rPr>
      </w:pPr>
      <w:r w:rsidRPr="003B2D9A">
        <w:rPr>
          <w:rFonts w:cstheme="minorHAnsi"/>
        </w:rPr>
        <w:t>The opportunity to interact with customers on a continuous and direct level is a valuable one; whilst some of the data interrogated in this study was derived from a very in-depth market research study, the costs for such events are incredibly high, and are often prohibitive, regardless of how valuable their insight may be. Penderyn certainly could not justify (or even, afford) to run such studies annual, so to have such insights facilitated by experiential tourism makes it a powerful tool for brand growth.</w:t>
      </w:r>
    </w:p>
    <w:p w14:paraId="1433F563" w14:textId="212124A1" w:rsidR="00133EE5" w:rsidRPr="003B2D9A" w:rsidRDefault="00AC4943" w:rsidP="00523C32">
      <w:pPr>
        <w:spacing w:line="276" w:lineRule="auto"/>
        <w:jc w:val="both"/>
        <w:rPr>
          <w:rFonts w:cstheme="minorHAnsi"/>
        </w:rPr>
      </w:pPr>
      <w:sdt>
        <w:sdtPr>
          <w:rPr>
            <w:rFonts w:cstheme="minorHAnsi"/>
          </w:rPr>
          <w:id w:val="-908921276"/>
          <w:citation/>
        </w:sdtPr>
        <w:sdtEndPr/>
        <w:sdtContent>
          <w:r w:rsidR="00133EE5" w:rsidRPr="003B2D9A">
            <w:rPr>
              <w:rFonts w:cstheme="minorHAnsi"/>
            </w:rPr>
            <w:fldChar w:fldCharType="begin"/>
          </w:r>
          <w:r w:rsidR="00133EE5" w:rsidRPr="003B2D9A">
            <w:rPr>
              <w:rFonts w:cstheme="minorHAnsi"/>
            </w:rPr>
            <w:instrText xml:space="preserve"> CITATION Hsu17 \l 2057 </w:instrText>
          </w:r>
          <w:r w:rsidR="00133EE5" w:rsidRPr="003B2D9A">
            <w:rPr>
              <w:rFonts w:cstheme="minorHAnsi"/>
            </w:rPr>
            <w:fldChar w:fldCharType="separate"/>
          </w:r>
          <w:r w:rsidR="009D2B16" w:rsidRPr="009D2B16">
            <w:rPr>
              <w:rFonts w:cstheme="minorHAnsi"/>
              <w:noProof/>
            </w:rPr>
            <w:t>(Chow, et al., 2017)</w:t>
          </w:r>
          <w:r w:rsidR="00133EE5" w:rsidRPr="003B2D9A">
            <w:rPr>
              <w:rFonts w:cstheme="minorHAnsi"/>
            </w:rPr>
            <w:fldChar w:fldCharType="end"/>
          </w:r>
        </w:sdtContent>
      </w:sdt>
      <w:r w:rsidR="00133EE5" w:rsidRPr="003B2D9A">
        <w:rPr>
          <w:rFonts w:cstheme="minorHAnsi"/>
        </w:rPr>
        <w:t xml:space="preserve"> and</w:t>
      </w:r>
      <w:sdt>
        <w:sdtPr>
          <w:rPr>
            <w:rFonts w:cstheme="minorHAnsi"/>
          </w:rPr>
          <w:id w:val="525763558"/>
          <w:citation/>
        </w:sdtPr>
        <w:sdtEndPr/>
        <w:sdtContent>
          <w:r w:rsidR="00133EE5" w:rsidRPr="003B2D9A">
            <w:rPr>
              <w:rFonts w:cstheme="minorHAnsi"/>
            </w:rPr>
            <w:fldChar w:fldCharType="begin"/>
          </w:r>
          <w:r w:rsidR="00133EE5" w:rsidRPr="003B2D9A">
            <w:rPr>
              <w:rFonts w:cstheme="minorHAnsi"/>
            </w:rPr>
            <w:instrText xml:space="preserve"> CITATION Ehr97 \l 2057 </w:instrText>
          </w:r>
          <w:r w:rsidR="00133EE5" w:rsidRPr="003B2D9A">
            <w:rPr>
              <w:rFonts w:cstheme="minorHAnsi"/>
            </w:rPr>
            <w:fldChar w:fldCharType="separate"/>
          </w:r>
          <w:r w:rsidR="009D2B16">
            <w:rPr>
              <w:rFonts w:cstheme="minorHAnsi"/>
              <w:noProof/>
            </w:rPr>
            <w:t xml:space="preserve"> </w:t>
          </w:r>
          <w:r w:rsidR="009D2B16" w:rsidRPr="009D2B16">
            <w:rPr>
              <w:rFonts w:cstheme="minorHAnsi"/>
              <w:noProof/>
            </w:rPr>
            <w:t>(Ehrenberg, et al., 1997)</w:t>
          </w:r>
          <w:r w:rsidR="00133EE5" w:rsidRPr="003B2D9A">
            <w:rPr>
              <w:rFonts w:cstheme="minorHAnsi"/>
            </w:rPr>
            <w:fldChar w:fldCharType="end"/>
          </w:r>
        </w:sdtContent>
      </w:sdt>
      <w:r w:rsidR="00133EE5" w:rsidRPr="003B2D9A">
        <w:rPr>
          <w:rFonts w:cstheme="minorHAnsi"/>
        </w:rPr>
        <w:t xml:space="preserve"> are clear that for brand awareness to be maintained, and thus make conditions optimal for brand loyalty to develop, there must be repeated positive and immersive efforts to absorb consumers into the brand story, particularly when considering a high-involvement brand such as Penderyn; this makes clear, then, supported by the data provided in both the market research study conducted on behalf of Penderyn, and the customer satisfaction surveys completed by visitors, that the personal interactions offered at Penderyn Visitor Centres are positive and effective tools for brand loyalty – a point proven so well by the level of returning visitors referenced in section </w:t>
      </w:r>
      <w:r w:rsidR="00744CFC">
        <w:rPr>
          <w:rFonts w:cstheme="minorHAnsi"/>
        </w:rPr>
        <w:t>5.3</w:t>
      </w:r>
      <w:r w:rsidR="00133EE5" w:rsidRPr="003B2D9A">
        <w:rPr>
          <w:rFonts w:cstheme="minorHAnsi"/>
        </w:rPr>
        <w:t>.</w:t>
      </w:r>
    </w:p>
    <w:p w14:paraId="285993A9" w14:textId="77777777" w:rsidR="00133EE5" w:rsidRPr="003B2D9A" w:rsidRDefault="00133EE5" w:rsidP="00523C32">
      <w:pPr>
        <w:spacing w:line="276" w:lineRule="auto"/>
        <w:jc w:val="both"/>
        <w:rPr>
          <w:rFonts w:cstheme="minorHAnsi"/>
        </w:rPr>
      </w:pPr>
      <w:r w:rsidRPr="003B2D9A">
        <w:rPr>
          <w:rFonts w:cstheme="minorHAnsi"/>
        </w:rPr>
        <w:t>Additionally, it must be acknowledged that the experiential tourism model at penderyn also provides a tangible contribution of 7% of the company’s overall turnover. Whilst this may appear a small proportion, when it is accepted that the company exports to over 50 countries, this input is not insignificant and, with preferential margins fully considered, makes a clear impact upon the company’s annual operating profit.</w:t>
      </w:r>
    </w:p>
    <w:p w14:paraId="0F8272D2" w14:textId="77777777" w:rsidR="00133EE5" w:rsidRPr="003B2D9A" w:rsidRDefault="00133EE5" w:rsidP="00523C32">
      <w:pPr>
        <w:spacing w:line="276" w:lineRule="auto"/>
        <w:jc w:val="both"/>
        <w:rPr>
          <w:rFonts w:cstheme="minorHAnsi"/>
        </w:rPr>
      </w:pPr>
      <w:r w:rsidRPr="003B2D9A">
        <w:rPr>
          <w:rFonts w:cstheme="minorHAnsi"/>
        </w:rPr>
        <w:t>However, it must be recognised that the experiential tourism model is directly effective only within a specific geographic span, i.e. Wales. Therefore, its true value must be considered in the greater scheme of, and indeed, supported heavily by, the other pillars of brand growth at Penderyn which have a wider reach, recognised as:</w:t>
      </w:r>
    </w:p>
    <w:p w14:paraId="1A7B8D27" w14:textId="77777777" w:rsidR="00133EE5" w:rsidRPr="003B2D9A" w:rsidRDefault="00133EE5" w:rsidP="00523C32">
      <w:pPr>
        <w:pStyle w:val="ListParagraph"/>
        <w:numPr>
          <w:ilvl w:val="0"/>
          <w:numId w:val="12"/>
        </w:numPr>
        <w:spacing w:line="276" w:lineRule="auto"/>
        <w:jc w:val="both"/>
        <w:rPr>
          <w:rFonts w:cstheme="minorHAnsi"/>
        </w:rPr>
      </w:pPr>
      <w:r w:rsidRPr="003B2D9A">
        <w:rPr>
          <w:rFonts w:cstheme="minorHAnsi"/>
        </w:rPr>
        <w:t>Experiential tourism via the Visitor Centres</w:t>
      </w:r>
    </w:p>
    <w:p w14:paraId="10E2C0C0" w14:textId="77777777" w:rsidR="00133EE5" w:rsidRPr="003B2D9A" w:rsidRDefault="00133EE5" w:rsidP="00523C32">
      <w:pPr>
        <w:pStyle w:val="ListParagraph"/>
        <w:numPr>
          <w:ilvl w:val="0"/>
          <w:numId w:val="12"/>
        </w:numPr>
        <w:spacing w:line="276" w:lineRule="auto"/>
        <w:jc w:val="both"/>
        <w:rPr>
          <w:rFonts w:cstheme="minorHAnsi"/>
        </w:rPr>
      </w:pPr>
      <w:r w:rsidRPr="003B2D9A">
        <w:rPr>
          <w:rFonts w:cstheme="minorHAnsi"/>
        </w:rPr>
        <w:t>Consumer and trade show events (approx. 50 per year, domestic and global)</w:t>
      </w:r>
    </w:p>
    <w:p w14:paraId="66094656" w14:textId="77777777" w:rsidR="00133EE5" w:rsidRPr="003B2D9A" w:rsidRDefault="00133EE5" w:rsidP="00523C32">
      <w:pPr>
        <w:pStyle w:val="ListParagraph"/>
        <w:numPr>
          <w:ilvl w:val="0"/>
          <w:numId w:val="12"/>
        </w:numPr>
        <w:spacing w:line="276" w:lineRule="auto"/>
        <w:jc w:val="both"/>
        <w:rPr>
          <w:rFonts w:cstheme="minorHAnsi"/>
        </w:rPr>
      </w:pPr>
      <w:r w:rsidRPr="003B2D9A">
        <w:rPr>
          <w:rFonts w:cstheme="minorHAnsi"/>
        </w:rPr>
        <w:t>Digital marketing and communication strategy</w:t>
      </w:r>
    </w:p>
    <w:p w14:paraId="0CDC411D" w14:textId="77777777" w:rsidR="00133EE5" w:rsidRPr="003B2D9A" w:rsidRDefault="00133EE5" w:rsidP="00523C32">
      <w:pPr>
        <w:pStyle w:val="ListParagraph"/>
        <w:numPr>
          <w:ilvl w:val="0"/>
          <w:numId w:val="12"/>
        </w:numPr>
        <w:spacing w:line="276" w:lineRule="auto"/>
        <w:jc w:val="both"/>
        <w:rPr>
          <w:rFonts w:cstheme="minorHAnsi"/>
        </w:rPr>
      </w:pPr>
      <w:r w:rsidRPr="003B2D9A">
        <w:rPr>
          <w:rFonts w:cstheme="minorHAnsi"/>
        </w:rPr>
        <w:t>PR engagement and management (consumer and trade)</w:t>
      </w:r>
    </w:p>
    <w:p w14:paraId="78BAB047" w14:textId="77777777" w:rsidR="00133EE5" w:rsidRPr="003B2D9A" w:rsidRDefault="00133EE5" w:rsidP="00523C32">
      <w:pPr>
        <w:pStyle w:val="ListParagraph"/>
        <w:numPr>
          <w:ilvl w:val="0"/>
          <w:numId w:val="12"/>
        </w:numPr>
        <w:spacing w:line="276" w:lineRule="auto"/>
        <w:jc w:val="both"/>
        <w:rPr>
          <w:rFonts w:cstheme="minorHAnsi"/>
        </w:rPr>
      </w:pPr>
      <w:r w:rsidRPr="003B2D9A">
        <w:rPr>
          <w:rFonts w:cstheme="minorHAnsi"/>
        </w:rPr>
        <w:t>Promotional programmes and other ‘activations’ (domestic and global) e.g. free-with-purchase, discounts, subsidised discounts etc.</w:t>
      </w:r>
    </w:p>
    <w:p w14:paraId="2D097D38" w14:textId="77777777" w:rsidR="00133EE5" w:rsidRDefault="00133EE5" w:rsidP="00523C32">
      <w:pPr>
        <w:spacing w:line="276" w:lineRule="auto"/>
        <w:jc w:val="both"/>
        <w:rPr>
          <w:rFonts w:cstheme="minorHAnsi"/>
        </w:rPr>
      </w:pPr>
      <w:r w:rsidRPr="003B2D9A">
        <w:rPr>
          <w:rFonts w:cstheme="minorHAnsi"/>
        </w:rPr>
        <w:t xml:space="preserve">In summary, then, the experiential tourism model utilised by Penderyn is a positive tool for the development of its brand, albeit its power is more apparent in terms of promotion of its desired brand </w:t>
      </w:r>
      <w:r w:rsidRPr="003B2D9A">
        <w:rPr>
          <w:rFonts w:cstheme="minorHAnsi"/>
        </w:rPr>
        <w:lastRenderedPageBreak/>
        <w:t>perception, and nurturing brand loyalty. It has an additional, tangible value as an additional revenue stream, supported by its preferential margins when compared to other carriers of the product and its stability as a guaranteed retailer of the brands products. Finally, a smaller advantage is recognised in the Visitor Centres being ‘brand homes’ for Penderyn, offering corporate hospitality facilities that allow Penderyn to conduct commercial business in an optimal environment to showcase its range.</w:t>
      </w:r>
    </w:p>
    <w:p w14:paraId="74A8699F" w14:textId="23D13DA5" w:rsidR="00744CFC" w:rsidRPr="00523C32" w:rsidRDefault="00744CFC" w:rsidP="00744CFC">
      <w:pPr>
        <w:pStyle w:val="Heading2"/>
        <w:spacing w:line="360" w:lineRule="auto"/>
        <w:rPr>
          <w:b/>
          <w:bCs/>
          <w:color w:val="auto"/>
          <w:sz w:val="24"/>
          <w:szCs w:val="24"/>
        </w:rPr>
      </w:pPr>
      <w:bookmarkStart w:id="36" w:name="_Toc160624602"/>
      <w:r w:rsidRPr="00523C32">
        <w:rPr>
          <w:b/>
          <w:bCs/>
          <w:color w:val="auto"/>
          <w:sz w:val="24"/>
          <w:szCs w:val="24"/>
        </w:rPr>
        <w:t>6.</w:t>
      </w:r>
      <w:r>
        <w:rPr>
          <w:b/>
          <w:bCs/>
          <w:color w:val="auto"/>
          <w:sz w:val="24"/>
          <w:szCs w:val="24"/>
        </w:rPr>
        <w:t>1</w:t>
      </w:r>
      <w:r w:rsidRPr="00523C32">
        <w:rPr>
          <w:b/>
          <w:bCs/>
          <w:color w:val="auto"/>
          <w:sz w:val="24"/>
          <w:szCs w:val="24"/>
        </w:rPr>
        <w:tab/>
        <w:t>RECOMMENDATIONS AND FUTURE STEPS</w:t>
      </w:r>
      <w:bookmarkEnd w:id="36"/>
    </w:p>
    <w:p w14:paraId="7BE8E0AF" w14:textId="77777777" w:rsidR="00744CFC" w:rsidRDefault="00744CFC" w:rsidP="00744CFC">
      <w:pPr>
        <w:spacing w:line="276" w:lineRule="auto"/>
        <w:jc w:val="both"/>
      </w:pPr>
      <w:r>
        <w:t>In light of the findings of this study, there are several key steps that could be taken to increase the effectiveness of the experiential tourism model at Penderyn with regards to brand awareness, perception and loyalty, and thus, brand growth. Most notably, these are outlined below:</w:t>
      </w:r>
    </w:p>
    <w:p w14:paraId="30009761" w14:textId="751F3D30" w:rsidR="00744CFC" w:rsidRDefault="00744CFC" w:rsidP="00744CFC">
      <w:pPr>
        <w:pStyle w:val="ListParagraph"/>
        <w:numPr>
          <w:ilvl w:val="0"/>
          <w:numId w:val="16"/>
        </w:numPr>
        <w:spacing w:line="276" w:lineRule="auto"/>
        <w:jc w:val="both"/>
      </w:pPr>
      <w:r>
        <w:t xml:space="preserve">Investigate further the potential for creating a virtual experiential tourism model at Penderyn; as acknowledged in section </w:t>
      </w:r>
      <w:r w:rsidR="00CB73D2">
        <w:t>1.4</w:t>
      </w:r>
      <w:r>
        <w:t>, the sites are limited in their reach to residents or visitors to relatively small geographic areas, but when visitors do attend the sites, their resultant brand loyalty and perception of the brand is increased significantly. A virtual offering would ensure a greater reach, not only geographically, but also from a social aspect; people who are less mobile, for example, or more constrained by cost could more readily join the experience and thus become a ‘brand ambassador’</w:t>
      </w:r>
    </w:p>
    <w:p w14:paraId="21BC3D2E" w14:textId="77777777" w:rsidR="00744CFC" w:rsidRDefault="00744CFC" w:rsidP="00744CFC">
      <w:pPr>
        <w:pStyle w:val="ListParagraph"/>
        <w:numPr>
          <w:ilvl w:val="0"/>
          <w:numId w:val="16"/>
        </w:numPr>
        <w:spacing w:line="276" w:lineRule="auto"/>
        <w:jc w:val="both"/>
      </w:pPr>
      <w:r>
        <w:t>Align with other luxury/premium food and drink producers offering experiential tourism to create a strategic group to share customers, develop best practice and build inter-brand awareness, modelled on the Scotch Whisky Trail; this would allow for greater brand awareness and synergy, with a customer base already primed to find the Penderyn experience attractive</w:t>
      </w:r>
    </w:p>
    <w:p w14:paraId="16C521DB" w14:textId="386EF3EE" w:rsidR="00744CFC" w:rsidRDefault="00744CFC" w:rsidP="00523C32">
      <w:pPr>
        <w:pStyle w:val="ListParagraph"/>
        <w:numPr>
          <w:ilvl w:val="0"/>
          <w:numId w:val="16"/>
        </w:numPr>
        <w:spacing w:line="276" w:lineRule="auto"/>
        <w:jc w:val="both"/>
      </w:pPr>
      <w:r>
        <w:t>Explore the opportunity to widen the experiential offerings on each site to include VIP/luxury experiences and build-on experiences i.e. to encourage those who have visited previously to return for another experience, which may be more in-depth or delivered via a different mechanism, with the aim of strengthening brand loyalty and increasing the return rate of visitors</w:t>
      </w:r>
    </w:p>
    <w:p w14:paraId="3DBDE109" w14:textId="44B59B72" w:rsidR="00221290" w:rsidRPr="00744CFC" w:rsidRDefault="00744CFC" w:rsidP="00744CFC">
      <w:r>
        <w:br w:type="page"/>
      </w:r>
    </w:p>
    <w:bookmarkStart w:id="37" w:name="_Toc160624603" w:displacedByCustomXml="next"/>
    <w:sdt>
      <w:sdtPr>
        <w:rPr>
          <w:rFonts w:asciiTheme="minorHAnsi" w:eastAsiaTheme="minorHAnsi" w:hAnsiTheme="minorHAnsi" w:cstheme="minorBidi"/>
          <w:color w:val="auto"/>
          <w:sz w:val="22"/>
          <w:szCs w:val="22"/>
        </w:rPr>
        <w:id w:val="-884560052"/>
        <w:docPartObj>
          <w:docPartGallery w:val="Bibliographies"/>
          <w:docPartUnique/>
        </w:docPartObj>
      </w:sdtPr>
      <w:sdtEndPr/>
      <w:sdtContent>
        <w:p w14:paraId="326E8F58" w14:textId="73D038E9" w:rsidR="00D91648" w:rsidRPr="00D91648" w:rsidRDefault="00D91648">
          <w:pPr>
            <w:pStyle w:val="Heading1"/>
            <w:rPr>
              <w:b/>
              <w:bCs/>
              <w:color w:val="auto"/>
              <w:sz w:val="24"/>
              <w:szCs w:val="24"/>
            </w:rPr>
          </w:pPr>
          <w:r w:rsidRPr="00D91648">
            <w:rPr>
              <w:b/>
              <w:bCs/>
              <w:color w:val="auto"/>
              <w:sz w:val="24"/>
              <w:szCs w:val="24"/>
            </w:rPr>
            <w:t>R</w:t>
          </w:r>
          <w:r>
            <w:rPr>
              <w:b/>
              <w:bCs/>
              <w:color w:val="auto"/>
              <w:sz w:val="24"/>
              <w:szCs w:val="24"/>
            </w:rPr>
            <w:t>EFERENCES</w:t>
          </w:r>
          <w:bookmarkEnd w:id="37"/>
        </w:p>
        <w:sdt>
          <w:sdtPr>
            <w:id w:val="-573587230"/>
            <w:bibliography/>
          </w:sdtPr>
          <w:sdtEndPr/>
          <w:sdtContent>
            <w:p w14:paraId="1DE798FD" w14:textId="77777777" w:rsidR="009D2B16" w:rsidRDefault="00D91648" w:rsidP="009D2B16">
              <w:pPr>
                <w:pStyle w:val="Bibliography"/>
                <w:rPr>
                  <w:noProof/>
                  <w:kern w:val="0"/>
                  <w:sz w:val="24"/>
                  <w:szCs w:val="24"/>
                  <w14:ligatures w14:val="none"/>
                </w:rPr>
              </w:pPr>
              <w:r>
                <w:fldChar w:fldCharType="begin"/>
              </w:r>
              <w:r>
                <w:instrText xml:space="preserve"> BIBLIOGRAPHY </w:instrText>
              </w:r>
              <w:r>
                <w:fldChar w:fldCharType="separate"/>
              </w:r>
              <w:r w:rsidR="009D2B16">
                <w:rPr>
                  <w:noProof/>
                </w:rPr>
                <w:t xml:space="preserve">Aaker, D., 1991. Managing Brand Equity. </w:t>
              </w:r>
              <w:r w:rsidR="009D2B16">
                <w:rPr>
                  <w:i/>
                  <w:iCs/>
                  <w:noProof/>
                </w:rPr>
                <w:t>New York: The Free Press.</w:t>
              </w:r>
            </w:p>
            <w:p w14:paraId="58E4EB90" w14:textId="77777777" w:rsidR="009D2B16" w:rsidRDefault="009D2B16" w:rsidP="009D2B16">
              <w:pPr>
                <w:pStyle w:val="Bibliography"/>
                <w:rPr>
                  <w:noProof/>
                </w:rPr>
              </w:pPr>
              <w:r>
                <w:rPr>
                  <w:noProof/>
                </w:rPr>
                <w:t xml:space="preserve">Akbari, M., 2015. Different Impacts of Advertising Appeals on Advertising Attitude for High and Low Involvement Products. </w:t>
              </w:r>
              <w:r>
                <w:rPr>
                  <w:i/>
                  <w:iCs/>
                  <w:noProof/>
                </w:rPr>
                <w:t>Global Business Review.</w:t>
              </w:r>
            </w:p>
            <w:p w14:paraId="612DE25B" w14:textId="77777777" w:rsidR="009D2B16" w:rsidRDefault="009D2B16" w:rsidP="009D2B16">
              <w:pPr>
                <w:pStyle w:val="Bibliography"/>
                <w:rPr>
                  <w:noProof/>
                </w:rPr>
              </w:pPr>
              <w:r>
                <w:rPr>
                  <w:noProof/>
                </w:rPr>
                <w:t xml:space="preserve">Andik, S. &amp; Rachma, A., 2022. The Impact of Brand Awareness, Brand Association, and Perceived Quality towards Brand Loyalty (A case study of New Product). </w:t>
              </w:r>
              <w:r>
                <w:rPr>
                  <w:i/>
                  <w:iCs/>
                  <w:noProof/>
                </w:rPr>
                <w:t>Web of Conferences.</w:t>
              </w:r>
            </w:p>
            <w:p w14:paraId="38519E3E" w14:textId="77777777" w:rsidR="009D2B16" w:rsidRDefault="009D2B16" w:rsidP="009D2B16">
              <w:pPr>
                <w:pStyle w:val="Bibliography"/>
                <w:rPr>
                  <w:noProof/>
                </w:rPr>
              </w:pPr>
              <w:r>
                <w:rPr>
                  <w:noProof/>
                </w:rPr>
                <w:t xml:space="preserve">Baldauf, A., Cravens, K. &amp; Binder, G., 2003. Performance consequences of brand equity management: Evidence from organizations in the value chain. </w:t>
              </w:r>
              <w:r>
                <w:rPr>
                  <w:i/>
                  <w:iCs/>
                  <w:noProof/>
                </w:rPr>
                <w:t>The Journal of Product and Brand Management.</w:t>
              </w:r>
            </w:p>
            <w:p w14:paraId="2E307A8E" w14:textId="77777777" w:rsidR="009D2B16" w:rsidRDefault="009D2B16" w:rsidP="009D2B16">
              <w:pPr>
                <w:pStyle w:val="Bibliography"/>
                <w:rPr>
                  <w:noProof/>
                </w:rPr>
              </w:pPr>
              <w:r>
                <w:rPr>
                  <w:noProof/>
                </w:rPr>
                <w:t xml:space="preserve">Chow, H.-w., Guo-JieLing, Yen, I.-y. &amp; Hwang, K.-P., 2017. Building brand equity through industrial tourism. </w:t>
              </w:r>
              <w:r>
                <w:rPr>
                  <w:i/>
                  <w:iCs/>
                  <w:noProof/>
                </w:rPr>
                <w:t>Asia Pacific Management Review.</w:t>
              </w:r>
            </w:p>
            <w:p w14:paraId="14DA5EBF" w14:textId="77777777" w:rsidR="009D2B16" w:rsidRDefault="009D2B16" w:rsidP="009D2B16">
              <w:pPr>
                <w:pStyle w:val="Bibliography"/>
                <w:rPr>
                  <w:noProof/>
                </w:rPr>
              </w:pPr>
              <w:r>
                <w:rPr>
                  <w:noProof/>
                </w:rPr>
                <w:t xml:space="preserve">Christou, P. A., Timothy, D. J. &amp; Pericleous, K., 2023. Reflections on tourists’ experiential engagement with Scotland’s whisky heritage. </w:t>
              </w:r>
              <w:r>
                <w:rPr>
                  <w:i/>
                  <w:iCs/>
                  <w:noProof/>
                </w:rPr>
                <w:t>Journal of Heritage Tourism.</w:t>
              </w:r>
            </w:p>
            <w:p w14:paraId="187191F7" w14:textId="77777777" w:rsidR="009D2B16" w:rsidRDefault="009D2B16" w:rsidP="009D2B16">
              <w:pPr>
                <w:pStyle w:val="Bibliography"/>
                <w:rPr>
                  <w:noProof/>
                </w:rPr>
              </w:pPr>
              <w:r>
                <w:rPr>
                  <w:noProof/>
                </w:rPr>
                <w:t xml:space="preserve">Cobb-Walgren, C. J., Ruble, C. A. &amp; Donthu, N., 1995. Brand Equity, Brand Preference and Purchase Intent. </w:t>
              </w:r>
              <w:r>
                <w:rPr>
                  <w:i/>
                  <w:iCs/>
                  <w:noProof/>
                </w:rPr>
                <w:t>Journal of Advertising.</w:t>
              </w:r>
            </w:p>
            <w:p w14:paraId="57F97CA2" w14:textId="77777777" w:rsidR="009D2B16" w:rsidRDefault="009D2B16" w:rsidP="009D2B16">
              <w:pPr>
                <w:pStyle w:val="Bibliography"/>
                <w:rPr>
                  <w:noProof/>
                </w:rPr>
              </w:pPr>
              <w:r>
                <w:rPr>
                  <w:noProof/>
                </w:rPr>
                <w:t xml:space="preserve">Davies, L., 2022. </w:t>
              </w:r>
              <w:r>
                <w:rPr>
                  <w:i/>
                  <w:iCs/>
                  <w:noProof/>
                </w:rPr>
                <w:t xml:space="preserve">Research Proposal - Tourism as a stratrgy for brand growth, </w:t>
              </w:r>
              <w:r>
                <w:rPr>
                  <w:noProof/>
                </w:rPr>
                <w:t>s.l.: s.n.</w:t>
              </w:r>
            </w:p>
            <w:p w14:paraId="192F2CC5" w14:textId="77777777" w:rsidR="009D2B16" w:rsidRDefault="009D2B16" w:rsidP="009D2B16">
              <w:pPr>
                <w:pStyle w:val="Bibliography"/>
                <w:rPr>
                  <w:noProof/>
                </w:rPr>
              </w:pPr>
              <w:r>
                <w:rPr>
                  <w:noProof/>
                </w:rPr>
                <w:t xml:space="preserve">Davies, L., 2022. </w:t>
              </w:r>
              <w:r>
                <w:rPr>
                  <w:i/>
                  <w:iCs/>
                  <w:noProof/>
                </w:rPr>
                <w:t xml:space="preserve">Tourism as a strategy for brand growth (MSc Research Proposal), </w:t>
              </w:r>
              <w:r>
                <w:rPr>
                  <w:noProof/>
                </w:rPr>
                <w:t>s.l.: s.n.</w:t>
              </w:r>
            </w:p>
            <w:p w14:paraId="41D533D8" w14:textId="77777777" w:rsidR="009D2B16" w:rsidRDefault="009D2B16" w:rsidP="009D2B16">
              <w:pPr>
                <w:pStyle w:val="Bibliography"/>
                <w:rPr>
                  <w:noProof/>
                </w:rPr>
              </w:pPr>
              <w:r>
                <w:rPr>
                  <w:noProof/>
                </w:rPr>
                <w:t xml:space="preserve">Davies, S., 2022. </w:t>
              </w:r>
              <w:r>
                <w:rPr>
                  <w:i/>
                  <w:iCs/>
                  <w:noProof/>
                </w:rPr>
                <w:t xml:space="preserve">Business Performance and Strategy Review </w:t>
              </w:r>
              <w:r>
                <w:rPr>
                  <w:noProof/>
                </w:rPr>
                <w:t>[Interview] 2022.</w:t>
              </w:r>
            </w:p>
            <w:p w14:paraId="2B32BABD" w14:textId="77777777" w:rsidR="009D2B16" w:rsidRDefault="009D2B16" w:rsidP="009D2B16">
              <w:pPr>
                <w:pStyle w:val="Bibliography"/>
                <w:rPr>
                  <w:noProof/>
                </w:rPr>
              </w:pPr>
              <w:r>
                <w:rPr>
                  <w:noProof/>
                </w:rPr>
                <w:t xml:space="preserve">Davies, S. R., 2023. </w:t>
              </w:r>
              <w:r>
                <w:rPr>
                  <w:i/>
                  <w:iCs/>
                  <w:noProof/>
                </w:rPr>
                <w:t xml:space="preserve">Business Performance and Strategy Review </w:t>
              </w:r>
              <w:r>
                <w:rPr>
                  <w:noProof/>
                </w:rPr>
                <w:t>[Interview] 2023.</w:t>
              </w:r>
            </w:p>
            <w:p w14:paraId="5432B342" w14:textId="77777777" w:rsidR="009D2B16" w:rsidRDefault="009D2B16" w:rsidP="009D2B16">
              <w:pPr>
                <w:pStyle w:val="Bibliography"/>
                <w:rPr>
                  <w:noProof/>
                </w:rPr>
              </w:pPr>
              <w:r>
                <w:rPr>
                  <w:noProof/>
                </w:rPr>
                <w:t xml:space="preserve">Dedeoğlu, B. B. et al., 2020. Effect of social media sharing on destination brand awareness and destination quality. </w:t>
              </w:r>
              <w:r>
                <w:rPr>
                  <w:i/>
                  <w:iCs/>
                  <w:noProof/>
                </w:rPr>
                <w:t>Journal of Vacation Marketing.</w:t>
              </w:r>
            </w:p>
            <w:p w14:paraId="3813D992" w14:textId="77777777" w:rsidR="009D2B16" w:rsidRDefault="009D2B16" w:rsidP="009D2B16">
              <w:pPr>
                <w:pStyle w:val="Bibliography"/>
                <w:rPr>
                  <w:noProof/>
                </w:rPr>
              </w:pPr>
              <w:r>
                <w:rPr>
                  <w:noProof/>
                </w:rPr>
                <w:t xml:space="preserve">Ehrenberg, A., Barnard, N. &amp; Scriven, J., 1997. Differentiation or Salience. </w:t>
              </w:r>
              <w:r>
                <w:rPr>
                  <w:i/>
                  <w:iCs/>
                  <w:noProof/>
                </w:rPr>
                <w:t>Journal of Advertising Research.</w:t>
              </w:r>
            </w:p>
            <w:p w14:paraId="6C8E93C6" w14:textId="77777777" w:rsidR="009D2B16" w:rsidRDefault="009D2B16" w:rsidP="009D2B16">
              <w:pPr>
                <w:pStyle w:val="Bibliography"/>
                <w:rPr>
                  <w:noProof/>
                </w:rPr>
              </w:pPr>
              <w:r>
                <w:rPr>
                  <w:noProof/>
                </w:rPr>
                <w:t xml:space="preserve">Elliot, R. &amp; Yannopoulou, N., 2007. The nature of trust in brands: a psychosocial model. </w:t>
              </w:r>
              <w:r>
                <w:rPr>
                  <w:i/>
                  <w:iCs/>
                  <w:noProof/>
                </w:rPr>
                <w:t>European Journal of Marketing.</w:t>
              </w:r>
            </w:p>
            <w:p w14:paraId="34C7F5B0" w14:textId="77777777" w:rsidR="009D2B16" w:rsidRDefault="009D2B16" w:rsidP="009D2B16">
              <w:pPr>
                <w:pStyle w:val="Bibliography"/>
                <w:rPr>
                  <w:noProof/>
                </w:rPr>
              </w:pPr>
              <w:r>
                <w:rPr>
                  <w:noProof/>
                </w:rPr>
                <w:t xml:space="preserve">Heller, M. &amp; Kelly, A., 2015. Throwaway History: Brand Ephemera and Consumer Culture. </w:t>
              </w:r>
              <w:r>
                <w:rPr>
                  <w:i/>
                  <w:iCs/>
                  <w:noProof/>
                </w:rPr>
                <w:t xml:space="preserve">Journal of Macromarketing, </w:t>
              </w:r>
              <w:r>
                <w:rPr>
                  <w:noProof/>
                </w:rPr>
                <w:t>pp. 397-406.</w:t>
              </w:r>
            </w:p>
            <w:p w14:paraId="762923FF" w14:textId="77777777" w:rsidR="009D2B16" w:rsidRDefault="009D2B16" w:rsidP="009D2B16">
              <w:pPr>
                <w:pStyle w:val="Bibliography"/>
                <w:rPr>
                  <w:noProof/>
                </w:rPr>
              </w:pPr>
              <w:r>
                <w:rPr>
                  <w:noProof/>
                </w:rPr>
                <w:t xml:space="preserve">Hoyer, W. &amp; Brown, S., 1990. Effects of brand awareness on choice for a common, repeat-purchase product. </w:t>
              </w:r>
              <w:r>
                <w:rPr>
                  <w:i/>
                  <w:iCs/>
                  <w:noProof/>
                </w:rPr>
                <w:t>Journal of Consumer Research.</w:t>
              </w:r>
            </w:p>
            <w:p w14:paraId="2356DD48" w14:textId="77777777" w:rsidR="009D2B16" w:rsidRDefault="009D2B16" w:rsidP="009D2B16">
              <w:pPr>
                <w:pStyle w:val="Bibliography"/>
                <w:rPr>
                  <w:noProof/>
                </w:rPr>
              </w:pPr>
              <w:r>
                <w:rPr>
                  <w:noProof/>
                </w:rPr>
                <w:t xml:space="preserve">Industrial Tourism Global Market Report, 2023. </w:t>
              </w:r>
              <w:r>
                <w:rPr>
                  <w:i/>
                  <w:iCs/>
                  <w:noProof/>
                </w:rPr>
                <w:t xml:space="preserve">The Business Research Company - Industrial Tourism Global Market Report, </w:t>
              </w:r>
              <w:r>
                <w:rPr>
                  <w:noProof/>
                </w:rPr>
                <w:t>s.l.: s.n.</w:t>
              </w:r>
            </w:p>
            <w:p w14:paraId="5673DF82" w14:textId="77777777" w:rsidR="009D2B16" w:rsidRDefault="009D2B16" w:rsidP="009D2B16">
              <w:pPr>
                <w:pStyle w:val="Bibliography"/>
                <w:rPr>
                  <w:noProof/>
                </w:rPr>
              </w:pPr>
              <w:r>
                <w:rPr>
                  <w:noProof/>
                </w:rPr>
                <w:t xml:space="preserve">Insight6, 2024. </w:t>
              </w:r>
              <w:r>
                <w:rPr>
                  <w:i/>
                  <w:iCs/>
                  <w:noProof/>
                </w:rPr>
                <w:t xml:space="preserve">Customer Satisfaction Survey Data, </w:t>
              </w:r>
              <w:r>
                <w:rPr>
                  <w:noProof/>
                </w:rPr>
                <w:t>s.l.: s.n.</w:t>
              </w:r>
            </w:p>
            <w:p w14:paraId="36525B97" w14:textId="77777777" w:rsidR="009D2B16" w:rsidRDefault="009D2B16" w:rsidP="009D2B16">
              <w:pPr>
                <w:pStyle w:val="Bibliography"/>
                <w:rPr>
                  <w:noProof/>
                </w:rPr>
              </w:pPr>
              <w:r>
                <w:rPr>
                  <w:noProof/>
                </w:rPr>
                <w:t xml:space="preserve">Izzudin, M. &amp; Novandari, W., 2018. The Effect Of Perceived Quality, Brand Image On Customer Satisfaction And Brand Awareness Toward Repurchase Intention. </w:t>
              </w:r>
              <w:r>
                <w:rPr>
                  <w:i/>
                  <w:iCs/>
                  <w:noProof/>
                </w:rPr>
                <w:t>Journal of Research in Management.</w:t>
              </w:r>
            </w:p>
            <w:p w14:paraId="10906FC6" w14:textId="77777777" w:rsidR="009D2B16" w:rsidRDefault="009D2B16" w:rsidP="009D2B16">
              <w:pPr>
                <w:pStyle w:val="Bibliography"/>
                <w:rPr>
                  <w:noProof/>
                </w:rPr>
              </w:pPr>
              <w:r>
                <w:rPr>
                  <w:noProof/>
                </w:rPr>
                <w:t xml:space="preserve">Jansirani, S. D. &amp; Mangai, M., 2013. Industrial Tourism: An Introduction. </w:t>
              </w:r>
              <w:r>
                <w:rPr>
                  <w:i/>
                  <w:iCs/>
                  <w:noProof/>
                </w:rPr>
                <w:t>IOSR Journal of Business and Management.</w:t>
              </w:r>
            </w:p>
            <w:p w14:paraId="101CB016" w14:textId="77777777" w:rsidR="009D2B16" w:rsidRDefault="009D2B16" w:rsidP="009D2B16">
              <w:pPr>
                <w:pStyle w:val="Bibliography"/>
                <w:rPr>
                  <w:noProof/>
                </w:rPr>
              </w:pPr>
              <w:r>
                <w:rPr>
                  <w:noProof/>
                </w:rPr>
                <w:lastRenderedPageBreak/>
                <w:t xml:space="preserve">Kladou, S. &amp; Kehagias, J., 2014. Assessing destination brand equity: an integrated approach. </w:t>
              </w:r>
              <w:r>
                <w:rPr>
                  <w:i/>
                  <w:iCs/>
                  <w:noProof/>
                </w:rPr>
                <w:t>Journal of Destination Marketing and Management.</w:t>
              </w:r>
            </w:p>
            <w:p w14:paraId="379BF577" w14:textId="77777777" w:rsidR="009D2B16" w:rsidRDefault="009D2B16" w:rsidP="009D2B16">
              <w:pPr>
                <w:pStyle w:val="Bibliography"/>
                <w:rPr>
                  <w:noProof/>
                </w:rPr>
              </w:pPr>
              <w:r>
                <w:rPr>
                  <w:noProof/>
                </w:rPr>
                <w:t xml:space="preserve">Kotler, P., Bowen, J. &amp; Makens, J., 2013. </w:t>
              </w:r>
              <w:r>
                <w:rPr>
                  <w:i/>
                  <w:iCs/>
                  <w:noProof/>
                </w:rPr>
                <w:t xml:space="preserve">Marketing for hospitality and tourism. </w:t>
              </w:r>
              <w:r>
                <w:rPr>
                  <w:noProof/>
                </w:rPr>
                <w:t>s.l.:Pearson.</w:t>
              </w:r>
            </w:p>
            <w:p w14:paraId="752495EB" w14:textId="77777777" w:rsidR="009D2B16" w:rsidRDefault="009D2B16" w:rsidP="009D2B16">
              <w:pPr>
                <w:pStyle w:val="Bibliography"/>
                <w:rPr>
                  <w:noProof/>
                </w:rPr>
              </w:pPr>
              <w:r>
                <w:rPr>
                  <w:noProof/>
                </w:rPr>
                <w:t xml:space="preserve">McBoyle, G., 1996. Green tourism and Scottish distilleries. </w:t>
              </w:r>
              <w:r>
                <w:rPr>
                  <w:i/>
                  <w:iCs/>
                  <w:noProof/>
                </w:rPr>
                <w:t>Journal of Tourism Management.</w:t>
              </w:r>
            </w:p>
            <w:p w14:paraId="17984159" w14:textId="77777777" w:rsidR="009D2B16" w:rsidRDefault="009D2B16" w:rsidP="009D2B16">
              <w:pPr>
                <w:pStyle w:val="Bibliography"/>
                <w:rPr>
                  <w:noProof/>
                </w:rPr>
              </w:pPr>
              <w:r>
                <w:rPr>
                  <w:noProof/>
                </w:rPr>
                <w:t xml:space="preserve">McClure, C. &amp; Seock, Y.-K., 2020. The role of involvement: Investigating the effect of brand's social media pages on consumer purchase intention. </w:t>
              </w:r>
              <w:r>
                <w:rPr>
                  <w:i/>
                  <w:iCs/>
                  <w:noProof/>
                </w:rPr>
                <w:t>Journal of Retailing &amp; Customer Services.</w:t>
              </w:r>
            </w:p>
            <w:p w14:paraId="470FB93D" w14:textId="77777777" w:rsidR="009D2B16" w:rsidRDefault="009D2B16" w:rsidP="009D2B16">
              <w:pPr>
                <w:pStyle w:val="Bibliography"/>
                <w:rPr>
                  <w:noProof/>
                </w:rPr>
              </w:pPr>
              <w:r>
                <w:rPr>
                  <w:noProof/>
                </w:rPr>
                <w:t xml:space="preserve">Mitchell, M. &amp; Orwig, R., 2002. Consumer experience tourism and brand bonding. </w:t>
              </w:r>
              <w:r>
                <w:rPr>
                  <w:i/>
                  <w:iCs/>
                  <w:noProof/>
                </w:rPr>
                <w:t>Journal of Product and Brand Management.</w:t>
              </w:r>
            </w:p>
            <w:p w14:paraId="4142450F" w14:textId="77777777" w:rsidR="009D2B16" w:rsidRDefault="009D2B16" w:rsidP="009D2B16">
              <w:pPr>
                <w:pStyle w:val="Bibliography"/>
                <w:rPr>
                  <w:noProof/>
                </w:rPr>
              </w:pPr>
              <w:r>
                <w:rPr>
                  <w:noProof/>
                </w:rPr>
                <w:t xml:space="preserve">Montenegro, Z., Marques, J. &amp; Sousa, C., 2022. </w:t>
              </w:r>
              <w:r>
                <w:rPr>
                  <w:i/>
                  <w:iCs/>
                  <w:noProof/>
                </w:rPr>
                <w:t xml:space="preserve">Understanding the Concept of Industrial Tourism: A Systematic Review of the Literature. </w:t>
              </w:r>
              <w:r>
                <w:rPr>
                  <w:noProof/>
                </w:rPr>
                <w:t>Porto, ACI UK.</w:t>
              </w:r>
            </w:p>
            <w:p w14:paraId="26601982" w14:textId="77777777" w:rsidR="009D2B16" w:rsidRDefault="009D2B16" w:rsidP="009D2B16">
              <w:pPr>
                <w:pStyle w:val="Bibliography"/>
                <w:rPr>
                  <w:noProof/>
                </w:rPr>
              </w:pPr>
              <w:r>
                <w:rPr>
                  <w:noProof/>
                </w:rPr>
                <w:t xml:space="preserve">Office for National Statistics, 2021. </w:t>
              </w:r>
              <w:r>
                <w:rPr>
                  <w:i/>
                  <w:iCs/>
                  <w:noProof/>
                </w:rPr>
                <w:t xml:space="preserve">Coronavirus and the impact on the UK travel , </w:t>
              </w:r>
              <w:r>
                <w:rPr>
                  <w:noProof/>
                </w:rPr>
                <w:t>s.l.: s.n.</w:t>
              </w:r>
            </w:p>
            <w:p w14:paraId="4FBF4786" w14:textId="77777777" w:rsidR="009D2B16" w:rsidRDefault="009D2B16" w:rsidP="009D2B16">
              <w:pPr>
                <w:pStyle w:val="Bibliography"/>
                <w:rPr>
                  <w:noProof/>
                </w:rPr>
              </w:pPr>
              <w:r>
                <w:rPr>
                  <w:noProof/>
                </w:rPr>
                <w:t xml:space="preserve">Otgaar, A., 2012. Towards a common agenda for the development of industrial tourism. </w:t>
              </w:r>
              <w:r>
                <w:rPr>
                  <w:i/>
                  <w:iCs/>
                  <w:noProof/>
                </w:rPr>
                <w:t xml:space="preserve">Tourism Management Perspectives, </w:t>
              </w:r>
              <w:r>
                <w:rPr>
                  <w:noProof/>
                </w:rPr>
                <w:t>Volume 4.</w:t>
              </w:r>
            </w:p>
            <w:p w14:paraId="7827BB77" w14:textId="77777777" w:rsidR="009D2B16" w:rsidRDefault="009D2B16" w:rsidP="009D2B16">
              <w:pPr>
                <w:pStyle w:val="Bibliography"/>
                <w:rPr>
                  <w:noProof/>
                </w:rPr>
              </w:pPr>
              <w:r>
                <w:rPr>
                  <w:noProof/>
                </w:rPr>
                <w:t xml:space="preserve">Penderyn Checkfront CMS, 2023. </w:t>
              </w:r>
              <w:r>
                <w:rPr>
                  <w:i/>
                  <w:iCs/>
                  <w:noProof/>
                </w:rPr>
                <w:t xml:space="preserve">Returning Customer/Booker Data (Period 2017 - 2023). </w:t>
              </w:r>
              <w:r>
                <w:rPr>
                  <w:noProof/>
                </w:rPr>
                <w:t>s.l.:s.n.</w:t>
              </w:r>
            </w:p>
            <w:p w14:paraId="274FB1A1" w14:textId="77777777" w:rsidR="009D2B16" w:rsidRDefault="009D2B16" w:rsidP="009D2B16">
              <w:pPr>
                <w:pStyle w:val="Bibliography"/>
                <w:rPr>
                  <w:noProof/>
                </w:rPr>
              </w:pPr>
              <w:r>
                <w:rPr>
                  <w:noProof/>
                </w:rPr>
                <w:t xml:space="preserve">Perloff, R. M., 2020. </w:t>
              </w:r>
              <w:r>
                <w:rPr>
                  <w:i/>
                  <w:iCs/>
                  <w:noProof/>
                </w:rPr>
                <w:t xml:space="preserve">The Dynamics of Persuasion. </w:t>
              </w:r>
              <w:r>
                <w:rPr>
                  <w:noProof/>
                </w:rPr>
                <w:t>s.l.:Routledge.</w:t>
              </w:r>
            </w:p>
            <w:p w14:paraId="375E2875" w14:textId="77777777" w:rsidR="009D2B16" w:rsidRDefault="009D2B16" w:rsidP="009D2B16">
              <w:pPr>
                <w:pStyle w:val="Bibliography"/>
                <w:rPr>
                  <w:noProof/>
                </w:rPr>
              </w:pPr>
              <w:r>
                <w:rPr>
                  <w:noProof/>
                </w:rPr>
                <w:t xml:space="preserve">Pike, S., 2007. Consumer-based brand equity for destinations. </w:t>
              </w:r>
              <w:r>
                <w:rPr>
                  <w:i/>
                  <w:iCs/>
                  <w:noProof/>
                </w:rPr>
                <w:t>Journal of Travel and Tourism Marketing.</w:t>
              </w:r>
            </w:p>
            <w:p w14:paraId="3242E879" w14:textId="77777777" w:rsidR="009D2B16" w:rsidRDefault="009D2B16" w:rsidP="009D2B16">
              <w:pPr>
                <w:pStyle w:val="Bibliography"/>
                <w:rPr>
                  <w:noProof/>
                </w:rPr>
              </w:pPr>
              <w:r>
                <w:rPr>
                  <w:noProof/>
                </w:rPr>
                <w:t xml:space="preserve">Rosenbaum-Elliott, R., Percy, L. &amp; Pervan, S., 2015. </w:t>
              </w:r>
              <w:r>
                <w:rPr>
                  <w:i/>
                  <w:iCs/>
                  <w:noProof/>
                </w:rPr>
                <w:t xml:space="preserve">Strategic Brand Management. </w:t>
              </w:r>
              <w:r>
                <w:rPr>
                  <w:noProof/>
                </w:rPr>
                <w:t>s.l.:Oxford.</w:t>
              </w:r>
            </w:p>
            <w:p w14:paraId="4BDD26E0" w14:textId="77777777" w:rsidR="009D2B16" w:rsidRDefault="009D2B16" w:rsidP="009D2B16">
              <w:pPr>
                <w:pStyle w:val="Bibliography"/>
                <w:rPr>
                  <w:noProof/>
                </w:rPr>
              </w:pPr>
              <w:r>
                <w:rPr>
                  <w:noProof/>
                </w:rPr>
                <w:t xml:space="preserve">Sammut-Bonnici, T., 2015. </w:t>
              </w:r>
              <w:r>
                <w:rPr>
                  <w:i/>
                  <w:iCs/>
                  <w:noProof/>
                </w:rPr>
                <w:t xml:space="preserve">Brand and Branding Volume 12. Strategic Management. </w:t>
              </w:r>
              <w:r>
                <w:rPr>
                  <w:noProof/>
                </w:rPr>
                <w:t>s.l.:John Wiley &amp; Sons, Ltd.</w:t>
              </w:r>
            </w:p>
            <w:p w14:paraId="7E292CB3" w14:textId="77777777" w:rsidR="009D2B16" w:rsidRDefault="009D2B16" w:rsidP="009D2B16">
              <w:pPr>
                <w:pStyle w:val="Bibliography"/>
                <w:rPr>
                  <w:noProof/>
                </w:rPr>
              </w:pPr>
              <w:r>
                <w:rPr>
                  <w:noProof/>
                </w:rPr>
                <w:t xml:space="preserve">Schrieberg, F., 2018. </w:t>
              </w:r>
              <w:r>
                <w:rPr>
                  <w:i/>
                  <w:iCs/>
                  <w:noProof/>
                </w:rPr>
                <w:t xml:space="preserve">HOW WHISKY TOURISM IS TRANSFORMING SCOTCH. </w:t>
              </w:r>
              <w:r>
                <w:rPr>
                  <w:noProof/>
                </w:rPr>
                <w:t xml:space="preserve">[Online] </w:t>
              </w:r>
              <w:r>
                <w:rPr>
                  <w:noProof/>
                </w:rPr>
                <w:br/>
                <w:t xml:space="preserve">Available at: </w:t>
              </w:r>
              <w:r>
                <w:rPr>
                  <w:noProof/>
                  <w:u w:val="single"/>
                </w:rPr>
                <w:t>https://scotchwhisky.com/magazine/in-depth/19431/how-whisky-tourism-is-transforming-scotch/</w:t>
              </w:r>
              <w:r>
                <w:rPr>
                  <w:noProof/>
                </w:rPr>
                <w:br/>
                <w:t>[Accessed September 2022].</w:t>
              </w:r>
            </w:p>
            <w:p w14:paraId="0CA4BA41" w14:textId="77777777" w:rsidR="009D2B16" w:rsidRDefault="009D2B16" w:rsidP="009D2B16">
              <w:pPr>
                <w:pStyle w:val="Bibliography"/>
                <w:rPr>
                  <w:noProof/>
                </w:rPr>
              </w:pPr>
              <w:r>
                <w:rPr>
                  <w:noProof/>
                </w:rPr>
                <w:t xml:space="preserve">The Big Picture (on behalf of Penderyn), 2023. </w:t>
              </w:r>
              <w:r>
                <w:rPr>
                  <w:i/>
                  <w:iCs/>
                  <w:noProof/>
                </w:rPr>
                <w:t xml:space="preserve">Penderyn Brand Positioning - Qualitative Research Debrief, </w:t>
              </w:r>
              <w:r>
                <w:rPr>
                  <w:noProof/>
                </w:rPr>
                <w:t>s.l.: The Big Picture.</w:t>
              </w:r>
            </w:p>
            <w:p w14:paraId="268A0065" w14:textId="77777777" w:rsidR="009D2B16" w:rsidRDefault="009D2B16" w:rsidP="009D2B16">
              <w:pPr>
                <w:pStyle w:val="Bibliography"/>
                <w:rPr>
                  <w:noProof/>
                </w:rPr>
              </w:pPr>
              <w:r>
                <w:rPr>
                  <w:noProof/>
                </w:rPr>
                <w:t xml:space="preserve">The Welsh Whisky Company Limited, 2022. </w:t>
              </w:r>
              <w:r>
                <w:rPr>
                  <w:i/>
                  <w:iCs/>
                  <w:noProof/>
                </w:rPr>
                <w:t xml:space="preserve">Swansea Development Strategy. </w:t>
              </w:r>
              <w:r>
                <w:rPr>
                  <w:noProof/>
                </w:rPr>
                <w:t>s.l.:s.n.</w:t>
              </w:r>
            </w:p>
            <w:p w14:paraId="173DDFB0" w14:textId="77777777" w:rsidR="009D2B16" w:rsidRDefault="009D2B16" w:rsidP="009D2B16">
              <w:pPr>
                <w:pStyle w:val="Bibliography"/>
                <w:rPr>
                  <w:noProof/>
                </w:rPr>
              </w:pPr>
              <w:r>
                <w:rPr>
                  <w:noProof/>
                </w:rPr>
                <w:t xml:space="preserve">The Welsh Whisky Company Limited, 2023. </w:t>
              </w:r>
              <w:r>
                <w:rPr>
                  <w:i/>
                  <w:iCs/>
                  <w:noProof/>
                </w:rPr>
                <w:t xml:space="preserve">Company Gallery. </w:t>
              </w:r>
              <w:r>
                <w:rPr>
                  <w:noProof/>
                </w:rPr>
                <w:t>s.l.:s.n.</w:t>
              </w:r>
            </w:p>
            <w:p w14:paraId="3BBB10DE" w14:textId="77777777" w:rsidR="009D2B16" w:rsidRDefault="009D2B16" w:rsidP="009D2B16">
              <w:pPr>
                <w:pStyle w:val="Bibliography"/>
                <w:rPr>
                  <w:noProof/>
                </w:rPr>
              </w:pPr>
              <w:r>
                <w:rPr>
                  <w:noProof/>
                </w:rPr>
                <w:t xml:space="preserve">The Welsh Whisky Company Limited, 2023. </w:t>
              </w:r>
              <w:r>
                <w:rPr>
                  <w:i/>
                  <w:iCs/>
                  <w:noProof/>
                </w:rPr>
                <w:t xml:space="preserve">It's Triple Gold for Penderyn! Welsh Whisky's Swansea Distillery Wows Tourist Board. </w:t>
              </w:r>
              <w:r>
                <w:rPr>
                  <w:noProof/>
                </w:rPr>
                <w:t>s.l.:s.n.</w:t>
              </w:r>
            </w:p>
            <w:p w14:paraId="1282FBC1" w14:textId="77777777" w:rsidR="009D2B16" w:rsidRDefault="009D2B16" w:rsidP="009D2B16">
              <w:pPr>
                <w:pStyle w:val="Bibliography"/>
                <w:rPr>
                  <w:noProof/>
                </w:rPr>
              </w:pPr>
              <w:r>
                <w:rPr>
                  <w:noProof/>
                </w:rPr>
                <w:t xml:space="preserve">The Welsh Whisky Company Limited, 2024. </w:t>
              </w:r>
              <w:r>
                <w:rPr>
                  <w:i/>
                  <w:iCs/>
                  <w:noProof/>
                </w:rPr>
                <w:t xml:space="preserve">Company Projections 2023-2024, </w:t>
              </w:r>
              <w:r>
                <w:rPr>
                  <w:noProof/>
                </w:rPr>
                <w:t>s.l.: s.n.</w:t>
              </w:r>
            </w:p>
            <w:p w14:paraId="4600CC31" w14:textId="77777777" w:rsidR="009D2B16" w:rsidRDefault="009D2B16" w:rsidP="009D2B16">
              <w:pPr>
                <w:pStyle w:val="Bibliography"/>
                <w:rPr>
                  <w:noProof/>
                </w:rPr>
              </w:pPr>
              <w:r>
                <w:rPr>
                  <w:noProof/>
                </w:rPr>
                <w:t xml:space="preserve">UKInbound, 2022. </w:t>
              </w:r>
              <w:r>
                <w:rPr>
                  <w:i/>
                  <w:iCs/>
                  <w:noProof/>
                </w:rPr>
                <w:t xml:space="preserve">Evidence submission to the DCMS Select Committee Inquiry into the Promotion of Britain Abroad. </w:t>
              </w:r>
              <w:r>
                <w:rPr>
                  <w:noProof/>
                </w:rPr>
                <w:t>s.l.:s.n.</w:t>
              </w:r>
            </w:p>
            <w:p w14:paraId="27A64CAB" w14:textId="77777777" w:rsidR="009D2B16" w:rsidRDefault="009D2B16" w:rsidP="009D2B16">
              <w:pPr>
                <w:pStyle w:val="Bibliography"/>
                <w:rPr>
                  <w:noProof/>
                </w:rPr>
              </w:pPr>
              <w:r>
                <w:rPr>
                  <w:noProof/>
                </w:rPr>
                <w:t xml:space="preserve">Visit Scotland, 2018. </w:t>
              </w:r>
              <w:r>
                <w:rPr>
                  <w:i/>
                  <w:iCs/>
                  <w:noProof/>
                </w:rPr>
                <w:t xml:space="preserve">Insight Department: Whisky Tourism, Facts &amp; Insights, </w:t>
              </w:r>
              <w:r>
                <w:rPr>
                  <w:noProof/>
                </w:rPr>
                <w:t>s.l.: s.n.</w:t>
              </w:r>
            </w:p>
            <w:p w14:paraId="31D7FFEF" w14:textId="77777777" w:rsidR="009D2B16" w:rsidRDefault="009D2B16" w:rsidP="009D2B16">
              <w:pPr>
                <w:pStyle w:val="Bibliography"/>
                <w:rPr>
                  <w:noProof/>
                </w:rPr>
              </w:pPr>
              <w:r>
                <w:rPr>
                  <w:noProof/>
                </w:rPr>
                <w:t xml:space="preserve">Welsh Government, 2019. </w:t>
              </w:r>
              <w:r>
                <w:rPr>
                  <w:i/>
                  <w:iCs/>
                  <w:noProof/>
                </w:rPr>
                <w:t xml:space="preserve">Welcome to Wales - Priorites for the Visitor Economy, </w:t>
              </w:r>
              <w:r>
                <w:rPr>
                  <w:noProof/>
                </w:rPr>
                <w:t>s.l.: s.n.</w:t>
              </w:r>
            </w:p>
            <w:p w14:paraId="46823610" w14:textId="77777777" w:rsidR="009D2B16" w:rsidRDefault="009D2B16" w:rsidP="009D2B16">
              <w:pPr>
                <w:pStyle w:val="Bibliography"/>
                <w:rPr>
                  <w:noProof/>
                </w:rPr>
              </w:pPr>
              <w:r>
                <w:rPr>
                  <w:noProof/>
                </w:rPr>
                <w:lastRenderedPageBreak/>
                <w:t xml:space="preserve">Welsh Government, 2023. </w:t>
              </w:r>
              <w:r>
                <w:rPr>
                  <w:i/>
                  <w:iCs/>
                  <w:noProof/>
                </w:rPr>
                <w:t xml:space="preserve">International inbound visits and spend to Wales: The International Passenger Survey (IPS), </w:t>
              </w:r>
              <w:r>
                <w:rPr>
                  <w:noProof/>
                </w:rPr>
                <w:t>s.l.: s.n.</w:t>
              </w:r>
            </w:p>
            <w:p w14:paraId="0C60CD2C" w14:textId="77777777" w:rsidR="009D2B16" w:rsidRDefault="009D2B16" w:rsidP="009D2B16">
              <w:pPr>
                <w:pStyle w:val="Bibliography"/>
                <w:rPr>
                  <w:noProof/>
                </w:rPr>
              </w:pPr>
              <w:r>
                <w:rPr>
                  <w:noProof/>
                </w:rPr>
                <w:t xml:space="preserve">Woodard, R., 2016. </w:t>
              </w:r>
              <w:r>
                <w:rPr>
                  <w:i/>
                  <w:iCs/>
                  <w:noProof/>
                </w:rPr>
                <w:t xml:space="preserve">How will minimum pricing impact Scotch?. </w:t>
              </w:r>
              <w:r>
                <w:rPr>
                  <w:noProof/>
                </w:rPr>
                <w:t xml:space="preserve">[Online] </w:t>
              </w:r>
              <w:r>
                <w:rPr>
                  <w:noProof/>
                </w:rPr>
                <w:br/>
                <w:t xml:space="preserve">Available at: </w:t>
              </w:r>
              <w:r>
                <w:rPr>
                  <w:noProof/>
                  <w:u w:val="single"/>
                </w:rPr>
                <w:t>https://scotchwhisky.com/magazine/in-depth/11748/how-will-minimum-pricing-impact-scotch/#:~:text=It%27s%20also%20worth%20noting%20that,so%20won%27t%20be%20affected.</w:t>
              </w:r>
            </w:p>
            <w:p w14:paraId="52EE38A6" w14:textId="55EADEA3" w:rsidR="00133EE5" w:rsidRPr="00221290" w:rsidRDefault="00D91648" w:rsidP="009D2B16">
              <w:r>
                <w:rPr>
                  <w:b/>
                  <w:bCs/>
                  <w:noProof/>
                </w:rPr>
                <w:fldChar w:fldCharType="end"/>
              </w:r>
            </w:p>
          </w:sdtContent>
        </w:sdt>
      </w:sdtContent>
    </w:sdt>
    <w:p w14:paraId="0F5FC5D3" w14:textId="18000808" w:rsidR="00133EE5" w:rsidRPr="003B2D9A" w:rsidRDefault="00133EE5" w:rsidP="00523C32">
      <w:pPr>
        <w:spacing w:line="276" w:lineRule="auto"/>
        <w:rPr>
          <w:rFonts w:cstheme="minorHAnsi"/>
        </w:rPr>
      </w:pPr>
    </w:p>
    <w:p w14:paraId="427E485E" w14:textId="0DE8DC2E" w:rsidR="007E51D2" w:rsidRPr="002E2687" w:rsidRDefault="007E51D2" w:rsidP="007E51D2">
      <w:pPr>
        <w:rPr>
          <w:rFonts w:cstheme="minorHAnsi"/>
        </w:rPr>
      </w:pPr>
    </w:p>
    <w:sectPr w:rsidR="007E51D2" w:rsidRPr="002E2687" w:rsidSect="00856DCA">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935E97" w14:textId="77777777" w:rsidR="00856DCA" w:rsidRDefault="00856DCA" w:rsidP="00C019DC">
      <w:pPr>
        <w:spacing w:after="0" w:line="240" w:lineRule="auto"/>
      </w:pPr>
      <w:r>
        <w:separator/>
      </w:r>
    </w:p>
  </w:endnote>
  <w:endnote w:type="continuationSeparator" w:id="0">
    <w:p w14:paraId="2895D423" w14:textId="77777777" w:rsidR="00856DCA" w:rsidRDefault="00856DCA" w:rsidP="00C019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0772974"/>
      <w:docPartObj>
        <w:docPartGallery w:val="Page Numbers (Bottom of Page)"/>
        <w:docPartUnique/>
      </w:docPartObj>
    </w:sdtPr>
    <w:sdtEndPr>
      <w:rPr>
        <w:noProof/>
      </w:rPr>
    </w:sdtEndPr>
    <w:sdtContent>
      <w:p w14:paraId="4691B0B5" w14:textId="15CE218A" w:rsidR="00891587" w:rsidRDefault="0089158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23CA951" w14:textId="77777777" w:rsidR="00C019DC" w:rsidRDefault="00C019D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38959070"/>
      <w:docPartObj>
        <w:docPartGallery w:val="Page Numbers (Bottom of Page)"/>
        <w:docPartUnique/>
      </w:docPartObj>
    </w:sdtPr>
    <w:sdtEndPr>
      <w:rPr>
        <w:noProof/>
      </w:rPr>
    </w:sdtEndPr>
    <w:sdtContent>
      <w:p w14:paraId="60EB71DB" w14:textId="366E0BFA" w:rsidR="00891587" w:rsidRDefault="0089158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6FF7300" w14:textId="77777777" w:rsidR="00891587" w:rsidRDefault="008915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D02F83" w14:textId="77777777" w:rsidR="00856DCA" w:rsidRDefault="00856DCA" w:rsidP="00C019DC">
      <w:pPr>
        <w:spacing w:after="0" w:line="240" w:lineRule="auto"/>
      </w:pPr>
      <w:r>
        <w:separator/>
      </w:r>
    </w:p>
  </w:footnote>
  <w:footnote w:type="continuationSeparator" w:id="0">
    <w:p w14:paraId="5D9C99F3" w14:textId="77777777" w:rsidR="00856DCA" w:rsidRDefault="00856DCA" w:rsidP="00C019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9E7879"/>
    <w:multiLevelType w:val="multilevel"/>
    <w:tmpl w:val="11E4D4E4"/>
    <w:lvl w:ilvl="0">
      <w:start w:val="1"/>
      <w:numFmt w:val="decimal"/>
      <w:lvlText w:val="%1"/>
      <w:lvlJc w:val="left"/>
      <w:pPr>
        <w:ind w:left="480" w:hanging="480"/>
      </w:pPr>
      <w:rPr>
        <w:rFonts w:hint="default"/>
      </w:rPr>
    </w:lvl>
    <w:lvl w:ilvl="1">
      <w:start w:val="3"/>
      <w:numFmt w:val="decimal"/>
      <w:lvlText w:val="%1.%2"/>
      <w:lvlJc w:val="left"/>
      <w:pPr>
        <w:ind w:left="480" w:hanging="48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0F11276A"/>
    <w:multiLevelType w:val="multilevel"/>
    <w:tmpl w:val="9E220E38"/>
    <w:lvl w:ilvl="0">
      <w:start w:val="1"/>
      <w:numFmt w:val="decimal"/>
      <w:lvlText w:val="%1"/>
      <w:lvlJc w:val="left"/>
      <w:pPr>
        <w:ind w:left="480" w:hanging="480"/>
      </w:pPr>
      <w:rPr>
        <w:rFonts w:hint="default"/>
      </w:rPr>
    </w:lvl>
    <w:lvl w:ilvl="1">
      <w:start w:val="3"/>
      <w:numFmt w:val="decimal"/>
      <w:lvlText w:val="%1.%2"/>
      <w:lvlJc w:val="left"/>
      <w:pPr>
        <w:ind w:left="480" w:hanging="48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14A12298"/>
    <w:multiLevelType w:val="multilevel"/>
    <w:tmpl w:val="A0BCBC0E"/>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157A1F09"/>
    <w:multiLevelType w:val="hybridMultilevel"/>
    <w:tmpl w:val="B442C22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0B1B51"/>
    <w:multiLevelType w:val="hybridMultilevel"/>
    <w:tmpl w:val="2E409A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B81162"/>
    <w:multiLevelType w:val="hybridMultilevel"/>
    <w:tmpl w:val="32B25BE6"/>
    <w:lvl w:ilvl="0" w:tplc="FFFFFFFF">
      <w:start w:val="1"/>
      <w:numFmt w:val="decimal"/>
      <w:lvlText w:val="%1."/>
      <w:lvlJc w:val="left"/>
      <w:pPr>
        <w:ind w:left="360" w:hanging="360"/>
      </w:pPr>
      <w:rPr>
        <w:rFonts w:hint="default"/>
      </w:rPr>
    </w:lvl>
    <w:lvl w:ilvl="1" w:tplc="08090001">
      <w:start w:val="1"/>
      <w:numFmt w:val="bullet"/>
      <w:lvlText w:val=""/>
      <w:lvlJc w:val="left"/>
      <w:pPr>
        <w:ind w:left="720" w:hanging="360"/>
      </w:pPr>
      <w:rPr>
        <w:rFonts w:ascii="Symbol" w:hAnsi="Symbol" w:hint="default"/>
      </w:r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6" w15:restartNumberingAfterBreak="0">
    <w:nsid w:val="258E7658"/>
    <w:multiLevelType w:val="hybridMultilevel"/>
    <w:tmpl w:val="A96C2E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78756E"/>
    <w:multiLevelType w:val="hybridMultilevel"/>
    <w:tmpl w:val="86B0B0A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2D30432"/>
    <w:multiLevelType w:val="hybridMultilevel"/>
    <w:tmpl w:val="5F8605B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33C54E25"/>
    <w:multiLevelType w:val="hybridMultilevel"/>
    <w:tmpl w:val="2B0CC7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77C1C40"/>
    <w:multiLevelType w:val="hybridMultilevel"/>
    <w:tmpl w:val="E2BCE4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DB67CCA"/>
    <w:multiLevelType w:val="multilevel"/>
    <w:tmpl w:val="2C88CBD4"/>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4F91462E"/>
    <w:multiLevelType w:val="hybridMultilevel"/>
    <w:tmpl w:val="01822E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BE8115B"/>
    <w:multiLevelType w:val="hybridMultilevel"/>
    <w:tmpl w:val="1EC6E1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6309D4"/>
    <w:multiLevelType w:val="hybridMultilevel"/>
    <w:tmpl w:val="7444D1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44735F2"/>
    <w:multiLevelType w:val="multilevel"/>
    <w:tmpl w:val="59765E50"/>
    <w:lvl w:ilvl="0">
      <w:start w:val="1"/>
      <w:numFmt w:val="bullet"/>
      <w:lvlText w:val=""/>
      <w:lvlJc w:val="left"/>
      <w:pPr>
        <w:ind w:left="720" w:hanging="720"/>
      </w:pPr>
      <w:rPr>
        <w:rFonts w:ascii="Symbol" w:hAnsi="Symbol"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564146669">
    <w:abstractNumId w:val="11"/>
  </w:num>
  <w:num w:numId="2" w16cid:durableId="684134121">
    <w:abstractNumId w:val="6"/>
  </w:num>
  <w:num w:numId="3" w16cid:durableId="379787072">
    <w:abstractNumId w:val="9"/>
  </w:num>
  <w:num w:numId="4" w16cid:durableId="894193890">
    <w:abstractNumId w:val="15"/>
  </w:num>
  <w:num w:numId="5" w16cid:durableId="661154220">
    <w:abstractNumId w:val="10"/>
  </w:num>
  <w:num w:numId="6" w16cid:durableId="354891773">
    <w:abstractNumId w:val="5"/>
  </w:num>
  <w:num w:numId="7" w16cid:durableId="2062047006">
    <w:abstractNumId w:val="3"/>
  </w:num>
  <w:num w:numId="8" w16cid:durableId="337465498">
    <w:abstractNumId w:val="13"/>
  </w:num>
  <w:num w:numId="9" w16cid:durableId="433213089">
    <w:abstractNumId w:val="7"/>
  </w:num>
  <w:num w:numId="10" w16cid:durableId="105662438">
    <w:abstractNumId w:val="12"/>
  </w:num>
  <w:num w:numId="11" w16cid:durableId="196504047">
    <w:abstractNumId w:val="8"/>
  </w:num>
  <w:num w:numId="12" w16cid:durableId="1490633782">
    <w:abstractNumId w:val="4"/>
  </w:num>
  <w:num w:numId="13" w16cid:durableId="3748797">
    <w:abstractNumId w:val="2"/>
  </w:num>
  <w:num w:numId="14" w16cid:durableId="1929730850">
    <w:abstractNumId w:val="0"/>
  </w:num>
  <w:num w:numId="15" w16cid:durableId="1870557585">
    <w:abstractNumId w:val="1"/>
  </w:num>
  <w:num w:numId="16" w16cid:durableId="139312134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7BD7"/>
    <w:rsid w:val="00004C2E"/>
    <w:rsid w:val="0001456F"/>
    <w:rsid w:val="00047316"/>
    <w:rsid w:val="00096596"/>
    <w:rsid w:val="000B395D"/>
    <w:rsid w:val="000E735B"/>
    <w:rsid w:val="00133EE5"/>
    <w:rsid w:val="001A54FB"/>
    <w:rsid w:val="001D52C2"/>
    <w:rsid w:val="001D6D7C"/>
    <w:rsid w:val="001E62B4"/>
    <w:rsid w:val="001E7945"/>
    <w:rsid w:val="00216AF1"/>
    <w:rsid w:val="00221290"/>
    <w:rsid w:val="0022421B"/>
    <w:rsid w:val="00256563"/>
    <w:rsid w:val="00272F25"/>
    <w:rsid w:val="002D77E1"/>
    <w:rsid w:val="002E2687"/>
    <w:rsid w:val="00304F3B"/>
    <w:rsid w:val="003103BA"/>
    <w:rsid w:val="00315861"/>
    <w:rsid w:val="0032092B"/>
    <w:rsid w:val="00352C0E"/>
    <w:rsid w:val="00364BBD"/>
    <w:rsid w:val="00383927"/>
    <w:rsid w:val="003B2D9A"/>
    <w:rsid w:val="004056A5"/>
    <w:rsid w:val="00425C06"/>
    <w:rsid w:val="0044667B"/>
    <w:rsid w:val="004608DA"/>
    <w:rsid w:val="00462A33"/>
    <w:rsid w:val="00472B9D"/>
    <w:rsid w:val="004A03DD"/>
    <w:rsid w:val="00501CD5"/>
    <w:rsid w:val="00514A8F"/>
    <w:rsid w:val="00523C32"/>
    <w:rsid w:val="0054159B"/>
    <w:rsid w:val="005673D8"/>
    <w:rsid w:val="005A0C0C"/>
    <w:rsid w:val="005F1D14"/>
    <w:rsid w:val="005F642A"/>
    <w:rsid w:val="006067B5"/>
    <w:rsid w:val="00607BD7"/>
    <w:rsid w:val="0065646C"/>
    <w:rsid w:val="00671CA9"/>
    <w:rsid w:val="00677570"/>
    <w:rsid w:val="00686DED"/>
    <w:rsid w:val="006C49C7"/>
    <w:rsid w:val="006C6938"/>
    <w:rsid w:val="00744CFC"/>
    <w:rsid w:val="00751126"/>
    <w:rsid w:val="00781106"/>
    <w:rsid w:val="007D12BC"/>
    <w:rsid w:val="007E51D2"/>
    <w:rsid w:val="007F490D"/>
    <w:rsid w:val="008266E2"/>
    <w:rsid w:val="00830E8E"/>
    <w:rsid w:val="00856DCA"/>
    <w:rsid w:val="008571C4"/>
    <w:rsid w:val="008743A0"/>
    <w:rsid w:val="00890AB2"/>
    <w:rsid w:val="00891587"/>
    <w:rsid w:val="008B0E93"/>
    <w:rsid w:val="00916186"/>
    <w:rsid w:val="00925EC0"/>
    <w:rsid w:val="009A27BE"/>
    <w:rsid w:val="009A5502"/>
    <w:rsid w:val="009D2B16"/>
    <w:rsid w:val="009D2DF8"/>
    <w:rsid w:val="00A12AD1"/>
    <w:rsid w:val="00A347D4"/>
    <w:rsid w:val="00A40F73"/>
    <w:rsid w:val="00A6559A"/>
    <w:rsid w:val="00A66009"/>
    <w:rsid w:val="00A738C9"/>
    <w:rsid w:val="00A818D9"/>
    <w:rsid w:val="00AC4943"/>
    <w:rsid w:val="00B9398D"/>
    <w:rsid w:val="00BD5C76"/>
    <w:rsid w:val="00BE0353"/>
    <w:rsid w:val="00BE3652"/>
    <w:rsid w:val="00BE389A"/>
    <w:rsid w:val="00C019DC"/>
    <w:rsid w:val="00C505A7"/>
    <w:rsid w:val="00CA219B"/>
    <w:rsid w:val="00CA393B"/>
    <w:rsid w:val="00CB73D2"/>
    <w:rsid w:val="00CD5D9B"/>
    <w:rsid w:val="00D375A3"/>
    <w:rsid w:val="00D534A1"/>
    <w:rsid w:val="00D74378"/>
    <w:rsid w:val="00D91648"/>
    <w:rsid w:val="00DC4C19"/>
    <w:rsid w:val="00E37E2E"/>
    <w:rsid w:val="00E960A3"/>
    <w:rsid w:val="00F1545F"/>
    <w:rsid w:val="00F16A1A"/>
    <w:rsid w:val="00F42606"/>
    <w:rsid w:val="00FD518F"/>
    <w:rsid w:val="00FF66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3C8964"/>
  <w15:chartTrackingRefBased/>
  <w15:docId w15:val="{AEF9912F-77A7-4CF2-BE55-F9C09EBF9F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7BD7"/>
  </w:style>
  <w:style w:type="paragraph" w:styleId="Heading1">
    <w:name w:val="heading 1"/>
    <w:basedOn w:val="Normal"/>
    <w:next w:val="Normal"/>
    <w:link w:val="Heading1Char"/>
    <w:uiPriority w:val="9"/>
    <w:qFormat/>
    <w:rsid w:val="00133EE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23C3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07BD7"/>
    <w:pPr>
      <w:ind w:left="720"/>
      <w:contextualSpacing/>
    </w:pPr>
  </w:style>
  <w:style w:type="character" w:customStyle="1" w:styleId="Heading1Char">
    <w:name w:val="Heading 1 Char"/>
    <w:basedOn w:val="DefaultParagraphFont"/>
    <w:link w:val="Heading1"/>
    <w:uiPriority w:val="9"/>
    <w:rsid w:val="00133EE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23C32"/>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523C32"/>
    <w:pPr>
      <w:outlineLvl w:val="9"/>
    </w:pPr>
    <w:rPr>
      <w:kern w:val="0"/>
      <w:lang w:val="en-US"/>
      <w14:ligatures w14:val="none"/>
    </w:rPr>
  </w:style>
  <w:style w:type="paragraph" w:styleId="TOC2">
    <w:name w:val="toc 2"/>
    <w:basedOn w:val="Normal"/>
    <w:next w:val="Normal"/>
    <w:autoRedefine/>
    <w:uiPriority w:val="39"/>
    <w:unhideWhenUsed/>
    <w:rsid w:val="00523C32"/>
    <w:pPr>
      <w:spacing w:after="100"/>
      <w:ind w:left="220"/>
    </w:pPr>
  </w:style>
  <w:style w:type="character" w:styleId="Hyperlink">
    <w:name w:val="Hyperlink"/>
    <w:basedOn w:val="DefaultParagraphFont"/>
    <w:uiPriority w:val="99"/>
    <w:unhideWhenUsed/>
    <w:rsid w:val="00523C32"/>
    <w:rPr>
      <w:color w:val="0563C1" w:themeColor="hyperlink"/>
      <w:u w:val="single"/>
    </w:rPr>
  </w:style>
  <w:style w:type="paragraph" w:styleId="Bibliography">
    <w:name w:val="Bibliography"/>
    <w:basedOn w:val="Normal"/>
    <w:next w:val="Normal"/>
    <w:uiPriority w:val="37"/>
    <w:unhideWhenUsed/>
    <w:rsid w:val="00D91648"/>
  </w:style>
  <w:style w:type="paragraph" w:styleId="NoSpacing">
    <w:name w:val="No Spacing"/>
    <w:link w:val="NoSpacingChar"/>
    <w:uiPriority w:val="1"/>
    <w:qFormat/>
    <w:rsid w:val="004A03D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A03DD"/>
    <w:rPr>
      <w:rFonts w:eastAsiaTheme="minorEastAsia"/>
      <w:kern w:val="0"/>
      <w:lang w:val="en-US"/>
      <w14:ligatures w14:val="none"/>
    </w:rPr>
  </w:style>
  <w:style w:type="paragraph" w:styleId="TOC1">
    <w:name w:val="toc 1"/>
    <w:basedOn w:val="Normal"/>
    <w:next w:val="Normal"/>
    <w:autoRedefine/>
    <w:uiPriority w:val="39"/>
    <w:unhideWhenUsed/>
    <w:rsid w:val="004A03DD"/>
    <w:pPr>
      <w:spacing w:after="100"/>
    </w:pPr>
  </w:style>
  <w:style w:type="paragraph" w:styleId="Header">
    <w:name w:val="header"/>
    <w:basedOn w:val="Normal"/>
    <w:link w:val="HeaderChar"/>
    <w:uiPriority w:val="99"/>
    <w:unhideWhenUsed/>
    <w:rsid w:val="00C019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19DC"/>
  </w:style>
  <w:style w:type="paragraph" w:styleId="Footer">
    <w:name w:val="footer"/>
    <w:basedOn w:val="Normal"/>
    <w:link w:val="FooterChar"/>
    <w:uiPriority w:val="99"/>
    <w:unhideWhenUsed/>
    <w:rsid w:val="00C019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19DC"/>
  </w:style>
  <w:style w:type="table" w:styleId="TableGrid">
    <w:name w:val="Table Grid"/>
    <w:basedOn w:val="TableNormal"/>
    <w:uiPriority w:val="39"/>
    <w:rsid w:val="000473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82590">
      <w:bodyDiv w:val="1"/>
      <w:marLeft w:val="0"/>
      <w:marRight w:val="0"/>
      <w:marTop w:val="0"/>
      <w:marBottom w:val="0"/>
      <w:divBdr>
        <w:top w:val="none" w:sz="0" w:space="0" w:color="auto"/>
        <w:left w:val="none" w:sz="0" w:space="0" w:color="auto"/>
        <w:bottom w:val="none" w:sz="0" w:space="0" w:color="auto"/>
        <w:right w:val="none" w:sz="0" w:space="0" w:color="auto"/>
      </w:divBdr>
    </w:div>
    <w:div w:id="16273722">
      <w:bodyDiv w:val="1"/>
      <w:marLeft w:val="0"/>
      <w:marRight w:val="0"/>
      <w:marTop w:val="0"/>
      <w:marBottom w:val="0"/>
      <w:divBdr>
        <w:top w:val="none" w:sz="0" w:space="0" w:color="auto"/>
        <w:left w:val="none" w:sz="0" w:space="0" w:color="auto"/>
        <w:bottom w:val="none" w:sz="0" w:space="0" w:color="auto"/>
        <w:right w:val="none" w:sz="0" w:space="0" w:color="auto"/>
      </w:divBdr>
    </w:div>
    <w:div w:id="18629186">
      <w:bodyDiv w:val="1"/>
      <w:marLeft w:val="0"/>
      <w:marRight w:val="0"/>
      <w:marTop w:val="0"/>
      <w:marBottom w:val="0"/>
      <w:divBdr>
        <w:top w:val="none" w:sz="0" w:space="0" w:color="auto"/>
        <w:left w:val="none" w:sz="0" w:space="0" w:color="auto"/>
        <w:bottom w:val="none" w:sz="0" w:space="0" w:color="auto"/>
        <w:right w:val="none" w:sz="0" w:space="0" w:color="auto"/>
      </w:divBdr>
    </w:div>
    <w:div w:id="32581077">
      <w:bodyDiv w:val="1"/>
      <w:marLeft w:val="0"/>
      <w:marRight w:val="0"/>
      <w:marTop w:val="0"/>
      <w:marBottom w:val="0"/>
      <w:divBdr>
        <w:top w:val="none" w:sz="0" w:space="0" w:color="auto"/>
        <w:left w:val="none" w:sz="0" w:space="0" w:color="auto"/>
        <w:bottom w:val="none" w:sz="0" w:space="0" w:color="auto"/>
        <w:right w:val="none" w:sz="0" w:space="0" w:color="auto"/>
      </w:divBdr>
    </w:div>
    <w:div w:id="33235248">
      <w:bodyDiv w:val="1"/>
      <w:marLeft w:val="0"/>
      <w:marRight w:val="0"/>
      <w:marTop w:val="0"/>
      <w:marBottom w:val="0"/>
      <w:divBdr>
        <w:top w:val="none" w:sz="0" w:space="0" w:color="auto"/>
        <w:left w:val="none" w:sz="0" w:space="0" w:color="auto"/>
        <w:bottom w:val="none" w:sz="0" w:space="0" w:color="auto"/>
        <w:right w:val="none" w:sz="0" w:space="0" w:color="auto"/>
      </w:divBdr>
    </w:div>
    <w:div w:id="44183237">
      <w:bodyDiv w:val="1"/>
      <w:marLeft w:val="0"/>
      <w:marRight w:val="0"/>
      <w:marTop w:val="0"/>
      <w:marBottom w:val="0"/>
      <w:divBdr>
        <w:top w:val="none" w:sz="0" w:space="0" w:color="auto"/>
        <w:left w:val="none" w:sz="0" w:space="0" w:color="auto"/>
        <w:bottom w:val="none" w:sz="0" w:space="0" w:color="auto"/>
        <w:right w:val="none" w:sz="0" w:space="0" w:color="auto"/>
      </w:divBdr>
    </w:div>
    <w:div w:id="56637375">
      <w:bodyDiv w:val="1"/>
      <w:marLeft w:val="0"/>
      <w:marRight w:val="0"/>
      <w:marTop w:val="0"/>
      <w:marBottom w:val="0"/>
      <w:divBdr>
        <w:top w:val="none" w:sz="0" w:space="0" w:color="auto"/>
        <w:left w:val="none" w:sz="0" w:space="0" w:color="auto"/>
        <w:bottom w:val="none" w:sz="0" w:space="0" w:color="auto"/>
        <w:right w:val="none" w:sz="0" w:space="0" w:color="auto"/>
      </w:divBdr>
    </w:div>
    <w:div w:id="85423343">
      <w:bodyDiv w:val="1"/>
      <w:marLeft w:val="0"/>
      <w:marRight w:val="0"/>
      <w:marTop w:val="0"/>
      <w:marBottom w:val="0"/>
      <w:divBdr>
        <w:top w:val="none" w:sz="0" w:space="0" w:color="auto"/>
        <w:left w:val="none" w:sz="0" w:space="0" w:color="auto"/>
        <w:bottom w:val="none" w:sz="0" w:space="0" w:color="auto"/>
        <w:right w:val="none" w:sz="0" w:space="0" w:color="auto"/>
      </w:divBdr>
    </w:div>
    <w:div w:id="88086361">
      <w:bodyDiv w:val="1"/>
      <w:marLeft w:val="0"/>
      <w:marRight w:val="0"/>
      <w:marTop w:val="0"/>
      <w:marBottom w:val="0"/>
      <w:divBdr>
        <w:top w:val="none" w:sz="0" w:space="0" w:color="auto"/>
        <w:left w:val="none" w:sz="0" w:space="0" w:color="auto"/>
        <w:bottom w:val="none" w:sz="0" w:space="0" w:color="auto"/>
        <w:right w:val="none" w:sz="0" w:space="0" w:color="auto"/>
      </w:divBdr>
    </w:div>
    <w:div w:id="132262773">
      <w:bodyDiv w:val="1"/>
      <w:marLeft w:val="0"/>
      <w:marRight w:val="0"/>
      <w:marTop w:val="0"/>
      <w:marBottom w:val="0"/>
      <w:divBdr>
        <w:top w:val="none" w:sz="0" w:space="0" w:color="auto"/>
        <w:left w:val="none" w:sz="0" w:space="0" w:color="auto"/>
        <w:bottom w:val="none" w:sz="0" w:space="0" w:color="auto"/>
        <w:right w:val="none" w:sz="0" w:space="0" w:color="auto"/>
      </w:divBdr>
    </w:div>
    <w:div w:id="134104507">
      <w:bodyDiv w:val="1"/>
      <w:marLeft w:val="0"/>
      <w:marRight w:val="0"/>
      <w:marTop w:val="0"/>
      <w:marBottom w:val="0"/>
      <w:divBdr>
        <w:top w:val="none" w:sz="0" w:space="0" w:color="auto"/>
        <w:left w:val="none" w:sz="0" w:space="0" w:color="auto"/>
        <w:bottom w:val="none" w:sz="0" w:space="0" w:color="auto"/>
        <w:right w:val="none" w:sz="0" w:space="0" w:color="auto"/>
      </w:divBdr>
    </w:div>
    <w:div w:id="144470577">
      <w:bodyDiv w:val="1"/>
      <w:marLeft w:val="0"/>
      <w:marRight w:val="0"/>
      <w:marTop w:val="0"/>
      <w:marBottom w:val="0"/>
      <w:divBdr>
        <w:top w:val="none" w:sz="0" w:space="0" w:color="auto"/>
        <w:left w:val="none" w:sz="0" w:space="0" w:color="auto"/>
        <w:bottom w:val="none" w:sz="0" w:space="0" w:color="auto"/>
        <w:right w:val="none" w:sz="0" w:space="0" w:color="auto"/>
      </w:divBdr>
    </w:div>
    <w:div w:id="144709375">
      <w:bodyDiv w:val="1"/>
      <w:marLeft w:val="0"/>
      <w:marRight w:val="0"/>
      <w:marTop w:val="0"/>
      <w:marBottom w:val="0"/>
      <w:divBdr>
        <w:top w:val="none" w:sz="0" w:space="0" w:color="auto"/>
        <w:left w:val="none" w:sz="0" w:space="0" w:color="auto"/>
        <w:bottom w:val="none" w:sz="0" w:space="0" w:color="auto"/>
        <w:right w:val="none" w:sz="0" w:space="0" w:color="auto"/>
      </w:divBdr>
    </w:div>
    <w:div w:id="176964199">
      <w:bodyDiv w:val="1"/>
      <w:marLeft w:val="0"/>
      <w:marRight w:val="0"/>
      <w:marTop w:val="0"/>
      <w:marBottom w:val="0"/>
      <w:divBdr>
        <w:top w:val="none" w:sz="0" w:space="0" w:color="auto"/>
        <w:left w:val="none" w:sz="0" w:space="0" w:color="auto"/>
        <w:bottom w:val="none" w:sz="0" w:space="0" w:color="auto"/>
        <w:right w:val="none" w:sz="0" w:space="0" w:color="auto"/>
      </w:divBdr>
    </w:div>
    <w:div w:id="180167629">
      <w:bodyDiv w:val="1"/>
      <w:marLeft w:val="0"/>
      <w:marRight w:val="0"/>
      <w:marTop w:val="0"/>
      <w:marBottom w:val="0"/>
      <w:divBdr>
        <w:top w:val="none" w:sz="0" w:space="0" w:color="auto"/>
        <w:left w:val="none" w:sz="0" w:space="0" w:color="auto"/>
        <w:bottom w:val="none" w:sz="0" w:space="0" w:color="auto"/>
        <w:right w:val="none" w:sz="0" w:space="0" w:color="auto"/>
      </w:divBdr>
    </w:div>
    <w:div w:id="183566548">
      <w:bodyDiv w:val="1"/>
      <w:marLeft w:val="0"/>
      <w:marRight w:val="0"/>
      <w:marTop w:val="0"/>
      <w:marBottom w:val="0"/>
      <w:divBdr>
        <w:top w:val="none" w:sz="0" w:space="0" w:color="auto"/>
        <w:left w:val="none" w:sz="0" w:space="0" w:color="auto"/>
        <w:bottom w:val="none" w:sz="0" w:space="0" w:color="auto"/>
        <w:right w:val="none" w:sz="0" w:space="0" w:color="auto"/>
      </w:divBdr>
    </w:div>
    <w:div w:id="194773623">
      <w:bodyDiv w:val="1"/>
      <w:marLeft w:val="0"/>
      <w:marRight w:val="0"/>
      <w:marTop w:val="0"/>
      <w:marBottom w:val="0"/>
      <w:divBdr>
        <w:top w:val="none" w:sz="0" w:space="0" w:color="auto"/>
        <w:left w:val="none" w:sz="0" w:space="0" w:color="auto"/>
        <w:bottom w:val="none" w:sz="0" w:space="0" w:color="auto"/>
        <w:right w:val="none" w:sz="0" w:space="0" w:color="auto"/>
      </w:divBdr>
    </w:div>
    <w:div w:id="203833093">
      <w:bodyDiv w:val="1"/>
      <w:marLeft w:val="0"/>
      <w:marRight w:val="0"/>
      <w:marTop w:val="0"/>
      <w:marBottom w:val="0"/>
      <w:divBdr>
        <w:top w:val="none" w:sz="0" w:space="0" w:color="auto"/>
        <w:left w:val="none" w:sz="0" w:space="0" w:color="auto"/>
        <w:bottom w:val="none" w:sz="0" w:space="0" w:color="auto"/>
        <w:right w:val="none" w:sz="0" w:space="0" w:color="auto"/>
      </w:divBdr>
    </w:div>
    <w:div w:id="217131048">
      <w:bodyDiv w:val="1"/>
      <w:marLeft w:val="0"/>
      <w:marRight w:val="0"/>
      <w:marTop w:val="0"/>
      <w:marBottom w:val="0"/>
      <w:divBdr>
        <w:top w:val="none" w:sz="0" w:space="0" w:color="auto"/>
        <w:left w:val="none" w:sz="0" w:space="0" w:color="auto"/>
        <w:bottom w:val="none" w:sz="0" w:space="0" w:color="auto"/>
        <w:right w:val="none" w:sz="0" w:space="0" w:color="auto"/>
      </w:divBdr>
    </w:div>
    <w:div w:id="224338447">
      <w:bodyDiv w:val="1"/>
      <w:marLeft w:val="0"/>
      <w:marRight w:val="0"/>
      <w:marTop w:val="0"/>
      <w:marBottom w:val="0"/>
      <w:divBdr>
        <w:top w:val="none" w:sz="0" w:space="0" w:color="auto"/>
        <w:left w:val="none" w:sz="0" w:space="0" w:color="auto"/>
        <w:bottom w:val="none" w:sz="0" w:space="0" w:color="auto"/>
        <w:right w:val="none" w:sz="0" w:space="0" w:color="auto"/>
      </w:divBdr>
    </w:div>
    <w:div w:id="226578774">
      <w:bodyDiv w:val="1"/>
      <w:marLeft w:val="0"/>
      <w:marRight w:val="0"/>
      <w:marTop w:val="0"/>
      <w:marBottom w:val="0"/>
      <w:divBdr>
        <w:top w:val="none" w:sz="0" w:space="0" w:color="auto"/>
        <w:left w:val="none" w:sz="0" w:space="0" w:color="auto"/>
        <w:bottom w:val="none" w:sz="0" w:space="0" w:color="auto"/>
        <w:right w:val="none" w:sz="0" w:space="0" w:color="auto"/>
      </w:divBdr>
    </w:div>
    <w:div w:id="236674026">
      <w:bodyDiv w:val="1"/>
      <w:marLeft w:val="0"/>
      <w:marRight w:val="0"/>
      <w:marTop w:val="0"/>
      <w:marBottom w:val="0"/>
      <w:divBdr>
        <w:top w:val="none" w:sz="0" w:space="0" w:color="auto"/>
        <w:left w:val="none" w:sz="0" w:space="0" w:color="auto"/>
        <w:bottom w:val="none" w:sz="0" w:space="0" w:color="auto"/>
        <w:right w:val="none" w:sz="0" w:space="0" w:color="auto"/>
      </w:divBdr>
    </w:div>
    <w:div w:id="247277495">
      <w:bodyDiv w:val="1"/>
      <w:marLeft w:val="0"/>
      <w:marRight w:val="0"/>
      <w:marTop w:val="0"/>
      <w:marBottom w:val="0"/>
      <w:divBdr>
        <w:top w:val="none" w:sz="0" w:space="0" w:color="auto"/>
        <w:left w:val="none" w:sz="0" w:space="0" w:color="auto"/>
        <w:bottom w:val="none" w:sz="0" w:space="0" w:color="auto"/>
        <w:right w:val="none" w:sz="0" w:space="0" w:color="auto"/>
      </w:divBdr>
    </w:div>
    <w:div w:id="257297640">
      <w:bodyDiv w:val="1"/>
      <w:marLeft w:val="0"/>
      <w:marRight w:val="0"/>
      <w:marTop w:val="0"/>
      <w:marBottom w:val="0"/>
      <w:divBdr>
        <w:top w:val="none" w:sz="0" w:space="0" w:color="auto"/>
        <w:left w:val="none" w:sz="0" w:space="0" w:color="auto"/>
        <w:bottom w:val="none" w:sz="0" w:space="0" w:color="auto"/>
        <w:right w:val="none" w:sz="0" w:space="0" w:color="auto"/>
      </w:divBdr>
    </w:div>
    <w:div w:id="260376041">
      <w:bodyDiv w:val="1"/>
      <w:marLeft w:val="0"/>
      <w:marRight w:val="0"/>
      <w:marTop w:val="0"/>
      <w:marBottom w:val="0"/>
      <w:divBdr>
        <w:top w:val="none" w:sz="0" w:space="0" w:color="auto"/>
        <w:left w:val="none" w:sz="0" w:space="0" w:color="auto"/>
        <w:bottom w:val="none" w:sz="0" w:space="0" w:color="auto"/>
        <w:right w:val="none" w:sz="0" w:space="0" w:color="auto"/>
      </w:divBdr>
    </w:div>
    <w:div w:id="281497827">
      <w:bodyDiv w:val="1"/>
      <w:marLeft w:val="0"/>
      <w:marRight w:val="0"/>
      <w:marTop w:val="0"/>
      <w:marBottom w:val="0"/>
      <w:divBdr>
        <w:top w:val="none" w:sz="0" w:space="0" w:color="auto"/>
        <w:left w:val="none" w:sz="0" w:space="0" w:color="auto"/>
        <w:bottom w:val="none" w:sz="0" w:space="0" w:color="auto"/>
        <w:right w:val="none" w:sz="0" w:space="0" w:color="auto"/>
      </w:divBdr>
    </w:div>
    <w:div w:id="289672319">
      <w:bodyDiv w:val="1"/>
      <w:marLeft w:val="0"/>
      <w:marRight w:val="0"/>
      <w:marTop w:val="0"/>
      <w:marBottom w:val="0"/>
      <w:divBdr>
        <w:top w:val="none" w:sz="0" w:space="0" w:color="auto"/>
        <w:left w:val="none" w:sz="0" w:space="0" w:color="auto"/>
        <w:bottom w:val="none" w:sz="0" w:space="0" w:color="auto"/>
        <w:right w:val="none" w:sz="0" w:space="0" w:color="auto"/>
      </w:divBdr>
    </w:div>
    <w:div w:id="300501923">
      <w:bodyDiv w:val="1"/>
      <w:marLeft w:val="0"/>
      <w:marRight w:val="0"/>
      <w:marTop w:val="0"/>
      <w:marBottom w:val="0"/>
      <w:divBdr>
        <w:top w:val="none" w:sz="0" w:space="0" w:color="auto"/>
        <w:left w:val="none" w:sz="0" w:space="0" w:color="auto"/>
        <w:bottom w:val="none" w:sz="0" w:space="0" w:color="auto"/>
        <w:right w:val="none" w:sz="0" w:space="0" w:color="auto"/>
      </w:divBdr>
    </w:div>
    <w:div w:id="311254342">
      <w:bodyDiv w:val="1"/>
      <w:marLeft w:val="0"/>
      <w:marRight w:val="0"/>
      <w:marTop w:val="0"/>
      <w:marBottom w:val="0"/>
      <w:divBdr>
        <w:top w:val="none" w:sz="0" w:space="0" w:color="auto"/>
        <w:left w:val="none" w:sz="0" w:space="0" w:color="auto"/>
        <w:bottom w:val="none" w:sz="0" w:space="0" w:color="auto"/>
        <w:right w:val="none" w:sz="0" w:space="0" w:color="auto"/>
      </w:divBdr>
    </w:div>
    <w:div w:id="318995267">
      <w:bodyDiv w:val="1"/>
      <w:marLeft w:val="0"/>
      <w:marRight w:val="0"/>
      <w:marTop w:val="0"/>
      <w:marBottom w:val="0"/>
      <w:divBdr>
        <w:top w:val="none" w:sz="0" w:space="0" w:color="auto"/>
        <w:left w:val="none" w:sz="0" w:space="0" w:color="auto"/>
        <w:bottom w:val="none" w:sz="0" w:space="0" w:color="auto"/>
        <w:right w:val="none" w:sz="0" w:space="0" w:color="auto"/>
      </w:divBdr>
    </w:div>
    <w:div w:id="336690967">
      <w:bodyDiv w:val="1"/>
      <w:marLeft w:val="0"/>
      <w:marRight w:val="0"/>
      <w:marTop w:val="0"/>
      <w:marBottom w:val="0"/>
      <w:divBdr>
        <w:top w:val="none" w:sz="0" w:space="0" w:color="auto"/>
        <w:left w:val="none" w:sz="0" w:space="0" w:color="auto"/>
        <w:bottom w:val="none" w:sz="0" w:space="0" w:color="auto"/>
        <w:right w:val="none" w:sz="0" w:space="0" w:color="auto"/>
      </w:divBdr>
    </w:div>
    <w:div w:id="345911731">
      <w:bodyDiv w:val="1"/>
      <w:marLeft w:val="0"/>
      <w:marRight w:val="0"/>
      <w:marTop w:val="0"/>
      <w:marBottom w:val="0"/>
      <w:divBdr>
        <w:top w:val="none" w:sz="0" w:space="0" w:color="auto"/>
        <w:left w:val="none" w:sz="0" w:space="0" w:color="auto"/>
        <w:bottom w:val="none" w:sz="0" w:space="0" w:color="auto"/>
        <w:right w:val="none" w:sz="0" w:space="0" w:color="auto"/>
      </w:divBdr>
    </w:div>
    <w:div w:id="375665211">
      <w:bodyDiv w:val="1"/>
      <w:marLeft w:val="0"/>
      <w:marRight w:val="0"/>
      <w:marTop w:val="0"/>
      <w:marBottom w:val="0"/>
      <w:divBdr>
        <w:top w:val="none" w:sz="0" w:space="0" w:color="auto"/>
        <w:left w:val="none" w:sz="0" w:space="0" w:color="auto"/>
        <w:bottom w:val="none" w:sz="0" w:space="0" w:color="auto"/>
        <w:right w:val="none" w:sz="0" w:space="0" w:color="auto"/>
      </w:divBdr>
    </w:div>
    <w:div w:id="377559633">
      <w:bodyDiv w:val="1"/>
      <w:marLeft w:val="0"/>
      <w:marRight w:val="0"/>
      <w:marTop w:val="0"/>
      <w:marBottom w:val="0"/>
      <w:divBdr>
        <w:top w:val="none" w:sz="0" w:space="0" w:color="auto"/>
        <w:left w:val="none" w:sz="0" w:space="0" w:color="auto"/>
        <w:bottom w:val="none" w:sz="0" w:space="0" w:color="auto"/>
        <w:right w:val="none" w:sz="0" w:space="0" w:color="auto"/>
      </w:divBdr>
    </w:div>
    <w:div w:id="383603026">
      <w:bodyDiv w:val="1"/>
      <w:marLeft w:val="0"/>
      <w:marRight w:val="0"/>
      <w:marTop w:val="0"/>
      <w:marBottom w:val="0"/>
      <w:divBdr>
        <w:top w:val="none" w:sz="0" w:space="0" w:color="auto"/>
        <w:left w:val="none" w:sz="0" w:space="0" w:color="auto"/>
        <w:bottom w:val="none" w:sz="0" w:space="0" w:color="auto"/>
        <w:right w:val="none" w:sz="0" w:space="0" w:color="auto"/>
      </w:divBdr>
    </w:div>
    <w:div w:id="385955819">
      <w:bodyDiv w:val="1"/>
      <w:marLeft w:val="0"/>
      <w:marRight w:val="0"/>
      <w:marTop w:val="0"/>
      <w:marBottom w:val="0"/>
      <w:divBdr>
        <w:top w:val="none" w:sz="0" w:space="0" w:color="auto"/>
        <w:left w:val="none" w:sz="0" w:space="0" w:color="auto"/>
        <w:bottom w:val="none" w:sz="0" w:space="0" w:color="auto"/>
        <w:right w:val="none" w:sz="0" w:space="0" w:color="auto"/>
      </w:divBdr>
    </w:div>
    <w:div w:id="397897045">
      <w:bodyDiv w:val="1"/>
      <w:marLeft w:val="0"/>
      <w:marRight w:val="0"/>
      <w:marTop w:val="0"/>
      <w:marBottom w:val="0"/>
      <w:divBdr>
        <w:top w:val="none" w:sz="0" w:space="0" w:color="auto"/>
        <w:left w:val="none" w:sz="0" w:space="0" w:color="auto"/>
        <w:bottom w:val="none" w:sz="0" w:space="0" w:color="auto"/>
        <w:right w:val="none" w:sz="0" w:space="0" w:color="auto"/>
      </w:divBdr>
    </w:div>
    <w:div w:id="398287891">
      <w:bodyDiv w:val="1"/>
      <w:marLeft w:val="0"/>
      <w:marRight w:val="0"/>
      <w:marTop w:val="0"/>
      <w:marBottom w:val="0"/>
      <w:divBdr>
        <w:top w:val="none" w:sz="0" w:space="0" w:color="auto"/>
        <w:left w:val="none" w:sz="0" w:space="0" w:color="auto"/>
        <w:bottom w:val="none" w:sz="0" w:space="0" w:color="auto"/>
        <w:right w:val="none" w:sz="0" w:space="0" w:color="auto"/>
      </w:divBdr>
    </w:div>
    <w:div w:id="413553138">
      <w:bodyDiv w:val="1"/>
      <w:marLeft w:val="0"/>
      <w:marRight w:val="0"/>
      <w:marTop w:val="0"/>
      <w:marBottom w:val="0"/>
      <w:divBdr>
        <w:top w:val="none" w:sz="0" w:space="0" w:color="auto"/>
        <w:left w:val="none" w:sz="0" w:space="0" w:color="auto"/>
        <w:bottom w:val="none" w:sz="0" w:space="0" w:color="auto"/>
        <w:right w:val="none" w:sz="0" w:space="0" w:color="auto"/>
      </w:divBdr>
    </w:div>
    <w:div w:id="418798827">
      <w:bodyDiv w:val="1"/>
      <w:marLeft w:val="0"/>
      <w:marRight w:val="0"/>
      <w:marTop w:val="0"/>
      <w:marBottom w:val="0"/>
      <w:divBdr>
        <w:top w:val="none" w:sz="0" w:space="0" w:color="auto"/>
        <w:left w:val="none" w:sz="0" w:space="0" w:color="auto"/>
        <w:bottom w:val="none" w:sz="0" w:space="0" w:color="auto"/>
        <w:right w:val="none" w:sz="0" w:space="0" w:color="auto"/>
      </w:divBdr>
    </w:div>
    <w:div w:id="424766164">
      <w:bodyDiv w:val="1"/>
      <w:marLeft w:val="0"/>
      <w:marRight w:val="0"/>
      <w:marTop w:val="0"/>
      <w:marBottom w:val="0"/>
      <w:divBdr>
        <w:top w:val="none" w:sz="0" w:space="0" w:color="auto"/>
        <w:left w:val="none" w:sz="0" w:space="0" w:color="auto"/>
        <w:bottom w:val="none" w:sz="0" w:space="0" w:color="auto"/>
        <w:right w:val="none" w:sz="0" w:space="0" w:color="auto"/>
      </w:divBdr>
    </w:div>
    <w:div w:id="442303915">
      <w:bodyDiv w:val="1"/>
      <w:marLeft w:val="0"/>
      <w:marRight w:val="0"/>
      <w:marTop w:val="0"/>
      <w:marBottom w:val="0"/>
      <w:divBdr>
        <w:top w:val="none" w:sz="0" w:space="0" w:color="auto"/>
        <w:left w:val="none" w:sz="0" w:space="0" w:color="auto"/>
        <w:bottom w:val="none" w:sz="0" w:space="0" w:color="auto"/>
        <w:right w:val="none" w:sz="0" w:space="0" w:color="auto"/>
      </w:divBdr>
    </w:div>
    <w:div w:id="451755133">
      <w:bodyDiv w:val="1"/>
      <w:marLeft w:val="0"/>
      <w:marRight w:val="0"/>
      <w:marTop w:val="0"/>
      <w:marBottom w:val="0"/>
      <w:divBdr>
        <w:top w:val="none" w:sz="0" w:space="0" w:color="auto"/>
        <w:left w:val="none" w:sz="0" w:space="0" w:color="auto"/>
        <w:bottom w:val="none" w:sz="0" w:space="0" w:color="auto"/>
        <w:right w:val="none" w:sz="0" w:space="0" w:color="auto"/>
      </w:divBdr>
    </w:div>
    <w:div w:id="477842216">
      <w:bodyDiv w:val="1"/>
      <w:marLeft w:val="0"/>
      <w:marRight w:val="0"/>
      <w:marTop w:val="0"/>
      <w:marBottom w:val="0"/>
      <w:divBdr>
        <w:top w:val="none" w:sz="0" w:space="0" w:color="auto"/>
        <w:left w:val="none" w:sz="0" w:space="0" w:color="auto"/>
        <w:bottom w:val="none" w:sz="0" w:space="0" w:color="auto"/>
        <w:right w:val="none" w:sz="0" w:space="0" w:color="auto"/>
      </w:divBdr>
    </w:div>
    <w:div w:id="478615973">
      <w:bodyDiv w:val="1"/>
      <w:marLeft w:val="0"/>
      <w:marRight w:val="0"/>
      <w:marTop w:val="0"/>
      <w:marBottom w:val="0"/>
      <w:divBdr>
        <w:top w:val="none" w:sz="0" w:space="0" w:color="auto"/>
        <w:left w:val="none" w:sz="0" w:space="0" w:color="auto"/>
        <w:bottom w:val="none" w:sz="0" w:space="0" w:color="auto"/>
        <w:right w:val="none" w:sz="0" w:space="0" w:color="auto"/>
      </w:divBdr>
    </w:div>
    <w:div w:id="482738661">
      <w:bodyDiv w:val="1"/>
      <w:marLeft w:val="0"/>
      <w:marRight w:val="0"/>
      <w:marTop w:val="0"/>
      <w:marBottom w:val="0"/>
      <w:divBdr>
        <w:top w:val="none" w:sz="0" w:space="0" w:color="auto"/>
        <w:left w:val="none" w:sz="0" w:space="0" w:color="auto"/>
        <w:bottom w:val="none" w:sz="0" w:space="0" w:color="auto"/>
        <w:right w:val="none" w:sz="0" w:space="0" w:color="auto"/>
      </w:divBdr>
    </w:div>
    <w:div w:id="510920693">
      <w:bodyDiv w:val="1"/>
      <w:marLeft w:val="0"/>
      <w:marRight w:val="0"/>
      <w:marTop w:val="0"/>
      <w:marBottom w:val="0"/>
      <w:divBdr>
        <w:top w:val="none" w:sz="0" w:space="0" w:color="auto"/>
        <w:left w:val="none" w:sz="0" w:space="0" w:color="auto"/>
        <w:bottom w:val="none" w:sz="0" w:space="0" w:color="auto"/>
        <w:right w:val="none" w:sz="0" w:space="0" w:color="auto"/>
      </w:divBdr>
    </w:div>
    <w:div w:id="521093147">
      <w:bodyDiv w:val="1"/>
      <w:marLeft w:val="0"/>
      <w:marRight w:val="0"/>
      <w:marTop w:val="0"/>
      <w:marBottom w:val="0"/>
      <w:divBdr>
        <w:top w:val="none" w:sz="0" w:space="0" w:color="auto"/>
        <w:left w:val="none" w:sz="0" w:space="0" w:color="auto"/>
        <w:bottom w:val="none" w:sz="0" w:space="0" w:color="auto"/>
        <w:right w:val="none" w:sz="0" w:space="0" w:color="auto"/>
      </w:divBdr>
    </w:div>
    <w:div w:id="534585624">
      <w:bodyDiv w:val="1"/>
      <w:marLeft w:val="0"/>
      <w:marRight w:val="0"/>
      <w:marTop w:val="0"/>
      <w:marBottom w:val="0"/>
      <w:divBdr>
        <w:top w:val="none" w:sz="0" w:space="0" w:color="auto"/>
        <w:left w:val="none" w:sz="0" w:space="0" w:color="auto"/>
        <w:bottom w:val="none" w:sz="0" w:space="0" w:color="auto"/>
        <w:right w:val="none" w:sz="0" w:space="0" w:color="auto"/>
      </w:divBdr>
    </w:div>
    <w:div w:id="540289305">
      <w:bodyDiv w:val="1"/>
      <w:marLeft w:val="0"/>
      <w:marRight w:val="0"/>
      <w:marTop w:val="0"/>
      <w:marBottom w:val="0"/>
      <w:divBdr>
        <w:top w:val="none" w:sz="0" w:space="0" w:color="auto"/>
        <w:left w:val="none" w:sz="0" w:space="0" w:color="auto"/>
        <w:bottom w:val="none" w:sz="0" w:space="0" w:color="auto"/>
        <w:right w:val="none" w:sz="0" w:space="0" w:color="auto"/>
      </w:divBdr>
    </w:div>
    <w:div w:id="551311275">
      <w:bodyDiv w:val="1"/>
      <w:marLeft w:val="0"/>
      <w:marRight w:val="0"/>
      <w:marTop w:val="0"/>
      <w:marBottom w:val="0"/>
      <w:divBdr>
        <w:top w:val="none" w:sz="0" w:space="0" w:color="auto"/>
        <w:left w:val="none" w:sz="0" w:space="0" w:color="auto"/>
        <w:bottom w:val="none" w:sz="0" w:space="0" w:color="auto"/>
        <w:right w:val="none" w:sz="0" w:space="0" w:color="auto"/>
      </w:divBdr>
    </w:div>
    <w:div w:id="562838096">
      <w:bodyDiv w:val="1"/>
      <w:marLeft w:val="0"/>
      <w:marRight w:val="0"/>
      <w:marTop w:val="0"/>
      <w:marBottom w:val="0"/>
      <w:divBdr>
        <w:top w:val="none" w:sz="0" w:space="0" w:color="auto"/>
        <w:left w:val="none" w:sz="0" w:space="0" w:color="auto"/>
        <w:bottom w:val="none" w:sz="0" w:space="0" w:color="auto"/>
        <w:right w:val="none" w:sz="0" w:space="0" w:color="auto"/>
      </w:divBdr>
    </w:div>
    <w:div w:id="582838348">
      <w:bodyDiv w:val="1"/>
      <w:marLeft w:val="0"/>
      <w:marRight w:val="0"/>
      <w:marTop w:val="0"/>
      <w:marBottom w:val="0"/>
      <w:divBdr>
        <w:top w:val="none" w:sz="0" w:space="0" w:color="auto"/>
        <w:left w:val="none" w:sz="0" w:space="0" w:color="auto"/>
        <w:bottom w:val="none" w:sz="0" w:space="0" w:color="auto"/>
        <w:right w:val="none" w:sz="0" w:space="0" w:color="auto"/>
      </w:divBdr>
    </w:div>
    <w:div w:id="589583027">
      <w:bodyDiv w:val="1"/>
      <w:marLeft w:val="0"/>
      <w:marRight w:val="0"/>
      <w:marTop w:val="0"/>
      <w:marBottom w:val="0"/>
      <w:divBdr>
        <w:top w:val="none" w:sz="0" w:space="0" w:color="auto"/>
        <w:left w:val="none" w:sz="0" w:space="0" w:color="auto"/>
        <w:bottom w:val="none" w:sz="0" w:space="0" w:color="auto"/>
        <w:right w:val="none" w:sz="0" w:space="0" w:color="auto"/>
      </w:divBdr>
    </w:div>
    <w:div w:id="595476315">
      <w:bodyDiv w:val="1"/>
      <w:marLeft w:val="0"/>
      <w:marRight w:val="0"/>
      <w:marTop w:val="0"/>
      <w:marBottom w:val="0"/>
      <w:divBdr>
        <w:top w:val="none" w:sz="0" w:space="0" w:color="auto"/>
        <w:left w:val="none" w:sz="0" w:space="0" w:color="auto"/>
        <w:bottom w:val="none" w:sz="0" w:space="0" w:color="auto"/>
        <w:right w:val="none" w:sz="0" w:space="0" w:color="auto"/>
      </w:divBdr>
    </w:div>
    <w:div w:id="632249627">
      <w:bodyDiv w:val="1"/>
      <w:marLeft w:val="0"/>
      <w:marRight w:val="0"/>
      <w:marTop w:val="0"/>
      <w:marBottom w:val="0"/>
      <w:divBdr>
        <w:top w:val="none" w:sz="0" w:space="0" w:color="auto"/>
        <w:left w:val="none" w:sz="0" w:space="0" w:color="auto"/>
        <w:bottom w:val="none" w:sz="0" w:space="0" w:color="auto"/>
        <w:right w:val="none" w:sz="0" w:space="0" w:color="auto"/>
      </w:divBdr>
    </w:div>
    <w:div w:id="634215879">
      <w:bodyDiv w:val="1"/>
      <w:marLeft w:val="0"/>
      <w:marRight w:val="0"/>
      <w:marTop w:val="0"/>
      <w:marBottom w:val="0"/>
      <w:divBdr>
        <w:top w:val="none" w:sz="0" w:space="0" w:color="auto"/>
        <w:left w:val="none" w:sz="0" w:space="0" w:color="auto"/>
        <w:bottom w:val="none" w:sz="0" w:space="0" w:color="auto"/>
        <w:right w:val="none" w:sz="0" w:space="0" w:color="auto"/>
      </w:divBdr>
    </w:div>
    <w:div w:id="638651707">
      <w:bodyDiv w:val="1"/>
      <w:marLeft w:val="0"/>
      <w:marRight w:val="0"/>
      <w:marTop w:val="0"/>
      <w:marBottom w:val="0"/>
      <w:divBdr>
        <w:top w:val="none" w:sz="0" w:space="0" w:color="auto"/>
        <w:left w:val="none" w:sz="0" w:space="0" w:color="auto"/>
        <w:bottom w:val="none" w:sz="0" w:space="0" w:color="auto"/>
        <w:right w:val="none" w:sz="0" w:space="0" w:color="auto"/>
      </w:divBdr>
    </w:div>
    <w:div w:id="646936303">
      <w:bodyDiv w:val="1"/>
      <w:marLeft w:val="0"/>
      <w:marRight w:val="0"/>
      <w:marTop w:val="0"/>
      <w:marBottom w:val="0"/>
      <w:divBdr>
        <w:top w:val="none" w:sz="0" w:space="0" w:color="auto"/>
        <w:left w:val="none" w:sz="0" w:space="0" w:color="auto"/>
        <w:bottom w:val="none" w:sz="0" w:space="0" w:color="auto"/>
        <w:right w:val="none" w:sz="0" w:space="0" w:color="auto"/>
      </w:divBdr>
    </w:div>
    <w:div w:id="650864963">
      <w:bodyDiv w:val="1"/>
      <w:marLeft w:val="0"/>
      <w:marRight w:val="0"/>
      <w:marTop w:val="0"/>
      <w:marBottom w:val="0"/>
      <w:divBdr>
        <w:top w:val="none" w:sz="0" w:space="0" w:color="auto"/>
        <w:left w:val="none" w:sz="0" w:space="0" w:color="auto"/>
        <w:bottom w:val="none" w:sz="0" w:space="0" w:color="auto"/>
        <w:right w:val="none" w:sz="0" w:space="0" w:color="auto"/>
      </w:divBdr>
    </w:div>
    <w:div w:id="665937995">
      <w:bodyDiv w:val="1"/>
      <w:marLeft w:val="0"/>
      <w:marRight w:val="0"/>
      <w:marTop w:val="0"/>
      <w:marBottom w:val="0"/>
      <w:divBdr>
        <w:top w:val="none" w:sz="0" w:space="0" w:color="auto"/>
        <w:left w:val="none" w:sz="0" w:space="0" w:color="auto"/>
        <w:bottom w:val="none" w:sz="0" w:space="0" w:color="auto"/>
        <w:right w:val="none" w:sz="0" w:space="0" w:color="auto"/>
      </w:divBdr>
    </w:div>
    <w:div w:id="682437532">
      <w:bodyDiv w:val="1"/>
      <w:marLeft w:val="0"/>
      <w:marRight w:val="0"/>
      <w:marTop w:val="0"/>
      <w:marBottom w:val="0"/>
      <w:divBdr>
        <w:top w:val="none" w:sz="0" w:space="0" w:color="auto"/>
        <w:left w:val="none" w:sz="0" w:space="0" w:color="auto"/>
        <w:bottom w:val="none" w:sz="0" w:space="0" w:color="auto"/>
        <w:right w:val="none" w:sz="0" w:space="0" w:color="auto"/>
      </w:divBdr>
    </w:div>
    <w:div w:id="698746362">
      <w:bodyDiv w:val="1"/>
      <w:marLeft w:val="0"/>
      <w:marRight w:val="0"/>
      <w:marTop w:val="0"/>
      <w:marBottom w:val="0"/>
      <w:divBdr>
        <w:top w:val="none" w:sz="0" w:space="0" w:color="auto"/>
        <w:left w:val="none" w:sz="0" w:space="0" w:color="auto"/>
        <w:bottom w:val="none" w:sz="0" w:space="0" w:color="auto"/>
        <w:right w:val="none" w:sz="0" w:space="0" w:color="auto"/>
      </w:divBdr>
    </w:div>
    <w:div w:id="701442688">
      <w:bodyDiv w:val="1"/>
      <w:marLeft w:val="0"/>
      <w:marRight w:val="0"/>
      <w:marTop w:val="0"/>
      <w:marBottom w:val="0"/>
      <w:divBdr>
        <w:top w:val="none" w:sz="0" w:space="0" w:color="auto"/>
        <w:left w:val="none" w:sz="0" w:space="0" w:color="auto"/>
        <w:bottom w:val="none" w:sz="0" w:space="0" w:color="auto"/>
        <w:right w:val="none" w:sz="0" w:space="0" w:color="auto"/>
      </w:divBdr>
    </w:div>
    <w:div w:id="714816938">
      <w:bodyDiv w:val="1"/>
      <w:marLeft w:val="0"/>
      <w:marRight w:val="0"/>
      <w:marTop w:val="0"/>
      <w:marBottom w:val="0"/>
      <w:divBdr>
        <w:top w:val="none" w:sz="0" w:space="0" w:color="auto"/>
        <w:left w:val="none" w:sz="0" w:space="0" w:color="auto"/>
        <w:bottom w:val="none" w:sz="0" w:space="0" w:color="auto"/>
        <w:right w:val="none" w:sz="0" w:space="0" w:color="auto"/>
      </w:divBdr>
    </w:div>
    <w:div w:id="725564300">
      <w:bodyDiv w:val="1"/>
      <w:marLeft w:val="0"/>
      <w:marRight w:val="0"/>
      <w:marTop w:val="0"/>
      <w:marBottom w:val="0"/>
      <w:divBdr>
        <w:top w:val="none" w:sz="0" w:space="0" w:color="auto"/>
        <w:left w:val="none" w:sz="0" w:space="0" w:color="auto"/>
        <w:bottom w:val="none" w:sz="0" w:space="0" w:color="auto"/>
        <w:right w:val="none" w:sz="0" w:space="0" w:color="auto"/>
      </w:divBdr>
    </w:div>
    <w:div w:id="728109986">
      <w:bodyDiv w:val="1"/>
      <w:marLeft w:val="0"/>
      <w:marRight w:val="0"/>
      <w:marTop w:val="0"/>
      <w:marBottom w:val="0"/>
      <w:divBdr>
        <w:top w:val="none" w:sz="0" w:space="0" w:color="auto"/>
        <w:left w:val="none" w:sz="0" w:space="0" w:color="auto"/>
        <w:bottom w:val="none" w:sz="0" w:space="0" w:color="auto"/>
        <w:right w:val="none" w:sz="0" w:space="0" w:color="auto"/>
      </w:divBdr>
    </w:div>
    <w:div w:id="740448138">
      <w:bodyDiv w:val="1"/>
      <w:marLeft w:val="0"/>
      <w:marRight w:val="0"/>
      <w:marTop w:val="0"/>
      <w:marBottom w:val="0"/>
      <w:divBdr>
        <w:top w:val="none" w:sz="0" w:space="0" w:color="auto"/>
        <w:left w:val="none" w:sz="0" w:space="0" w:color="auto"/>
        <w:bottom w:val="none" w:sz="0" w:space="0" w:color="auto"/>
        <w:right w:val="none" w:sz="0" w:space="0" w:color="auto"/>
      </w:divBdr>
    </w:div>
    <w:div w:id="741947529">
      <w:bodyDiv w:val="1"/>
      <w:marLeft w:val="0"/>
      <w:marRight w:val="0"/>
      <w:marTop w:val="0"/>
      <w:marBottom w:val="0"/>
      <w:divBdr>
        <w:top w:val="none" w:sz="0" w:space="0" w:color="auto"/>
        <w:left w:val="none" w:sz="0" w:space="0" w:color="auto"/>
        <w:bottom w:val="none" w:sz="0" w:space="0" w:color="auto"/>
        <w:right w:val="none" w:sz="0" w:space="0" w:color="auto"/>
      </w:divBdr>
    </w:div>
    <w:div w:id="758673567">
      <w:bodyDiv w:val="1"/>
      <w:marLeft w:val="0"/>
      <w:marRight w:val="0"/>
      <w:marTop w:val="0"/>
      <w:marBottom w:val="0"/>
      <w:divBdr>
        <w:top w:val="none" w:sz="0" w:space="0" w:color="auto"/>
        <w:left w:val="none" w:sz="0" w:space="0" w:color="auto"/>
        <w:bottom w:val="none" w:sz="0" w:space="0" w:color="auto"/>
        <w:right w:val="none" w:sz="0" w:space="0" w:color="auto"/>
      </w:divBdr>
    </w:div>
    <w:div w:id="775558480">
      <w:bodyDiv w:val="1"/>
      <w:marLeft w:val="0"/>
      <w:marRight w:val="0"/>
      <w:marTop w:val="0"/>
      <w:marBottom w:val="0"/>
      <w:divBdr>
        <w:top w:val="none" w:sz="0" w:space="0" w:color="auto"/>
        <w:left w:val="none" w:sz="0" w:space="0" w:color="auto"/>
        <w:bottom w:val="none" w:sz="0" w:space="0" w:color="auto"/>
        <w:right w:val="none" w:sz="0" w:space="0" w:color="auto"/>
      </w:divBdr>
    </w:div>
    <w:div w:id="779449415">
      <w:bodyDiv w:val="1"/>
      <w:marLeft w:val="0"/>
      <w:marRight w:val="0"/>
      <w:marTop w:val="0"/>
      <w:marBottom w:val="0"/>
      <w:divBdr>
        <w:top w:val="none" w:sz="0" w:space="0" w:color="auto"/>
        <w:left w:val="none" w:sz="0" w:space="0" w:color="auto"/>
        <w:bottom w:val="none" w:sz="0" w:space="0" w:color="auto"/>
        <w:right w:val="none" w:sz="0" w:space="0" w:color="auto"/>
      </w:divBdr>
    </w:div>
    <w:div w:id="803697218">
      <w:bodyDiv w:val="1"/>
      <w:marLeft w:val="0"/>
      <w:marRight w:val="0"/>
      <w:marTop w:val="0"/>
      <w:marBottom w:val="0"/>
      <w:divBdr>
        <w:top w:val="none" w:sz="0" w:space="0" w:color="auto"/>
        <w:left w:val="none" w:sz="0" w:space="0" w:color="auto"/>
        <w:bottom w:val="none" w:sz="0" w:space="0" w:color="auto"/>
        <w:right w:val="none" w:sz="0" w:space="0" w:color="auto"/>
      </w:divBdr>
    </w:div>
    <w:div w:id="833956017">
      <w:bodyDiv w:val="1"/>
      <w:marLeft w:val="0"/>
      <w:marRight w:val="0"/>
      <w:marTop w:val="0"/>
      <w:marBottom w:val="0"/>
      <w:divBdr>
        <w:top w:val="none" w:sz="0" w:space="0" w:color="auto"/>
        <w:left w:val="none" w:sz="0" w:space="0" w:color="auto"/>
        <w:bottom w:val="none" w:sz="0" w:space="0" w:color="auto"/>
        <w:right w:val="none" w:sz="0" w:space="0" w:color="auto"/>
      </w:divBdr>
    </w:div>
    <w:div w:id="841628711">
      <w:bodyDiv w:val="1"/>
      <w:marLeft w:val="0"/>
      <w:marRight w:val="0"/>
      <w:marTop w:val="0"/>
      <w:marBottom w:val="0"/>
      <w:divBdr>
        <w:top w:val="none" w:sz="0" w:space="0" w:color="auto"/>
        <w:left w:val="none" w:sz="0" w:space="0" w:color="auto"/>
        <w:bottom w:val="none" w:sz="0" w:space="0" w:color="auto"/>
        <w:right w:val="none" w:sz="0" w:space="0" w:color="auto"/>
      </w:divBdr>
    </w:div>
    <w:div w:id="848103497">
      <w:bodyDiv w:val="1"/>
      <w:marLeft w:val="0"/>
      <w:marRight w:val="0"/>
      <w:marTop w:val="0"/>
      <w:marBottom w:val="0"/>
      <w:divBdr>
        <w:top w:val="none" w:sz="0" w:space="0" w:color="auto"/>
        <w:left w:val="none" w:sz="0" w:space="0" w:color="auto"/>
        <w:bottom w:val="none" w:sz="0" w:space="0" w:color="auto"/>
        <w:right w:val="none" w:sz="0" w:space="0" w:color="auto"/>
      </w:divBdr>
    </w:div>
    <w:div w:id="851338671">
      <w:bodyDiv w:val="1"/>
      <w:marLeft w:val="0"/>
      <w:marRight w:val="0"/>
      <w:marTop w:val="0"/>
      <w:marBottom w:val="0"/>
      <w:divBdr>
        <w:top w:val="none" w:sz="0" w:space="0" w:color="auto"/>
        <w:left w:val="none" w:sz="0" w:space="0" w:color="auto"/>
        <w:bottom w:val="none" w:sz="0" w:space="0" w:color="auto"/>
        <w:right w:val="none" w:sz="0" w:space="0" w:color="auto"/>
      </w:divBdr>
    </w:div>
    <w:div w:id="857159154">
      <w:bodyDiv w:val="1"/>
      <w:marLeft w:val="0"/>
      <w:marRight w:val="0"/>
      <w:marTop w:val="0"/>
      <w:marBottom w:val="0"/>
      <w:divBdr>
        <w:top w:val="none" w:sz="0" w:space="0" w:color="auto"/>
        <w:left w:val="none" w:sz="0" w:space="0" w:color="auto"/>
        <w:bottom w:val="none" w:sz="0" w:space="0" w:color="auto"/>
        <w:right w:val="none" w:sz="0" w:space="0" w:color="auto"/>
      </w:divBdr>
    </w:div>
    <w:div w:id="879972174">
      <w:bodyDiv w:val="1"/>
      <w:marLeft w:val="0"/>
      <w:marRight w:val="0"/>
      <w:marTop w:val="0"/>
      <w:marBottom w:val="0"/>
      <w:divBdr>
        <w:top w:val="none" w:sz="0" w:space="0" w:color="auto"/>
        <w:left w:val="none" w:sz="0" w:space="0" w:color="auto"/>
        <w:bottom w:val="none" w:sz="0" w:space="0" w:color="auto"/>
        <w:right w:val="none" w:sz="0" w:space="0" w:color="auto"/>
      </w:divBdr>
    </w:div>
    <w:div w:id="884289250">
      <w:bodyDiv w:val="1"/>
      <w:marLeft w:val="0"/>
      <w:marRight w:val="0"/>
      <w:marTop w:val="0"/>
      <w:marBottom w:val="0"/>
      <w:divBdr>
        <w:top w:val="none" w:sz="0" w:space="0" w:color="auto"/>
        <w:left w:val="none" w:sz="0" w:space="0" w:color="auto"/>
        <w:bottom w:val="none" w:sz="0" w:space="0" w:color="auto"/>
        <w:right w:val="none" w:sz="0" w:space="0" w:color="auto"/>
      </w:divBdr>
    </w:div>
    <w:div w:id="884754389">
      <w:bodyDiv w:val="1"/>
      <w:marLeft w:val="0"/>
      <w:marRight w:val="0"/>
      <w:marTop w:val="0"/>
      <w:marBottom w:val="0"/>
      <w:divBdr>
        <w:top w:val="none" w:sz="0" w:space="0" w:color="auto"/>
        <w:left w:val="none" w:sz="0" w:space="0" w:color="auto"/>
        <w:bottom w:val="none" w:sz="0" w:space="0" w:color="auto"/>
        <w:right w:val="none" w:sz="0" w:space="0" w:color="auto"/>
      </w:divBdr>
    </w:div>
    <w:div w:id="894514237">
      <w:bodyDiv w:val="1"/>
      <w:marLeft w:val="0"/>
      <w:marRight w:val="0"/>
      <w:marTop w:val="0"/>
      <w:marBottom w:val="0"/>
      <w:divBdr>
        <w:top w:val="none" w:sz="0" w:space="0" w:color="auto"/>
        <w:left w:val="none" w:sz="0" w:space="0" w:color="auto"/>
        <w:bottom w:val="none" w:sz="0" w:space="0" w:color="auto"/>
        <w:right w:val="none" w:sz="0" w:space="0" w:color="auto"/>
      </w:divBdr>
    </w:div>
    <w:div w:id="909657697">
      <w:bodyDiv w:val="1"/>
      <w:marLeft w:val="0"/>
      <w:marRight w:val="0"/>
      <w:marTop w:val="0"/>
      <w:marBottom w:val="0"/>
      <w:divBdr>
        <w:top w:val="none" w:sz="0" w:space="0" w:color="auto"/>
        <w:left w:val="none" w:sz="0" w:space="0" w:color="auto"/>
        <w:bottom w:val="none" w:sz="0" w:space="0" w:color="auto"/>
        <w:right w:val="none" w:sz="0" w:space="0" w:color="auto"/>
      </w:divBdr>
    </w:div>
    <w:div w:id="919171725">
      <w:bodyDiv w:val="1"/>
      <w:marLeft w:val="0"/>
      <w:marRight w:val="0"/>
      <w:marTop w:val="0"/>
      <w:marBottom w:val="0"/>
      <w:divBdr>
        <w:top w:val="none" w:sz="0" w:space="0" w:color="auto"/>
        <w:left w:val="none" w:sz="0" w:space="0" w:color="auto"/>
        <w:bottom w:val="none" w:sz="0" w:space="0" w:color="auto"/>
        <w:right w:val="none" w:sz="0" w:space="0" w:color="auto"/>
      </w:divBdr>
    </w:div>
    <w:div w:id="942997840">
      <w:bodyDiv w:val="1"/>
      <w:marLeft w:val="0"/>
      <w:marRight w:val="0"/>
      <w:marTop w:val="0"/>
      <w:marBottom w:val="0"/>
      <w:divBdr>
        <w:top w:val="none" w:sz="0" w:space="0" w:color="auto"/>
        <w:left w:val="none" w:sz="0" w:space="0" w:color="auto"/>
        <w:bottom w:val="none" w:sz="0" w:space="0" w:color="auto"/>
        <w:right w:val="none" w:sz="0" w:space="0" w:color="auto"/>
      </w:divBdr>
    </w:div>
    <w:div w:id="983855323">
      <w:bodyDiv w:val="1"/>
      <w:marLeft w:val="0"/>
      <w:marRight w:val="0"/>
      <w:marTop w:val="0"/>
      <w:marBottom w:val="0"/>
      <w:divBdr>
        <w:top w:val="none" w:sz="0" w:space="0" w:color="auto"/>
        <w:left w:val="none" w:sz="0" w:space="0" w:color="auto"/>
        <w:bottom w:val="none" w:sz="0" w:space="0" w:color="auto"/>
        <w:right w:val="none" w:sz="0" w:space="0" w:color="auto"/>
      </w:divBdr>
    </w:div>
    <w:div w:id="989941605">
      <w:bodyDiv w:val="1"/>
      <w:marLeft w:val="0"/>
      <w:marRight w:val="0"/>
      <w:marTop w:val="0"/>
      <w:marBottom w:val="0"/>
      <w:divBdr>
        <w:top w:val="none" w:sz="0" w:space="0" w:color="auto"/>
        <w:left w:val="none" w:sz="0" w:space="0" w:color="auto"/>
        <w:bottom w:val="none" w:sz="0" w:space="0" w:color="auto"/>
        <w:right w:val="none" w:sz="0" w:space="0" w:color="auto"/>
      </w:divBdr>
    </w:div>
    <w:div w:id="997920894">
      <w:bodyDiv w:val="1"/>
      <w:marLeft w:val="0"/>
      <w:marRight w:val="0"/>
      <w:marTop w:val="0"/>
      <w:marBottom w:val="0"/>
      <w:divBdr>
        <w:top w:val="none" w:sz="0" w:space="0" w:color="auto"/>
        <w:left w:val="none" w:sz="0" w:space="0" w:color="auto"/>
        <w:bottom w:val="none" w:sz="0" w:space="0" w:color="auto"/>
        <w:right w:val="none" w:sz="0" w:space="0" w:color="auto"/>
      </w:divBdr>
    </w:div>
    <w:div w:id="1006323789">
      <w:bodyDiv w:val="1"/>
      <w:marLeft w:val="0"/>
      <w:marRight w:val="0"/>
      <w:marTop w:val="0"/>
      <w:marBottom w:val="0"/>
      <w:divBdr>
        <w:top w:val="none" w:sz="0" w:space="0" w:color="auto"/>
        <w:left w:val="none" w:sz="0" w:space="0" w:color="auto"/>
        <w:bottom w:val="none" w:sz="0" w:space="0" w:color="auto"/>
        <w:right w:val="none" w:sz="0" w:space="0" w:color="auto"/>
      </w:divBdr>
    </w:div>
    <w:div w:id="1023819436">
      <w:bodyDiv w:val="1"/>
      <w:marLeft w:val="0"/>
      <w:marRight w:val="0"/>
      <w:marTop w:val="0"/>
      <w:marBottom w:val="0"/>
      <w:divBdr>
        <w:top w:val="none" w:sz="0" w:space="0" w:color="auto"/>
        <w:left w:val="none" w:sz="0" w:space="0" w:color="auto"/>
        <w:bottom w:val="none" w:sz="0" w:space="0" w:color="auto"/>
        <w:right w:val="none" w:sz="0" w:space="0" w:color="auto"/>
      </w:divBdr>
    </w:div>
    <w:div w:id="1030187358">
      <w:bodyDiv w:val="1"/>
      <w:marLeft w:val="0"/>
      <w:marRight w:val="0"/>
      <w:marTop w:val="0"/>
      <w:marBottom w:val="0"/>
      <w:divBdr>
        <w:top w:val="none" w:sz="0" w:space="0" w:color="auto"/>
        <w:left w:val="none" w:sz="0" w:space="0" w:color="auto"/>
        <w:bottom w:val="none" w:sz="0" w:space="0" w:color="auto"/>
        <w:right w:val="none" w:sz="0" w:space="0" w:color="auto"/>
      </w:divBdr>
    </w:div>
    <w:div w:id="1044598717">
      <w:bodyDiv w:val="1"/>
      <w:marLeft w:val="0"/>
      <w:marRight w:val="0"/>
      <w:marTop w:val="0"/>
      <w:marBottom w:val="0"/>
      <w:divBdr>
        <w:top w:val="none" w:sz="0" w:space="0" w:color="auto"/>
        <w:left w:val="none" w:sz="0" w:space="0" w:color="auto"/>
        <w:bottom w:val="none" w:sz="0" w:space="0" w:color="auto"/>
        <w:right w:val="none" w:sz="0" w:space="0" w:color="auto"/>
      </w:divBdr>
    </w:div>
    <w:div w:id="1073772608">
      <w:bodyDiv w:val="1"/>
      <w:marLeft w:val="0"/>
      <w:marRight w:val="0"/>
      <w:marTop w:val="0"/>
      <w:marBottom w:val="0"/>
      <w:divBdr>
        <w:top w:val="none" w:sz="0" w:space="0" w:color="auto"/>
        <w:left w:val="none" w:sz="0" w:space="0" w:color="auto"/>
        <w:bottom w:val="none" w:sz="0" w:space="0" w:color="auto"/>
        <w:right w:val="none" w:sz="0" w:space="0" w:color="auto"/>
      </w:divBdr>
    </w:div>
    <w:div w:id="1079132283">
      <w:bodyDiv w:val="1"/>
      <w:marLeft w:val="0"/>
      <w:marRight w:val="0"/>
      <w:marTop w:val="0"/>
      <w:marBottom w:val="0"/>
      <w:divBdr>
        <w:top w:val="none" w:sz="0" w:space="0" w:color="auto"/>
        <w:left w:val="none" w:sz="0" w:space="0" w:color="auto"/>
        <w:bottom w:val="none" w:sz="0" w:space="0" w:color="auto"/>
        <w:right w:val="none" w:sz="0" w:space="0" w:color="auto"/>
      </w:divBdr>
    </w:div>
    <w:div w:id="1079407711">
      <w:bodyDiv w:val="1"/>
      <w:marLeft w:val="0"/>
      <w:marRight w:val="0"/>
      <w:marTop w:val="0"/>
      <w:marBottom w:val="0"/>
      <w:divBdr>
        <w:top w:val="none" w:sz="0" w:space="0" w:color="auto"/>
        <w:left w:val="none" w:sz="0" w:space="0" w:color="auto"/>
        <w:bottom w:val="none" w:sz="0" w:space="0" w:color="auto"/>
        <w:right w:val="none" w:sz="0" w:space="0" w:color="auto"/>
      </w:divBdr>
    </w:div>
    <w:div w:id="1097486469">
      <w:bodyDiv w:val="1"/>
      <w:marLeft w:val="0"/>
      <w:marRight w:val="0"/>
      <w:marTop w:val="0"/>
      <w:marBottom w:val="0"/>
      <w:divBdr>
        <w:top w:val="none" w:sz="0" w:space="0" w:color="auto"/>
        <w:left w:val="none" w:sz="0" w:space="0" w:color="auto"/>
        <w:bottom w:val="none" w:sz="0" w:space="0" w:color="auto"/>
        <w:right w:val="none" w:sz="0" w:space="0" w:color="auto"/>
      </w:divBdr>
    </w:div>
    <w:div w:id="1098217166">
      <w:bodyDiv w:val="1"/>
      <w:marLeft w:val="0"/>
      <w:marRight w:val="0"/>
      <w:marTop w:val="0"/>
      <w:marBottom w:val="0"/>
      <w:divBdr>
        <w:top w:val="none" w:sz="0" w:space="0" w:color="auto"/>
        <w:left w:val="none" w:sz="0" w:space="0" w:color="auto"/>
        <w:bottom w:val="none" w:sz="0" w:space="0" w:color="auto"/>
        <w:right w:val="none" w:sz="0" w:space="0" w:color="auto"/>
      </w:divBdr>
    </w:div>
    <w:div w:id="1104571700">
      <w:bodyDiv w:val="1"/>
      <w:marLeft w:val="0"/>
      <w:marRight w:val="0"/>
      <w:marTop w:val="0"/>
      <w:marBottom w:val="0"/>
      <w:divBdr>
        <w:top w:val="none" w:sz="0" w:space="0" w:color="auto"/>
        <w:left w:val="none" w:sz="0" w:space="0" w:color="auto"/>
        <w:bottom w:val="none" w:sz="0" w:space="0" w:color="auto"/>
        <w:right w:val="none" w:sz="0" w:space="0" w:color="auto"/>
      </w:divBdr>
    </w:div>
    <w:div w:id="1107776085">
      <w:bodyDiv w:val="1"/>
      <w:marLeft w:val="0"/>
      <w:marRight w:val="0"/>
      <w:marTop w:val="0"/>
      <w:marBottom w:val="0"/>
      <w:divBdr>
        <w:top w:val="none" w:sz="0" w:space="0" w:color="auto"/>
        <w:left w:val="none" w:sz="0" w:space="0" w:color="auto"/>
        <w:bottom w:val="none" w:sz="0" w:space="0" w:color="auto"/>
        <w:right w:val="none" w:sz="0" w:space="0" w:color="auto"/>
      </w:divBdr>
    </w:div>
    <w:div w:id="1110472281">
      <w:bodyDiv w:val="1"/>
      <w:marLeft w:val="0"/>
      <w:marRight w:val="0"/>
      <w:marTop w:val="0"/>
      <w:marBottom w:val="0"/>
      <w:divBdr>
        <w:top w:val="none" w:sz="0" w:space="0" w:color="auto"/>
        <w:left w:val="none" w:sz="0" w:space="0" w:color="auto"/>
        <w:bottom w:val="none" w:sz="0" w:space="0" w:color="auto"/>
        <w:right w:val="none" w:sz="0" w:space="0" w:color="auto"/>
      </w:divBdr>
    </w:div>
    <w:div w:id="1137990316">
      <w:bodyDiv w:val="1"/>
      <w:marLeft w:val="0"/>
      <w:marRight w:val="0"/>
      <w:marTop w:val="0"/>
      <w:marBottom w:val="0"/>
      <w:divBdr>
        <w:top w:val="none" w:sz="0" w:space="0" w:color="auto"/>
        <w:left w:val="none" w:sz="0" w:space="0" w:color="auto"/>
        <w:bottom w:val="none" w:sz="0" w:space="0" w:color="auto"/>
        <w:right w:val="none" w:sz="0" w:space="0" w:color="auto"/>
      </w:divBdr>
    </w:div>
    <w:div w:id="1140808538">
      <w:bodyDiv w:val="1"/>
      <w:marLeft w:val="0"/>
      <w:marRight w:val="0"/>
      <w:marTop w:val="0"/>
      <w:marBottom w:val="0"/>
      <w:divBdr>
        <w:top w:val="none" w:sz="0" w:space="0" w:color="auto"/>
        <w:left w:val="none" w:sz="0" w:space="0" w:color="auto"/>
        <w:bottom w:val="none" w:sz="0" w:space="0" w:color="auto"/>
        <w:right w:val="none" w:sz="0" w:space="0" w:color="auto"/>
      </w:divBdr>
    </w:div>
    <w:div w:id="1148595567">
      <w:bodyDiv w:val="1"/>
      <w:marLeft w:val="0"/>
      <w:marRight w:val="0"/>
      <w:marTop w:val="0"/>
      <w:marBottom w:val="0"/>
      <w:divBdr>
        <w:top w:val="none" w:sz="0" w:space="0" w:color="auto"/>
        <w:left w:val="none" w:sz="0" w:space="0" w:color="auto"/>
        <w:bottom w:val="none" w:sz="0" w:space="0" w:color="auto"/>
        <w:right w:val="none" w:sz="0" w:space="0" w:color="auto"/>
      </w:divBdr>
    </w:div>
    <w:div w:id="1150097851">
      <w:bodyDiv w:val="1"/>
      <w:marLeft w:val="0"/>
      <w:marRight w:val="0"/>
      <w:marTop w:val="0"/>
      <w:marBottom w:val="0"/>
      <w:divBdr>
        <w:top w:val="none" w:sz="0" w:space="0" w:color="auto"/>
        <w:left w:val="none" w:sz="0" w:space="0" w:color="auto"/>
        <w:bottom w:val="none" w:sz="0" w:space="0" w:color="auto"/>
        <w:right w:val="none" w:sz="0" w:space="0" w:color="auto"/>
      </w:divBdr>
    </w:div>
    <w:div w:id="1152134120">
      <w:bodyDiv w:val="1"/>
      <w:marLeft w:val="0"/>
      <w:marRight w:val="0"/>
      <w:marTop w:val="0"/>
      <w:marBottom w:val="0"/>
      <w:divBdr>
        <w:top w:val="none" w:sz="0" w:space="0" w:color="auto"/>
        <w:left w:val="none" w:sz="0" w:space="0" w:color="auto"/>
        <w:bottom w:val="none" w:sz="0" w:space="0" w:color="auto"/>
        <w:right w:val="none" w:sz="0" w:space="0" w:color="auto"/>
      </w:divBdr>
    </w:div>
    <w:div w:id="1154759332">
      <w:bodyDiv w:val="1"/>
      <w:marLeft w:val="0"/>
      <w:marRight w:val="0"/>
      <w:marTop w:val="0"/>
      <w:marBottom w:val="0"/>
      <w:divBdr>
        <w:top w:val="none" w:sz="0" w:space="0" w:color="auto"/>
        <w:left w:val="none" w:sz="0" w:space="0" w:color="auto"/>
        <w:bottom w:val="none" w:sz="0" w:space="0" w:color="auto"/>
        <w:right w:val="none" w:sz="0" w:space="0" w:color="auto"/>
      </w:divBdr>
    </w:div>
    <w:div w:id="1155873094">
      <w:bodyDiv w:val="1"/>
      <w:marLeft w:val="0"/>
      <w:marRight w:val="0"/>
      <w:marTop w:val="0"/>
      <w:marBottom w:val="0"/>
      <w:divBdr>
        <w:top w:val="none" w:sz="0" w:space="0" w:color="auto"/>
        <w:left w:val="none" w:sz="0" w:space="0" w:color="auto"/>
        <w:bottom w:val="none" w:sz="0" w:space="0" w:color="auto"/>
        <w:right w:val="none" w:sz="0" w:space="0" w:color="auto"/>
      </w:divBdr>
    </w:div>
    <w:div w:id="1156459952">
      <w:bodyDiv w:val="1"/>
      <w:marLeft w:val="0"/>
      <w:marRight w:val="0"/>
      <w:marTop w:val="0"/>
      <w:marBottom w:val="0"/>
      <w:divBdr>
        <w:top w:val="none" w:sz="0" w:space="0" w:color="auto"/>
        <w:left w:val="none" w:sz="0" w:space="0" w:color="auto"/>
        <w:bottom w:val="none" w:sz="0" w:space="0" w:color="auto"/>
        <w:right w:val="none" w:sz="0" w:space="0" w:color="auto"/>
      </w:divBdr>
    </w:div>
    <w:div w:id="1158762481">
      <w:bodyDiv w:val="1"/>
      <w:marLeft w:val="0"/>
      <w:marRight w:val="0"/>
      <w:marTop w:val="0"/>
      <w:marBottom w:val="0"/>
      <w:divBdr>
        <w:top w:val="none" w:sz="0" w:space="0" w:color="auto"/>
        <w:left w:val="none" w:sz="0" w:space="0" w:color="auto"/>
        <w:bottom w:val="none" w:sz="0" w:space="0" w:color="auto"/>
        <w:right w:val="none" w:sz="0" w:space="0" w:color="auto"/>
      </w:divBdr>
    </w:div>
    <w:div w:id="1174107070">
      <w:bodyDiv w:val="1"/>
      <w:marLeft w:val="0"/>
      <w:marRight w:val="0"/>
      <w:marTop w:val="0"/>
      <w:marBottom w:val="0"/>
      <w:divBdr>
        <w:top w:val="none" w:sz="0" w:space="0" w:color="auto"/>
        <w:left w:val="none" w:sz="0" w:space="0" w:color="auto"/>
        <w:bottom w:val="none" w:sz="0" w:space="0" w:color="auto"/>
        <w:right w:val="none" w:sz="0" w:space="0" w:color="auto"/>
      </w:divBdr>
    </w:div>
    <w:div w:id="1175191641">
      <w:bodyDiv w:val="1"/>
      <w:marLeft w:val="0"/>
      <w:marRight w:val="0"/>
      <w:marTop w:val="0"/>
      <w:marBottom w:val="0"/>
      <w:divBdr>
        <w:top w:val="none" w:sz="0" w:space="0" w:color="auto"/>
        <w:left w:val="none" w:sz="0" w:space="0" w:color="auto"/>
        <w:bottom w:val="none" w:sz="0" w:space="0" w:color="auto"/>
        <w:right w:val="none" w:sz="0" w:space="0" w:color="auto"/>
      </w:divBdr>
    </w:div>
    <w:div w:id="1180464818">
      <w:bodyDiv w:val="1"/>
      <w:marLeft w:val="0"/>
      <w:marRight w:val="0"/>
      <w:marTop w:val="0"/>
      <w:marBottom w:val="0"/>
      <w:divBdr>
        <w:top w:val="none" w:sz="0" w:space="0" w:color="auto"/>
        <w:left w:val="none" w:sz="0" w:space="0" w:color="auto"/>
        <w:bottom w:val="none" w:sz="0" w:space="0" w:color="auto"/>
        <w:right w:val="none" w:sz="0" w:space="0" w:color="auto"/>
      </w:divBdr>
    </w:div>
    <w:div w:id="1201934779">
      <w:bodyDiv w:val="1"/>
      <w:marLeft w:val="0"/>
      <w:marRight w:val="0"/>
      <w:marTop w:val="0"/>
      <w:marBottom w:val="0"/>
      <w:divBdr>
        <w:top w:val="none" w:sz="0" w:space="0" w:color="auto"/>
        <w:left w:val="none" w:sz="0" w:space="0" w:color="auto"/>
        <w:bottom w:val="none" w:sz="0" w:space="0" w:color="auto"/>
        <w:right w:val="none" w:sz="0" w:space="0" w:color="auto"/>
      </w:divBdr>
    </w:div>
    <w:div w:id="1203400300">
      <w:bodyDiv w:val="1"/>
      <w:marLeft w:val="0"/>
      <w:marRight w:val="0"/>
      <w:marTop w:val="0"/>
      <w:marBottom w:val="0"/>
      <w:divBdr>
        <w:top w:val="none" w:sz="0" w:space="0" w:color="auto"/>
        <w:left w:val="none" w:sz="0" w:space="0" w:color="auto"/>
        <w:bottom w:val="none" w:sz="0" w:space="0" w:color="auto"/>
        <w:right w:val="none" w:sz="0" w:space="0" w:color="auto"/>
      </w:divBdr>
    </w:div>
    <w:div w:id="1216624127">
      <w:bodyDiv w:val="1"/>
      <w:marLeft w:val="0"/>
      <w:marRight w:val="0"/>
      <w:marTop w:val="0"/>
      <w:marBottom w:val="0"/>
      <w:divBdr>
        <w:top w:val="none" w:sz="0" w:space="0" w:color="auto"/>
        <w:left w:val="none" w:sz="0" w:space="0" w:color="auto"/>
        <w:bottom w:val="none" w:sz="0" w:space="0" w:color="auto"/>
        <w:right w:val="none" w:sz="0" w:space="0" w:color="auto"/>
      </w:divBdr>
    </w:div>
    <w:div w:id="1217398718">
      <w:bodyDiv w:val="1"/>
      <w:marLeft w:val="0"/>
      <w:marRight w:val="0"/>
      <w:marTop w:val="0"/>
      <w:marBottom w:val="0"/>
      <w:divBdr>
        <w:top w:val="none" w:sz="0" w:space="0" w:color="auto"/>
        <w:left w:val="none" w:sz="0" w:space="0" w:color="auto"/>
        <w:bottom w:val="none" w:sz="0" w:space="0" w:color="auto"/>
        <w:right w:val="none" w:sz="0" w:space="0" w:color="auto"/>
      </w:divBdr>
    </w:div>
    <w:div w:id="1245339995">
      <w:bodyDiv w:val="1"/>
      <w:marLeft w:val="0"/>
      <w:marRight w:val="0"/>
      <w:marTop w:val="0"/>
      <w:marBottom w:val="0"/>
      <w:divBdr>
        <w:top w:val="none" w:sz="0" w:space="0" w:color="auto"/>
        <w:left w:val="none" w:sz="0" w:space="0" w:color="auto"/>
        <w:bottom w:val="none" w:sz="0" w:space="0" w:color="auto"/>
        <w:right w:val="none" w:sz="0" w:space="0" w:color="auto"/>
      </w:divBdr>
    </w:div>
    <w:div w:id="1248880047">
      <w:bodyDiv w:val="1"/>
      <w:marLeft w:val="0"/>
      <w:marRight w:val="0"/>
      <w:marTop w:val="0"/>
      <w:marBottom w:val="0"/>
      <w:divBdr>
        <w:top w:val="none" w:sz="0" w:space="0" w:color="auto"/>
        <w:left w:val="none" w:sz="0" w:space="0" w:color="auto"/>
        <w:bottom w:val="none" w:sz="0" w:space="0" w:color="auto"/>
        <w:right w:val="none" w:sz="0" w:space="0" w:color="auto"/>
      </w:divBdr>
    </w:div>
    <w:div w:id="1250850244">
      <w:bodyDiv w:val="1"/>
      <w:marLeft w:val="0"/>
      <w:marRight w:val="0"/>
      <w:marTop w:val="0"/>
      <w:marBottom w:val="0"/>
      <w:divBdr>
        <w:top w:val="none" w:sz="0" w:space="0" w:color="auto"/>
        <w:left w:val="none" w:sz="0" w:space="0" w:color="auto"/>
        <w:bottom w:val="none" w:sz="0" w:space="0" w:color="auto"/>
        <w:right w:val="none" w:sz="0" w:space="0" w:color="auto"/>
      </w:divBdr>
    </w:div>
    <w:div w:id="1256747359">
      <w:bodyDiv w:val="1"/>
      <w:marLeft w:val="0"/>
      <w:marRight w:val="0"/>
      <w:marTop w:val="0"/>
      <w:marBottom w:val="0"/>
      <w:divBdr>
        <w:top w:val="none" w:sz="0" w:space="0" w:color="auto"/>
        <w:left w:val="none" w:sz="0" w:space="0" w:color="auto"/>
        <w:bottom w:val="none" w:sz="0" w:space="0" w:color="auto"/>
        <w:right w:val="none" w:sz="0" w:space="0" w:color="auto"/>
      </w:divBdr>
    </w:div>
    <w:div w:id="1279876406">
      <w:bodyDiv w:val="1"/>
      <w:marLeft w:val="0"/>
      <w:marRight w:val="0"/>
      <w:marTop w:val="0"/>
      <w:marBottom w:val="0"/>
      <w:divBdr>
        <w:top w:val="none" w:sz="0" w:space="0" w:color="auto"/>
        <w:left w:val="none" w:sz="0" w:space="0" w:color="auto"/>
        <w:bottom w:val="none" w:sz="0" w:space="0" w:color="auto"/>
        <w:right w:val="none" w:sz="0" w:space="0" w:color="auto"/>
      </w:divBdr>
    </w:div>
    <w:div w:id="1296180574">
      <w:bodyDiv w:val="1"/>
      <w:marLeft w:val="0"/>
      <w:marRight w:val="0"/>
      <w:marTop w:val="0"/>
      <w:marBottom w:val="0"/>
      <w:divBdr>
        <w:top w:val="none" w:sz="0" w:space="0" w:color="auto"/>
        <w:left w:val="none" w:sz="0" w:space="0" w:color="auto"/>
        <w:bottom w:val="none" w:sz="0" w:space="0" w:color="auto"/>
        <w:right w:val="none" w:sz="0" w:space="0" w:color="auto"/>
      </w:divBdr>
    </w:div>
    <w:div w:id="1302266687">
      <w:bodyDiv w:val="1"/>
      <w:marLeft w:val="0"/>
      <w:marRight w:val="0"/>
      <w:marTop w:val="0"/>
      <w:marBottom w:val="0"/>
      <w:divBdr>
        <w:top w:val="none" w:sz="0" w:space="0" w:color="auto"/>
        <w:left w:val="none" w:sz="0" w:space="0" w:color="auto"/>
        <w:bottom w:val="none" w:sz="0" w:space="0" w:color="auto"/>
        <w:right w:val="none" w:sz="0" w:space="0" w:color="auto"/>
      </w:divBdr>
    </w:div>
    <w:div w:id="1302492883">
      <w:bodyDiv w:val="1"/>
      <w:marLeft w:val="0"/>
      <w:marRight w:val="0"/>
      <w:marTop w:val="0"/>
      <w:marBottom w:val="0"/>
      <w:divBdr>
        <w:top w:val="none" w:sz="0" w:space="0" w:color="auto"/>
        <w:left w:val="none" w:sz="0" w:space="0" w:color="auto"/>
        <w:bottom w:val="none" w:sz="0" w:space="0" w:color="auto"/>
        <w:right w:val="none" w:sz="0" w:space="0" w:color="auto"/>
      </w:divBdr>
    </w:div>
    <w:div w:id="1302811127">
      <w:bodyDiv w:val="1"/>
      <w:marLeft w:val="0"/>
      <w:marRight w:val="0"/>
      <w:marTop w:val="0"/>
      <w:marBottom w:val="0"/>
      <w:divBdr>
        <w:top w:val="none" w:sz="0" w:space="0" w:color="auto"/>
        <w:left w:val="none" w:sz="0" w:space="0" w:color="auto"/>
        <w:bottom w:val="none" w:sz="0" w:space="0" w:color="auto"/>
        <w:right w:val="none" w:sz="0" w:space="0" w:color="auto"/>
      </w:divBdr>
    </w:div>
    <w:div w:id="1317802213">
      <w:bodyDiv w:val="1"/>
      <w:marLeft w:val="0"/>
      <w:marRight w:val="0"/>
      <w:marTop w:val="0"/>
      <w:marBottom w:val="0"/>
      <w:divBdr>
        <w:top w:val="none" w:sz="0" w:space="0" w:color="auto"/>
        <w:left w:val="none" w:sz="0" w:space="0" w:color="auto"/>
        <w:bottom w:val="none" w:sz="0" w:space="0" w:color="auto"/>
        <w:right w:val="none" w:sz="0" w:space="0" w:color="auto"/>
      </w:divBdr>
    </w:div>
    <w:div w:id="1368338701">
      <w:bodyDiv w:val="1"/>
      <w:marLeft w:val="0"/>
      <w:marRight w:val="0"/>
      <w:marTop w:val="0"/>
      <w:marBottom w:val="0"/>
      <w:divBdr>
        <w:top w:val="none" w:sz="0" w:space="0" w:color="auto"/>
        <w:left w:val="none" w:sz="0" w:space="0" w:color="auto"/>
        <w:bottom w:val="none" w:sz="0" w:space="0" w:color="auto"/>
        <w:right w:val="none" w:sz="0" w:space="0" w:color="auto"/>
      </w:divBdr>
    </w:div>
    <w:div w:id="1375472092">
      <w:bodyDiv w:val="1"/>
      <w:marLeft w:val="0"/>
      <w:marRight w:val="0"/>
      <w:marTop w:val="0"/>
      <w:marBottom w:val="0"/>
      <w:divBdr>
        <w:top w:val="none" w:sz="0" w:space="0" w:color="auto"/>
        <w:left w:val="none" w:sz="0" w:space="0" w:color="auto"/>
        <w:bottom w:val="none" w:sz="0" w:space="0" w:color="auto"/>
        <w:right w:val="none" w:sz="0" w:space="0" w:color="auto"/>
      </w:divBdr>
    </w:div>
    <w:div w:id="1422336161">
      <w:bodyDiv w:val="1"/>
      <w:marLeft w:val="0"/>
      <w:marRight w:val="0"/>
      <w:marTop w:val="0"/>
      <w:marBottom w:val="0"/>
      <w:divBdr>
        <w:top w:val="none" w:sz="0" w:space="0" w:color="auto"/>
        <w:left w:val="none" w:sz="0" w:space="0" w:color="auto"/>
        <w:bottom w:val="none" w:sz="0" w:space="0" w:color="auto"/>
        <w:right w:val="none" w:sz="0" w:space="0" w:color="auto"/>
      </w:divBdr>
    </w:div>
    <w:div w:id="1427964960">
      <w:bodyDiv w:val="1"/>
      <w:marLeft w:val="0"/>
      <w:marRight w:val="0"/>
      <w:marTop w:val="0"/>
      <w:marBottom w:val="0"/>
      <w:divBdr>
        <w:top w:val="none" w:sz="0" w:space="0" w:color="auto"/>
        <w:left w:val="none" w:sz="0" w:space="0" w:color="auto"/>
        <w:bottom w:val="none" w:sz="0" w:space="0" w:color="auto"/>
        <w:right w:val="none" w:sz="0" w:space="0" w:color="auto"/>
      </w:divBdr>
    </w:div>
    <w:div w:id="1431587736">
      <w:bodyDiv w:val="1"/>
      <w:marLeft w:val="0"/>
      <w:marRight w:val="0"/>
      <w:marTop w:val="0"/>
      <w:marBottom w:val="0"/>
      <w:divBdr>
        <w:top w:val="none" w:sz="0" w:space="0" w:color="auto"/>
        <w:left w:val="none" w:sz="0" w:space="0" w:color="auto"/>
        <w:bottom w:val="none" w:sz="0" w:space="0" w:color="auto"/>
        <w:right w:val="none" w:sz="0" w:space="0" w:color="auto"/>
      </w:divBdr>
    </w:div>
    <w:div w:id="1442265616">
      <w:bodyDiv w:val="1"/>
      <w:marLeft w:val="0"/>
      <w:marRight w:val="0"/>
      <w:marTop w:val="0"/>
      <w:marBottom w:val="0"/>
      <w:divBdr>
        <w:top w:val="none" w:sz="0" w:space="0" w:color="auto"/>
        <w:left w:val="none" w:sz="0" w:space="0" w:color="auto"/>
        <w:bottom w:val="none" w:sz="0" w:space="0" w:color="auto"/>
        <w:right w:val="none" w:sz="0" w:space="0" w:color="auto"/>
      </w:divBdr>
    </w:div>
    <w:div w:id="1443038157">
      <w:bodyDiv w:val="1"/>
      <w:marLeft w:val="0"/>
      <w:marRight w:val="0"/>
      <w:marTop w:val="0"/>
      <w:marBottom w:val="0"/>
      <w:divBdr>
        <w:top w:val="none" w:sz="0" w:space="0" w:color="auto"/>
        <w:left w:val="none" w:sz="0" w:space="0" w:color="auto"/>
        <w:bottom w:val="none" w:sz="0" w:space="0" w:color="auto"/>
        <w:right w:val="none" w:sz="0" w:space="0" w:color="auto"/>
      </w:divBdr>
    </w:div>
    <w:div w:id="1471749524">
      <w:bodyDiv w:val="1"/>
      <w:marLeft w:val="0"/>
      <w:marRight w:val="0"/>
      <w:marTop w:val="0"/>
      <w:marBottom w:val="0"/>
      <w:divBdr>
        <w:top w:val="none" w:sz="0" w:space="0" w:color="auto"/>
        <w:left w:val="none" w:sz="0" w:space="0" w:color="auto"/>
        <w:bottom w:val="none" w:sz="0" w:space="0" w:color="auto"/>
        <w:right w:val="none" w:sz="0" w:space="0" w:color="auto"/>
      </w:divBdr>
    </w:div>
    <w:div w:id="1479541171">
      <w:bodyDiv w:val="1"/>
      <w:marLeft w:val="0"/>
      <w:marRight w:val="0"/>
      <w:marTop w:val="0"/>
      <w:marBottom w:val="0"/>
      <w:divBdr>
        <w:top w:val="none" w:sz="0" w:space="0" w:color="auto"/>
        <w:left w:val="none" w:sz="0" w:space="0" w:color="auto"/>
        <w:bottom w:val="none" w:sz="0" w:space="0" w:color="auto"/>
        <w:right w:val="none" w:sz="0" w:space="0" w:color="auto"/>
      </w:divBdr>
    </w:div>
    <w:div w:id="1487937020">
      <w:bodyDiv w:val="1"/>
      <w:marLeft w:val="0"/>
      <w:marRight w:val="0"/>
      <w:marTop w:val="0"/>
      <w:marBottom w:val="0"/>
      <w:divBdr>
        <w:top w:val="none" w:sz="0" w:space="0" w:color="auto"/>
        <w:left w:val="none" w:sz="0" w:space="0" w:color="auto"/>
        <w:bottom w:val="none" w:sz="0" w:space="0" w:color="auto"/>
        <w:right w:val="none" w:sz="0" w:space="0" w:color="auto"/>
      </w:divBdr>
    </w:div>
    <w:div w:id="1501850955">
      <w:bodyDiv w:val="1"/>
      <w:marLeft w:val="0"/>
      <w:marRight w:val="0"/>
      <w:marTop w:val="0"/>
      <w:marBottom w:val="0"/>
      <w:divBdr>
        <w:top w:val="none" w:sz="0" w:space="0" w:color="auto"/>
        <w:left w:val="none" w:sz="0" w:space="0" w:color="auto"/>
        <w:bottom w:val="none" w:sz="0" w:space="0" w:color="auto"/>
        <w:right w:val="none" w:sz="0" w:space="0" w:color="auto"/>
      </w:divBdr>
    </w:div>
    <w:div w:id="1510634550">
      <w:bodyDiv w:val="1"/>
      <w:marLeft w:val="0"/>
      <w:marRight w:val="0"/>
      <w:marTop w:val="0"/>
      <w:marBottom w:val="0"/>
      <w:divBdr>
        <w:top w:val="none" w:sz="0" w:space="0" w:color="auto"/>
        <w:left w:val="none" w:sz="0" w:space="0" w:color="auto"/>
        <w:bottom w:val="none" w:sz="0" w:space="0" w:color="auto"/>
        <w:right w:val="none" w:sz="0" w:space="0" w:color="auto"/>
      </w:divBdr>
    </w:div>
    <w:div w:id="1511025443">
      <w:bodyDiv w:val="1"/>
      <w:marLeft w:val="0"/>
      <w:marRight w:val="0"/>
      <w:marTop w:val="0"/>
      <w:marBottom w:val="0"/>
      <w:divBdr>
        <w:top w:val="none" w:sz="0" w:space="0" w:color="auto"/>
        <w:left w:val="none" w:sz="0" w:space="0" w:color="auto"/>
        <w:bottom w:val="none" w:sz="0" w:space="0" w:color="auto"/>
        <w:right w:val="none" w:sz="0" w:space="0" w:color="auto"/>
      </w:divBdr>
    </w:div>
    <w:div w:id="1517039000">
      <w:bodyDiv w:val="1"/>
      <w:marLeft w:val="0"/>
      <w:marRight w:val="0"/>
      <w:marTop w:val="0"/>
      <w:marBottom w:val="0"/>
      <w:divBdr>
        <w:top w:val="none" w:sz="0" w:space="0" w:color="auto"/>
        <w:left w:val="none" w:sz="0" w:space="0" w:color="auto"/>
        <w:bottom w:val="none" w:sz="0" w:space="0" w:color="auto"/>
        <w:right w:val="none" w:sz="0" w:space="0" w:color="auto"/>
      </w:divBdr>
    </w:div>
    <w:div w:id="1534807860">
      <w:bodyDiv w:val="1"/>
      <w:marLeft w:val="0"/>
      <w:marRight w:val="0"/>
      <w:marTop w:val="0"/>
      <w:marBottom w:val="0"/>
      <w:divBdr>
        <w:top w:val="none" w:sz="0" w:space="0" w:color="auto"/>
        <w:left w:val="none" w:sz="0" w:space="0" w:color="auto"/>
        <w:bottom w:val="none" w:sz="0" w:space="0" w:color="auto"/>
        <w:right w:val="none" w:sz="0" w:space="0" w:color="auto"/>
      </w:divBdr>
    </w:div>
    <w:div w:id="1541479995">
      <w:bodyDiv w:val="1"/>
      <w:marLeft w:val="0"/>
      <w:marRight w:val="0"/>
      <w:marTop w:val="0"/>
      <w:marBottom w:val="0"/>
      <w:divBdr>
        <w:top w:val="none" w:sz="0" w:space="0" w:color="auto"/>
        <w:left w:val="none" w:sz="0" w:space="0" w:color="auto"/>
        <w:bottom w:val="none" w:sz="0" w:space="0" w:color="auto"/>
        <w:right w:val="none" w:sz="0" w:space="0" w:color="auto"/>
      </w:divBdr>
    </w:div>
    <w:div w:id="1546483901">
      <w:bodyDiv w:val="1"/>
      <w:marLeft w:val="0"/>
      <w:marRight w:val="0"/>
      <w:marTop w:val="0"/>
      <w:marBottom w:val="0"/>
      <w:divBdr>
        <w:top w:val="none" w:sz="0" w:space="0" w:color="auto"/>
        <w:left w:val="none" w:sz="0" w:space="0" w:color="auto"/>
        <w:bottom w:val="none" w:sz="0" w:space="0" w:color="auto"/>
        <w:right w:val="none" w:sz="0" w:space="0" w:color="auto"/>
      </w:divBdr>
    </w:div>
    <w:div w:id="1550385964">
      <w:bodyDiv w:val="1"/>
      <w:marLeft w:val="0"/>
      <w:marRight w:val="0"/>
      <w:marTop w:val="0"/>
      <w:marBottom w:val="0"/>
      <w:divBdr>
        <w:top w:val="none" w:sz="0" w:space="0" w:color="auto"/>
        <w:left w:val="none" w:sz="0" w:space="0" w:color="auto"/>
        <w:bottom w:val="none" w:sz="0" w:space="0" w:color="auto"/>
        <w:right w:val="none" w:sz="0" w:space="0" w:color="auto"/>
      </w:divBdr>
    </w:div>
    <w:div w:id="1565287472">
      <w:bodyDiv w:val="1"/>
      <w:marLeft w:val="0"/>
      <w:marRight w:val="0"/>
      <w:marTop w:val="0"/>
      <w:marBottom w:val="0"/>
      <w:divBdr>
        <w:top w:val="none" w:sz="0" w:space="0" w:color="auto"/>
        <w:left w:val="none" w:sz="0" w:space="0" w:color="auto"/>
        <w:bottom w:val="none" w:sz="0" w:space="0" w:color="auto"/>
        <w:right w:val="none" w:sz="0" w:space="0" w:color="auto"/>
      </w:divBdr>
    </w:div>
    <w:div w:id="1573852465">
      <w:bodyDiv w:val="1"/>
      <w:marLeft w:val="0"/>
      <w:marRight w:val="0"/>
      <w:marTop w:val="0"/>
      <w:marBottom w:val="0"/>
      <w:divBdr>
        <w:top w:val="none" w:sz="0" w:space="0" w:color="auto"/>
        <w:left w:val="none" w:sz="0" w:space="0" w:color="auto"/>
        <w:bottom w:val="none" w:sz="0" w:space="0" w:color="auto"/>
        <w:right w:val="none" w:sz="0" w:space="0" w:color="auto"/>
      </w:divBdr>
    </w:div>
    <w:div w:id="1579292029">
      <w:bodyDiv w:val="1"/>
      <w:marLeft w:val="0"/>
      <w:marRight w:val="0"/>
      <w:marTop w:val="0"/>
      <w:marBottom w:val="0"/>
      <w:divBdr>
        <w:top w:val="none" w:sz="0" w:space="0" w:color="auto"/>
        <w:left w:val="none" w:sz="0" w:space="0" w:color="auto"/>
        <w:bottom w:val="none" w:sz="0" w:space="0" w:color="auto"/>
        <w:right w:val="none" w:sz="0" w:space="0" w:color="auto"/>
      </w:divBdr>
    </w:div>
    <w:div w:id="1599097092">
      <w:bodyDiv w:val="1"/>
      <w:marLeft w:val="0"/>
      <w:marRight w:val="0"/>
      <w:marTop w:val="0"/>
      <w:marBottom w:val="0"/>
      <w:divBdr>
        <w:top w:val="none" w:sz="0" w:space="0" w:color="auto"/>
        <w:left w:val="none" w:sz="0" w:space="0" w:color="auto"/>
        <w:bottom w:val="none" w:sz="0" w:space="0" w:color="auto"/>
        <w:right w:val="none" w:sz="0" w:space="0" w:color="auto"/>
      </w:divBdr>
    </w:div>
    <w:div w:id="1602683425">
      <w:bodyDiv w:val="1"/>
      <w:marLeft w:val="0"/>
      <w:marRight w:val="0"/>
      <w:marTop w:val="0"/>
      <w:marBottom w:val="0"/>
      <w:divBdr>
        <w:top w:val="none" w:sz="0" w:space="0" w:color="auto"/>
        <w:left w:val="none" w:sz="0" w:space="0" w:color="auto"/>
        <w:bottom w:val="none" w:sz="0" w:space="0" w:color="auto"/>
        <w:right w:val="none" w:sz="0" w:space="0" w:color="auto"/>
      </w:divBdr>
    </w:div>
    <w:div w:id="1611670387">
      <w:bodyDiv w:val="1"/>
      <w:marLeft w:val="0"/>
      <w:marRight w:val="0"/>
      <w:marTop w:val="0"/>
      <w:marBottom w:val="0"/>
      <w:divBdr>
        <w:top w:val="none" w:sz="0" w:space="0" w:color="auto"/>
        <w:left w:val="none" w:sz="0" w:space="0" w:color="auto"/>
        <w:bottom w:val="none" w:sz="0" w:space="0" w:color="auto"/>
        <w:right w:val="none" w:sz="0" w:space="0" w:color="auto"/>
      </w:divBdr>
    </w:div>
    <w:div w:id="1612126916">
      <w:bodyDiv w:val="1"/>
      <w:marLeft w:val="0"/>
      <w:marRight w:val="0"/>
      <w:marTop w:val="0"/>
      <w:marBottom w:val="0"/>
      <w:divBdr>
        <w:top w:val="none" w:sz="0" w:space="0" w:color="auto"/>
        <w:left w:val="none" w:sz="0" w:space="0" w:color="auto"/>
        <w:bottom w:val="none" w:sz="0" w:space="0" w:color="auto"/>
        <w:right w:val="none" w:sz="0" w:space="0" w:color="auto"/>
      </w:divBdr>
    </w:div>
    <w:div w:id="1617637608">
      <w:bodyDiv w:val="1"/>
      <w:marLeft w:val="0"/>
      <w:marRight w:val="0"/>
      <w:marTop w:val="0"/>
      <w:marBottom w:val="0"/>
      <w:divBdr>
        <w:top w:val="none" w:sz="0" w:space="0" w:color="auto"/>
        <w:left w:val="none" w:sz="0" w:space="0" w:color="auto"/>
        <w:bottom w:val="none" w:sz="0" w:space="0" w:color="auto"/>
        <w:right w:val="none" w:sz="0" w:space="0" w:color="auto"/>
      </w:divBdr>
    </w:div>
    <w:div w:id="1639266037">
      <w:bodyDiv w:val="1"/>
      <w:marLeft w:val="0"/>
      <w:marRight w:val="0"/>
      <w:marTop w:val="0"/>
      <w:marBottom w:val="0"/>
      <w:divBdr>
        <w:top w:val="none" w:sz="0" w:space="0" w:color="auto"/>
        <w:left w:val="none" w:sz="0" w:space="0" w:color="auto"/>
        <w:bottom w:val="none" w:sz="0" w:space="0" w:color="auto"/>
        <w:right w:val="none" w:sz="0" w:space="0" w:color="auto"/>
      </w:divBdr>
    </w:div>
    <w:div w:id="1639917398">
      <w:bodyDiv w:val="1"/>
      <w:marLeft w:val="0"/>
      <w:marRight w:val="0"/>
      <w:marTop w:val="0"/>
      <w:marBottom w:val="0"/>
      <w:divBdr>
        <w:top w:val="none" w:sz="0" w:space="0" w:color="auto"/>
        <w:left w:val="none" w:sz="0" w:space="0" w:color="auto"/>
        <w:bottom w:val="none" w:sz="0" w:space="0" w:color="auto"/>
        <w:right w:val="none" w:sz="0" w:space="0" w:color="auto"/>
      </w:divBdr>
    </w:div>
    <w:div w:id="1641422799">
      <w:bodyDiv w:val="1"/>
      <w:marLeft w:val="0"/>
      <w:marRight w:val="0"/>
      <w:marTop w:val="0"/>
      <w:marBottom w:val="0"/>
      <w:divBdr>
        <w:top w:val="none" w:sz="0" w:space="0" w:color="auto"/>
        <w:left w:val="none" w:sz="0" w:space="0" w:color="auto"/>
        <w:bottom w:val="none" w:sz="0" w:space="0" w:color="auto"/>
        <w:right w:val="none" w:sz="0" w:space="0" w:color="auto"/>
      </w:divBdr>
    </w:div>
    <w:div w:id="1646465625">
      <w:bodyDiv w:val="1"/>
      <w:marLeft w:val="0"/>
      <w:marRight w:val="0"/>
      <w:marTop w:val="0"/>
      <w:marBottom w:val="0"/>
      <w:divBdr>
        <w:top w:val="none" w:sz="0" w:space="0" w:color="auto"/>
        <w:left w:val="none" w:sz="0" w:space="0" w:color="auto"/>
        <w:bottom w:val="none" w:sz="0" w:space="0" w:color="auto"/>
        <w:right w:val="none" w:sz="0" w:space="0" w:color="auto"/>
      </w:divBdr>
    </w:div>
    <w:div w:id="1649356351">
      <w:bodyDiv w:val="1"/>
      <w:marLeft w:val="0"/>
      <w:marRight w:val="0"/>
      <w:marTop w:val="0"/>
      <w:marBottom w:val="0"/>
      <w:divBdr>
        <w:top w:val="none" w:sz="0" w:space="0" w:color="auto"/>
        <w:left w:val="none" w:sz="0" w:space="0" w:color="auto"/>
        <w:bottom w:val="none" w:sz="0" w:space="0" w:color="auto"/>
        <w:right w:val="none" w:sz="0" w:space="0" w:color="auto"/>
      </w:divBdr>
    </w:div>
    <w:div w:id="1661234999">
      <w:bodyDiv w:val="1"/>
      <w:marLeft w:val="0"/>
      <w:marRight w:val="0"/>
      <w:marTop w:val="0"/>
      <w:marBottom w:val="0"/>
      <w:divBdr>
        <w:top w:val="none" w:sz="0" w:space="0" w:color="auto"/>
        <w:left w:val="none" w:sz="0" w:space="0" w:color="auto"/>
        <w:bottom w:val="none" w:sz="0" w:space="0" w:color="auto"/>
        <w:right w:val="none" w:sz="0" w:space="0" w:color="auto"/>
      </w:divBdr>
    </w:div>
    <w:div w:id="1666589315">
      <w:bodyDiv w:val="1"/>
      <w:marLeft w:val="0"/>
      <w:marRight w:val="0"/>
      <w:marTop w:val="0"/>
      <w:marBottom w:val="0"/>
      <w:divBdr>
        <w:top w:val="none" w:sz="0" w:space="0" w:color="auto"/>
        <w:left w:val="none" w:sz="0" w:space="0" w:color="auto"/>
        <w:bottom w:val="none" w:sz="0" w:space="0" w:color="auto"/>
        <w:right w:val="none" w:sz="0" w:space="0" w:color="auto"/>
      </w:divBdr>
    </w:div>
    <w:div w:id="1673411966">
      <w:bodyDiv w:val="1"/>
      <w:marLeft w:val="0"/>
      <w:marRight w:val="0"/>
      <w:marTop w:val="0"/>
      <w:marBottom w:val="0"/>
      <w:divBdr>
        <w:top w:val="none" w:sz="0" w:space="0" w:color="auto"/>
        <w:left w:val="none" w:sz="0" w:space="0" w:color="auto"/>
        <w:bottom w:val="none" w:sz="0" w:space="0" w:color="auto"/>
        <w:right w:val="none" w:sz="0" w:space="0" w:color="auto"/>
      </w:divBdr>
    </w:div>
    <w:div w:id="1673873703">
      <w:bodyDiv w:val="1"/>
      <w:marLeft w:val="0"/>
      <w:marRight w:val="0"/>
      <w:marTop w:val="0"/>
      <w:marBottom w:val="0"/>
      <w:divBdr>
        <w:top w:val="none" w:sz="0" w:space="0" w:color="auto"/>
        <w:left w:val="none" w:sz="0" w:space="0" w:color="auto"/>
        <w:bottom w:val="none" w:sz="0" w:space="0" w:color="auto"/>
        <w:right w:val="none" w:sz="0" w:space="0" w:color="auto"/>
      </w:divBdr>
    </w:div>
    <w:div w:id="1678192315">
      <w:bodyDiv w:val="1"/>
      <w:marLeft w:val="0"/>
      <w:marRight w:val="0"/>
      <w:marTop w:val="0"/>
      <w:marBottom w:val="0"/>
      <w:divBdr>
        <w:top w:val="none" w:sz="0" w:space="0" w:color="auto"/>
        <w:left w:val="none" w:sz="0" w:space="0" w:color="auto"/>
        <w:bottom w:val="none" w:sz="0" w:space="0" w:color="auto"/>
        <w:right w:val="none" w:sz="0" w:space="0" w:color="auto"/>
      </w:divBdr>
    </w:div>
    <w:div w:id="1704214059">
      <w:bodyDiv w:val="1"/>
      <w:marLeft w:val="0"/>
      <w:marRight w:val="0"/>
      <w:marTop w:val="0"/>
      <w:marBottom w:val="0"/>
      <w:divBdr>
        <w:top w:val="none" w:sz="0" w:space="0" w:color="auto"/>
        <w:left w:val="none" w:sz="0" w:space="0" w:color="auto"/>
        <w:bottom w:val="none" w:sz="0" w:space="0" w:color="auto"/>
        <w:right w:val="none" w:sz="0" w:space="0" w:color="auto"/>
      </w:divBdr>
    </w:div>
    <w:div w:id="1731348577">
      <w:bodyDiv w:val="1"/>
      <w:marLeft w:val="0"/>
      <w:marRight w:val="0"/>
      <w:marTop w:val="0"/>
      <w:marBottom w:val="0"/>
      <w:divBdr>
        <w:top w:val="none" w:sz="0" w:space="0" w:color="auto"/>
        <w:left w:val="none" w:sz="0" w:space="0" w:color="auto"/>
        <w:bottom w:val="none" w:sz="0" w:space="0" w:color="auto"/>
        <w:right w:val="none" w:sz="0" w:space="0" w:color="auto"/>
      </w:divBdr>
    </w:div>
    <w:div w:id="1742020880">
      <w:bodyDiv w:val="1"/>
      <w:marLeft w:val="0"/>
      <w:marRight w:val="0"/>
      <w:marTop w:val="0"/>
      <w:marBottom w:val="0"/>
      <w:divBdr>
        <w:top w:val="none" w:sz="0" w:space="0" w:color="auto"/>
        <w:left w:val="none" w:sz="0" w:space="0" w:color="auto"/>
        <w:bottom w:val="none" w:sz="0" w:space="0" w:color="auto"/>
        <w:right w:val="none" w:sz="0" w:space="0" w:color="auto"/>
      </w:divBdr>
    </w:div>
    <w:div w:id="1746100677">
      <w:bodyDiv w:val="1"/>
      <w:marLeft w:val="0"/>
      <w:marRight w:val="0"/>
      <w:marTop w:val="0"/>
      <w:marBottom w:val="0"/>
      <w:divBdr>
        <w:top w:val="none" w:sz="0" w:space="0" w:color="auto"/>
        <w:left w:val="none" w:sz="0" w:space="0" w:color="auto"/>
        <w:bottom w:val="none" w:sz="0" w:space="0" w:color="auto"/>
        <w:right w:val="none" w:sz="0" w:space="0" w:color="auto"/>
      </w:divBdr>
    </w:div>
    <w:div w:id="1792819366">
      <w:bodyDiv w:val="1"/>
      <w:marLeft w:val="0"/>
      <w:marRight w:val="0"/>
      <w:marTop w:val="0"/>
      <w:marBottom w:val="0"/>
      <w:divBdr>
        <w:top w:val="none" w:sz="0" w:space="0" w:color="auto"/>
        <w:left w:val="none" w:sz="0" w:space="0" w:color="auto"/>
        <w:bottom w:val="none" w:sz="0" w:space="0" w:color="auto"/>
        <w:right w:val="none" w:sz="0" w:space="0" w:color="auto"/>
      </w:divBdr>
    </w:div>
    <w:div w:id="1793549161">
      <w:bodyDiv w:val="1"/>
      <w:marLeft w:val="0"/>
      <w:marRight w:val="0"/>
      <w:marTop w:val="0"/>
      <w:marBottom w:val="0"/>
      <w:divBdr>
        <w:top w:val="none" w:sz="0" w:space="0" w:color="auto"/>
        <w:left w:val="none" w:sz="0" w:space="0" w:color="auto"/>
        <w:bottom w:val="none" w:sz="0" w:space="0" w:color="auto"/>
        <w:right w:val="none" w:sz="0" w:space="0" w:color="auto"/>
      </w:divBdr>
    </w:div>
    <w:div w:id="1794596343">
      <w:bodyDiv w:val="1"/>
      <w:marLeft w:val="0"/>
      <w:marRight w:val="0"/>
      <w:marTop w:val="0"/>
      <w:marBottom w:val="0"/>
      <w:divBdr>
        <w:top w:val="none" w:sz="0" w:space="0" w:color="auto"/>
        <w:left w:val="none" w:sz="0" w:space="0" w:color="auto"/>
        <w:bottom w:val="none" w:sz="0" w:space="0" w:color="auto"/>
        <w:right w:val="none" w:sz="0" w:space="0" w:color="auto"/>
      </w:divBdr>
    </w:div>
    <w:div w:id="1841461838">
      <w:bodyDiv w:val="1"/>
      <w:marLeft w:val="0"/>
      <w:marRight w:val="0"/>
      <w:marTop w:val="0"/>
      <w:marBottom w:val="0"/>
      <w:divBdr>
        <w:top w:val="none" w:sz="0" w:space="0" w:color="auto"/>
        <w:left w:val="none" w:sz="0" w:space="0" w:color="auto"/>
        <w:bottom w:val="none" w:sz="0" w:space="0" w:color="auto"/>
        <w:right w:val="none" w:sz="0" w:space="0" w:color="auto"/>
      </w:divBdr>
    </w:div>
    <w:div w:id="1846088034">
      <w:bodyDiv w:val="1"/>
      <w:marLeft w:val="0"/>
      <w:marRight w:val="0"/>
      <w:marTop w:val="0"/>
      <w:marBottom w:val="0"/>
      <w:divBdr>
        <w:top w:val="none" w:sz="0" w:space="0" w:color="auto"/>
        <w:left w:val="none" w:sz="0" w:space="0" w:color="auto"/>
        <w:bottom w:val="none" w:sz="0" w:space="0" w:color="auto"/>
        <w:right w:val="none" w:sz="0" w:space="0" w:color="auto"/>
      </w:divBdr>
    </w:div>
    <w:div w:id="1871722278">
      <w:bodyDiv w:val="1"/>
      <w:marLeft w:val="0"/>
      <w:marRight w:val="0"/>
      <w:marTop w:val="0"/>
      <w:marBottom w:val="0"/>
      <w:divBdr>
        <w:top w:val="none" w:sz="0" w:space="0" w:color="auto"/>
        <w:left w:val="none" w:sz="0" w:space="0" w:color="auto"/>
        <w:bottom w:val="none" w:sz="0" w:space="0" w:color="auto"/>
        <w:right w:val="none" w:sz="0" w:space="0" w:color="auto"/>
      </w:divBdr>
    </w:div>
    <w:div w:id="1872263212">
      <w:bodyDiv w:val="1"/>
      <w:marLeft w:val="0"/>
      <w:marRight w:val="0"/>
      <w:marTop w:val="0"/>
      <w:marBottom w:val="0"/>
      <w:divBdr>
        <w:top w:val="none" w:sz="0" w:space="0" w:color="auto"/>
        <w:left w:val="none" w:sz="0" w:space="0" w:color="auto"/>
        <w:bottom w:val="none" w:sz="0" w:space="0" w:color="auto"/>
        <w:right w:val="none" w:sz="0" w:space="0" w:color="auto"/>
      </w:divBdr>
    </w:div>
    <w:div w:id="1873374947">
      <w:bodyDiv w:val="1"/>
      <w:marLeft w:val="0"/>
      <w:marRight w:val="0"/>
      <w:marTop w:val="0"/>
      <w:marBottom w:val="0"/>
      <w:divBdr>
        <w:top w:val="none" w:sz="0" w:space="0" w:color="auto"/>
        <w:left w:val="none" w:sz="0" w:space="0" w:color="auto"/>
        <w:bottom w:val="none" w:sz="0" w:space="0" w:color="auto"/>
        <w:right w:val="none" w:sz="0" w:space="0" w:color="auto"/>
      </w:divBdr>
    </w:div>
    <w:div w:id="1879203584">
      <w:bodyDiv w:val="1"/>
      <w:marLeft w:val="0"/>
      <w:marRight w:val="0"/>
      <w:marTop w:val="0"/>
      <w:marBottom w:val="0"/>
      <w:divBdr>
        <w:top w:val="none" w:sz="0" w:space="0" w:color="auto"/>
        <w:left w:val="none" w:sz="0" w:space="0" w:color="auto"/>
        <w:bottom w:val="none" w:sz="0" w:space="0" w:color="auto"/>
        <w:right w:val="none" w:sz="0" w:space="0" w:color="auto"/>
      </w:divBdr>
    </w:div>
    <w:div w:id="1881235650">
      <w:bodyDiv w:val="1"/>
      <w:marLeft w:val="0"/>
      <w:marRight w:val="0"/>
      <w:marTop w:val="0"/>
      <w:marBottom w:val="0"/>
      <w:divBdr>
        <w:top w:val="none" w:sz="0" w:space="0" w:color="auto"/>
        <w:left w:val="none" w:sz="0" w:space="0" w:color="auto"/>
        <w:bottom w:val="none" w:sz="0" w:space="0" w:color="auto"/>
        <w:right w:val="none" w:sz="0" w:space="0" w:color="auto"/>
      </w:divBdr>
    </w:div>
    <w:div w:id="1887913498">
      <w:bodyDiv w:val="1"/>
      <w:marLeft w:val="0"/>
      <w:marRight w:val="0"/>
      <w:marTop w:val="0"/>
      <w:marBottom w:val="0"/>
      <w:divBdr>
        <w:top w:val="none" w:sz="0" w:space="0" w:color="auto"/>
        <w:left w:val="none" w:sz="0" w:space="0" w:color="auto"/>
        <w:bottom w:val="none" w:sz="0" w:space="0" w:color="auto"/>
        <w:right w:val="none" w:sz="0" w:space="0" w:color="auto"/>
      </w:divBdr>
    </w:div>
    <w:div w:id="1894732693">
      <w:bodyDiv w:val="1"/>
      <w:marLeft w:val="0"/>
      <w:marRight w:val="0"/>
      <w:marTop w:val="0"/>
      <w:marBottom w:val="0"/>
      <w:divBdr>
        <w:top w:val="none" w:sz="0" w:space="0" w:color="auto"/>
        <w:left w:val="none" w:sz="0" w:space="0" w:color="auto"/>
        <w:bottom w:val="none" w:sz="0" w:space="0" w:color="auto"/>
        <w:right w:val="none" w:sz="0" w:space="0" w:color="auto"/>
      </w:divBdr>
    </w:div>
    <w:div w:id="1910114585">
      <w:bodyDiv w:val="1"/>
      <w:marLeft w:val="0"/>
      <w:marRight w:val="0"/>
      <w:marTop w:val="0"/>
      <w:marBottom w:val="0"/>
      <w:divBdr>
        <w:top w:val="none" w:sz="0" w:space="0" w:color="auto"/>
        <w:left w:val="none" w:sz="0" w:space="0" w:color="auto"/>
        <w:bottom w:val="none" w:sz="0" w:space="0" w:color="auto"/>
        <w:right w:val="none" w:sz="0" w:space="0" w:color="auto"/>
      </w:divBdr>
    </w:div>
    <w:div w:id="1937667358">
      <w:bodyDiv w:val="1"/>
      <w:marLeft w:val="0"/>
      <w:marRight w:val="0"/>
      <w:marTop w:val="0"/>
      <w:marBottom w:val="0"/>
      <w:divBdr>
        <w:top w:val="none" w:sz="0" w:space="0" w:color="auto"/>
        <w:left w:val="none" w:sz="0" w:space="0" w:color="auto"/>
        <w:bottom w:val="none" w:sz="0" w:space="0" w:color="auto"/>
        <w:right w:val="none" w:sz="0" w:space="0" w:color="auto"/>
      </w:divBdr>
    </w:div>
    <w:div w:id="1944921100">
      <w:bodyDiv w:val="1"/>
      <w:marLeft w:val="0"/>
      <w:marRight w:val="0"/>
      <w:marTop w:val="0"/>
      <w:marBottom w:val="0"/>
      <w:divBdr>
        <w:top w:val="none" w:sz="0" w:space="0" w:color="auto"/>
        <w:left w:val="none" w:sz="0" w:space="0" w:color="auto"/>
        <w:bottom w:val="none" w:sz="0" w:space="0" w:color="auto"/>
        <w:right w:val="none" w:sz="0" w:space="0" w:color="auto"/>
      </w:divBdr>
    </w:div>
    <w:div w:id="1950964677">
      <w:bodyDiv w:val="1"/>
      <w:marLeft w:val="0"/>
      <w:marRight w:val="0"/>
      <w:marTop w:val="0"/>
      <w:marBottom w:val="0"/>
      <w:divBdr>
        <w:top w:val="none" w:sz="0" w:space="0" w:color="auto"/>
        <w:left w:val="none" w:sz="0" w:space="0" w:color="auto"/>
        <w:bottom w:val="none" w:sz="0" w:space="0" w:color="auto"/>
        <w:right w:val="none" w:sz="0" w:space="0" w:color="auto"/>
      </w:divBdr>
    </w:div>
    <w:div w:id="1952396305">
      <w:bodyDiv w:val="1"/>
      <w:marLeft w:val="0"/>
      <w:marRight w:val="0"/>
      <w:marTop w:val="0"/>
      <w:marBottom w:val="0"/>
      <w:divBdr>
        <w:top w:val="none" w:sz="0" w:space="0" w:color="auto"/>
        <w:left w:val="none" w:sz="0" w:space="0" w:color="auto"/>
        <w:bottom w:val="none" w:sz="0" w:space="0" w:color="auto"/>
        <w:right w:val="none" w:sz="0" w:space="0" w:color="auto"/>
      </w:divBdr>
    </w:div>
    <w:div w:id="1957173022">
      <w:bodyDiv w:val="1"/>
      <w:marLeft w:val="0"/>
      <w:marRight w:val="0"/>
      <w:marTop w:val="0"/>
      <w:marBottom w:val="0"/>
      <w:divBdr>
        <w:top w:val="none" w:sz="0" w:space="0" w:color="auto"/>
        <w:left w:val="none" w:sz="0" w:space="0" w:color="auto"/>
        <w:bottom w:val="none" w:sz="0" w:space="0" w:color="auto"/>
        <w:right w:val="none" w:sz="0" w:space="0" w:color="auto"/>
      </w:divBdr>
    </w:div>
    <w:div w:id="1974211042">
      <w:bodyDiv w:val="1"/>
      <w:marLeft w:val="0"/>
      <w:marRight w:val="0"/>
      <w:marTop w:val="0"/>
      <w:marBottom w:val="0"/>
      <w:divBdr>
        <w:top w:val="none" w:sz="0" w:space="0" w:color="auto"/>
        <w:left w:val="none" w:sz="0" w:space="0" w:color="auto"/>
        <w:bottom w:val="none" w:sz="0" w:space="0" w:color="auto"/>
        <w:right w:val="none" w:sz="0" w:space="0" w:color="auto"/>
      </w:divBdr>
    </w:div>
    <w:div w:id="1992710452">
      <w:bodyDiv w:val="1"/>
      <w:marLeft w:val="0"/>
      <w:marRight w:val="0"/>
      <w:marTop w:val="0"/>
      <w:marBottom w:val="0"/>
      <w:divBdr>
        <w:top w:val="none" w:sz="0" w:space="0" w:color="auto"/>
        <w:left w:val="none" w:sz="0" w:space="0" w:color="auto"/>
        <w:bottom w:val="none" w:sz="0" w:space="0" w:color="auto"/>
        <w:right w:val="none" w:sz="0" w:space="0" w:color="auto"/>
      </w:divBdr>
    </w:div>
    <w:div w:id="1994867504">
      <w:bodyDiv w:val="1"/>
      <w:marLeft w:val="0"/>
      <w:marRight w:val="0"/>
      <w:marTop w:val="0"/>
      <w:marBottom w:val="0"/>
      <w:divBdr>
        <w:top w:val="none" w:sz="0" w:space="0" w:color="auto"/>
        <w:left w:val="none" w:sz="0" w:space="0" w:color="auto"/>
        <w:bottom w:val="none" w:sz="0" w:space="0" w:color="auto"/>
        <w:right w:val="none" w:sz="0" w:space="0" w:color="auto"/>
      </w:divBdr>
    </w:div>
    <w:div w:id="2006589625">
      <w:bodyDiv w:val="1"/>
      <w:marLeft w:val="0"/>
      <w:marRight w:val="0"/>
      <w:marTop w:val="0"/>
      <w:marBottom w:val="0"/>
      <w:divBdr>
        <w:top w:val="none" w:sz="0" w:space="0" w:color="auto"/>
        <w:left w:val="none" w:sz="0" w:space="0" w:color="auto"/>
        <w:bottom w:val="none" w:sz="0" w:space="0" w:color="auto"/>
        <w:right w:val="none" w:sz="0" w:space="0" w:color="auto"/>
      </w:divBdr>
    </w:div>
    <w:div w:id="2010251865">
      <w:bodyDiv w:val="1"/>
      <w:marLeft w:val="0"/>
      <w:marRight w:val="0"/>
      <w:marTop w:val="0"/>
      <w:marBottom w:val="0"/>
      <w:divBdr>
        <w:top w:val="none" w:sz="0" w:space="0" w:color="auto"/>
        <w:left w:val="none" w:sz="0" w:space="0" w:color="auto"/>
        <w:bottom w:val="none" w:sz="0" w:space="0" w:color="auto"/>
        <w:right w:val="none" w:sz="0" w:space="0" w:color="auto"/>
      </w:divBdr>
    </w:div>
    <w:div w:id="2026400318">
      <w:bodyDiv w:val="1"/>
      <w:marLeft w:val="0"/>
      <w:marRight w:val="0"/>
      <w:marTop w:val="0"/>
      <w:marBottom w:val="0"/>
      <w:divBdr>
        <w:top w:val="none" w:sz="0" w:space="0" w:color="auto"/>
        <w:left w:val="none" w:sz="0" w:space="0" w:color="auto"/>
        <w:bottom w:val="none" w:sz="0" w:space="0" w:color="auto"/>
        <w:right w:val="none" w:sz="0" w:space="0" w:color="auto"/>
      </w:divBdr>
    </w:div>
    <w:div w:id="2035418784">
      <w:bodyDiv w:val="1"/>
      <w:marLeft w:val="0"/>
      <w:marRight w:val="0"/>
      <w:marTop w:val="0"/>
      <w:marBottom w:val="0"/>
      <w:divBdr>
        <w:top w:val="none" w:sz="0" w:space="0" w:color="auto"/>
        <w:left w:val="none" w:sz="0" w:space="0" w:color="auto"/>
        <w:bottom w:val="none" w:sz="0" w:space="0" w:color="auto"/>
        <w:right w:val="none" w:sz="0" w:space="0" w:color="auto"/>
      </w:divBdr>
    </w:div>
    <w:div w:id="2046054759">
      <w:bodyDiv w:val="1"/>
      <w:marLeft w:val="0"/>
      <w:marRight w:val="0"/>
      <w:marTop w:val="0"/>
      <w:marBottom w:val="0"/>
      <w:divBdr>
        <w:top w:val="none" w:sz="0" w:space="0" w:color="auto"/>
        <w:left w:val="none" w:sz="0" w:space="0" w:color="auto"/>
        <w:bottom w:val="none" w:sz="0" w:space="0" w:color="auto"/>
        <w:right w:val="none" w:sz="0" w:space="0" w:color="auto"/>
      </w:divBdr>
    </w:div>
    <w:div w:id="2052612312">
      <w:bodyDiv w:val="1"/>
      <w:marLeft w:val="0"/>
      <w:marRight w:val="0"/>
      <w:marTop w:val="0"/>
      <w:marBottom w:val="0"/>
      <w:divBdr>
        <w:top w:val="none" w:sz="0" w:space="0" w:color="auto"/>
        <w:left w:val="none" w:sz="0" w:space="0" w:color="auto"/>
        <w:bottom w:val="none" w:sz="0" w:space="0" w:color="auto"/>
        <w:right w:val="none" w:sz="0" w:space="0" w:color="auto"/>
      </w:divBdr>
    </w:div>
    <w:div w:id="2056192346">
      <w:bodyDiv w:val="1"/>
      <w:marLeft w:val="0"/>
      <w:marRight w:val="0"/>
      <w:marTop w:val="0"/>
      <w:marBottom w:val="0"/>
      <w:divBdr>
        <w:top w:val="none" w:sz="0" w:space="0" w:color="auto"/>
        <w:left w:val="none" w:sz="0" w:space="0" w:color="auto"/>
        <w:bottom w:val="none" w:sz="0" w:space="0" w:color="auto"/>
        <w:right w:val="none" w:sz="0" w:space="0" w:color="auto"/>
      </w:divBdr>
    </w:div>
    <w:div w:id="2062439833">
      <w:bodyDiv w:val="1"/>
      <w:marLeft w:val="0"/>
      <w:marRight w:val="0"/>
      <w:marTop w:val="0"/>
      <w:marBottom w:val="0"/>
      <w:divBdr>
        <w:top w:val="none" w:sz="0" w:space="0" w:color="auto"/>
        <w:left w:val="none" w:sz="0" w:space="0" w:color="auto"/>
        <w:bottom w:val="none" w:sz="0" w:space="0" w:color="auto"/>
        <w:right w:val="none" w:sz="0" w:space="0" w:color="auto"/>
      </w:divBdr>
    </w:div>
    <w:div w:id="2079281707">
      <w:bodyDiv w:val="1"/>
      <w:marLeft w:val="0"/>
      <w:marRight w:val="0"/>
      <w:marTop w:val="0"/>
      <w:marBottom w:val="0"/>
      <w:divBdr>
        <w:top w:val="none" w:sz="0" w:space="0" w:color="auto"/>
        <w:left w:val="none" w:sz="0" w:space="0" w:color="auto"/>
        <w:bottom w:val="none" w:sz="0" w:space="0" w:color="auto"/>
        <w:right w:val="none" w:sz="0" w:space="0" w:color="auto"/>
      </w:divBdr>
    </w:div>
    <w:div w:id="2093970829">
      <w:bodyDiv w:val="1"/>
      <w:marLeft w:val="0"/>
      <w:marRight w:val="0"/>
      <w:marTop w:val="0"/>
      <w:marBottom w:val="0"/>
      <w:divBdr>
        <w:top w:val="none" w:sz="0" w:space="0" w:color="auto"/>
        <w:left w:val="none" w:sz="0" w:space="0" w:color="auto"/>
        <w:bottom w:val="none" w:sz="0" w:space="0" w:color="auto"/>
        <w:right w:val="none" w:sz="0" w:space="0" w:color="auto"/>
      </w:divBdr>
    </w:div>
    <w:div w:id="2115906088">
      <w:bodyDiv w:val="1"/>
      <w:marLeft w:val="0"/>
      <w:marRight w:val="0"/>
      <w:marTop w:val="0"/>
      <w:marBottom w:val="0"/>
      <w:divBdr>
        <w:top w:val="none" w:sz="0" w:space="0" w:color="auto"/>
        <w:left w:val="none" w:sz="0" w:space="0" w:color="auto"/>
        <w:bottom w:val="none" w:sz="0" w:space="0" w:color="auto"/>
        <w:right w:val="none" w:sz="0" w:space="0" w:color="auto"/>
      </w:divBdr>
    </w:div>
    <w:div w:id="2120877812">
      <w:bodyDiv w:val="1"/>
      <w:marLeft w:val="0"/>
      <w:marRight w:val="0"/>
      <w:marTop w:val="0"/>
      <w:marBottom w:val="0"/>
      <w:divBdr>
        <w:top w:val="none" w:sz="0" w:space="0" w:color="auto"/>
        <w:left w:val="none" w:sz="0" w:space="0" w:color="auto"/>
        <w:bottom w:val="none" w:sz="0" w:space="0" w:color="auto"/>
        <w:right w:val="none" w:sz="0" w:space="0" w:color="auto"/>
      </w:divBdr>
    </w:div>
    <w:div w:id="2123454552">
      <w:bodyDiv w:val="1"/>
      <w:marLeft w:val="0"/>
      <w:marRight w:val="0"/>
      <w:marTop w:val="0"/>
      <w:marBottom w:val="0"/>
      <w:divBdr>
        <w:top w:val="none" w:sz="0" w:space="0" w:color="auto"/>
        <w:left w:val="none" w:sz="0" w:space="0" w:color="auto"/>
        <w:bottom w:val="none" w:sz="0" w:space="0" w:color="auto"/>
        <w:right w:val="none" w:sz="0" w:space="0" w:color="auto"/>
      </w:divBdr>
    </w:div>
    <w:div w:id="21373344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eg"/><Relationship Id="rId18" Type="http://schemas.openxmlformats.org/officeDocument/2006/relationships/image" Target="media/image9.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image" Target="media/image15.png"/><Relationship Id="rId5"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image" Target="media/image14.png"/><Relationship Id="rId10" Type="http://schemas.openxmlformats.org/officeDocument/2006/relationships/footer" Target="footer1.xml"/><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jpeg"/><Relationship Id="rId22" Type="http://schemas.openxmlformats.org/officeDocument/2006/relationships/image" Target="media/image1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Tan15</b:Tag>
    <b:SourceType>Book</b:SourceType>
    <b:Guid>{DEA548B7-CDD6-4BF6-A608-64653C1D13CE}</b:Guid>
    <b:Title>Brand and Branding Volume 12. Strategic Management</b:Title>
    <b:Year>2015</b:Year>
    <b:Publisher>John Wiley &amp; Sons, Ltd</b:Publisher>
    <b:Author>
      <b:Author>
        <b:NameList>
          <b:Person>
            <b:Last>Sammut-Bonnici</b:Last>
            <b:First>Tanya</b:First>
          </b:Person>
        </b:NameList>
      </b:Author>
    </b:Author>
    <b:RefOrder>1</b:RefOrder>
  </b:Source>
  <b:Source>
    <b:Tag>Dav22</b:Tag>
    <b:SourceType>Report</b:SourceType>
    <b:Guid>{9B4A263B-9942-4FFA-9CB0-3504BC97C164}</b:Guid>
    <b:Title>Tourism as a strategy for brand growth (MSc Research Proposal)</b:Title>
    <b:Year>2022</b:Year>
    <b:Author>
      <b:Author>
        <b:NameList>
          <b:Person>
            <b:Last>Davies</b:Last>
            <b:First>Laura</b:First>
          </b:Person>
        </b:NameList>
      </b:Author>
    </b:Author>
    <b:RefOrder>2</b:RefOrder>
  </b:Source>
  <b:Source>
    <b:Tag>Dav221</b:Tag>
    <b:SourceType>Report</b:SourceType>
    <b:Guid>{12E3F776-BBBC-45DF-BC8C-8CFD9213C6AA}</b:Guid>
    <b:Title>Research Proposal - Tourism as a stratrgy for brand growth</b:Title>
    <b:Year>2022</b:Year>
    <b:Author>
      <b:Author>
        <b:NameList>
          <b:Person>
            <b:Last>Davies</b:Last>
            <b:First>L</b:First>
          </b:Person>
        </b:NameList>
      </b:Author>
    </b:Author>
    <b:RefOrder>3</b:RefOrder>
  </b:Source>
  <b:Source>
    <b:Tag>The22</b:Tag>
    <b:SourceType>Misc</b:SourceType>
    <b:Guid>{2F3D0353-36F5-40F2-A187-53F0BFA317EC}</b:Guid>
    <b:Title>Swansea Development Strategy</b:Title>
    <b:Year>2022</b:Year>
    <b:Author>
      <b:Author>
        <b:Corporate>The Welsh Whisky Company Limited</b:Corporate>
      </b:Author>
    </b:Author>
    <b:RefOrder>4</b:RefOrder>
  </b:Source>
  <b:Source>
    <b:Tag>Woo16</b:Tag>
    <b:SourceType>InternetSite</b:SourceType>
    <b:Guid>{7034A717-7610-44A6-8A83-7FE4611B4876}</b:Guid>
    <b:Title>How will minimum pricing impact Scotch?</b:Title>
    <b:Year>2016</b:Year>
    <b:Author>
      <b:Author>
        <b:NameList>
          <b:Person>
            <b:Last>Woodard</b:Last>
            <b:First>Richard</b:First>
          </b:Person>
        </b:NameList>
      </b:Author>
    </b:Author>
    <b:InternetSiteTitle>Scotch Whisky Magazine</b:InternetSiteTitle>
    <b:Month>November</b:Month>
    <b:Day>14</b:Day>
    <b:URL>https://scotchwhisky.com/magazine/in-depth/11748/how-will-minimum-pricing-impact-scotch/#:~:text=It%27s%20also%20worth%20noting%20that,so%20won%27t%20be%20affected.</b:URL>
    <b:RefOrder>5</b:RefOrder>
  </b:Source>
  <b:Source>
    <b:Tag>Orw02</b:Tag>
    <b:SourceType>JournalArticle</b:SourceType>
    <b:Guid>{AAD38DEF-0BA6-4B73-81B7-46360AFDABED}</b:Guid>
    <b:Title>Consumer experience tourism and brand bonding</b:Title>
    <b:Year>2002</b:Year>
    <b:Author>
      <b:Author>
        <b:NameList>
          <b:Person>
            <b:Last>Mitchell</b:Last>
            <b:First>Mark</b:First>
          </b:Person>
          <b:Person>
            <b:Last>Orwig</b:Last>
            <b:First>Robert</b:First>
          </b:Person>
        </b:NameList>
      </b:Author>
    </b:Author>
    <b:JournalName>Journal of Product and Brand Management</b:JournalName>
    <b:RefOrder>6</b:RefOrder>
  </b:Source>
  <b:Source>
    <b:Tag>Hsu17</b:Tag>
    <b:SourceType>JournalArticle</b:SourceType>
    <b:Guid>{1ADE604B-82E2-4CD9-A8E3-52C9F170D018}</b:Guid>
    <b:Author>
      <b:Author>
        <b:NameList>
          <b:Person>
            <b:Last>Chow</b:Last>
            <b:First>Hsueh-wen</b:First>
          </b:Person>
          <b:Person>
            <b:Last>Guo-JieLing</b:Last>
          </b:Person>
          <b:Person>
            <b:Last>Yen</b:Last>
            <b:First>I-yin</b:First>
          </b:Person>
          <b:Person>
            <b:Last>Hwang</b:Last>
            <b:First>Kuo-Ping</b:First>
          </b:Person>
        </b:NameList>
      </b:Author>
    </b:Author>
    <b:Title>Building brand equity through industrial tourism</b:Title>
    <b:JournalName>Asia Pacific Management Review</b:JournalName>
    <b:Year>2017</b:Year>
    <b:RefOrder>7</b:RefOrder>
  </b:Source>
  <b:Source>
    <b:Tag>Pik07</b:Tag>
    <b:SourceType>JournalArticle</b:SourceType>
    <b:Guid>{EA7AA4DC-3109-498D-A708-4F9BDB8A872D}</b:Guid>
    <b:Title>Consumer-based brand equity for destinations</b:Title>
    <b:Year>2007</b:Year>
    <b:Author>
      <b:Author>
        <b:NameList>
          <b:Person>
            <b:Last>Pike</b:Last>
            <b:First>S</b:First>
          </b:Person>
        </b:NameList>
      </b:Author>
    </b:Author>
    <b:JournalName>Journal of Travel and Tourism Marketing</b:JournalName>
    <b:RefOrder>8</b:RefOrder>
  </b:Source>
  <b:Source>
    <b:Tag>Kot13</b:Tag>
    <b:SourceType>Book</b:SourceType>
    <b:Guid>{164B106A-7FDF-47BA-BF03-2C279B52B015}</b:Guid>
    <b:Author>
      <b:Author>
        <b:NameList>
          <b:Person>
            <b:Last>Kotler</b:Last>
            <b:First>P</b:First>
          </b:Person>
          <b:Person>
            <b:Last>Bowen</b:Last>
            <b:First>JT</b:First>
          </b:Person>
          <b:Person>
            <b:Last>Makens</b:Last>
            <b:First>JC</b:First>
          </b:Person>
        </b:NameList>
      </b:Author>
    </b:Author>
    <b:Title>Marketing for hospitality and tourism</b:Title>
    <b:Year>2013</b:Year>
    <b:Publisher>Pearson</b:Publisher>
    <b:RefOrder>9</b:RefOrder>
  </b:Source>
  <b:Source>
    <b:Tag>Ros15</b:Tag>
    <b:SourceType>Book</b:SourceType>
    <b:Guid>{074E152C-A402-49A9-8C18-41280D3411C3}</b:Guid>
    <b:Author>
      <b:Author>
        <b:NameList>
          <b:Person>
            <b:Last>Rosenbaum-Elliott</b:Last>
            <b:First>R</b:First>
          </b:Person>
          <b:Person>
            <b:Last>Percy</b:Last>
            <b:First>L</b:First>
          </b:Person>
          <b:Person>
            <b:Last>Pervan</b:Last>
            <b:First>S</b:First>
          </b:Person>
        </b:NameList>
      </b:Author>
    </b:Author>
    <b:Title>Strategic Brand Management</b:Title>
    <b:Year>2015</b:Year>
    <b:Publisher>Oxford</b:Publisher>
    <b:RefOrder>10</b:RefOrder>
  </b:Source>
  <b:Source>
    <b:Tag>Wel192</b:Tag>
    <b:SourceType>Report</b:SourceType>
    <b:Guid>{02AC92BF-D20C-4FF7-B70C-B249A76012FF}</b:Guid>
    <b:Title>Welcome to Wales - Priorites for the Visitor Economy</b:Title>
    <b:Year>2019</b:Year>
    <b:Author>
      <b:Author>
        <b:Corporate>Welsh Government</b:Corporate>
      </b:Author>
    </b:Author>
    <b:RefOrder>11</b:RefOrder>
  </b:Source>
  <b:Source>
    <b:Tag>Geo96</b:Tag>
    <b:SourceType>JournalArticle</b:SourceType>
    <b:Guid>{D4D6F759-50E1-4251-A9A7-015EBE88FF15}</b:Guid>
    <b:Title>Green tourism and Scottish distilleries</b:Title>
    <b:Year>1996</b:Year>
    <b:Author>
      <b:Author>
        <b:NameList>
          <b:Person>
            <b:Last>McBoyle</b:Last>
            <b:First>Geoff</b:First>
          </b:Person>
        </b:NameList>
      </b:Author>
    </b:Author>
    <b:JournalName>Journal of Tourism Management</b:JournalName>
    <b:RefOrder>12</b:RefOrder>
  </b:Source>
  <b:Source>
    <b:Tag>AOt12</b:Tag>
    <b:SourceType>JournalArticle</b:SourceType>
    <b:Guid>{992B89AE-3DC2-4344-B585-C5BE924C54B7}</b:Guid>
    <b:Author>
      <b:Author>
        <b:NameList>
          <b:Person>
            <b:Last>Otgaar</b:Last>
            <b:First>A</b:First>
          </b:Person>
        </b:NameList>
      </b:Author>
    </b:Author>
    <b:Title>Towards a common agenda for the development of industrial tourism</b:Title>
    <b:JournalName>Tourism Management Perspectives</b:JournalName>
    <b:Year>2012</b:Year>
    <b:Volume>4</b:Volume>
    <b:RefOrder>13</b:RefOrder>
  </b:Source>
  <b:Source>
    <b:Tag>Cob95</b:Tag>
    <b:SourceType>JournalArticle</b:SourceType>
    <b:Guid>{7CBDCF60-2725-442D-A2F8-82555A5D1B87}</b:Guid>
    <b:Author>
      <b:Author>
        <b:NameList>
          <b:Person>
            <b:Last>Cobb-Walgren</b:Last>
            <b:First>Cathy</b:First>
            <b:Middle>J.</b:Middle>
          </b:Person>
          <b:Person>
            <b:Last>Ruble</b:Last>
            <b:First>Cynthia</b:First>
            <b:Middle>A.</b:Middle>
          </b:Person>
          <b:Person>
            <b:Last>Donthu</b:Last>
            <b:First>Naveen</b:First>
          </b:Person>
        </b:NameList>
      </b:Author>
    </b:Author>
    <b:Title>Brand Equity, Brand Preference and Purchase Intent</b:Title>
    <b:JournalName>Journal of Advertising</b:JournalName>
    <b:Year>1995</b:Year>
    <b:RefOrder>14</b:RefOrder>
  </b:Source>
  <b:Source>
    <b:Tag>Hel15</b:Tag>
    <b:SourceType>JournalArticle</b:SourceType>
    <b:Guid>{5E6C8F9C-4CC1-44CA-96A1-ECD597F60C13}</b:Guid>
    <b:Title>Throwaway History: Brand Ephemera and Consumer Culture</b:Title>
    <b:Year>2015</b:Year>
    <b:Author>
      <b:Author>
        <b:NameList>
          <b:Person>
            <b:Last>Heller</b:Last>
            <b:First>M</b:First>
          </b:Person>
          <b:Person>
            <b:Last>Kelly</b:Last>
            <b:First>A</b:First>
          </b:Person>
        </b:NameList>
      </b:Author>
    </b:Author>
    <b:JournalName>Journal of Macromarketing</b:JournalName>
    <b:Pages>397-406</b:Pages>
    <b:RefOrder>15</b:RefOrder>
  </b:Source>
  <b:Source>
    <b:Tag>Ell07</b:Tag>
    <b:SourceType>JournalArticle</b:SourceType>
    <b:Guid>{88F0A158-EC67-4424-A4B7-E82602DCE71A}</b:Guid>
    <b:Author>
      <b:Author>
        <b:NameList>
          <b:Person>
            <b:Last>Elliot</b:Last>
            <b:First>R</b:First>
          </b:Person>
          <b:Person>
            <b:Last>Yannopoulou</b:Last>
            <b:First>N</b:First>
          </b:Person>
        </b:NameList>
      </b:Author>
    </b:Author>
    <b:Title>The nature of trust in brands: a psychosocial model</b:Title>
    <b:JournalName>European Journal of Marketing</b:JournalName>
    <b:Year>2007</b:Year>
    <b:RefOrder>16</b:RefOrder>
  </b:Source>
  <b:Source>
    <b:Tag>Ehr97</b:Tag>
    <b:SourceType>JournalArticle</b:SourceType>
    <b:Guid>{31C957B1-ACAB-47E8-9FE0-899544A3EFD5}</b:Guid>
    <b:Author>
      <b:Author>
        <b:NameList>
          <b:Person>
            <b:Last>Ehrenberg</b:Last>
            <b:First>A</b:First>
          </b:Person>
          <b:Person>
            <b:Last>Barnard</b:Last>
            <b:First>N</b:First>
          </b:Person>
          <b:Person>
            <b:Last>Scriven</b:Last>
            <b:First>J</b:First>
          </b:Person>
        </b:NameList>
      </b:Author>
    </b:Author>
    <b:Title>Differentiation or Salience</b:Title>
    <b:JournalName>Journal of Advertising Research</b:JournalName>
    <b:Year>1997</b:Year>
    <b:RefOrder>17</b:RefOrder>
  </b:Source>
  <b:Source>
    <b:Tag>Pro23</b:Tag>
    <b:SourceType>JournalArticle</b:SourceType>
    <b:Guid>{78E790BC-BE6B-40D1-AAF1-A27A619DDD14}</b:Guid>
    <b:Author>
      <b:Author>
        <b:NameList>
          <b:Person>
            <b:Last>Christou</b:Last>
            <b:First>Prokopis</b:First>
            <b:Middle>A.</b:Middle>
          </b:Person>
          <b:Person>
            <b:Last>Timothy</b:Last>
            <b:First>Dallen</b:First>
            <b:Middle>J.</b:Middle>
          </b:Person>
          <b:Person>
            <b:Last>Pericleous</b:Last>
            <b:First>Katerina</b:First>
          </b:Person>
        </b:NameList>
      </b:Author>
    </b:Author>
    <b:Title>Reflections on tourists’ experiential engagement with Scotland’s whisky heritage</b:Title>
    <b:JournalName>Journal of Heritage Tourism</b:JournalName>
    <b:Year>2023</b:Year>
    <b:RefOrder>18</b:RefOrder>
  </b:Source>
  <b:Source>
    <b:Tag>Akb15</b:Tag>
    <b:SourceType>JournalArticle</b:SourceType>
    <b:Guid>{39B2E370-E127-45BD-9690-A6716C6F375C}</b:Guid>
    <b:Author>
      <b:Author>
        <b:NameList>
          <b:Person>
            <b:Last>Akbari</b:Last>
            <b:First>M</b:First>
          </b:Person>
        </b:NameList>
      </b:Author>
    </b:Author>
    <b:Title>Different Impacts of Advertising Appeals on Advertising Attitude for High and Low Involvement Products</b:Title>
    <b:JournalName>Global Business Review</b:JournalName>
    <b:Year>2015</b:Year>
    <b:RefOrder>19</b:RefOrder>
  </b:Source>
  <b:Source>
    <b:Tag>Per20</b:Tag>
    <b:SourceType>Book</b:SourceType>
    <b:Guid>{A79BC1D3-E210-44C1-AEA6-B654F971112D}</b:Guid>
    <b:Title>The Dynamics of Persuasion</b:Title>
    <b:Year>2020</b:Year>
    <b:Author>
      <b:Author>
        <b:NameList>
          <b:Person>
            <b:Last>Perloff</b:Last>
            <b:First>Richard</b:First>
            <b:Middle>M</b:Middle>
          </b:Person>
        </b:NameList>
      </b:Author>
    </b:Author>
    <b:Publisher>Routledge</b:Publisher>
    <b:RefOrder>20</b:RefOrder>
  </b:Source>
  <b:Source>
    <b:Tag>McC20</b:Tag>
    <b:SourceType>JournalArticle</b:SourceType>
    <b:Guid>{CBD0B02A-6C2D-49C9-A509-8B884CC5220D}</b:Guid>
    <b:Author>
      <b:Author>
        <b:NameList>
          <b:Person>
            <b:Last>McClure</b:Last>
            <b:First>C</b:First>
          </b:Person>
          <b:Person>
            <b:Last>Seock</b:Last>
            <b:First>Yoo-Kyoung</b:First>
          </b:Person>
        </b:NameList>
      </b:Author>
    </b:Author>
    <b:Title>The role of involvement: Investigating the effect of brand's social media pages on consumer purchase intention</b:Title>
    <b:JournalName>Journal of Retailing &amp; Customer Services</b:JournalName>
    <b:Year>2020</b:Year>
    <b:RefOrder>21</b:RefOrder>
  </b:Source>
  <b:Source>
    <b:Tag>Mon22</b:Tag>
    <b:SourceType>ConferenceProceedings</b:SourceType>
    <b:Guid>{6307BB16-148C-4B1C-82D8-9890EF16E277}</b:Guid>
    <b:Title>Understanding the Concept of Industrial Tourism: A Systematic Review of the Literature</b:Title>
    <b:Year>2022</b:Year>
    <b:City>Porto</b:City>
    <b:Publisher>ACI UK</b:Publisher>
    <b:Author>
      <b:Author>
        <b:NameList>
          <b:Person>
            <b:Last>Montenegro</b:Last>
            <b:First>Zulmira</b:First>
          </b:Person>
          <b:Person>
            <b:Last>Marques</b:Last>
            <b:First>Jorge</b:First>
          </b:Person>
          <b:Person>
            <b:Last>Sousa</b:Last>
            <b:First>Cristina</b:First>
          </b:Person>
        </b:NameList>
      </b:Author>
    </b:Author>
    <b:ConferenceName>5th International Conference on Tourism Research</b:ConferenceName>
    <b:RefOrder>22</b:RefOrder>
  </b:Source>
  <b:Source>
    <b:Tag>Vis18</b:Tag>
    <b:SourceType>Report</b:SourceType>
    <b:Guid>{DB9BB6B7-A194-469E-A584-C2E37AAB320F}</b:Guid>
    <b:Author>
      <b:Author>
        <b:Corporate>Visit Scotland</b:Corporate>
      </b:Author>
    </b:Author>
    <b:Title>Insight Department: Whisky Tourism, Facts &amp; Insights</b:Title>
    <b:Year>2018</b:Year>
    <b:RefOrder>23</b:RefOrder>
  </b:Source>
  <b:Source>
    <b:Tag>Fel18</b:Tag>
    <b:SourceType>InternetSite</b:SourceType>
    <b:Guid>{B97DE34C-46BB-497D-BE92-02BA3DBBA633}</b:Guid>
    <b:Author>
      <b:Author>
        <b:NameList>
          <b:Person>
            <b:Last>Schrieberg</b:Last>
            <b:First>Felipe</b:First>
          </b:Person>
        </b:NameList>
      </b:Author>
    </b:Author>
    <b:Title>HOW WHISKY TOURISM IS TRANSFORMING SCOTCH</b:Title>
    <b:Year>2018</b:Year>
    <b:YearAccessed>2022</b:YearAccessed>
    <b:MonthAccessed>September</b:MonthAccessed>
    <b:URL>https://scotchwhisky.com/magazine/in-depth/19431/how-whisky-tourism-is-transforming-scotch/</b:URL>
    <b:RefOrder>24</b:RefOrder>
  </b:Source>
  <b:Source>
    <b:Tag>Jan13</b:Tag>
    <b:SourceType>JournalArticle</b:SourceType>
    <b:Guid>{16E525EF-0194-40E8-B2B2-100CDCF09E49}</b:Guid>
    <b:Author>
      <b:Author>
        <b:NameList>
          <b:Person>
            <b:Last>Jansirani</b:Last>
            <b:First>S</b:First>
            <b:Middle>Dr</b:Middle>
          </b:Person>
          <b:Person>
            <b:Last>Mangai</b:Last>
            <b:First>Mrs</b:First>
          </b:Person>
        </b:NameList>
      </b:Author>
    </b:Author>
    <b:Title>Industrial Tourism: An Introduction</b:Title>
    <b:Year>2013</b:Year>
    <b:JournalName>IOSR Journal of Business and Management</b:JournalName>
    <b:RefOrder>26</b:RefOrder>
  </b:Source>
  <b:Source>
    <b:Tag>The23</b:Tag>
    <b:SourceType>Report</b:SourceType>
    <b:Guid>{E76E6B80-2077-466D-9BC2-C11E2E570466}</b:Guid>
    <b:Title>The Business Research Company - Industrial Tourism Global Market Report</b:Title>
    <b:Year>2023</b:Year>
    <b:Author>
      <b:Author>
        <b:Corporate>Industrial Tourism Global Market Report</b:Corporate>
      </b:Author>
    </b:Author>
    <b:RefOrder>27</b:RefOrder>
  </b:Source>
  <b:Source>
    <b:Tag>Off21</b:Tag>
    <b:SourceType>Report</b:SourceType>
    <b:Guid>{6DDAA7CA-6413-4777-9382-19BEADDB4B62}</b:Guid>
    <b:Title>Coronavirus and the impact on the UK travel </b:Title>
    <b:Year>2021</b:Year>
    <b:Author>
      <b:Author>
        <b:Corporate>Office for National Statistics</b:Corporate>
      </b:Author>
    </b:Author>
    <b:RefOrder>28</b:RefOrder>
  </b:Source>
  <b:Source>
    <b:Tag>UKI22</b:Tag>
    <b:SourceType>Misc</b:SourceType>
    <b:Guid>{61B7781B-9881-4596-BA6D-85CED343B505}</b:Guid>
    <b:Title>Evidence submission to the DCMS Select Committee Inquiry into the Promotion of Britain Abroad</b:Title>
    <b:Year>2022</b:Year>
    <b:Author>
      <b:Author>
        <b:Corporate>UKInbound</b:Corporate>
      </b:Author>
    </b:Author>
    <b:Month>January</b:Month>
    <b:RefOrder>29</b:RefOrder>
  </b:Source>
  <b:Source>
    <b:Tag>Dav222</b:Tag>
    <b:SourceType>Interview</b:SourceType>
    <b:Guid>{28940EED-D9D5-476A-8A9E-030355968D25}</b:Guid>
    <b:Title>Business Performance and Strategy Review</b:Title>
    <b:Year>2022</b:Year>
    <b:Author>
      <b:Interviewee>
        <b:NameList>
          <b:Person>
            <b:Last>Davies</b:Last>
            <b:First>SR</b:First>
          </b:Person>
        </b:NameList>
      </b:Interviewee>
    </b:Author>
    <b:RefOrder>33</b:RefOrder>
  </b:Source>
  <b:Source>
    <b:Tag>The24</b:Tag>
    <b:SourceType>Report</b:SourceType>
    <b:Guid>{67A4F523-4A48-4232-8851-B59C3A44928C}</b:Guid>
    <b:Title>Company Projections 2023-2024</b:Title>
    <b:Year>2024</b:Year>
    <b:Author>
      <b:Author>
        <b:Corporate>The Welsh Whisky Company Limited</b:Corporate>
      </b:Author>
    </b:Author>
    <b:RefOrder>32</b:RefOrder>
  </b:Source>
  <b:Source>
    <b:Tag>Ded20</b:Tag>
    <b:SourceType>JournalArticle</b:SourceType>
    <b:Guid>{22A1E6AE-A8D1-4838-B3FB-76B1C30681A6}</b:Guid>
    <b:Title>Effect of social media sharing on destination brand awareness and destination quality</b:Title>
    <b:Year>2020</b:Year>
    <b:Author>
      <b:Author>
        <b:NameList>
          <b:Person>
            <b:Last>Dedeoğlu</b:Last>
            <b:First>B.</b:First>
            <b:Middle>B</b:Middle>
          </b:Person>
          <b:Person>
            <b:Last>van Niekerk</b:Last>
            <b:First>M</b:First>
          </b:Person>
          <b:Person>
            <b:Last>Küçükergin</b:Last>
            <b:First>K.</b:First>
            <b:Middle>G</b:Middle>
          </b:Person>
          <b:Person>
            <b:Last>De Martino</b:Last>
            <b:First>M</b:First>
          </b:Person>
          <b:Person>
            <b:Last>&amp; Okumuş</b:Last>
            <b:First>F</b:First>
          </b:Person>
        </b:NameList>
      </b:Author>
    </b:Author>
    <b:JournalName>Journal of Vacation Marketing</b:JournalName>
    <b:RefOrder>35</b:RefOrder>
  </b:Source>
  <b:Source>
    <b:Tag>Aak91</b:Tag>
    <b:SourceType>JournalArticle</b:SourceType>
    <b:Guid>{9C99CAE5-DF2E-4732-982E-C380D09A60DD}</b:Guid>
    <b:Author>
      <b:Author>
        <b:NameList>
          <b:Person>
            <b:Last>Aaker</b:Last>
            <b:First>DA</b:First>
          </b:Person>
        </b:NameList>
      </b:Author>
    </b:Author>
    <b:Title>Managing Brand Equity</b:Title>
    <b:JournalName>New York: The Free Press</b:JournalName>
    <b:Year>1991</b:Year>
    <b:RefOrder>36</b:RefOrder>
  </b:Source>
  <b:Source>
    <b:Tag>Hoy90</b:Tag>
    <b:SourceType>JournalArticle</b:SourceType>
    <b:Guid>{B6A273A8-6A28-4CC8-AC57-6B1E5577F0DB}</b:Guid>
    <b:Author>
      <b:Author>
        <b:NameList>
          <b:Person>
            <b:Last>Hoyer</b:Last>
            <b:First>WD</b:First>
          </b:Person>
          <b:Person>
            <b:Last>Brown</b:Last>
            <b:First>SP</b:First>
          </b:Person>
        </b:NameList>
      </b:Author>
    </b:Author>
    <b:Title>Effects of brand awareness on choice for a common, repeat-purchase product</b:Title>
    <b:JournalName>Journal of Consumer Research</b:JournalName>
    <b:Year>1990</b:Year>
    <b:RefOrder>37</b:RefOrder>
  </b:Source>
  <b:Source>
    <b:Tag>Kla14</b:Tag>
    <b:SourceType>JournalArticle</b:SourceType>
    <b:Guid>{85873454-1F15-47BD-A1E9-7EB53BC546DB}</b:Guid>
    <b:Author>
      <b:Author>
        <b:NameList>
          <b:Person>
            <b:Last>Kladou</b:Last>
            <b:First>S</b:First>
          </b:Person>
          <b:Person>
            <b:Last>Kehagias</b:Last>
            <b:First>J</b:First>
          </b:Person>
        </b:NameList>
      </b:Author>
    </b:Author>
    <b:Title>Assessing destination brand equity: an integrated approach</b:Title>
    <b:JournalName>Journal of Destination Marketing and Management</b:JournalName>
    <b:Year>2014</b:Year>
    <b:RefOrder>38</b:RefOrder>
  </b:Source>
  <b:Source>
    <b:Tag>Bal03</b:Tag>
    <b:SourceType>JournalArticle</b:SourceType>
    <b:Guid>{7B0A3B9F-CD6A-4E92-A43F-B33338662582}</b:Guid>
    <b:Author>
      <b:Author>
        <b:NameList>
          <b:Person>
            <b:Last>Baldauf</b:Last>
            <b:First>A</b:First>
          </b:Person>
          <b:Person>
            <b:Last>Cravens</b:Last>
            <b:First>KS</b:First>
          </b:Person>
          <b:Person>
            <b:Last>Binder</b:Last>
            <b:First>G</b:First>
          </b:Person>
        </b:NameList>
      </b:Author>
    </b:Author>
    <b:Title>Performance consequences of brand equity management: Evidence from organizations in the value chain</b:Title>
    <b:JournalName>The Journal of Product and Brand Management</b:JournalName>
    <b:Year>2003</b:Year>
    <b:RefOrder>40</b:RefOrder>
  </b:Source>
  <b:Source>
    <b:Tag>The231</b:Tag>
    <b:SourceType>Report</b:SourceType>
    <b:Guid>{6AE2F500-8739-423D-9BA1-209FEA21DCFA}</b:Guid>
    <b:Title>Penderyn Brand Positioning - Qualitative Research Debrief</b:Title>
    <b:Year>2023</b:Year>
    <b:Author>
      <b:Author>
        <b:Corporate>The Big Picture (on behalf of Penderyn)</b:Corporate>
      </b:Author>
    </b:Author>
    <b:Publisher>The Big Picture</b:Publisher>
    <b:RefOrder>41</b:RefOrder>
  </b:Source>
  <b:Source>
    <b:Tag>Dav23</b:Tag>
    <b:SourceType>Interview</b:SourceType>
    <b:Guid>{0B5613BE-9503-4245-9E1E-9623A3BEE4EB}</b:Guid>
    <b:Author>
      <b:Interviewee>
        <b:NameList>
          <b:Person>
            <b:Last>Davies</b:Last>
            <b:First>Stephen</b:First>
            <b:Middle>R</b:Middle>
          </b:Person>
        </b:NameList>
      </b:Interviewee>
    </b:Author>
    <b:Title>Business Performance and Strategy Review</b:Title>
    <b:Year>2023</b:Year>
    <b:RefOrder>44</b:RefOrder>
  </b:Source>
  <b:Source>
    <b:Tag>Izz18</b:Tag>
    <b:SourceType>JournalArticle</b:SourceType>
    <b:Guid>{A08842A9-489D-484A-B3BF-E8CA09185BFD}</b:Guid>
    <b:Title>The Effect Of Perceived Quality, Brand Image On Customer Satisfaction And Brand Awareness Toward Repurchase Intention</b:Title>
    <b:Year>2018</b:Year>
    <b:Author>
      <b:Author>
        <b:NameList>
          <b:Person>
            <b:Last>Izzudin</b:Last>
            <b:First>M.S</b:First>
          </b:Person>
          <b:Person>
            <b:Last>Novandari</b:Last>
            <b:First>W.,</b:First>
          </b:Person>
        </b:NameList>
      </b:Author>
    </b:Author>
    <b:JournalName>Journal of Research in Management</b:JournalName>
    <b:RefOrder>30</b:RefOrder>
  </b:Source>
  <b:Source>
    <b:Tag>And22</b:Tag>
    <b:SourceType>JournalArticle</b:SourceType>
    <b:Guid>{FD619443-98A1-4CB8-888B-F58254275849}</b:Guid>
    <b:Author>
      <b:Author>
        <b:NameList>
          <b:Person>
            <b:Last>Andik</b:Last>
            <b:First>S</b:First>
          </b:Person>
          <b:Person>
            <b:Last>Rachma</b:Last>
            <b:First>A</b:First>
          </b:Person>
        </b:NameList>
      </b:Author>
    </b:Author>
    <b:Title>The Impact of Brand Awareness, Brand Association, and Perceived Quality towards Brand Loyalty (A case study of New Product)</b:Title>
    <b:JournalName>Web of Conferences</b:JournalName>
    <b:Year>2022</b:Year>
    <b:RefOrder>31</b:RefOrder>
  </b:Source>
  <b:Source>
    <b:Tag>TheWWC23</b:Tag>
    <b:SourceType>Misc</b:SourceType>
    <b:Guid>{7A40BDBE-95EF-41BE-95BF-9E36F5EE6959}</b:Guid>
    <b:Author>
      <b:Author>
        <b:Corporate>The Welsh Whisky Company Limited</b:Corporate>
      </b:Author>
    </b:Author>
    <b:Title>It's Triple Gold for Penderyn! Welsh Whisky's Swansea Distillery Wows Tourist Board</b:Title>
    <b:Year>2023</b:Year>
    <b:RefOrder>34</b:RefOrder>
  </b:Source>
  <b:Source>
    <b:Tag>Ins24</b:Tag>
    <b:SourceType>Report</b:SourceType>
    <b:Guid>{24ED6CC0-2D98-4D4F-B182-AD0D74AF89D7}</b:Guid>
    <b:Title>Customer Satisfaction Survey Data</b:Title>
    <b:Year>2024</b:Year>
    <b:Author>
      <b:Author>
        <b:Corporate>Insight6</b:Corporate>
      </b:Author>
    </b:Author>
    <b:RefOrder>42</b:RefOrder>
  </b:Source>
  <b:Source>
    <b:Tag>TheWWCP23</b:Tag>
    <b:SourceType>Misc</b:SourceType>
    <b:Guid>{7A047851-DC5C-467A-A426-8E39225CA850}</b:Guid>
    <b:Title>Company Gallery</b:Title>
    <b:Year>2023</b:Year>
    <b:Author>
      <b:Author>
        <b:Corporate>The Welsh Whisky Company Limited</b:Corporate>
      </b:Author>
    </b:Author>
    <b:RefOrder>39</b:RefOrder>
  </b:Source>
  <b:Source>
    <b:Tag>Pen23</b:Tag>
    <b:SourceType>Misc</b:SourceType>
    <b:Guid>{E8D20D4B-BB47-4CC8-8255-189206866C24}</b:Guid>
    <b:Author>
      <b:Author>
        <b:Corporate>Penderyn Checkfront CMS</b:Corporate>
      </b:Author>
    </b:Author>
    <b:Title>Returning Customer/Booker Data (Period 2017 - 2023)</b:Title>
    <b:Year>2023</b:Year>
    <b:RefOrder>45</b:RefOrder>
  </b:Source>
  <b:Source>
    <b:Tag>Wel23</b:Tag>
    <b:SourceType>Report</b:SourceType>
    <b:Guid>{1CF201F9-E8B6-46FB-BB41-C523A5AD10D8}</b:Guid>
    <b:Title>International inbound visits and spend to Wales: The International Passenger Survey (IPS)</b:Title>
    <b:Year>2023</b:Year>
    <b:Author>
      <b:Author>
        <b:Corporate>Welsh Government</b:Corporate>
      </b:Author>
    </b:Author>
    <b:RefOrder>43</b:RefOrder>
  </b:Source>
  <b:Source>
    <b:Tag>Sco24</b:Tag>
    <b:SourceType>Report</b:SourceType>
    <b:Guid>{E6CC7AD5-773E-40E1-BB0A-B02284210F02}</b:Guid>
    <b:Author>
      <b:Author>
        <b:Corporate>Scotch Whisky Association</b:Corporate>
      </b:Author>
    </b:Author>
    <b:Title>RESILIENT SCOTCH WHISKY INDUSTRY REACHES £5.6BN GLOBAL EXPORTS DESPITE “CHALLENGING” 2023</b:Title>
    <b:Year>2024</b:Year>
    <b:RefOrder>25</b:RefOrder>
  </b:Source>
</b:Sources>
</file>

<file path=customXml/itemProps1.xml><?xml version="1.0" encoding="utf-8"?>
<ds:datastoreItem xmlns:ds="http://schemas.openxmlformats.org/officeDocument/2006/customXml" ds:itemID="{211DFEC9-E7A8-429E-A14F-69C1BE34AD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45</Pages>
  <Words>17299</Words>
  <Characters>93939</Characters>
  <Application>Microsoft Office Word</Application>
  <DocSecurity>0</DocSecurity>
  <Lines>1677</Lines>
  <Paragraphs>674</Paragraphs>
  <ScaleCrop>false</ScaleCrop>
  <HeadingPairs>
    <vt:vector size="2" baseType="variant">
      <vt:variant>
        <vt:lpstr>Title</vt:lpstr>
      </vt:variant>
      <vt:variant>
        <vt:i4>1</vt:i4>
      </vt:variant>
    </vt:vector>
  </HeadingPairs>
  <TitlesOfParts>
    <vt:vector size="1" baseType="lpstr">
      <vt:lpstr/>
    </vt:vector>
  </TitlesOfParts>
  <Company>Student id: 2127190</Company>
  <LinksUpToDate>false</LinksUpToDate>
  <CharactersWithSpaces>110564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EVALUATION OF THE USE OF EXPERIENTIAL TOURISM AS A STRATEGY FOR BRAND GROWTH</dc:title>
  <dc:subject>CASE STUDY: PENDERYN DISTILLERY VISITOR CENTRES</dc:subject>
  <dc:creator>Laura Davies</dc:creator>
  <cp:keywords/>
  <dc:description/>
  <cp:lastModifiedBy>Laura Davies</cp:lastModifiedBy>
  <cp:revision>2</cp:revision>
  <cp:lastPrinted>2024-03-06T13:42:00Z</cp:lastPrinted>
  <dcterms:created xsi:type="dcterms:W3CDTF">2024-03-06T13:42:00Z</dcterms:created>
  <dcterms:modified xsi:type="dcterms:W3CDTF">2024-03-06T13:42:00Z</dcterms:modified>
</cp:coreProperties>
</file>