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6DE28" w14:textId="0BE58ABE" w:rsidR="00FA6765" w:rsidRPr="0035435D" w:rsidRDefault="00130107" w:rsidP="0035435D">
      <w:pPr>
        <w:spacing w:line="360" w:lineRule="auto"/>
        <w:rPr>
          <w:rFonts w:cstheme="minorHAnsi"/>
          <w:b/>
          <w:bCs/>
          <w:sz w:val="28"/>
          <w:szCs w:val="28"/>
          <w:lang w:val="en-US"/>
        </w:rPr>
      </w:pPr>
      <w:r w:rsidRPr="0035435D">
        <w:rPr>
          <w:rFonts w:cstheme="minorHAnsi"/>
          <w:b/>
          <w:bCs/>
          <w:sz w:val="28"/>
          <w:szCs w:val="28"/>
          <w:lang w:val="en-US"/>
        </w:rPr>
        <w:t>Introduction</w:t>
      </w:r>
      <w:r w:rsidR="00536614" w:rsidRPr="0035435D">
        <w:rPr>
          <w:rFonts w:cstheme="minorHAnsi"/>
          <w:b/>
          <w:bCs/>
          <w:sz w:val="28"/>
          <w:szCs w:val="28"/>
          <w:lang w:val="en-US"/>
        </w:rPr>
        <w:t xml:space="preserve"> 1</w:t>
      </w:r>
      <w:r w:rsidR="00A72658" w:rsidRPr="0035435D">
        <w:rPr>
          <w:rFonts w:cstheme="minorHAnsi"/>
          <w:b/>
          <w:bCs/>
          <w:sz w:val="28"/>
          <w:szCs w:val="28"/>
          <w:lang w:val="en-US"/>
        </w:rPr>
        <w:t>86 words</w:t>
      </w:r>
      <w:r w:rsidR="0035435D">
        <w:rPr>
          <w:rFonts w:cstheme="minorHAnsi"/>
          <w:b/>
          <w:bCs/>
          <w:sz w:val="28"/>
          <w:szCs w:val="28"/>
          <w:lang w:val="en-US"/>
        </w:rPr>
        <w:t xml:space="preserve"> </w:t>
      </w:r>
    </w:p>
    <w:p w14:paraId="08F548E1" w14:textId="7F5FADE4" w:rsidR="00940AA7" w:rsidRPr="008C1148" w:rsidRDefault="00940AA7" w:rsidP="008C1148">
      <w:pPr>
        <w:spacing w:after="0" w:line="240" w:lineRule="auto"/>
        <w:rPr>
          <w:rFonts w:cstheme="minorHAnsi"/>
          <w:sz w:val="24"/>
          <w:szCs w:val="24"/>
        </w:rPr>
      </w:pPr>
      <w:bookmarkStart w:id="0" w:name="_Hlk129466653"/>
      <w:r w:rsidRPr="008C1148">
        <w:rPr>
          <w:rFonts w:cstheme="minorHAnsi"/>
          <w:sz w:val="24"/>
          <w:szCs w:val="24"/>
        </w:rPr>
        <w:t>This essay critically reviews Cicero’s arguments against divination in ‘</w:t>
      </w:r>
      <w:r w:rsidRPr="008C1148">
        <w:rPr>
          <w:rFonts w:cstheme="minorHAnsi"/>
          <w:i/>
          <w:iCs/>
          <w:sz w:val="24"/>
          <w:szCs w:val="24"/>
        </w:rPr>
        <w:t xml:space="preserve">De Divinatione’ </w:t>
      </w:r>
      <w:r w:rsidRPr="008C1148">
        <w:rPr>
          <w:rFonts w:cstheme="minorHAnsi"/>
          <w:sz w:val="24"/>
          <w:szCs w:val="24"/>
        </w:rPr>
        <w:t>book I and book II, translat</w:t>
      </w:r>
      <w:r w:rsidR="00536614" w:rsidRPr="008C1148">
        <w:rPr>
          <w:rFonts w:cstheme="minorHAnsi"/>
          <w:sz w:val="24"/>
          <w:szCs w:val="24"/>
        </w:rPr>
        <w:t>ed</w:t>
      </w:r>
      <w:r w:rsidRPr="008C1148">
        <w:rPr>
          <w:rFonts w:cstheme="minorHAnsi"/>
          <w:sz w:val="24"/>
          <w:szCs w:val="24"/>
        </w:rPr>
        <w:t xml:space="preserve"> by W.A Falconer</w:t>
      </w:r>
      <w:r w:rsidR="00536614" w:rsidRPr="008C1148">
        <w:rPr>
          <w:rStyle w:val="FootnoteReference"/>
          <w:rFonts w:cstheme="minorHAnsi"/>
          <w:sz w:val="24"/>
          <w:szCs w:val="24"/>
        </w:rPr>
        <w:footnoteReference w:id="1"/>
      </w:r>
      <w:r w:rsidRPr="008C1148">
        <w:rPr>
          <w:rFonts w:cstheme="minorHAnsi"/>
          <w:sz w:val="24"/>
          <w:szCs w:val="24"/>
        </w:rPr>
        <w:t xml:space="preserve">. </w:t>
      </w:r>
      <w:r w:rsidR="00536614" w:rsidRPr="008C1148">
        <w:rPr>
          <w:rStyle w:val="Emphasis"/>
          <w:rFonts w:cstheme="minorHAnsi"/>
          <w:sz w:val="24"/>
          <w:szCs w:val="24"/>
        </w:rPr>
        <w:t>‘De Divinatione’</w:t>
      </w:r>
      <w:r w:rsidR="00536614" w:rsidRPr="008C1148">
        <w:rPr>
          <w:rFonts w:cstheme="minorHAnsi"/>
          <w:sz w:val="24"/>
          <w:szCs w:val="24"/>
        </w:rPr>
        <w:t> is the ruminative dialogue of the author Marcus Tullius Cicero and his brother Quintus, who feature as characters within the writing, providing an exhibition of the legitimacy of the nature of divinatory practices and its place within Roman society. The work is divided into two books, the first book being an attempt by Quintus of establishing the sagacity of divination this is achieved through use of examples from Roman and non-Roman cultures, primarily from a stoic point of view</w:t>
      </w:r>
      <w:r w:rsidRPr="008C1148">
        <w:rPr>
          <w:rStyle w:val="FootnoteReference"/>
          <w:rFonts w:cstheme="minorHAnsi"/>
          <w:sz w:val="24"/>
          <w:szCs w:val="24"/>
        </w:rPr>
        <w:footnoteReference w:id="2"/>
      </w:r>
      <w:r w:rsidRPr="008C1148">
        <w:rPr>
          <w:rFonts w:cstheme="minorHAnsi"/>
          <w:sz w:val="24"/>
          <w:szCs w:val="24"/>
        </w:rPr>
        <w:t xml:space="preserve">. </w:t>
      </w:r>
      <w:r w:rsidR="00536614" w:rsidRPr="008C1148">
        <w:rPr>
          <w:rFonts w:cstheme="minorHAnsi"/>
          <w:sz w:val="24"/>
          <w:szCs w:val="24"/>
        </w:rPr>
        <w:t>The second book is an attempt by Marcus to emasculate his brothers’ arguments using the rhetorical form and philosophical contentions</w:t>
      </w:r>
      <w:r w:rsidRPr="008C1148">
        <w:rPr>
          <w:rStyle w:val="FootnoteReference"/>
          <w:rFonts w:cstheme="minorHAnsi"/>
          <w:sz w:val="24"/>
          <w:szCs w:val="24"/>
        </w:rPr>
        <w:footnoteReference w:id="3"/>
      </w:r>
      <w:r w:rsidRPr="008C1148">
        <w:rPr>
          <w:rFonts w:cstheme="minorHAnsi"/>
          <w:sz w:val="24"/>
          <w:szCs w:val="24"/>
        </w:rPr>
        <w:t xml:space="preserve">. </w:t>
      </w:r>
    </w:p>
    <w:bookmarkEnd w:id="0"/>
    <w:p w14:paraId="70FBDA5E" w14:textId="77777777" w:rsidR="00940AA7" w:rsidRPr="0035435D" w:rsidRDefault="00940AA7" w:rsidP="0035435D">
      <w:pPr>
        <w:spacing w:line="360" w:lineRule="auto"/>
        <w:rPr>
          <w:rFonts w:cstheme="minorHAnsi"/>
          <w:b/>
          <w:bCs/>
          <w:sz w:val="28"/>
          <w:szCs w:val="28"/>
          <w:lang w:val="en-US"/>
        </w:rPr>
      </w:pPr>
    </w:p>
    <w:p w14:paraId="3D578A25" w14:textId="552E2DF3" w:rsidR="00130107" w:rsidRPr="0035435D" w:rsidRDefault="00130107" w:rsidP="0035435D">
      <w:pPr>
        <w:spacing w:line="360" w:lineRule="auto"/>
        <w:rPr>
          <w:rFonts w:cstheme="minorHAnsi"/>
          <w:b/>
          <w:bCs/>
          <w:sz w:val="28"/>
          <w:szCs w:val="28"/>
          <w:lang w:val="en-US"/>
        </w:rPr>
      </w:pPr>
      <w:r w:rsidRPr="0035435D">
        <w:rPr>
          <w:rFonts w:cstheme="minorHAnsi"/>
          <w:b/>
          <w:bCs/>
          <w:sz w:val="28"/>
          <w:szCs w:val="28"/>
          <w:lang w:val="en-US"/>
        </w:rPr>
        <w:t xml:space="preserve">Context </w:t>
      </w:r>
      <w:r w:rsidR="003D18DF" w:rsidRPr="0035435D">
        <w:rPr>
          <w:rFonts w:cstheme="minorHAnsi"/>
          <w:b/>
          <w:bCs/>
          <w:sz w:val="28"/>
          <w:szCs w:val="28"/>
          <w:lang w:val="en-US"/>
        </w:rPr>
        <w:t>8</w:t>
      </w:r>
      <w:r w:rsidR="00716A44" w:rsidRPr="0035435D">
        <w:rPr>
          <w:rFonts w:cstheme="minorHAnsi"/>
          <w:b/>
          <w:bCs/>
          <w:sz w:val="28"/>
          <w:szCs w:val="28"/>
          <w:lang w:val="en-US"/>
        </w:rPr>
        <w:t>67</w:t>
      </w:r>
      <w:r w:rsidR="003D18DF" w:rsidRPr="0035435D">
        <w:rPr>
          <w:rFonts w:cstheme="minorHAnsi"/>
          <w:b/>
          <w:bCs/>
          <w:sz w:val="28"/>
          <w:szCs w:val="28"/>
          <w:lang w:val="en-US"/>
        </w:rPr>
        <w:t xml:space="preserve"> words</w:t>
      </w:r>
      <w:r w:rsidRPr="0035435D">
        <w:rPr>
          <w:rFonts w:cstheme="minorHAnsi"/>
          <w:b/>
          <w:bCs/>
          <w:sz w:val="28"/>
          <w:szCs w:val="28"/>
          <w:lang w:val="en-US"/>
        </w:rPr>
        <w:t xml:space="preserve"> </w:t>
      </w:r>
    </w:p>
    <w:p w14:paraId="01FB4F5E" w14:textId="621D6033" w:rsidR="00227EF6" w:rsidRPr="008C1148" w:rsidRDefault="00A72658" w:rsidP="008C1148">
      <w:pPr>
        <w:spacing w:after="0" w:line="240" w:lineRule="auto"/>
        <w:rPr>
          <w:rFonts w:cstheme="minorHAnsi"/>
          <w:sz w:val="24"/>
          <w:szCs w:val="24"/>
        </w:rPr>
      </w:pPr>
      <w:bookmarkStart w:id="1" w:name="_Hlk129466689"/>
      <w:r w:rsidRPr="008C1148">
        <w:rPr>
          <w:rFonts w:cstheme="minorHAnsi"/>
          <w:sz w:val="24"/>
          <w:szCs w:val="24"/>
        </w:rPr>
        <w:t>Marcus Tullius Cicero lived in the first century BC and held a plethora of roles as a Roman philosopher, orator, lawyer, and politician. Cicero was, and is still, considered one of the most important figures of Roman history</w:t>
      </w:r>
      <w:r w:rsidRPr="008C1148">
        <w:rPr>
          <w:rStyle w:val="FootnoteReference"/>
          <w:rFonts w:cstheme="minorHAnsi"/>
          <w:sz w:val="24"/>
          <w:szCs w:val="24"/>
        </w:rPr>
        <w:footnoteReference w:id="4"/>
      </w:r>
      <w:r w:rsidRPr="008C1148">
        <w:rPr>
          <w:rFonts w:cstheme="minorHAnsi"/>
          <w:sz w:val="24"/>
          <w:szCs w:val="24"/>
        </w:rPr>
        <w:t xml:space="preserve">. Cicero was born in 106 BC in </w:t>
      </w:r>
      <w:proofErr w:type="spellStart"/>
      <w:r w:rsidRPr="008C1148">
        <w:rPr>
          <w:rFonts w:cstheme="minorHAnsi"/>
          <w:sz w:val="24"/>
          <w:szCs w:val="24"/>
        </w:rPr>
        <w:t>Arpinum</w:t>
      </w:r>
      <w:proofErr w:type="spellEnd"/>
      <w:r w:rsidRPr="008C1148">
        <w:rPr>
          <w:rFonts w:cstheme="minorHAnsi"/>
          <w:sz w:val="24"/>
          <w:szCs w:val="24"/>
        </w:rPr>
        <w:t>, Italy and had his educational years in Rome and Athens</w:t>
      </w:r>
      <w:r w:rsidRPr="008C1148">
        <w:rPr>
          <w:rStyle w:val="FootnoteReference"/>
          <w:rFonts w:cstheme="minorHAnsi"/>
          <w:sz w:val="24"/>
          <w:szCs w:val="24"/>
        </w:rPr>
        <w:footnoteReference w:id="5"/>
      </w:r>
      <w:r w:rsidRPr="008C1148">
        <w:rPr>
          <w:rFonts w:cstheme="minorHAnsi"/>
          <w:sz w:val="24"/>
          <w:szCs w:val="24"/>
        </w:rPr>
        <w:t>. Academics state that Cicero lived through one of the most turbulent historical times with political and social upheaval in Rome. At the time </w:t>
      </w:r>
      <w:r w:rsidRPr="008C1148">
        <w:rPr>
          <w:rStyle w:val="Emphasis"/>
          <w:rFonts w:cstheme="minorHAnsi"/>
          <w:sz w:val="24"/>
          <w:szCs w:val="24"/>
        </w:rPr>
        <w:t>De Divinatione </w:t>
      </w:r>
      <w:r w:rsidRPr="008C1148">
        <w:rPr>
          <w:rFonts w:cstheme="minorHAnsi"/>
          <w:sz w:val="24"/>
          <w:szCs w:val="24"/>
        </w:rPr>
        <w:t>was composed Rome was transitioning from a republic into an empire which proved to have significant political instability and social unrest</w:t>
      </w:r>
      <w:r w:rsidRPr="008C1148">
        <w:rPr>
          <w:rStyle w:val="FootnoteReference"/>
          <w:rFonts w:cstheme="minorHAnsi"/>
          <w:sz w:val="24"/>
          <w:szCs w:val="24"/>
        </w:rPr>
        <w:footnoteReference w:id="6"/>
      </w:r>
      <w:r w:rsidRPr="008C1148">
        <w:rPr>
          <w:rFonts w:cstheme="minorHAnsi"/>
          <w:sz w:val="24"/>
          <w:szCs w:val="24"/>
        </w:rPr>
        <w:t>. Such significant social and political phenomena occurring, is reflected within the</w:t>
      </w:r>
      <w:r w:rsidR="00227EF6" w:rsidRPr="008C1148">
        <w:rPr>
          <w:rFonts w:cstheme="minorHAnsi"/>
          <w:sz w:val="24"/>
          <w:szCs w:val="24"/>
        </w:rPr>
        <w:t xml:space="preserve"> written critique </w:t>
      </w:r>
      <w:r w:rsidR="00716A44" w:rsidRPr="008C1148">
        <w:rPr>
          <w:rFonts w:cstheme="minorHAnsi"/>
          <w:sz w:val="24"/>
          <w:szCs w:val="24"/>
        </w:rPr>
        <w:t>and</w:t>
      </w:r>
      <w:r w:rsidR="00227EF6" w:rsidRPr="008C1148">
        <w:rPr>
          <w:rFonts w:cstheme="minorHAnsi"/>
          <w:sz w:val="24"/>
          <w:szCs w:val="24"/>
        </w:rPr>
        <w:t xml:space="preserve"> comments of the nature and validity of divination. </w:t>
      </w:r>
    </w:p>
    <w:bookmarkEnd w:id="1"/>
    <w:p w14:paraId="6C3740BE" w14:textId="77777777" w:rsidR="00227EF6" w:rsidRPr="0035435D" w:rsidRDefault="00227EF6" w:rsidP="0035435D">
      <w:pPr>
        <w:spacing w:after="0" w:line="360" w:lineRule="auto"/>
        <w:rPr>
          <w:rFonts w:cstheme="minorHAnsi"/>
          <w:sz w:val="28"/>
          <w:szCs w:val="28"/>
        </w:rPr>
      </w:pPr>
    </w:p>
    <w:p w14:paraId="37749488" w14:textId="6BD7531F" w:rsidR="00A72658" w:rsidRPr="008C1148" w:rsidRDefault="00227EF6" w:rsidP="008C1148">
      <w:pPr>
        <w:spacing w:after="0" w:line="240" w:lineRule="auto"/>
        <w:rPr>
          <w:rFonts w:cstheme="minorHAnsi"/>
          <w:sz w:val="24"/>
          <w:szCs w:val="24"/>
        </w:rPr>
      </w:pPr>
      <w:bookmarkStart w:id="2" w:name="_Hlk129466730"/>
      <w:r w:rsidRPr="008C1148">
        <w:rPr>
          <w:rFonts w:cstheme="minorHAnsi"/>
          <w:sz w:val="24"/>
          <w:szCs w:val="24"/>
        </w:rPr>
        <w:t>In the first book, the brother of Cicero, Quintus presents the stoic case for divination. Within this he presents a series of arguments that exemplify that divination is a natural, innate human ability that includes the interpretations of dreams, reading omens and augury practices</w:t>
      </w:r>
      <w:r w:rsidRPr="008C1148">
        <w:rPr>
          <w:rStyle w:val="FootnoteReference"/>
          <w:rFonts w:cstheme="minorHAnsi"/>
          <w:sz w:val="24"/>
          <w:szCs w:val="24"/>
        </w:rPr>
        <w:footnoteReference w:id="7"/>
      </w:r>
      <w:r w:rsidRPr="008C1148">
        <w:rPr>
          <w:rFonts w:cstheme="minorHAnsi"/>
          <w:sz w:val="24"/>
          <w:szCs w:val="24"/>
        </w:rPr>
        <w:t xml:space="preserve">. In the second portion of the work the content remains the same, however, is explored through another lens, an academic sceptic lens. </w:t>
      </w:r>
      <w:r w:rsidR="00A72658" w:rsidRPr="008C1148">
        <w:rPr>
          <w:rFonts w:cstheme="minorHAnsi"/>
          <w:sz w:val="24"/>
          <w:szCs w:val="24"/>
        </w:rPr>
        <w:t xml:space="preserve">Cicero received a classical </w:t>
      </w:r>
      <w:r w:rsidR="00A72658" w:rsidRPr="008C1148">
        <w:rPr>
          <w:rFonts w:cstheme="minorHAnsi"/>
          <w:sz w:val="24"/>
          <w:szCs w:val="24"/>
        </w:rPr>
        <w:lastRenderedPageBreak/>
        <w:t>education and studied the foundations of Roman education</w:t>
      </w:r>
      <w:r w:rsidR="00A72658" w:rsidRPr="008C1148">
        <w:rPr>
          <w:rStyle w:val="FootnoteReference"/>
          <w:rFonts w:cstheme="minorHAnsi"/>
          <w:sz w:val="24"/>
          <w:szCs w:val="24"/>
        </w:rPr>
        <w:footnoteReference w:id="8"/>
      </w:r>
      <w:r w:rsidR="00A72658" w:rsidRPr="008C1148">
        <w:rPr>
          <w:rFonts w:cstheme="minorHAnsi"/>
          <w:sz w:val="24"/>
          <w:szCs w:val="24"/>
        </w:rPr>
        <w:t xml:space="preserve"> however Cicero did not hold an academic post in the sense of the modern definition. </w:t>
      </w:r>
      <w:r w:rsidRPr="008C1148">
        <w:rPr>
          <w:rFonts w:cstheme="minorHAnsi"/>
          <w:sz w:val="24"/>
          <w:szCs w:val="24"/>
        </w:rPr>
        <w:t>I</w:t>
      </w:r>
      <w:r w:rsidR="00A72658" w:rsidRPr="008C1148">
        <w:rPr>
          <w:rFonts w:cstheme="minorHAnsi"/>
          <w:sz w:val="24"/>
          <w:szCs w:val="24"/>
        </w:rPr>
        <w:t xml:space="preserve">t can be argued that through the academic scepticism, that Cicero practised, there was a hint of modern academia. </w:t>
      </w:r>
      <w:proofErr w:type="spellStart"/>
      <w:r w:rsidR="00A72658" w:rsidRPr="008C1148">
        <w:rPr>
          <w:rFonts w:cstheme="minorHAnsi"/>
          <w:sz w:val="24"/>
          <w:szCs w:val="24"/>
        </w:rPr>
        <w:t>Fieser</w:t>
      </w:r>
      <w:proofErr w:type="spellEnd"/>
      <w:r w:rsidR="00A72658" w:rsidRPr="008C1148">
        <w:rPr>
          <w:rFonts w:cstheme="minorHAnsi"/>
          <w:sz w:val="24"/>
          <w:szCs w:val="24"/>
        </w:rPr>
        <w:t xml:space="preserve"> corroborates this theory</w:t>
      </w:r>
      <w:r w:rsidRPr="008C1148">
        <w:rPr>
          <w:rFonts w:cstheme="minorHAnsi"/>
          <w:sz w:val="24"/>
          <w:szCs w:val="24"/>
        </w:rPr>
        <w:t xml:space="preserve"> </w:t>
      </w:r>
      <w:r w:rsidR="00A72658" w:rsidRPr="008C1148">
        <w:rPr>
          <w:rFonts w:cstheme="minorHAnsi"/>
          <w:sz w:val="24"/>
          <w:szCs w:val="24"/>
        </w:rPr>
        <w:t>stating that to be an academic sceptic is the teaching that ‘all things are incomprehensible’ and everything should be questioned</w:t>
      </w:r>
      <w:r w:rsidR="00A72658" w:rsidRPr="008C1148">
        <w:rPr>
          <w:rStyle w:val="FootnoteReference"/>
          <w:rFonts w:cstheme="minorHAnsi"/>
          <w:sz w:val="24"/>
          <w:szCs w:val="24"/>
          <w:vertAlign w:val="baseline"/>
        </w:rPr>
        <w:t xml:space="preserve"> </w:t>
      </w:r>
      <w:r w:rsidR="00A72658" w:rsidRPr="008C1148">
        <w:rPr>
          <w:rStyle w:val="FootnoteReference"/>
          <w:rFonts w:cstheme="minorHAnsi"/>
          <w:sz w:val="24"/>
          <w:szCs w:val="24"/>
        </w:rPr>
        <w:footnoteReference w:id="9"/>
      </w:r>
      <w:r w:rsidR="00A72658" w:rsidRPr="008C1148">
        <w:rPr>
          <w:rFonts w:cstheme="minorHAnsi"/>
          <w:sz w:val="24"/>
          <w:szCs w:val="24"/>
        </w:rPr>
        <w:t xml:space="preserve">. </w:t>
      </w:r>
      <w:bookmarkStart w:id="3" w:name="_Hlk129466855"/>
      <w:r w:rsidR="00A72658" w:rsidRPr="008C1148">
        <w:rPr>
          <w:rFonts w:cstheme="minorHAnsi"/>
          <w:sz w:val="24"/>
          <w:szCs w:val="24"/>
        </w:rPr>
        <w:t>At the time of writing </w:t>
      </w:r>
      <w:r w:rsidR="00A72658" w:rsidRPr="008C1148">
        <w:rPr>
          <w:rStyle w:val="Emphasis"/>
          <w:rFonts w:cstheme="minorHAnsi"/>
          <w:sz w:val="24"/>
          <w:szCs w:val="24"/>
        </w:rPr>
        <w:t>De Divinatione, </w:t>
      </w:r>
      <w:r w:rsidR="00A72658" w:rsidRPr="008C1148">
        <w:rPr>
          <w:rFonts w:cstheme="minorHAnsi"/>
          <w:sz w:val="24"/>
          <w:szCs w:val="24"/>
        </w:rPr>
        <w:t>it has been told that Cicero was influenced by the sceptical philosophy of the New Academy, teaching by Philo of Larissa who had distinct epistemological views</w:t>
      </w:r>
      <w:r w:rsidR="00A72658" w:rsidRPr="008C1148">
        <w:rPr>
          <w:rStyle w:val="FootnoteReference"/>
          <w:rFonts w:cstheme="minorHAnsi"/>
          <w:sz w:val="24"/>
          <w:szCs w:val="24"/>
        </w:rPr>
        <w:footnoteReference w:id="10"/>
      </w:r>
      <w:r w:rsidR="00A72658" w:rsidRPr="008C1148">
        <w:rPr>
          <w:rFonts w:cstheme="minorHAnsi"/>
          <w:sz w:val="24"/>
          <w:szCs w:val="24"/>
        </w:rPr>
        <w:t xml:space="preserve">. </w:t>
      </w:r>
      <w:r w:rsidR="003D18DF" w:rsidRPr="008C1148">
        <w:rPr>
          <w:rFonts w:cstheme="minorHAnsi"/>
          <w:sz w:val="24"/>
          <w:szCs w:val="24"/>
        </w:rPr>
        <w:t xml:space="preserve">This was a distinct juxtaposition to the previous philosophical beliefs held by Cicero which were found within his writings to be Platonist. </w:t>
      </w:r>
      <w:r w:rsidR="00CF2F5C" w:rsidRPr="008C1148">
        <w:rPr>
          <w:rFonts w:cstheme="minorHAnsi"/>
          <w:sz w:val="24"/>
          <w:szCs w:val="24"/>
        </w:rPr>
        <w:t>I</w:t>
      </w:r>
      <w:r w:rsidR="003D18DF" w:rsidRPr="008C1148">
        <w:rPr>
          <w:rFonts w:cstheme="minorHAnsi"/>
          <w:sz w:val="24"/>
          <w:szCs w:val="24"/>
        </w:rPr>
        <w:t xml:space="preserve">n the reading of </w:t>
      </w:r>
      <w:proofErr w:type="gramStart"/>
      <w:r w:rsidR="003D18DF" w:rsidRPr="008C1148">
        <w:rPr>
          <w:rFonts w:cstheme="minorHAnsi"/>
          <w:sz w:val="24"/>
          <w:szCs w:val="24"/>
        </w:rPr>
        <w:t>book</w:t>
      </w:r>
      <w:proofErr w:type="gramEnd"/>
      <w:r w:rsidR="003D18DF" w:rsidRPr="008C1148">
        <w:rPr>
          <w:rFonts w:cstheme="minorHAnsi"/>
          <w:sz w:val="24"/>
          <w:szCs w:val="24"/>
        </w:rPr>
        <w:t xml:space="preserve"> I there is evidence that suggests that there is more than one philosophical movement being addressed within the entire work of </w:t>
      </w:r>
      <w:r w:rsidR="003D18DF" w:rsidRPr="008C1148">
        <w:rPr>
          <w:rStyle w:val="Emphasis"/>
          <w:rFonts w:cstheme="minorHAnsi"/>
          <w:sz w:val="24"/>
          <w:szCs w:val="24"/>
        </w:rPr>
        <w:t xml:space="preserve">De </w:t>
      </w:r>
      <w:r w:rsidR="00CE2386" w:rsidRPr="008C1148">
        <w:rPr>
          <w:rStyle w:val="Emphasis"/>
          <w:rFonts w:cstheme="minorHAnsi"/>
          <w:sz w:val="24"/>
          <w:szCs w:val="24"/>
        </w:rPr>
        <w:t>Divinatione</w:t>
      </w:r>
      <w:r w:rsidR="003D18DF" w:rsidRPr="008C1148">
        <w:rPr>
          <w:rFonts w:cstheme="minorHAnsi"/>
          <w:sz w:val="24"/>
          <w:szCs w:val="24"/>
        </w:rPr>
        <w:t>. In the first book, the examples given are insistent on knowing that things happen, with no regard as to why they happen and ultimately concluding the answering of the why is for the God's own knowledge</w:t>
      </w:r>
      <w:r w:rsidR="00CE2386" w:rsidRPr="008C1148">
        <w:rPr>
          <w:rFonts w:cstheme="minorHAnsi"/>
          <w:sz w:val="24"/>
          <w:szCs w:val="24"/>
        </w:rPr>
        <w:t xml:space="preserve"> a practice that has been recognised as </w:t>
      </w:r>
      <w:r w:rsidR="003D18DF" w:rsidRPr="008C1148">
        <w:rPr>
          <w:rFonts w:cstheme="minorHAnsi"/>
          <w:sz w:val="24"/>
          <w:szCs w:val="24"/>
        </w:rPr>
        <w:t>stoic philosophical rationale</w:t>
      </w:r>
      <w:r w:rsidR="00A72658" w:rsidRPr="008C1148">
        <w:rPr>
          <w:rStyle w:val="FootnoteReference"/>
          <w:rFonts w:cstheme="minorHAnsi"/>
          <w:sz w:val="24"/>
          <w:szCs w:val="24"/>
        </w:rPr>
        <w:footnoteReference w:id="11"/>
      </w:r>
      <w:r w:rsidR="00716A44" w:rsidRPr="008C1148">
        <w:rPr>
          <w:rFonts w:cstheme="minorHAnsi"/>
          <w:sz w:val="24"/>
          <w:szCs w:val="24"/>
        </w:rPr>
        <w:t xml:space="preserve">. </w:t>
      </w:r>
    </w:p>
    <w:bookmarkEnd w:id="2"/>
    <w:p w14:paraId="11E3A41C" w14:textId="77777777" w:rsidR="00A72658" w:rsidRPr="008C1148" w:rsidRDefault="00A72658" w:rsidP="008C1148">
      <w:pPr>
        <w:spacing w:after="0" w:line="240" w:lineRule="auto"/>
        <w:rPr>
          <w:rFonts w:cstheme="minorHAnsi"/>
          <w:sz w:val="24"/>
          <w:szCs w:val="24"/>
        </w:rPr>
      </w:pPr>
    </w:p>
    <w:p w14:paraId="01A90592" w14:textId="40B8E5BB" w:rsidR="00130107" w:rsidRPr="008C1148" w:rsidRDefault="003D18DF" w:rsidP="008C1148">
      <w:pPr>
        <w:spacing w:after="0" w:line="240" w:lineRule="auto"/>
        <w:rPr>
          <w:rFonts w:cstheme="minorHAnsi"/>
          <w:sz w:val="24"/>
          <w:szCs w:val="24"/>
        </w:rPr>
      </w:pPr>
      <w:r w:rsidRPr="008C1148">
        <w:rPr>
          <w:rFonts w:cstheme="minorHAnsi"/>
          <w:sz w:val="24"/>
          <w:szCs w:val="24"/>
        </w:rPr>
        <w:t>The subject matter of the entire work was traditionally seen as a ‘vigorous rationalistic protest’</w:t>
      </w:r>
      <w:r w:rsidR="00940AA7" w:rsidRPr="008C1148">
        <w:rPr>
          <w:rStyle w:val="FootnoteReference"/>
          <w:rFonts w:cstheme="minorHAnsi"/>
          <w:sz w:val="24"/>
          <w:szCs w:val="24"/>
        </w:rPr>
        <w:footnoteReference w:id="12"/>
      </w:r>
      <w:r w:rsidR="00940AA7" w:rsidRPr="008C1148">
        <w:rPr>
          <w:rFonts w:cstheme="minorHAnsi"/>
          <w:sz w:val="24"/>
          <w:szCs w:val="24"/>
        </w:rPr>
        <w:t xml:space="preserve"> </w:t>
      </w:r>
      <w:r w:rsidRPr="008C1148">
        <w:rPr>
          <w:rFonts w:cstheme="minorHAnsi"/>
          <w:sz w:val="24"/>
          <w:szCs w:val="24"/>
        </w:rPr>
        <w:t>in which Cicero’s purpose of the paper was to demonstrate the lack of value in divinatory practice and was used as a political tool for the State</w:t>
      </w:r>
      <w:r w:rsidR="00940AA7" w:rsidRPr="008C1148">
        <w:rPr>
          <w:rStyle w:val="FootnoteReference"/>
          <w:rFonts w:cstheme="minorHAnsi"/>
          <w:sz w:val="24"/>
          <w:szCs w:val="24"/>
        </w:rPr>
        <w:footnoteReference w:id="13"/>
      </w:r>
      <w:r w:rsidR="00940AA7" w:rsidRPr="008C1148">
        <w:rPr>
          <w:rFonts w:cstheme="minorHAnsi"/>
          <w:sz w:val="24"/>
          <w:szCs w:val="24"/>
        </w:rPr>
        <w:t xml:space="preserve">. </w:t>
      </w:r>
      <w:r w:rsidRPr="008C1148">
        <w:rPr>
          <w:rFonts w:cstheme="minorHAnsi"/>
          <w:sz w:val="24"/>
          <w:szCs w:val="24"/>
        </w:rPr>
        <w:t xml:space="preserve">Conversely, contemporary academics have stated that the paper is not as simplistic as giving Cicero’s opinion as fact. Beard postulates that the arguments given for divination in book one </w:t>
      </w:r>
      <w:r w:rsidR="00CF2F5C" w:rsidRPr="008C1148">
        <w:rPr>
          <w:rFonts w:cstheme="minorHAnsi"/>
          <w:sz w:val="24"/>
          <w:szCs w:val="24"/>
        </w:rPr>
        <w:t>has</w:t>
      </w:r>
      <w:r w:rsidRPr="008C1148">
        <w:rPr>
          <w:rFonts w:cstheme="minorHAnsi"/>
          <w:sz w:val="24"/>
          <w:szCs w:val="24"/>
        </w:rPr>
        <w:t xml:space="preserve"> been directed in such a way as to give the overall work credence, thus allowing the reader to create their conclusions on the practice of divination</w:t>
      </w:r>
      <w:r w:rsidR="00130107" w:rsidRPr="008C1148">
        <w:rPr>
          <w:rStyle w:val="FootnoteReference"/>
          <w:rFonts w:cstheme="minorHAnsi"/>
          <w:sz w:val="24"/>
          <w:szCs w:val="24"/>
        </w:rPr>
        <w:footnoteReference w:id="14"/>
      </w:r>
      <w:r w:rsidR="00130107" w:rsidRPr="008C1148">
        <w:rPr>
          <w:rFonts w:cstheme="minorHAnsi"/>
          <w:sz w:val="24"/>
          <w:szCs w:val="24"/>
        </w:rPr>
        <w:t xml:space="preserve">. </w:t>
      </w:r>
      <w:proofErr w:type="spellStart"/>
      <w:r w:rsidRPr="008C1148">
        <w:rPr>
          <w:rFonts w:cstheme="minorHAnsi"/>
          <w:sz w:val="24"/>
          <w:szCs w:val="24"/>
        </w:rPr>
        <w:t>Goar</w:t>
      </w:r>
      <w:proofErr w:type="spellEnd"/>
      <w:r w:rsidRPr="008C1148">
        <w:rPr>
          <w:rFonts w:cstheme="minorHAnsi"/>
          <w:sz w:val="24"/>
          <w:szCs w:val="24"/>
        </w:rPr>
        <w:t xml:space="preserve"> suggests that the body of work was not meant for the everyday Roman ‘plebian’ and using language and rhetoric the intended audience of the books is the middle and upper classes of the State</w:t>
      </w:r>
      <w:r w:rsidR="00130107" w:rsidRPr="008C1148">
        <w:rPr>
          <w:rStyle w:val="FootnoteReference"/>
          <w:rFonts w:cstheme="minorHAnsi"/>
          <w:sz w:val="24"/>
          <w:szCs w:val="24"/>
        </w:rPr>
        <w:footnoteReference w:id="15"/>
      </w:r>
      <w:r w:rsidR="00130107" w:rsidRPr="008C1148">
        <w:rPr>
          <w:rFonts w:cstheme="minorHAnsi"/>
          <w:sz w:val="24"/>
          <w:szCs w:val="24"/>
        </w:rPr>
        <w:t xml:space="preserve">. </w:t>
      </w:r>
      <w:r w:rsidR="00CF2F5C" w:rsidRPr="008C1148">
        <w:rPr>
          <w:rFonts w:cstheme="minorHAnsi"/>
          <w:sz w:val="24"/>
          <w:szCs w:val="24"/>
        </w:rPr>
        <w:t>E</w:t>
      </w:r>
      <w:r w:rsidRPr="008C1148">
        <w:rPr>
          <w:rFonts w:cstheme="minorHAnsi"/>
          <w:sz w:val="24"/>
          <w:szCs w:val="24"/>
        </w:rPr>
        <w:t>vidence suggests that the books have a different intended audience to provide a holistic viewpoint for a reasoned argument. Although initially, this literature seems to have been directed towards the upper classes, there is evidence to suggest book II is appealing to a different type of audience. Muller advocates within their review that the second book requires a cultured audience, ‘one capable of appreciating witty repartee on the topic of the state religion’</w:t>
      </w:r>
      <w:r w:rsidR="00130107" w:rsidRPr="008C1148">
        <w:rPr>
          <w:rStyle w:val="FootnoteReference"/>
          <w:rFonts w:cstheme="minorHAnsi"/>
          <w:sz w:val="24"/>
          <w:szCs w:val="24"/>
        </w:rPr>
        <w:footnoteReference w:id="16"/>
      </w:r>
      <w:r w:rsidR="00130107" w:rsidRPr="008C1148">
        <w:rPr>
          <w:rFonts w:cstheme="minorHAnsi"/>
          <w:sz w:val="24"/>
          <w:szCs w:val="24"/>
        </w:rPr>
        <w:t xml:space="preserve">. </w:t>
      </w:r>
      <w:r w:rsidRPr="008C1148">
        <w:rPr>
          <w:rFonts w:cstheme="minorHAnsi"/>
          <w:sz w:val="24"/>
          <w:szCs w:val="24"/>
        </w:rPr>
        <w:t xml:space="preserve">From this statement, it can allude that the intended audience does not have to be of any specific </w:t>
      </w:r>
      <w:bookmarkStart w:id="4" w:name="_Hlk129466897"/>
      <w:bookmarkEnd w:id="3"/>
      <w:r w:rsidRPr="008C1148">
        <w:rPr>
          <w:rFonts w:cstheme="minorHAnsi"/>
          <w:sz w:val="24"/>
          <w:szCs w:val="24"/>
        </w:rPr>
        <w:t xml:space="preserve">class </w:t>
      </w:r>
      <w:r w:rsidRPr="008C1148">
        <w:rPr>
          <w:rFonts w:cstheme="minorHAnsi"/>
          <w:sz w:val="24"/>
          <w:szCs w:val="24"/>
        </w:rPr>
        <w:lastRenderedPageBreak/>
        <w:t>system or standing but at least have an academic understanding to appreciate the literature.</w:t>
      </w:r>
    </w:p>
    <w:p w14:paraId="10521ABE" w14:textId="77777777" w:rsidR="00716A44" w:rsidRPr="008C1148" w:rsidRDefault="00716A44" w:rsidP="008C1148">
      <w:pPr>
        <w:spacing w:after="0" w:line="240" w:lineRule="auto"/>
        <w:rPr>
          <w:rFonts w:cstheme="minorHAnsi"/>
          <w:sz w:val="24"/>
          <w:szCs w:val="24"/>
        </w:rPr>
      </w:pPr>
    </w:p>
    <w:bookmarkEnd w:id="4"/>
    <w:p w14:paraId="262BCA69" w14:textId="3B150887" w:rsidR="00130107" w:rsidRPr="0035435D" w:rsidRDefault="002447CB" w:rsidP="0035435D">
      <w:pPr>
        <w:spacing w:line="360" w:lineRule="auto"/>
        <w:rPr>
          <w:rFonts w:cstheme="minorHAnsi"/>
          <w:b/>
          <w:bCs/>
          <w:sz w:val="28"/>
          <w:szCs w:val="28"/>
          <w:lang w:val="en-US"/>
        </w:rPr>
      </w:pPr>
      <w:r w:rsidRPr="0035435D">
        <w:rPr>
          <w:rFonts w:cstheme="minorHAnsi"/>
          <w:b/>
          <w:bCs/>
          <w:sz w:val="28"/>
          <w:szCs w:val="28"/>
          <w:lang w:val="en-US"/>
        </w:rPr>
        <w:t xml:space="preserve">Content </w:t>
      </w:r>
      <w:r w:rsidR="00716A44" w:rsidRPr="0035435D">
        <w:rPr>
          <w:rFonts w:cstheme="minorHAnsi"/>
          <w:b/>
          <w:bCs/>
          <w:sz w:val="28"/>
          <w:szCs w:val="28"/>
          <w:lang w:val="en-US"/>
        </w:rPr>
        <w:t>676</w:t>
      </w:r>
    </w:p>
    <w:p w14:paraId="408BB624" w14:textId="0DF477C6" w:rsidR="00483188" w:rsidRPr="008C1148" w:rsidRDefault="00EA5456" w:rsidP="008C1148">
      <w:pPr>
        <w:spacing w:after="0" w:line="240" w:lineRule="auto"/>
        <w:rPr>
          <w:rFonts w:cstheme="minorHAnsi"/>
          <w:sz w:val="24"/>
          <w:szCs w:val="24"/>
        </w:rPr>
      </w:pPr>
      <w:bookmarkStart w:id="5" w:name="_Hlk129466984"/>
      <w:r w:rsidRPr="008C1148">
        <w:rPr>
          <w:rFonts w:cstheme="minorHAnsi"/>
          <w:sz w:val="24"/>
          <w:szCs w:val="24"/>
        </w:rPr>
        <w:t>At the outset of book II Marcus Cicero writes “I must do so with great diffidence and with many misgivings and in such a way as to affirm nothing and question everything</w:t>
      </w:r>
      <w:r w:rsidR="00483188" w:rsidRPr="008C1148">
        <w:rPr>
          <w:rFonts w:cstheme="minorHAnsi"/>
          <w:sz w:val="24"/>
          <w:szCs w:val="24"/>
        </w:rPr>
        <w:t>”</w:t>
      </w:r>
      <w:r w:rsidR="00483188" w:rsidRPr="008C1148">
        <w:rPr>
          <w:rStyle w:val="FootnoteReference"/>
          <w:rFonts w:cstheme="minorHAnsi"/>
          <w:sz w:val="24"/>
          <w:szCs w:val="24"/>
        </w:rPr>
        <w:footnoteReference w:id="17"/>
      </w:r>
      <w:r w:rsidR="00483188" w:rsidRPr="008C1148">
        <w:rPr>
          <w:rFonts w:cstheme="minorHAnsi"/>
          <w:sz w:val="24"/>
          <w:szCs w:val="24"/>
        </w:rPr>
        <w:t xml:space="preserve">. </w:t>
      </w:r>
      <w:r w:rsidRPr="008C1148">
        <w:rPr>
          <w:rFonts w:cstheme="minorHAnsi"/>
          <w:sz w:val="24"/>
          <w:szCs w:val="24"/>
        </w:rPr>
        <w:t>This gives the reader the understanding that the second book is to be a contrast to the first and to question everything that has been affirmed within book I. Despite these well-intentioned efforts, Cabrera advocates that Cicero affirms some of the divinatory explanations defended by his brother Quintus</w:t>
      </w:r>
      <w:r w:rsidR="00483188" w:rsidRPr="008C1148">
        <w:rPr>
          <w:rStyle w:val="FootnoteReference"/>
          <w:rFonts w:cstheme="minorHAnsi"/>
          <w:sz w:val="24"/>
          <w:szCs w:val="24"/>
        </w:rPr>
        <w:footnoteReference w:id="18"/>
      </w:r>
      <w:r w:rsidR="00483188" w:rsidRPr="008C1148">
        <w:rPr>
          <w:rFonts w:cstheme="minorHAnsi"/>
          <w:sz w:val="24"/>
          <w:szCs w:val="24"/>
        </w:rPr>
        <w:t xml:space="preserve">. </w:t>
      </w:r>
      <w:r w:rsidRPr="008C1148">
        <w:rPr>
          <w:rFonts w:cstheme="minorHAnsi"/>
          <w:sz w:val="24"/>
          <w:szCs w:val="24"/>
        </w:rPr>
        <w:t>The work is divided between two books and offers different philosophical viewpoints. The structure of book I have divided opinions amongst academics within its efficacy of explaining divination. It has been stated that the first book is primarily focused on defining divination, its nature and examining its reliability</w:t>
      </w:r>
      <w:r w:rsidR="00483188" w:rsidRPr="008C1148">
        <w:rPr>
          <w:rStyle w:val="FootnoteReference"/>
          <w:rFonts w:cstheme="minorHAnsi"/>
          <w:sz w:val="24"/>
          <w:szCs w:val="24"/>
        </w:rPr>
        <w:footnoteReference w:id="19"/>
      </w:r>
      <w:r w:rsidR="00483188" w:rsidRPr="008C1148">
        <w:rPr>
          <w:rFonts w:cstheme="minorHAnsi"/>
          <w:sz w:val="24"/>
          <w:szCs w:val="24"/>
        </w:rPr>
        <w:t>. Conversely</w:t>
      </w:r>
      <w:r w:rsidRPr="008C1148">
        <w:rPr>
          <w:rFonts w:cstheme="minorHAnsi"/>
          <w:sz w:val="24"/>
          <w:szCs w:val="24"/>
        </w:rPr>
        <w:t>,</w:t>
      </w:r>
      <w:r w:rsidR="00483188" w:rsidRPr="008C1148">
        <w:rPr>
          <w:rFonts w:cstheme="minorHAnsi"/>
          <w:sz w:val="24"/>
          <w:szCs w:val="24"/>
        </w:rPr>
        <w:t xml:space="preserve"> Wynne</w:t>
      </w:r>
      <w:r w:rsidR="00483188" w:rsidRPr="008C1148">
        <w:rPr>
          <w:rStyle w:val="FootnoteReference"/>
          <w:rFonts w:cstheme="minorHAnsi"/>
          <w:sz w:val="24"/>
          <w:szCs w:val="24"/>
        </w:rPr>
        <w:footnoteReference w:id="20"/>
      </w:r>
      <w:r w:rsidR="00483188" w:rsidRPr="008C1148">
        <w:rPr>
          <w:rFonts w:cstheme="minorHAnsi"/>
          <w:sz w:val="24"/>
          <w:szCs w:val="24"/>
        </w:rPr>
        <w:t xml:space="preserve"> </w:t>
      </w:r>
      <w:r w:rsidRPr="008C1148">
        <w:rPr>
          <w:rFonts w:cstheme="minorHAnsi"/>
          <w:sz w:val="24"/>
          <w:szCs w:val="24"/>
        </w:rPr>
        <w:t xml:space="preserve">asserts that book I is an amalgamation of ‘unnecessarily strong distinctions’ between artificial and natural divination with clumsy and confusing digressions. Book II of De Divinatione is less confused and contested by </w:t>
      </w:r>
      <w:r w:rsidR="00F934E1" w:rsidRPr="008C1148">
        <w:rPr>
          <w:rFonts w:cstheme="minorHAnsi"/>
          <w:sz w:val="24"/>
          <w:szCs w:val="24"/>
        </w:rPr>
        <w:t>academics and</w:t>
      </w:r>
      <w:r w:rsidRPr="008C1148">
        <w:rPr>
          <w:rFonts w:cstheme="minorHAnsi"/>
          <w:sz w:val="24"/>
          <w:szCs w:val="24"/>
        </w:rPr>
        <w:t xml:space="preserve"> is widely believed to be a more focused approach</w:t>
      </w:r>
      <w:r w:rsidR="00F934E1" w:rsidRPr="008C1148">
        <w:rPr>
          <w:rFonts w:cstheme="minorHAnsi"/>
          <w:sz w:val="24"/>
          <w:szCs w:val="24"/>
        </w:rPr>
        <w:t>.</w:t>
      </w:r>
      <w:r w:rsidR="00716A44" w:rsidRPr="008C1148">
        <w:rPr>
          <w:rFonts w:cstheme="minorHAnsi"/>
          <w:sz w:val="24"/>
          <w:szCs w:val="24"/>
        </w:rPr>
        <w:t xml:space="preserve"> The themes that emerge through the writing support this focused approach. </w:t>
      </w:r>
      <w:r w:rsidRPr="008C1148">
        <w:rPr>
          <w:rFonts w:cstheme="minorHAnsi"/>
          <w:sz w:val="24"/>
          <w:szCs w:val="24"/>
        </w:rPr>
        <w:t>Throughout the writing of Cicero, several themes emerge from the literature, which comes together to support Cicero’s argument. The nature and origin of divination are traced back through the ancient civilisations whilst the faithfulness of divination is analysed through two contrasting critical lenses of philosophers Xenophanes of Colophon and Epicurus to curate a rounded argument</w:t>
      </w:r>
      <w:r w:rsidR="00483188" w:rsidRPr="008C1148">
        <w:rPr>
          <w:rStyle w:val="FootnoteReference"/>
          <w:rFonts w:cstheme="minorHAnsi"/>
          <w:sz w:val="24"/>
          <w:szCs w:val="24"/>
        </w:rPr>
        <w:footnoteReference w:id="21"/>
      </w:r>
      <w:r w:rsidR="00483188" w:rsidRPr="008C1148">
        <w:rPr>
          <w:rFonts w:cstheme="minorHAnsi"/>
          <w:sz w:val="24"/>
          <w:szCs w:val="24"/>
        </w:rPr>
        <w:t xml:space="preserve">. </w:t>
      </w:r>
      <w:r w:rsidRPr="008C1148">
        <w:rPr>
          <w:rFonts w:cstheme="minorHAnsi"/>
          <w:sz w:val="24"/>
          <w:szCs w:val="24"/>
        </w:rPr>
        <w:t xml:space="preserve">The relationship between religion and philosophy is explored to justify Cicero’s claims that religion and philosophy are not mutually </w:t>
      </w:r>
      <w:r w:rsidR="00F934E1" w:rsidRPr="008C1148">
        <w:rPr>
          <w:rFonts w:cstheme="minorHAnsi"/>
          <w:sz w:val="24"/>
          <w:szCs w:val="24"/>
        </w:rPr>
        <w:t>exclusive,</w:t>
      </w:r>
      <w:r w:rsidRPr="008C1148">
        <w:rPr>
          <w:rFonts w:cstheme="minorHAnsi"/>
          <w:sz w:val="24"/>
          <w:szCs w:val="24"/>
        </w:rPr>
        <w:t xml:space="preserve"> and they complement and enhance the understanding of the divine</w:t>
      </w:r>
      <w:r w:rsidR="00483188" w:rsidRPr="008C1148">
        <w:rPr>
          <w:rStyle w:val="FootnoteReference"/>
          <w:rFonts w:cstheme="minorHAnsi"/>
          <w:sz w:val="24"/>
          <w:szCs w:val="24"/>
        </w:rPr>
        <w:footnoteReference w:id="22"/>
      </w:r>
      <w:r w:rsidR="00483188" w:rsidRPr="008C1148">
        <w:rPr>
          <w:rFonts w:cstheme="minorHAnsi"/>
          <w:sz w:val="24"/>
          <w:szCs w:val="24"/>
        </w:rPr>
        <w:t xml:space="preserve">. </w:t>
      </w:r>
      <w:r w:rsidRPr="008C1148">
        <w:rPr>
          <w:rFonts w:cstheme="minorHAnsi"/>
          <w:sz w:val="24"/>
          <w:szCs w:val="24"/>
        </w:rPr>
        <w:t xml:space="preserve">During the reading of the document, Cicero emphasises the importance of using reason and evidence, the idea of fate and whether it can be altered through human action and the importance of virtue to provide a balanced argument allowing the reader to decipher and decide themselves. </w:t>
      </w:r>
    </w:p>
    <w:p w14:paraId="37A9B08C" w14:textId="60455A1F" w:rsidR="00483188" w:rsidRPr="008C1148" w:rsidRDefault="00EA5456" w:rsidP="008C1148">
      <w:pPr>
        <w:pStyle w:val="NormalWeb"/>
        <w:spacing w:after="0"/>
        <w:rPr>
          <w:rFonts w:asciiTheme="minorHAnsi" w:hAnsiTheme="minorHAnsi" w:cstheme="minorHAnsi"/>
        </w:rPr>
      </w:pPr>
      <w:bookmarkStart w:id="6" w:name="_Hlk129467053"/>
      <w:bookmarkEnd w:id="5"/>
      <w:r w:rsidRPr="008C1148">
        <w:rPr>
          <w:rFonts w:asciiTheme="minorHAnsi" w:hAnsiTheme="minorHAnsi" w:cstheme="minorHAnsi"/>
        </w:rPr>
        <w:t xml:space="preserve">The perspectives which are evident in the writing of the text are a presentation of multifaceted explorations of divination that incorporates a plethora of </w:t>
      </w:r>
      <w:r w:rsidR="00F934E1" w:rsidRPr="008C1148">
        <w:rPr>
          <w:rFonts w:asciiTheme="minorHAnsi" w:hAnsiTheme="minorHAnsi" w:cstheme="minorHAnsi"/>
        </w:rPr>
        <w:t>opinio</w:t>
      </w:r>
      <w:r w:rsidRPr="008C1148">
        <w:rPr>
          <w:rFonts w:asciiTheme="minorHAnsi" w:hAnsiTheme="minorHAnsi" w:cstheme="minorHAnsi"/>
        </w:rPr>
        <w:t>ns. The contrasting stoic and sceptical perspectives challenge the validity of divination and provide a reasoned argument</w:t>
      </w:r>
      <w:r w:rsidR="00483188" w:rsidRPr="008C1148">
        <w:rPr>
          <w:rStyle w:val="FootnoteReference"/>
          <w:rFonts w:asciiTheme="minorHAnsi" w:hAnsiTheme="minorHAnsi" w:cstheme="minorHAnsi"/>
        </w:rPr>
        <w:footnoteReference w:id="23"/>
      </w:r>
      <w:r w:rsidR="00483188" w:rsidRPr="008C1148">
        <w:rPr>
          <w:rFonts w:asciiTheme="minorHAnsi" w:hAnsiTheme="minorHAnsi" w:cstheme="minorHAnsi"/>
        </w:rPr>
        <w:t xml:space="preserve">. </w:t>
      </w:r>
      <w:r w:rsidRPr="008C1148">
        <w:rPr>
          <w:rFonts w:asciiTheme="minorHAnsi" w:hAnsiTheme="minorHAnsi" w:cstheme="minorHAnsi"/>
        </w:rPr>
        <w:t xml:space="preserve">The religious lens is also considered throughout when Cicero </w:t>
      </w:r>
      <w:r w:rsidRPr="008C1148">
        <w:rPr>
          <w:rFonts w:asciiTheme="minorHAnsi" w:hAnsiTheme="minorHAnsi" w:cstheme="minorHAnsi"/>
        </w:rPr>
        <w:lastRenderedPageBreak/>
        <w:t>acknowledges the importance of divination in ancient religious practices</w:t>
      </w:r>
      <w:r w:rsidR="00483188" w:rsidRPr="008C1148">
        <w:rPr>
          <w:rStyle w:val="FootnoteReference"/>
          <w:rFonts w:asciiTheme="minorHAnsi" w:hAnsiTheme="minorHAnsi" w:cstheme="minorHAnsi"/>
        </w:rPr>
        <w:footnoteReference w:id="24"/>
      </w:r>
      <w:r w:rsidR="00483188" w:rsidRPr="008C1148">
        <w:rPr>
          <w:rFonts w:asciiTheme="minorHAnsi" w:hAnsiTheme="minorHAnsi" w:cstheme="minorHAnsi"/>
        </w:rPr>
        <w:t xml:space="preserve"> </w:t>
      </w:r>
      <w:r w:rsidRPr="008C1148">
        <w:rPr>
          <w:rFonts w:asciiTheme="minorHAnsi" w:hAnsiTheme="minorHAnsi" w:cstheme="minorHAnsi"/>
        </w:rPr>
        <w:t xml:space="preserve">and recognises the benefits of that in supporting divination beliefs. This could also indicate that a historical perspective is used within the discussion and is seen supporting the statements on the origins of divination and their evolution over time. It can be suggested that the most predominant perspective in the work is that of the philosophical lens, where Cicero employs arguments, theories, </w:t>
      </w:r>
      <w:r w:rsidR="00F934E1" w:rsidRPr="008C1148">
        <w:rPr>
          <w:rFonts w:asciiTheme="minorHAnsi" w:hAnsiTheme="minorHAnsi" w:cstheme="minorHAnsi"/>
        </w:rPr>
        <w:t>evidence,</w:t>
      </w:r>
      <w:r w:rsidRPr="008C1148">
        <w:rPr>
          <w:rFonts w:asciiTheme="minorHAnsi" w:hAnsiTheme="minorHAnsi" w:cstheme="minorHAnsi"/>
        </w:rPr>
        <w:t xml:space="preserve"> and reason to evaluate the claims of divination. It has been noted that </w:t>
      </w:r>
      <w:r w:rsidRPr="008C1148">
        <w:rPr>
          <w:rStyle w:val="Emphasis"/>
          <w:rFonts w:asciiTheme="minorHAnsi" w:hAnsiTheme="minorHAnsi" w:cstheme="minorHAnsi"/>
        </w:rPr>
        <w:t>‘De Divinatione’ </w:t>
      </w:r>
      <w:r w:rsidRPr="008C1148">
        <w:rPr>
          <w:rFonts w:asciiTheme="minorHAnsi" w:hAnsiTheme="minorHAnsi" w:cstheme="minorHAnsi"/>
        </w:rPr>
        <w:t>is one of the most important dialogues of religion, sustained especially about divination</w:t>
      </w:r>
      <w:r w:rsidR="00483188" w:rsidRPr="008C1148">
        <w:rPr>
          <w:rStyle w:val="FootnoteReference"/>
          <w:rFonts w:asciiTheme="minorHAnsi" w:hAnsiTheme="minorHAnsi" w:cstheme="minorHAnsi"/>
        </w:rPr>
        <w:footnoteReference w:id="25"/>
      </w:r>
      <w:r w:rsidR="00483188" w:rsidRPr="008C1148">
        <w:rPr>
          <w:rFonts w:asciiTheme="minorHAnsi" w:hAnsiTheme="minorHAnsi" w:cstheme="minorHAnsi"/>
        </w:rPr>
        <w:t xml:space="preserve">. </w:t>
      </w:r>
    </w:p>
    <w:bookmarkEnd w:id="6"/>
    <w:p w14:paraId="36B7AAA8" w14:textId="23F74601" w:rsidR="002447CB" w:rsidRPr="0035435D" w:rsidRDefault="002447CB" w:rsidP="0035435D">
      <w:pPr>
        <w:spacing w:line="360" w:lineRule="auto"/>
        <w:rPr>
          <w:rFonts w:cstheme="minorHAnsi"/>
          <w:b/>
          <w:bCs/>
          <w:sz w:val="28"/>
          <w:szCs w:val="28"/>
          <w:lang w:val="en-US"/>
        </w:rPr>
      </w:pPr>
      <w:proofErr w:type="spellStart"/>
      <w:r w:rsidRPr="0035435D">
        <w:rPr>
          <w:rFonts w:cstheme="minorHAnsi"/>
          <w:b/>
          <w:bCs/>
          <w:sz w:val="28"/>
          <w:szCs w:val="28"/>
          <w:lang w:val="en-US"/>
        </w:rPr>
        <w:t>Analyse</w:t>
      </w:r>
      <w:proofErr w:type="spellEnd"/>
      <w:r w:rsidRPr="0035435D">
        <w:rPr>
          <w:rFonts w:cstheme="minorHAnsi"/>
          <w:b/>
          <w:bCs/>
          <w:sz w:val="28"/>
          <w:szCs w:val="28"/>
          <w:lang w:val="en-US"/>
        </w:rPr>
        <w:t xml:space="preserve"> </w:t>
      </w:r>
      <w:r w:rsidR="00716A44" w:rsidRPr="0035435D">
        <w:rPr>
          <w:rFonts w:cstheme="minorHAnsi"/>
          <w:b/>
          <w:bCs/>
          <w:sz w:val="28"/>
          <w:szCs w:val="28"/>
          <w:lang w:val="en-US"/>
        </w:rPr>
        <w:t>862</w:t>
      </w:r>
    </w:p>
    <w:p w14:paraId="79AF6A8E" w14:textId="14620799" w:rsidR="00F934E1" w:rsidRPr="008C1148" w:rsidRDefault="0075224B" w:rsidP="008C1148">
      <w:pPr>
        <w:spacing w:after="0" w:line="240" w:lineRule="auto"/>
        <w:rPr>
          <w:rFonts w:cstheme="minorHAnsi"/>
          <w:sz w:val="24"/>
          <w:szCs w:val="24"/>
          <w:shd w:val="clear" w:color="auto" w:fill="FFFFFF"/>
        </w:rPr>
      </w:pPr>
      <w:bookmarkStart w:id="7" w:name="_Hlk129467085"/>
      <w:r w:rsidRPr="008C1148">
        <w:rPr>
          <w:rFonts w:cstheme="minorHAnsi"/>
          <w:sz w:val="24"/>
          <w:szCs w:val="24"/>
        </w:rPr>
        <w:t>The writing style across the two books has been constructed in the form of a discussion which highlights the arguments for and against divinatory practices. It has been suggested that Cicero’s methods of illustration are somewhat unusual as using a loosely rhetorical form leaving the reader to come to their own decision rather than being swayed by the author</w:t>
      </w:r>
      <w:r w:rsidRPr="008C1148">
        <w:rPr>
          <w:rStyle w:val="FootnoteReference"/>
          <w:rFonts w:cstheme="minorHAnsi"/>
          <w:sz w:val="24"/>
          <w:szCs w:val="24"/>
        </w:rPr>
        <w:footnoteReference w:id="26"/>
      </w:r>
      <w:r w:rsidRPr="008C1148">
        <w:rPr>
          <w:rFonts w:cstheme="minorHAnsi"/>
          <w:sz w:val="24"/>
          <w:szCs w:val="24"/>
        </w:rPr>
        <w:t xml:space="preserve">.  The use of rhetorical form is further scrutinised due to the translation of the original Latin prose. </w:t>
      </w:r>
      <w:proofErr w:type="spellStart"/>
      <w:r w:rsidRPr="008C1148">
        <w:rPr>
          <w:rFonts w:cstheme="minorHAnsi"/>
          <w:sz w:val="24"/>
          <w:szCs w:val="24"/>
        </w:rPr>
        <w:t>Baraz</w:t>
      </w:r>
      <w:proofErr w:type="spellEnd"/>
      <w:r w:rsidRPr="008C1148">
        <w:rPr>
          <w:rStyle w:val="FootnoteReference"/>
          <w:rFonts w:cstheme="minorHAnsi"/>
          <w:sz w:val="24"/>
          <w:szCs w:val="24"/>
        </w:rPr>
        <w:footnoteReference w:id="27"/>
      </w:r>
      <w:r w:rsidRPr="008C1148">
        <w:rPr>
          <w:rFonts w:cstheme="minorHAnsi"/>
          <w:sz w:val="24"/>
          <w:szCs w:val="24"/>
        </w:rPr>
        <w:t xml:space="preserve"> explains that the translations of the original texts have lost the ‘beauty and highly crafted inflexion of the language’ consequently disadvantaging contemporary readers to the rhetorical devices used by Cicero. Further evidence that supports the complexity of the text is highlighted by Schofield who claims </w:t>
      </w:r>
      <w:r w:rsidRPr="008C1148">
        <w:rPr>
          <w:rFonts w:cstheme="minorHAnsi"/>
          <w:i/>
          <w:iCs/>
          <w:sz w:val="24"/>
          <w:szCs w:val="24"/>
        </w:rPr>
        <w:t>De Divinatione</w:t>
      </w:r>
      <w:r w:rsidRPr="008C1148">
        <w:rPr>
          <w:rFonts w:cstheme="minorHAnsi"/>
          <w:sz w:val="24"/>
          <w:szCs w:val="24"/>
        </w:rPr>
        <w:t xml:space="preserve"> “takes a lot of getting through for philosophers”, </w:t>
      </w:r>
      <w:r w:rsidR="00F934E1" w:rsidRPr="008C1148">
        <w:rPr>
          <w:rFonts w:cstheme="minorHAnsi"/>
          <w:sz w:val="24"/>
          <w:szCs w:val="24"/>
        </w:rPr>
        <w:t>by</w:t>
      </w:r>
      <w:r w:rsidRPr="008C1148">
        <w:rPr>
          <w:rFonts w:cstheme="minorHAnsi"/>
          <w:sz w:val="24"/>
          <w:szCs w:val="24"/>
        </w:rPr>
        <w:t xml:space="preserve"> </w:t>
      </w:r>
      <w:r w:rsidR="00F934E1" w:rsidRPr="008C1148">
        <w:rPr>
          <w:rFonts w:cstheme="minorHAnsi"/>
          <w:sz w:val="24"/>
          <w:szCs w:val="24"/>
        </w:rPr>
        <w:t xml:space="preserve">using </w:t>
      </w:r>
      <w:r w:rsidRPr="008C1148">
        <w:rPr>
          <w:rFonts w:cstheme="minorHAnsi"/>
          <w:sz w:val="24"/>
          <w:szCs w:val="24"/>
        </w:rPr>
        <w:t>rhetoric form it is lacking the “subtleties of philosophical argument”</w:t>
      </w:r>
      <w:r w:rsidRPr="008C1148">
        <w:rPr>
          <w:rStyle w:val="FootnoteReference"/>
          <w:rFonts w:cstheme="minorHAnsi"/>
          <w:sz w:val="24"/>
          <w:szCs w:val="24"/>
        </w:rPr>
        <w:footnoteReference w:id="28"/>
      </w:r>
      <w:r w:rsidRPr="008C1148">
        <w:rPr>
          <w:rFonts w:cstheme="minorHAnsi"/>
          <w:sz w:val="24"/>
          <w:szCs w:val="24"/>
        </w:rPr>
        <w:t xml:space="preserve">. </w:t>
      </w:r>
      <w:r w:rsidR="00F934E1" w:rsidRPr="008C1148">
        <w:rPr>
          <w:rFonts w:cstheme="minorHAnsi"/>
          <w:sz w:val="24"/>
          <w:szCs w:val="24"/>
        </w:rPr>
        <w:t xml:space="preserve">Subsequently the impact the writing would </w:t>
      </w:r>
      <w:r w:rsidRPr="008C1148">
        <w:rPr>
          <w:rFonts w:cstheme="minorHAnsi"/>
          <w:sz w:val="24"/>
          <w:szCs w:val="24"/>
          <w:shd w:val="clear" w:color="auto" w:fill="FFFFFF"/>
        </w:rPr>
        <w:t xml:space="preserve">have had in its period is negotiable. </w:t>
      </w:r>
      <w:r w:rsidR="00F934E1" w:rsidRPr="008C1148">
        <w:rPr>
          <w:rFonts w:cstheme="minorHAnsi"/>
          <w:sz w:val="24"/>
          <w:szCs w:val="24"/>
          <w:shd w:val="clear" w:color="auto" w:fill="FFFFFF"/>
        </w:rPr>
        <w:t xml:space="preserve">It can be elucidated that </w:t>
      </w:r>
      <w:r w:rsidR="00F934E1" w:rsidRPr="008C1148">
        <w:rPr>
          <w:rFonts w:cstheme="minorHAnsi"/>
          <w:sz w:val="24"/>
          <w:szCs w:val="24"/>
        </w:rPr>
        <w:t>Cicero, who was a prominent politician, lawyer, and philosopher, was deeply concerned about the direction of Roman society and the role of traditional religious beliefs and practices in shaping public opinion and policy</w:t>
      </w:r>
      <w:r w:rsidR="00F934E1" w:rsidRPr="008C1148">
        <w:rPr>
          <w:rFonts w:cstheme="minorHAnsi"/>
          <w:sz w:val="24"/>
          <w:szCs w:val="24"/>
          <w:shd w:val="clear" w:color="auto" w:fill="FFFFFF"/>
        </w:rPr>
        <w:t>. However, this literature was never meant for the average man</w:t>
      </w:r>
      <w:r w:rsidR="00F934E1" w:rsidRPr="008C1148">
        <w:rPr>
          <w:rStyle w:val="FootnoteReference"/>
          <w:rFonts w:cstheme="minorHAnsi"/>
          <w:sz w:val="24"/>
          <w:szCs w:val="24"/>
          <w:shd w:val="clear" w:color="auto" w:fill="FFFFFF"/>
        </w:rPr>
        <w:footnoteReference w:id="29"/>
      </w:r>
      <w:r w:rsidR="00F934E1" w:rsidRPr="008C1148">
        <w:rPr>
          <w:rFonts w:cstheme="minorHAnsi"/>
          <w:sz w:val="24"/>
          <w:szCs w:val="24"/>
          <w:shd w:val="clear" w:color="auto" w:fill="FFFFFF"/>
        </w:rPr>
        <w:t xml:space="preserve"> therefore would not have had much effect on shaping public opinion.</w:t>
      </w:r>
      <w:r w:rsidR="000F4029" w:rsidRPr="008C1148">
        <w:rPr>
          <w:rFonts w:cstheme="minorHAnsi"/>
          <w:sz w:val="24"/>
          <w:szCs w:val="24"/>
          <w:shd w:val="clear" w:color="auto" w:fill="FFFFFF"/>
        </w:rPr>
        <w:t xml:space="preserve"> Conversely it was never the authors intention to create an argument against superstition and divination to abolish the practice but rather to glorify the past to bring back a sense of order</w:t>
      </w:r>
      <w:r w:rsidR="000F4029" w:rsidRPr="008C1148">
        <w:rPr>
          <w:rStyle w:val="FootnoteReference"/>
          <w:rFonts w:cstheme="minorHAnsi"/>
          <w:sz w:val="24"/>
          <w:szCs w:val="24"/>
          <w:shd w:val="clear" w:color="auto" w:fill="FFFFFF"/>
        </w:rPr>
        <w:footnoteReference w:id="30"/>
      </w:r>
      <w:r w:rsidR="000F4029" w:rsidRPr="008C1148">
        <w:rPr>
          <w:rFonts w:cstheme="minorHAnsi"/>
          <w:sz w:val="24"/>
          <w:szCs w:val="24"/>
          <w:shd w:val="clear" w:color="auto" w:fill="FFFFFF"/>
        </w:rPr>
        <w:t>.</w:t>
      </w:r>
    </w:p>
    <w:bookmarkEnd w:id="7"/>
    <w:p w14:paraId="04CEAEBE" w14:textId="77777777" w:rsidR="0075224B" w:rsidRPr="0035435D" w:rsidRDefault="0075224B" w:rsidP="0035435D">
      <w:pPr>
        <w:spacing w:after="0" w:line="360" w:lineRule="auto"/>
        <w:rPr>
          <w:rFonts w:cstheme="minorHAnsi"/>
          <w:sz w:val="28"/>
          <w:szCs w:val="28"/>
          <w:shd w:val="clear" w:color="auto" w:fill="FFFFFF"/>
        </w:rPr>
      </w:pPr>
    </w:p>
    <w:p w14:paraId="02B7CD4B" w14:textId="1E0E6A55" w:rsidR="0075224B" w:rsidRPr="008C1148" w:rsidRDefault="0075224B" w:rsidP="008C1148">
      <w:pPr>
        <w:spacing w:after="0" w:line="240" w:lineRule="auto"/>
        <w:rPr>
          <w:rFonts w:cstheme="minorHAnsi"/>
          <w:sz w:val="24"/>
          <w:szCs w:val="24"/>
        </w:rPr>
      </w:pPr>
      <w:bookmarkStart w:id="8" w:name="_Hlk129467174"/>
      <w:r w:rsidRPr="008C1148">
        <w:rPr>
          <w:rFonts w:cstheme="minorHAnsi"/>
          <w:sz w:val="24"/>
          <w:szCs w:val="24"/>
        </w:rPr>
        <w:t xml:space="preserve">The quality of the arguments presented in Cicero’s writing are complex and multifaceted drawing on a variety of resources and viewpoints. There is evidence to suggest that the complexity and evidenced laying of the text is a textual representation of the cultural </w:t>
      </w:r>
      <w:r w:rsidRPr="008C1148">
        <w:rPr>
          <w:rFonts w:cstheme="minorHAnsi"/>
          <w:sz w:val="24"/>
          <w:szCs w:val="24"/>
        </w:rPr>
        <w:lastRenderedPageBreak/>
        <w:t>development happening within Rome at the time</w:t>
      </w:r>
      <w:r w:rsidRPr="008C1148">
        <w:rPr>
          <w:rStyle w:val="FootnoteReference"/>
          <w:rFonts w:cstheme="minorHAnsi"/>
          <w:sz w:val="24"/>
          <w:szCs w:val="24"/>
        </w:rPr>
        <w:footnoteReference w:id="31"/>
      </w:r>
      <w:r w:rsidRPr="008C1148">
        <w:rPr>
          <w:rFonts w:cstheme="minorHAnsi"/>
          <w:sz w:val="24"/>
          <w:szCs w:val="24"/>
        </w:rPr>
        <w:t xml:space="preserve">. This theory would elucidate that the complexity of the writing reflects the society, which can be considered a high standard of writing and possibly the reason the text is still used in philosophical study. This high standard of writing can also be attributed to Cicero’s ability to use rhetoric within </w:t>
      </w:r>
      <w:r w:rsidRPr="008C1148">
        <w:rPr>
          <w:rFonts w:cstheme="minorHAnsi"/>
          <w:i/>
          <w:iCs/>
          <w:sz w:val="24"/>
          <w:szCs w:val="24"/>
        </w:rPr>
        <w:t xml:space="preserve">De Divinatione </w:t>
      </w:r>
      <w:r w:rsidRPr="008C1148">
        <w:rPr>
          <w:rFonts w:cstheme="minorHAnsi"/>
          <w:sz w:val="24"/>
          <w:szCs w:val="24"/>
        </w:rPr>
        <w:t>which allows for organised and persuasive contentions to be made throughout the books</w:t>
      </w:r>
      <w:r w:rsidRPr="008C1148">
        <w:rPr>
          <w:rStyle w:val="FootnoteReference"/>
          <w:rFonts w:cstheme="minorHAnsi"/>
          <w:sz w:val="24"/>
          <w:szCs w:val="24"/>
        </w:rPr>
        <w:footnoteReference w:id="32"/>
      </w:r>
      <w:r w:rsidRPr="008C1148">
        <w:rPr>
          <w:rFonts w:cstheme="minorHAnsi"/>
          <w:sz w:val="24"/>
          <w:szCs w:val="24"/>
        </w:rPr>
        <w:t>. This use of rhetoric allowed for compelling arguments around divination to be made, including its ability to provide warnings of impending danger and to guide decision-making. However, the quality of the arguments can be brought under scrutiny when noting that some of the arguments are based on assumptions and beliefs that may not be universally accepted. Dahl</w:t>
      </w:r>
      <w:r w:rsidRPr="008C1148">
        <w:rPr>
          <w:rStyle w:val="FootnoteReference"/>
          <w:rFonts w:cstheme="minorHAnsi"/>
          <w:sz w:val="24"/>
          <w:szCs w:val="24"/>
        </w:rPr>
        <w:footnoteReference w:id="33"/>
      </w:r>
      <w:r w:rsidRPr="008C1148">
        <w:rPr>
          <w:rFonts w:cstheme="minorHAnsi"/>
          <w:sz w:val="24"/>
          <w:szCs w:val="24"/>
        </w:rPr>
        <w:t xml:space="preserve"> explains that the stoic assumptions upon which the arguments are made are merely a critique of an entire evaluation of one person’s reality, from a viewpoint of living within the midst of a culture in which the order seemed incomprehensible at the time. Within the reading of the work there are moments which correspond to contemporary debate, such as the belief of divination and the application of demarcation criteria, the distinguishing factors of science and non-science. Cicero used a broadly encompassed set of five demarcation criteria, which are proposed as fundamental by modern academics. and fall under the following headings: logico-theoretical, </w:t>
      </w:r>
      <w:proofErr w:type="spellStart"/>
      <w:r w:rsidRPr="008C1148">
        <w:rPr>
          <w:rFonts w:cstheme="minorHAnsi"/>
          <w:sz w:val="24"/>
          <w:szCs w:val="24"/>
        </w:rPr>
        <w:t>empirico</w:t>
      </w:r>
      <w:proofErr w:type="spellEnd"/>
      <w:r w:rsidRPr="008C1148">
        <w:rPr>
          <w:rFonts w:cstheme="minorHAnsi"/>
          <w:sz w:val="24"/>
          <w:szCs w:val="24"/>
        </w:rPr>
        <w:t>-theoretical, and sociological</w:t>
      </w:r>
      <w:r w:rsidRPr="008C1148">
        <w:rPr>
          <w:rStyle w:val="FootnoteReference"/>
          <w:rFonts w:cstheme="minorHAnsi"/>
          <w:sz w:val="24"/>
          <w:szCs w:val="24"/>
        </w:rPr>
        <w:footnoteReference w:id="34"/>
      </w:r>
      <w:r w:rsidRPr="008C1148">
        <w:rPr>
          <w:rFonts w:cstheme="minorHAnsi"/>
          <w:sz w:val="24"/>
          <w:szCs w:val="24"/>
        </w:rPr>
        <w:t>. In this Cicero used logical and scientific backing to prove his points within the arguments of divinatory practice. In the writing of </w:t>
      </w:r>
      <w:r w:rsidRPr="008C1148">
        <w:rPr>
          <w:rStyle w:val="Emphasis"/>
          <w:rFonts w:cstheme="minorHAnsi"/>
          <w:sz w:val="24"/>
          <w:szCs w:val="24"/>
        </w:rPr>
        <w:t>De Divinatione, </w:t>
      </w:r>
      <w:r w:rsidRPr="008C1148">
        <w:rPr>
          <w:rFonts w:cstheme="minorHAnsi"/>
          <w:sz w:val="24"/>
          <w:szCs w:val="24"/>
        </w:rPr>
        <w:t>the use of the demarcation criteria is evidence that there are commonalities between the Ciceronian work and current academic thoughts</w:t>
      </w:r>
      <w:r w:rsidR="000F4029" w:rsidRPr="008C1148">
        <w:rPr>
          <w:rFonts w:cstheme="minorHAnsi"/>
          <w:sz w:val="24"/>
          <w:szCs w:val="24"/>
        </w:rPr>
        <w:t>, possibly evidencing why the document is still critical to modern academics.</w:t>
      </w:r>
    </w:p>
    <w:bookmarkEnd w:id="8"/>
    <w:p w14:paraId="4F026F06" w14:textId="77777777" w:rsidR="000F4029" w:rsidRPr="0035435D" w:rsidRDefault="000F4029" w:rsidP="0035435D">
      <w:pPr>
        <w:spacing w:after="0" w:line="360" w:lineRule="auto"/>
        <w:rPr>
          <w:rFonts w:cstheme="minorHAnsi"/>
          <w:sz w:val="28"/>
          <w:szCs w:val="28"/>
        </w:rPr>
      </w:pPr>
    </w:p>
    <w:p w14:paraId="2B6A26F4" w14:textId="7E10A71C" w:rsidR="000F4029" w:rsidRPr="008C1148" w:rsidRDefault="00716A44" w:rsidP="008C1148">
      <w:pPr>
        <w:spacing w:after="0" w:line="240" w:lineRule="auto"/>
        <w:rPr>
          <w:rFonts w:cstheme="minorHAnsi"/>
          <w:sz w:val="24"/>
          <w:szCs w:val="24"/>
        </w:rPr>
      </w:pPr>
      <w:bookmarkStart w:id="9" w:name="_Hlk129467255"/>
      <w:r w:rsidRPr="008C1148">
        <w:rPr>
          <w:rFonts w:cstheme="minorHAnsi"/>
          <w:sz w:val="24"/>
          <w:szCs w:val="24"/>
        </w:rPr>
        <w:t>Finally,</w:t>
      </w:r>
      <w:r w:rsidR="000F4029" w:rsidRPr="008C1148">
        <w:rPr>
          <w:rFonts w:cstheme="minorHAnsi"/>
          <w:sz w:val="24"/>
          <w:szCs w:val="24"/>
        </w:rPr>
        <w:t xml:space="preserve"> there is no definitive conclusion to the writing in </w:t>
      </w:r>
      <w:r w:rsidR="000F4029" w:rsidRPr="008C1148">
        <w:rPr>
          <w:rStyle w:val="Emphasis"/>
          <w:rFonts w:cstheme="minorHAnsi"/>
          <w:sz w:val="24"/>
          <w:szCs w:val="24"/>
        </w:rPr>
        <w:t xml:space="preserve">De Divinatione </w:t>
      </w:r>
      <w:r w:rsidR="000F4029" w:rsidRPr="008C1148">
        <w:rPr>
          <w:rStyle w:val="Emphasis"/>
          <w:rFonts w:cstheme="minorHAnsi"/>
          <w:i w:val="0"/>
          <w:iCs w:val="0"/>
          <w:sz w:val="24"/>
          <w:szCs w:val="24"/>
        </w:rPr>
        <w:t>likely </w:t>
      </w:r>
      <w:r w:rsidR="000F4029" w:rsidRPr="008C1148">
        <w:rPr>
          <w:rFonts w:cstheme="minorHAnsi"/>
          <w:sz w:val="24"/>
          <w:szCs w:val="24"/>
        </w:rPr>
        <w:t>done purposefully by the author, which arguably weakens the argument put forth. Characteristic of the Academy teachings, Cicero</w:t>
      </w:r>
      <w:r w:rsidR="000F4029" w:rsidRPr="008C1148">
        <w:rPr>
          <w:rStyle w:val="FootnoteReference"/>
          <w:rFonts w:cstheme="minorHAnsi"/>
          <w:sz w:val="24"/>
          <w:szCs w:val="24"/>
        </w:rPr>
        <w:footnoteReference w:id="35"/>
      </w:r>
      <w:r w:rsidR="000F4029" w:rsidRPr="008C1148">
        <w:rPr>
          <w:rFonts w:cstheme="minorHAnsi"/>
          <w:sz w:val="24"/>
          <w:szCs w:val="24"/>
        </w:rPr>
        <w:t xml:space="preserve"> states about the work:</w:t>
      </w:r>
    </w:p>
    <w:p w14:paraId="22651617" w14:textId="77777777" w:rsidR="000F4029" w:rsidRPr="008C1148" w:rsidRDefault="000F4029" w:rsidP="008C1148">
      <w:pPr>
        <w:spacing w:after="0" w:line="240" w:lineRule="auto"/>
        <w:rPr>
          <w:rFonts w:cstheme="minorHAnsi"/>
          <w:sz w:val="24"/>
          <w:szCs w:val="24"/>
        </w:rPr>
      </w:pPr>
    </w:p>
    <w:p w14:paraId="6485D8A2" w14:textId="75AC7FE8" w:rsidR="000F4029" w:rsidRPr="008C1148" w:rsidRDefault="000F4029" w:rsidP="008C1148">
      <w:pPr>
        <w:spacing w:line="240" w:lineRule="auto"/>
        <w:ind w:left="720"/>
        <w:rPr>
          <w:rFonts w:cstheme="minorHAnsi"/>
          <w:sz w:val="24"/>
          <w:szCs w:val="24"/>
        </w:rPr>
      </w:pPr>
      <w:r w:rsidRPr="008C1148">
        <w:rPr>
          <w:rFonts w:cstheme="minorHAnsi"/>
          <w:sz w:val="24"/>
          <w:szCs w:val="24"/>
        </w:rPr>
        <w:t>...to put forward no conclusions of its own, but to approve those which seem to approach nearest to the truth; to compare arguments; to draw forth all that may be said in behalf of any opinion; and, without asserting any authority of its own, to leave the judgement of the inquirer wholly free.</w:t>
      </w:r>
    </w:p>
    <w:p w14:paraId="7DD4A0EE" w14:textId="6F36096B" w:rsidR="000F4029" w:rsidRPr="008C1148" w:rsidRDefault="000F4029" w:rsidP="008C1148">
      <w:pPr>
        <w:spacing w:after="0" w:line="240" w:lineRule="auto"/>
        <w:rPr>
          <w:rFonts w:cstheme="minorHAnsi"/>
          <w:sz w:val="24"/>
          <w:szCs w:val="24"/>
        </w:rPr>
      </w:pPr>
      <w:r w:rsidRPr="008C1148">
        <w:rPr>
          <w:rFonts w:cstheme="minorHAnsi"/>
          <w:sz w:val="24"/>
          <w:szCs w:val="24"/>
        </w:rPr>
        <w:t xml:space="preserve">It could suggest that the argument is weak as there is no final statement to conclude all of the writing, but controversially it is also a strong move to allow the reader to come to their own conclusions. Allowing the academic prowess of the writing before to have led to </w:t>
      </w:r>
      <w:proofErr w:type="gramStart"/>
      <w:r w:rsidRPr="008C1148">
        <w:rPr>
          <w:rFonts w:cstheme="minorHAnsi"/>
          <w:sz w:val="24"/>
          <w:szCs w:val="24"/>
        </w:rPr>
        <w:t>an</w:t>
      </w:r>
      <w:proofErr w:type="gramEnd"/>
      <w:r w:rsidRPr="008C1148">
        <w:rPr>
          <w:rFonts w:cstheme="minorHAnsi"/>
          <w:sz w:val="24"/>
          <w:szCs w:val="24"/>
        </w:rPr>
        <w:t xml:space="preserve"> cognitive decision. </w:t>
      </w:r>
    </w:p>
    <w:bookmarkEnd w:id="9"/>
    <w:p w14:paraId="0C8A7E29" w14:textId="77777777" w:rsidR="0075224B" w:rsidRPr="008C1148" w:rsidRDefault="0075224B" w:rsidP="008C1148">
      <w:pPr>
        <w:spacing w:after="0" w:line="240" w:lineRule="auto"/>
        <w:rPr>
          <w:rFonts w:cstheme="minorHAnsi"/>
          <w:b/>
          <w:bCs/>
          <w:sz w:val="24"/>
          <w:szCs w:val="24"/>
          <w:lang w:val="en-US"/>
        </w:rPr>
      </w:pPr>
    </w:p>
    <w:p w14:paraId="03B1DB47" w14:textId="0CD050F9" w:rsidR="002447CB" w:rsidRPr="008C1148" w:rsidRDefault="002447CB" w:rsidP="008C1148">
      <w:pPr>
        <w:spacing w:line="240" w:lineRule="auto"/>
        <w:rPr>
          <w:rFonts w:cstheme="minorHAnsi"/>
          <w:b/>
          <w:bCs/>
          <w:sz w:val="24"/>
          <w:szCs w:val="24"/>
          <w:lang w:val="en-US"/>
        </w:rPr>
      </w:pPr>
      <w:r w:rsidRPr="008C1148">
        <w:rPr>
          <w:rFonts w:cstheme="minorHAnsi"/>
          <w:b/>
          <w:bCs/>
          <w:sz w:val="24"/>
          <w:szCs w:val="24"/>
          <w:lang w:val="en-US"/>
        </w:rPr>
        <w:t xml:space="preserve">Conclude </w:t>
      </w:r>
      <w:r w:rsidR="00D71642" w:rsidRPr="008C1148">
        <w:rPr>
          <w:rFonts w:cstheme="minorHAnsi"/>
          <w:b/>
          <w:bCs/>
          <w:sz w:val="24"/>
          <w:szCs w:val="24"/>
          <w:lang w:val="en-US"/>
        </w:rPr>
        <w:t xml:space="preserve">415 </w:t>
      </w:r>
      <w:proofErr w:type="gramStart"/>
      <w:r w:rsidR="00D71642" w:rsidRPr="008C1148">
        <w:rPr>
          <w:rFonts w:cstheme="minorHAnsi"/>
          <w:b/>
          <w:bCs/>
          <w:sz w:val="24"/>
          <w:szCs w:val="24"/>
          <w:lang w:val="en-US"/>
        </w:rPr>
        <w:t>words</w:t>
      </w:r>
      <w:proofErr w:type="gramEnd"/>
    </w:p>
    <w:p w14:paraId="223535CD" w14:textId="77777777" w:rsidR="00D71642" w:rsidRPr="008C1148" w:rsidRDefault="0045691C" w:rsidP="008C1148">
      <w:pPr>
        <w:pStyle w:val="NormalWeb"/>
        <w:spacing w:before="0" w:beforeAutospacing="0" w:after="0" w:afterAutospacing="0"/>
        <w:rPr>
          <w:rFonts w:asciiTheme="minorHAnsi" w:hAnsiTheme="minorHAnsi" w:cstheme="minorHAnsi"/>
        </w:rPr>
      </w:pPr>
      <w:bookmarkStart w:id="10" w:name="_Hlk129467295"/>
      <w:r w:rsidRPr="008C1148">
        <w:rPr>
          <w:rFonts w:asciiTheme="minorHAnsi" w:hAnsiTheme="minorHAnsi" w:cstheme="minorHAnsi"/>
          <w:lang w:val="en-US"/>
        </w:rPr>
        <w:lastRenderedPageBreak/>
        <w:t xml:space="preserve">It </w:t>
      </w:r>
      <w:proofErr w:type="gramStart"/>
      <w:r w:rsidRPr="008C1148">
        <w:rPr>
          <w:rFonts w:asciiTheme="minorHAnsi" w:hAnsiTheme="minorHAnsi" w:cstheme="minorHAnsi"/>
          <w:lang w:val="en-US"/>
        </w:rPr>
        <w:t>has to</w:t>
      </w:r>
      <w:proofErr w:type="gramEnd"/>
      <w:r w:rsidRPr="008C1148">
        <w:rPr>
          <w:rFonts w:asciiTheme="minorHAnsi" w:hAnsiTheme="minorHAnsi" w:cstheme="minorHAnsi"/>
          <w:lang w:val="en-US"/>
        </w:rPr>
        <w:t xml:space="preserve"> be noted that throughout the works, Cicero provided teaching</w:t>
      </w:r>
      <w:r w:rsidR="00D71642" w:rsidRPr="008C1148">
        <w:rPr>
          <w:rFonts w:asciiTheme="minorHAnsi" w:hAnsiTheme="minorHAnsi" w:cstheme="minorHAnsi"/>
          <w:lang w:val="en-US"/>
        </w:rPr>
        <w:t>s</w:t>
      </w:r>
      <w:r w:rsidRPr="008C1148">
        <w:rPr>
          <w:rFonts w:asciiTheme="minorHAnsi" w:hAnsiTheme="minorHAnsi" w:cstheme="minorHAnsi"/>
          <w:lang w:val="en-US"/>
        </w:rPr>
        <w:t xml:space="preserve"> and </w:t>
      </w:r>
      <w:r w:rsidR="00CF2F5C" w:rsidRPr="008C1148">
        <w:rPr>
          <w:rFonts w:asciiTheme="minorHAnsi" w:hAnsiTheme="minorHAnsi" w:cstheme="minorHAnsi"/>
        </w:rPr>
        <w:t>balanced arguments</w:t>
      </w:r>
      <w:r w:rsidRPr="008C1148">
        <w:rPr>
          <w:rFonts w:asciiTheme="minorHAnsi" w:hAnsiTheme="minorHAnsi" w:cstheme="minorHAnsi"/>
        </w:rPr>
        <w:t xml:space="preserve"> which could be seen as an act of academic scholarship within modern terminology therefore giving the work credence. As aforementioned, in this essay, the author used multiple philosophical standings within the writing to give a balanced argument, however it can be alluded that this created a confused perspective. For example, the exploration of </w:t>
      </w:r>
      <w:r w:rsidR="00CF2F5C" w:rsidRPr="008C1148">
        <w:rPr>
          <w:rFonts w:asciiTheme="minorHAnsi" w:hAnsiTheme="minorHAnsi" w:cstheme="minorHAnsi"/>
        </w:rPr>
        <w:t>Marcus’ rebuttal</w:t>
      </w:r>
      <w:r w:rsidRPr="008C1148">
        <w:rPr>
          <w:rFonts w:asciiTheme="minorHAnsi" w:hAnsiTheme="minorHAnsi" w:cstheme="minorHAnsi"/>
        </w:rPr>
        <w:t xml:space="preserve">, </w:t>
      </w:r>
      <w:r w:rsidR="00CF2F5C" w:rsidRPr="008C1148">
        <w:rPr>
          <w:rFonts w:asciiTheme="minorHAnsi" w:hAnsiTheme="minorHAnsi" w:cstheme="minorHAnsi"/>
        </w:rPr>
        <w:t>within the second book</w:t>
      </w:r>
      <w:r w:rsidRPr="008C1148">
        <w:rPr>
          <w:rFonts w:asciiTheme="minorHAnsi" w:hAnsiTheme="minorHAnsi" w:cstheme="minorHAnsi"/>
        </w:rPr>
        <w:t>,</w:t>
      </w:r>
      <w:r w:rsidR="00CF2F5C" w:rsidRPr="008C1148">
        <w:rPr>
          <w:rFonts w:asciiTheme="minorHAnsi" w:hAnsiTheme="minorHAnsi" w:cstheme="minorHAnsi"/>
        </w:rPr>
        <w:t xml:space="preserve"> is not always a direct contrast but are equally in support of divinatory practices</w:t>
      </w:r>
      <w:r w:rsidRPr="008C1148">
        <w:rPr>
          <w:rFonts w:asciiTheme="minorHAnsi" w:hAnsiTheme="minorHAnsi" w:cstheme="minorHAnsi"/>
        </w:rPr>
        <w:t xml:space="preserve">, possibly confusing the authors perspective for the reader. Nevertheless, the use of evidence and reason throughout the work creates a complex and nuanced exploration of the nature of divination and its relationship to religion, philosophy, reason, </w:t>
      </w:r>
      <w:proofErr w:type="gramStart"/>
      <w:r w:rsidRPr="008C1148">
        <w:rPr>
          <w:rFonts w:asciiTheme="minorHAnsi" w:hAnsiTheme="minorHAnsi" w:cstheme="minorHAnsi"/>
        </w:rPr>
        <w:t>fate</w:t>
      </w:r>
      <w:proofErr w:type="gramEnd"/>
      <w:r w:rsidRPr="008C1148">
        <w:rPr>
          <w:rFonts w:asciiTheme="minorHAnsi" w:hAnsiTheme="minorHAnsi" w:cstheme="minorHAnsi"/>
        </w:rPr>
        <w:t xml:space="preserve"> and ethics</w:t>
      </w:r>
      <w:r w:rsidRPr="008C1148">
        <w:rPr>
          <w:rStyle w:val="FootnoteReference"/>
          <w:rFonts w:asciiTheme="minorHAnsi" w:hAnsiTheme="minorHAnsi" w:cstheme="minorHAnsi"/>
        </w:rPr>
        <w:footnoteReference w:id="36"/>
      </w:r>
      <w:r w:rsidRPr="008C1148">
        <w:rPr>
          <w:rFonts w:asciiTheme="minorHAnsi" w:hAnsiTheme="minorHAnsi" w:cstheme="minorHAnsi"/>
        </w:rPr>
        <w:t>.</w:t>
      </w:r>
      <w:r w:rsidR="00D71642" w:rsidRPr="008C1148">
        <w:rPr>
          <w:rFonts w:asciiTheme="minorHAnsi" w:hAnsiTheme="minorHAnsi" w:cstheme="minorHAnsi"/>
        </w:rPr>
        <w:t xml:space="preserve"> </w:t>
      </w:r>
    </w:p>
    <w:p w14:paraId="1BA3CDBC" w14:textId="77777777" w:rsidR="00D71642" w:rsidRPr="008C1148" w:rsidRDefault="00D71642" w:rsidP="008C1148">
      <w:pPr>
        <w:pStyle w:val="NormalWeb"/>
        <w:spacing w:before="0" w:beforeAutospacing="0" w:after="0" w:afterAutospacing="0"/>
        <w:rPr>
          <w:rFonts w:asciiTheme="minorHAnsi" w:hAnsiTheme="minorHAnsi" w:cstheme="minorHAnsi"/>
        </w:rPr>
      </w:pPr>
    </w:p>
    <w:p w14:paraId="4C62A204" w14:textId="6FB8CD39" w:rsidR="000F4029" w:rsidRPr="008C1148" w:rsidRDefault="00D71642" w:rsidP="008C1148">
      <w:pPr>
        <w:pStyle w:val="NormalWeb"/>
        <w:spacing w:before="0" w:beforeAutospacing="0" w:after="0" w:afterAutospacing="0"/>
        <w:rPr>
          <w:rFonts w:asciiTheme="minorHAnsi" w:hAnsiTheme="minorHAnsi" w:cstheme="minorHAnsi"/>
        </w:rPr>
      </w:pPr>
      <w:r w:rsidRPr="008C1148">
        <w:rPr>
          <w:rFonts w:asciiTheme="minorHAnsi" w:hAnsiTheme="minorHAnsi" w:cstheme="minorHAnsi"/>
        </w:rPr>
        <w:t>At times i</w:t>
      </w:r>
      <w:r w:rsidR="00F934E1" w:rsidRPr="008C1148">
        <w:rPr>
          <w:rFonts w:asciiTheme="minorHAnsi" w:hAnsiTheme="minorHAnsi" w:cstheme="minorHAnsi"/>
        </w:rPr>
        <w:t xml:space="preserve">t can be understood that the writing is of a sceptical and dismissive tone, the arguments are well-reasoned, balanced and evidenced drawing on the imperfections of nature and the diviner throughout the work. This takes the form of a conversation between Cicero and his brother Quintus, </w:t>
      </w:r>
      <w:r w:rsidRPr="008C1148">
        <w:rPr>
          <w:rFonts w:asciiTheme="minorHAnsi" w:hAnsiTheme="minorHAnsi" w:cstheme="minorHAnsi"/>
        </w:rPr>
        <w:t xml:space="preserve">expertly using rhetorical form in the writing. It can be argued the use of rhetoric creates </w:t>
      </w:r>
      <w:r w:rsidR="00F934E1" w:rsidRPr="008C1148">
        <w:rPr>
          <w:rFonts w:asciiTheme="minorHAnsi" w:hAnsiTheme="minorHAnsi" w:cstheme="minorHAnsi"/>
        </w:rPr>
        <w:t>the non-definitive argument mak</w:t>
      </w:r>
      <w:r w:rsidRPr="008C1148">
        <w:rPr>
          <w:rFonts w:asciiTheme="minorHAnsi" w:hAnsiTheme="minorHAnsi" w:cstheme="minorHAnsi"/>
        </w:rPr>
        <w:t>ing</w:t>
      </w:r>
      <w:r w:rsidR="00F934E1" w:rsidRPr="008C1148">
        <w:rPr>
          <w:rFonts w:asciiTheme="minorHAnsi" w:hAnsiTheme="minorHAnsi" w:cstheme="minorHAnsi"/>
        </w:rPr>
        <w:t xml:space="preserve"> the work a difficult read. Subsequently, this could be seen as an advantage of the writing as there is no prejudice to the argument and allows the audience to create and form their own formed opinion.</w:t>
      </w:r>
      <w:r w:rsidRPr="008C1148">
        <w:rPr>
          <w:rFonts w:asciiTheme="minorHAnsi" w:hAnsiTheme="minorHAnsi" w:cstheme="minorHAnsi"/>
        </w:rPr>
        <w:t xml:space="preserve"> This is achieved by Cicero drawing on a variety of philosophical and pragmatic arguments to challenge the belief in supernatural forms of knowledge and to argue for a more rational and empirical approach to understanding the world. While Cicero's arguments are compelling and insightful, they also reflect certain assumptions and biases of his historical context. For example, his emphasis on empirical observation and natural causes reflects the influence of Greek philosophy, and his scepticism towards divination may be influenced by his own political and social context, in which diviners and prophets often had significant political influence. Therefore, suggesting there is a significant gap within the evidence in the variation of the social class could affect the arguments of divination. </w:t>
      </w:r>
      <w:r w:rsidR="00CE2386" w:rsidRPr="008C1148">
        <w:rPr>
          <w:rFonts w:asciiTheme="minorHAnsi" w:hAnsiTheme="minorHAnsi" w:cstheme="minorHAnsi"/>
        </w:rPr>
        <w:t>Consequently,</w:t>
      </w:r>
      <w:r w:rsidR="000F4029" w:rsidRPr="008C1148">
        <w:rPr>
          <w:rFonts w:asciiTheme="minorHAnsi" w:hAnsiTheme="minorHAnsi" w:cstheme="minorHAnsi"/>
        </w:rPr>
        <w:t xml:space="preserve"> it can be suggested that the writing although, with the use of rhetoric, creates a compelling and well-evidenced argument the viewpoints are limited to one variation of argument, therefore, could be seen as an unconvincing argument amongst some readers.</w:t>
      </w:r>
    </w:p>
    <w:p w14:paraId="14B95D32" w14:textId="77777777" w:rsidR="00D71642" w:rsidRPr="008C1148" w:rsidRDefault="00D71642" w:rsidP="008C1148">
      <w:pPr>
        <w:pStyle w:val="NormalWeb"/>
        <w:spacing w:before="0" w:beforeAutospacing="0" w:after="0" w:afterAutospacing="0"/>
        <w:rPr>
          <w:rFonts w:asciiTheme="minorHAnsi" w:hAnsiTheme="minorHAnsi" w:cstheme="minorHAnsi"/>
        </w:rPr>
      </w:pPr>
    </w:p>
    <w:bookmarkEnd w:id="10"/>
    <w:p w14:paraId="417984A9" w14:textId="66614CF3" w:rsidR="00F934E1" w:rsidRPr="0035435D" w:rsidRDefault="00F934E1" w:rsidP="0035435D">
      <w:pPr>
        <w:pStyle w:val="NormalWeb"/>
        <w:spacing w:after="0" w:line="360" w:lineRule="auto"/>
        <w:rPr>
          <w:rFonts w:asciiTheme="minorHAnsi" w:hAnsiTheme="minorHAnsi" w:cstheme="minorHAnsi"/>
          <w:sz w:val="28"/>
          <w:szCs w:val="28"/>
        </w:rPr>
      </w:pPr>
    </w:p>
    <w:p w14:paraId="3DD1F865" w14:textId="3B3306AB" w:rsidR="00694CB2" w:rsidRPr="0035435D" w:rsidRDefault="00694CB2" w:rsidP="0035435D">
      <w:pPr>
        <w:pStyle w:val="NormalWeb"/>
        <w:spacing w:after="0" w:line="360" w:lineRule="auto"/>
        <w:rPr>
          <w:rFonts w:asciiTheme="minorHAnsi" w:hAnsiTheme="minorHAnsi" w:cstheme="minorHAnsi"/>
          <w:sz w:val="28"/>
          <w:szCs w:val="28"/>
        </w:rPr>
      </w:pPr>
    </w:p>
    <w:p w14:paraId="2F93AF01" w14:textId="4FAD8DE2" w:rsidR="00694CB2" w:rsidRPr="0035435D" w:rsidRDefault="00694CB2" w:rsidP="0035435D">
      <w:pPr>
        <w:pStyle w:val="NormalWeb"/>
        <w:spacing w:after="0" w:line="360" w:lineRule="auto"/>
        <w:rPr>
          <w:rFonts w:asciiTheme="minorHAnsi" w:hAnsiTheme="minorHAnsi" w:cstheme="minorHAnsi"/>
          <w:sz w:val="28"/>
          <w:szCs w:val="28"/>
        </w:rPr>
      </w:pPr>
    </w:p>
    <w:p w14:paraId="5028ECBE" w14:textId="4D0F2677" w:rsidR="00694CB2" w:rsidRPr="0035435D" w:rsidRDefault="00694CB2" w:rsidP="0035435D">
      <w:pPr>
        <w:pStyle w:val="NormalWeb"/>
        <w:spacing w:after="0" w:line="360" w:lineRule="auto"/>
        <w:rPr>
          <w:rFonts w:asciiTheme="minorHAnsi" w:hAnsiTheme="minorHAnsi" w:cstheme="minorHAnsi"/>
          <w:sz w:val="28"/>
          <w:szCs w:val="28"/>
        </w:rPr>
      </w:pPr>
    </w:p>
    <w:p w14:paraId="59437D38" w14:textId="0D27ACF5" w:rsidR="00694CB2" w:rsidRPr="0035435D" w:rsidRDefault="00694CB2" w:rsidP="0035435D">
      <w:pPr>
        <w:pStyle w:val="NormalWeb"/>
        <w:spacing w:after="0" w:line="360" w:lineRule="auto"/>
        <w:rPr>
          <w:rFonts w:asciiTheme="minorHAnsi" w:hAnsiTheme="minorHAnsi" w:cstheme="minorHAnsi"/>
          <w:sz w:val="28"/>
          <w:szCs w:val="28"/>
        </w:rPr>
      </w:pPr>
    </w:p>
    <w:p w14:paraId="4622DDCA" w14:textId="42A35D5B" w:rsidR="00694CB2" w:rsidRPr="0035435D" w:rsidRDefault="00694CB2" w:rsidP="0035435D">
      <w:pPr>
        <w:pStyle w:val="NormalWeb"/>
        <w:spacing w:after="0" w:line="360" w:lineRule="auto"/>
        <w:rPr>
          <w:rFonts w:asciiTheme="minorHAnsi" w:hAnsiTheme="minorHAnsi" w:cstheme="minorHAnsi"/>
          <w:sz w:val="28"/>
          <w:szCs w:val="28"/>
        </w:rPr>
      </w:pPr>
    </w:p>
    <w:p w14:paraId="10415722" w14:textId="35B87C7C" w:rsidR="00694CB2" w:rsidRPr="0035435D" w:rsidRDefault="00694CB2" w:rsidP="0035435D">
      <w:pPr>
        <w:pStyle w:val="NormalWeb"/>
        <w:spacing w:after="0" w:line="360" w:lineRule="auto"/>
        <w:rPr>
          <w:rFonts w:asciiTheme="minorHAnsi" w:hAnsiTheme="minorHAnsi" w:cstheme="minorHAnsi"/>
          <w:sz w:val="28"/>
          <w:szCs w:val="28"/>
        </w:rPr>
      </w:pPr>
    </w:p>
    <w:p w14:paraId="018C5F51" w14:textId="013157BC" w:rsidR="00694CB2" w:rsidRPr="0035435D" w:rsidRDefault="00694CB2" w:rsidP="0035435D">
      <w:pPr>
        <w:pStyle w:val="NormalWeb"/>
        <w:spacing w:after="0" w:line="360" w:lineRule="auto"/>
        <w:rPr>
          <w:rFonts w:asciiTheme="minorHAnsi" w:hAnsiTheme="minorHAnsi" w:cstheme="minorHAnsi"/>
          <w:sz w:val="28"/>
          <w:szCs w:val="28"/>
        </w:rPr>
      </w:pPr>
    </w:p>
    <w:p w14:paraId="5CFF6857" w14:textId="4D52BAEA" w:rsidR="00694CB2" w:rsidRPr="0035435D" w:rsidRDefault="00694CB2" w:rsidP="0035435D">
      <w:pPr>
        <w:pStyle w:val="NormalWeb"/>
        <w:spacing w:after="0" w:line="360" w:lineRule="auto"/>
        <w:rPr>
          <w:rFonts w:asciiTheme="minorHAnsi" w:hAnsiTheme="minorHAnsi" w:cstheme="minorHAnsi"/>
          <w:sz w:val="28"/>
          <w:szCs w:val="28"/>
        </w:rPr>
      </w:pPr>
    </w:p>
    <w:p w14:paraId="79D98469" w14:textId="28B9B572" w:rsidR="00694CB2" w:rsidRPr="0035435D" w:rsidRDefault="00694CB2" w:rsidP="0035435D">
      <w:pPr>
        <w:pStyle w:val="NormalWeb"/>
        <w:spacing w:after="0" w:line="360" w:lineRule="auto"/>
        <w:rPr>
          <w:rFonts w:asciiTheme="minorHAnsi" w:hAnsiTheme="minorHAnsi" w:cstheme="minorHAnsi"/>
          <w:sz w:val="28"/>
          <w:szCs w:val="28"/>
        </w:rPr>
      </w:pPr>
    </w:p>
    <w:p w14:paraId="77728F48" w14:textId="00EFB831" w:rsidR="00694CB2" w:rsidRPr="0035435D" w:rsidRDefault="00694CB2" w:rsidP="0035435D">
      <w:pPr>
        <w:pStyle w:val="NormalWeb"/>
        <w:spacing w:after="0" w:line="360" w:lineRule="auto"/>
        <w:rPr>
          <w:rFonts w:asciiTheme="minorHAnsi" w:hAnsiTheme="minorHAnsi" w:cstheme="minorHAnsi"/>
          <w:sz w:val="28"/>
          <w:szCs w:val="28"/>
        </w:rPr>
      </w:pPr>
    </w:p>
    <w:p w14:paraId="0779ED2C" w14:textId="6B8C5B65" w:rsidR="00694CB2" w:rsidRPr="0035435D" w:rsidRDefault="00694CB2" w:rsidP="0035435D">
      <w:pPr>
        <w:pStyle w:val="NormalWeb"/>
        <w:spacing w:after="0" w:line="360" w:lineRule="auto"/>
        <w:rPr>
          <w:rFonts w:asciiTheme="minorHAnsi" w:hAnsiTheme="minorHAnsi" w:cstheme="minorHAnsi"/>
          <w:sz w:val="28"/>
          <w:szCs w:val="28"/>
        </w:rPr>
      </w:pPr>
    </w:p>
    <w:p w14:paraId="029B0FB1" w14:textId="11B5BB04" w:rsidR="00694CB2" w:rsidRPr="0035435D" w:rsidRDefault="00694CB2" w:rsidP="0035435D">
      <w:pPr>
        <w:pStyle w:val="NormalWeb"/>
        <w:spacing w:after="0" w:line="360" w:lineRule="auto"/>
        <w:rPr>
          <w:rFonts w:asciiTheme="minorHAnsi" w:hAnsiTheme="minorHAnsi" w:cstheme="minorHAnsi"/>
          <w:sz w:val="28"/>
          <w:szCs w:val="28"/>
        </w:rPr>
      </w:pPr>
    </w:p>
    <w:p w14:paraId="03D44766" w14:textId="01C3CE5A" w:rsidR="00694CB2" w:rsidRPr="0035435D" w:rsidRDefault="00694CB2" w:rsidP="0035435D">
      <w:pPr>
        <w:pStyle w:val="NormalWeb"/>
        <w:spacing w:after="0" w:line="360" w:lineRule="auto"/>
        <w:rPr>
          <w:rFonts w:asciiTheme="minorHAnsi" w:hAnsiTheme="minorHAnsi" w:cstheme="minorHAnsi"/>
          <w:sz w:val="28"/>
          <w:szCs w:val="28"/>
        </w:rPr>
      </w:pPr>
    </w:p>
    <w:p w14:paraId="4FD0124F" w14:textId="7C5B42B4" w:rsidR="00694CB2" w:rsidRPr="0035435D" w:rsidRDefault="00694CB2" w:rsidP="0035435D">
      <w:pPr>
        <w:pStyle w:val="NormalWeb"/>
        <w:spacing w:after="0" w:line="360" w:lineRule="auto"/>
        <w:rPr>
          <w:rFonts w:asciiTheme="minorHAnsi" w:hAnsiTheme="minorHAnsi" w:cstheme="minorHAnsi"/>
          <w:sz w:val="28"/>
          <w:szCs w:val="28"/>
        </w:rPr>
      </w:pPr>
    </w:p>
    <w:p w14:paraId="67641292" w14:textId="0529549E" w:rsidR="00694CB2" w:rsidRPr="0035435D" w:rsidRDefault="00694CB2" w:rsidP="0035435D">
      <w:pPr>
        <w:pStyle w:val="NormalWeb"/>
        <w:spacing w:after="0" w:line="360" w:lineRule="auto"/>
        <w:rPr>
          <w:rFonts w:asciiTheme="minorHAnsi" w:hAnsiTheme="minorHAnsi" w:cstheme="minorHAnsi"/>
          <w:sz w:val="28"/>
          <w:szCs w:val="28"/>
        </w:rPr>
      </w:pPr>
    </w:p>
    <w:p w14:paraId="7396E349" w14:textId="5FA2ECA4" w:rsidR="00F934E1" w:rsidRDefault="00F934E1" w:rsidP="0035435D">
      <w:pPr>
        <w:spacing w:after="0" w:line="360" w:lineRule="auto"/>
        <w:rPr>
          <w:rFonts w:cstheme="minorHAnsi"/>
          <w:sz w:val="28"/>
          <w:szCs w:val="28"/>
        </w:rPr>
      </w:pPr>
    </w:p>
    <w:p w14:paraId="085D4A77" w14:textId="7DFE6682" w:rsidR="00C046CE" w:rsidRDefault="00C046CE" w:rsidP="0035435D">
      <w:pPr>
        <w:spacing w:after="0" w:line="360" w:lineRule="auto"/>
        <w:rPr>
          <w:rFonts w:cstheme="minorHAnsi"/>
          <w:sz w:val="28"/>
          <w:szCs w:val="28"/>
        </w:rPr>
      </w:pPr>
    </w:p>
    <w:p w14:paraId="23AF7AAC" w14:textId="1E01CC43" w:rsidR="00C046CE" w:rsidRDefault="00C046CE" w:rsidP="0035435D">
      <w:pPr>
        <w:spacing w:after="0" w:line="360" w:lineRule="auto"/>
        <w:rPr>
          <w:rFonts w:cstheme="minorHAnsi"/>
          <w:sz w:val="28"/>
          <w:szCs w:val="28"/>
        </w:rPr>
      </w:pPr>
    </w:p>
    <w:p w14:paraId="4605ED86" w14:textId="6C75F695" w:rsidR="00C046CE" w:rsidRDefault="00C046CE" w:rsidP="0035435D">
      <w:pPr>
        <w:spacing w:after="0" w:line="360" w:lineRule="auto"/>
        <w:rPr>
          <w:rFonts w:cstheme="minorHAnsi"/>
          <w:sz w:val="28"/>
          <w:szCs w:val="28"/>
        </w:rPr>
      </w:pPr>
    </w:p>
    <w:p w14:paraId="0481A838" w14:textId="7D1F2A02" w:rsidR="00C046CE" w:rsidRDefault="00C046CE" w:rsidP="0035435D">
      <w:pPr>
        <w:spacing w:after="0" w:line="360" w:lineRule="auto"/>
        <w:rPr>
          <w:rFonts w:cstheme="minorHAnsi"/>
          <w:sz w:val="28"/>
          <w:szCs w:val="28"/>
        </w:rPr>
      </w:pPr>
    </w:p>
    <w:p w14:paraId="2F9B7B60" w14:textId="7AD8D409" w:rsidR="00C046CE" w:rsidRDefault="00C046CE" w:rsidP="0035435D">
      <w:pPr>
        <w:spacing w:after="0" w:line="360" w:lineRule="auto"/>
        <w:rPr>
          <w:rFonts w:cstheme="minorHAnsi"/>
          <w:sz w:val="28"/>
          <w:szCs w:val="28"/>
        </w:rPr>
      </w:pPr>
    </w:p>
    <w:p w14:paraId="6B4B4604" w14:textId="41CA0542" w:rsidR="00C046CE" w:rsidRDefault="00C046CE" w:rsidP="0035435D">
      <w:pPr>
        <w:spacing w:after="0" w:line="360" w:lineRule="auto"/>
        <w:rPr>
          <w:rFonts w:cstheme="minorHAnsi"/>
          <w:sz w:val="28"/>
          <w:szCs w:val="28"/>
        </w:rPr>
      </w:pPr>
    </w:p>
    <w:p w14:paraId="7E388DEA" w14:textId="77777777" w:rsidR="00C046CE" w:rsidRPr="0035435D" w:rsidRDefault="00C046CE" w:rsidP="0035435D">
      <w:pPr>
        <w:spacing w:after="0" w:line="360" w:lineRule="auto"/>
        <w:rPr>
          <w:rFonts w:cstheme="minorHAnsi"/>
          <w:sz w:val="28"/>
          <w:szCs w:val="28"/>
        </w:rPr>
      </w:pPr>
    </w:p>
    <w:p w14:paraId="33D82694" w14:textId="77777777" w:rsidR="00694CB2" w:rsidRPr="0035435D" w:rsidRDefault="00694CB2" w:rsidP="0035435D">
      <w:pPr>
        <w:spacing w:after="0" w:line="360" w:lineRule="auto"/>
        <w:rPr>
          <w:rFonts w:cstheme="minorHAnsi"/>
          <w:sz w:val="28"/>
          <w:szCs w:val="28"/>
        </w:rPr>
      </w:pPr>
    </w:p>
    <w:p w14:paraId="331842A1" w14:textId="77777777" w:rsidR="00694CB2" w:rsidRPr="0035435D" w:rsidRDefault="00694CB2" w:rsidP="0035435D">
      <w:pPr>
        <w:pBdr>
          <w:bottom w:val="single" w:sz="6" w:space="14" w:color="auto"/>
        </w:pBdr>
        <w:spacing w:after="0" w:line="360" w:lineRule="auto"/>
        <w:jc w:val="center"/>
        <w:rPr>
          <w:rFonts w:eastAsia="Times New Roman" w:cstheme="minorHAnsi"/>
          <w:sz w:val="28"/>
          <w:szCs w:val="28"/>
          <w:lang w:eastAsia="en-GB"/>
        </w:rPr>
      </w:pPr>
      <w:r w:rsidRPr="0035435D">
        <w:rPr>
          <w:rFonts w:eastAsia="Times New Roman" w:cstheme="minorHAnsi"/>
          <w:sz w:val="28"/>
          <w:szCs w:val="28"/>
          <w:lang w:eastAsia="en-GB"/>
        </w:rPr>
        <w:lastRenderedPageBreak/>
        <w:t xml:space="preserve">References </w:t>
      </w:r>
    </w:p>
    <w:p w14:paraId="5DE266DF"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bookmarkStart w:id="11" w:name="_Hlk129467679"/>
      <w:proofErr w:type="spellStart"/>
      <w:r w:rsidRPr="00C046CE">
        <w:rPr>
          <w:rFonts w:cstheme="minorHAnsi"/>
          <w:sz w:val="24"/>
          <w:szCs w:val="24"/>
          <w:shd w:val="clear" w:color="auto" w:fill="FBFBFB"/>
        </w:rPr>
        <w:t>Baraz</w:t>
      </w:r>
      <w:proofErr w:type="spellEnd"/>
      <w:r w:rsidRPr="00C046CE">
        <w:rPr>
          <w:rFonts w:cstheme="minorHAnsi"/>
          <w:sz w:val="24"/>
          <w:szCs w:val="24"/>
          <w:shd w:val="clear" w:color="auto" w:fill="FBFBFB"/>
        </w:rPr>
        <w:t xml:space="preserve">, Yelena, </w:t>
      </w:r>
      <w:r w:rsidRPr="00C046CE">
        <w:rPr>
          <w:rFonts w:cstheme="minorHAnsi"/>
          <w:i/>
          <w:iCs/>
          <w:sz w:val="24"/>
          <w:szCs w:val="24"/>
          <w:shd w:val="clear" w:color="auto" w:fill="FBFBFB"/>
        </w:rPr>
        <w:t xml:space="preserve">‘A New Way </w:t>
      </w:r>
      <w:proofErr w:type="gramStart"/>
      <w:r w:rsidRPr="00C046CE">
        <w:rPr>
          <w:rFonts w:cstheme="minorHAnsi"/>
          <w:i/>
          <w:iCs/>
          <w:sz w:val="24"/>
          <w:szCs w:val="24"/>
          <w:shd w:val="clear" w:color="auto" w:fill="FBFBFB"/>
        </w:rPr>
        <w:t>To</w:t>
      </w:r>
      <w:proofErr w:type="gramEnd"/>
      <w:r w:rsidRPr="00C046CE">
        <w:rPr>
          <w:rFonts w:cstheme="minorHAnsi"/>
          <w:i/>
          <w:iCs/>
          <w:sz w:val="24"/>
          <w:szCs w:val="24"/>
          <w:shd w:val="clear" w:color="auto" w:fill="FBFBFB"/>
        </w:rPr>
        <w:t xml:space="preserve"> Approach Cicero’s Style’ </w:t>
      </w:r>
      <w:r w:rsidRPr="00C046CE">
        <w:rPr>
          <w:rFonts w:cstheme="minorHAnsi"/>
          <w:sz w:val="24"/>
          <w:szCs w:val="24"/>
          <w:shd w:val="clear" w:color="auto" w:fill="FBFBFB"/>
        </w:rPr>
        <w:t>(2003) &lt;https://gsi.berkeley.edu/barazy-2003/&gt; [accessed 28 February 2023]</w:t>
      </w:r>
    </w:p>
    <w:p w14:paraId="51915D31" w14:textId="77777777" w:rsidR="00694CB2" w:rsidRPr="00C046CE" w:rsidRDefault="00694CB2" w:rsidP="00C046CE">
      <w:pPr>
        <w:pBdr>
          <w:bottom w:val="single" w:sz="6" w:space="14" w:color="auto"/>
        </w:pBdr>
        <w:spacing w:after="0" w:line="240" w:lineRule="auto"/>
        <w:rPr>
          <w:rFonts w:eastAsia="Times New Roman" w:cstheme="minorHAnsi"/>
          <w:sz w:val="24"/>
          <w:szCs w:val="24"/>
          <w:lang w:eastAsia="en-GB"/>
        </w:rPr>
      </w:pPr>
      <w:r w:rsidRPr="00C046CE">
        <w:rPr>
          <w:rFonts w:eastAsia="Times New Roman" w:cstheme="minorHAnsi"/>
          <w:sz w:val="24"/>
          <w:szCs w:val="24"/>
          <w:lang w:eastAsia="en-GB"/>
        </w:rPr>
        <w:t>Beard, Mary, 'Cicero and Divination: The Formation of a Latin Discourse', </w:t>
      </w:r>
      <w:r w:rsidRPr="00C046CE">
        <w:rPr>
          <w:rFonts w:eastAsia="Times New Roman" w:cstheme="minorHAnsi"/>
          <w:i/>
          <w:iCs/>
          <w:sz w:val="24"/>
          <w:szCs w:val="24"/>
          <w:lang w:eastAsia="en-GB"/>
        </w:rPr>
        <w:t>The Journal of Roman Studies</w:t>
      </w:r>
      <w:r w:rsidRPr="00C046CE">
        <w:rPr>
          <w:rFonts w:eastAsia="Times New Roman" w:cstheme="minorHAnsi"/>
          <w:sz w:val="24"/>
          <w:szCs w:val="24"/>
          <w:lang w:eastAsia="en-GB"/>
        </w:rPr>
        <w:t>, 76. (1986), 33-46 &lt;https://doi.org/10.2307/300364&gt;</w:t>
      </w:r>
    </w:p>
    <w:p w14:paraId="50B0F505"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bookmarkStart w:id="12" w:name="_Hlk129467510"/>
      <w:proofErr w:type="spellStart"/>
      <w:r w:rsidRPr="00C046CE">
        <w:rPr>
          <w:rFonts w:cstheme="minorHAnsi"/>
          <w:sz w:val="24"/>
          <w:szCs w:val="24"/>
          <w:shd w:val="clear" w:color="auto" w:fill="FBFBFB"/>
        </w:rPr>
        <w:t>Blom</w:t>
      </w:r>
      <w:proofErr w:type="spellEnd"/>
      <w:r w:rsidRPr="00C046CE">
        <w:rPr>
          <w:rFonts w:cstheme="minorHAnsi"/>
          <w:sz w:val="24"/>
          <w:szCs w:val="24"/>
          <w:shd w:val="clear" w:color="auto" w:fill="FBFBFB"/>
        </w:rPr>
        <w:t xml:space="preserve">, Henriette </w:t>
      </w:r>
      <w:proofErr w:type="gramStart"/>
      <w:r w:rsidRPr="00C046CE">
        <w:rPr>
          <w:rFonts w:cstheme="minorHAnsi"/>
          <w:sz w:val="24"/>
          <w:szCs w:val="24"/>
          <w:shd w:val="clear" w:color="auto" w:fill="FBFBFB"/>
        </w:rPr>
        <w:t>van</w:t>
      </w:r>
      <w:proofErr w:type="gramEnd"/>
      <w:r w:rsidRPr="00C046CE">
        <w:rPr>
          <w:rFonts w:cstheme="minorHAnsi"/>
          <w:sz w:val="24"/>
          <w:szCs w:val="24"/>
          <w:shd w:val="clear" w:color="auto" w:fill="FBFBFB"/>
        </w:rPr>
        <w:t xml:space="preserve"> der, </w:t>
      </w:r>
      <w:r w:rsidRPr="00C046CE">
        <w:rPr>
          <w:rFonts w:cstheme="minorHAnsi"/>
          <w:i/>
          <w:iCs/>
          <w:sz w:val="24"/>
          <w:szCs w:val="24"/>
          <w:shd w:val="clear" w:color="auto" w:fill="FBFBFB"/>
        </w:rPr>
        <w:t>Cicero's Role Models: The Political Strategy of a Newcomer </w:t>
      </w:r>
      <w:r w:rsidRPr="00C046CE">
        <w:rPr>
          <w:rFonts w:cstheme="minorHAnsi"/>
          <w:sz w:val="24"/>
          <w:szCs w:val="24"/>
          <w:shd w:val="clear" w:color="auto" w:fill="FBFBFB"/>
        </w:rPr>
        <w:t>(Oxford: Oxford Academic, 2010).</w:t>
      </w:r>
    </w:p>
    <w:p w14:paraId="3F8F65D7" w14:textId="3491265C"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Cabrera, Frank, 'Evidence and explanation in Cicero's </w:t>
      </w:r>
      <w:proofErr w:type="gramStart"/>
      <w:r w:rsidRPr="00C046CE">
        <w:rPr>
          <w:rFonts w:cstheme="minorHAnsi"/>
          <w:i/>
          <w:iCs/>
          <w:sz w:val="24"/>
          <w:szCs w:val="24"/>
          <w:shd w:val="clear" w:color="auto" w:fill="FBFBFB"/>
        </w:rPr>
        <w:t>On</w:t>
      </w:r>
      <w:proofErr w:type="gramEnd"/>
      <w:r w:rsidRPr="00C046CE">
        <w:rPr>
          <w:rFonts w:cstheme="minorHAnsi"/>
          <w:i/>
          <w:iCs/>
          <w:sz w:val="24"/>
          <w:szCs w:val="24"/>
          <w:shd w:val="clear" w:color="auto" w:fill="FBFBFB"/>
        </w:rPr>
        <w:t xml:space="preserve"> Divination</w:t>
      </w:r>
      <w:r w:rsidRPr="00C046CE">
        <w:rPr>
          <w:rFonts w:cstheme="minorHAnsi"/>
          <w:sz w:val="24"/>
          <w:szCs w:val="24"/>
          <w:shd w:val="clear" w:color="auto" w:fill="FBFBFB"/>
        </w:rPr>
        <w:t>', </w:t>
      </w:r>
      <w:r w:rsidRPr="00C046CE">
        <w:rPr>
          <w:rFonts w:cstheme="minorHAnsi"/>
          <w:i/>
          <w:iCs/>
          <w:sz w:val="24"/>
          <w:szCs w:val="24"/>
          <w:shd w:val="clear" w:color="auto" w:fill="FBFBFB"/>
        </w:rPr>
        <w:t>Studies in History and Philosophy of Science Part A</w:t>
      </w:r>
      <w:r w:rsidRPr="00C046CE">
        <w:rPr>
          <w:rFonts w:cstheme="minorHAnsi"/>
          <w:sz w:val="24"/>
          <w:szCs w:val="24"/>
          <w:shd w:val="clear" w:color="auto" w:fill="FBFBFB"/>
        </w:rPr>
        <w:t>, 82. (2020), 34-43.</w:t>
      </w:r>
    </w:p>
    <w:p w14:paraId="12B4593F" w14:textId="2BD072B2" w:rsidR="00CE2386" w:rsidRPr="00C046CE" w:rsidRDefault="00CE2386"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rPr>
        <w:t xml:space="preserve">Cicero, On Divination (De Divinatione): W. A. Falconer (ed. and </w:t>
      </w:r>
      <w:proofErr w:type="spellStart"/>
      <w:r w:rsidRPr="00C046CE">
        <w:rPr>
          <w:rFonts w:cstheme="minorHAnsi"/>
          <w:sz w:val="24"/>
          <w:szCs w:val="24"/>
        </w:rPr>
        <w:t>trs</w:t>
      </w:r>
      <w:proofErr w:type="spellEnd"/>
      <w:r w:rsidRPr="00C046CE">
        <w:rPr>
          <w:rFonts w:cstheme="minorHAnsi"/>
          <w:sz w:val="24"/>
          <w:szCs w:val="24"/>
        </w:rPr>
        <w:t>.), Loeb Classical Library, Cambridge, MA: Harvard University Press, vol. XX, 1923</w:t>
      </w:r>
    </w:p>
    <w:p w14:paraId="7B42C198"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Dahl, Darren E.</w:t>
      </w:r>
      <w:proofErr w:type="gramStart"/>
      <w:r w:rsidRPr="00C046CE">
        <w:rPr>
          <w:rFonts w:cstheme="minorHAnsi"/>
          <w:sz w:val="24"/>
          <w:szCs w:val="24"/>
          <w:shd w:val="clear" w:color="auto" w:fill="FBFBFB"/>
        </w:rPr>
        <w:t>,  '</w:t>
      </w:r>
      <w:proofErr w:type="gramEnd"/>
      <w:r w:rsidRPr="00C046CE">
        <w:rPr>
          <w:rFonts w:cstheme="minorHAnsi"/>
          <w:sz w:val="24"/>
          <w:szCs w:val="24"/>
          <w:shd w:val="clear" w:color="auto" w:fill="FBFBFB"/>
        </w:rPr>
        <w:t>Augustine contra Cicero: evaluation, affirmation, and the freedom of the will', </w:t>
      </w:r>
      <w:r w:rsidRPr="00C046CE">
        <w:rPr>
          <w:rFonts w:cstheme="minorHAnsi"/>
          <w:i/>
          <w:iCs/>
          <w:sz w:val="24"/>
          <w:szCs w:val="24"/>
          <w:shd w:val="clear" w:color="auto" w:fill="FBFBFB"/>
        </w:rPr>
        <w:t>Consensus</w:t>
      </w:r>
      <w:r w:rsidRPr="00C046CE">
        <w:rPr>
          <w:rFonts w:cstheme="minorHAnsi"/>
          <w:sz w:val="24"/>
          <w:szCs w:val="24"/>
          <w:shd w:val="clear" w:color="auto" w:fill="FBFBFB"/>
        </w:rPr>
        <w:t>, 32.1 (2007), 43-63.</w:t>
      </w:r>
    </w:p>
    <w:p w14:paraId="4B09D1EA"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 xml:space="preserve">Dunstan, William E., </w:t>
      </w:r>
      <w:r w:rsidRPr="00C046CE">
        <w:rPr>
          <w:rFonts w:cstheme="minorHAnsi"/>
          <w:i/>
          <w:iCs/>
          <w:sz w:val="24"/>
          <w:szCs w:val="24"/>
          <w:shd w:val="clear" w:color="auto" w:fill="FBFBFB"/>
        </w:rPr>
        <w:t>Ancient Rome</w:t>
      </w:r>
      <w:r w:rsidRPr="00C046CE">
        <w:rPr>
          <w:rFonts w:cstheme="minorHAnsi"/>
          <w:sz w:val="24"/>
          <w:szCs w:val="24"/>
          <w:shd w:val="clear" w:color="auto" w:fill="FBFBFB"/>
        </w:rPr>
        <w:t>, (Maryland: Rowman &amp; Littlefield Publishers, 2010)</w:t>
      </w:r>
    </w:p>
    <w:p w14:paraId="52C6D4D9"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Fernandez-</w:t>
      </w:r>
      <w:proofErr w:type="spellStart"/>
      <w:r w:rsidRPr="00C046CE">
        <w:rPr>
          <w:rFonts w:cstheme="minorHAnsi"/>
          <w:sz w:val="24"/>
          <w:szCs w:val="24"/>
          <w:shd w:val="clear" w:color="auto" w:fill="FBFBFB"/>
        </w:rPr>
        <w:t>Beanato</w:t>
      </w:r>
      <w:proofErr w:type="spellEnd"/>
      <w:r w:rsidRPr="00C046CE">
        <w:rPr>
          <w:rFonts w:cstheme="minorHAnsi"/>
          <w:sz w:val="24"/>
          <w:szCs w:val="24"/>
          <w:shd w:val="clear" w:color="auto" w:fill="FBFBFB"/>
        </w:rPr>
        <w:t>, Damian, 'Cicero's demarcation of science: A report of shared criteria', </w:t>
      </w:r>
      <w:r w:rsidRPr="00C046CE">
        <w:rPr>
          <w:rFonts w:cstheme="minorHAnsi"/>
          <w:i/>
          <w:iCs/>
          <w:sz w:val="24"/>
          <w:szCs w:val="24"/>
          <w:shd w:val="clear" w:color="auto" w:fill="FBFBFB"/>
        </w:rPr>
        <w:t>Studies in History and Philosophy of Science Part A</w:t>
      </w:r>
      <w:r w:rsidRPr="00C046CE">
        <w:rPr>
          <w:rFonts w:cstheme="minorHAnsi"/>
          <w:sz w:val="24"/>
          <w:szCs w:val="24"/>
          <w:shd w:val="clear" w:color="auto" w:fill="FBFBFB"/>
        </w:rPr>
        <w:t xml:space="preserve">, 83. (2020), 97-102 </w:t>
      </w:r>
      <w:hyperlink r:id="rId7" w:tgtFrame="_blank" w:tooltip="Persistent link using digital object identifier" w:history="1">
        <w:r w:rsidRPr="00C046CE">
          <w:rPr>
            <w:rStyle w:val="anchor-text"/>
            <w:rFonts w:cstheme="minorHAnsi"/>
            <w:sz w:val="24"/>
            <w:szCs w:val="24"/>
            <w:shd w:val="clear" w:color="auto" w:fill="FBFBFB"/>
          </w:rPr>
          <w:t>https://doi.org/10.1016/j.shpsa.2020.04.002</w:t>
        </w:r>
      </w:hyperlink>
      <w:r w:rsidRPr="00C046CE">
        <w:rPr>
          <w:rFonts w:cstheme="minorHAnsi"/>
          <w:sz w:val="24"/>
          <w:szCs w:val="24"/>
          <w:shd w:val="clear" w:color="auto" w:fill="FBFBFB"/>
        </w:rPr>
        <w:t>&gt;</w:t>
      </w:r>
    </w:p>
    <w:p w14:paraId="30E076AE" w14:textId="77777777" w:rsidR="00694CB2" w:rsidRPr="00C046CE" w:rsidRDefault="00694CB2" w:rsidP="00C046CE">
      <w:pPr>
        <w:pBdr>
          <w:bottom w:val="single" w:sz="6" w:space="14" w:color="auto"/>
        </w:pBdr>
        <w:spacing w:before="240" w:after="0" w:line="240" w:lineRule="auto"/>
        <w:rPr>
          <w:rFonts w:eastAsia="Times New Roman" w:cstheme="minorHAnsi"/>
          <w:sz w:val="24"/>
          <w:szCs w:val="24"/>
          <w:lang w:eastAsia="en-GB"/>
        </w:rPr>
      </w:pPr>
      <w:proofErr w:type="spellStart"/>
      <w:r w:rsidRPr="00C046CE">
        <w:rPr>
          <w:rFonts w:cstheme="minorHAnsi"/>
          <w:sz w:val="24"/>
          <w:szCs w:val="24"/>
          <w:shd w:val="clear" w:color="auto" w:fill="FBFBFB"/>
        </w:rPr>
        <w:t>Fieser</w:t>
      </w:r>
      <w:proofErr w:type="spellEnd"/>
      <w:r w:rsidRPr="00C046CE">
        <w:rPr>
          <w:rFonts w:cstheme="minorHAnsi"/>
          <w:sz w:val="24"/>
          <w:szCs w:val="24"/>
          <w:shd w:val="clear" w:color="auto" w:fill="FBFBFB"/>
        </w:rPr>
        <w:t>, James, </w:t>
      </w:r>
      <w:proofErr w:type="spellStart"/>
      <w:r w:rsidRPr="00C046CE">
        <w:rPr>
          <w:rFonts w:cstheme="minorHAnsi"/>
          <w:i/>
          <w:iCs/>
          <w:sz w:val="24"/>
          <w:szCs w:val="24"/>
          <w:shd w:val="clear" w:color="auto" w:fill="FBFBFB"/>
        </w:rPr>
        <w:t>Skepticism</w:t>
      </w:r>
      <w:proofErr w:type="spellEnd"/>
      <w:r w:rsidRPr="00C046CE">
        <w:rPr>
          <w:rFonts w:cstheme="minorHAnsi"/>
          <w:i/>
          <w:iCs/>
          <w:sz w:val="24"/>
          <w:szCs w:val="24"/>
          <w:shd w:val="clear" w:color="auto" w:fill="FBFBFB"/>
        </w:rPr>
        <w:t>: Academic and Pyrrhonian </w:t>
      </w:r>
      <w:r w:rsidRPr="00C046CE">
        <w:rPr>
          <w:rFonts w:cstheme="minorHAnsi"/>
          <w:sz w:val="24"/>
          <w:szCs w:val="24"/>
          <w:shd w:val="clear" w:color="auto" w:fill="FBFBFB"/>
        </w:rPr>
        <w:t>(2018) &lt;</w:t>
      </w:r>
      <w:r w:rsidRPr="00C046CE">
        <w:rPr>
          <w:rFonts w:cstheme="minorHAnsi"/>
          <w:sz w:val="24"/>
          <w:szCs w:val="24"/>
        </w:rPr>
        <w:t xml:space="preserve"> </w:t>
      </w:r>
      <w:r w:rsidRPr="00C046CE">
        <w:rPr>
          <w:rFonts w:cstheme="minorHAnsi"/>
          <w:sz w:val="24"/>
          <w:szCs w:val="24"/>
          <w:shd w:val="clear" w:color="auto" w:fill="FBFBFB"/>
        </w:rPr>
        <w:t>https://www.utm.edu/staff/jfieser/class/314/08-314-skepticism.htm#:~:text=Academic%20skeptics%20argued%20to%20the,a%20follower%20of%20the%20Academics. &gt; [accessed 15 February 2023].</w:t>
      </w:r>
    </w:p>
    <w:p w14:paraId="2E35AFA1" w14:textId="77777777" w:rsidR="00694CB2" w:rsidRPr="00C046CE" w:rsidRDefault="00694CB2" w:rsidP="00C046CE">
      <w:pPr>
        <w:pBdr>
          <w:bottom w:val="single" w:sz="6" w:space="14" w:color="auto"/>
        </w:pBdr>
        <w:spacing w:before="240" w:after="0" w:line="240" w:lineRule="auto"/>
        <w:rPr>
          <w:rFonts w:cstheme="minorHAnsi"/>
          <w:i/>
          <w:iCs/>
          <w:sz w:val="24"/>
          <w:szCs w:val="24"/>
          <w:shd w:val="clear" w:color="auto" w:fill="FBFBFB"/>
        </w:rPr>
      </w:pPr>
      <w:r w:rsidRPr="00C046CE">
        <w:rPr>
          <w:rFonts w:cstheme="minorHAnsi"/>
          <w:sz w:val="24"/>
          <w:szCs w:val="24"/>
          <w:shd w:val="clear" w:color="auto" w:fill="FBFBFB"/>
        </w:rPr>
        <w:t xml:space="preserve">Gibbon, Edward, </w:t>
      </w:r>
      <w:r w:rsidRPr="00C046CE">
        <w:rPr>
          <w:rFonts w:cstheme="minorHAnsi"/>
          <w:i/>
          <w:iCs/>
          <w:sz w:val="24"/>
          <w:szCs w:val="24"/>
          <w:shd w:val="clear" w:color="auto" w:fill="FBFBFB"/>
        </w:rPr>
        <w:t xml:space="preserve">The History of the Decline and Fall of the Roman Empire: Volume 1 </w:t>
      </w:r>
      <w:r w:rsidRPr="00C046CE">
        <w:rPr>
          <w:rFonts w:cstheme="minorHAnsi"/>
          <w:sz w:val="24"/>
          <w:szCs w:val="24"/>
          <w:shd w:val="clear" w:color="auto" w:fill="FBFBFB"/>
        </w:rPr>
        <w:t>(London: Penguin Books, 1996).</w:t>
      </w:r>
      <w:r w:rsidRPr="00C046CE">
        <w:rPr>
          <w:rFonts w:cstheme="minorHAnsi"/>
          <w:i/>
          <w:iCs/>
          <w:sz w:val="24"/>
          <w:szCs w:val="24"/>
          <w:shd w:val="clear" w:color="auto" w:fill="FBFBFB"/>
        </w:rPr>
        <w:t xml:space="preserve"> </w:t>
      </w:r>
    </w:p>
    <w:p w14:paraId="5C9F72BA"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proofErr w:type="spellStart"/>
      <w:r w:rsidRPr="00C046CE">
        <w:rPr>
          <w:rFonts w:cstheme="minorHAnsi"/>
          <w:sz w:val="24"/>
          <w:szCs w:val="24"/>
          <w:shd w:val="clear" w:color="auto" w:fill="FBFBFB"/>
        </w:rPr>
        <w:t>Goar</w:t>
      </w:r>
      <w:proofErr w:type="spellEnd"/>
      <w:r w:rsidRPr="00C046CE">
        <w:rPr>
          <w:rFonts w:cstheme="minorHAnsi"/>
          <w:sz w:val="24"/>
          <w:szCs w:val="24"/>
          <w:shd w:val="clear" w:color="auto" w:fill="FBFBFB"/>
        </w:rPr>
        <w:t>, Robert J., 'The Purpose of De Divinatione', </w:t>
      </w:r>
      <w:r w:rsidRPr="00C046CE">
        <w:rPr>
          <w:rFonts w:cstheme="minorHAnsi"/>
          <w:i/>
          <w:iCs/>
          <w:sz w:val="24"/>
          <w:szCs w:val="24"/>
          <w:shd w:val="clear" w:color="auto" w:fill="FBFBFB"/>
        </w:rPr>
        <w:t>Transactions and Proceedings of the American Philological Association</w:t>
      </w:r>
      <w:r w:rsidRPr="00C046CE">
        <w:rPr>
          <w:rFonts w:cstheme="minorHAnsi"/>
          <w:sz w:val="24"/>
          <w:szCs w:val="24"/>
          <w:shd w:val="clear" w:color="auto" w:fill="FBFBFB"/>
        </w:rPr>
        <w:t>, 99 (1968), 241-248. https://doi.org/10.2307/2935842</w:t>
      </w:r>
    </w:p>
    <w:p w14:paraId="6C012F19"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Inwood, Brad, review of John Wynne, </w:t>
      </w:r>
      <w:r w:rsidRPr="00C046CE">
        <w:rPr>
          <w:rStyle w:val="Emphasis"/>
          <w:rFonts w:cstheme="minorHAnsi"/>
          <w:sz w:val="24"/>
          <w:szCs w:val="24"/>
          <w:shd w:val="clear" w:color="auto" w:fill="FFFFFF"/>
        </w:rPr>
        <w:t>Cicero on the Philosophy of Religion: On the Nature of the Gods </w:t>
      </w:r>
      <w:r w:rsidRPr="00C046CE">
        <w:rPr>
          <w:rFonts w:cstheme="minorHAnsi"/>
          <w:i/>
          <w:iCs/>
          <w:sz w:val="24"/>
          <w:szCs w:val="24"/>
          <w:shd w:val="clear" w:color="auto" w:fill="FFFFFF"/>
        </w:rPr>
        <w:t>and</w:t>
      </w:r>
      <w:r w:rsidRPr="00C046CE">
        <w:rPr>
          <w:rStyle w:val="Emphasis"/>
          <w:rFonts w:cstheme="minorHAnsi"/>
          <w:sz w:val="24"/>
          <w:szCs w:val="24"/>
          <w:shd w:val="clear" w:color="auto" w:fill="FFFFFF"/>
        </w:rPr>
        <w:t> On Divination </w:t>
      </w:r>
      <w:r w:rsidRPr="00C046CE">
        <w:rPr>
          <w:rFonts w:cstheme="minorHAnsi"/>
          <w:sz w:val="24"/>
          <w:szCs w:val="24"/>
          <w:shd w:val="clear" w:color="auto" w:fill="FBFBFB"/>
        </w:rPr>
        <w:t>(2019), Notre Dame Philosophical Reviews &lt;</w:t>
      </w:r>
      <w:r w:rsidRPr="00C046CE">
        <w:rPr>
          <w:rFonts w:cstheme="minorHAnsi"/>
          <w:sz w:val="24"/>
          <w:szCs w:val="24"/>
        </w:rPr>
        <w:t xml:space="preserve"> </w:t>
      </w:r>
      <w:r w:rsidRPr="00C046CE">
        <w:rPr>
          <w:rFonts w:cstheme="minorHAnsi"/>
          <w:sz w:val="24"/>
          <w:szCs w:val="24"/>
          <w:shd w:val="clear" w:color="auto" w:fill="FBFBFB"/>
        </w:rPr>
        <w:t>https://ndpr.nd.edu/reviews/cicero-on-the-philosophy-of-religion-on-the-nature-of-the-gods-and-on-divination/ &gt; [accessed 21 February 2023].</w:t>
      </w:r>
    </w:p>
    <w:p w14:paraId="251D6669" w14:textId="77777777" w:rsidR="00694CB2" w:rsidRPr="00C046CE" w:rsidRDefault="00694CB2" w:rsidP="00C046CE">
      <w:pPr>
        <w:pBdr>
          <w:bottom w:val="single" w:sz="6" w:space="14" w:color="auto"/>
        </w:pBdr>
        <w:spacing w:before="240" w:after="0" w:line="240" w:lineRule="auto"/>
        <w:rPr>
          <w:rFonts w:cstheme="minorHAnsi"/>
          <w:spacing w:val="-5"/>
          <w:sz w:val="24"/>
          <w:szCs w:val="24"/>
          <w:shd w:val="clear" w:color="auto" w:fill="FBFBFB"/>
        </w:rPr>
      </w:pPr>
      <w:proofErr w:type="spellStart"/>
      <w:r w:rsidRPr="00C046CE">
        <w:rPr>
          <w:rFonts w:cstheme="minorHAnsi"/>
          <w:sz w:val="24"/>
          <w:szCs w:val="24"/>
          <w:shd w:val="clear" w:color="auto" w:fill="FBFBFB"/>
        </w:rPr>
        <w:t>Krostenko</w:t>
      </w:r>
      <w:proofErr w:type="spellEnd"/>
      <w:r w:rsidRPr="00C046CE">
        <w:rPr>
          <w:rFonts w:cstheme="minorHAnsi"/>
          <w:sz w:val="24"/>
          <w:szCs w:val="24"/>
          <w:shd w:val="clear" w:color="auto" w:fill="FBFBFB"/>
        </w:rPr>
        <w:t>, Brian A., ‘Beyond (Dis)belief: Rhetorical Form and Religious Symbol in Cicero's de Divinatione', </w:t>
      </w:r>
      <w:r w:rsidRPr="00C046CE">
        <w:rPr>
          <w:rFonts w:cstheme="minorHAnsi"/>
          <w:i/>
          <w:iCs/>
          <w:sz w:val="24"/>
          <w:szCs w:val="24"/>
          <w:shd w:val="clear" w:color="auto" w:fill="FBFBFB"/>
        </w:rPr>
        <w:t>Transactions of the American Philological Association (1974-2014)</w:t>
      </w:r>
      <w:r w:rsidRPr="00C046CE">
        <w:rPr>
          <w:rFonts w:cstheme="minorHAnsi"/>
          <w:sz w:val="24"/>
          <w:szCs w:val="24"/>
          <w:shd w:val="clear" w:color="auto" w:fill="FBFBFB"/>
        </w:rPr>
        <w:t>, 130 (2000). (353-391). </w:t>
      </w:r>
      <w:r w:rsidRPr="00C046CE">
        <w:rPr>
          <w:rFonts w:cstheme="minorHAnsi"/>
          <w:spacing w:val="-5"/>
          <w:sz w:val="24"/>
          <w:szCs w:val="24"/>
          <w:shd w:val="clear" w:color="auto" w:fill="FBFBFB"/>
        </w:rPr>
        <w:t>https://www.jstor.org/stable/284315 [accessed: 14 February 2023]</w:t>
      </w:r>
    </w:p>
    <w:p w14:paraId="73EE9405" w14:textId="3F796619"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proofErr w:type="spellStart"/>
      <w:r w:rsidRPr="00C046CE">
        <w:rPr>
          <w:rFonts w:cstheme="minorHAnsi"/>
          <w:sz w:val="24"/>
          <w:szCs w:val="24"/>
          <w:shd w:val="clear" w:color="auto" w:fill="FBFBFB"/>
        </w:rPr>
        <w:t>Lehoux</w:t>
      </w:r>
      <w:proofErr w:type="spellEnd"/>
      <w:r w:rsidRPr="00C046CE">
        <w:rPr>
          <w:rFonts w:cstheme="minorHAnsi"/>
          <w:sz w:val="24"/>
          <w:szCs w:val="24"/>
          <w:shd w:val="clear" w:color="auto" w:fill="FBFBFB"/>
        </w:rPr>
        <w:t xml:space="preserve">, </w:t>
      </w:r>
      <w:proofErr w:type="spellStart"/>
      <w:r w:rsidRPr="00C046CE">
        <w:rPr>
          <w:rFonts w:cstheme="minorHAnsi"/>
          <w:sz w:val="24"/>
          <w:szCs w:val="24"/>
          <w:shd w:val="clear" w:color="auto" w:fill="FBFBFB"/>
        </w:rPr>
        <w:t>Daryn</w:t>
      </w:r>
      <w:proofErr w:type="spellEnd"/>
      <w:r w:rsidRPr="00C046CE">
        <w:rPr>
          <w:rFonts w:cstheme="minorHAnsi"/>
          <w:sz w:val="24"/>
          <w:szCs w:val="24"/>
          <w:shd w:val="clear" w:color="auto" w:fill="FBFBFB"/>
        </w:rPr>
        <w:t>, </w:t>
      </w:r>
      <w:r w:rsidRPr="00C046CE">
        <w:rPr>
          <w:rFonts w:cstheme="minorHAnsi"/>
          <w:i/>
          <w:iCs/>
          <w:sz w:val="24"/>
          <w:szCs w:val="24"/>
          <w:shd w:val="clear" w:color="auto" w:fill="FBFBFB"/>
        </w:rPr>
        <w:t xml:space="preserve">What Did the Romans Know? An Inquiry </w:t>
      </w:r>
      <w:proofErr w:type="gramStart"/>
      <w:r w:rsidRPr="00C046CE">
        <w:rPr>
          <w:rFonts w:cstheme="minorHAnsi"/>
          <w:i/>
          <w:iCs/>
          <w:sz w:val="24"/>
          <w:szCs w:val="24"/>
          <w:shd w:val="clear" w:color="auto" w:fill="FBFBFB"/>
        </w:rPr>
        <w:t>Into</w:t>
      </w:r>
      <w:proofErr w:type="gramEnd"/>
      <w:r w:rsidRPr="00C046CE">
        <w:rPr>
          <w:rFonts w:cstheme="minorHAnsi"/>
          <w:i/>
          <w:iCs/>
          <w:sz w:val="24"/>
          <w:szCs w:val="24"/>
          <w:shd w:val="clear" w:color="auto" w:fill="FBFBFB"/>
        </w:rPr>
        <w:t xml:space="preserve"> Science and Worldmaking</w:t>
      </w:r>
      <w:r w:rsidRPr="00C046CE">
        <w:rPr>
          <w:rFonts w:cstheme="minorHAnsi"/>
          <w:sz w:val="24"/>
          <w:szCs w:val="24"/>
          <w:shd w:val="clear" w:color="auto" w:fill="FBFBFB"/>
        </w:rPr>
        <w:t>, (Chicago and London: University of Chicago Press, 2012).</w:t>
      </w:r>
    </w:p>
    <w:p w14:paraId="22B187C4"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proofErr w:type="spellStart"/>
      <w:r w:rsidRPr="00C046CE">
        <w:rPr>
          <w:rFonts w:cstheme="minorHAnsi"/>
          <w:sz w:val="24"/>
          <w:szCs w:val="24"/>
          <w:shd w:val="clear" w:color="auto" w:fill="FBFBFB"/>
        </w:rPr>
        <w:t>Linderski</w:t>
      </w:r>
      <w:proofErr w:type="spellEnd"/>
      <w:r w:rsidRPr="00C046CE">
        <w:rPr>
          <w:rFonts w:cstheme="minorHAnsi"/>
          <w:sz w:val="24"/>
          <w:szCs w:val="24"/>
          <w:shd w:val="clear" w:color="auto" w:fill="FBFBFB"/>
        </w:rPr>
        <w:t>, Jerzy, 'Cicero and Roman Divination', </w:t>
      </w:r>
      <w:proofErr w:type="spellStart"/>
      <w:r w:rsidRPr="00C046CE">
        <w:rPr>
          <w:rFonts w:cstheme="minorHAnsi"/>
          <w:i/>
          <w:iCs/>
          <w:sz w:val="24"/>
          <w:szCs w:val="24"/>
          <w:shd w:val="clear" w:color="auto" w:fill="FBFBFB"/>
        </w:rPr>
        <w:t>PdP</w:t>
      </w:r>
      <w:proofErr w:type="spellEnd"/>
      <w:r w:rsidRPr="00C046CE">
        <w:rPr>
          <w:rFonts w:cstheme="minorHAnsi"/>
          <w:sz w:val="24"/>
          <w:szCs w:val="24"/>
          <w:shd w:val="clear" w:color="auto" w:fill="FBFBFB"/>
        </w:rPr>
        <w:t xml:space="preserve">, 37. (1982), 12-38. </w:t>
      </w:r>
    </w:p>
    <w:p w14:paraId="0FB23F1A"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bookmarkStart w:id="13" w:name="_Hlk129467808"/>
      <w:bookmarkEnd w:id="11"/>
      <w:r w:rsidRPr="00C046CE">
        <w:rPr>
          <w:rFonts w:cstheme="minorHAnsi"/>
          <w:sz w:val="24"/>
          <w:szCs w:val="24"/>
          <w:shd w:val="clear" w:color="auto" w:fill="FBFBFB"/>
        </w:rPr>
        <w:lastRenderedPageBreak/>
        <w:t>Mueller, Hans-Friedrich, 'David Wardle, Cicero on Divination: De Divinatione Book 1', </w:t>
      </w:r>
      <w:r w:rsidRPr="00C046CE">
        <w:rPr>
          <w:rFonts w:cstheme="minorHAnsi"/>
          <w:i/>
          <w:iCs/>
          <w:sz w:val="24"/>
          <w:szCs w:val="24"/>
          <w:shd w:val="clear" w:color="auto" w:fill="FBFBFB"/>
        </w:rPr>
        <w:t>Acta Classica</w:t>
      </w:r>
      <w:r w:rsidRPr="00C046CE">
        <w:rPr>
          <w:rFonts w:cstheme="minorHAnsi"/>
          <w:sz w:val="24"/>
          <w:szCs w:val="24"/>
          <w:shd w:val="clear" w:color="auto" w:fill="FBFBFB"/>
        </w:rPr>
        <w:t>, (2013), 223-227 &lt;https://casa-kvsa.org.za/legacy/2008/AC51-20-Mueller.pdf</w:t>
      </w:r>
      <w:hyperlink r:id="rId8" w:history="1">
        <w:r w:rsidRPr="00C046CE">
          <w:rPr>
            <w:rStyle w:val="Hyperlink"/>
            <w:rFonts w:cstheme="minorHAnsi"/>
            <w:color w:val="auto"/>
            <w:sz w:val="24"/>
            <w:szCs w:val="24"/>
            <w:shd w:val="clear" w:color="auto" w:fill="FBFBFB"/>
          </w:rPr>
          <w:t>&gt;</w:t>
        </w:r>
      </w:hyperlink>
      <w:r w:rsidRPr="00C046CE">
        <w:rPr>
          <w:rFonts w:cstheme="minorHAnsi"/>
          <w:sz w:val="24"/>
          <w:szCs w:val="24"/>
          <w:shd w:val="clear" w:color="auto" w:fill="FBFBFB"/>
        </w:rPr>
        <w:t> [accessed: 14 February 2023]</w:t>
      </w:r>
    </w:p>
    <w:p w14:paraId="442B7434" w14:textId="531022FE"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Pease, Arthur Stanley, </w:t>
      </w:r>
      <w:r w:rsidRPr="00C046CE">
        <w:rPr>
          <w:rFonts w:cstheme="minorHAnsi"/>
          <w:i/>
          <w:iCs/>
          <w:sz w:val="24"/>
          <w:szCs w:val="24"/>
          <w:shd w:val="clear" w:color="auto" w:fill="FAFAFA"/>
        </w:rPr>
        <w:t xml:space="preserve">M. </w:t>
      </w:r>
      <w:proofErr w:type="spellStart"/>
      <w:r w:rsidRPr="00C046CE">
        <w:rPr>
          <w:rFonts w:cstheme="minorHAnsi"/>
          <w:i/>
          <w:iCs/>
          <w:sz w:val="24"/>
          <w:szCs w:val="24"/>
          <w:shd w:val="clear" w:color="auto" w:fill="FAFAFA"/>
        </w:rPr>
        <w:t>Tulli</w:t>
      </w:r>
      <w:proofErr w:type="spellEnd"/>
      <w:r w:rsidRPr="00C046CE">
        <w:rPr>
          <w:rFonts w:cstheme="minorHAnsi"/>
          <w:i/>
          <w:iCs/>
          <w:sz w:val="24"/>
          <w:szCs w:val="24"/>
          <w:shd w:val="clear" w:color="auto" w:fill="FAFAFA"/>
        </w:rPr>
        <w:t xml:space="preserve"> </w:t>
      </w:r>
      <w:proofErr w:type="spellStart"/>
      <w:r w:rsidRPr="00C046CE">
        <w:rPr>
          <w:rFonts w:cstheme="minorHAnsi"/>
          <w:i/>
          <w:iCs/>
          <w:sz w:val="24"/>
          <w:szCs w:val="24"/>
          <w:shd w:val="clear" w:color="auto" w:fill="FAFAFA"/>
        </w:rPr>
        <w:t>Ciceronis</w:t>
      </w:r>
      <w:proofErr w:type="spellEnd"/>
      <w:r w:rsidRPr="00C046CE">
        <w:rPr>
          <w:rFonts w:cstheme="minorHAnsi"/>
          <w:i/>
          <w:iCs/>
          <w:sz w:val="24"/>
          <w:szCs w:val="24"/>
          <w:shd w:val="clear" w:color="auto" w:fill="FAFAFA"/>
        </w:rPr>
        <w:t xml:space="preserve"> De </w:t>
      </w:r>
      <w:proofErr w:type="spellStart"/>
      <w:r w:rsidRPr="00C046CE">
        <w:rPr>
          <w:rFonts w:cstheme="minorHAnsi"/>
          <w:i/>
          <w:iCs/>
          <w:sz w:val="24"/>
          <w:szCs w:val="24"/>
          <w:shd w:val="clear" w:color="auto" w:fill="FAFAFA"/>
        </w:rPr>
        <w:t>divinatione</w:t>
      </w:r>
      <w:proofErr w:type="spellEnd"/>
      <w:r w:rsidR="00CE2386" w:rsidRPr="00C046CE">
        <w:rPr>
          <w:rFonts w:cstheme="minorHAnsi"/>
          <w:sz w:val="24"/>
          <w:szCs w:val="24"/>
          <w:shd w:val="clear" w:color="auto" w:fill="FBFBFB"/>
        </w:rPr>
        <w:t xml:space="preserve"> </w:t>
      </w:r>
      <w:r w:rsidRPr="00C046CE">
        <w:rPr>
          <w:rFonts w:cstheme="minorHAnsi"/>
          <w:sz w:val="24"/>
          <w:szCs w:val="24"/>
          <w:shd w:val="clear" w:color="auto" w:fill="FBFBFB"/>
        </w:rPr>
        <w:t>(Urbana: University of Illinois, 1920)</w:t>
      </w:r>
    </w:p>
    <w:p w14:paraId="5215CBBA"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proofErr w:type="spellStart"/>
      <w:r w:rsidRPr="00C046CE">
        <w:rPr>
          <w:rFonts w:cstheme="minorHAnsi"/>
          <w:sz w:val="24"/>
          <w:szCs w:val="24"/>
          <w:shd w:val="clear" w:color="auto" w:fill="FBFBFB"/>
        </w:rPr>
        <w:t>Petersson</w:t>
      </w:r>
      <w:proofErr w:type="spellEnd"/>
      <w:r w:rsidRPr="00C046CE">
        <w:rPr>
          <w:rFonts w:cstheme="minorHAnsi"/>
          <w:sz w:val="24"/>
          <w:szCs w:val="24"/>
          <w:shd w:val="clear" w:color="auto" w:fill="FBFBFB"/>
        </w:rPr>
        <w:t xml:space="preserve">, </w:t>
      </w:r>
      <w:proofErr w:type="spellStart"/>
      <w:r w:rsidRPr="00C046CE">
        <w:rPr>
          <w:rFonts w:cstheme="minorHAnsi"/>
          <w:sz w:val="24"/>
          <w:szCs w:val="24"/>
          <w:shd w:val="clear" w:color="auto" w:fill="FBFBFB"/>
        </w:rPr>
        <w:t>Torsten</w:t>
      </w:r>
      <w:proofErr w:type="spellEnd"/>
      <w:r w:rsidRPr="00C046CE">
        <w:rPr>
          <w:rFonts w:cstheme="minorHAnsi"/>
          <w:sz w:val="24"/>
          <w:szCs w:val="24"/>
          <w:shd w:val="clear" w:color="auto" w:fill="FBFBFB"/>
        </w:rPr>
        <w:t>, </w:t>
      </w:r>
      <w:r w:rsidRPr="00C046CE">
        <w:rPr>
          <w:rFonts w:cstheme="minorHAnsi"/>
          <w:i/>
          <w:iCs/>
          <w:sz w:val="24"/>
          <w:szCs w:val="24"/>
          <w:shd w:val="clear" w:color="auto" w:fill="FBFBFB"/>
        </w:rPr>
        <w:t>Cicero </w:t>
      </w:r>
      <w:r w:rsidRPr="00C046CE">
        <w:rPr>
          <w:rFonts w:cstheme="minorHAnsi"/>
          <w:sz w:val="24"/>
          <w:szCs w:val="24"/>
          <w:shd w:val="clear" w:color="auto" w:fill="FBFBFB"/>
        </w:rPr>
        <w:t xml:space="preserve">(United States: </w:t>
      </w:r>
      <w:proofErr w:type="spellStart"/>
      <w:r w:rsidRPr="00C046CE">
        <w:rPr>
          <w:rFonts w:cstheme="minorHAnsi"/>
          <w:sz w:val="24"/>
          <w:szCs w:val="24"/>
          <w:shd w:val="clear" w:color="auto" w:fill="FBFBFB"/>
        </w:rPr>
        <w:t>Biblo</w:t>
      </w:r>
      <w:proofErr w:type="spellEnd"/>
      <w:r w:rsidRPr="00C046CE">
        <w:rPr>
          <w:rFonts w:cstheme="minorHAnsi"/>
          <w:sz w:val="24"/>
          <w:szCs w:val="24"/>
          <w:shd w:val="clear" w:color="auto" w:fill="FBFBFB"/>
        </w:rPr>
        <w:t xml:space="preserve"> and Tanner, 1963).</w:t>
      </w:r>
    </w:p>
    <w:p w14:paraId="29357A6F"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proofErr w:type="spellStart"/>
      <w:r w:rsidRPr="00C046CE">
        <w:rPr>
          <w:rFonts w:cstheme="minorHAnsi"/>
          <w:sz w:val="24"/>
          <w:szCs w:val="24"/>
          <w:shd w:val="clear" w:color="auto" w:fill="FFFFFF"/>
        </w:rPr>
        <w:t>Rüpke</w:t>
      </w:r>
      <w:proofErr w:type="spellEnd"/>
      <w:r w:rsidRPr="00C046CE">
        <w:rPr>
          <w:rFonts w:cstheme="minorHAnsi"/>
          <w:sz w:val="24"/>
          <w:szCs w:val="24"/>
          <w:shd w:val="clear" w:color="auto" w:fill="FBFBFB"/>
        </w:rPr>
        <w:t xml:space="preserve">, </w:t>
      </w:r>
      <w:proofErr w:type="spellStart"/>
      <w:r w:rsidRPr="00C046CE">
        <w:rPr>
          <w:rFonts w:cstheme="minorHAnsi"/>
          <w:sz w:val="24"/>
          <w:szCs w:val="24"/>
          <w:shd w:val="clear" w:color="auto" w:fill="FFFFFF"/>
        </w:rPr>
        <w:t>Jörg</w:t>
      </w:r>
      <w:proofErr w:type="spellEnd"/>
      <w:r w:rsidRPr="00C046CE">
        <w:rPr>
          <w:rFonts w:cstheme="minorHAnsi"/>
          <w:sz w:val="24"/>
          <w:szCs w:val="24"/>
          <w:shd w:val="clear" w:color="auto" w:fill="FFFFFF"/>
        </w:rPr>
        <w:t>,</w:t>
      </w:r>
      <w:r w:rsidRPr="00C046CE">
        <w:rPr>
          <w:rFonts w:cstheme="minorHAnsi"/>
          <w:sz w:val="24"/>
          <w:szCs w:val="24"/>
          <w:shd w:val="clear" w:color="auto" w:fill="FBFBFB"/>
        </w:rPr>
        <w:t> </w:t>
      </w:r>
      <w:r w:rsidRPr="00C046CE">
        <w:rPr>
          <w:rFonts w:cstheme="minorHAnsi"/>
          <w:i/>
          <w:iCs/>
          <w:sz w:val="24"/>
          <w:szCs w:val="24"/>
          <w:shd w:val="clear" w:color="auto" w:fill="FBFBFB"/>
        </w:rPr>
        <w:t>Religion in Republican Rome: Rationalized and Ritual Change</w:t>
      </w:r>
      <w:r w:rsidRPr="00C046CE">
        <w:rPr>
          <w:rFonts w:cstheme="minorHAnsi"/>
          <w:sz w:val="24"/>
          <w:szCs w:val="24"/>
          <w:shd w:val="clear" w:color="auto" w:fill="FBFBFB"/>
        </w:rPr>
        <w:t>, (</w:t>
      </w:r>
      <w:r w:rsidRPr="00C046CE">
        <w:rPr>
          <w:rFonts w:cstheme="minorHAnsi"/>
          <w:sz w:val="24"/>
          <w:szCs w:val="24"/>
          <w:shd w:val="clear" w:color="auto" w:fill="FFFFFF"/>
        </w:rPr>
        <w:t xml:space="preserve">Philadelphia: University of Pennsylvania Press, 2012). </w:t>
      </w:r>
      <w:r w:rsidRPr="00C046CE">
        <w:rPr>
          <w:rFonts w:cstheme="minorHAnsi"/>
          <w:sz w:val="24"/>
          <w:szCs w:val="24"/>
          <w:shd w:val="clear" w:color="auto" w:fill="FBFBFB"/>
        </w:rPr>
        <w:t> </w:t>
      </w:r>
    </w:p>
    <w:p w14:paraId="03A6C254" w14:textId="77777777" w:rsidR="00694CB2" w:rsidRPr="00C046CE" w:rsidRDefault="00694CB2" w:rsidP="00C046CE">
      <w:pPr>
        <w:pBdr>
          <w:bottom w:val="single" w:sz="6" w:space="14" w:color="auto"/>
        </w:pBdr>
        <w:spacing w:before="240" w:after="0" w:line="240" w:lineRule="auto"/>
        <w:rPr>
          <w:rFonts w:eastAsia="Times New Roman" w:cstheme="minorHAnsi"/>
          <w:sz w:val="24"/>
          <w:szCs w:val="24"/>
          <w:lang w:eastAsia="en-GB"/>
        </w:rPr>
      </w:pPr>
      <w:r w:rsidRPr="00C046CE">
        <w:rPr>
          <w:rFonts w:cstheme="minorHAnsi"/>
          <w:sz w:val="24"/>
          <w:szCs w:val="24"/>
          <w:shd w:val="clear" w:color="auto" w:fill="FBFBFB"/>
        </w:rPr>
        <w:t>Sack, Harald, </w:t>
      </w:r>
      <w:r w:rsidRPr="00C046CE">
        <w:rPr>
          <w:rFonts w:cstheme="minorHAnsi"/>
          <w:i/>
          <w:iCs/>
          <w:sz w:val="24"/>
          <w:szCs w:val="24"/>
          <w:shd w:val="clear" w:color="auto" w:fill="FBFBFB"/>
        </w:rPr>
        <w:t>Marcus Tullius Cicero - Truly a Homo Novus</w:t>
      </w:r>
      <w:r w:rsidRPr="00C046CE">
        <w:rPr>
          <w:rFonts w:cstheme="minorHAnsi"/>
          <w:sz w:val="24"/>
          <w:szCs w:val="24"/>
          <w:shd w:val="clear" w:color="auto" w:fill="FBFBFB"/>
        </w:rPr>
        <w:t> (2020) &lt;</w:t>
      </w:r>
      <w:r w:rsidRPr="00C046CE">
        <w:rPr>
          <w:rFonts w:cstheme="minorHAnsi"/>
          <w:sz w:val="24"/>
          <w:szCs w:val="24"/>
        </w:rPr>
        <w:t xml:space="preserve"> </w:t>
      </w:r>
      <w:r w:rsidRPr="00C046CE">
        <w:rPr>
          <w:rFonts w:cstheme="minorHAnsi"/>
          <w:sz w:val="24"/>
          <w:szCs w:val="24"/>
          <w:shd w:val="clear" w:color="auto" w:fill="FBFBFB"/>
        </w:rPr>
        <w:t>http://scihi.org/marcus-tullius-cicero-homo-novus/ &gt; [accessed 15 February 2023].</w:t>
      </w:r>
    </w:p>
    <w:p w14:paraId="2F79C75D"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Santangelo, Federico, </w:t>
      </w:r>
      <w:r w:rsidRPr="00C046CE">
        <w:rPr>
          <w:rFonts w:cstheme="minorHAnsi"/>
          <w:i/>
          <w:iCs/>
          <w:sz w:val="24"/>
          <w:szCs w:val="24"/>
          <w:shd w:val="clear" w:color="auto" w:fill="FBFBFB"/>
        </w:rPr>
        <w:t>The Power of Signs. Divination, prediction, and the end of the Roman Republic</w:t>
      </w:r>
      <w:r w:rsidRPr="00C046CE">
        <w:rPr>
          <w:rFonts w:cstheme="minorHAnsi"/>
          <w:sz w:val="24"/>
          <w:szCs w:val="24"/>
          <w:shd w:val="clear" w:color="auto" w:fill="FBFBFB"/>
        </w:rPr>
        <w:t> (2013) &lt;</w:t>
      </w:r>
      <w:r w:rsidRPr="00C046CE">
        <w:rPr>
          <w:rFonts w:cstheme="minorHAnsi"/>
          <w:sz w:val="24"/>
          <w:szCs w:val="24"/>
        </w:rPr>
        <w:t xml:space="preserve"> </w:t>
      </w:r>
      <w:r w:rsidRPr="00C046CE">
        <w:rPr>
          <w:rFonts w:cstheme="minorHAnsi"/>
          <w:sz w:val="24"/>
          <w:szCs w:val="24"/>
          <w:shd w:val="clear" w:color="auto" w:fill="FBFBFB"/>
        </w:rPr>
        <w:t>https://gtr.ukri.org/projects?ref=AH%2FJ001988%2F1#/tabOverview &gt; [accessed 19 February 2023].</w:t>
      </w:r>
    </w:p>
    <w:p w14:paraId="6DE21320"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Schofield, Malcolm, 'Cicero for and against Divination', </w:t>
      </w:r>
      <w:r w:rsidRPr="00C046CE">
        <w:rPr>
          <w:rFonts w:cstheme="minorHAnsi"/>
          <w:i/>
          <w:iCs/>
          <w:sz w:val="24"/>
          <w:szCs w:val="24"/>
          <w:shd w:val="clear" w:color="auto" w:fill="FBFBFB"/>
        </w:rPr>
        <w:t>The Journal of Roman Studies</w:t>
      </w:r>
      <w:r w:rsidRPr="00C046CE">
        <w:rPr>
          <w:rFonts w:cstheme="minorHAnsi"/>
          <w:sz w:val="24"/>
          <w:szCs w:val="24"/>
          <w:shd w:val="clear" w:color="auto" w:fill="FBFBFB"/>
        </w:rPr>
        <w:t>, 76 (1986), 47-65 &lt;https://doi.org/10.2307/300365&gt;</w:t>
      </w:r>
    </w:p>
    <w:p w14:paraId="15049263" w14:textId="77777777" w:rsidR="00694CB2" w:rsidRPr="00C046CE" w:rsidRDefault="00694CB2" w:rsidP="00C046CE">
      <w:pPr>
        <w:pBdr>
          <w:bottom w:val="single" w:sz="6" w:space="14" w:color="auto"/>
        </w:pBdr>
        <w:spacing w:before="240" w:after="0" w:line="240" w:lineRule="auto"/>
        <w:rPr>
          <w:rFonts w:eastAsia="Times New Roman" w:cstheme="minorHAnsi"/>
          <w:sz w:val="24"/>
          <w:szCs w:val="24"/>
          <w:lang w:eastAsia="en-GB"/>
        </w:rPr>
      </w:pPr>
      <w:proofErr w:type="spellStart"/>
      <w:r w:rsidRPr="00C046CE">
        <w:rPr>
          <w:rFonts w:eastAsia="Times New Roman" w:cstheme="minorHAnsi"/>
          <w:sz w:val="24"/>
          <w:szCs w:val="24"/>
          <w:lang w:eastAsia="en-GB"/>
        </w:rPr>
        <w:t>Stojanović</w:t>
      </w:r>
      <w:proofErr w:type="spellEnd"/>
      <w:r w:rsidRPr="00C046CE">
        <w:rPr>
          <w:rFonts w:eastAsia="Times New Roman" w:cstheme="minorHAnsi"/>
          <w:sz w:val="24"/>
          <w:szCs w:val="24"/>
          <w:lang w:eastAsia="en-GB"/>
        </w:rPr>
        <w:t xml:space="preserve">, </w:t>
      </w:r>
      <w:proofErr w:type="spellStart"/>
      <w:r w:rsidRPr="00C046CE">
        <w:rPr>
          <w:rFonts w:eastAsia="Times New Roman" w:cstheme="minorHAnsi"/>
          <w:sz w:val="24"/>
          <w:szCs w:val="24"/>
          <w:lang w:eastAsia="en-GB"/>
        </w:rPr>
        <w:t>Pavle</w:t>
      </w:r>
      <w:proofErr w:type="spellEnd"/>
      <w:r w:rsidRPr="00C046CE">
        <w:rPr>
          <w:rFonts w:eastAsia="Times New Roman" w:cstheme="minorHAnsi"/>
          <w:sz w:val="24"/>
          <w:szCs w:val="24"/>
          <w:lang w:eastAsia="en-GB"/>
        </w:rPr>
        <w:t>, 'On the status of natural divination in stoicism', </w:t>
      </w:r>
      <w:proofErr w:type="spellStart"/>
      <w:r w:rsidRPr="00C046CE">
        <w:rPr>
          <w:rFonts w:eastAsia="Times New Roman" w:cstheme="minorHAnsi"/>
          <w:i/>
          <w:iCs/>
          <w:sz w:val="24"/>
          <w:szCs w:val="24"/>
          <w:lang w:eastAsia="en-GB"/>
        </w:rPr>
        <w:t>Theoria</w:t>
      </w:r>
      <w:proofErr w:type="spellEnd"/>
      <w:r w:rsidRPr="00C046CE">
        <w:rPr>
          <w:rFonts w:eastAsia="Times New Roman" w:cstheme="minorHAnsi"/>
          <w:sz w:val="24"/>
          <w:szCs w:val="24"/>
          <w:lang w:eastAsia="en-GB"/>
        </w:rPr>
        <w:t>, 63. (2020), 5-16 &lt;https://doi.org/10.2298/THEO2001005S&gt;</w:t>
      </w:r>
    </w:p>
    <w:p w14:paraId="6B7098D5"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Watton, Matthew, review of John Wynne, </w:t>
      </w:r>
      <w:r w:rsidRPr="00C046CE">
        <w:rPr>
          <w:rStyle w:val="Emphasis"/>
          <w:rFonts w:cstheme="minorHAnsi"/>
          <w:sz w:val="24"/>
          <w:szCs w:val="24"/>
          <w:shd w:val="clear" w:color="auto" w:fill="FFFFFF"/>
        </w:rPr>
        <w:t>Cicero on the Philosophy of Religion: On the Nature of the Gods </w:t>
      </w:r>
      <w:r w:rsidRPr="00C046CE">
        <w:rPr>
          <w:rFonts w:cstheme="minorHAnsi"/>
          <w:i/>
          <w:iCs/>
          <w:sz w:val="24"/>
          <w:szCs w:val="24"/>
          <w:shd w:val="clear" w:color="auto" w:fill="FFFFFF"/>
        </w:rPr>
        <w:t>and</w:t>
      </w:r>
      <w:r w:rsidRPr="00C046CE">
        <w:rPr>
          <w:rStyle w:val="Emphasis"/>
          <w:rFonts w:cstheme="minorHAnsi"/>
          <w:sz w:val="24"/>
          <w:szCs w:val="24"/>
          <w:shd w:val="clear" w:color="auto" w:fill="FFFFFF"/>
        </w:rPr>
        <w:t> On Divination </w:t>
      </w:r>
      <w:r w:rsidRPr="00C046CE">
        <w:rPr>
          <w:rFonts w:cstheme="minorHAnsi"/>
          <w:sz w:val="24"/>
          <w:szCs w:val="24"/>
          <w:shd w:val="clear" w:color="auto" w:fill="FBFBFB"/>
        </w:rPr>
        <w:t>(2019), University of Toronto &lt;</w:t>
      </w:r>
      <w:r w:rsidRPr="00C046CE">
        <w:rPr>
          <w:rFonts w:cstheme="minorHAnsi"/>
          <w:sz w:val="24"/>
          <w:szCs w:val="24"/>
        </w:rPr>
        <w:t xml:space="preserve"> </w:t>
      </w:r>
      <w:r w:rsidRPr="00C046CE">
        <w:rPr>
          <w:rFonts w:cstheme="minorHAnsi"/>
          <w:sz w:val="24"/>
          <w:szCs w:val="24"/>
          <w:shd w:val="clear" w:color="auto" w:fill="FBFBFB"/>
        </w:rPr>
        <w:t>https://bmcr.brynmawr.edu/2020/2020.08.02/ &gt; (2020) [accessed 21 February 2023].</w:t>
      </w:r>
    </w:p>
    <w:p w14:paraId="59A41E69"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Woolf, Raphael, 'Cicero', </w:t>
      </w:r>
      <w:r w:rsidRPr="00C046CE">
        <w:rPr>
          <w:rStyle w:val="Emphasis"/>
          <w:rFonts w:cstheme="minorHAnsi"/>
          <w:sz w:val="24"/>
          <w:szCs w:val="24"/>
          <w:shd w:val="clear" w:color="auto" w:fill="FBFBFB"/>
        </w:rPr>
        <w:t xml:space="preserve">The Stanford </w:t>
      </w:r>
      <w:proofErr w:type="spellStart"/>
      <w:r w:rsidRPr="00C046CE">
        <w:rPr>
          <w:rStyle w:val="Emphasis"/>
          <w:rFonts w:cstheme="minorHAnsi"/>
          <w:sz w:val="24"/>
          <w:szCs w:val="24"/>
          <w:shd w:val="clear" w:color="auto" w:fill="FBFBFB"/>
        </w:rPr>
        <w:t>Encyclopedia</w:t>
      </w:r>
      <w:proofErr w:type="spellEnd"/>
      <w:r w:rsidRPr="00C046CE">
        <w:rPr>
          <w:rStyle w:val="Emphasis"/>
          <w:rFonts w:cstheme="minorHAnsi"/>
          <w:sz w:val="24"/>
          <w:szCs w:val="24"/>
          <w:shd w:val="clear" w:color="auto" w:fill="FBFBFB"/>
        </w:rPr>
        <w:t xml:space="preserve"> of Philosophy</w:t>
      </w:r>
      <w:r w:rsidRPr="00C046CE">
        <w:rPr>
          <w:rFonts w:cstheme="minorHAnsi"/>
          <w:sz w:val="24"/>
          <w:szCs w:val="24"/>
          <w:shd w:val="clear" w:color="auto" w:fill="FBFBFB"/>
        </w:rPr>
        <w:t>, (2022), &lt;https://plato.stanford.edu/archives/spr2022/entries/cicero/&gt; [accessed: 15 February 2023]</w:t>
      </w:r>
    </w:p>
    <w:p w14:paraId="082F85E1" w14:textId="77777777"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 xml:space="preserve">Wynne, John Patrick Frederick, 'Cicero on the philosophy of religion: de nature </w:t>
      </w:r>
      <w:proofErr w:type="spellStart"/>
      <w:r w:rsidRPr="00C046CE">
        <w:rPr>
          <w:rFonts w:cstheme="minorHAnsi"/>
          <w:sz w:val="24"/>
          <w:szCs w:val="24"/>
          <w:shd w:val="clear" w:color="auto" w:fill="FBFBFB"/>
        </w:rPr>
        <w:t>deorum</w:t>
      </w:r>
      <w:proofErr w:type="spellEnd"/>
      <w:r w:rsidRPr="00C046CE">
        <w:rPr>
          <w:rFonts w:cstheme="minorHAnsi"/>
          <w:sz w:val="24"/>
          <w:szCs w:val="24"/>
          <w:shd w:val="clear" w:color="auto" w:fill="FBFBFB"/>
        </w:rPr>
        <w:t xml:space="preserve"> and de </w:t>
      </w:r>
      <w:proofErr w:type="spellStart"/>
      <w:r w:rsidRPr="00C046CE">
        <w:rPr>
          <w:rFonts w:cstheme="minorHAnsi"/>
          <w:sz w:val="24"/>
          <w:szCs w:val="24"/>
          <w:shd w:val="clear" w:color="auto" w:fill="FBFBFB"/>
        </w:rPr>
        <w:t>divinatione</w:t>
      </w:r>
      <w:proofErr w:type="spellEnd"/>
      <w:r w:rsidRPr="00C046CE">
        <w:rPr>
          <w:rFonts w:cstheme="minorHAnsi"/>
          <w:sz w:val="24"/>
          <w:szCs w:val="24"/>
          <w:shd w:val="clear" w:color="auto" w:fill="FBFBFB"/>
        </w:rPr>
        <w:t>' (unpublished doctoral thesis, Cornell University, 2008).</w:t>
      </w:r>
    </w:p>
    <w:p w14:paraId="222FB326" w14:textId="186DC42A" w:rsidR="00694CB2" w:rsidRPr="00C046CE" w:rsidRDefault="00694CB2" w:rsidP="00C046CE">
      <w:pPr>
        <w:pBdr>
          <w:bottom w:val="single" w:sz="6" w:space="14" w:color="auto"/>
        </w:pBdr>
        <w:spacing w:before="240" w:after="0" w:line="240" w:lineRule="auto"/>
        <w:rPr>
          <w:rFonts w:cstheme="minorHAnsi"/>
          <w:sz w:val="24"/>
          <w:szCs w:val="24"/>
          <w:shd w:val="clear" w:color="auto" w:fill="FBFBFB"/>
        </w:rPr>
      </w:pPr>
      <w:r w:rsidRPr="00C046CE">
        <w:rPr>
          <w:rFonts w:cstheme="minorHAnsi"/>
          <w:sz w:val="24"/>
          <w:szCs w:val="24"/>
          <w:shd w:val="clear" w:color="auto" w:fill="FBFBFB"/>
        </w:rPr>
        <w:t>Wynne, John, 'Quintus' Stoic Case for Divination', in </w:t>
      </w:r>
      <w:r w:rsidRPr="00C046CE">
        <w:rPr>
          <w:rFonts w:cstheme="minorHAnsi"/>
          <w:i/>
          <w:iCs/>
          <w:sz w:val="24"/>
          <w:szCs w:val="24"/>
          <w:shd w:val="clear" w:color="auto" w:fill="FBFBFB"/>
        </w:rPr>
        <w:t>Cicero on the Philosophy of Religion: On the Nature of the Gods and On Divination</w:t>
      </w:r>
      <w:r w:rsidRPr="00C046CE">
        <w:rPr>
          <w:rFonts w:cstheme="minorHAnsi"/>
          <w:sz w:val="24"/>
          <w:szCs w:val="24"/>
          <w:shd w:val="clear" w:color="auto" w:fill="FBFBFB"/>
        </w:rPr>
        <w:t> (Cambridge: Cambridge University Press, 2019), pp. 182-221. &lt;</w:t>
      </w:r>
      <w:r w:rsidRPr="00C046CE">
        <w:rPr>
          <w:rFonts w:cstheme="minorHAnsi"/>
          <w:sz w:val="24"/>
          <w:szCs w:val="24"/>
        </w:rPr>
        <w:t xml:space="preserve"> </w:t>
      </w:r>
      <w:r w:rsidRPr="00C046CE">
        <w:rPr>
          <w:rFonts w:cstheme="minorHAnsi"/>
          <w:sz w:val="24"/>
          <w:szCs w:val="24"/>
          <w:shd w:val="clear" w:color="auto" w:fill="FBFBFB"/>
        </w:rPr>
        <w:t>https://www.cambridge.org/core/books/abs/cicero-on-the-philosophy-of-religion/quintus-stoic-case-for-divination/E4CB85DCA3CEDDD3695EB07DEB2F4A2D &gt; [accessed 16 February 2023]</w:t>
      </w:r>
    </w:p>
    <w:bookmarkEnd w:id="12"/>
    <w:p w14:paraId="460B459E" w14:textId="397A8761" w:rsidR="00CE2386" w:rsidRPr="00C046CE" w:rsidRDefault="00CE2386" w:rsidP="00C046CE">
      <w:pPr>
        <w:pBdr>
          <w:bottom w:val="single" w:sz="6" w:space="14" w:color="auto"/>
        </w:pBdr>
        <w:spacing w:before="240" w:after="0" w:line="240" w:lineRule="auto"/>
        <w:rPr>
          <w:rFonts w:cstheme="minorHAnsi"/>
          <w:sz w:val="24"/>
          <w:szCs w:val="24"/>
          <w:shd w:val="clear" w:color="auto" w:fill="FBFBFB"/>
        </w:rPr>
      </w:pPr>
    </w:p>
    <w:p w14:paraId="2CA86AEF" w14:textId="541B0C5E" w:rsidR="00CE2386" w:rsidRPr="00C046CE" w:rsidRDefault="00CE2386" w:rsidP="00C046CE">
      <w:pPr>
        <w:pBdr>
          <w:bottom w:val="single" w:sz="6" w:space="14" w:color="auto"/>
        </w:pBdr>
        <w:spacing w:before="240" w:after="0" w:line="240" w:lineRule="auto"/>
        <w:rPr>
          <w:rFonts w:cstheme="minorHAnsi"/>
          <w:sz w:val="24"/>
          <w:szCs w:val="24"/>
          <w:shd w:val="clear" w:color="auto" w:fill="FBFBFB"/>
        </w:rPr>
      </w:pPr>
    </w:p>
    <w:bookmarkEnd w:id="13"/>
    <w:p w14:paraId="2CB65F2C" w14:textId="6B6DD979" w:rsidR="00CE2386" w:rsidRPr="00C046CE" w:rsidRDefault="00CE2386" w:rsidP="00C046CE">
      <w:pPr>
        <w:pBdr>
          <w:bottom w:val="single" w:sz="6" w:space="14" w:color="auto"/>
        </w:pBdr>
        <w:spacing w:before="240" w:after="0" w:line="240" w:lineRule="auto"/>
        <w:rPr>
          <w:rFonts w:cstheme="minorHAnsi"/>
          <w:sz w:val="24"/>
          <w:szCs w:val="24"/>
          <w:shd w:val="clear" w:color="auto" w:fill="FBFBFB"/>
        </w:rPr>
      </w:pPr>
    </w:p>
    <w:p w14:paraId="703CE387" w14:textId="6AF19386" w:rsidR="00CE2386" w:rsidRDefault="00CE2386" w:rsidP="0035435D">
      <w:pPr>
        <w:pBdr>
          <w:bottom w:val="single" w:sz="6" w:space="14" w:color="auto"/>
        </w:pBdr>
        <w:spacing w:before="240" w:after="0" w:line="360" w:lineRule="auto"/>
        <w:rPr>
          <w:rFonts w:cstheme="minorHAnsi"/>
          <w:sz w:val="28"/>
          <w:szCs w:val="28"/>
          <w:shd w:val="clear" w:color="auto" w:fill="FBFBFB"/>
        </w:rPr>
      </w:pPr>
    </w:p>
    <w:p w14:paraId="50B561A8" w14:textId="59704C1C" w:rsidR="00CE2386" w:rsidRDefault="00CE2386" w:rsidP="0035435D">
      <w:pPr>
        <w:pBdr>
          <w:bottom w:val="single" w:sz="6" w:space="14" w:color="auto"/>
        </w:pBdr>
        <w:spacing w:before="240" w:after="0" w:line="360" w:lineRule="auto"/>
        <w:rPr>
          <w:rFonts w:cstheme="minorHAnsi"/>
          <w:sz w:val="28"/>
          <w:szCs w:val="28"/>
          <w:shd w:val="clear" w:color="auto" w:fill="FBFBFB"/>
        </w:rPr>
      </w:pPr>
    </w:p>
    <w:p w14:paraId="4424C575" w14:textId="77777777" w:rsidR="00CE2386" w:rsidRPr="0035435D" w:rsidRDefault="00CE2386" w:rsidP="0035435D">
      <w:pPr>
        <w:pBdr>
          <w:bottom w:val="single" w:sz="6" w:space="14" w:color="auto"/>
        </w:pBdr>
        <w:spacing w:before="240" w:after="0" w:line="360" w:lineRule="auto"/>
        <w:rPr>
          <w:rFonts w:cstheme="minorHAnsi"/>
          <w:sz w:val="28"/>
          <w:szCs w:val="28"/>
          <w:shd w:val="clear" w:color="auto" w:fill="FBFBFB"/>
        </w:rPr>
      </w:pPr>
    </w:p>
    <w:sectPr w:rsidR="00CE2386" w:rsidRPr="0035435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708E6" w14:textId="77777777" w:rsidR="00FB222C" w:rsidRDefault="00FB222C" w:rsidP="00130107">
      <w:pPr>
        <w:spacing w:after="0" w:line="240" w:lineRule="auto"/>
      </w:pPr>
      <w:r>
        <w:separator/>
      </w:r>
    </w:p>
  </w:endnote>
  <w:endnote w:type="continuationSeparator" w:id="0">
    <w:p w14:paraId="715EE244" w14:textId="77777777" w:rsidR="00FB222C" w:rsidRDefault="00FB222C" w:rsidP="0013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var(--pharos-font-family-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79FD3" w14:textId="77777777" w:rsidR="00FB222C" w:rsidRDefault="00FB222C" w:rsidP="00130107">
      <w:pPr>
        <w:spacing w:after="0" w:line="240" w:lineRule="auto"/>
      </w:pPr>
      <w:r>
        <w:separator/>
      </w:r>
    </w:p>
  </w:footnote>
  <w:footnote w:type="continuationSeparator" w:id="0">
    <w:p w14:paraId="2989AA35" w14:textId="77777777" w:rsidR="00FB222C" w:rsidRDefault="00FB222C" w:rsidP="00130107">
      <w:pPr>
        <w:spacing w:after="0" w:line="240" w:lineRule="auto"/>
      </w:pPr>
      <w:r>
        <w:continuationSeparator/>
      </w:r>
    </w:p>
  </w:footnote>
  <w:footnote w:id="1">
    <w:p w14:paraId="7C7C6314" w14:textId="18748FFE" w:rsidR="00536614" w:rsidRDefault="00536614">
      <w:pPr>
        <w:pStyle w:val="FootnoteText"/>
      </w:pPr>
      <w:r>
        <w:rPr>
          <w:rStyle w:val="FootnoteReference"/>
        </w:rPr>
        <w:footnoteRef/>
      </w:r>
      <w:r>
        <w:t xml:space="preserve"> </w:t>
      </w:r>
      <w:r w:rsidRPr="009958E8">
        <w:rPr>
          <w:rFonts w:cstheme="minorHAnsi"/>
        </w:rPr>
        <w:t xml:space="preserve">Cicero, On Divination (De Divinatione): W. A. Falconer (ed. and </w:t>
      </w:r>
      <w:proofErr w:type="spellStart"/>
      <w:r w:rsidRPr="009958E8">
        <w:rPr>
          <w:rFonts w:cstheme="minorHAnsi"/>
        </w:rPr>
        <w:t>trs</w:t>
      </w:r>
      <w:proofErr w:type="spellEnd"/>
      <w:r w:rsidRPr="009958E8">
        <w:rPr>
          <w:rFonts w:cstheme="minorHAnsi"/>
        </w:rPr>
        <w:t>.), Loeb Classical Library, Cambridge, MA: Harvard University Press, vol. XX, 1923</w:t>
      </w:r>
    </w:p>
  </w:footnote>
  <w:footnote w:id="2">
    <w:p w14:paraId="2B922C80" w14:textId="77777777" w:rsidR="00940AA7" w:rsidRPr="00A9707A" w:rsidRDefault="00940AA7" w:rsidP="00940AA7">
      <w:pPr>
        <w:pStyle w:val="FootnoteText"/>
        <w:rPr>
          <w:rFonts w:cstheme="minorHAnsi"/>
        </w:rPr>
      </w:pPr>
      <w:r w:rsidRPr="00A9707A">
        <w:rPr>
          <w:rStyle w:val="FootnoteReference"/>
          <w:rFonts w:cstheme="minorHAnsi"/>
        </w:rPr>
        <w:footnoteRef/>
      </w:r>
      <w:r w:rsidRPr="00A9707A">
        <w:rPr>
          <w:rFonts w:cstheme="minorHAnsi"/>
        </w:rPr>
        <w:t xml:space="preserve"> </w:t>
      </w:r>
      <w:proofErr w:type="spellStart"/>
      <w:r w:rsidRPr="00A9707A">
        <w:rPr>
          <w:rFonts w:cstheme="minorHAnsi"/>
          <w:shd w:val="clear" w:color="auto" w:fill="FBFBFB"/>
        </w:rPr>
        <w:t>Pavle</w:t>
      </w:r>
      <w:proofErr w:type="spellEnd"/>
      <w:r w:rsidRPr="00A9707A">
        <w:rPr>
          <w:rFonts w:cstheme="minorHAnsi"/>
          <w:shd w:val="clear" w:color="auto" w:fill="FBFBFB"/>
        </w:rPr>
        <w:t xml:space="preserve"> </w:t>
      </w:r>
      <w:proofErr w:type="spellStart"/>
      <w:r w:rsidRPr="00A9707A">
        <w:rPr>
          <w:rFonts w:cstheme="minorHAnsi"/>
          <w:shd w:val="clear" w:color="auto" w:fill="FBFBFB"/>
        </w:rPr>
        <w:t>Stojanović</w:t>
      </w:r>
      <w:proofErr w:type="spellEnd"/>
      <w:r w:rsidRPr="00A9707A">
        <w:rPr>
          <w:rFonts w:cstheme="minorHAnsi"/>
          <w:shd w:val="clear" w:color="auto" w:fill="FBFBFB"/>
        </w:rPr>
        <w:t>, 'On the status of natural divination in stoicism', </w:t>
      </w:r>
      <w:proofErr w:type="spellStart"/>
      <w:r w:rsidRPr="00A9707A">
        <w:rPr>
          <w:rFonts w:cstheme="minorHAnsi"/>
          <w:i/>
          <w:iCs/>
          <w:shd w:val="clear" w:color="auto" w:fill="FBFBFB"/>
        </w:rPr>
        <w:t>Theoria</w:t>
      </w:r>
      <w:proofErr w:type="spellEnd"/>
      <w:r w:rsidRPr="00A9707A">
        <w:rPr>
          <w:rFonts w:cstheme="minorHAnsi"/>
          <w:shd w:val="clear" w:color="auto" w:fill="FBFBFB"/>
        </w:rPr>
        <w:t>, 63. (2020), 5-16 (p. 6) &lt;https://doi.org/10.2298/THEO2001005S&gt;</w:t>
      </w:r>
    </w:p>
  </w:footnote>
  <w:footnote w:id="3">
    <w:p w14:paraId="21C1F55B" w14:textId="77777777" w:rsidR="00940AA7" w:rsidRPr="00A9707A" w:rsidRDefault="00940AA7" w:rsidP="00940AA7">
      <w:pPr>
        <w:pStyle w:val="FootnoteText"/>
        <w:rPr>
          <w:rFonts w:cstheme="minorHAnsi"/>
        </w:rPr>
      </w:pPr>
      <w:r w:rsidRPr="00A9707A">
        <w:rPr>
          <w:rStyle w:val="FootnoteReference"/>
          <w:rFonts w:cstheme="minorHAnsi"/>
        </w:rPr>
        <w:footnoteRef/>
      </w:r>
      <w:r w:rsidRPr="00A9707A">
        <w:rPr>
          <w:rFonts w:cstheme="minorHAnsi"/>
        </w:rPr>
        <w:t xml:space="preserve"> </w:t>
      </w:r>
      <w:r w:rsidRPr="00A9707A">
        <w:rPr>
          <w:rFonts w:cstheme="minorHAnsi"/>
          <w:shd w:val="clear" w:color="auto" w:fill="FBFBFB"/>
        </w:rPr>
        <w:t>Mary Beard, 'Cicero and Divination: The Formation of a Latin Discourse', </w:t>
      </w:r>
      <w:r w:rsidRPr="00A9707A">
        <w:rPr>
          <w:rFonts w:cstheme="minorHAnsi"/>
          <w:i/>
          <w:iCs/>
          <w:shd w:val="clear" w:color="auto" w:fill="FBFBFB"/>
        </w:rPr>
        <w:t>The Journal of Roman Studies</w:t>
      </w:r>
      <w:r w:rsidRPr="00A9707A">
        <w:rPr>
          <w:rFonts w:cstheme="minorHAnsi"/>
          <w:shd w:val="clear" w:color="auto" w:fill="FBFBFB"/>
        </w:rPr>
        <w:t>, 76. (1986), 33-46 (p. 33) &lt;https://doi.org/10.2307/300364&gt;</w:t>
      </w:r>
    </w:p>
  </w:footnote>
  <w:footnote w:id="4">
    <w:p w14:paraId="6DD658A0" w14:textId="77777777" w:rsidR="00A72658" w:rsidRPr="005A7D3E" w:rsidRDefault="00A72658" w:rsidP="00A72658">
      <w:pPr>
        <w:pStyle w:val="FootnoteText"/>
        <w:rPr>
          <w:rFonts w:cstheme="minorHAnsi"/>
          <w:lang w:val="en-US"/>
        </w:rPr>
      </w:pPr>
      <w:r w:rsidRPr="005A7D3E">
        <w:rPr>
          <w:rStyle w:val="FootnoteReference"/>
          <w:rFonts w:cstheme="minorHAnsi"/>
        </w:rPr>
        <w:footnoteRef/>
      </w:r>
      <w:r w:rsidRPr="005A7D3E">
        <w:rPr>
          <w:rFonts w:cstheme="minorHAnsi"/>
        </w:rPr>
        <w:t xml:space="preserve"> </w:t>
      </w:r>
      <w:proofErr w:type="spellStart"/>
      <w:r w:rsidRPr="005A7D3E">
        <w:rPr>
          <w:rFonts w:cstheme="minorHAnsi"/>
          <w:color w:val="333333"/>
          <w:shd w:val="clear" w:color="auto" w:fill="FBFBFB"/>
        </w:rPr>
        <w:t>Torsten</w:t>
      </w:r>
      <w:proofErr w:type="spellEnd"/>
      <w:r w:rsidRPr="005A7D3E">
        <w:rPr>
          <w:rFonts w:cstheme="minorHAnsi"/>
          <w:color w:val="333333"/>
          <w:shd w:val="clear" w:color="auto" w:fill="FBFBFB"/>
        </w:rPr>
        <w:t xml:space="preserve"> </w:t>
      </w:r>
      <w:proofErr w:type="spellStart"/>
      <w:r w:rsidRPr="005A7D3E">
        <w:rPr>
          <w:rFonts w:cstheme="minorHAnsi"/>
          <w:color w:val="333333"/>
          <w:shd w:val="clear" w:color="auto" w:fill="FBFBFB"/>
        </w:rPr>
        <w:t>Petersson</w:t>
      </w:r>
      <w:proofErr w:type="spellEnd"/>
      <w:r w:rsidRPr="005A7D3E">
        <w:rPr>
          <w:rFonts w:cstheme="minorHAnsi"/>
          <w:color w:val="333333"/>
          <w:shd w:val="clear" w:color="auto" w:fill="FBFBFB"/>
        </w:rPr>
        <w:t>, </w:t>
      </w:r>
      <w:r w:rsidRPr="005A7D3E">
        <w:rPr>
          <w:rFonts w:cstheme="minorHAnsi"/>
          <w:i/>
          <w:iCs/>
          <w:color w:val="333333"/>
          <w:shd w:val="clear" w:color="auto" w:fill="FBFBFB"/>
        </w:rPr>
        <w:t>Cicero </w:t>
      </w:r>
      <w:r w:rsidRPr="005A7D3E">
        <w:rPr>
          <w:rFonts w:cstheme="minorHAnsi"/>
          <w:color w:val="333333"/>
          <w:shd w:val="clear" w:color="auto" w:fill="FBFBFB"/>
        </w:rPr>
        <w:t xml:space="preserve">(United States: </w:t>
      </w:r>
      <w:proofErr w:type="spellStart"/>
      <w:r w:rsidRPr="005A7D3E">
        <w:rPr>
          <w:rFonts w:cstheme="minorHAnsi"/>
          <w:color w:val="333333"/>
          <w:shd w:val="clear" w:color="auto" w:fill="FBFBFB"/>
        </w:rPr>
        <w:t>Biblo</w:t>
      </w:r>
      <w:proofErr w:type="spellEnd"/>
      <w:r w:rsidRPr="005A7D3E">
        <w:rPr>
          <w:rFonts w:cstheme="minorHAnsi"/>
          <w:color w:val="333333"/>
          <w:shd w:val="clear" w:color="auto" w:fill="FBFBFB"/>
        </w:rPr>
        <w:t xml:space="preserve"> and Tanner, 1963), p. 1.</w:t>
      </w:r>
    </w:p>
  </w:footnote>
  <w:footnote w:id="5">
    <w:p w14:paraId="5312D567" w14:textId="77777777" w:rsidR="00A72658" w:rsidRPr="005A7D3E" w:rsidRDefault="00A72658" w:rsidP="00A72658">
      <w:pPr>
        <w:pStyle w:val="FootnoteText"/>
        <w:rPr>
          <w:rFonts w:cstheme="minorHAnsi"/>
          <w:lang w:val="en-US"/>
        </w:rPr>
      </w:pPr>
      <w:r w:rsidRPr="005A7D3E">
        <w:rPr>
          <w:rStyle w:val="FootnoteReference"/>
          <w:rFonts w:cstheme="minorHAnsi"/>
        </w:rPr>
        <w:footnoteRef/>
      </w:r>
      <w:r w:rsidRPr="005A7D3E">
        <w:rPr>
          <w:rFonts w:cstheme="minorHAnsi"/>
        </w:rPr>
        <w:t xml:space="preserve"> </w:t>
      </w:r>
      <w:r w:rsidRPr="005A7D3E">
        <w:rPr>
          <w:rFonts w:cstheme="minorHAnsi"/>
          <w:color w:val="333333"/>
          <w:shd w:val="clear" w:color="auto" w:fill="FBFBFB"/>
        </w:rPr>
        <w:t>Harald Sack, </w:t>
      </w:r>
      <w:r w:rsidRPr="005A7D3E">
        <w:rPr>
          <w:rFonts w:cstheme="minorHAnsi"/>
          <w:i/>
          <w:iCs/>
          <w:color w:val="333333"/>
          <w:shd w:val="clear" w:color="auto" w:fill="FBFBFB"/>
        </w:rPr>
        <w:t>Marcus Tullius Cicero - Truly a Homo Novus</w:t>
      </w:r>
      <w:r w:rsidRPr="005A7D3E">
        <w:rPr>
          <w:rFonts w:cstheme="minorHAnsi"/>
          <w:color w:val="333333"/>
          <w:shd w:val="clear" w:color="auto" w:fill="FBFBFB"/>
        </w:rPr>
        <w:t> (2020) &lt;</w:t>
      </w:r>
      <w:r w:rsidRPr="005A7D3E">
        <w:rPr>
          <w:rFonts w:cstheme="minorHAnsi"/>
        </w:rPr>
        <w:t xml:space="preserve"> </w:t>
      </w:r>
      <w:r w:rsidRPr="005A7D3E">
        <w:rPr>
          <w:rFonts w:cstheme="minorHAnsi"/>
          <w:color w:val="333333"/>
          <w:shd w:val="clear" w:color="auto" w:fill="FBFBFB"/>
        </w:rPr>
        <w:t>http://scihi.org/marcus-tullius-cicero-homo-novus/ &gt; [accessed 15 February 2023].</w:t>
      </w:r>
    </w:p>
  </w:footnote>
  <w:footnote w:id="6">
    <w:p w14:paraId="1491C42F" w14:textId="77777777" w:rsidR="00A72658" w:rsidRPr="005A7D3E" w:rsidRDefault="00A72658" w:rsidP="00A72658">
      <w:pPr>
        <w:pBdr>
          <w:bottom w:val="single" w:sz="6" w:space="1" w:color="auto"/>
        </w:pBdr>
        <w:spacing w:after="0" w:line="240" w:lineRule="auto"/>
        <w:rPr>
          <w:rFonts w:cstheme="minorHAnsi"/>
          <w:sz w:val="20"/>
          <w:szCs w:val="20"/>
          <w:lang w:val="en-US"/>
        </w:rPr>
      </w:pPr>
      <w:r w:rsidRPr="005A7D3E">
        <w:rPr>
          <w:rStyle w:val="FootnoteReference"/>
          <w:rFonts w:cstheme="minorHAnsi"/>
          <w:sz w:val="20"/>
          <w:szCs w:val="20"/>
        </w:rPr>
        <w:footnoteRef/>
      </w:r>
      <w:r w:rsidRPr="005A7D3E">
        <w:rPr>
          <w:rFonts w:cstheme="minorHAnsi"/>
          <w:sz w:val="20"/>
          <w:szCs w:val="20"/>
        </w:rPr>
        <w:t xml:space="preserve"> </w:t>
      </w:r>
      <w:r w:rsidRPr="005A7D3E">
        <w:rPr>
          <w:rFonts w:cstheme="minorHAnsi"/>
          <w:color w:val="333333"/>
          <w:sz w:val="20"/>
          <w:szCs w:val="20"/>
          <w:shd w:val="clear" w:color="auto" w:fill="FBFBFB"/>
        </w:rPr>
        <w:t>Raphael Woolf, 'Cicero', </w:t>
      </w:r>
      <w:r w:rsidRPr="005A7D3E">
        <w:rPr>
          <w:rStyle w:val="Emphasis"/>
          <w:rFonts w:cstheme="minorHAnsi"/>
          <w:color w:val="1A1A1A"/>
          <w:sz w:val="20"/>
          <w:szCs w:val="20"/>
          <w:shd w:val="clear" w:color="auto" w:fill="FBFBFB"/>
        </w:rPr>
        <w:t xml:space="preserve">The Stanford </w:t>
      </w:r>
      <w:proofErr w:type="spellStart"/>
      <w:r w:rsidRPr="005A7D3E">
        <w:rPr>
          <w:rStyle w:val="Emphasis"/>
          <w:rFonts w:cstheme="minorHAnsi"/>
          <w:color w:val="1A1A1A"/>
          <w:sz w:val="20"/>
          <w:szCs w:val="20"/>
          <w:shd w:val="clear" w:color="auto" w:fill="FBFBFB"/>
        </w:rPr>
        <w:t>Encyclopedia</w:t>
      </w:r>
      <w:proofErr w:type="spellEnd"/>
      <w:r w:rsidRPr="005A7D3E">
        <w:rPr>
          <w:rStyle w:val="Emphasis"/>
          <w:rFonts w:cstheme="minorHAnsi"/>
          <w:color w:val="1A1A1A"/>
          <w:sz w:val="20"/>
          <w:szCs w:val="20"/>
          <w:shd w:val="clear" w:color="auto" w:fill="FBFBFB"/>
        </w:rPr>
        <w:t xml:space="preserve"> of Philosophy</w:t>
      </w:r>
      <w:r w:rsidRPr="005A7D3E">
        <w:rPr>
          <w:rFonts w:cstheme="minorHAnsi"/>
          <w:color w:val="333333"/>
          <w:sz w:val="20"/>
          <w:szCs w:val="20"/>
          <w:shd w:val="clear" w:color="auto" w:fill="FBFBFB"/>
        </w:rPr>
        <w:t>, (2022), &lt;</w:t>
      </w:r>
      <w:r w:rsidRPr="005A7D3E">
        <w:rPr>
          <w:rFonts w:cstheme="minorHAnsi"/>
          <w:color w:val="1A1A1A"/>
          <w:sz w:val="20"/>
          <w:szCs w:val="20"/>
          <w:shd w:val="clear" w:color="auto" w:fill="FBFBFB"/>
        </w:rPr>
        <w:t>https://plato.stanford.edu/archives/spr2022/entries/cicero/</w:t>
      </w:r>
      <w:r w:rsidRPr="005A7D3E">
        <w:rPr>
          <w:rFonts w:cstheme="minorHAnsi"/>
          <w:color w:val="333333"/>
          <w:sz w:val="20"/>
          <w:szCs w:val="20"/>
          <w:shd w:val="clear" w:color="auto" w:fill="FBFBFB"/>
        </w:rPr>
        <w:t>&gt; [accessed: 15 February 2023]</w:t>
      </w:r>
    </w:p>
  </w:footnote>
  <w:footnote w:id="7">
    <w:p w14:paraId="7DAA86E2" w14:textId="77777777" w:rsidR="00227EF6" w:rsidRPr="009958E8" w:rsidRDefault="00227EF6" w:rsidP="00227EF6">
      <w:pPr>
        <w:pStyle w:val="FootnoteText"/>
        <w:rPr>
          <w:rFonts w:cstheme="minorHAnsi"/>
        </w:rPr>
      </w:pPr>
      <w:r w:rsidRPr="009958E8">
        <w:rPr>
          <w:rStyle w:val="FootnoteReference"/>
          <w:rFonts w:cstheme="minorHAnsi"/>
        </w:rPr>
        <w:footnoteRef/>
      </w:r>
      <w:r w:rsidRPr="009958E8">
        <w:rPr>
          <w:rFonts w:cstheme="minorHAnsi"/>
        </w:rPr>
        <w:t xml:space="preserve"> </w:t>
      </w:r>
      <w:r w:rsidRPr="009958E8">
        <w:rPr>
          <w:rFonts w:cstheme="minorHAnsi"/>
          <w:shd w:val="clear" w:color="auto" w:fill="FBFBFB"/>
        </w:rPr>
        <w:t>John Wynne, 'Quintus' Stoic Case for Divination', in </w:t>
      </w:r>
      <w:r w:rsidRPr="009958E8">
        <w:rPr>
          <w:rFonts w:cstheme="minorHAnsi"/>
          <w:i/>
          <w:iCs/>
          <w:shd w:val="clear" w:color="auto" w:fill="FBFBFB"/>
        </w:rPr>
        <w:t>Cicero on the Philosophy of Religion: On the Nature of the Gods and On Divination</w:t>
      </w:r>
      <w:r w:rsidRPr="009958E8">
        <w:rPr>
          <w:rFonts w:cstheme="minorHAnsi"/>
          <w:shd w:val="clear" w:color="auto" w:fill="FBFBFB"/>
        </w:rPr>
        <w:t> (Cambridge: Cambridge University Press, 2019), pp. 182-221 (p. 185). &lt;</w:t>
      </w:r>
      <w:r w:rsidRPr="009958E8">
        <w:rPr>
          <w:rFonts w:cstheme="minorHAnsi"/>
        </w:rPr>
        <w:t xml:space="preserve"> </w:t>
      </w:r>
      <w:r w:rsidRPr="009958E8">
        <w:rPr>
          <w:rFonts w:cstheme="minorHAnsi"/>
          <w:shd w:val="clear" w:color="auto" w:fill="FBFBFB"/>
        </w:rPr>
        <w:t>https://www.cambridge.org/core/books/abs/cicero-on-the-philosophy-of-religion/quintus-stoic-case-for-divination/E4CB85DCA3CEDDD3695EB07DEB2F4A2D&gt; [accessed 16 February 2023]</w:t>
      </w:r>
    </w:p>
  </w:footnote>
  <w:footnote w:id="8">
    <w:p w14:paraId="37200AE7" w14:textId="77777777" w:rsidR="00A72658" w:rsidRPr="005A7D3E" w:rsidRDefault="00A72658" w:rsidP="00A72658">
      <w:pPr>
        <w:pStyle w:val="FootnoteText"/>
        <w:rPr>
          <w:rFonts w:cstheme="minorHAnsi"/>
          <w:lang w:val="en-US"/>
        </w:rPr>
      </w:pPr>
      <w:r w:rsidRPr="005A7D3E">
        <w:rPr>
          <w:rStyle w:val="FootnoteReference"/>
          <w:rFonts w:cstheme="minorHAnsi"/>
        </w:rPr>
        <w:footnoteRef/>
      </w:r>
      <w:r w:rsidRPr="005A7D3E">
        <w:rPr>
          <w:rFonts w:cstheme="minorHAnsi"/>
        </w:rPr>
        <w:t xml:space="preserve"> </w:t>
      </w:r>
      <w:r w:rsidRPr="005A7D3E">
        <w:rPr>
          <w:rFonts w:cstheme="minorHAnsi"/>
          <w:color w:val="333333"/>
          <w:shd w:val="clear" w:color="auto" w:fill="FBFBFB"/>
        </w:rPr>
        <w:t xml:space="preserve">Henriette van der </w:t>
      </w:r>
      <w:proofErr w:type="spellStart"/>
      <w:r w:rsidRPr="005A7D3E">
        <w:rPr>
          <w:rFonts w:cstheme="minorHAnsi"/>
          <w:color w:val="333333"/>
          <w:shd w:val="clear" w:color="auto" w:fill="FBFBFB"/>
        </w:rPr>
        <w:t>Blom</w:t>
      </w:r>
      <w:proofErr w:type="spellEnd"/>
      <w:r w:rsidRPr="005A7D3E">
        <w:rPr>
          <w:rFonts w:cstheme="minorHAnsi"/>
          <w:color w:val="333333"/>
          <w:shd w:val="clear" w:color="auto" w:fill="FBFBFB"/>
        </w:rPr>
        <w:t>, </w:t>
      </w:r>
      <w:r w:rsidRPr="005A7D3E">
        <w:rPr>
          <w:rFonts w:cstheme="minorHAnsi"/>
          <w:i/>
          <w:iCs/>
          <w:color w:val="333333"/>
          <w:shd w:val="clear" w:color="auto" w:fill="FBFBFB"/>
        </w:rPr>
        <w:t>Cicero's Role Models: The Political Strategy of a Newcomer </w:t>
      </w:r>
      <w:r w:rsidRPr="005A7D3E">
        <w:rPr>
          <w:rFonts w:cstheme="minorHAnsi"/>
          <w:color w:val="333333"/>
          <w:shd w:val="clear" w:color="auto" w:fill="FBFBFB"/>
        </w:rPr>
        <w:t>(Oxford: Oxford Academic, 2010), p. 31.</w:t>
      </w:r>
    </w:p>
  </w:footnote>
  <w:footnote w:id="9">
    <w:p w14:paraId="634F12DD" w14:textId="77777777" w:rsidR="00A72658" w:rsidRPr="00DF6CF4" w:rsidRDefault="00A72658" w:rsidP="00A72658">
      <w:pPr>
        <w:pStyle w:val="FootnoteText"/>
        <w:rPr>
          <w:lang w:val="en-US"/>
        </w:rPr>
      </w:pPr>
      <w:r w:rsidRPr="005A7D3E">
        <w:rPr>
          <w:rStyle w:val="FootnoteReference"/>
          <w:rFonts w:cstheme="minorHAnsi"/>
        </w:rPr>
        <w:footnoteRef/>
      </w:r>
      <w:r w:rsidRPr="005A7D3E">
        <w:rPr>
          <w:rFonts w:cstheme="minorHAnsi"/>
        </w:rPr>
        <w:t xml:space="preserve"> </w:t>
      </w:r>
      <w:r w:rsidRPr="005A7D3E">
        <w:rPr>
          <w:rFonts w:cstheme="minorHAnsi"/>
          <w:color w:val="333333"/>
          <w:shd w:val="clear" w:color="auto" w:fill="FBFBFB"/>
        </w:rPr>
        <w:t xml:space="preserve">James </w:t>
      </w:r>
      <w:proofErr w:type="spellStart"/>
      <w:r w:rsidRPr="005A7D3E">
        <w:rPr>
          <w:rFonts w:cstheme="minorHAnsi"/>
          <w:color w:val="333333"/>
          <w:shd w:val="clear" w:color="auto" w:fill="FBFBFB"/>
        </w:rPr>
        <w:t>Fieser</w:t>
      </w:r>
      <w:proofErr w:type="spellEnd"/>
      <w:r w:rsidRPr="005A7D3E">
        <w:rPr>
          <w:rFonts w:cstheme="minorHAnsi"/>
          <w:color w:val="333333"/>
          <w:shd w:val="clear" w:color="auto" w:fill="FBFBFB"/>
        </w:rPr>
        <w:t>, </w:t>
      </w:r>
      <w:proofErr w:type="spellStart"/>
      <w:r w:rsidRPr="005A7D3E">
        <w:rPr>
          <w:rFonts w:cstheme="minorHAnsi"/>
          <w:i/>
          <w:iCs/>
          <w:color w:val="333333"/>
          <w:shd w:val="clear" w:color="auto" w:fill="FBFBFB"/>
        </w:rPr>
        <w:t>Skepticism</w:t>
      </w:r>
      <w:proofErr w:type="spellEnd"/>
      <w:r w:rsidRPr="005A7D3E">
        <w:rPr>
          <w:rFonts w:cstheme="minorHAnsi"/>
          <w:i/>
          <w:iCs/>
          <w:color w:val="333333"/>
          <w:shd w:val="clear" w:color="auto" w:fill="FBFBFB"/>
        </w:rPr>
        <w:t>: Academic and Pyrrhonian </w:t>
      </w:r>
      <w:r w:rsidRPr="005A7D3E">
        <w:rPr>
          <w:rFonts w:cstheme="minorHAnsi"/>
          <w:color w:val="333333"/>
          <w:shd w:val="clear" w:color="auto" w:fill="FBFBFB"/>
        </w:rPr>
        <w:t>(2018) &lt;</w:t>
      </w:r>
      <w:r w:rsidRPr="005A7D3E">
        <w:rPr>
          <w:rFonts w:cstheme="minorHAnsi"/>
        </w:rPr>
        <w:t xml:space="preserve"> </w:t>
      </w:r>
      <w:r w:rsidRPr="005A7D3E">
        <w:rPr>
          <w:rFonts w:cstheme="minorHAnsi"/>
          <w:color w:val="333333"/>
          <w:shd w:val="clear" w:color="auto" w:fill="FBFBFB"/>
        </w:rPr>
        <w:t>https://www.utm.edu/staff/jfieser/class/314/08-314-skepticism.htm#:~:text=Academic%20skeptics%20argued%20to%20the,a%20follower%20of%20the%20Academics. &gt; [accessed 15 February 2023].</w:t>
      </w:r>
    </w:p>
  </w:footnote>
  <w:footnote w:id="10">
    <w:p w14:paraId="6B93850B" w14:textId="77777777" w:rsidR="00A72658" w:rsidRPr="004F77AA" w:rsidRDefault="00A72658" w:rsidP="00A72658">
      <w:pPr>
        <w:pStyle w:val="FootnoteText"/>
        <w:rPr>
          <w:lang w:val="en-US"/>
        </w:rPr>
      </w:pPr>
      <w:r>
        <w:rPr>
          <w:rStyle w:val="FootnoteReference"/>
        </w:rPr>
        <w:footnoteRef/>
      </w:r>
      <w:r>
        <w:t xml:space="preserve"> </w:t>
      </w:r>
      <w:r>
        <w:rPr>
          <w:rFonts w:ascii="avenir-regular-class" w:hAnsi="avenir-regular-class"/>
          <w:color w:val="333333"/>
          <w:sz w:val="23"/>
          <w:szCs w:val="23"/>
          <w:shd w:val="clear" w:color="auto" w:fill="FBFBFB"/>
        </w:rPr>
        <w:t>Malcolm Schofield, '</w:t>
      </w:r>
      <w:r>
        <w:rPr>
          <w:rFonts w:ascii="var(--pharos-font-family-serif)" w:hAnsi="var(--pharos-font-family-serif)"/>
          <w:shd w:val="clear" w:color="auto" w:fill="FBFBFB"/>
        </w:rPr>
        <w:t>Cicero for and against Divination</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The Journal of Roman Studies</w:t>
      </w:r>
      <w:r>
        <w:rPr>
          <w:rFonts w:ascii="avenir-regular-class" w:hAnsi="avenir-regular-class"/>
          <w:color w:val="333333"/>
          <w:sz w:val="23"/>
          <w:szCs w:val="23"/>
          <w:shd w:val="clear" w:color="auto" w:fill="FBFBFB"/>
        </w:rPr>
        <w:t>, 76 (1986), 47-65 (p. 47) &lt;</w:t>
      </w:r>
      <w:r w:rsidRPr="004F77AA">
        <w:rPr>
          <w:shd w:val="clear" w:color="auto" w:fill="FBFBFB"/>
        </w:rPr>
        <w:t>https://doi.org/10.2307/300365</w:t>
      </w:r>
      <w:r>
        <w:rPr>
          <w:rFonts w:ascii="avenir-regular-class" w:hAnsi="avenir-regular-class"/>
          <w:color w:val="333333"/>
          <w:sz w:val="23"/>
          <w:szCs w:val="23"/>
          <w:shd w:val="clear" w:color="auto" w:fill="FBFBFB"/>
        </w:rPr>
        <w:t>&gt;</w:t>
      </w:r>
    </w:p>
  </w:footnote>
  <w:footnote w:id="11">
    <w:p w14:paraId="1563F242" w14:textId="77777777" w:rsidR="00A72658" w:rsidRPr="00D87457" w:rsidRDefault="00A72658" w:rsidP="00A72658">
      <w:pPr>
        <w:pStyle w:val="FootnoteText"/>
        <w:rPr>
          <w:lang w:val="en-US"/>
        </w:rPr>
      </w:pPr>
      <w:r>
        <w:rPr>
          <w:rStyle w:val="FootnoteReference"/>
        </w:rPr>
        <w:footnoteRef/>
      </w:r>
      <w:r>
        <w:t xml:space="preserve"> </w:t>
      </w:r>
      <w:r w:rsidRPr="00D87457">
        <w:t>Malcolm</w:t>
      </w:r>
      <w:r>
        <w:t xml:space="preserve"> </w:t>
      </w:r>
      <w:r w:rsidRPr="00D87457">
        <w:t>Schofield, 'Cicero for and against Divination', The Journal of Roman Studies, 76 (1986), 47-65 (p. 52) &lt;https://doi.org/10.2307/300365&gt;</w:t>
      </w:r>
    </w:p>
  </w:footnote>
  <w:footnote w:id="12">
    <w:p w14:paraId="02B34519" w14:textId="2B4B398F" w:rsidR="00940AA7" w:rsidRPr="00A9707A" w:rsidRDefault="00940AA7" w:rsidP="00940AA7">
      <w:pPr>
        <w:pStyle w:val="FootnoteText"/>
        <w:rPr>
          <w:rFonts w:cstheme="minorHAnsi"/>
        </w:rPr>
      </w:pPr>
      <w:r w:rsidRPr="00A9707A">
        <w:rPr>
          <w:rStyle w:val="FootnoteReference"/>
          <w:rFonts w:cstheme="minorHAnsi"/>
        </w:rPr>
        <w:footnoteRef/>
      </w:r>
      <w:r w:rsidRPr="00A9707A">
        <w:rPr>
          <w:rFonts w:cstheme="minorHAnsi"/>
        </w:rPr>
        <w:t xml:space="preserve"> </w:t>
      </w:r>
      <w:r w:rsidRPr="00A9707A">
        <w:rPr>
          <w:rFonts w:cstheme="minorHAnsi"/>
          <w:shd w:val="clear" w:color="auto" w:fill="FBFBFB"/>
        </w:rPr>
        <w:t>Arthur Stanley Pease, </w:t>
      </w:r>
      <w:r w:rsidRPr="00A9707A">
        <w:rPr>
          <w:rFonts w:cstheme="minorHAnsi"/>
          <w:i/>
          <w:iCs/>
          <w:shd w:val="clear" w:color="auto" w:fill="FAFAFA"/>
        </w:rPr>
        <w:t xml:space="preserve">M. </w:t>
      </w:r>
      <w:proofErr w:type="spellStart"/>
      <w:r w:rsidRPr="00A9707A">
        <w:rPr>
          <w:rFonts w:cstheme="minorHAnsi"/>
          <w:i/>
          <w:iCs/>
          <w:shd w:val="clear" w:color="auto" w:fill="FAFAFA"/>
        </w:rPr>
        <w:t>Tulli</w:t>
      </w:r>
      <w:proofErr w:type="spellEnd"/>
      <w:r w:rsidRPr="00A9707A">
        <w:rPr>
          <w:rFonts w:cstheme="minorHAnsi"/>
          <w:i/>
          <w:iCs/>
          <w:shd w:val="clear" w:color="auto" w:fill="FAFAFA"/>
        </w:rPr>
        <w:t xml:space="preserve"> </w:t>
      </w:r>
      <w:proofErr w:type="spellStart"/>
      <w:r w:rsidRPr="00A9707A">
        <w:rPr>
          <w:rFonts w:cstheme="minorHAnsi"/>
          <w:i/>
          <w:iCs/>
          <w:shd w:val="clear" w:color="auto" w:fill="FAFAFA"/>
        </w:rPr>
        <w:t>Ciceronis</w:t>
      </w:r>
      <w:proofErr w:type="spellEnd"/>
      <w:r w:rsidRPr="00A9707A">
        <w:rPr>
          <w:rFonts w:cstheme="minorHAnsi"/>
          <w:i/>
          <w:iCs/>
          <w:shd w:val="clear" w:color="auto" w:fill="FAFAFA"/>
        </w:rPr>
        <w:t xml:space="preserve"> De </w:t>
      </w:r>
      <w:proofErr w:type="spellStart"/>
      <w:r w:rsidRPr="00A9707A">
        <w:rPr>
          <w:rFonts w:cstheme="minorHAnsi"/>
          <w:i/>
          <w:iCs/>
          <w:shd w:val="clear" w:color="auto" w:fill="FAFAFA"/>
        </w:rPr>
        <w:t>divinatione</w:t>
      </w:r>
      <w:proofErr w:type="spellEnd"/>
      <w:r w:rsidRPr="00A9707A">
        <w:rPr>
          <w:rFonts w:cstheme="minorHAnsi"/>
          <w:shd w:val="clear" w:color="auto" w:fill="FBFBFB"/>
        </w:rPr>
        <w:t xml:space="preserve"> (Urbana: University of Illinois, 1920), p.13.</w:t>
      </w:r>
    </w:p>
  </w:footnote>
  <w:footnote w:id="13">
    <w:p w14:paraId="326E8BA7" w14:textId="77777777" w:rsidR="00940AA7" w:rsidRPr="00A9707A" w:rsidRDefault="00940AA7" w:rsidP="00940AA7">
      <w:pPr>
        <w:pStyle w:val="FootnoteText"/>
        <w:rPr>
          <w:rFonts w:cstheme="minorHAnsi"/>
        </w:rPr>
      </w:pPr>
      <w:r w:rsidRPr="00A9707A">
        <w:rPr>
          <w:rStyle w:val="FootnoteReference"/>
          <w:rFonts w:cstheme="minorHAnsi"/>
        </w:rPr>
        <w:footnoteRef/>
      </w:r>
      <w:r w:rsidRPr="00A9707A">
        <w:rPr>
          <w:rFonts w:cstheme="minorHAnsi"/>
        </w:rPr>
        <w:t xml:space="preserve"> </w:t>
      </w:r>
      <w:r w:rsidRPr="00A9707A">
        <w:rPr>
          <w:rFonts w:cstheme="minorHAnsi"/>
          <w:shd w:val="clear" w:color="auto" w:fill="FBFBFB"/>
        </w:rPr>
        <w:t xml:space="preserve">Jerzy </w:t>
      </w:r>
      <w:proofErr w:type="spellStart"/>
      <w:r w:rsidRPr="00A9707A">
        <w:rPr>
          <w:rFonts w:cstheme="minorHAnsi"/>
          <w:shd w:val="clear" w:color="auto" w:fill="FBFBFB"/>
        </w:rPr>
        <w:t>Linderski</w:t>
      </w:r>
      <w:proofErr w:type="spellEnd"/>
      <w:r w:rsidRPr="00A9707A">
        <w:rPr>
          <w:rFonts w:cstheme="minorHAnsi"/>
          <w:shd w:val="clear" w:color="auto" w:fill="FBFBFB"/>
        </w:rPr>
        <w:t>, 'Cicero and Roman Divination', </w:t>
      </w:r>
      <w:proofErr w:type="spellStart"/>
      <w:r w:rsidRPr="00A9707A">
        <w:rPr>
          <w:rFonts w:cstheme="minorHAnsi"/>
          <w:i/>
          <w:iCs/>
          <w:shd w:val="clear" w:color="auto" w:fill="FBFBFB"/>
        </w:rPr>
        <w:t>PdP</w:t>
      </w:r>
      <w:proofErr w:type="spellEnd"/>
      <w:r w:rsidRPr="00A9707A">
        <w:rPr>
          <w:rFonts w:cstheme="minorHAnsi"/>
          <w:shd w:val="clear" w:color="auto" w:fill="FBFBFB"/>
        </w:rPr>
        <w:t>, 37. (1982), 12-38 (p. 28).</w:t>
      </w:r>
    </w:p>
  </w:footnote>
  <w:footnote w:id="14">
    <w:p w14:paraId="59A60B2A" w14:textId="77777777" w:rsidR="00130107" w:rsidRPr="00A9707A" w:rsidRDefault="00130107" w:rsidP="00130107">
      <w:pPr>
        <w:pStyle w:val="FootnoteText"/>
        <w:rPr>
          <w:rFonts w:cstheme="minorHAnsi"/>
        </w:rPr>
      </w:pPr>
      <w:r w:rsidRPr="00A9707A">
        <w:rPr>
          <w:rStyle w:val="FootnoteReference"/>
          <w:rFonts w:cstheme="minorHAnsi"/>
        </w:rPr>
        <w:footnoteRef/>
      </w:r>
      <w:r w:rsidRPr="00A9707A">
        <w:rPr>
          <w:rFonts w:cstheme="minorHAnsi"/>
        </w:rPr>
        <w:t xml:space="preserve"> </w:t>
      </w:r>
      <w:r w:rsidRPr="00A9707A">
        <w:rPr>
          <w:rFonts w:cstheme="minorHAnsi"/>
          <w:shd w:val="clear" w:color="auto" w:fill="FBFBFB"/>
        </w:rPr>
        <w:t>Mary Beard, 'Cicero and Divination: The Formation of a Latin Discourse', </w:t>
      </w:r>
      <w:r w:rsidRPr="00A9707A">
        <w:rPr>
          <w:rFonts w:cstheme="minorHAnsi"/>
          <w:i/>
          <w:iCs/>
          <w:shd w:val="clear" w:color="auto" w:fill="FBFBFB"/>
        </w:rPr>
        <w:t>The Journal of Roman Studies</w:t>
      </w:r>
      <w:r w:rsidRPr="00A9707A">
        <w:rPr>
          <w:rFonts w:cstheme="minorHAnsi"/>
          <w:shd w:val="clear" w:color="auto" w:fill="FBFBFB"/>
        </w:rPr>
        <w:t>, 76. (1986), 33-46 (p. 35) &lt;https://doi.org/10.2307/300364&gt;</w:t>
      </w:r>
    </w:p>
  </w:footnote>
  <w:footnote w:id="15">
    <w:p w14:paraId="6BA27B5B" w14:textId="77777777" w:rsidR="00130107" w:rsidRDefault="00130107" w:rsidP="00130107">
      <w:pPr>
        <w:pStyle w:val="FootnoteText"/>
      </w:pPr>
      <w:r w:rsidRPr="00A9707A">
        <w:rPr>
          <w:rStyle w:val="FootnoteReference"/>
          <w:rFonts w:cstheme="minorHAnsi"/>
        </w:rPr>
        <w:footnoteRef/>
      </w:r>
      <w:r w:rsidRPr="00A9707A">
        <w:rPr>
          <w:rFonts w:cstheme="minorHAnsi"/>
        </w:rPr>
        <w:t xml:space="preserve"> </w:t>
      </w:r>
      <w:r w:rsidRPr="00A9707A">
        <w:rPr>
          <w:rFonts w:cstheme="minorHAnsi"/>
          <w:shd w:val="clear" w:color="auto" w:fill="FBFBFB"/>
        </w:rPr>
        <w:t xml:space="preserve">Robert J. </w:t>
      </w:r>
      <w:proofErr w:type="spellStart"/>
      <w:r w:rsidRPr="00A9707A">
        <w:rPr>
          <w:rFonts w:cstheme="minorHAnsi"/>
          <w:shd w:val="clear" w:color="auto" w:fill="FBFBFB"/>
        </w:rPr>
        <w:t>Goar</w:t>
      </w:r>
      <w:proofErr w:type="spellEnd"/>
      <w:r w:rsidRPr="00A9707A">
        <w:rPr>
          <w:rFonts w:cstheme="minorHAnsi"/>
          <w:shd w:val="clear" w:color="auto" w:fill="FBFBFB"/>
        </w:rPr>
        <w:t>, 'The Purpose of De Divinatione', </w:t>
      </w:r>
      <w:r w:rsidRPr="00A9707A">
        <w:rPr>
          <w:rFonts w:cstheme="minorHAnsi"/>
          <w:i/>
          <w:iCs/>
          <w:shd w:val="clear" w:color="auto" w:fill="FBFBFB"/>
        </w:rPr>
        <w:t>Transactions and Proceedings of the American Philological Association</w:t>
      </w:r>
      <w:r w:rsidRPr="00A9707A">
        <w:rPr>
          <w:rFonts w:cstheme="minorHAnsi"/>
          <w:shd w:val="clear" w:color="auto" w:fill="FBFBFB"/>
        </w:rPr>
        <w:t>, 99 (1968), 241-248 (p. 248</w:t>
      </w:r>
      <w:proofErr w:type="gramStart"/>
      <w:r w:rsidRPr="00A9707A">
        <w:rPr>
          <w:rFonts w:cstheme="minorHAnsi"/>
          <w:shd w:val="clear" w:color="auto" w:fill="FBFBFB"/>
        </w:rPr>
        <w:t>).&lt;</w:t>
      </w:r>
      <w:proofErr w:type="gramEnd"/>
      <w:r w:rsidRPr="00A9707A">
        <w:rPr>
          <w:rFonts w:cstheme="minorHAnsi"/>
          <w:shd w:val="clear" w:color="auto" w:fill="FBFBFB"/>
        </w:rPr>
        <w:t>https://doi.org/10.2307/2935842&gt;</w:t>
      </w:r>
    </w:p>
  </w:footnote>
  <w:footnote w:id="16">
    <w:p w14:paraId="53633AF5" w14:textId="77777777" w:rsidR="00130107" w:rsidRPr="005A7D3E" w:rsidRDefault="00130107" w:rsidP="00130107">
      <w:pPr>
        <w:pStyle w:val="FootnoteText"/>
        <w:rPr>
          <w:rFonts w:cstheme="minorHAnsi"/>
        </w:rPr>
      </w:pPr>
      <w:r w:rsidRPr="005A7D3E">
        <w:rPr>
          <w:rStyle w:val="FootnoteReference"/>
          <w:rFonts w:cstheme="minorHAnsi"/>
        </w:rPr>
        <w:footnoteRef/>
      </w:r>
      <w:r w:rsidRPr="005A7D3E">
        <w:rPr>
          <w:rFonts w:cstheme="minorHAnsi"/>
        </w:rPr>
        <w:t xml:space="preserve"> </w:t>
      </w:r>
      <w:r w:rsidRPr="005A7D3E">
        <w:rPr>
          <w:rFonts w:cstheme="minorHAnsi"/>
          <w:shd w:val="clear" w:color="auto" w:fill="FBFBFB"/>
        </w:rPr>
        <w:t>Hans-Friedrich Mueller, 'David Wardle, Cicero on Divination: De Divinatione Book 1', </w:t>
      </w:r>
      <w:r w:rsidRPr="005A7D3E">
        <w:rPr>
          <w:rFonts w:cstheme="minorHAnsi"/>
          <w:i/>
          <w:iCs/>
          <w:shd w:val="clear" w:color="auto" w:fill="FBFBFB"/>
        </w:rPr>
        <w:t>Acta Classica</w:t>
      </w:r>
      <w:r w:rsidRPr="005A7D3E">
        <w:rPr>
          <w:rFonts w:cstheme="minorHAnsi"/>
          <w:shd w:val="clear" w:color="auto" w:fill="FBFBFB"/>
        </w:rPr>
        <w:t>, (2013), 223-227 (p. 224). &lt;</w:t>
      </w:r>
      <w:r w:rsidRPr="005A7D3E">
        <w:rPr>
          <w:rFonts w:cstheme="minorHAnsi"/>
        </w:rPr>
        <w:t xml:space="preserve"> </w:t>
      </w:r>
      <w:r w:rsidRPr="005A7D3E">
        <w:rPr>
          <w:rFonts w:cstheme="minorHAnsi"/>
          <w:shd w:val="clear" w:color="auto" w:fill="FBFBFB"/>
        </w:rPr>
        <w:t>https://casa-kvsa.org.za/legacy/2008/AC51-20-Mueller.pdf</w:t>
      </w:r>
      <w:hyperlink r:id="rId1" w:history="1">
        <w:r w:rsidRPr="005A7D3E">
          <w:rPr>
            <w:rStyle w:val="Hyperlink"/>
            <w:rFonts w:cstheme="minorHAnsi"/>
            <w:shd w:val="clear" w:color="auto" w:fill="FBFBFB"/>
          </w:rPr>
          <w:t>&gt;</w:t>
        </w:r>
      </w:hyperlink>
      <w:r w:rsidRPr="005A7D3E">
        <w:rPr>
          <w:rFonts w:cstheme="minorHAnsi"/>
          <w:shd w:val="clear" w:color="auto" w:fill="FBFBFB"/>
        </w:rPr>
        <w:t> [accessed: 14 February 2023]</w:t>
      </w:r>
    </w:p>
  </w:footnote>
  <w:footnote w:id="17">
    <w:p w14:paraId="46DEBB0C" w14:textId="77777777" w:rsidR="00483188" w:rsidRPr="009958E8" w:rsidRDefault="00483188" w:rsidP="00483188">
      <w:pPr>
        <w:pStyle w:val="FootnoteText"/>
        <w:rPr>
          <w:rFonts w:cstheme="minorHAnsi"/>
        </w:rPr>
      </w:pPr>
      <w:r w:rsidRPr="009958E8">
        <w:rPr>
          <w:rStyle w:val="FootnoteReference"/>
          <w:rFonts w:cstheme="minorHAnsi"/>
        </w:rPr>
        <w:footnoteRef/>
      </w:r>
      <w:r w:rsidRPr="009958E8">
        <w:rPr>
          <w:rFonts w:cstheme="minorHAnsi"/>
        </w:rPr>
        <w:t xml:space="preserve"> Cicero, On Divination (De Divinatione): W. A. Falconer (ed. and </w:t>
      </w:r>
      <w:proofErr w:type="spellStart"/>
      <w:r w:rsidRPr="009958E8">
        <w:rPr>
          <w:rFonts w:cstheme="minorHAnsi"/>
        </w:rPr>
        <w:t>trs</w:t>
      </w:r>
      <w:proofErr w:type="spellEnd"/>
      <w:r w:rsidRPr="009958E8">
        <w:rPr>
          <w:rFonts w:cstheme="minorHAnsi"/>
        </w:rPr>
        <w:t>.), Loeb Classical Library, Cambridge, MA: Harvard University Press, vol. XX, 1923, (p. 379)</w:t>
      </w:r>
    </w:p>
  </w:footnote>
  <w:footnote w:id="18">
    <w:p w14:paraId="69BA87DC" w14:textId="77777777" w:rsidR="00483188" w:rsidRPr="00E40FCC" w:rsidRDefault="00483188" w:rsidP="00483188">
      <w:pPr>
        <w:spacing w:after="0" w:line="240" w:lineRule="auto"/>
        <w:rPr>
          <w:rFonts w:ascii="Times New Roman" w:eastAsia="Times New Roman" w:hAnsi="Times New Roman" w:cs="Times New Roman"/>
          <w:sz w:val="24"/>
          <w:szCs w:val="24"/>
          <w:lang w:eastAsia="en-GB"/>
        </w:rPr>
      </w:pPr>
      <w:r w:rsidRPr="009958E8">
        <w:rPr>
          <w:rStyle w:val="FootnoteReference"/>
          <w:rFonts w:cstheme="minorHAnsi"/>
          <w:sz w:val="20"/>
          <w:szCs w:val="20"/>
        </w:rPr>
        <w:footnoteRef/>
      </w:r>
      <w:r w:rsidRPr="009958E8">
        <w:rPr>
          <w:rFonts w:cstheme="minorHAnsi"/>
          <w:sz w:val="20"/>
          <w:szCs w:val="20"/>
        </w:rPr>
        <w:t xml:space="preserve"> </w:t>
      </w:r>
      <w:r w:rsidRPr="009958E8">
        <w:rPr>
          <w:rFonts w:eastAsia="Times New Roman" w:cstheme="minorHAnsi"/>
          <w:sz w:val="20"/>
          <w:szCs w:val="20"/>
          <w:lang w:eastAsia="en-GB"/>
        </w:rPr>
        <w:t>Frank Cabrera, 'Evidence and explanation in Cicero's </w:t>
      </w:r>
      <w:proofErr w:type="gramStart"/>
      <w:r w:rsidRPr="009958E8">
        <w:rPr>
          <w:rFonts w:eastAsia="Times New Roman" w:cstheme="minorHAnsi"/>
          <w:i/>
          <w:iCs/>
          <w:sz w:val="20"/>
          <w:szCs w:val="20"/>
          <w:lang w:eastAsia="en-GB"/>
        </w:rPr>
        <w:t>On</w:t>
      </w:r>
      <w:proofErr w:type="gramEnd"/>
      <w:r w:rsidRPr="009958E8">
        <w:rPr>
          <w:rFonts w:eastAsia="Times New Roman" w:cstheme="minorHAnsi"/>
          <w:i/>
          <w:iCs/>
          <w:sz w:val="20"/>
          <w:szCs w:val="20"/>
          <w:lang w:eastAsia="en-GB"/>
        </w:rPr>
        <w:t xml:space="preserve"> Divination</w:t>
      </w:r>
      <w:r w:rsidRPr="009958E8">
        <w:rPr>
          <w:rFonts w:eastAsia="Times New Roman" w:cstheme="minorHAnsi"/>
          <w:sz w:val="20"/>
          <w:szCs w:val="20"/>
          <w:lang w:eastAsia="en-GB"/>
        </w:rPr>
        <w:t>', </w:t>
      </w:r>
      <w:r w:rsidRPr="009958E8">
        <w:rPr>
          <w:rFonts w:eastAsia="Times New Roman" w:cstheme="minorHAnsi"/>
          <w:i/>
          <w:iCs/>
          <w:sz w:val="20"/>
          <w:szCs w:val="20"/>
          <w:lang w:eastAsia="en-GB"/>
        </w:rPr>
        <w:t>Studies in History and Philosophy of Science Part A</w:t>
      </w:r>
      <w:r w:rsidRPr="009958E8">
        <w:rPr>
          <w:rFonts w:eastAsia="Times New Roman" w:cstheme="minorHAnsi"/>
          <w:sz w:val="20"/>
          <w:szCs w:val="20"/>
          <w:lang w:eastAsia="en-GB"/>
        </w:rPr>
        <w:t>, 82. (2020), 34-43 (p. 38).</w:t>
      </w:r>
    </w:p>
  </w:footnote>
  <w:footnote w:id="19">
    <w:p w14:paraId="61249632" w14:textId="77777777" w:rsidR="00483188" w:rsidRDefault="00483188" w:rsidP="00483188">
      <w:pPr>
        <w:pStyle w:val="FootnoteText"/>
      </w:pPr>
      <w:r>
        <w:rPr>
          <w:rStyle w:val="FootnoteReference"/>
        </w:rPr>
        <w:footnoteRef/>
      </w:r>
      <w:r>
        <w:t xml:space="preserve"> </w:t>
      </w:r>
      <w:r w:rsidRPr="00DD3AF7">
        <w:t xml:space="preserve">Federico Santangelo, </w:t>
      </w:r>
      <w:r w:rsidRPr="00DD3AF7">
        <w:rPr>
          <w:i/>
          <w:iCs/>
        </w:rPr>
        <w:t>The Power of Signs. Divination, prediction, and the end of the Roman Republic</w:t>
      </w:r>
      <w:r w:rsidRPr="00DD3AF7">
        <w:t xml:space="preserve"> (2013) &lt; https://gtr.ukri.org/projects?ref=AH%2FJ001988%2F1#/tabOverview &gt; [accessed 19 February 2023].</w:t>
      </w:r>
    </w:p>
  </w:footnote>
  <w:footnote w:id="20">
    <w:p w14:paraId="53A2F5B2" w14:textId="77777777" w:rsidR="00483188" w:rsidRDefault="00483188" w:rsidP="00483188">
      <w:pPr>
        <w:pStyle w:val="FootnoteText"/>
      </w:pPr>
      <w:r>
        <w:rPr>
          <w:rStyle w:val="FootnoteReference"/>
        </w:rPr>
        <w:footnoteRef/>
      </w:r>
      <w:r>
        <w:t xml:space="preserve"> </w:t>
      </w:r>
      <w:r w:rsidRPr="00C619E8">
        <w:t xml:space="preserve">John Patrick Frederick Wynne, 'Cicero on the philosophy of religion: de nature </w:t>
      </w:r>
      <w:proofErr w:type="spellStart"/>
      <w:r w:rsidRPr="00C619E8">
        <w:t>deorum</w:t>
      </w:r>
      <w:proofErr w:type="spellEnd"/>
      <w:r w:rsidRPr="00C619E8">
        <w:t xml:space="preserve"> and de </w:t>
      </w:r>
      <w:proofErr w:type="spellStart"/>
      <w:r w:rsidRPr="00C619E8">
        <w:t>divinatione</w:t>
      </w:r>
      <w:proofErr w:type="spellEnd"/>
      <w:r w:rsidRPr="00C619E8">
        <w:t>' (unpublished doctoral thesis, Cornell University, 2008).</w:t>
      </w:r>
    </w:p>
  </w:footnote>
  <w:footnote w:id="21">
    <w:p w14:paraId="4193465F" w14:textId="77777777" w:rsidR="00483188" w:rsidRPr="00613907" w:rsidRDefault="00483188" w:rsidP="00483188">
      <w:pPr>
        <w:pStyle w:val="FootnoteText"/>
        <w:rPr>
          <w:rFonts w:cstheme="minorHAnsi"/>
        </w:rPr>
      </w:pPr>
      <w:r w:rsidRPr="00613907">
        <w:rPr>
          <w:rStyle w:val="FootnoteReference"/>
          <w:rFonts w:cstheme="minorHAnsi"/>
        </w:rPr>
        <w:footnoteRef/>
      </w:r>
      <w:r w:rsidRPr="00613907">
        <w:rPr>
          <w:rFonts w:cstheme="minorHAnsi"/>
        </w:rPr>
        <w:t xml:space="preserve"> Cicero, On Divination (De Divinatione): W. A. Falconer (ed. and </w:t>
      </w:r>
      <w:proofErr w:type="spellStart"/>
      <w:r w:rsidRPr="00613907">
        <w:rPr>
          <w:rFonts w:cstheme="minorHAnsi"/>
        </w:rPr>
        <w:t>trs</w:t>
      </w:r>
      <w:proofErr w:type="spellEnd"/>
      <w:r w:rsidRPr="00613907">
        <w:rPr>
          <w:rFonts w:cstheme="minorHAnsi"/>
        </w:rPr>
        <w:t>.), Loeb Classical Library, Cambridge, MA: Harvard University Press, vol. XX, 1923, (p. 229)</w:t>
      </w:r>
    </w:p>
  </w:footnote>
  <w:footnote w:id="22">
    <w:p w14:paraId="49FF9309" w14:textId="77777777" w:rsidR="00483188" w:rsidRPr="00613907" w:rsidRDefault="00483188" w:rsidP="00483188">
      <w:pPr>
        <w:pStyle w:val="FootnoteText"/>
        <w:rPr>
          <w:rFonts w:cstheme="minorHAnsi"/>
        </w:rPr>
      </w:pPr>
      <w:r w:rsidRPr="00613907">
        <w:rPr>
          <w:rStyle w:val="FootnoteReference"/>
          <w:rFonts w:cstheme="minorHAnsi"/>
        </w:rPr>
        <w:footnoteRef/>
      </w:r>
      <w:r w:rsidRPr="00613907">
        <w:rPr>
          <w:rFonts w:cstheme="minorHAnsi"/>
        </w:rPr>
        <w:t xml:space="preserve"> </w:t>
      </w:r>
      <w:r w:rsidRPr="00613907">
        <w:rPr>
          <w:rFonts w:cstheme="minorHAnsi"/>
          <w:shd w:val="clear" w:color="auto" w:fill="FBFBFB"/>
        </w:rPr>
        <w:t>Brad Inwood, review of John Wynne, </w:t>
      </w:r>
      <w:r w:rsidRPr="00613907">
        <w:rPr>
          <w:rStyle w:val="Emphasis"/>
          <w:rFonts w:cstheme="minorHAnsi"/>
          <w:shd w:val="clear" w:color="auto" w:fill="FFFFFF"/>
        </w:rPr>
        <w:t>Cicero on the Philosophy of Religion: On the Nature of the Gods </w:t>
      </w:r>
      <w:r w:rsidRPr="00613907">
        <w:rPr>
          <w:rFonts w:cstheme="minorHAnsi"/>
          <w:i/>
          <w:iCs/>
          <w:shd w:val="clear" w:color="auto" w:fill="FFFFFF"/>
        </w:rPr>
        <w:t>and</w:t>
      </w:r>
      <w:r w:rsidRPr="00613907">
        <w:rPr>
          <w:rStyle w:val="Emphasis"/>
          <w:rFonts w:cstheme="minorHAnsi"/>
          <w:shd w:val="clear" w:color="auto" w:fill="FFFFFF"/>
        </w:rPr>
        <w:t> On Divination </w:t>
      </w:r>
      <w:r w:rsidRPr="00613907">
        <w:rPr>
          <w:rFonts w:cstheme="minorHAnsi"/>
          <w:shd w:val="clear" w:color="auto" w:fill="FBFBFB"/>
        </w:rPr>
        <w:t>(2019), Notre Dame Philosophical Reviews &lt;</w:t>
      </w:r>
      <w:r w:rsidRPr="00613907">
        <w:rPr>
          <w:rFonts w:cstheme="minorHAnsi"/>
        </w:rPr>
        <w:t xml:space="preserve"> </w:t>
      </w:r>
      <w:r w:rsidRPr="00613907">
        <w:rPr>
          <w:rFonts w:cstheme="minorHAnsi"/>
          <w:shd w:val="clear" w:color="auto" w:fill="FBFBFB"/>
        </w:rPr>
        <w:t>https://ndpr.nd.edu/reviews/cicero-on-the-philosophy-of-religion-on-the-nature-of-the-gods-and-on-divination/&gt; (2020) [accessed 21 February 2023].</w:t>
      </w:r>
    </w:p>
  </w:footnote>
  <w:footnote w:id="23">
    <w:p w14:paraId="3BB0C111" w14:textId="77777777" w:rsidR="00483188" w:rsidRPr="00613907" w:rsidRDefault="00483188" w:rsidP="00483188">
      <w:pPr>
        <w:pStyle w:val="FootnoteText"/>
        <w:rPr>
          <w:rFonts w:cstheme="minorHAnsi"/>
        </w:rPr>
      </w:pPr>
      <w:r w:rsidRPr="00613907">
        <w:rPr>
          <w:rStyle w:val="FootnoteReference"/>
          <w:rFonts w:cstheme="minorHAnsi"/>
        </w:rPr>
        <w:footnoteRef/>
      </w:r>
      <w:r w:rsidRPr="00613907">
        <w:rPr>
          <w:rFonts w:cstheme="minorHAnsi"/>
        </w:rPr>
        <w:t xml:space="preserve"> </w:t>
      </w:r>
      <w:r w:rsidRPr="00613907">
        <w:rPr>
          <w:rFonts w:cstheme="minorHAnsi"/>
          <w:shd w:val="clear" w:color="auto" w:fill="FBFBFB"/>
        </w:rPr>
        <w:t>Matthew Watton, review of John Wynne, </w:t>
      </w:r>
      <w:r w:rsidRPr="00613907">
        <w:rPr>
          <w:rStyle w:val="Emphasis"/>
          <w:rFonts w:cstheme="minorHAnsi"/>
          <w:shd w:val="clear" w:color="auto" w:fill="FFFFFF"/>
        </w:rPr>
        <w:t>Cicero on the Philosophy of Religion: On the Nature of the Gods </w:t>
      </w:r>
      <w:r w:rsidRPr="00613907">
        <w:rPr>
          <w:rFonts w:cstheme="minorHAnsi"/>
          <w:i/>
          <w:iCs/>
          <w:shd w:val="clear" w:color="auto" w:fill="FFFFFF"/>
        </w:rPr>
        <w:t>and</w:t>
      </w:r>
      <w:r w:rsidRPr="00613907">
        <w:rPr>
          <w:rStyle w:val="Emphasis"/>
          <w:rFonts w:cstheme="minorHAnsi"/>
          <w:shd w:val="clear" w:color="auto" w:fill="FFFFFF"/>
        </w:rPr>
        <w:t> On Divination </w:t>
      </w:r>
      <w:r w:rsidRPr="00613907">
        <w:rPr>
          <w:rFonts w:cstheme="minorHAnsi"/>
          <w:shd w:val="clear" w:color="auto" w:fill="FBFBFB"/>
        </w:rPr>
        <w:t>(2019), University of Toronto &lt;</w:t>
      </w:r>
      <w:r w:rsidRPr="00613907">
        <w:rPr>
          <w:rFonts w:cstheme="minorHAnsi"/>
        </w:rPr>
        <w:t xml:space="preserve"> </w:t>
      </w:r>
      <w:r w:rsidRPr="00613907">
        <w:rPr>
          <w:rFonts w:cstheme="minorHAnsi"/>
          <w:shd w:val="clear" w:color="auto" w:fill="FBFBFB"/>
        </w:rPr>
        <w:t>https://bmcr.brynmawr.edu/2020/2020.08.02/&gt; (2020) [accessed 21 February 2023].</w:t>
      </w:r>
    </w:p>
  </w:footnote>
  <w:footnote w:id="24">
    <w:p w14:paraId="06EB7E26" w14:textId="77777777" w:rsidR="00483188" w:rsidRDefault="00483188" w:rsidP="00483188">
      <w:pPr>
        <w:pStyle w:val="FootnoteText"/>
      </w:pPr>
      <w:r w:rsidRPr="00613907">
        <w:rPr>
          <w:rStyle w:val="FootnoteReference"/>
          <w:rFonts w:cstheme="minorHAnsi"/>
        </w:rPr>
        <w:footnoteRef/>
      </w:r>
      <w:r w:rsidRPr="00613907">
        <w:rPr>
          <w:rFonts w:cstheme="minorHAnsi"/>
        </w:rPr>
        <w:t xml:space="preserve"> Cicero, On Divination (De Divinatione): W. A. Falconer (ed. and </w:t>
      </w:r>
      <w:proofErr w:type="spellStart"/>
      <w:r w:rsidRPr="00613907">
        <w:rPr>
          <w:rFonts w:cstheme="minorHAnsi"/>
        </w:rPr>
        <w:t>trs</w:t>
      </w:r>
      <w:proofErr w:type="spellEnd"/>
      <w:r w:rsidRPr="00613907">
        <w:rPr>
          <w:rFonts w:cstheme="minorHAnsi"/>
        </w:rPr>
        <w:t>.), Loeb Classical Library, Cambridge, MA: Harvard University Press, vol. XX, 1923, (p. 256)</w:t>
      </w:r>
    </w:p>
  </w:footnote>
  <w:footnote w:id="25">
    <w:p w14:paraId="3D254F92" w14:textId="77777777" w:rsidR="00483188" w:rsidRPr="00B1791A" w:rsidRDefault="00483188" w:rsidP="00483188">
      <w:pPr>
        <w:pStyle w:val="FootnoteText"/>
        <w:rPr>
          <w:lang w:val="en-US"/>
        </w:rPr>
      </w:pPr>
      <w:r>
        <w:rPr>
          <w:rStyle w:val="FootnoteReference"/>
        </w:rPr>
        <w:footnoteRef/>
      </w:r>
      <w:r>
        <w:t xml:space="preserve"> </w:t>
      </w:r>
      <w:r w:rsidRPr="00A9707A">
        <w:rPr>
          <w:rFonts w:cstheme="minorHAnsi"/>
          <w:shd w:val="clear" w:color="auto" w:fill="FBFBFB"/>
        </w:rPr>
        <w:t>Mary Beard, 'Cicero and Divination: The Formation of a Latin Discourse', </w:t>
      </w:r>
      <w:r w:rsidRPr="00A9707A">
        <w:rPr>
          <w:rFonts w:cstheme="minorHAnsi"/>
          <w:i/>
          <w:iCs/>
          <w:shd w:val="clear" w:color="auto" w:fill="FBFBFB"/>
        </w:rPr>
        <w:t>The Journal of Roman Studies</w:t>
      </w:r>
      <w:r w:rsidRPr="00A9707A">
        <w:rPr>
          <w:rFonts w:cstheme="minorHAnsi"/>
          <w:shd w:val="clear" w:color="auto" w:fill="FBFBFB"/>
        </w:rPr>
        <w:t xml:space="preserve">, 76. (1986), 33-46 (p. </w:t>
      </w:r>
      <w:r>
        <w:rPr>
          <w:rFonts w:cstheme="minorHAnsi"/>
          <w:shd w:val="clear" w:color="auto" w:fill="FBFBFB"/>
        </w:rPr>
        <w:t>46</w:t>
      </w:r>
      <w:r w:rsidRPr="00A9707A">
        <w:rPr>
          <w:rFonts w:cstheme="minorHAnsi"/>
          <w:shd w:val="clear" w:color="auto" w:fill="FBFBFB"/>
        </w:rPr>
        <w:t>) &lt;https://doi.org/10.2307/300364&gt;</w:t>
      </w:r>
    </w:p>
  </w:footnote>
  <w:footnote w:id="26">
    <w:p w14:paraId="5710EEA9" w14:textId="77777777" w:rsidR="0075224B" w:rsidRPr="009958E8" w:rsidRDefault="0075224B" w:rsidP="0075224B">
      <w:pPr>
        <w:pStyle w:val="FootnoteText"/>
        <w:rPr>
          <w:rFonts w:cstheme="minorHAnsi"/>
        </w:rPr>
      </w:pPr>
      <w:r w:rsidRPr="009958E8">
        <w:rPr>
          <w:rStyle w:val="FootnoteReference"/>
          <w:rFonts w:cstheme="minorHAnsi"/>
        </w:rPr>
        <w:footnoteRef/>
      </w:r>
      <w:r w:rsidRPr="009958E8">
        <w:rPr>
          <w:rFonts w:cstheme="minorHAnsi"/>
        </w:rPr>
        <w:t xml:space="preserve"> </w:t>
      </w:r>
      <w:r w:rsidRPr="009958E8">
        <w:rPr>
          <w:rFonts w:cstheme="minorHAnsi"/>
          <w:shd w:val="clear" w:color="auto" w:fill="FBFBFB"/>
        </w:rPr>
        <w:t xml:space="preserve">Brian A. </w:t>
      </w:r>
      <w:proofErr w:type="spellStart"/>
      <w:r w:rsidRPr="009958E8">
        <w:rPr>
          <w:rFonts w:cstheme="minorHAnsi"/>
          <w:shd w:val="clear" w:color="auto" w:fill="FBFBFB"/>
        </w:rPr>
        <w:t>Krostenko</w:t>
      </w:r>
      <w:proofErr w:type="spellEnd"/>
      <w:r w:rsidRPr="009958E8">
        <w:rPr>
          <w:rFonts w:cstheme="minorHAnsi"/>
          <w:shd w:val="clear" w:color="auto" w:fill="FBFBFB"/>
        </w:rPr>
        <w:t>, 'Beyond (Dis)belief: Rhetorical Form and Religious Symbol in Cicero's de Divinatione', </w:t>
      </w:r>
      <w:r w:rsidRPr="009958E8">
        <w:rPr>
          <w:rFonts w:cstheme="minorHAnsi"/>
          <w:i/>
          <w:iCs/>
          <w:shd w:val="clear" w:color="auto" w:fill="FBFBFB"/>
        </w:rPr>
        <w:t>Transactions of the American Philological Association (1974-2014)</w:t>
      </w:r>
      <w:r w:rsidRPr="009958E8">
        <w:rPr>
          <w:rFonts w:cstheme="minorHAnsi"/>
          <w:shd w:val="clear" w:color="auto" w:fill="FBFBFB"/>
        </w:rPr>
        <w:t>, 130 (2000). (354). </w:t>
      </w:r>
      <w:r w:rsidRPr="009958E8">
        <w:rPr>
          <w:rFonts w:cstheme="minorHAnsi"/>
          <w:spacing w:val="-5"/>
          <w:shd w:val="clear" w:color="auto" w:fill="FBFBFB"/>
        </w:rPr>
        <w:t>https://www.jstor.org/stable/284315 [accessed: 14 February 2023]</w:t>
      </w:r>
    </w:p>
  </w:footnote>
  <w:footnote w:id="27">
    <w:p w14:paraId="3FA0B2E5" w14:textId="77777777" w:rsidR="0075224B" w:rsidRDefault="0075224B" w:rsidP="0075224B">
      <w:pPr>
        <w:pStyle w:val="FootnoteText"/>
      </w:pPr>
      <w:r>
        <w:rPr>
          <w:rStyle w:val="FootnoteReference"/>
        </w:rPr>
        <w:footnoteRef/>
      </w:r>
      <w:r>
        <w:t xml:space="preserve"> </w:t>
      </w:r>
      <w:r w:rsidRPr="001E5570">
        <w:t>Yelena</w:t>
      </w:r>
      <w:r>
        <w:t xml:space="preserve"> </w:t>
      </w:r>
      <w:proofErr w:type="spellStart"/>
      <w:r w:rsidRPr="001E5570">
        <w:t>Baraz</w:t>
      </w:r>
      <w:proofErr w:type="spellEnd"/>
      <w:r w:rsidRPr="001E5570">
        <w:t xml:space="preserve">, </w:t>
      </w:r>
      <w:r w:rsidRPr="001E5570">
        <w:rPr>
          <w:i/>
          <w:iCs/>
        </w:rPr>
        <w:t xml:space="preserve">‘A New Way </w:t>
      </w:r>
      <w:proofErr w:type="gramStart"/>
      <w:r w:rsidRPr="001E5570">
        <w:rPr>
          <w:i/>
          <w:iCs/>
        </w:rPr>
        <w:t>To</w:t>
      </w:r>
      <w:proofErr w:type="gramEnd"/>
      <w:r w:rsidRPr="001E5570">
        <w:rPr>
          <w:i/>
          <w:iCs/>
        </w:rPr>
        <w:t xml:space="preserve"> Approach Cicero’s Style’</w:t>
      </w:r>
      <w:r w:rsidRPr="001E5570">
        <w:t xml:space="preserve"> (2003) &lt;https://gsi.berkeley.edu/barazy-2003/&gt; [accessed 28 February 2023]</w:t>
      </w:r>
    </w:p>
  </w:footnote>
  <w:footnote w:id="28">
    <w:p w14:paraId="12FBCB71" w14:textId="77777777" w:rsidR="0075224B" w:rsidRDefault="0075224B" w:rsidP="0075224B">
      <w:pPr>
        <w:pStyle w:val="FootnoteText"/>
      </w:pPr>
      <w:r>
        <w:rPr>
          <w:rStyle w:val="FootnoteReference"/>
        </w:rPr>
        <w:footnoteRef/>
      </w:r>
      <w:r>
        <w:t xml:space="preserve"> </w:t>
      </w:r>
      <w:r>
        <w:rPr>
          <w:rFonts w:ascii="avenir-regular-class" w:hAnsi="avenir-regular-class"/>
          <w:color w:val="333333"/>
          <w:sz w:val="23"/>
          <w:szCs w:val="23"/>
          <w:shd w:val="clear" w:color="auto" w:fill="FBFBFB"/>
        </w:rPr>
        <w:t>Malcolm Schofield, '</w:t>
      </w:r>
      <w:r>
        <w:rPr>
          <w:rFonts w:ascii="var(--pharos-font-family-serif)" w:hAnsi="var(--pharos-font-family-serif)"/>
          <w:shd w:val="clear" w:color="auto" w:fill="FBFBFB"/>
        </w:rPr>
        <w:t>Cicero for and against Divination</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The Journal of Roman Studies</w:t>
      </w:r>
      <w:r>
        <w:rPr>
          <w:rFonts w:ascii="avenir-regular-class" w:hAnsi="avenir-regular-class"/>
          <w:color w:val="333333"/>
          <w:sz w:val="23"/>
          <w:szCs w:val="23"/>
          <w:shd w:val="clear" w:color="auto" w:fill="FBFBFB"/>
        </w:rPr>
        <w:t>, 76 (1986), 47-65 (p. 50) &lt;</w:t>
      </w:r>
      <w:r w:rsidRPr="004F77AA">
        <w:rPr>
          <w:shd w:val="clear" w:color="auto" w:fill="FBFBFB"/>
        </w:rPr>
        <w:t>https://doi.org/10.2307/300365</w:t>
      </w:r>
      <w:r>
        <w:rPr>
          <w:rFonts w:ascii="avenir-regular-class" w:hAnsi="avenir-regular-class"/>
          <w:color w:val="333333"/>
          <w:sz w:val="23"/>
          <w:szCs w:val="23"/>
          <w:shd w:val="clear" w:color="auto" w:fill="FBFBFB"/>
        </w:rPr>
        <w:t>&gt;</w:t>
      </w:r>
    </w:p>
  </w:footnote>
  <w:footnote w:id="29">
    <w:p w14:paraId="338D06A7" w14:textId="77777777" w:rsidR="00F934E1" w:rsidRDefault="00F934E1" w:rsidP="00F934E1">
      <w:pPr>
        <w:pStyle w:val="FootnoteText"/>
      </w:pPr>
      <w:r>
        <w:rPr>
          <w:rStyle w:val="FootnoteReference"/>
        </w:rPr>
        <w:footnoteRef/>
      </w:r>
      <w:r>
        <w:t xml:space="preserve"> </w:t>
      </w:r>
      <w:r w:rsidRPr="00D63685">
        <w:t>Edward</w:t>
      </w:r>
      <w:r>
        <w:t xml:space="preserve"> </w:t>
      </w:r>
      <w:r w:rsidRPr="00D63685">
        <w:t>Gibbon, T</w:t>
      </w:r>
      <w:r w:rsidRPr="00D63685">
        <w:rPr>
          <w:i/>
          <w:iCs/>
        </w:rPr>
        <w:t>he History of the Decline and Fall of the Roman Empire: Volume 1</w:t>
      </w:r>
      <w:r w:rsidRPr="00D63685">
        <w:t xml:space="preserve"> (London: Penguin Books, 1996).</w:t>
      </w:r>
    </w:p>
  </w:footnote>
  <w:footnote w:id="30">
    <w:p w14:paraId="73BEE32F" w14:textId="77777777" w:rsidR="000F4029" w:rsidRDefault="000F4029" w:rsidP="000F4029">
      <w:pPr>
        <w:pStyle w:val="FootnoteText"/>
      </w:pPr>
      <w:r>
        <w:rPr>
          <w:rStyle w:val="FootnoteReference"/>
        </w:rPr>
        <w:footnoteRef/>
      </w:r>
      <w:r>
        <w:t xml:space="preserve"> </w:t>
      </w:r>
      <w:r w:rsidRPr="00A9707A">
        <w:rPr>
          <w:rFonts w:cstheme="minorHAnsi"/>
          <w:shd w:val="clear" w:color="auto" w:fill="FBFBFB"/>
        </w:rPr>
        <w:t xml:space="preserve">Robert J. </w:t>
      </w:r>
      <w:proofErr w:type="spellStart"/>
      <w:r w:rsidRPr="00A9707A">
        <w:rPr>
          <w:rFonts w:cstheme="minorHAnsi"/>
          <w:shd w:val="clear" w:color="auto" w:fill="FBFBFB"/>
        </w:rPr>
        <w:t>Goar</w:t>
      </w:r>
      <w:proofErr w:type="spellEnd"/>
      <w:r w:rsidRPr="00A9707A">
        <w:rPr>
          <w:rFonts w:cstheme="minorHAnsi"/>
          <w:shd w:val="clear" w:color="auto" w:fill="FBFBFB"/>
        </w:rPr>
        <w:t>, 'The Purpose of De Divinatione', </w:t>
      </w:r>
      <w:r w:rsidRPr="00A9707A">
        <w:rPr>
          <w:rFonts w:cstheme="minorHAnsi"/>
          <w:i/>
          <w:iCs/>
          <w:shd w:val="clear" w:color="auto" w:fill="FBFBFB"/>
        </w:rPr>
        <w:t>Transactions and Proceedings of the American Philological Association</w:t>
      </w:r>
      <w:r w:rsidRPr="00A9707A">
        <w:rPr>
          <w:rFonts w:cstheme="minorHAnsi"/>
          <w:shd w:val="clear" w:color="auto" w:fill="FBFBFB"/>
        </w:rPr>
        <w:t>, 99 (1968), 241-248 (p. 248</w:t>
      </w:r>
      <w:proofErr w:type="gramStart"/>
      <w:r w:rsidRPr="00A9707A">
        <w:rPr>
          <w:rFonts w:cstheme="minorHAnsi"/>
          <w:shd w:val="clear" w:color="auto" w:fill="FBFBFB"/>
        </w:rPr>
        <w:t>).&lt;</w:t>
      </w:r>
      <w:proofErr w:type="gramEnd"/>
      <w:r w:rsidRPr="00A9707A">
        <w:rPr>
          <w:rFonts w:cstheme="minorHAnsi"/>
          <w:shd w:val="clear" w:color="auto" w:fill="FBFBFB"/>
        </w:rPr>
        <w:t>https://doi.org/10.2307/2935842&gt;</w:t>
      </w:r>
    </w:p>
  </w:footnote>
  <w:footnote w:id="31">
    <w:p w14:paraId="5DDB1340" w14:textId="77777777" w:rsidR="0075224B" w:rsidRPr="00273A9B" w:rsidRDefault="0075224B" w:rsidP="0075224B">
      <w:pPr>
        <w:pStyle w:val="FootnoteText"/>
        <w:rPr>
          <w:rFonts w:cstheme="minorHAnsi"/>
        </w:rPr>
      </w:pPr>
      <w:r w:rsidRPr="00273A9B">
        <w:rPr>
          <w:rStyle w:val="FootnoteReference"/>
          <w:rFonts w:cstheme="minorHAnsi"/>
        </w:rPr>
        <w:footnoteRef/>
      </w:r>
      <w:r w:rsidRPr="00273A9B">
        <w:rPr>
          <w:rFonts w:cstheme="minorHAnsi"/>
        </w:rPr>
        <w:t xml:space="preserve"> </w:t>
      </w:r>
      <w:proofErr w:type="spellStart"/>
      <w:r w:rsidRPr="00273A9B">
        <w:rPr>
          <w:rFonts w:cstheme="minorHAnsi"/>
          <w:color w:val="3B3D3F"/>
          <w:shd w:val="clear" w:color="auto" w:fill="FFFFFF"/>
        </w:rPr>
        <w:t>Jörg</w:t>
      </w:r>
      <w:proofErr w:type="spellEnd"/>
      <w:r w:rsidRPr="00273A9B">
        <w:rPr>
          <w:rFonts w:cstheme="minorHAnsi"/>
          <w:color w:val="3B3D3F"/>
          <w:shd w:val="clear" w:color="auto" w:fill="FFFFFF"/>
        </w:rPr>
        <w:t xml:space="preserve"> </w:t>
      </w:r>
      <w:proofErr w:type="spellStart"/>
      <w:r w:rsidRPr="00273A9B">
        <w:rPr>
          <w:rFonts w:cstheme="minorHAnsi"/>
          <w:color w:val="3B3D3F"/>
          <w:shd w:val="clear" w:color="auto" w:fill="FFFFFF"/>
        </w:rPr>
        <w:t>Rüpke</w:t>
      </w:r>
      <w:proofErr w:type="spellEnd"/>
      <w:r w:rsidRPr="00273A9B">
        <w:rPr>
          <w:rFonts w:cstheme="minorHAnsi"/>
          <w:color w:val="333333"/>
          <w:shd w:val="clear" w:color="auto" w:fill="FBFBFB"/>
        </w:rPr>
        <w:t>, </w:t>
      </w:r>
      <w:r w:rsidRPr="00273A9B">
        <w:rPr>
          <w:rFonts w:cstheme="minorHAnsi"/>
          <w:i/>
          <w:iCs/>
          <w:color w:val="333333"/>
          <w:shd w:val="clear" w:color="auto" w:fill="FBFBFB"/>
        </w:rPr>
        <w:t>Religion in Republican Rome: Rationalized and Ritual Change</w:t>
      </w:r>
      <w:r w:rsidRPr="00273A9B">
        <w:rPr>
          <w:rFonts w:cstheme="minorHAnsi"/>
          <w:color w:val="333333"/>
          <w:shd w:val="clear" w:color="auto" w:fill="FBFBFB"/>
        </w:rPr>
        <w:t>, (</w:t>
      </w:r>
      <w:r w:rsidRPr="00273A9B">
        <w:rPr>
          <w:rFonts w:cstheme="minorHAnsi"/>
          <w:color w:val="3B3D3F"/>
          <w:shd w:val="clear" w:color="auto" w:fill="FFFFFF"/>
        </w:rPr>
        <w:t>Philadelphia: University of Pennsylvania Press, 2012),</w:t>
      </w:r>
      <w:r w:rsidRPr="00273A9B">
        <w:rPr>
          <w:rFonts w:cstheme="minorHAnsi"/>
          <w:color w:val="333333"/>
          <w:shd w:val="clear" w:color="auto" w:fill="FBFBFB"/>
        </w:rPr>
        <w:t> p. 187. </w:t>
      </w:r>
    </w:p>
  </w:footnote>
  <w:footnote w:id="32">
    <w:p w14:paraId="387E6A4C" w14:textId="77777777" w:rsidR="0075224B" w:rsidRPr="00273A9B" w:rsidRDefault="0075224B" w:rsidP="0075224B">
      <w:pPr>
        <w:pStyle w:val="FootnoteText"/>
        <w:rPr>
          <w:rFonts w:cstheme="minorHAnsi"/>
        </w:rPr>
      </w:pPr>
      <w:r w:rsidRPr="00273A9B">
        <w:rPr>
          <w:rStyle w:val="FootnoteReference"/>
          <w:rFonts w:cstheme="minorHAnsi"/>
        </w:rPr>
        <w:footnoteRef/>
      </w:r>
      <w:r w:rsidRPr="00273A9B">
        <w:rPr>
          <w:rFonts w:cstheme="minorHAnsi"/>
        </w:rPr>
        <w:t xml:space="preserve"> </w:t>
      </w:r>
      <w:r w:rsidRPr="00273A9B">
        <w:rPr>
          <w:rFonts w:cstheme="minorHAnsi"/>
          <w:color w:val="333333"/>
          <w:shd w:val="clear" w:color="auto" w:fill="FBFBFB"/>
        </w:rPr>
        <w:t>William E. Dunstan, </w:t>
      </w:r>
      <w:r w:rsidRPr="00273A9B">
        <w:rPr>
          <w:rFonts w:cstheme="minorHAnsi"/>
          <w:i/>
          <w:iCs/>
          <w:color w:val="333333"/>
          <w:shd w:val="clear" w:color="auto" w:fill="FBFBFB"/>
        </w:rPr>
        <w:t>Ancient Rome</w:t>
      </w:r>
      <w:r w:rsidRPr="00273A9B">
        <w:rPr>
          <w:rFonts w:cstheme="minorHAnsi"/>
          <w:color w:val="333333"/>
          <w:shd w:val="clear" w:color="auto" w:fill="FBFBFB"/>
        </w:rPr>
        <w:t>, (Maryland: Rowman &amp; Littlefield Publishers, 2010), p. 218.</w:t>
      </w:r>
    </w:p>
  </w:footnote>
  <w:footnote w:id="33">
    <w:p w14:paraId="64C0BC99" w14:textId="77777777" w:rsidR="0075224B" w:rsidRPr="00273A9B" w:rsidRDefault="0075224B" w:rsidP="0075224B">
      <w:pPr>
        <w:spacing w:after="0" w:line="240" w:lineRule="auto"/>
        <w:rPr>
          <w:rFonts w:eastAsia="Times New Roman" w:cstheme="minorHAnsi"/>
          <w:sz w:val="20"/>
          <w:szCs w:val="20"/>
          <w:lang w:eastAsia="en-GB"/>
        </w:rPr>
      </w:pPr>
      <w:r w:rsidRPr="00273A9B">
        <w:rPr>
          <w:rStyle w:val="FootnoteReference"/>
          <w:rFonts w:cstheme="minorHAnsi"/>
          <w:sz w:val="20"/>
          <w:szCs w:val="20"/>
        </w:rPr>
        <w:footnoteRef/>
      </w:r>
      <w:r w:rsidRPr="00273A9B">
        <w:rPr>
          <w:rFonts w:cstheme="minorHAnsi"/>
          <w:sz w:val="20"/>
          <w:szCs w:val="20"/>
        </w:rPr>
        <w:t xml:space="preserve"> </w:t>
      </w:r>
      <w:r w:rsidRPr="00273A9B">
        <w:rPr>
          <w:rFonts w:eastAsia="Times New Roman" w:cstheme="minorHAnsi"/>
          <w:sz w:val="20"/>
          <w:szCs w:val="20"/>
          <w:lang w:eastAsia="en-GB"/>
        </w:rPr>
        <w:t>Darren E. Dahl, 'Augustine contra Cicero: evaluation, affirmation, and the freedom of the will', </w:t>
      </w:r>
      <w:r w:rsidRPr="00273A9B">
        <w:rPr>
          <w:rFonts w:eastAsia="Times New Roman" w:cstheme="minorHAnsi"/>
          <w:i/>
          <w:iCs/>
          <w:sz w:val="20"/>
          <w:szCs w:val="20"/>
          <w:lang w:eastAsia="en-GB"/>
        </w:rPr>
        <w:t>Consensus</w:t>
      </w:r>
      <w:r w:rsidRPr="00273A9B">
        <w:rPr>
          <w:rFonts w:eastAsia="Times New Roman" w:cstheme="minorHAnsi"/>
          <w:sz w:val="20"/>
          <w:szCs w:val="20"/>
          <w:lang w:eastAsia="en-GB"/>
        </w:rPr>
        <w:t>, 32.1 (2007), 43-63 (p. 58).</w:t>
      </w:r>
    </w:p>
  </w:footnote>
  <w:footnote w:id="34">
    <w:p w14:paraId="604B5929" w14:textId="77777777" w:rsidR="0075224B" w:rsidRPr="00273A9B" w:rsidRDefault="0075224B" w:rsidP="0075224B">
      <w:pPr>
        <w:pStyle w:val="FootnoteText"/>
        <w:rPr>
          <w:rFonts w:cstheme="minorHAnsi"/>
        </w:rPr>
      </w:pPr>
      <w:r w:rsidRPr="00273A9B">
        <w:rPr>
          <w:rStyle w:val="FootnoteReference"/>
          <w:rFonts w:cstheme="minorHAnsi"/>
        </w:rPr>
        <w:footnoteRef/>
      </w:r>
      <w:r w:rsidRPr="00273A9B">
        <w:rPr>
          <w:rFonts w:cstheme="minorHAnsi"/>
        </w:rPr>
        <w:t xml:space="preserve"> </w:t>
      </w:r>
      <w:r w:rsidRPr="00273A9B">
        <w:rPr>
          <w:rFonts w:cstheme="minorHAnsi"/>
          <w:color w:val="333333"/>
          <w:shd w:val="clear" w:color="auto" w:fill="FBFBFB"/>
        </w:rPr>
        <w:t>Damian Fernandez-</w:t>
      </w:r>
      <w:proofErr w:type="spellStart"/>
      <w:r w:rsidRPr="00273A9B">
        <w:rPr>
          <w:rFonts w:cstheme="minorHAnsi"/>
          <w:color w:val="333333"/>
          <w:shd w:val="clear" w:color="auto" w:fill="FBFBFB"/>
        </w:rPr>
        <w:t>Beanato</w:t>
      </w:r>
      <w:proofErr w:type="spellEnd"/>
      <w:r w:rsidRPr="00273A9B">
        <w:rPr>
          <w:rFonts w:cstheme="minorHAnsi"/>
          <w:color w:val="333333"/>
          <w:shd w:val="clear" w:color="auto" w:fill="FBFBFB"/>
        </w:rPr>
        <w:t>, 'Cicero's demarcation of science: A report of shared criteria', </w:t>
      </w:r>
      <w:r w:rsidRPr="00273A9B">
        <w:rPr>
          <w:rFonts w:cstheme="minorHAnsi"/>
          <w:i/>
          <w:iCs/>
          <w:color w:val="333333"/>
          <w:shd w:val="clear" w:color="auto" w:fill="FBFBFB"/>
        </w:rPr>
        <w:t>Studies in History and Philosophy of Science Part A</w:t>
      </w:r>
      <w:r w:rsidRPr="00273A9B">
        <w:rPr>
          <w:rFonts w:cstheme="minorHAnsi"/>
          <w:color w:val="333333"/>
          <w:shd w:val="clear" w:color="auto" w:fill="FBFBFB"/>
        </w:rPr>
        <w:t>, 83. (2020), 97-102 (p. 100)</w:t>
      </w:r>
      <w:hyperlink r:id="rId2" w:tgtFrame="_blank" w:tooltip="Persistent link using digital object identifier" w:history="1">
        <w:r w:rsidRPr="00273A9B">
          <w:rPr>
            <w:rStyle w:val="anchor-text"/>
            <w:rFonts w:cstheme="minorHAnsi"/>
            <w:color w:val="2E2E2E"/>
            <w:shd w:val="clear" w:color="auto" w:fill="FBFBFB"/>
          </w:rPr>
          <w:t>https://doi.org/10.1016/j.shpsa.2020.04.002</w:t>
        </w:r>
      </w:hyperlink>
      <w:r w:rsidRPr="00273A9B">
        <w:rPr>
          <w:rFonts w:cstheme="minorHAnsi"/>
          <w:color w:val="333333"/>
          <w:shd w:val="clear" w:color="auto" w:fill="FBFBFB"/>
        </w:rPr>
        <w:t>&gt;</w:t>
      </w:r>
    </w:p>
  </w:footnote>
  <w:footnote w:id="35">
    <w:p w14:paraId="59CB9CD1" w14:textId="482D89E6" w:rsidR="000F4029" w:rsidRDefault="000F4029">
      <w:pPr>
        <w:pStyle w:val="FootnoteText"/>
      </w:pPr>
      <w:r>
        <w:rPr>
          <w:rStyle w:val="FootnoteReference"/>
        </w:rPr>
        <w:footnoteRef/>
      </w:r>
      <w:r>
        <w:t xml:space="preserve"> </w:t>
      </w:r>
      <w:r w:rsidRPr="009958E8">
        <w:rPr>
          <w:rFonts w:cstheme="minorHAnsi"/>
        </w:rPr>
        <w:t xml:space="preserve">Cicero, On Divination (De Divinatione): W. A. Falconer (ed. and </w:t>
      </w:r>
      <w:proofErr w:type="spellStart"/>
      <w:r w:rsidRPr="009958E8">
        <w:rPr>
          <w:rFonts w:cstheme="minorHAnsi"/>
        </w:rPr>
        <w:t>trs</w:t>
      </w:r>
      <w:proofErr w:type="spellEnd"/>
      <w:r w:rsidRPr="009958E8">
        <w:rPr>
          <w:rFonts w:cstheme="minorHAnsi"/>
        </w:rPr>
        <w:t>.), Loeb Classical Library, Cambridge, MA: Harvard University Press, vol. XX, 1923</w:t>
      </w:r>
      <w:r>
        <w:rPr>
          <w:rFonts w:cstheme="minorHAnsi"/>
        </w:rPr>
        <w:t>, p. 539.</w:t>
      </w:r>
    </w:p>
  </w:footnote>
  <w:footnote w:id="36">
    <w:p w14:paraId="0573A1CA" w14:textId="72AA21B4" w:rsidR="0045691C" w:rsidRPr="00613907" w:rsidRDefault="0045691C" w:rsidP="0045691C">
      <w:pPr>
        <w:pStyle w:val="FootnoteText"/>
        <w:rPr>
          <w:rFonts w:cstheme="minorHAnsi"/>
        </w:rPr>
      </w:pPr>
      <w:r w:rsidRPr="00613907">
        <w:rPr>
          <w:rStyle w:val="FootnoteReference"/>
          <w:rFonts w:cstheme="minorHAnsi"/>
        </w:rPr>
        <w:footnoteRef/>
      </w:r>
      <w:r w:rsidRPr="00613907">
        <w:rPr>
          <w:rFonts w:cstheme="minorHAnsi"/>
        </w:rPr>
        <w:t xml:space="preserve"> </w:t>
      </w:r>
      <w:proofErr w:type="spellStart"/>
      <w:r w:rsidRPr="00613907">
        <w:rPr>
          <w:rFonts w:cstheme="minorHAnsi"/>
          <w:shd w:val="clear" w:color="auto" w:fill="FBFBFB"/>
        </w:rPr>
        <w:t>Daryn</w:t>
      </w:r>
      <w:proofErr w:type="spellEnd"/>
      <w:r w:rsidRPr="00613907">
        <w:rPr>
          <w:rFonts w:cstheme="minorHAnsi"/>
          <w:shd w:val="clear" w:color="auto" w:fill="FBFBFB"/>
        </w:rPr>
        <w:t xml:space="preserve"> </w:t>
      </w:r>
      <w:proofErr w:type="spellStart"/>
      <w:r w:rsidRPr="00613907">
        <w:rPr>
          <w:rFonts w:cstheme="minorHAnsi"/>
          <w:shd w:val="clear" w:color="auto" w:fill="FBFBFB"/>
        </w:rPr>
        <w:t>Lehoux</w:t>
      </w:r>
      <w:proofErr w:type="spellEnd"/>
      <w:r w:rsidRPr="00613907">
        <w:rPr>
          <w:rFonts w:cstheme="minorHAnsi"/>
          <w:shd w:val="clear" w:color="auto" w:fill="FBFBFB"/>
        </w:rPr>
        <w:t>, </w:t>
      </w:r>
      <w:r w:rsidRPr="00613907">
        <w:rPr>
          <w:rFonts w:cstheme="minorHAnsi"/>
          <w:i/>
          <w:iCs/>
          <w:shd w:val="clear" w:color="auto" w:fill="FBFBFB"/>
        </w:rPr>
        <w:t xml:space="preserve">What Did the Romans Know? An Inquiry </w:t>
      </w:r>
      <w:proofErr w:type="gramStart"/>
      <w:r w:rsidRPr="00613907">
        <w:rPr>
          <w:rFonts w:cstheme="minorHAnsi"/>
          <w:i/>
          <w:iCs/>
          <w:shd w:val="clear" w:color="auto" w:fill="FBFBFB"/>
        </w:rPr>
        <w:t>Into</w:t>
      </w:r>
      <w:proofErr w:type="gramEnd"/>
      <w:r w:rsidRPr="00613907">
        <w:rPr>
          <w:rFonts w:cstheme="minorHAnsi"/>
          <w:i/>
          <w:iCs/>
          <w:shd w:val="clear" w:color="auto" w:fill="FBFBFB"/>
        </w:rPr>
        <w:t xml:space="preserve"> Science and Worldmaking</w:t>
      </w:r>
      <w:r w:rsidRPr="00613907">
        <w:rPr>
          <w:rFonts w:cstheme="minorHAnsi"/>
          <w:shd w:val="clear" w:color="auto" w:fill="FBFBFB"/>
        </w:rPr>
        <w:t xml:space="preserve"> (Chicago and London: University of Chicago Press, 2012), p.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DC0CA" w14:textId="384D1208" w:rsidR="009C0404" w:rsidRDefault="00D10C58">
    <w:pPr>
      <w:pStyle w:val="Header"/>
    </w:pPr>
    <w:r>
      <w:t>3006 words</w:t>
    </w:r>
    <w:r w:rsidR="009C0404">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07"/>
    <w:rsid w:val="000F4029"/>
    <w:rsid w:val="00130107"/>
    <w:rsid w:val="00142354"/>
    <w:rsid w:val="00227EF6"/>
    <w:rsid w:val="002447CB"/>
    <w:rsid w:val="0035435D"/>
    <w:rsid w:val="003D18DF"/>
    <w:rsid w:val="0045691C"/>
    <w:rsid w:val="00483188"/>
    <w:rsid w:val="005176DA"/>
    <w:rsid w:val="00536614"/>
    <w:rsid w:val="00623339"/>
    <w:rsid w:val="00694CB2"/>
    <w:rsid w:val="00716A44"/>
    <w:rsid w:val="0075224B"/>
    <w:rsid w:val="00863CD6"/>
    <w:rsid w:val="008C1148"/>
    <w:rsid w:val="00940AA7"/>
    <w:rsid w:val="0097283E"/>
    <w:rsid w:val="009C0404"/>
    <w:rsid w:val="009F65E1"/>
    <w:rsid w:val="00A31640"/>
    <w:rsid w:val="00A72658"/>
    <w:rsid w:val="00BD440D"/>
    <w:rsid w:val="00C046CE"/>
    <w:rsid w:val="00CE2386"/>
    <w:rsid w:val="00CF2F5C"/>
    <w:rsid w:val="00D10C58"/>
    <w:rsid w:val="00D71642"/>
    <w:rsid w:val="00E82B30"/>
    <w:rsid w:val="00EA5456"/>
    <w:rsid w:val="00F934E1"/>
    <w:rsid w:val="00FA6765"/>
    <w:rsid w:val="00FB2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E1EE7"/>
  <w15:chartTrackingRefBased/>
  <w15:docId w15:val="{D6238093-5161-4017-AAB5-6F4B9F9A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01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0107"/>
    <w:rPr>
      <w:sz w:val="20"/>
      <w:szCs w:val="20"/>
    </w:rPr>
  </w:style>
  <w:style w:type="character" w:styleId="FootnoteReference">
    <w:name w:val="footnote reference"/>
    <w:basedOn w:val="DefaultParagraphFont"/>
    <w:uiPriority w:val="99"/>
    <w:semiHidden/>
    <w:unhideWhenUsed/>
    <w:rsid w:val="00130107"/>
    <w:rPr>
      <w:vertAlign w:val="superscript"/>
    </w:rPr>
  </w:style>
  <w:style w:type="character" w:styleId="Hyperlink">
    <w:name w:val="Hyperlink"/>
    <w:basedOn w:val="DefaultParagraphFont"/>
    <w:uiPriority w:val="99"/>
    <w:unhideWhenUsed/>
    <w:rsid w:val="00130107"/>
    <w:rPr>
      <w:color w:val="0000FF"/>
      <w:u w:val="single"/>
    </w:rPr>
  </w:style>
  <w:style w:type="character" w:styleId="Emphasis">
    <w:name w:val="Emphasis"/>
    <w:basedOn w:val="DefaultParagraphFont"/>
    <w:uiPriority w:val="20"/>
    <w:qFormat/>
    <w:rsid w:val="00130107"/>
    <w:rPr>
      <w:i/>
      <w:iCs/>
    </w:rPr>
  </w:style>
  <w:style w:type="character" w:styleId="HTMLCite">
    <w:name w:val="HTML Cite"/>
    <w:basedOn w:val="DefaultParagraphFont"/>
    <w:uiPriority w:val="99"/>
    <w:semiHidden/>
    <w:unhideWhenUsed/>
    <w:rsid w:val="00483188"/>
    <w:rPr>
      <w:i/>
      <w:iCs/>
    </w:rPr>
  </w:style>
  <w:style w:type="paragraph" w:styleId="NormalWeb">
    <w:name w:val="Normal (Web)"/>
    <w:basedOn w:val="Normal"/>
    <w:uiPriority w:val="99"/>
    <w:unhideWhenUsed/>
    <w:rsid w:val="00EA54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75224B"/>
  </w:style>
  <w:style w:type="paragraph" w:styleId="Header">
    <w:name w:val="header"/>
    <w:basedOn w:val="Normal"/>
    <w:link w:val="HeaderChar"/>
    <w:uiPriority w:val="99"/>
    <w:unhideWhenUsed/>
    <w:rsid w:val="009C0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404"/>
  </w:style>
  <w:style w:type="paragraph" w:styleId="Footer">
    <w:name w:val="footer"/>
    <w:basedOn w:val="Normal"/>
    <w:link w:val="FooterChar"/>
    <w:uiPriority w:val="99"/>
    <w:unhideWhenUsed/>
    <w:rsid w:val="009C0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795667">
      <w:bodyDiv w:val="1"/>
      <w:marLeft w:val="0"/>
      <w:marRight w:val="0"/>
      <w:marTop w:val="0"/>
      <w:marBottom w:val="0"/>
      <w:divBdr>
        <w:top w:val="none" w:sz="0" w:space="0" w:color="auto"/>
        <w:left w:val="none" w:sz="0" w:space="0" w:color="auto"/>
        <w:bottom w:val="none" w:sz="0" w:space="0" w:color="auto"/>
        <w:right w:val="none" w:sz="0" w:space="0" w:color="auto"/>
      </w:divBdr>
    </w:div>
    <w:div w:id="745804813">
      <w:bodyDiv w:val="1"/>
      <w:marLeft w:val="0"/>
      <w:marRight w:val="0"/>
      <w:marTop w:val="0"/>
      <w:marBottom w:val="0"/>
      <w:divBdr>
        <w:top w:val="none" w:sz="0" w:space="0" w:color="auto"/>
        <w:left w:val="none" w:sz="0" w:space="0" w:color="auto"/>
        <w:bottom w:val="none" w:sz="0" w:space="0" w:color="auto"/>
        <w:right w:val="none" w:sz="0" w:space="0" w:color="auto"/>
      </w:divBdr>
    </w:div>
    <w:div w:id="1921215223">
      <w:bodyDiv w:val="1"/>
      <w:marLeft w:val="0"/>
      <w:marRight w:val="0"/>
      <w:marTop w:val="0"/>
      <w:marBottom w:val="0"/>
      <w:divBdr>
        <w:top w:val="none" w:sz="0" w:space="0" w:color="auto"/>
        <w:left w:val="none" w:sz="0" w:space="0" w:color="auto"/>
        <w:bottom w:val="none" w:sz="0" w:space="0" w:color="auto"/>
        <w:right w:val="none" w:sz="0" w:space="0" w:color="auto"/>
      </w:divBdr>
    </w:div>
    <w:div w:id="19378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a-kvsa.org.za/legacy/2008/AC51-20-Mueller.pdf" TargetMode="External"/><Relationship Id="rId3" Type="http://schemas.openxmlformats.org/officeDocument/2006/relationships/settings" Target="settings.xml"/><Relationship Id="rId7" Type="http://schemas.openxmlformats.org/officeDocument/2006/relationships/hyperlink" Target="https://doi-org.ezproxy.uwtsd.ac.uk/10.1016/j.shpsa.2020.04.00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doi-org.ezproxy.uwtsd.ac.uk/10.1016/j.shpsa.2020.04.002" TargetMode="External"/><Relationship Id="rId1" Type="http://schemas.openxmlformats.org/officeDocument/2006/relationships/hyperlink" Target="https://casa-kvsa.org.za/legacy/2008/AC51-20-Muell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477B1-4DE7-4C48-B62D-D23460219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3111</TotalTime>
  <Pages>10</Pages>
  <Words>2931</Words>
  <Characters>16711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Sophie</cp:lastModifiedBy>
  <cp:revision>15</cp:revision>
  <cp:lastPrinted>2023-03-10T18:15:00Z</cp:lastPrinted>
  <dcterms:created xsi:type="dcterms:W3CDTF">2023-02-15T15:22:00Z</dcterms:created>
  <dcterms:modified xsi:type="dcterms:W3CDTF">2023-03-11T22:58:00Z</dcterms:modified>
</cp:coreProperties>
</file>