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9CB545" w14:textId="63E2DD4D" w:rsidR="00DB7371" w:rsidRPr="00931B3D" w:rsidRDefault="00DB7371" w:rsidP="00DB7371">
      <w:pPr>
        <w:spacing w:line="360" w:lineRule="auto"/>
        <w:rPr>
          <w:rFonts w:ascii="Arial" w:hAnsi="Arial" w:cs="Arial"/>
          <w:b/>
          <w:sz w:val="32"/>
        </w:rPr>
      </w:pPr>
      <w:r w:rsidRPr="00931B3D">
        <w:rPr>
          <w:rFonts w:ascii="Arial" w:hAnsi="Arial" w:cs="Arial"/>
          <w:b/>
          <w:sz w:val="32"/>
        </w:rPr>
        <w:t xml:space="preserve">                                        </w:t>
      </w:r>
      <w:r w:rsidRPr="00931B3D">
        <w:rPr>
          <w:rFonts w:ascii="Arial" w:hAnsi="Arial" w:cs="Arial"/>
          <w:noProof/>
        </w:rPr>
        <w:drawing>
          <wp:inline distT="0" distB="0" distL="0" distR="0" wp14:anchorId="646924B2" wp14:editId="30B1A691">
            <wp:extent cx="1912620" cy="624840"/>
            <wp:effectExtent l="0" t="0" r="0" b="3810"/>
            <wp:docPr id="556804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804098" name="Picture 1"/>
                    <pic:cNvPicPr>
                      <a:picLocks noChangeAspect="1"/>
                    </pic:cNvPicPr>
                  </pic:nvPicPr>
                  <pic:blipFill>
                    <a:blip r:embed="rId8"/>
                    <a:stretch>
                      <a:fillRect/>
                    </a:stretch>
                  </pic:blipFill>
                  <pic:spPr>
                    <a:xfrm>
                      <a:off x="0" y="0"/>
                      <a:ext cx="1912620" cy="624840"/>
                    </a:xfrm>
                    <a:prstGeom prst="rect">
                      <a:avLst/>
                    </a:prstGeom>
                  </pic:spPr>
                </pic:pic>
              </a:graphicData>
            </a:graphic>
          </wp:inline>
        </w:drawing>
      </w:r>
    </w:p>
    <w:p w14:paraId="04329E1F" w14:textId="77777777" w:rsidR="00A4713B" w:rsidRPr="00931B3D" w:rsidRDefault="00A4713B" w:rsidP="00233160">
      <w:pPr>
        <w:spacing w:line="360" w:lineRule="auto"/>
        <w:jc w:val="center"/>
        <w:rPr>
          <w:rFonts w:ascii="Arial" w:hAnsi="Arial" w:cs="Arial"/>
          <w:b/>
          <w:sz w:val="32"/>
        </w:rPr>
      </w:pPr>
    </w:p>
    <w:p w14:paraId="24E8C87B" w14:textId="77777777" w:rsidR="00A4713B" w:rsidRPr="00931B3D" w:rsidRDefault="00A4713B" w:rsidP="00233160">
      <w:pPr>
        <w:spacing w:line="360" w:lineRule="auto"/>
        <w:jc w:val="center"/>
        <w:rPr>
          <w:rFonts w:ascii="Arial" w:hAnsi="Arial" w:cs="Arial"/>
          <w:b/>
          <w:sz w:val="32"/>
        </w:rPr>
      </w:pPr>
    </w:p>
    <w:p w14:paraId="115FD986" w14:textId="77777777" w:rsidR="00A4713B" w:rsidRPr="00931B3D" w:rsidRDefault="00A4713B" w:rsidP="00233160">
      <w:pPr>
        <w:spacing w:line="360" w:lineRule="auto"/>
        <w:jc w:val="center"/>
        <w:rPr>
          <w:rFonts w:ascii="Arial" w:hAnsi="Arial" w:cs="Arial"/>
          <w:b/>
          <w:sz w:val="32"/>
        </w:rPr>
      </w:pPr>
    </w:p>
    <w:p w14:paraId="25289E0E" w14:textId="77777777" w:rsidR="00A4713B" w:rsidRPr="00931B3D" w:rsidRDefault="00A4713B" w:rsidP="00233160">
      <w:pPr>
        <w:spacing w:line="360" w:lineRule="auto"/>
        <w:jc w:val="center"/>
        <w:rPr>
          <w:rFonts w:ascii="Arial" w:hAnsi="Arial" w:cs="Arial"/>
          <w:b/>
          <w:sz w:val="32"/>
        </w:rPr>
      </w:pPr>
    </w:p>
    <w:p w14:paraId="224457A7" w14:textId="77777777" w:rsidR="00E20905" w:rsidRPr="00931B3D" w:rsidRDefault="00F74839" w:rsidP="00233160">
      <w:pPr>
        <w:spacing w:line="360" w:lineRule="auto"/>
        <w:jc w:val="center"/>
        <w:rPr>
          <w:rFonts w:ascii="Arial" w:hAnsi="Arial" w:cs="Arial"/>
        </w:rPr>
      </w:pPr>
      <w:r w:rsidRPr="00931B3D">
        <w:rPr>
          <w:rFonts w:ascii="Arial" w:hAnsi="Arial" w:cs="Arial"/>
          <w:b/>
          <w:sz w:val="32"/>
        </w:rPr>
        <w:t>Case Study Analysis Report</w:t>
      </w:r>
    </w:p>
    <w:p w14:paraId="32E36FF8" w14:textId="77777777" w:rsidR="00E20905" w:rsidRPr="00931B3D" w:rsidRDefault="00F74839" w:rsidP="00233160">
      <w:pPr>
        <w:spacing w:line="360" w:lineRule="auto"/>
        <w:jc w:val="center"/>
        <w:rPr>
          <w:rFonts w:ascii="Arial" w:hAnsi="Arial" w:cs="Arial"/>
          <w:i/>
        </w:rPr>
      </w:pPr>
      <w:r w:rsidRPr="00931B3D">
        <w:rPr>
          <w:rFonts w:ascii="Arial" w:hAnsi="Arial" w:cs="Arial"/>
          <w:i/>
        </w:rPr>
        <w:t>Infant Morphine Overdose: A Systems Thinking and Leadership Analysis of a Medication Safety Failure in the NHS</w:t>
      </w:r>
    </w:p>
    <w:p w14:paraId="6B895FCA" w14:textId="6B36A6F5" w:rsidR="00DB7371" w:rsidRPr="00931B3D" w:rsidRDefault="00DB7371" w:rsidP="00DB7371">
      <w:pPr>
        <w:spacing w:line="360" w:lineRule="auto"/>
        <w:jc w:val="center"/>
        <w:rPr>
          <w:rFonts w:ascii="Arial" w:hAnsi="Arial" w:cs="Arial"/>
          <w:lang w:val="en-IN"/>
        </w:rPr>
      </w:pPr>
      <w:r w:rsidRPr="00931B3D">
        <w:rPr>
          <w:rFonts w:ascii="Arial" w:hAnsi="Arial" w:cs="Arial"/>
          <w:lang w:val="en-IN"/>
        </w:rPr>
        <w:t>Student Name: GEETHA MARIMUTHU</w:t>
      </w:r>
    </w:p>
    <w:p w14:paraId="14684741" w14:textId="2585346E" w:rsidR="00DB7371" w:rsidRPr="00931B3D" w:rsidRDefault="00DB7371" w:rsidP="00233160">
      <w:pPr>
        <w:spacing w:line="360" w:lineRule="auto"/>
        <w:jc w:val="center"/>
        <w:rPr>
          <w:rFonts w:ascii="Arial" w:hAnsi="Arial" w:cs="Arial"/>
        </w:rPr>
      </w:pPr>
      <w:r w:rsidRPr="00931B3D">
        <w:rPr>
          <w:rFonts w:ascii="Arial" w:hAnsi="Arial" w:cs="Arial"/>
        </w:rPr>
        <w:t>Student ID- 2528691</w:t>
      </w:r>
    </w:p>
    <w:p w14:paraId="6720AE04" w14:textId="0D19BE8B" w:rsidR="00DB7371" w:rsidRPr="00931B3D" w:rsidRDefault="00DB7371" w:rsidP="00233160">
      <w:pPr>
        <w:spacing w:line="360" w:lineRule="auto"/>
        <w:jc w:val="center"/>
        <w:rPr>
          <w:rFonts w:ascii="Arial" w:hAnsi="Arial" w:cs="Arial"/>
        </w:rPr>
      </w:pPr>
      <w:r w:rsidRPr="00931B3D">
        <w:rPr>
          <w:rFonts w:ascii="Arial" w:hAnsi="Arial" w:cs="Arial"/>
        </w:rPr>
        <w:t>Professor Name-Dr Fahad Khan</w:t>
      </w:r>
    </w:p>
    <w:p w14:paraId="5A4B4FD0" w14:textId="77777777" w:rsidR="004211DF" w:rsidRPr="00931B3D" w:rsidRDefault="00F74839" w:rsidP="00233160">
      <w:pPr>
        <w:spacing w:line="360" w:lineRule="auto"/>
        <w:jc w:val="center"/>
        <w:rPr>
          <w:rFonts w:ascii="Arial" w:hAnsi="Arial" w:cs="Arial"/>
          <w:b/>
        </w:rPr>
      </w:pPr>
      <w:r w:rsidRPr="00931B3D">
        <w:rPr>
          <w:rFonts w:ascii="Arial" w:hAnsi="Arial" w:cs="Arial"/>
          <w:b/>
        </w:rPr>
        <w:t xml:space="preserve">Module: LCHS7002 – Health Care System </w:t>
      </w:r>
      <w:proofErr w:type="spellStart"/>
      <w:r w:rsidRPr="00931B3D">
        <w:rPr>
          <w:rFonts w:ascii="Arial" w:hAnsi="Arial" w:cs="Arial"/>
          <w:b/>
        </w:rPr>
        <w:t>Organisation</w:t>
      </w:r>
      <w:proofErr w:type="spellEnd"/>
      <w:r w:rsidRPr="00931B3D">
        <w:rPr>
          <w:rFonts w:ascii="Arial" w:hAnsi="Arial" w:cs="Arial"/>
          <w:b/>
        </w:rPr>
        <w:t xml:space="preserve"> and Leadership</w:t>
      </w:r>
    </w:p>
    <w:p w14:paraId="1641CCC9" w14:textId="77777777" w:rsidR="00233160" w:rsidRPr="00931B3D" w:rsidRDefault="00F74839" w:rsidP="00233160">
      <w:pPr>
        <w:spacing w:line="360" w:lineRule="auto"/>
        <w:jc w:val="center"/>
        <w:rPr>
          <w:rFonts w:ascii="Arial" w:hAnsi="Arial" w:cs="Arial"/>
        </w:rPr>
      </w:pPr>
      <w:proofErr w:type="spellStart"/>
      <w:r w:rsidRPr="00931B3D">
        <w:rPr>
          <w:rFonts w:ascii="Arial" w:hAnsi="Arial" w:cs="Arial"/>
        </w:rPr>
        <w:t>Programme</w:t>
      </w:r>
      <w:proofErr w:type="spellEnd"/>
      <w:r w:rsidRPr="00931B3D">
        <w:rPr>
          <w:rFonts w:ascii="Arial" w:hAnsi="Arial" w:cs="Arial"/>
        </w:rPr>
        <w:t>: MSc Public Health and Social Care in Practice</w:t>
      </w:r>
      <w:r w:rsidRPr="00931B3D">
        <w:rPr>
          <w:rFonts w:ascii="Arial" w:hAnsi="Arial" w:cs="Arial"/>
        </w:rPr>
        <w:br/>
        <w:t>Word Count: 5,000 words</w:t>
      </w:r>
    </w:p>
    <w:p w14:paraId="7559F5E9" w14:textId="77777777" w:rsidR="00233160" w:rsidRPr="00931B3D" w:rsidRDefault="00233160" w:rsidP="00233160">
      <w:pPr>
        <w:spacing w:line="360" w:lineRule="auto"/>
        <w:jc w:val="left"/>
        <w:rPr>
          <w:rFonts w:ascii="Arial" w:hAnsi="Arial" w:cs="Arial"/>
        </w:rPr>
      </w:pPr>
      <w:r w:rsidRPr="00931B3D">
        <w:rPr>
          <w:rFonts w:ascii="Arial" w:hAnsi="Arial" w:cs="Arial"/>
        </w:rPr>
        <w:br w:type="page"/>
      </w:r>
    </w:p>
    <w:p w14:paraId="72A0C0D3" w14:textId="4DC97420" w:rsidR="005E71D1" w:rsidRPr="00931B3D" w:rsidRDefault="005E71D1" w:rsidP="005E71D1">
      <w:pPr>
        <w:jc w:val="center"/>
        <w:rPr>
          <w:rFonts w:ascii="Arial" w:hAnsi="Arial" w:cs="Arial"/>
          <w:b/>
          <w:bCs/>
          <w:szCs w:val="24"/>
        </w:rPr>
      </w:pPr>
      <w:r w:rsidRPr="00931B3D">
        <w:rPr>
          <w:rFonts w:ascii="Arial" w:hAnsi="Arial" w:cs="Arial"/>
          <w:b/>
          <w:bCs/>
          <w:szCs w:val="24"/>
        </w:rPr>
        <w:t>Executive Summary</w:t>
      </w:r>
    </w:p>
    <w:p w14:paraId="692454A1" w14:textId="77777777" w:rsidR="005E71D1" w:rsidRPr="00931B3D" w:rsidRDefault="005E71D1" w:rsidP="005E71D1">
      <w:pPr>
        <w:spacing w:line="360" w:lineRule="auto"/>
        <w:rPr>
          <w:rFonts w:ascii="Arial" w:hAnsi="Arial" w:cs="Arial"/>
        </w:rPr>
      </w:pPr>
      <w:r w:rsidRPr="00931B3D">
        <w:rPr>
          <w:rFonts w:ascii="Arial" w:hAnsi="Arial" w:cs="Arial"/>
        </w:rPr>
        <w:t xml:space="preserve">This report critically examines a medication safety incident whereby a four-week-old child in </w:t>
      </w:r>
      <w:proofErr w:type="gramStart"/>
      <w:r w:rsidRPr="00931B3D">
        <w:rPr>
          <w:rFonts w:ascii="Arial" w:hAnsi="Arial" w:cs="Arial"/>
        </w:rPr>
        <w:t>North East</w:t>
      </w:r>
      <w:proofErr w:type="gramEnd"/>
      <w:r w:rsidRPr="00931B3D">
        <w:rPr>
          <w:rFonts w:ascii="Arial" w:hAnsi="Arial" w:cs="Arial"/>
        </w:rPr>
        <w:t xml:space="preserve"> and Yorkshire region had about twenty times the recommended dose of morphine sulphate oral solution. The error occurred since the parents were provided with the wrong concentration of 10 mg/5 ml instead of the required concentration of 100 micrograms/ml. It is a RED drug which is supposed to be used only in secondary care. The child survived with the help of naloxone injection. This was the fifth incident related to incorrect concentrations in five years. One previous similar case led to a baby's death.</w:t>
      </w:r>
    </w:p>
    <w:p w14:paraId="31CF91CF" w14:textId="77777777" w:rsidR="005E71D1" w:rsidRPr="00931B3D" w:rsidRDefault="005E71D1" w:rsidP="005E71D1">
      <w:pPr>
        <w:spacing w:line="360" w:lineRule="auto"/>
        <w:rPr>
          <w:rFonts w:ascii="Arial" w:hAnsi="Arial" w:cs="Arial"/>
        </w:rPr>
      </w:pPr>
      <w:r w:rsidRPr="00931B3D">
        <w:rPr>
          <w:rFonts w:ascii="Arial" w:hAnsi="Arial" w:cs="Arial"/>
        </w:rPr>
        <w:t>With the use of system theory and Reason's Swiss Cheese Model, this analysis shows that the overdose was the result of interacting latent errors at the secondary-primary care interface and not an isolated human error. Some of the factors contributing to the error include the lack of complete e-prescribing, failure to identify risks associated with RED-drug in community pharmacies, lack of closed loop verification, communication gaps, varying degrees of digital readiness and workforce issues.</w:t>
      </w:r>
    </w:p>
    <w:p w14:paraId="03198C91" w14:textId="77777777" w:rsidR="005E71D1" w:rsidRPr="00931B3D" w:rsidRDefault="005E71D1" w:rsidP="005E71D1">
      <w:pPr>
        <w:spacing w:line="360" w:lineRule="auto"/>
        <w:rPr>
          <w:rFonts w:ascii="Arial" w:hAnsi="Arial" w:cs="Arial"/>
        </w:rPr>
      </w:pPr>
      <w:r w:rsidRPr="00931B3D">
        <w:rPr>
          <w:rFonts w:ascii="Arial" w:hAnsi="Arial" w:cs="Arial"/>
        </w:rPr>
        <w:t>The examination of the governance framework explains why a centrally prescribed RED-drug policy did not have sufficient safeguards while being implemented by a decentralized community dispensing process, leading to the obvious problem of accountability. Leadership review highlights that there is dominance of transactional approaches, poor development of distributed leadership, weak organizational learning from prior similar incidents between 2018-2022, and insufficient just culture which could have led to challenges of unusual prescriptions.</w:t>
      </w:r>
    </w:p>
    <w:p w14:paraId="4C223DEC" w14:textId="06324C67" w:rsidR="005E71D1" w:rsidRPr="00931B3D" w:rsidRDefault="005E71D1" w:rsidP="005E71D1">
      <w:pPr>
        <w:spacing w:line="360" w:lineRule="auto"/>
        <w:rPr>
          <w:rFonts w:ascii="Arial" w:hAnsi="Arial" w:cs="Arial"/>
        </w:rPr>
      </w:pPr>
      <w:r w:rsidRPr="00931B3D">
        <w:rPr>
          <w:rFonts w:ascii="Arial" w:hAnsi="Arial" w:cs="Arial"/>
        </w:rPr>
        <w:t xml:space="preserve">Evidence-based recommendations cover five related aspects: compulsory standard concentrations of high-risk medicines for neonates; new governance of RED drugs at the interface of hospitals and community services; leadership training focusing on transformational </w:t>
      </w:r>
      <w:proofErr w:type="spellStart"/>
      <w:r w:rsidRPr="00931B3D">
        <w:rPr>
          <w:rFonts w:ascii="Arial" w:hAnsi="Arial" w:cs="Arial"/>
        </w:rPr>
        <w:t>behaviour</w:t>
      </w:r>
      <w:proofErr w:type="spellEnd"/>
      <w:r w:rsidRPr="00931B3D">
        <w:rPr>
          <w:rFonts w:ascii="Arial" w:hAnsi="Arial" w:cs="Arial"/>
        </w:rPr>
        <w:t xml:space="preserve"> and just culture; improved digital interoperability between secondary and primary care; and organizational learning through audit, sharing and stakeholder participation.</w:t>
      </w:r>
      <w:r w:rsidRPr="00931B3D">
        <w:rPr>
          <w:rFonts w:ascii="Arial" w:hAnsi="Arial" w:cs="Arial"/>
        </w:rPr>
        <w:br w:type="page"/>
      </w:r>
    </w:p>
    <w:sdt>
      <w:sdtPr>
        <w:rPr>
          <w:rFonts w:ascii="Arial" w:hAnsi="Arial" w:cs="Arial"/>
          <w:b/>
          <w:bCs/>
        </w:rPr>
        <w:id w:val="-1640414621"/>
        <w:docPartObj>
          <w:docPartGallery w:val="Table of Contents"/>
          <w:docPartUnique/>
        </w:docPartObj>
      </w:sdtPr>
      <w:sdtEndPr>
        <w:rPr>
          <w:b w:val="0"/>
          <w:bCs w:val="0"/>
          <w:noProof/>
        </w:rPr>
      </w:sdtEndPr>
      <w:sdtContent>
        <w:p w14:paraId="173BE302" w14:textId="580B7F5F" w:rsidR="00233160" w:rsidRPr="00931B3D" w:rsidRDefault="00233160" w:rsidP="00332608">
          <w:pPr>
            <w:spacing w:line="360" w:lineRule="auto"/>
            <w:jc w:val="center"/>
            <w:rPr>
              <w:rFonts w:ascii="Arial" w:hAnsi="Arial" w:cs="Arial"/>
              <w:b/>
              <w:bCs/>
            </w:rPr>
          </w:pPr>
          <w:r w:rsidRPr="00931B3D">
            <w:rPr>
              <w:rFonts w:ascii="Arial" w:hAnsi="Arial" w:cs="Arial"/>
              <w:b/>
              <w:bCs/>
            </w:rPr>
            <w:t>Table of Contents</w:t>
          </w:r>
        </w:p>
        <w:p w14:paraId="10A0B63C" w14:textId="6F9EDC5C" w:rsidR="00703967" w:rsidRPr="00931B3D" w:rsidRDefault="00233160">
          <w:pPr>
            <w:pStyle w:val="TOC1"/>
            <w:tabs>
              <w:tab w:val="right" w:leader="dot" w:pos="9350"/>
            </w:tabs>
            <w:rPr>
              <w:rFonts w:ascii="Arial" w:hAnsi="Arial" w:cs="Arial"/>
              <w:noProof/>
              <w:kern w:val="2"/>
              <w:szCs w:val="30"/>
              <w:lang w:val="en-IN" w:eastAsia="en-IN" w:bidi="bn-IN"/>
              <w14:ligatures w14:val="standardContextual"/>
            </w:rPr>
          </w:pPr>
          <w:r w:rsidRPr="00931B3D">
            <w:rPr>
              <w:rFonts w:ascii="Arial" w:hAnsi="Arial" w:cs="Arial"/>
            </w:rPr>
            <w:fldChar w:fldCharType="begin"/>
          </w:r>
          <w:r w:rsidRPr="00931B3D">
            <w:rPr>
              <w:rFonts w:ascii="Arial" w:hAnsi="Arial" w:cs="Arial"/>
            </w:rPr>
            <w:instrText xml:space="preserve"> TOC \o "1-3" \h \z \u </w:instrText>
          </w:r>
          <w:r w:rsidRPr="00931B3D">
            <w:rPr>
              <w:rFonts w:ascii="Arial" w:hAnsi="Arial" w:cs="Arial"/>
            </w:rPr>
            <w:fldChar w:fldCharType="separate"/>
          </w:r>
          <w:hyperlink w:anchor="_Toc236040688" w:history="1">
            <w:r w:rsidR="00703967" w:rsidRPr="00931B3D">
              <w:rPr>
                <w:rStyle w:val="Hyperlink"/>
                <w:rFonts w:ascii="Arial" w:hAnsi="Arial" w:cs="Arial"/>
                <w:noProof/>
                <w:color w:val="auto"/>
              </w:rPr>
              <w:t>Introduction</w:t>
            </w:r>
            <w:r w:rsidR="00703967" w:rsidRPr="00931B3D">
              <w:rPr>
                <w:rFonts w:ascii="Arial" w:hAnsi="Arial" w:cs="Arial"/>
                <w:noProof/>
                <w:webHidden/>
              </w:rPr>
              <w:tab/>
            </w:r>
            <w:r w:rsidR="00703967" w:rsidRPr="00931B3D">
              <w:rPr>
                <w:rFonts w:ascii="Arial" w:hAnsi="Arial" w:cs="Arial"/>
                <w:noProof/>
                <w:webHidden/>
              </w:rPr>
              <w:fldChar w:fldCharType="begin"/>
            </w:r>
            <w:r w:rsidR="00703967" w:rsidRPr="00931B3D">
              <w:rPr>
                <w:rFonts w:ascii="Arial" w:hAnsi="Arial" w:cs="Arial"/>
                <w:noProof/>
                <w:webHidden/>
              </w:rPr>
              <w:instrText xml:space="preserve"> PAGEREF _Toc236040688 \h </w:instrText>
            </w:r>
            <w:r w:rsidR="00703967" w:rsidRPr="00931B3D">
              <w:rPr>
                <w:rFonts w:ascii="Arial" w:hAnsi="Arial" w:cs="Arial"/>
                <w:noProof/>
                <w:webHidden/>
              </w:rPr>
            </w:r>
            <w:r w:rsidR="00703967" w:rsidRPr="00931B3D">
              <w:rPr>
                <w:rFonts w:ascii="Arial" w:hAnsi="Arial" w:cs="Arial"/>
                <w:noProof/>
                <w:webHidden/>
              </w:rPr>
              <w:fldChar w:fldCharType="separate"/>
            </w:r>
            <w:r w:rsidR="00703967" w:rsidRPr="00931B3D">
              <w:rPr>
                <w:rFonts w:ascii="Arial" w:hAnsi="Arial" w:cs="Arial"/>
                <w:noProof/>
                <w:webHidden/>
              </w:rPr>
              <w:t>4</w:t>
            </w:r>
            <w:r w:rsidR="00703967" w:rsidRPr="00931B3D">
              <w:rPr>
                <w:rFonts w:ascii="Arial" w:hAnsi="Arial" w:cs="Arial"/>
                <w:noProof/>
                <w:webHidden/>
              </w:rPr>
              <w:fldChar w:fldCharType="end"/>
            </w:r>
          </w:hyperlink>
        </w:p>
        <w:p w14:paraId="007BD665" w14:textId="79C07C34" w:rsidR="00703967" w:rsidRPr="00931B3D" w:rsidRDefault="00703967">
          <w:pPr>
            <w:pStyle w:val="TOC1"/>
            <w:tabs>
              <w:tab w:val="right" w:leader="dot" w:pos="9350"/>
            </w:tabs>
            <w:rPr>
              <w:rFonts w:ascii="Arial" w:hAnsi="Arial" w:cs="Arial"/>
              <w:noProof/>
              <w:kern w:val="2"/>
              <w:szCs w:val="30"/>
              <w:lang w:val="en-IN" w:eastAsia="en-IN" w:bidi="bn-IN"/>
              <w14:ligatures w14:val="standardContextual"/>
            </w:rPr>
          </w:pPr>
          <w:hyperlink w:anchor="_Toc236040689" w:history="1">
            <w:r w:rsidRPr="00931B3D">
              <w:rPr>
                <w:rStyle w:val="Hyperlink"/>
                <w:rFonts w:ascii="Arial" w:hAnsi="Arial" w:cs="Arial"/>
                <w:noProof/>
                <w:color w:val="auto"/>
              </w:rPr>
              <w:t>Critical Analysis of Systems Failures and Leadership Approaches</w:t>
            </w:r>
            <w:r w:rsidRPr="00931B3D">
              <w:rPr>
                <w:rFonts w:ascii="Arial" w:hAnsi="Arial" w:cs="Arial"/>
                <w:noProof/>
                <w:webHidden/>
              </w:rPr>
              <w:tab/>
            </w:r>
            <w:r w:rsidRPr="00931B3D">
              <w:rPr>
                <w:rFonts w:ascii="Arial" w:hAnsi="Arial" w:cs="Arial"/>
                <w:noProof/>
                <w:webHidden/>
              </w:rPr>
              <w:fldChar w:fldCharType="begin"/>
            </w:r>
            <w:r w:rsidRPr="00931B3D">
              <w:rPr>
                <w:rFonts w:ascii="Arial" w:hAnsi="Arial" w:cs="Arial"/>
                <w:noProof/>
                <w:webHidden/>
              </w:rPr>
              <w:instrText xml:space="preserve"> PAGEREF _Toc236040689 \h </w:instrText>
            </w:r>
            <w:r w:rsidRPr="00931B3D">
              <w:rPr>
                <w:rFonts w:ascii="Arial" w:hAnsi="Arial" w:cs="Arial"/>
                <w:noProof/>
                <w:webHidden/>
              </w:rPr>
            </w:r>
            <w:r w:rsidRPr="00931B3D">
              <w:rPr>
                <w:rFonts w:ascii="Arial" w:hAnsi="Arial" w:cs="Arial"/>
                <w:noProof/>
                <w:webHidden/>
              </w:rPr>
              <w:fldChar w:fldCharType="separate"/>
            </w:r>
            <w:r w:rsidRPr="00931B3D">
              <w:rPr>
                <w:rFonts w:ascii="Arial" w:hAnsi="Arial" w:cs="Arial"/>
                <w:noProof/>
                <w:webHidden/>
              </w:rPr>
              <w:t>5</w:t>
            </w:r>
            <w:r w:rsidRPr="00931B3D">
              <w:rPr>
                <w:rFonts w:ascii="Arial" w:hAnsi="Arial" w:cs="Arial"/>
                <w:noProof/>
                <w:webHidden/>
              </w:rPr>
              <w:fldChar w:fldCharType="end"/>
            </w:r>
          </w:hyperlink>
        </w:p>
        <w:p w14:paraId="29DC95D1" w14:textId="3C798767" w:rsidR="00703967" w:rsidRPr="00931B3D" w:rsidRDefault="00703967">
          <w:pPr>
            <w:pStyle w:val="TOC2"/>
            <w:tabs>
              <w:tab w:val="right" w:leader="dot" w:pos="9350"/>
            </w:tabs>
            <w:rPr>
              <w:rFonts w:ascii="Arial" w:hAnsi="Arial" w:cs="Arial"/>
              <w:noProof/>
              <w:kern w:val="2"/>
              <w:szCs w:val="30"/>
              <w:lang w:val="en-IN" w:eastAsia="en-IN" w:bidi="bn-IN"/>
              <w14:ligatures w14:val="standardContextual"/>
            </w:rPr>
          </w:pPr>
          <w:hyperlink w:anchor="_Toc236040690" w:history="1">
            <w:r w:rsidRPr="00931B3D">
              <w:rPr>
                <w:rStyle w:val="Hyperlink"/>
                <w:rFonts w:ascii="Arial" w:hAnsi="Arial" w:cs="Arial"/>
                <w:noProof/>
                <w:color w:val="auto"/>
              </w:rPr>
              <w:t>a. Identifying the Problem and Setting the System Context – Applying Systems Thinking and the Rich Picture</w:t>
            </w:r>
            <w:r w:rsidRPr="00931B3D">
              <w:rPr>
                <w:rFonts w:ascii="Arial" w:hAnsi="Arial" w:cs="Arial"/>
                <w:noProof/>
                <w:webHidden/>
              </w:rPr>
              <w:tab/>
            </w:r>
            <w:r w:rsidRPr="00931B3D">
              <w:rPr>
                <w:rFonts w:ascii="Arial" w:hAnsi="Arial" w:cs="Arial"/>
                <w:noProof/>
                <w:webHidden/>
              </w:rPr>
              <w:fldChar w:fldCharType="begin"/>
            </w:r>
            <w:r w:rsidRPr="00931B3D">
              <w:rPr>
                <w:rFonts w:ascii="Arial" w:hAnsi="Arial" w:cs="Arial"/>
                <w:noProof/>
                <w:webHidden/>
              </w:rPr>
              <w:instrText xml:space="preserve"> PAGEREF _Toc236040690 \h </w:instrText>
            </w:r>
            <w:r w:rsidRPr="00931B3D">
              <w:rPr>
                <w:rFonts w:ascii="Arial" w:hAnsi="Arial" w:cs="Arial"/>
                <w:noProof/>
                <w:webHidden/>
              </w:rPr>
            </w:r>
            <w:r w:rsidRPr="00931B3D">
              <w:rPr>
                <w:rFonts w:ascii="Arial" w:hAnsi="Arial" w:cs="Arial"/>
                <w:noProof/>
                <w:webHidden/>
              </w:rPr>
              <w:fldChar w:fldCharType="separate"/>
            </w:r>
            <w:r w:rsidRPr="00931B3D">
              <w:rPr>
                <w:rFonts w:ascii="Arial" w:hAnsi="Arial" w:cs="Arial"/>
                <w:noProof/>
                <w:webHidden/>
              </w:rPr>
              <w:t>5</w:t>
            </w:r>
            <w:r w:rsidRPr="00931B3D">
              <w:rPr>
                <w:rFonts w:ascii="Arial" w:hAnsi="Arial" w:cs="Arial"/>
                <w:noProof/>
                <w:webHidden/>
              </w:rPr>
              <w:fldChar w:fldCharType="end"/>
            </w:r>
          </w:hyperlink>
        </w:p>
        <w:p w14:paraId="0E6C4474" w14:textId="15AAC9BF" w:rsidR="00703967" w:rsidRPr="00931B3D" w:rsidRDefault="00703967">
          <w:pPr>
            <w:pStyle w:val="TOC2"/>
            <w:tabs>
              <w:tab w:val="right" w:leader="dot" w:pos="9350"/>
            </w:tabs>
            <w:rPr>
              <w:rFonts w:ascii="Arial" w:hAnsi="Arial" w:cs="Arial"/>
              <w:noProof/>
              <w:kern w:val="2"/>
              <w:szCs w:val="30"/>
              <w:lang w:val="en-IN" w:eastAsia="en-IN" w:bidi="bn-IN"/>
              <w14:ligatures w14:val="standardContextual"/>
            </w:rPr>
          </w:pPr>
          <w:hyperlink w:anchor="_Toc236040691" w:history="1">
            <w:r w:rsidRPr="00931B3D">
              <w:rPr>
                <w:rStyle w:val="Hyperlink"/>
                <w:rFonts w:ascii="Arial" w:hAnsi="Arial" w:cs="Arial"/>
                <w:noProof/>
                <w:color w:val="auto"/>
              </w:rPr>
              <w:t>b. Centralisation or Decentralisation within the Case Study</w:t>
            </w:r>
            <w:r w:rsidRPr="00931B3D">
              <w:rPr>
                <w:rFonts w:ascii="Arial" w:hAnsi="Arial" w:cs="Arial"/>
                <w:noProof/>
                <w:webHidden/>
              </w:rPr>
              <w:tab/>
            </w:r>
            <w:r w:rsidRPr="00931B3D">
              <w:rPr>
                <w:rFonts w:ascii="Arial" w:hAnsi="Arial" w:cs="Arial"/>
                <w:noProof/>
                <w:webHidden/>
              </w:rPr>
              <w:fldChar w:fldCharType="begin"/>
            </w:r>
            <w:r w:rsidRPr="00931B3D">
              <w:rPr>
                <w:rFonts w:ascii="Arial" w:hAnsi="Arial" w:cs="Arial"/>
                <w:noProof/>
                <w:webHidden/>
              </w:rPr>
              <w:instrText xml:space="preserve"> PAGEREF _Toc236040691 \h </w:instrText>
            </w:r>
            <w:r w:rsidRPr="00931B3D">
              <w:rPr>
                <w:rFonts w:ascii="Arial" w:hAnsi="Arial" w:cs="Arial"/>
                <w:noProof/>
                <w:webHidden/>
              </w:rPr>
            </w:r>
            <w:r w:rsidRPr="00931B3D">
              <w:rPr>
                <w:rFonts w:ascii="Arial" w:hAnsi="Arial" w:cs="Arial"/>
                <w:noProof/>
                <w:webHidden/>
              </w:rPr>
              <w:fldChar w:fldCharType="separate"/>
            </w:r>
            <w:r w:rsidRPr="00931B3D">
              <w:rPr>
                <w:rFonts w:ascii="Arial" w:hAnsi="Arial" w:cs="Arial"/>
                <w:noProof/>
                <w:webHidden/>
              </w:rPr>
              <w:t>6</w:t>
            </w:r>
            <w:r w:rsidRPr="00931B3D">
              <w:rPr>
                <w:rFonts w:ascii="Arial" w:hAnsi="Arial" w:cs="Arial"/>
                <w:noProof/>
                <w:webHidden/>
              </w:rPr>
              <w:fldChar w:fldCharType="end"/>
            </w:r>
          </w:hyperlink>
        </w:p>
        <w:p w14:paraId="6A8AC6BB" w14:textId="2A8EF9D5" w:rsidR="00703967" w:rsidRPr="00931B3D" w:rsidRDefault="00703967">
          <w:pPr>
            <w:pStyle w:val="TOC2"/>
            <w:tabs>
              <w:tab w:val="right" w:leader="dot" w:pos="9350"/>
            </w:tabs>
            <w:rPr>
              <w:rFonts w:ascii="Arial" w:hAnsi="Arial" w:cs="Arial"/>
              <w:noProof/>
              <w:kern w:val="2"/>
              <w:szCs w:val="30"/>
              <w:lang w:val="en-IN" w:eastAsia="en-IN" w:bidi="bn-IN"/>
              <w14:ligatures w14:val="standardContextual"/>
            </w:rPr>
          </w:pPr>
          <w:hyperlink w:anchor="_Toc236040692" w:history="1">
            <w:r w:rsidRPr="00931B3D">
              <w:rPr>
                <w:rStyle w:val="Hyperlink"/>
                <w:rFonts w:ascii="Arial" w:hAnsi="Arial" w:cs="Arial"/>
                <w:noProof/>
                <w:color w:val="auto"/>
              </w:rPr>
              <w:t>c. Leadership Theories and Application to the Case Study</w:t>
            </w:r>
            <w:r w:rsidRPr="00931B3D">
              <w:rPr>
                <w:rFonts w:ascii="Arial" w:hAnsi="Arial" w:cs="Arial"/>
                <w:noProof/>
                <w:webHidden/>
              </w:rPr>
              <w:tab/>
            </w:r>
            <w:r w:rsidRPr="00931B3D">
              <w:rPr>
                <w:rFonts w:ascii="Arial" w:hAnsi="Arial" w:cs="Arial"/>
                <w:noProof/>
                <w:webHidden/>
              </w:rPr>
              <w:fldChar w:fldCharType="begin"/>
            </w:r>
            <w:r w:rsidRPr="00931B3D">
              <w:rPr>
                <w:rFonts w:ascii="Arial" w:hAnsi="Arial" w:cs="Arial"/>
                <w:noProof/>
                <w:webHidden/>
              </w:rPr>
              <w:instrText xml:space="preserve"> PAGEREF _Toc236040692 \h </w:instrText>
            </w:r>
            <w:r w:rsidRPr="00931B3D">
              <w:rPr>
                <w:rFonts w:ascii="Arial" w:hAnsi="Arial" w:cs="Arial"/>
                <w:noProof/>
                <w:webHidden/>
              </w:rPr>
            </w:r>
            <w:r w:rsidRPr="00931B3D">
              <w:rPr>
                <w:rFonts w:ascii="Arial" w:hAnsi="Arial" w:cs="Arial"/>
                <w:noProof/>
                <w:webHidden/>
              </w:rPr>
              <w:fldChar w:fldCharType="separate"/>
            </w:r>
            <w:r w:rsidRPr="00931B3D">
              <w:rPr>
                <w:rFonts w:ascii="Arial" w:hAnsi="Arial" w:cs="Arial"/>
                <w:noProof/>
                <w:webHidden/>
              </w:rPr>
              <w:t>9</w:t>
            </w:r>
            <w:r w:rsidRPr="00931B3D">
              <w:rPr>
                <w:rFonts w:ascii="Arial" w:hAnsi="Arial" w:cs="Arial"/>
                <w:noProof/>
                <w:webHidden/>
              </w:rPr>
              <w:fldChar w:fldCharType="end"/>
            </w:r>
          </w:hyperlink>
        </w:p>
        <w:p w14:paraId="68F6D90C" w14:textId="5AE49399" w:rsidR="00703967" w:rsidRPr="00931B3D" w:rsidRDefault="00703967">
          <w:pPr>
            <w:pStyle w:val="TOC2"/>
            <w:tabs>
              <w:tab w:val="right" w:leader="dot" w:pos="9350"/>
            </w:tabs>
            <w:rPr>
              <w:rFonts w:ascii="Arial" w:hAnsi="Arial" w:cs="Arial"/>
              <w:noProof/>
              <w:kern w:val="2"/>
              <w:szCs w:val="30"/>
              <w:lang w:val="en-IN" w:eastAsia="en-IN" w:bidi="bn-IN"/>
              <w14:ligatures w14:val="standardContextual"/>
            </w:rPr>
          </w:pPr>
          <w:hyperlink w:anchor="_Toc236040693" w:history="1">
            <w:r w:rsidRPr="00931B3D">
              <w:rPr>
                <w:rStyle w:val="Hyperlink"/>
                <w:rFonts w:ascii="Arial" w:hAnsi="Arial" w:cs="Arial"/>
                <w:noProof/>
                <w:color w:val="auto"/>
              </w:rPr>
              <w:t>d. Improvement and Lessons Learned</w:t>
            </w:r>
            <w:r w:rsidRPr="00931B3D">
              <w:rPr>
                <w:rFonts w:ascii="Arial" w:hAnsi="Arial" w:cs="Arial"/>
                <w:noProof/>
                <w:webHidden/>
              </w:rPr>
              <w:tab/>
            </w:r>
            <w:r w:rsidRPr="00931B3D">
              <w:rPr>
                <w:rFonts w:ascii="Arial" w:hAnsi="Arial" w:cs="Arial"/>
                <w:noProof/>
                <w:webHidden/>
              </w:rPr>
              <w:fldChar w:fldCharType="begin"/>
            </w:r>
            <w:r w:rsidRPr="00931B3D">
              <w:rPr>
                <w:rFonts w:ascii="Arial" w:hAnsi="Arial" w:cs="Arial"/>
                <w:noProof/>
                <w:webHidden/>
              </w:rPr>
              <w:instrText xml:space="preserve"> PAGEREF _Toc236040693 \h </w:instrText>
            </w:r>
            <w:r w:rsidRPr="00931B3D">
              <w:rPr>
                <w:rFonts w:ascii="Arial" w:hAnsi="Arial" w:cs="Arial"/>
                <w:noProof/>
                <w:webHidden/>
              </w:rPr>
            </w:r>
            <w:r w:rsidRPr="00931B3D">
              <w:rPr>
                <w:rFonts w:ascii="Arial" w:hAnsi="Arial" w:cs="Arial"/>
                <w:noProof/>
                <w:webHidden/>
              </w:rPr>
              <w:fldChar w:fldCharType="separate"/>
            </w:r>
            <w:r w:rsidRPr="00931B3D">
              <w:rPr>
                <w:rFonts w:ascii="Arial" w:hAnsi="Arial" w:cs="Arial"/>
                <w:noProof/>
                <w:webHidden/>
              </w:rPr>
              <w:t>13</w:t>
            </w:r>
            <w:r w:rsidRPr="00931B3D">
              <w:rPr>
                <w:rFonts w:ascii="Arial" w:hAnsi="Arial" w:cs="Arial"/>
                <w:noProof/>
                <w:webHidden/>
              </w:rPr>
              <w:fldChar w:fldCharType="end"/>
            </w:r>
          </w:hyperlink>
        </w:p>
        <w:p w14:paraId="60F19319" w14:textId="12BB8A5D" w:rsidR="00703967" w:rsidRPr="00931B3D" w:rsidRDefault="00703967">
          <w:pPr>
            <w:pStyle w:val="TOC1"/>
            <w:tabs>
              <w:tab w:val="right" w:leader="dot" w:pos="9350"/>
            </w:tabs>
            <w:rPr>
              <w:rFonts w:ascii="Arial" w:hAnsi="Arial" w:cs="Arial"/>
              <w:noProof/>
              <w:kern w:val="2"/>
              <w:szCs w:val="30"/>
              <w:lang w:val="en-IN" w:eastAsia="en-IN" w:bidi="bn-IN"/>
              <w14:ligatures w14:val="standardContextual"/>
            </w:rPr>
          </w:pPr>
          <w:hyperlink w:anchor="_Toc236040694" w:history="1">
            <w:r w:rsidRPr="00931B3D">
              <w:rPr>
                <w:rStyle w:val="Hyperlink"/>
                <w:rFonts w:ascii="Arial" w:hAnsi="Arial" w:cs="Arial"/>
                <w:noProof/>
                <w:color w:val="auto"/>
              </w:rPr>
              <w:t>Recommendations</w:t>
            </w:r>
            <w:r w:rsidRPr="00931B3D">
              <w:rPr>
                <w:rFonts w:ascii="Arial" w:hAnsi="Arial" w:cs="Arial"/>
                <w:noProof/>
                <w:webHidden/>
              </w:rPr>
              <w:tab/>
            </w:r>
            <w:r w:rsidRPr="00931B3D">
              <w:rPr>
                <w:rFonts w:ascii="Arial" w:hAnsi="Arial" w:cs="Arial"/>
                <w:noProof/>
                <w:webHidden/>
              </w:rPr>
              <w:fldChar w:fldCharType="begin"/>
            </w:r>
            <w:r w:rsidRPr="00931B3D">
              <w:rPr>
                <w:rFonts w:ascii="Arial" w:hAnsi="Arial" w:cs="Arial"/>
                <w:noProof/>
                <w:webHidden/>
              </w:rPr>
              <w:instrText xml:space="preserve"> PAGEREF _Toc236040694 \h </w:instrText>
            </w:r>
            <w:r w:rsidRPr="00931B3D">
              <w:rPr>
                <w:rFonts w:ascii="Arial" w:hAnsi="Arial" w:cs="Arial"/>
                <w:noProof/>
                <w:webHidden/>
              </w:rPr>
            </w:r>
            <w:r w:rsidRPr="00931B3D">
              <w:rPr>
                <w:rFonts w:ascii="Arial" w:hAnsi="Arial" w:cs="Arial"/>
                <w:noProof/>
                <w:webHidden/>
              </w:rPr>
              <w:fldChar w:fldCharType="separate"/>
            </w:r>
            <w:r w:rsidRPr="00931B3D">
              <w:rPr>
                <w:rFonts w:ascii="Arial" w:hAnsi="Arial" w:cs="Arial"/>
                <w:noProof/>
                <w:webHidden/>
              </w:rPr>
              <w:t>16</w:t>
            </w:r>
            <w:r w:rsidRPr="00931B3D">
              <w:rPr>
                <w:rFonts w:ascii="Arial" w:hAnsi="Arial" w:cs="Arial"/>
                <w:noProof/>
                <w:webHidden/>
              </w:rPr>
              <w:fldChar w:fldCharType="end"/>
            </w:r>
          </w:hyperlink>
        </w:p>
        <w:p w14:paraId="2EA51BF2" w14:textId="0B5BE762" w:rsidR="00703967" w:rsidRPr="00931B3D" w:rsidRDefault="00703967">
          <w:pPr>
            <w:pStyle w:val="TOC1"/>
            <w:tabs>
              <w:tab w:val="right" w:leader="dot" w:pos="9350"/>
            </w:tabs>
            <w:rPr>
              <w:rFonts w:ascii="Arial" w:hAnsi="Arial" w:cs="Arial"/>
              <w:noProof/>
              <w:kern w:val="2"/>
              <w:szCs w:val="30"/>
              <w:lang w:val="en-IN" w:eastAsia="en-IN" w:bidi="bn-IN"/>
              <w14:ligatures w14:val="standardContextual"/>
            </w:rPr>
          </w:pPr>
          <w:hyperlink w:anchor="_Toc236040695" w:history="1">
            <w:r w:rsidRPr="00931B3D">
              <w:rPr>
                <w:rStyle w:val="Hyperlink"/>
                <w:rFonts w:ascii="Arial" w:hAnsi="Arial" w:cs="Arial"/>
                <w:noProof/>
                <w:color w:val="auto"/>
              </w:rPr>
              <w:t>Conclusion</w:t>
            </w:r>
            <w:r w:rsidRPr="00931B3D">
              <w:rPr>
                <w:rFonts w:ascii="Arial" w:hAnsi="Arial" w:cs="Arial"/>
                <w:noProof/>
                <w:webHidden/>
              </w:rPr>
              <w:tab/>
            </w:r>
            <w:r w:rsidRPr="00931B3D">
              <w:rPr>
                <w:rFonts w:ascii="Arial" w:hAnsi="Arial" w:cs="Arial"/>
                <w:noProof/>
                <w:webHidden/>
              </w:rPr>
              <w:fldChar w:fldCharType="begin"/>
            </w:r>
            <w:r w:rsidRPr="00931B3D">
              <w:rPr>
                <w:rFonts w:ascii="Arial" w:hAnsi="Arial" w:cs="Arial"/>
                <w:noProof/>
                <w:webHidden/>
              </w:rPr>
              <w:instrText xml:space="preserve"> PAGEREF _Toc236040695 \h </w:instrText>
            </w:r>
            <w:r w:rsidRPr="00931B3D">
              <w:rPr>
                <w:rFonts w:ascii="Arial" w:hAnsi="Arial" w:cs="Arial"/>
                <w:noProof/>
                <w:webHidden/>
              </w:rPr>
            </w:r>
            <w:r w:rsidRPr="00931B3D">
              <w:rPr>
                <w:rFonts w:ascii="Arial" w:hAnsi="Arial" w:cs="Arial"/>
                <w:noProof/>
                <w:webHidden/>
              </w:rPr>
              <w:fldChar w:fldCharType="separate"/>
            </w:r>
            <w:r w:rsidRPr="00931B3D">
              <w:rPr>
                <w:rFonts w:ascii="Arial" w:hAnsi="Arial" w:cs="Arial"/>
                <w:noProof/>
                <w:webHidden/>
              </w:rPr>
              <w:t>17</w:t>
            </w:r>
            <w:r w:rsidRPr="00931B3D">
              <w:rPr>
                <w:rFonts w:ascii="Arial" w:hAnsi="Arial" w:cs="Arial"/>
                <w:noProof/>
                <w:webHidden/>
              </w:rPr>
              <w:fldChar w:fldCharType="end"/>
            </w:r>
          </w:hyperlink>
        </w:p>
        <w:p w14:paraId="0F2DE20B" w14:textId="20D898EA" w:rsidR="00703967" w:rsidRPr="00931B3D" w:rsidRDefault="00703967">
          <w:pPr>
            <w:pStyle w:val="TOC1"/>
            <w:tabs>
              <w:tab w:val="right" w:leader="dot" w:pos="9350"/>
            </w:tabs>
            <w:rPr>
              <w:rFonts w:ascii="Arial" w:hAnsi="Arial" w:cs="Arial"/>
              <w:noProof/>
              <w:kern w:val="2"/>
              <w:szCs w:val="30"/>
              <w:lang w:val="en-IN" w:eastAsia="en-IN" w:bidi="bn-IN"/>
              <w14:ligatures w14:val="standardContextual"/>
            </w:rPr>
          </w:pPr>
          <w:hyperlink w:anchor="_Toc236040696" w:history="1">
            <w:r w:rsidRPr="00931B3D">
              <w:rPr>
                <w:rStyle w:val="Hyperlink"/>
                <w:rFonts w:ascii="Arial" w:hAnsi="Arial" w:cs="Arial"/>
                <w:noProof/>
                <w:color w:val="auto"/>
              </w:rPr>
              <w:t>References</w:t>
            </w:r>
            <w:r w:rsidRPr="00931B3D">
              <w:rPr>
                <w:rFonts w:ascii="Arial" w:hAnsi="Arial" w:cs="Arial"/>
                <w:noProof/>
                <w:webHidden/>
              </w:rPr>
              <w:tab/>
            </w:r>
            <w:r w:rsidRPr="00931B3D">
              <w:rPr>
                <w:rFonts w:ascii="Arial" w:hAnsi="Arial" w:cs="Arial"/>
                <w:noProof/>
                <w:webHidden/>
              </w:rPr>
              <w:fldChar w:fldCharType="begin"/>
            </w:r>
            <w:r w:rsidRPr="00931B3D">
              <w:rPr>
                <w:rFonts w:ascii="Arial" w:hAnsi="Arial" w:cs="Arial"/>
                <w:noProof/>
                <w:webHidden/>
              </w:rPr>
              <w:instrText xml:space="preserve"> PAGEREF _Toc236040696 \h </w:instrText>
            </w:r>
            <w:r w:rsidRPr="00931B3D">
              <w:rPr>
                <w:rFonts w:ascii="Arial" w:hAnsi="Arial" w:cs="Arial"/>
                <w:noProof/>
                <w:webHidden/>
              </w:rPr>
            </w:r>
            <w:r w:rsidRPr="00931B3D">
              <w:rPr>
                <w:rFonts w:ascii="Arial" w:hAnsi="Arial" w:cs="Arial"/>
                <w:noProof/>
                <w:webHidden/>
              </w:rPr>
              <w:fldChar w:fldCharType="separate"/>
            </w:r>
            <w:r w:rsidRPr="00931B3D">
              <w:rPr>
                <w:rFonts w:ascii="Arial" w:hAnsi="Arial" w:cs="Arial"/>
                <w:noProof/>
                <w:webHidden/>
              </w:rPr>
              <w:t>19</w:t>
            </w:r>
            <w:r w:rsidRPr="00931B3D">
              <w:rPr>
                <w:rFonts w:ascii="Arial" w:hAnsi="Arial" w:cs="Arial"/>
                <w:noProof/>
                <w:webHidden/>
              </w:rPr>
              <w:fldChar w:fldCharType="end"/>
            </w:r>
          </w:hyperlink>
        </w:p>
        <w:p w14:paraId="7F1EC7AA" w14:textId="6E456C47" w:rsidR="00233160" w:rsidRPr="00931B3D" w:rsidRDefault="00233160" w:rsidP="005E71D1">
          <w:pPr>
            <w:spacing w:line="360" w:lineRule="auto"/>
            <w:rPr>
              <w:rFonts w:ascii="Arial" w:hAnsi="Arial" w:cs="Arial"/>
            </w:rPr>
          </w:pPr>
          <w:r w:rsidRPr="00931B3D">
            <w:rPr>
              <w:rFonts w:ascii="Arial" w:hAnsi="Arial" w:cs="Arial"/>
              <w:noProof/>
            </w:rPr>
            <w:fldChar w:fldCharType="end"/>
          </w:r>
        </w:p>
      </w:sdtContent>
    </w:sdt>
    <w:p w14:paraId="5ADEB227" w14:textId="77777777" w:rsidR="00233160" w:rsidRPr="00931B3D" w:rsidRDefault="00233160" w:rsidP="00233160">
      <w:pPr>
        <w:spacing w:line="360" w:lineRule="auto"/>
        <w:jc w:val="left"/>
        <w:rPr>
          <w:rFonts w:ascii="Arial" w:hAnsi="Arial" w:cs="Arial"/>
        </w:rPr>
      </w:pPr>
    </w:p>
    <w:p w14:paraId="2C656F0A" w14:textId="77777777" w:rsidR="00233160" w:rsidRPr="00931B3D" w:rsidRDefault="00233160" w:rsidP="00233160">
      <w:pPr>
        <w:spacing w:line="360" w:lineRule="auto"/>
        <w:jc w:val="left"/>
        <w:rPr>
          <w:rFonts w:ascii="Arial" w:eastAsiaTheme="majorEastAsia" w:hAnsi="Arial" w:cs="Arial"/>
          <w:b/>
          <w:bCs/>
          <w:sz w:val="28"/>
          <w:szCs w:val="28"/>
        </w:rPr>
      </w:pPr>
      <w:r w:rsidRPr="00931B3D">
        <w:rPr>
          <w:rFonts w:ascii="Arial" w:hAnsi="Arial" w:cs="Arial"/>
        </w:rPr>
        <w:br w:type="page"/>
      </w:r>
    </w:p>
    <w:p w14:paraId="4A61A98D" w14:textId="77777777" w:rsidR="00E20905" w:rsidRPr="00931B3D" w:rsidRDefault="00F74839" w:rsidP="00233160">
      <w:pPr>
        <w:pStyle w:val="Heading1"/>
        <w:spacing w:line="360" w:lineRule="auto"/>
        <w:rPr>
          <w:rFonts w:ascii="Arial" w:hAnsi="Arial" w:cs="Arial"/>
        </w:rPr>
      </w:pPr>
      <w:bookmarkStart w:id="0" w:name="_Toc236040688"/>
      <w:r w:rsidRPr="00931B3D">
        <w:rPr>
          <w:rFonts w:ascii="Arial" w:hAnsi="Arial" w:cs="Arial"/>
        </w:rPr>
        <w:t>Introduction</w:t>
      </w:r>
      <w:bookmarkEnd w:id="0"/>
    </w:p>
    <w:p w14:paraId="1FB254AD" w14:textId="77777777" w:rsidR="00233160" w:rsidRPr="00931B3D" w:rsidRDefault="00233160" w:rsidP="00233160">
      <w:pPr>
        <w:spacing w:line="360" w:lineRule="auto"/>
        <w:rPr>
          <w:rFonts w:ascii="Arial" w:hAnsi="Arial" w:cs="Arial"/>
        </w:rPr>
      </w:pPr>
      <w:r w:rsidRPr="00931B3D">
        <w:rPr>
          <w:rFonts w:ascii="Arial" w:hAnsi="Arial" w:cs="Arial"/>
        </w:rPr>
        <w:t xml:space="preserve">Medication errors have long been recognized as one of the greatest risks to patient safety within healthcare organizations across the globe. In the UK, about 237 million medication errors happen each year, causing high clinical and financial costs (Elliott </w:t>
      </w:r>
      <w:r w:rsidRPr="00931B3D">
        <w:rPr>
          <w:rFonts w:ascii="Arial" w:hAnsi="Arial" w:cs="Arial"/>
          <w:i/>
          <w:iCs/>
        </w:rPr>
        <w:t>et al</w:t>
      </w:r>
      <w:r w:rsidRPr="00931B3D">
        <w:rPr>
          <w:rFonts w:ascii="Arial" w:hAnsi="Arial" w:cs="Arial"/>
        </w:rPr>
        <w:t xml:space="preserve">., 2021). Among the groups that are especially vulnerable to medication errors are neonates and infants, as their physiology and very small therapeutic indices make the effects of incorrect doses life-threatening (Henry Basil </w:t>
      </w:r>
      <w:r w:rsidRPr="00931B3D">
        <w:rPr>
          <w:rFonts w:ascii="Arial" w:hAnsi="Arial" w:cs="Arial"/>
          <w:i/>
          <w:iCs/>
        </w:rPr>
        <w:t>et al</w:t>
      </w:r>
      <w:r w:rsidRPr="00931B3D">
        <w:rPr>
          <w:rFonts w:ascii="Arial" w:hAnsi="Arial" w:cs="Arial"/>
        </w:rPr>
        <w:t xml:space="preserve">., 2022). The following report analyzes a major instance of medication error related to a 4-week-old infant from the </w:t>
      </w:r>
      <w:proofErr w:type="gramStart"/>
      <w:r w:rsidRPr="00931B3D">
        <w:rPr>
          <w:rFonts w:ascii="Arial" w:hAnsi="Arial" w:cs="Arial"/>
        </w:rPr>
        <w:t>North East</w:t>
      </w:r>
      <w:proofErr w:type="gramEnd"/>
      <w:r w:rsidRPr="00931B3D">
        <w:rPr>
          <w:rFonts w:ascii="Arial" w:hAnsi="Arial" w:cs="Arial"/>
        </w:rPr>
        <w:t xml:space="preserve"> and Yorkshire region who was administered 20 times the standard dose of morphine sulphate oral solution due to receiving an incorrect concentration of this drug (10mg/5ml instead of 100 micrograms/ml). It needs to be noted that the formulation of 100 micrograms/ml is considered a RED drug and should be used only for secondary care (NHS </w:t>
      </w:r>
      <w:proofErr w:type="gramStart"/>
      <w:r w:rsidRPr="00931B3D">
        <w:rPr>
          <w:rFonts w:ascii="Arial" w:hAnsi="Arial" w:cs="Arial"/>
        </w:rPr>
        <w:t>North East</w:t>
      </w:r>
      <w:proofErr w:type="gramEnd"/>
      <w:r w:rsidRPr="00931B3D">
        <w:rPr>
          <w:rFonts w:ascii="Arial" w:hAnsi="Arial" w:cs="Arial"/>
        </w:rPr>
        <w:t xml:space="preserve"> and Yorkshire, 2023). This specific case is the fifth one in five years when such errors happen, and in one of the previous cases, an infant died (Healthcare Safety Investigation Branch, 2022).</w:t>
      </w:r>
    </w:p>
    <w:p w14:paraId="17672B25" w14:textId="77777777" w:rsidR="00233160" w:rsidRPr="00931B3D" w:rsidRDefault="00233160" w:rsidP="00233160">
      <w:pPr>
        <w:spacing w:line="360" w:lineRule="auto"/>
        <w:rPr>
          <w:rFonts w:ascii="Arial" w:hAnsi="Arial" w:cs="Arial"/>
        </w:rPr>
      </w:pPr>
      <w:r w:rsidRPr="00931B3D">
        <w:rPr>
          <w:rFonts w:ascii="Arial" w:hAnsi="Arial" w:cs="Arial"/>
        </w:rPr>
        <w:t xml:space="preserve">Health and social care leadership can be defined as an act of influencing other people </w:t>
      </w:r>
      <w:proofErr w:type="gramStart"/>
      <w:r w:rsidRPr="00931B3D">
        <w:rPr>
          <w:rFonts w:ascii="Arial" w:hAnsi="Arial" w:cs="Arial"/>
        </w:rPr>
        <w:t>in order to</w:t>
      </w:r>
      <w:proofErr w:type="gramEnd"/>
      <w:r w:rsidRPr="00931B3D">
        <w:rPr>
          <w:rFonts w:ascii="Arial" w:hAnsi="Arial" w:cs="Arial"/>
        </w:rPr>
        <w:t xml:space="preserve"> attain common objectives especially in risky settings such as ensuring patients’ safety (Wei &amp; Horton-Deutsch, 2022). Leaders need to choose the appropriate leadership style which could either be transformational, transactional, situational or distributed based on the environment and problems that may emerge in an </w:t>
      </w:r>
      <w:proofErr w:type="spellStart"/>
      <w:r w:rsidRPr="00931B3D">
        <w:rPr>
          <w:rFonts w:ascii="Arial" w:hAnsi="Arial" w:cs="Arial"/>
        </w:rPr>
        <w:t>organisation</w:t>
      </w:r>
      <w:proofErr w:type="spellEnd"/>
      <w:r w:rsidRPr="00931B3D">
        <w:rPr>
          <w:rFonts w:ascii="Arial" w:hAnsi="Arial" w:cs="Arial"/>
        </w:rPr>
        <w:t xml:space="preserve"> (</w:t>
      </w:r>
      <w:proofErr w:type="spellStart"/>
      <w:r w:rsidRPr="00931B3D">
        <w:rPr>
          <w:rFonts w:ascii="Arial" w:hAnsi="Arial" w:cs="Arial"/>
        </w:rPr>
        <w:t>Ystaas</w:t>
      </w:r>
      <w:proofErr w:type="spellEnd"/>
      <w:r w:rsidRPr="00931B3D">
        <w:rPr>
          <w:rFonts w:ascii="Arial" w:hAnsi="Arial" w:cs="Arial"/>
        </w:rPr>
        <w:t xml:space="preserve"> </w:t>
      </w:r>
      <w:r w:rsidRPr="00931B3D">
        <w:rPr>
          <w:rFonts w:ascii="Arial" w:hAnsi="Arial" w:cs="Arial"/>
          <w:i/>
          <w:iCs/>
        </w:rPr>
        <w:t>et al</w:t>
      </w:r>
      <w:r w:rsidRPr="00931B3D">
        <w:rPr>
          <w:rFonts w:ascii="Arial" w:hAnsi="Arial" w:cs="Arial"/>
        </w:rPr>
        <w:t xml:space="preserve">., 2023). The selection of an appropriate style may define how an </w:t>
      </w:r>
      <w:proofErr w:type="spellStart"/>
      <w:r w:rsidRPr="00931B3D">
        <w:rPr>
          <w:rFonts w:ascii="Arial" w:hAnsi="Arial" w:cs="Arial"/>
        </w:rPr>
        <w:t>organisation</w:t>
      </w:r>
      <w:proofErr w:type="spellEnd"/>
      <w:r w:rsidRPr="00931B3D">
        <w:rPr>
          <w:rFonts w:ascii="Arial" w:hAnsi="Arial" w:cs="Arial"/>
        </w:rPr>
        <w:t xml:space="preserve"> learns from mistakes or repeats its mistakes through systemic problems. </w:t>
      </w:r>
      <w:proofErr w:type="spellStart"/>
      <w:r w:rsidRPr="00931B3D">
        <w:rPr>
          <w:rFonts w:ascii="Arial" w:hAnsi="Arial" w:cs="Arial"/>
        </w:rPr>
        <w:t>Centralisation</w:t>
      </w:r>
      <w:proofErr w:type="spellEnd"/>
      <w:r w:rsidRPr="00931B3D">
        <w:rPr>
          <w:rFonts w:ascii="Arial" w:hAnsi="Arial" w:cs="Arial"/>
        </w:rPr>
        <w:t xml:space="preserve"> and </w:t>
      </w:r>
      <w:proofErr w:type="spellStart"/>
      <w:r w:rsidRPr="00931B3D">
        <w:rPr>
          <w:rFonts w:ascii="Arial" w:hAnsi="Arial" w:cs="Arial"/>
        </w:rPr>
        <w:t>decentralisation</w:t>
      </w:r>
      <w:proofErr w:type="spellEnd"/>
      <w:r w:rsidRPr="00931B3D">
        <w:rPr>
          <w:rFonts w:ascii="Arial" w:hAnsi="Arial" w:cs="Arial"/>
        </w:rPr>
        <w:t xml:space="preserve"> are two important structural dimensions in leadership and governance in health and social care sector (Fong, 2022).</w:t>
      </w:r>
    </w:p>
    <w:p w14:paraId="6BEEEA0E" w14:textId="77777777" w:rsidR="00233160" w:rsidRPr="00931B3D" w:rsidRDefault="00233160" w:rsidP="00233160">
      <w:pPr>
        <w:spacing w:line="360" w:lineRule="auto"/>
        <w:rPr>
          <w:rFonts w:ascii="Arial" w:hAnsi="Arial" w:cs="Arial"/>
          <w:b/>
          <w:bCs/>
        </w:rPr>
      </w:pPr>
      <w:r w:rsidRPr="00931B3D">
        <w:rPr>
          <w:rFonts w:ascii="Arial" w:hAnsi="Arial" w:cs="Arial"/>
        </w:rPr>
        <w:t xml:space="preserve">This report uses system thinking, leadership theories and governance frameworks </w:t>
      </w:r>
      <w:proofErr w:type="gramStart"/>
      <w:r w:rsidRPr="00931B3D">
        <w:rPr>
          <w:rFonts w:ascii="Arial" w:hAnsi="Arial" w:cs="Arial"/>
        </w:rPr>
        <w:t>in order to</w:t>
      </w:r>
      <w:proofErr w:type="gramEnd"/>
      <w:r w:rsidRPr="00931B3D">
        <w:rPr>
          <w:rFonts w:ascii="Arial" w:hAnsi="Arial" w:cs="Arial"/>
        </w:rPr>
        <w:t xml:space="preserve"> conduct an analysis on the morphine overdose problem. This includes the assessment of weaknesses in the system, evaluation of the interaction between </w:t>
      </w:r>
      <w:proofErr w:type="spellStart"/>
      <w:r w:rsidRPr="00931B3D">
        <w:rPr>
          <w:rFonts w:ascii="Arial" w:hAnsi="Arial" w:cs="Arial"/>
        </w:rPr>
        <w:t>centralisation</w:t>
      </w:r>
      <w:proofErr w:type="spellEnd"/>
      <w:r w:rsidRPr="00931B3D">
        <w:rPr>
          <w:rFonts w:ascii="Arial" w:hAnsi="Arial" w:cs="Arial"/>
        </w:rPr>
        <w:t xml:space="preserve"> and </w:t>
      </w:r>
      <w:proofErr w:type="spellStart"/>
      <w:r w:rsidRPr="00931B3D">
        <w:rPr>
          <w:rFonts w:ascii="Arial" w:hAnsi="Arial" w:cs="Arial"/>
        </w:rPr>
        <w:t>decentralisation</w:t>
      </w:r>
      <w:proofErr w:type="spellEnd"/>
      <w:r w:rsidRPr="00931B3D">
        <w:rPr>
          <w:rFonts w:ascii="Arial" w:hAnsi="Arial" w:cs="Arial"/>
        </w:rPr>
        <w:t xml:space="preserve"> and the leadership practices among others. The aim is to provide recommendations </w:t>
      </w:r>
      <w:proofErr w:type="gramStart"/>
      <w:r w:rsidRPr="00931B3D">
        <w:rPr>
          <w:rFonts w:ascii="Arial" w:hAnsi="Arial" w:cs="Arial"/>
        </w:rPr>
        <w:t>on the basis of</w:t>
      </w:r>
      <w:proofErr w:type="gramEnd"/>
      <w:r w:rsidRPr="00931B3D">
        <w:rPr>
          <w:rFonts w:ascii="Arial" w:hAnsi="Arial" w:cs="Arial"/>
        </w:rPr>
        <w:t xml:space="preserve"> evidence from literature.</w:t>
      </w:r>
    </w:p>
    <w:p w14:paraId="2BE05168" w14:textId="77777777" w:rsidR="00703967" w:rsidRPr="00931B3D" w:rsidRDefault="00703967" w:rsidP="00703967">
      <w:pPr>
        <w:pStyle w:val="Heading1"/>
        <w:rPr>
          <w:rFonts w:ascii="Arial" w:hAnsi="Arial" w:cs="Arial"/>
        </w:rPr>
      </w:pPr>
      <w:bookmarkStart w:id="1" w:name="_Toc236040689"/>
      <w:r w:rsidRPr="00931B3D">
        <w:rPr>
          <w:rFonts w:ascii="Arial" w:hAnsi="Arial" w:cs="Arial"/>
        </w:rPr>
        <w:t>Critical Analysis of Systems Failures and Leadership Approaches</w:t>
      </w:r>
      <w:bookmarkEnd w:id="1"/>
    </w:p>
    <w:p w14:paraId="601B4BAC" w14:textId="437CF56E" w:rsidR="00E20905" w:rsidRPr="00931B3D" w:rsidRDefault="00F74839" w:rsidP="00233160">
      <w:pPr>
        <w:pStyle w:val="Heading2"/>
        <w:spacing w:line="360" w:lineRule="auto"/>
        <w:rPr>
          <w:rFonts w:ascii="Arial" w:hAnsi="Arial" w:cs="Arial"/>
        </w:rPr>
      </w:pPr>
      <w:bookmarkStart w:id="2" w:name="_Toc236040690"/>
      <w:r w:rsidRPr="00931B3D">
        <w:rPr>
          <w:rFonts w:ascii="Arial" w:hAnsi="Arial" w:cs="Arial"/>
        </w:rPr>
        <w:t>a. Identifying the Problem and Setting the System Context – Applying Systems Thinking and the Rich Picture</w:t>
      </w:r>
      <w:bookmarkEnd w:id="2"/>
      <w:r w:rsidRPr="00931B3D">
        <w:rPr>
          <w:rFonts w:ascii="Arial" w:hAnsi="Arial" w:cs="Arial"/>
        </w:rPr>
        <w:t xml:space="preserve"> </w:t>
      </w:r>
    </w:p>
    <w:p w14:paraId="1232EA0B" w14:textId="77777777" w:rsidR="00233160" w:rsidRPr="00931B3D" w:rsidRDefault="00233160" w:rsidP="00233160">
      <w:pPr>
        <w:spacing w:line="360" w:lineRule="auto"/>
        <w:rPr>
          <w:rFonts w:ascii="Arial" w:hAnsi="Arial" w:cs="Arial"/>
        </w:rPr>
      </w:pPr>
      <w:r w:rsidRPr="00931B3D">
        <w:rPr>
          <w:rFonts w:ascii="Arial" w:hAnsi="Arial" w:cs="Arial"/>
        </w:rPr>
        <w:t xml:space="preserve">The main problem described in the scenario is a significant medication error, in which a four-week-old baby overdosed 20 times the required dose of morphine sulphate oral solution because of supplying the patient with the wrong concentration of the drug. Parents have been provided with 10mg/5ml bottles instead of the necessary 100 micrograms/ml, which is marked as a RED drug – a high-risk medicine intended to be started only by specialists in secondary care settings (NHS </w:t>
      </w:r>
      <w:proofErr w:type="gramStart"/>
      <w:r w:rsidRPr="00931B3D">
        <w:rPr>
          <w:rFonts w:ascii="Arial" w:hAnsi="Arial" w:cs="Arial"/>
        </w:rPr>
        <w:t>North East</w:t>
      </w:r>
      <w:proofErr w:type="gramEnd"/>
      <w:r w:rsidRPr="00931B3D">
        <w:rPr>
          <w:rFonts w:ascii="Arial" w:hAnsi="Arial" w:cs="Arial"/>
        </w:rPr>
        <w:t xml:space="preserve"> and Yorkshire, 2023). The child survived after receiving naloxone; however, the incident reveals the serious system-wide weaknesses in safety medication management at the interface of hospital prescribing and community dispensing.</w:t>
      </w:r>
    </w:p>
    <w:p w14:paraId="46495255" w14:textId="77777777" w:rsidR="00233160" w:rsidRPr="00931B3D" w:rsidRDefault="00233160" w:rsidP="00233160">
      <w:pPr>
        <w:spacing w:line="360" w:lineRule="auto"/>
        <w:rPr>
          <w:rFonts w:ascii="Arial" w:hAnsi="Arial" w:cs="Arial"/>
        </w:rPr>
      </w:pPr>
      <w:r w:rsidRPr="00931B3D">
        <w:rPr>
          <w:rFonts w:ascii="Arial" w:hAnsi="Arial" w:cs="Arial"/>
        </w:rPr>
        <w:t xml:space="preserve">National statistics show the extent of medication errors in England. According to Elliott </w:t>
      </w:r>
      <w:r w:rsidRPr="00931B3D">
        <w:rPr>
          <w:rFonts w:ascii="Arial" w:hAnsi="Arial" w:cs="Arial"/>
          <w:i/>
          <w:iCs/>
        </w:rPr>
        <w:t>et al</w:t>
      </w:r>
      <w:r w:rsidRPr="00931B3D">
        <w:rPr>
          <w:rFonts w:ascii="Arial" w:hAnsi="Arial" w:cs="Arial"/>
        </w:rPr>
        <w:t xml:space="preserve">. (2021), around 237 million cases of medication errors occur yearly in primary, secondary care, and care homes in the country, 66 million of which might cause clinical harm. More than 54% of the medication errors belong to administration error category. Neonatal and </w:t>
      </w:r>
      <w:proofErr w:type="spellStart"/>
      <w:r w:rsidRPr="00931B3D">
        <w:rPr>
          <w:rFonts w:ascii="Arial" w:hAnsi="Arial" w:cs="Arial"/>
        </w:rPr>
        <w:t>paediatric</w:t>
      </w:r>
      <w:proofErr w:type="spellEnd"/>
      <w:r w:rsidRPr="00931B3D">
        <w:rPr>
          <w:rFonts w:ascii="Arial" w:hAnsi="Arial" w:cs="Arial"/>
        </w:rPr>
        <w:t xml:space="preserve"> environment presents even higher risks. According to Henry Basil </w:t>
      </w:r>
      <w:r w:rsidRPr="00931B3D">
        <w:rPr>
          <w:rFonts w:ascii="Arial" w:hAnsi="Arial" w:cs="Arial"/>
          <w:i/>
          <w:iCs/>
        </w:rPr>
        <w:t>et al</w:t>
      </w:r>
      <w:r w:rsidRPr="00931B3D">
        <w:rPr>
          <w:rFonts w:ascii="Arial" w:hAnsi="Arial" w:cs="Arial"/>
        </w:rPr>
        <w:t xml:space="preserve">. (2022)’s systematic review and meta-analysis, the rates of medication administration errors in neonatal intensive care units vary between 59% and 65%, depending on the measurement technique. The errors associated with dose calculation are particularly prevalent and often related to opioids and high-alert medications. This conclusion was confirmed later by Henry Basil </w:t>
      </w:r>
      <w:r w:rsidRPr="00931B3D">
        <w:rPr>
          <w:rFonts w:ascii="Arial" w:hAnsi="Arial" w:cs="Arial"/>
          <w:i/>
          <w:iCs/>
        </w:rPr>
        <w:t>et al</w:t>
      </w:r>
      <w:r w:rsidRPr="00931B3D">
        <w:rPr>
          <w:rFonts w:ascii="Arial" w:hAnsi="Arial" w:cs="Arial"/>
        </w:rPr>
        <w:t xml:space="preserve">.’s (2025) </w:t>
      </w:r>
      <w:proofErr w:type="spellStart"/>
      <w:r w:rsidRPr="00931B3D">
        <w:rPr>
          <w:rFonts w:ascii="Arial" w:hAnsi="Arial" w:cs="Arial"/>
        </w:rPr>
        <w:t>multicentre</w:t>
      </w:r>
      <w:proofErr w:type="spellEnd"/>
      <w:r w:rsidRPr="00931B3D">
        <w:rPr>
          <w:rFonts w:ascii="Arial" w:hAnsi="Arial" w:cs="Arial"/>
        </w:rPr>
        <w:t xml:space="preserve"> observational study, which shows high prevalence of medication administration errors in UK neonatal units, especially of intravenous medications and complex formulations.</w:t>
      </w:r>
    </w:p>
    <w:p w14:paraId="05E85269" w14:textId="77777777" w:rsidR="00233160" w:rsidRPr="00931B3D" w:rsidRDefault="00233160" w:rsidP="00233160">
      <w:pPr>
        <w:spacing w:line="360" w:lineRule="auto"/>
        <w:rPr>
          <w:rFonts w:ascii="Arial" w:hAnsi="Arial" w:cs="Arial"/>
        </w:rPr>
      </w:pPr>
      <w:r w:rsidRPr="00931B3D">
        <w:rPr>
          <w:rFonts w:ascii="Arial" w:hAnsi="Arial" w:cs="Arial"/>
        </w:rPr>
        <w:t xml:space="preserve">In the current case, one can observe several typical elements of the system failure rather than individual mistake. Applying the Swiss Cheese Model by Reason, many levels of the </w:t>
      </w:r>
      <w:proofErr w:type="spellStart"/>
      <w:r w:rsidRPr="00931B3D">
        <w:rPr>
          <w:rFonts w:ascii="Arial" w:hAnsi="Arial" w:cs="Arial"/>
        </w:rPr>
        <w:t>defences</w:t>
      </w:r>
      <w:proofErr w:type="spellEnd"/>
      <w:r w:rsidRPr="00931B3D">
        <w:rPr>
          <w:rFonts w:ascii="Arial" w:hAnsi="Arial" w:cs="Arial"/>
        </w:rPr>
        <w:t xml:space="preserve"> have been breached: the prescriber used the electronic prescription but did not provide information about the drug concentration; the dispensing pharmacy failed to understand the high risk associated with the RED drug; there were no appropriate instructions for the parents and no verification procedure at the point of the drug supply. Those active failures were fostered by the presence of several latent failures: the fragmentation of the communication between secondary and primary care; the lack of standard protocols for specials medicines; weak safety culture, which does not encourage questioning of the processes (Yusof </w:t>
      </w:r>
      <w:r w:rsidRPr="00931B3D">
        <w:rPr>
          <w:rFonts w:ascii="Arial" w:hAnsi="Arial" w:cs="Arial"/>
          <w:i/>
          <w:iCs/>
        </w:rPr>
        <w:t>et al</w:t>
      </w:r>
      <w:r w:rsidRPr="00931B3D">
        <w:rPr>
          <w:rFonts w:ascii="Arial" w:hAnsi="Arial" w:cs="Arial"/>
        </w:rPr>
        <w:t>., 2024).</w:t>
      </w:r>
    </w:p>
    <w:p w14:paraId="3CAE3D38" w14:textId="77777777" w:rsidR="00233160" w:rsidRPr="00931B3D" w:rsidRDefault="00233160" w:rsidP="00233160">
      <w:pPr>
        <w:spacing w:line="360" w:lineRule="auto"/>
        <w:rPr>
          <w:rFonts w:ascii="Arial" w:hAnsi="Arial" w:cs="Arial"/>
        </w:rPr>
      </w:pPr>
      <w:r w:rsidRPr="00931B3D">
        <w:rPr>
          <w:rFonts w:ascii="Arial" w:hAnsi="Arial" w:cs="Arial"/>
        </w:rPr>
        <w:t xml:space="preserve">Using systems approach to </w:t>
      </w:r>
      <w:proofErr w:type="spellStart"/>
      <w:r w:rsidRPr="00931B3D">
        <w:rPr>
          <w:rFonts w:ascii="Arial" w:hAnsi="Arial" w:cs="Arial"/>
        </w:rPr>
        <w:t>analyse</w:t>
      </w:r>
      <w:proofErr w:type="spellEnd"/>
      <w:r w:rsidRPr="00931B3D">
        <w:rPr>
          <w:rFonts w:ascii="Arial" w:hAnsi="Arial" w:cs="Arial"/>
        </w:rPr>
        <w:t xml:space="preserve"> the current case is a valuable tool since it focuses on the interactions of people, technology, processes, and organization rather than blaming the individuals (Johnson, Anderson and </w:t>
      </w:r>
      <w:proofErr w:type="spellStart"/>
      <w:r w:rsidRPr="00931B3D">
        <w:rPr>
          <w:rFonts w:ascii="Arial" w:hAnsi="Arial" w:cs="Arial"/>
        </w:rPr>
        <w:t>Rossow</w:t>
      </w:r>
      <w:proofErr w:type="spellEnd"/>
      <w:r w:rsidRPr="00931B3D">
        <w:rPr>
          <w:rFonts w:ascii="Arial" w:hAnsi="Arial" w:cs="Arial"/>
        </w:rPr>
        <w:t>, 2020). In this specific case, the parents of the infant were involved in the broken medication use system involuntarily. The lack of closed-loop feedback means that there were no opportunities for organizational learning and improvement after the similar incidents happened.</w:t>
      </w:r>
    </w:p>
    <w:p w14:paraId="5755FB30" w14:textId="77777777" w:rsidR="004C0A64" w:rsidRPr="00931B3D" w:rsidRDefault="004C0A64" w:rsidP="004C0A64">
      <w:pPr>
        <w:spacing w:line="360" w:lineRule="auto"/>
        <w:jc w:val="center"/>
        <w:rPr>
          <w:rFonts w:ascii="Arial" w:hAnsi="Arial" w:cs="Arial"/>
        </w:rPr>
      </w:pPr>
      <w:r w:rsidRPr="00931B3D">
        <w:rPr>
          <w:rFonts w:ascii="Arial" w:hAnsi="Arial" w:cs="Arial"/>
          <w:noProof/>
        </w:rPr>
        <w:drawing>
          <wp:inline distT="0" distB="0" distL="114300" distR="114300" wp14:anchorId="69285C71" wp14:editId="4C6F5BED">
            <wp:extent cx="5801888" cy="386792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801888" cy="3867926"/>
                    </a:xfrm>
                    <a:prstGeom prst="rect">
                      <a:avLst/>
                    </a:prstGeom>
                    <a:ln/>
                  </pic:spPr>
                </pic:pic>
              </a:graphicData>
            </a:graphic>
          </wp:inline>
        </w:drawing>
      </w:r>
    </w:p>
    <w:p w14:paraId="189253C1" w14:textId="77777777" w:rsidR="004C0A64" w:rsidRPr="00931B3D" w:rsidRDefault="004C0A64" w:rsidP="004C0A64">
      <w:pPr>
        <w:spacing w:line="360" w:lineRule="auto"/>
        <w:jc w:val="center"/>
        <w:rPr>
          <w:rFonts w:ascii="Arial" w:hAnsi="Arial" w:cs="Arial"/>
          <w:b/>
          <w:bCs/>
        </w:rPr>
      </w:pPr>
      <w:r w:rsidRPr="00931B3D">
        <w:rPr>
          <w:rFonts w:ascii="Arial" w:hAnsi="Arial" w:cs="Arial"/>
          <w:b/>
          <w:bCs/>
        </w:rPr>
        <w:t xml:space="preserve">Figure 1: </w:t>
      </w:r>
      <w:r w:rsidRPr="00931B3D">
        <w:rPr>
          <w:rFonts w:ascii="Arial" w:hAnsi="Arial" w:cs="Arial"/>
        </w:rPr>
        <w:t>Rich Picture</w:t>
      </w:r>
      <w:r w:rsidRPr="00931B3D">
        <w:rPr>
          <w:rFonts w:ascii="Arial" w:hAnsi="Arial" w:cs="Arial"/>
          <w:b/>
          <w:bCs/>
        </w:rPr>
        <w:t xml:space="preserve"> </w:t>
      </w:r>
    </w:p>
    <w:p w14:paraId="40A3DB7F" w14:textId="3837E216" w:rsidR="004C0A64" w:rsidRPr="00931B3D" w:rsidRDefault="004C0A64" w:rsidP="004C0A64">
      <w:pPr>
        <w:spacing w:line="360" w:lineRule="auto"/>
        <w:jc w:val="center"/>
        <w:rPr>
          <w:rFonts w:ascii="Arial" w:hAnsi="Arial" w:cs="Arial"/>
        </w:rPr>
      </w:pPr>
      <w:r w:rsidRPr="00931B3D">
        <w:rPr>
          <w:rFonts w:ascii="Arial" w:hAnsi="Arial" w:cs="Arial"/>
        </w:rPr>
        <w:t>(Source: Self-created)</w:t>
      </w:r>
    </w:p>
    <w:p w14:paraId="036F543B" w14:textId="77777777" w:rsidR="00233160" w:rsidRPr="00931B3D" w:rsidRDefault="00233160" w:rsidP="00233160">
      <w:pPr>
        <w:spacing w:line="360" w:lineRule="auto"/>
        <w:rPr>
          <w:rFonts w:ascii="Arial" w:hAnsi="Arial" w:cs="Arial"/>
        </w:rPr>
      </w:pPr>
      <w:r w:rsidRPr="00931B3D">
        <w:rPr>
          <w:rFonts w:ascii="Arial" w:hAnsi="Arial" w:cs="Arial"/>
        </w:rPr>
        <w:t>A Rich Picture of the case will help to see the complicated interactions involved. The infant and his/her family are placed in the center. Around there should be shown the hospital prescriber, ward pharmacist, community pharmacy, GP and regional formulary committee. The arrows will present the flow of the prescription, supply of the wrong concentration, lack of dose verification, and lack of feedback when the error happened. The communication problems will be shown between secondary care, in which the policy of RED drug is controlled, and primary care/community pharmacy, in which the dispensing happens. Workforce pressure, low digital maturity of some care environments, lack of access to specialized neonatal dosing references in community pharmacy and time pressure for staff will be represented as other factors.</w:t>
      </w:r>
    </w:p>
    <w:p w14:paraId="60FF0877" w14:textId="77777777" w:rsidR="00233160" w:rsidRPr="00931B3D" w:rsidRDefault="00233160" w:rsidP="00233160">
      <w:pPr>
        <w:spacing w:line="360" w:lineRule="auto"/>
        <w:rPr>
          <w:rFonts w:ascii="Arial" w:hAnsi="Arial" w:cs="Arial"/>
        </w:rPr>
      </w:pPr>
      <w:r w:rsidRPr="00931B3D">
        <w:rPr>
          <w:rFonts w:ascii="Arial" w:hAnsi="Arial" w:cs="Arial"/>
        </w:rPr>
        <w:t xml:space="preserve">The level of governance affecting the problem is represented at the local, regional, and national levels. Although the classification of the drugs as RED is a national policy mechanism, which aims to restrict the use of the high-risk medicines in non-specialist settings, the control of this process takes place at the trust and regional levels. Thus, the governance gap appears in the failure to control the process </w:t>
      </w:r>
      <w:proofErr w:type="gramStart"/>
      <w:r w:rsidRPr="00931B3D">
        <w:rPr>
          <w:rFonts w:ascii="Arial" w:hAnsi="Arial" w:cs="Arial"/>
        </w:rPr>
        <w:t>at the moment</w:t>
      </w:r>
      <w:proofErr w:type="gramEnd"/>
      <w:r w:rsidRPr="00931B3D">
        <w:rPr>
          <w:rFonts w:ascii="Arial" w:hAnsi="Arial" w:cs="Arial"/>
        </w:rPr>
        <w:t xml:space="preserve"> of discharge (Martins </w:t>
      </w:r>
      <w:r w:rsidRPr="00931B3D">
        <w:rPr>
          <w:rFonts w:ascii="Arial" w:hAnsi="Arial" w:cs="Arial"/>
          <w:i/>
          <w:iCs/>
        </w:rPr>
        <w:t>et al</w:t>
      </w:r>
      <w:r w:rsidRPr="00931B3D">
        <w:rPr>
          <w:rFonts w:ascii="Arial" w:hAnsi="Arial" w:cs="Arial"/>
        </w:rPr>
        <w:t>., 2021). Such underlying issues as workforce pressure, different digital maturity of the care environments, and lack of training on high-alert medications contributed to the risk. Such approach to the analysis of the incident helps to see it not as a tragic event but as a predictable consequence of the flaws in the design of the medication safety system.</w:t>
      </w:r>
    </w:p>
    <w:p w14:paraId="32F49D71" w14:textId="77777777" w:rsidR="00E20905" w:rsidRPr="00931B3D" w:rsidRDefault="00F74839" w:rsidP="00233160">
      <w:pPr>
        <w:pStyle w:val="Heading2"/>
        <w:spacing w:line="360" w:lineRule="auto"/>
        <w:rPr>
          <w:rFonts w:ascii="Arial" w:hAnsi="Arial" w:cs="Arial"/>
        </w:rPr>
      </w:pPr>
      <w:bookmarkStart w:id="3" w:name="_Toc236040691"/>
      <w:r w:rsidRPr="00931B3D">
        <w:rPr>
          <w:rFonts w:ascii="Arial" w:hAnsi="Arial" w:cs="Arial"/>
        </w:rPr>
        <w:t xml:space="preserve">b. </w:t>
      </w:r>
      <w:proofErr w:type="spellStart"/>
      <w:r w:rsidRPr="00931B3D">
        <w:rPr>
          <w:rFonts w:ascii="Arial" w:hAnsi="Arial" w:cs="Arial"/>
        </w:rPr>
        <w:t>Centralisation</w:t>
      </w:r>
      <w:proofErr w:type="spellEnd"/>
      <w:r w:rsidRPr="00931B3D">
        <w:rPr>
          <w:rFonts w:ascii="Arial" w:hAnsi="Arial" w:cs="Arial"/>
        </w:rPr>
        <w:t xml:space="preserve"> or </w:t>
      </w:r>
      <w:proofErr w:type="spellStart"/>
      <w:r w:rsidRPr="00931B3D">
        <w:rPr>
          <w:rFonts w:ascii="Arial" w:hAnsi="Arial" w:cs="Arial"/>
        </w:rPr>
        <w:t>Decentralisation</w:t>
      </w:r>
      <w:proofErr w:type="spellEnd"/>
      <w:r w:rsidRPr="00931B3D">
        <w:rPr>
          <w:rFonts w:ascii="Arial" w:hAnsi="Arial" w:cs="Arial"/>
        </w:rPr>
        <w:t xml:space="preserve"> within the Case Study</w:t>
      </w:r>
      <w:bookmarkEnd w:id="3"/>
      <w:r w:rsidRPr="00931B3D">
        <w:rPr>
          <w:rFonts w:ascii="Arial" w:hAnsi="Arial" w:cs="Arial"/>
        </w:rPr>
        <w:t xml:space="preserve"> </w:t>
      </w:r>
    </w:p>
    <w:p w14:paraId="6D48B437"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 xml:space="preserve">The morphine overdose case demonstrates interdependence of the processes of centralisation and decentralisation in the NHS and how interface problems between these two governance types can lead to severe medication safety issues. Many healthcare systems implement hybrid governance models which involve both centralized control and decentralized operation (Fong, 2022). This approach has several advantages but, at the same time, it can leave some system interfaces exposed due to poorly defined responsibilities, communications, and accountability measures (Martins </w:t>
      </w:r>
      <w:r w:rsidRPr="00931B3D">
        <w:rPr>
          <w:rFonts w:ascii="Arial" w:hAnsi="Arial" w:cs="Arial"/>
          <w:i/>
          <w:iCs/>
          <w:lang w:val="en-IN"/>
        </w:rPr>
        <w:t>et al</w:t>
      </w:r>
      <w:r w:rsidRPr="00931B3D">
        <w:rPr>
          <w:rFonts w:ascii="Arial" w:hAnsi="Arial" w:cs="Arial"/>
          <w:lang w:val="en-IN"/>
        </w:rPr>
        <w:t>., 2021). In this context, the discussed situation shows how the discrepancy between the centrally established policies and decentralized process of implementation can become a risk factor for medication safety even if the formal controls are in place.</w:t>
      </w:r>
    </w:p>
    <w:p w14:paraId="19369CB7"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 xml:space="preserve">Centralisation can be viewed as the transfer of decision-making and governing powers to higher organizational levels, thus allowing for standardization and coordination of policy implementation (Fong, 2022). Within the NHS, the classification of certain medicines as RED drugs is an example of the centrally governed process designed to ensure that high-risk medicines are used only by specialists and in clinically appropriate cases (NHS North East and Yorkshire, 2023). This measure should contribute to reducing the practice variance, improving patient safety, and ensuring that medications requiring special control will be dispensed and monitored by specialists (Martins </w:t>
      </w:r>
      <w:r w:rsidRPr="00931B3D">
        <w:rPr>
          <w:rFonts w:ascii="Arial" w:hAnsi="Arial" w:cs="Arial"/>
          <w:i/>
          <w:iCs/>
          <w:lang w:val="en-IN"/>
        </w:rPr>
        <w:t>et al</w:t>
      </w:r>
      <w:r w:rsidRPr="00931B3D">
        <w:rPr>
          <w:rFonts w:ascii="Arial" w:hAnsi="Arial" w:cs="Arial"/>
          <w:lang w:val="en-IN"/>
        </w:rPr>
        <w:t>., 2021). Some researchers believe that centralised governance allows improving standardization of care and reducing unwarranted practice variance, particularly in the context of administering high-risk interventions and caring for vulnerable populations (Fong, 2022). The classification of low-concentration morphine oral solution as a RED drug is evidence of the high-risk nature of the opioid medication in neonatal care.</w:t>
      </w:r>
    </w:p>
    <w:p w14:paraId="5F26E056"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 xml:space="preserve">However, the centralised model alone does not provide adequate safety guarantees. Research shows that the centrally developed policies often fail to work properly in the decentralized environment due to the diversity in organizational resources, digital readiness, professional capacities, and organizational culture (Johnson, Anderson and </w:t>
      </w:r>
      <w:proofErr w:type="spellStart"/>
      <w:r w:rsidRPr="00931B3D">
        <w:rPr>
          <w:rFonts w:ascii="Arial" w:hAnsi="Arial" w:cs="Arial"/>
          <w:lang w:val="en-IN"/>
        </w:rPr>
        <w:t>Rossow</w:t>
      </w:r>
      <w:proofErr w:type="spellEnd"/>
      <w:r w:rsidRPr="00931B3D">
        <w:rPr>
          <w:rFonts w:ascii="Arial" w:hAnsi="Arial" w:cs="Arial"/>
          <w:lang w:val="en-IN"/>
        </w:rPr>
        <w:t>, 2020). In the discussed situation, there was a centrally developed framework of policy aimed at preventing inappropriate use of a high-risk medicine, but the process of medication prescribing, dispensing, and communication were not able to ensure that the appropriate concentration was provided. This case illustrates that policy effectiveness depends not only on its proper strategic development but also on successful implementation at the local level (Fong, 2022). Thus, without proper communication mechanisms and safeguarding, the intended positive results of centralised governance model could not be achieved.</w:t>
      </w:r>
    </w:p>
    <w:p w14:paraId="7179247F"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 xml:space="preserve">By contrast, decentralisation is a distribution of the governing powers and responsibility to the local organizations and frontline professionals (Martins </w:t>
      </w:r>
      <w:r w:rsidRPr="00931B3D">
        <w:rPr>
          <w:rFonts w:ascii="Arial" w:hAnsi="Arial" w:cs="Arial"/>
          <w:i/>
          <w:iCs/>
          <w:lang w:val="en-IN"/>
        </w:rPr>
        <w:t>et al</w:t>
      </w:r>
      <w:r w:rsidRPr="00931B3D">
        <w:rPr>
          <w:rFonts w:ascii="Arial" w:hAnsi="Arial" w:cs="Arial"/>
          <w:lang w:val="en-IN"/>
        </w:rPr>
        <w:t>., 2021). The decentralized systems often enable doctors and managers to tailor the services according to the needs of the patient population and local conditions thus contributing to improving efficiency (Fong, 2022). In the morphine overdose case, the supply of the medication involved a lot of decentralised operations conducted by community pharmacies. The community pharmacist is responsible for the process of medications supply and may have to make his/her own professional judgement about the prescribing, appropriateness of a certain medication, and patient education (</w:t>
      </w:r>
      <w:proofErr w:type="spellStart"/>
      <w:r w:rsidRPr="00931B3D">
        <w:rPr>
          <w:rFonts w:ascii="Arial" w:hAnsi="Arial" w:cs="Arial"/>
          <w:lang w:val="en-IN"/>
        </w:rPr>
        <w:t>Rodziewicz</w:t>
      </w:r>
      <w:proofErr w:type="spellEnd"/>
      <w:r w:rsidRPr="00931B3D">
        <w:rPr>
          <w:rFonts w:ascii="Arial" w:hAnsi="Arial" w:cs="Arial"/>
          <w:lang w:val="en-IN"/>
        </w:rPr>
        <w:t xml:space="preserve">, Houseman and </w:t>
      </w:r>
      <w:proofErr w:type="spellStart"/>
      <w:r w:rsidRPr="00931B3D">
        <w:rPr>
          <w:rFonts w:ascii="Arial" w:hAnsi="Arial" w:cs="Arial"/>
          <w:lang w:val="en-IN"/>
        </w:rPr>
        <w:t>Hipskind</w:t>
      </w:r>
      <w:proofErr w:type="spellEnd"/>
      <w:r w:rsidRPr="00931B3D">
        <w:rPr>
          <w:rFonts w:ascii="Arial" w:hAnsi="Arial" w:cs="Arial"/>
          <w:lang w:val="en-IN"/>
        </w:rPr>
        <w:t xml:space="preserve">, 2024). However, the decentralised model can also increase the risk of mistakes when the local professionals do not have access to specialist information and decision-supporting technologies (Johnson, Anderson and </w:t>
      </w:r>
      <w:proofErr w:type="spellStart"/>
      <w:r w:rsidRPr="00931B3D">
        <w:rPr>
          <w:rFonts w:ascii="Arial" w:hAnsi="Arial" w:cs="Arial"/>
          <w:lang w:val="en-IN"/>
        </w:rPr>
        <w:t>Rossow</w:t>
      </w:r>
      <w:proofErr w:type="spellEnd"/>
      <w:r w:rsidRPr="00931B3D">
        <w:rPr>
          <w:rFonts w:ascii="Arial" w:hAnsi="Arial" w:cs="Arial"/>
          <w:lang w:val="en-IN"/>
        </w:rPr>
        <w:t>, 2020).</w:t>
      </w:r>
    </w:p>
    <w:p w14:paraId="4F7A137F"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 xml:space="preserve">The limits of decentralisation became obvious when the prescription moved to the community setting. The literature shows that the risk of medication-related incidents increases when responsibilities for patient care are transferred from one organization to another due to insufficient integration of information systems, professional routines, and governance mechanisms (Elliott </w:t>
      </w:r>
      <w:r w:rsidRPr="00931B3D">
        <w:rPr>
          <w:rFonts w:ascii="Arial" w:hAnsi="Arial" w:cs="Arial"/>
          <w:i/>
          <w:iCs/>
          <w:lang w:val="en-IN"/>
        </w:rPr>
        <w:t>et al</w:t>
      </w:r>
      <w:r w:rsidRPr="00931B3D">
        <w:rPr>
          <w:rFonts w:ascii="Arial" w:hAnsi="Arial" w:cs="Arial"/>
          <w:lang w:val="en-IN"/>
        </w:rPr>
        <w:t>., 2021). The community pharmacists work independently from the hospitals and may not have access to specialist protocols and decision support related to neonatal care and medications (</w:t>
      </w:r>
      <w:proofErr w:type="spellStart"/>
      <w:r w:rsidRPr="00931B3D">
        <w:rPr>
          <w:rFonts w:ascii="Arial" w:hAnsi="Arial" w:cs="Arial"/>
          <w:lang w:val="en-IN"/>
        </w:rPr>
        <w:t>Rodziewicz</w:t>
      </w:r>
      <w:proofErr w:type="spellEnd"/>
      <w:r w:rsidRPr="00931B3D">
        <w:rPr>
          <w:rFonts w:ascii="Arial" w:hAnsi="Arial" w:cs="Arial"/>
          <w:lang w:val="en-IN"/>
        </w:rPr>
        <w:t xml:space="preserve">, Houseman and </w:t>
      </w:r>
      <w:proofErr w:type="spellStart"/>
      <w:r w:rsidRPr="00931B3D">
        <w:rPr>
          <w:rFonts w:ascii="Arial" w:hAnsi="Arial" w:cs="Arial"/>
          <w:lang w:val="en-IN"/>
        </w:rPr>
        <w:t>Hipskind</w:t>
      </w:r>
      <w:proofErr w:type="spellEnd"/>
      <w:r w:rsidRPr="00931B3D">
        <w:rPr>
          <w:rFonts w:ascii="Arial" w:hAnsi="Arial" w:cs="Arial"/>
          <w:lang w:val="en-IN"/>
        </w:rPr>
        <w:t xml:space="preserve">, 2024). As a result, the decentralised environment did not include enough safeguards to detect and address the issue of incorrect medication concentration prior to its provision. There is evidence that the fragmented healthcare systems have more medication discrepancies, especially during the transition periods involving vulnerable patients (Martins </w:t>
      </w:r>
      <w:r w:rsidRPr="00931B3D">
        <w:rPr>
          <w:rFonts w:ascii="Arial" w:hAnsi="Arial" w:cs="Arial"/>
          <w:i/>
          <w:iCs/>
          <w:lang w:val="en-IN"/>
        </w:rPr>
        <w:t>et al</w:t>
      </w:r>
      <w:r w:rsidRPr="00931B3D">
        <w:rPr>
          <w:rFonts w:ascii="Arial" w:hAnsi="Arial" w:cs="Arial"/>
          <w:lang w:val="en-IN"/>
        </w:rPr>
        <w:t>., 2021).</w:t>
      </w:r>
    </w:p>
    <w:p w14:paraId="194AD69E"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 xml:space="preserve">The case also demonstrates how the hybrid governance arrangements create the accountability problem. The effective healthcare governance requires clear distribution of responsibilities throughout the patient journey, especially when the care is provided by multiple organizations (Fong, 2022). Nevertheless, hybrid governance models create the accountability problem because the responsibility for strategic planning and control is still centralised while the operational responsibility is shared by various providers (Martins </w:t>
      </w:r>
      <w:r w:rsidRPr="00931B3D">
        <w:rPr>
          <w:rFonts w:ascii="Arial" w:hAnsi="Arial" w:cs="Arial"/>
          <w:i/>
          <w:iCs/>
          <w:lang w:val="en-IN"/>
        </w:rPr>
        <w:t>et al</w:t>
      </w:r>
      <w:r w:rsidRPr="00931B3D">
        <w:rPr>
          <w:rFonts w:ascii="Arial" w:hAnsi="Arial" w:cs="Arial"/>
          <w:lang w:val="en-IN"/>
        </w:rPr>
        <w:t xml:space="preserve">., 2021). In this case, the strategic responsibility for initiating and supervising the use of RED drugs was retained in secondary care, but medication supply happened in the decentralized community setting. Such diffusion of responsibility is known as one of the main factors causing the patient safety incidents because no single provider retains all the control over the medication pathway (Johnson, Anderson and </w:t>
      </w:r>
      <w:proofErr w:type="spellStart"/>
      <w:r w:rsidRPr="00931B3D">
        <w:rPr>
          <w:rFonts w:ascii="Arial" w:hAnsi="Arial" w:cs="Arial"/>
          <w:lang w:val="en-IN"/>
        </w:rPr>
        <w:t>Rossow</w:t>
      </w:r>
      <w:proofErr w:type="spellEnd"/>
      <w:r w:rsidRPr="00931B3D">
        <w:rPr>
          <w:rFonts w:ascii="Arial" w:hAnsi="Arial" w:cs="Arial"/>
          <w:lang w:val="en-IN"/>
        </w:rPr>
        <w:t>, 2020). As a result, the chances of error going unnoticed increase significantly.</w:t>
      </w:r>
    </w:p>
    <w:p w14:paraId="671818F4"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 xml:space="preserve">Moreover, national research of medication safety provides additional evidence in support of the need to prevent interface problems. The recent estimate showed that around 237 million medication errors happen each year in England with the high-risk period being the transition between healthcare settings despite the small share of the total number of such errors (Elliott </w:t>
      </w:r>
      <w:r w:rsidRPr="00931B3D">
        <w:rPr>
          <w:rFonts w:ascii="Arial" w:hAnsi="Arial" w:cs="Arial"/>
          <w:i/>
          <w:iCs/>
          <w:lang w:val="en-IN"/>
        </w:rPr>
        <w:t>et al</w:t>
      </w:r>
      <w:r w:rsidRPr="00931B3D">
        <w:rPr>
          <w:rFonts w:ascii="Arial" w:hAnsi="Arial" w:cs="Arial"/>
          <w:lang w:val="en-IN"/>
        </w:rPr>
        <w:t xml:space="preserve">., 2021). Moreover, the neonatal patients are particularly vulnerable because they require complicated dosing regimens and multiple care transitions including specialist and community care (Henry Basil </w:t>
      </w:r>
      <w:r w:rsidRPr="00931B3D">
        <w:rPr>
          <w:rFonts w:ascii="Arial" w:hAnsi="Arial" w:cs="Arial"/>
          <w:i/>
          <w:iCs/>
          <w:lang w:val="en-IN"/>
        </w:rPr>
        <w:t>et al</w:t>
      </w:r>
      <w:r w:rsidRPr="00931B3D">
        <w:rPr>
          <w:rFonts w:ascii="Arial" w:hAnsi="Arial" w:cs="Arial"/>
          <w:lang w:val="en-IN"/>
        </w:rPr>
        <w:t xml:space="preserve">., 2025). Medication administration errors in neonatal care are highly correlated with communication problems, fragmentation of the system, and complexity of care (Henry Basil </w:t>
      </w:r>
      <w:r w:rsidRPr="00931B3D">
        <w:rPr>
          <w:rFonts w:ascii="Arial" w:hAnsi="Arial" w:cs="Arial"/>
          <w:i/>
          <w:iCs/>
          <w:lang w:val="en-IN"/>
        </w:rPr>
        <w:t>et al</w:t>
      </w:r>
      <w:r w:rsidRPr="00931B3D">
        <w:rPr>
          <w:rFonts w:ascii="Arial" w:hAnsi="Arial" w:cs="Arial"/>
          <w:lang w:val="en-IN"/>
        </w:rPr>
        <w:t xml:space="preserve">., 2022; Henry Basil </w:t>
      </w:r>
      <w:r w:rsidRPr="00931B3D">
        <w:rPr>
          <w:rFonts w:ascii="Arial" w:hAnsi="Arial" w:cs="Arial"/>
          <w:i/>
          <w:iCs/>
          <w:lang w:val="en-IN"/>
        </w:rPr>
        <w:t>et al</w:t>
      </w:r>
      <w:r w:rsidRPr="00931B3D">
        <w:rPr>
          <w:rFonts w:ascii="Arial" w:hAnsi="Arial" w:cs="Arial"/>
          <w:lang w:val="en-IN"/>
        </w:rPr>
        <w:t>., 2025).</w:t>
      </w:r>
    </w:p>
    <w:p w14:paraId="22823344" w14:textId="77777777" w:rsidR="00233160" w:rsidRPr="00931B3D" w:rsidRDefault="00233160" w:rsidP="00233160">
      <w:pPr>
        <w:spacing w:line="360" w:lineRule="auto"/>
        <w:rPr>
          <w:rFonts w:ascii="Arial" w:hAnsi="Arial" w:cs="Arial"/>
          <w:b/>
          <w:bCs/>
          <w:lang w:val="en-IN"/>
        </w:rPr>
      </w:pPr>
      <w:r w:rsidRPr="00931B3D">
        <w:rPr>
          <w:rFonts w:ascii="Arial" w:hAnsi="Arial" w:cs="Arial"/>
          <w:lang w:val="en-IN"/>
        </w:rPr>
        <w:t>Overall, this event of morphine overdose clearly indicates that centralization alone and decentralization alone will not suffice for achieving medication safety. Centralization gives proper strategy and standardization, whereas decentralization makes the delivery of services responsive and patient-</w:t>
      </w:r>
      <w:proofErr w:type="spellStart"/>
      <w:r w:rsidRPr="00931B3D">
        <w:rPr>
          <w:rFonts w:ascii="Arial" w:hAnsi="Arial" w:cs="Arial"/>
          <w:lang w:val="en-IN"/>
        </w:rPr>
        <w:t>centered</w:t>
      </w:r>
      <w:proofErr w:type="spellEnd"/>
      <w:r w:rsidRPr="00931B3D">
        <w:rPr>
          <w:rFonts w:ascii="Arial" w:hAnsi="Arial" w:cs="Arial"/>
          <w:lang w:val="en-IN"/>
        </w:rPr>
        <w:t xml:space="preserve"> (Fong, 2022). However, sustainability of safety needs to have an effective linkage between centralization and decentralization, backed by the proper structure of accountability, communication system, expertise, and governance mechanisms.</w:t>
      </w:r>
    </w:p>
    <w:p w14:paraId="77F57D62" w14:textId="77777777" w:rsidR="00E20905" w:rsidRPr="00931B3D" w:rsidRDefault="00F74839" w:rsidP="00233160">
      <w:pPr>
        <w:pStyle w:val="Heading2"/>
        <w:spacing w:line="360" w:lineRule="auto"/>
        <w:rPr>
          <w:rFonts w:ascii="Arial" w:hAnsi="Arial" w:cs="Arial"/>
        </w:rPr>
      </w:pPr>
      <w:bookmarkStart w:id="4" w:name="_Toc236040692"/>
      <w:r w:rsidRPr="00931B3D">
        <w:rPr>
          <w:rFonts w:ascii="Arial" w:hAnsi="Arial" w:cs="Arial"/>
        </w:rPr>
        <w:t>c. Leadership Theories and Application to the Case Study</w:t>
      </w:r>
      <w:bookmarkEnd w:id="4"/>
      <w:r w:rsidRPr="00931B3D">
        <w:rPr>
          <w:rFonts w:ascii="Arial" w:hAnsi="Arial" w:cs="Arial"/>
        </w:rPr>
        <w:t xml:space="preserve"> </w:t>
      </w:r>
    </w:p>
    <w:p w14:paraId="1FD815F5"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 xml:space="preserve">In general, the leadership theory plays a very significant part in explaining the reason why this morphine overdose case happened, as well as how to prevent such medication safety failures in the future. The work environment of any health care organization is very complicated, and leadership affects its culture, </w:t>
      </w:r>
      <w:proofErr w:type="spellStart"/>
      <w:r w:rsidRPr="00931B3D">
        <w:rPr>
          <w:rFonts w:ascii="Arial" w:hAnsi="Arial" w:cs="Arial"/>
          <w:lang w:val="en-IN"/>
        </w:rPr>
        <w:t>behavior</w:t>
      </w:r>
      <w:proofErr w:type="spellEnd"/>
      <w:r w:rsidRPr="00931B3D">
        <w:rPr>
          <w:rFonts w:ascii="Arial" w:hAnsi="Arial" w:cs="Arial"/>
          <w:lang w:val="en-IN"/>
        </w:rPr>
        <w:t xml:space="preserve"> of staff members, decision-making processes, and the patient outcomes (Wei and Horton-Deutsch, 2022). As research shows, there is a strong association between good leadership and better patient safety, lower adverse events, better teamwork, and employee engagement (</w:t>
      </w:r>
      <w:proofErr w:type="spellStart"/>
      <w:r w:rsidRPr="00931B3D">
        <w:rPr>
          <w:rFonts w:ascii="Arial" w:hAnsi="Arial" w:cs="Arial"/>
          <w:lang w:val="en-IN"/>
        </w:rPr>
        <w:t>Ystaas</w:t>
      </w:r>
      <w:proofErr w:type="spellEnd"/>
      <w:r w:rsidRPr="00931B3D">
        <w:rPr>
          <w:rFonts w:ascii="Arial" w:hAnsi="Arial" w:cs="Arial"/>
          <w:lang w:val="en-IN"/>
        </w:rPr>
        <w:t xml:space="preserve"> </w:t>
      </w:r>
      <w:r w:rsidRPr="00931B3D">
        <w:rPr>
          <w:rFonts w:ascii="Arial" w:hAnsi="Arial" w:cs="Arial"/>
          <w:i/>
          <w:iCs/>
          <w:lang w:val="en-IN"/>
        </w:rPr>
        <w:t>et al</w:t>
      </w:r>
      <w:r w:rsidRPr="00931B3D">
        <w:rPr>
          <w:rFonts w:ascii="Arial" w:hAnsi="Arial" w:cs="Arial"/>
          <w:lang w:val="en-IN"/>
        </w:rPr>
        <w:t xml:space="preserve">., 2023). Thus, </w:t>
      </w:r>
      <w:proofErr w:type="spellStart"/>
      <w:r w:rsidRPr="00931B3D">
        <w:rPr>
          <w:rFonts w:ascii="Arial" w:hAnsi="Arial" w:cs="Arial"/>
          <w:lang w:val="en-IN"/>
        </w:rPr>
        <w:t>analyzing</w:t>
      </w:r>
      <w:proofErr w:type="spellEnd"/>
      <w:r w:rsidRPr="00931B3D">
        <w:rPr>
          <w:rFonts w:ascii="Arial" w:hAnsi="Arial" w:cs="Arial"/>
          <w:lang w:val="en-IN"/>
        </w:rPr>
        <w:t xml:space="preserve"> the leadership aspects of this case can help understand the organizational reasons of this medication error.</w:t>
      </w:r>
    </w:p>
    <w:p w14:paraId="3FCF2D7F"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 xml:space="preserve">Firstly, the question arises about the nature of leadership in this hospital. It should be noted that transformational leadership can play a very important role while considering cases of medication safety failures. The main features of transformational leaders are motivation and inspiration of employees through shared vision, intellectual stimulation, individualized consideration, and role </w:t>
      </w:r>
      <w:proofErr w:type="spellStart"/>
      <w:r w:rsidRPr="00931B3D">
        <w:rPr>
          <w:rFonts w:ascii="Arial" w:hAnsi="Arial" w:cs="Arial"/>
          <w:lang w:val="en-IN"/>
        </w:rPr>
        <w:t>modeling</w:t>
      </w:r>
      <w:proofErr w:type="spellEnd"/>
      <w:r w:rsidRPr="00931B3D">
        <w:rPr>
          <w:rFonts w:ascii="Arial" w:hAnsi="Arial" w:cs="Arial"/>
          <w:lang w:val="en-IN"/>
        </w:rPr>
        <w:t xml:space="preserve"> (</w:t>
      </w:r>
      <w:proofErr w:type="spellStart"/>
      <w:r w:rsidRPr="00931B3D">
        <w:rPr>
          <w:rFonts w:ascii="Arial" w:hAnsi="Arial" w:cs="Arial"/>
          <w:lang w:val="en-IN"/>
        </w:rPr>
        <w:t>Ystaas</w:t>
      </w:r>
      <w:proofErr w:type="spellEnd"/>
      <w:r w:rsidRPr="00931B3D">
        <w:rPr>
          <w:rFonts w:ascii="Arial" w:hAnsi="Arial" w:cs="Arial"/>
          <w:lang w:val="en-IN"/>
        </w:rPr>
        <w:t xml:space="preserve"> </w:t>
      </w:r>
      <w:r w:rsidRPr="00931B3D">
        <w:rPr>
          <w:rFonts w:ascii="Arial" w:hAnsi="Arial" w:cs="Arial"/>
          <w:i/>
          <w:iCs/>
          <w:lang w:val="en-IN"/>
        </w:rPr>
        <w:t>et al</w:t>
      </w:r>
      <w:r w:rsidRPr="00931B3D">
        <w:rPr>
          <w:rFonts w:ascii="Arial" w:hAnsi="Arial" w:cs="Arial"/>
          <w:lang w:val="en-IN"/>
        </w:rPr>
        <w:t>., 2023). There is consistent empirical evidence from several systematic reviews proving that there is a positive correlation between patient safety culture, quality improvement processes, and reporting of errors and near-misses and transformational leadership style (</w:t>
      </w:r>
      <w:proofErr w:type="spellStart"/>
      <w:r w:rsidRPr="00931B3D">
        <w:rPr>
          <w:rFonts w:ascii="Arial" w:hAnsi="Arial" w:cs="Arial"/>
          <w:lang w:val="en-IN"/>
        </w:rPr>
        <w:t>Ystaas</w:t>
      </w:r>
      <w:proofErr w:type="spellEnd"/>
      <w:r w:rsidRPr="00931B3D">
        <w:rPr>
          <w:rFonts w:ascii="Arial" w:hAnsi="Arial" w:cs="Arial"/>
          <w:lang w:val="en-IN"/>
        </w:rPr>
        <w:t xml:space="preserve"> </w:t>
      </w:r>
      <w:r w:rsidRPr="00931B3D">
        <w:rPr>
          <w:rFonts w:ascii="Arial" w:hAnsi="Arial" w:cs="Arial"/>
          <w:i/>
          <w:iCs/>
          <w:lang w:val="en-IN"/>
        </w:rPr>
        <w:t>et al</w:t>
      </w:r>
      <w:r w:rsidRPr="00931B3D">
        <w:rPr>
          <w:rFonts w:ascii="Arial" w:hAnsi="Arial" w:cs="Arial"/>
          <w:lang w:val="en-IN"/>
        </w:rPr>
        <w:t>., 2023). In its turn, the essence of transactional leadership is that this type of leaders manages organizational activities through such means as rules, compliance control, rewards, and correction of deviations (Wei and Horton-Deutsch, 2022). Transactional approaches are necessary for ensuring compliance with existing protocols, but they are usually not enough for creating safety culture in healthcare settings (Wei and Horton-Deutsch, 2022).</w:t>
      </w:r>
    </w:p>
    <w:p w14:paraId="0A1144A5"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 xml:space="preserve">From the above analysis, it is possible to conclude that the predominance of transactional leadership was evident during this case. The existing red drug policy can be considered as the example of transactional control mechanism aimed at minimizing the risk through rules and restrictions concerning prescribing and dispensing (NHS North East and Yorkshire, 2023). The implementation of such rules and policies is necessary for managing risky drugs, but the evidence proves that compliance approaches rarely solve safety issues in healthcare, as the process of delivering services involves constant adaptation to various situations (Johnson, Anderson and </w:t>
      </w:r>
      <w:proofErr w:type="spellStart"/>
      <w:r w:rsidRPr="00931B3D">
        <w:rPr>
          <w:rFonts w:ascii="Arial" w:hAnsi="Arial" w:cs="Arial"/>
          <w:lang w:val="en-IN"/>
        </w:rPr>
        <w:t>Rossow</w:t>
      </w:r>
      <w:proofErr w:type="spellEnd"/>
      <w:r w:rsidRPr="00931B3D">
        <w:rPr>
          <w:rFonts w:ascii="Arial" w:hAnsi="Arial" w:cs="Arial"/>
          <w:lang w:val="en-IN"/>
        </w:rPr>
        <w:t>, 2020). Effective leaders need to move beyond compliance with protocols and motivate staff to understand the meaning of safety measures (Wei and Horton-Deutsch, 2022). In this case, despite the existence of red drug policies, it was not enough to ensure safe practices.</w:t>
      </w:r>
    </w:p>
    <w:p w14:paraId="538329CF"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 xml:space="preserve">Distributed leadership theory gives the opportunity to </w:t>
      </w:r>
      <w:proofErr w:type="spellStart"/>
      <w:r w:rsidRPr="00931B3D">
        <w:rPr>
          <w:rFonts w:ascii="Arial" w:hAnsi="Arial" w:cs="Arial"/>
          <w:lang w:val="en-IN"/>
        </w:rPr>
        <w:t>analyze</w:t>
      </w:r>
      <w:proofErr w:type="spellEnd"/>
      <w:r w:rsidRPr="00931B3D">
        <w:rPr>
          <w:rFonts w:ascii="Arial" w:hAnsi="Arial" w:cs="Arial"/>
          <w:lang w:val="en-IN"/>
        </w:rPr>
        <w:t xml:space="preserve"> this case from a different point of view. The distributed leadership means the distribution of the leadership roles among several people or professional groups, rather than focusing these roles only on managerial positions (Kleine </w:t>
      </w:r>
      <w:r w:rsidRPr="00931B3D">
        <w:rPr>
          <w:rFonts w:ascii="Arial" w:hAnsi="Arial" w:cs="Arial"/>
          <w:i/>
          <w:iCs/>
          <w:lang w:val="en-IN"/>
        </w:rPr>
        <w:t>et al</w:t>
      </w:r>
      <w:r w:rsidRPr="00931B3D">
        <w:rPr>
          <w:rFonts w:ascii="Arial" w:hAnsi="Arial" w:cs="Arial"/>
          <w:lang w:val="en-IN"/>
        </w:rPr>
        <w:t xml:space="preserve">., 2024). In healthcare organizations, distributed leadership has been linked with improved communication and collaboration among professionals and higher adaptability to patient safety challenges (Kleine </w:t>
      </w:r>
      <w:r w:rsidRPr="00931B3D">
        <w:rPr>
          <w:rFonts w:ascii="Arial" w:hAnsi="Arial" w:cs="Arial"/>
          <w:i/>
          <w:iCs/>
          <w:lang w:val="en-IN"/>
        </w:rPr>
        <w:t>et al</w:t>
      </w:r>
      <w:r w:rsidRPr="00931B3D">
        <w:rPr>
          <w:rFonts w:ascii="Arial" w:hAnsi="Arial" w:cs="Arial"/>
          <w:lang w:val="en-IN"/>
        </w:rPr>
        <w:t>., 2024). Medication safety is impossible without the joint effort of prescribers, pharmacists, nurses, managers, and patients who act as participants in risk management (</w:t>
      </w:r>
      <w:proofErr w:type="spellStart"/>
      <w:r w:rsidRPr="00931B3D">
        <w:rPr>
          <w:rFonts w:ascii="Arial" w:hAnsi="Arial" w:cs="Arial"/>
          <w:lang w:val="en-IN"/>
        </w:rPr>
        <w:t>Rodziewicz</w:t>
      </w:r>
      <w:proofErr w:type="spellEnd"/>
      <w:r w:rsidRPr="00931B3D">
        <w:rPr>
          <w:rFonts w:ascii="Arial" w:hAnsi="Arial" w:cs="Arial"/>
          <w:lang w:val="en-IN"/>
        </w:rPr>
        <w:t xml:space="preserve">, Houseman and </w:t>
      </w:r>
      <w:proofErr w:type="spellStart"/>
      <w:r w:rsidRPr="00931B3D">
        <w:rPr>
          <w:rFonts w:ascii="Arial" w:hAnsi="Arial" w:cs="Arial"/>
          <w:lang w:val="en-IN"/>
        </w:rPr>
        <w:t>Hipskind</w:t>
      </w:r>
      <w:proofErr w:type="spellEnd"/>
      <w:r w:rsidRPr="00931B3D">
        <w:rPr>
          <w:rFonts w:ascii="Arial" w:hAnsi="Arial" w:cs="Arial"/>
          <w:lang w:val="en-IN"/>
        </w:rPr>
        <w:t xml:space="preserve">, 2024). However, in this case, the medication pathway involves sequential handovers and not a collaborative verification of prescriptions by pharmacists. The absence of mechanisms allowing pharmacists to consult specialists directly and to check abnormal morphine concentrations shows that the principles of distributed leadership were not properly implemented (Kleine </w:t>
      </w:r>
      <w:r w:rsidRPr="00931B3D">
        <w:rPr>
          <w:rFonts w:ascii="Arial" w:hAnsi="Arial" w:cs="Arial"/>
          <w:i/>
          <w:iCs/>
          <w:lang w:val="en-IN"/>
        </w:rPr>
        <w:t>et al</w:t>
      </w:r>
      <w:r w:rsidRPr="00931B3D">
        <w:rPr>
          <w:rFonts w:ascii="Arial" w:hAnsi="Arial" w:cs="Arial"/>
          <w:lang w:val="en-IN"/>
        </w:rPr>
        <w:t>., 2024).</w:t>
      </w:r>
    </w:p>
    <w:p w14:paraId="69E7C90E"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 xml:space="preserve">The concept of safety culture also reveals the significance of leadership in the prevention of medication errors. The safety culture implies the set of shared values, attitudes, beliefs, and </w:t>
      </w:r>
      <w:proofErr w:type="spellStart"/>
      <w:r w:rsidRPr="00931B3D">
        <w:rPr>
          <w:rFonts w:ascii="Arial" w:hAnsi="Arial" w:cs="Arial"/>
          <w:lang w:val="en-IN"/>
        </w:rPr>
        <w:t>behaviors</w:t>
      </w:r>
      <w:proofErr w:type="spellEnd"/>
      <w:r w:rsidRPr="00931B3D">
        <w:rPr>
          <w:rFonts w:ascii="Arial" w:hAnsi="Arial" w:cs="Arial"/>
          <w:lang w:val="en-IN"/>
        </w:rPr>
        <w:t xml:space="preserve"> influencing the approach of the organization to prioritization and management of safety risks (Davis </w:t>
      </w:r>
      <w:r w:rsidRPr="00931B3D">
        <w:rPr>
          <w:rFonts w:ascii="Arial" w:hAnsi="Arial" w:cs="Arial"/>
          <w:i/>
          <w:iCs/>
          <w:lang w:val="en-IN"/>
        </w:rPr>
        <w:t>et al</w:t>
      </w:r>
      <w:r w:rsidRPr="00931B3D">
        <w:rPr>
          <w:rFonts w:ascii="Arial" w:hAnsi="Arial" w:cs="Arial"/>
          <w:lang w:val="en-IN"/>
        </w:rPr>
        <w:t xml:space="preserve">., 2025). The studies show that there is a strong association between good safety culture and high levels of transformational leadership (Davis </w:t>
      </w:r>
      <w:r w:rsidRPr="00931B3D">
        <w:rPr>
          <w:rFonts w:ascii="Arial" w:hAnsi="Arial" w:cs="Arial"/>
          <w:i/>
          <w:iCs/>
          <w:lang w:val="en-IN"/>
        </w:rPr>
        <w:t>et al</w:t>
      </w:r>
      <w:r w:rsidRPr="00931B3D">
        <w:rPr>
          <w:rFonts w:ascii="Arial" w:hAnsi="Arial" w:cs="Arial"/>
          <w:lang w:val="en-IN"/>
        </w:rPr>
        <w:t>., 2025). Moreover, the Healthcare Safety Investigation Branch found out that this overdose was the fifth similar case of morphine concentration error that happened in 2018-2022 (Healthcare Safety Investigation Branch, 2022). It can prove that previous cases did not provide organizational learning for preventing these errors, which can be explained by the weak leadership practices concerning learning, feedback, and re-designing of systems. Transformational leaders try to learn from incidents and improve the system using them (</w:t>
      </w:r>
      <w:proofErr w:type="spellStart"/>
      <w:r w:rsidRPr="00931B3D">
        <w:rPr>
          <w:rFonts w:ascii="Arial" w:hAnsi="Arial" w:cs="Arial"/>
          <w:lang w:val="en-IN"/>
        </w:rPr>
        <w:t>Ystaas</w:t>
      </w:r>
      <w:proofErr w:type="spellEnd"/>
      <w:r w:rsidRPr="00931B3D">
        <w:rPr>
          <w:rFonts w:ascii="Arial" w:hAnsi="Arial" w:cs="Arial"/>
          <w:lang w:val="en-IN"/>
        </w:rPr>
        <w:t xml:space="preserve"> </w:t>
      </w:r>
      <w:r w:rsidRPr="00931B3D">
        <w:rPr>
          <w:rFonts w:ascii="Arial" w:hAnsi="Arial" w:cs="Arial"/>
          <w:i/>
          <w:iCs/>
          <w:lang w:val="en-IN"/>
        </w:rPr>
        <w:t>et al</w:t>
      </w:r>
      <w:r w:rsidRPr="00931B3D">
        <w:rPr>
          <w:rFonts w:ascii="Arial" w:hAnsi="Arial" w:cs="Arial"/>
          <w:lang w:val="en-IN"/>
        </w:rPr>
        <w:t>., 2023).</w:t>
      </w:r>
    </w:p>
    <w:p w14:paraId="7C191CA3"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 xml:space="preserve">Situational leadership theory also helps understand the case better. This theory is based on the assumption that good leaders adjust their styles to the complexity of situation and competencies of those who are involved (Wei and Horton-Deutsch, 2022). Thus, in medication safety, the situational leaders may use directive style of leadership to ensure compliance with protocols and procedures especially for managing high-risk medications. However, transformational </w:t>
      </w:r>
      <w:proofErr w:type="spellStart"/>
      <w:r w:rsidRPr="00931B3D">
        <w:rPr>
          <w:rFonts w:ascii="Arial" w:hAnsi="Arial" w:cs="Arial"/>
          <w:lang w:val="en-IN"/>
        </w:rPr>
        <w:t>behaviors</w:t>
      </w:r>
      <w:proofErr w:type="spellEnd"/>
      <w:r w:rsidRPr="00931B3D">
        <w:rPr>
          <w:rFonts w:ascii="Arial" w:hAnsi="Arial" w:cs="Arial"/>
          <w:lang w:val="en-IN"/>
        </w:rPr>
        <w:t xml:space="preserve"> promoting innovation and professional development are crucial for long-term safety improvement (Wei and Horton-Deutsch, 2022). The case demonstrates the imbalance between these two styles; there is a great focus on compliance and no attention to relationships building and learning.</w:t>
      </w:r>
    </w:p>
    <w:p w14:paraId="6A6C9166"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 xml:space="preserve">Just culture principles are very important for assessing the leadership responses to medication errors. Just culture assumes that most incidents happen due to the system failure and not malpractice and thus learning is the main way of addressing them (Murray </w:t>
      </w:r>
      <w:r w:rsidRPr="00931B3D">
        <w:rPr>
          <w:rFonts w:ascii="Arial" w:hAnsi="Arial" w:cs="Arial"/>
          <w:i/>
          <w:iCs/>
          <w:lang w:val="en-IN"/>
        </w:rPr>
        <w:t>et al</w:t>
      </w:r>
      <w:r w:rsidRPr="00931B3D">
        <w:rPr>
          <w:rFonts w:ascii="Arial" w:hAnsi="Arial" w:cs="Arial"/>
          <w:lang w:val="en-IN"/>
        </w:rPr>
        <w:t xml:space="preserve">., 2023). There is consistent evidence from the researches that the implementation of the just culture programs leads to better reporting </w:t>
      </w:r>
      <w:proofErr w:type="spellStart"/>
      <w:r w:rsidRPr="00931B3D">
        <w:rPr>
          <w:rFonts w:ascii="Arial" w:hAnsi="Arial" w:cs="Arial"/>
          <w:lang w:val="en-IN"/>
        </w:rPr>
        <w:t>behavior</w:t>
      </w:r>
      <w:proofErr w:type="spellEnd"/>
      <w:r w:rsidRPr="00931B3D">
        <w:rPr>
          <w:rFonts w:ascii="Arial" w:hAnsi="Arial" w:cs="Arial"/>
          <w:lang w:val="en-IN"/>
        </w:rPr>
        <w:t xml:space="preserve"> and decreased fear of retaliation (Mohamed </w:t>
      </w:r>
      <w:proofErr w:type="spellStart"/>
      <w:r w:rsidRPr="00931B3D">
        <w:rPr>
          <w:rFonts w:ascii="Arial" w:hAnsi="Arial" w:cs="Arial"/>
          <w:lang w:val="en-IN"/>
        </w:rPr>
        <w:t>Badran</w:t>
      </w:r>
      <w:proofErr w:type="spellEnd"/>
      <w:r w:rsidRPr="00931B3D">
        <w:rPr>
          <w:rFonts w:ascii="Arial" w:hAnsi="Arial" w:cs="Arial"/>
          <w:lang w:val="en-IN"/>
        </w:rPr>
        <w:t xml:space="preserve"> </w:t>
      </w:r>
      <w:r w:rsidRPr="00931B3D">
        <w:rPr>
          <w:rFonts w:ascii="Arial" w:hAnsi="Arial" w:cs="Arial"/>
          <w:i/>
          <w:iCs/>
          <w:lang w:val="en-IN"/>
        </w:rPr>
        <w:t>et al</w:t>
      </w:r>
      <w:r w:rsidRPr="00931B3D">
        <w:rPr>
          <w:rFonts w:ascii="Arial" w:hAnsi="Arial" w:cs="Arial"/>
          <w:lang w:val="en-IN"/>
        </w:rPr>
        <w:t xml:space="preserve">., 2026). The leaders play the key role in establishment of psychological safety needed for raising concerns, reporting mistakes, and challenging unsafe practices without being punished (Davis </w:t>
      </w:r>
      <w:r w:rsidRPr="00931B3D">
        <w:rPr>
          <w:rFonts w:ascii="Arial" w:hAnsi="Arial" w:cs="Arial"/>
          <w:i/>
          <w:iCs/>
          <w:lang w:val="en-IN"/>
        </w:rPr>
        <w:t>et al</w:t>
      </w:r>
      <w:r w:rsidRPr="00931B3D">
        <w:rPr>
          <w:rFonts w:ascii="Arial" w:hAnsi="Arial" w:cs="Arial"/>
          <w:lang w:val="en-IN"/>
        </w:rPr>
        <w:t>., 2025).</w:t>
      </w:r>
    </w:p>
    <w:p w14:paraId="07F1632C" w14:textId="77777777" w:rsidR="00EF7A54" w:rsidRPr="00931B3D" w:rsidRDefault="00EF7A54" w:rsidP="00EF7A54">
      <w:pPr>
        <w:spacing w:line="360" w:lineRule="auto"/>
        <w:rPr>
          <w:rFonts w:ascii="Arial" w:hAnsi="Arial" w:cs="Arial"/>
          <w:lang w:val="en-IN"/>
        </w:rPr>
      </w:pPr>
      <w:r w:rsidRPr="00931B3D">
        <w:rPr>
          <w:rFonts w:ascii="Arial" w:hAnsi="Arial" w:cs="Arial"/>
          <w:lang w:val="en-IN"/>
        </w:rPr>
        <w:t>The additional theories which are relevant here are those of behavioural leadership theory. This theory examines leadership based on the actions of the leaders, differentiating between task-related behaviours such as work structuring, goal setting and monitoring and people-related behaviours such as consideration, developing and nurturing relationships with subordinates. In the present case, there was too much task-related and too little people-related leadership in connection with the RED drug policy, which did not provide sufficient motivation to the community pharmacist or any other front-line worker to query the unusual concentration of morphine, thus contributing to the failure of the safeguards available.</w:t>
      </w:r>
    </w:p>
    <w:p w14:paraId="5276442F" w14:textId="77777777" w:rsidR="00EF7A54" w:rsidRPr="00931B3D" w:rsidRDefault="00EF7A54" w:rsidP="00EF7A54">
      <w:pPr>
        <w:spacing w:line="360" w:lineRule="auto"/>
        <w:rPr>
          <w:rFonts w:ascii="Arial" w:hAnsi="Arial" w:cs="Arial"/>
          <w:lang w:val="en-IN"/>
        </w:rPr>
      </w:pPr>
      <w:r w:rsidRPr="00931B3D">
        <w:rPr>
          <w:rFonts w:ascii="Arial" w:hAnsi="Arial" w:cs="Arial"/>
          <w:lang w:val="en-IN"/>
        </w:rPr>
        <w:t>Theory X and Theory Y describe two fundamentally different approaches to human motivation at work (McGregor, 1960). Theory X presumes that the nature of people is inherently to dislike work and they have to be controlled, directed and punished to make them perform at their best. Theory Y states that people inherently enjoy working as much as they enjoy playing, and they do not need external control as long as they are motivated and committed to organisational objectives. The strong reliance on rigid RED-drug rules and controls in the current case indicates Theory X approach. If Theory Y approach was used, then the front-line workers in secondary care and community pharmacies would feel responsible for performing safety check and reporting unusual prescriptions.</w:t>
      </w:r>
    </w:p>
    <w:p w14:paraId="1E229791" w14:textId="77777777" w:rsidR="00EF7A54" w:rsidRPr="00931B3D" w:rsidRDefault="00EF7A54" w:rsidP="00EF7A54">
      <w:pPr>
        <w:spacing w:line="360" w:lineRule="auto"/>
        <w:rPr>
          <w:rFonts w:ascii="Arial" w:hAnsi="Arial" w:cs="Arial"/>
          <w:lang w:val="en-IN"/>
        </w:rPr>
      </w:pPr>
      <w:r w:rsidRPr="00931B3D">
        <w:rPr>
          <w:rFonts w:ascii="Arial" w:hAnsi="Arial" w:cs="Arial"/>
          <w:lang w:val="en-IN"/>
        </w:rPr>
        <w:t>Theory Z combines Theory Y with Japanese management techniques and principles of management and emphasises the importance of long-term employment relations, collective decision-making, mutual trust and organisational loyalty (</w:t>
      </w:r>
      <w:proofErr w:type="spellStart"/>
      <w:r w:rsidRPr="00931B3D">
        <w:rPr>
          <w:rFonts w:ascii="Arial" w:hAnsi="Arial" w:cs="Arial"/>
          <w:lang w:val="en-IN"/>
        </w:rPr>
        <w:t>Ouchi</w:t>
      </w:r>
      <w:proofErr w:type="spellEnd"/>
      <w:r w:rsidRPr="00931B3D">
        <w:rPr>
          <w:rFonts w:ascii="Arial" w:hAnsi="Arial" w:cs="Arial"/>
          <w:lang w:val="en-IN"/>
        </w:rPr>
        <w:t>, 1981). The application of Theory Z principles in the present case would lead to closer collaboration and more accountability among specialists of hospitals and community pharmacists and would avoid the diffusion of responsibility that made it possible to distribute the medicine with incorrect concentration.</w:t>
      </w:r>
    </w:p>
    <w:p w14:paraId="14BE6926" w14:textId="301D5D02" w:rsidR="00EF7A54" w:rsidRPr="00931B3D" w:rsidRDefault="00EF7A54" w:rsidP="00EF7A54">
      <w:pPr>
        <w:spacing w:line="360" w:lineRule="auto"/>
        <w:rPr>
          <w:rFonts w:ascii="Arial" w:hAnsi="Arial" w:cs="Arial"/>
          <w:lang w:val="en-IN"/>
        </w:rPr>
      </w:pPr>
      <w:r w:rsidRPr="00931B3D">
        <w:rPr>
          <w:rFonts w:ascii="Arial" w:hAnsi="Arial" w:cs="Arial"/>
          <w:lang w:val="en-IN"/>
        </w:rPr>
        <w:t xml:space="preserve">Finally, the continuum of leadership </w:t>
      </w:r>
      <w:proofErr w:type="spellStart"/>
      <w:r w:rsidRPr="00931B3D">
        <w:rPr>
          <w:rFonts w:ascii="Arial" w:hAnsi="Arial" w:cs="Arial"/>
          <w:lang w:val="en-IN"/>
        </w:rPr>
        <w:t>behavior</w:t>
      </w:r>
      <w:proofErr w:type="spellEnd"/>
      <w:r w:rsidRPr="00931B3D">
        <w:rPr>
          <w:rFonts w:ascii="Arial" w:hAnsi="Arial" w:cs="Arial"/>
          <w:lang w:val="en-IN"/>
        </w:rPr>
        <w:t xml:space="preserve"> described by Tannenbaum and Schmidt includes a range of leadership styles starting with highly autocratic (the leader makes the decision and announces it), intermediate consultative styles and ending up with the fully democratic style where the team makes the decision within the set boundaries (Tannenbaum and Schmidt, 1973). The decision-making and verification process concerning high-risk drugs in the case under discussion was highly autocratic, with minimum consultation and delegation of the verification process to the community pharmacists. Consulting and participating styles would allow detecting the concentration mismatch much earlier through problem-solving at the interface of hospital and community.</w:t>
      </w:r>
    </w:p>
    <w:p w14:paraId="538C9A13" w14:textId="77777777" w:rsidR="00233160" w:rsidRPr="00931B3D" w:rsidRDefault="00233160" w:rsidP="00233160">
      <w:pPr>
        <w:spacing w:line="360" w:lineRule="auto"/>
        <w:rPr>
          <w:rFonts w:ascii="Arial" w:hAnsi="Arial" w:cs="Arial"/>
          <w:b/>
          <w:bCs/>
          <w:lang w:val="en-IN"/>
        </w:rPr>
      </w:pPr>
      <w:r w:rsidRPr="00931B3D">
        <w:rPr>
          <w:rFonts w:ascii="Arial" w:hAnsi="Arial" w:cs="Arial"/>
          <w:lang w:val="en-IN"/>
        </w:rPr>
        <w:t>On the whole, the morphine overdose case study highlights the impact of deficiencies in leadership approaches on patient safety failures. Transactional controls being predominant, insufficient use of distributed leadership, lack of organisational learning, and lack of attention paid to just culture collectively made the system less capable of avoiding repeated medication mistakes. Further development will require leaders who have an approach that combines transformational, situational, and distributed leadership along with creating a psychologically safe environment where people share responsibility for organisational learning in medication safety (</w:t>
      </w:r>
      <w:proofErr w:type="spellStart"/>
      <w:r w:rsidRPr="00931B3D">
        <w:rPr>
          <w:rFonts w:ascii="Arial" w:hAnsi="Arial" w:cs="Arial"/>
          <w:lang w:val="en-IN"/>
        </w:rPr>
        <w:t>Ystaas</w:t>
      </w:r>
      <w:proofErr w:type="spellEnd"/>
      <w:r w:rsidRPr="00931B3D">
        <w:rPr>
          <w:rFonts w:ascii="Arial" w:hAnsi="Arial" w:cs="Arial"/>
          <w:lang w:val="en-IN"/>
        </w:rPr>
        <w:t xml:space="preserve"> </w:t>
      </w:r>
      <w:r w:rsidRPr="00931B3D">
        <w:rPr>
          <w:rFonts w:ascii="Arial" w:hAnsi="Arial" w:cs="Arial"/>
          <w:i/>
          <w:iCs/>
          <w:lang w:val="en-IN"/>
        </w:rPr>
        <w:t>et al</w:t>
      </w:r>
      <w:r w:rsidRPr="00931B3D">
        <w:rPr>
          <w:rFonts w:ascii="Arial" w:hAnsi="Arial" w:cs="Arial"/>
          <w:lang w:val="en-IN"/>
        </w:rPr>
        <w:t>., 2023; Wei &amp; Horton-Deutsch, 2022).</w:t>
      </w:r>
    </w:p>
    <w:p w14:paraId="53FFA32B" w14:textId="77777777" w:rsidR="00E20905" w:rsidRPr="00931B3D" w:rsidRDefault="00F74839" w:rsidP="00233160">
      <w:pPr>
        <w:pStyle w:val="Heading2"/>
        <w:spacing w:line="360" w:lineRule="auto"/>
        <w:rPr>
          <w:rFonts w:ascii="Arial" w:hAnsi="Arial" w:cs="Arial"/>
        </w:rPr>
      </w:pPr>
      <w:bookmarkStart w:id="5" w:name="_Toc236040693"/>
      <w:r w:rsidRPr="00931B3D">
        <w:rPr>
          <w:rFonts w:ascii="Arial" w:hAnsi="Arial" w:cs="Arial"/>
        </w:rPr>
        <w:t>d. Improvement and Lessons Learned</w:t>
      </w:r>
      <w:bookmarkEnd w:id="5"/>
      <w:r w:rsidRPr="00931B3D">
        <w:rPr>
          <w:rFonts w:ascii="Arial" w:hAnsi="Arial" w:cs="Arial"/>
        </w:rPr>
        <w:t xml:space="preserve"> </w:t>
      </w:r>
    </w:p>
    <w:p w14:paraId="1123816A"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 xml:space="preserve">The case study provides an illustration of how systemic issues, poor governance arrangements, and leadership practices can interact with each other to cause a preventable adverse event in a hospital setting. According to the systems theory, the occurrence of an adverse event does not depend on a simple mistake or the negligence of a specific healthcare provider but is the result of many factors interacting with each other in a particular organisation and its environment (Johnson, Anderson and </w:t>
      </w:r>
      <w:proofErr w:type="spellStart"/>
      <w:r w:rsidRPr="00931B3D">
        <w:rPr>
          <w:rFonts w:ascii="Arial" w:hAnsi="Arial" w:cs="Arial"/>
          <w:lang w:val="en-IN"/>
        </w:rPr>
        <w:t>Rossow</w:t>
      </w:r>
      <w:proofErr w:type="spellEnd"/>
      <w:r w:rsidRPr="00931B3D">
        <w:rPr>
          <w:rFonts w:ascii="Arial" w:hAnsi="Arial" w:cs="Arial"/>
          <w:lang w:val="en-IN"/>
        </w:rPr>
        <w:t>, 2020). In the given case, the combination of lack of safeguards for highly hazardous drug, poor collaboration between secondary and primary care providers, and lack of organisational learning can create a situation in which an accident might occur. As such, it is necessary to pay attention not only to technical problems but to the issues related to human factors and their interactions with systems when implementing sustainable improvement measures.</w:t>
      </w:r>
    </w:p>
    <w:p w14:paraId="1A287C5A"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 xml:space="preserve">First of all, it is crucial to consider medication standardisation. Variability in medication concentration has been identified as a contributing factor to dosing mistakes in </w:t>
      </w:r>
      <w:proofErr w:type="spellStart"/>
      <w:r w:rsidRPr="00931B3D">
        <w:rPr>
          <w:rFonts w:ascii="Arial" w:hAnsi="Arial" w:cs="Arial"/>
          <w:lang w:val="en-IN"/>
        </w:rPr>
        <w:t>pediatric</w:t>
      </w:r>
      <w:proofErr w:type="spellEnd"/>
      <w:r w:rsidRPr="00931B3D">
        <w:rPr>
          <w:rFonts w:ascii="Arial" w:hAnsi="Arial" w:cs="Arial"/>
          <w:lang w:val="en-IN"/>
        </w:rPr>
        <w:t xml:space="preserve"> and neonatal care because healthcare practitioners need to calculate a required dose in a hurry (Henry Basil </w:t>
      </w:r>
      <w:r w:rsidRPr="00931B3D">
        <w:rPr>
          <w:rFonts w:ascii="Arial" w:hAnsi="Arial" w:cs="Arial"/>
          <w:i/>
          <w:iCs/>
          <w:lang w:val="en-IN"/>
        </w:rPr>
        <w:t>et al</w:t>
      </w:r>
      <w:r w:rsidRPr="00931B3D">
        <w:rPr>
          <w:rFonts w:ascii="Arial" w:hAnsi="Arial" w:cs="Arial"/>
          <w:lang w:val="en-IN"/>
        </w:rPr>
        <w:t xml:space="preserve">., 2022). It has been demonstrated through research that the implementation of the standard concentrations for commonly prescribed neonatal medicines can effectively decrease the number of dosing errors by decreasing the amount of calculations required and variability in clinical practice (Wende </w:t>
      </w:r>
      <w:r w:rsidRPr="00931B3D">
        <w:rPr>
          <w:rFonts w:ascii="Arial" w:hAnsi="Arial" w:cs="Arial"/>
          <w:i/>
          <w:iCs/>
          <w:lang w:val="en-IN"/>
        </w:rPr>
        <w:t>et al</w:t>
      </w:r>
      <w:r w:rsidRPr="00931B3D">
        <w:rPr>
          <w:rFonts w:ascii="Arial" w:hAnsi="Arial" w:cs="Arial"/>
          <w:lang w:val="en-IN"/>
        </w:rPr>
        <w:t xml:space="preserve">., 2025). Additionally, standardisation reduces cognitive load and makes the process more consistent across various healthcare institutions, thus increasing the reliability of the system (Wende </w:t>
      </w:r>
      <w:r w:rsidRPr="00931B3D">
        <w:rPr>
          <w:rFonts w:ascii="Arial" w:hAnsi="Arial" w:cs="Arial"/>
          <w:i/>
          <w:iCs/>
          <w:lang w:val="en-IN"/>
        </w:rPr>
        <w:t>et al</w:t>
      </w:r>
      <w:r w:rsidRPr="00931B3D">
        <w:rPr>
          <w:rFonts w:ascii="Arial" w:hAnsi="Arial" w:cs="Arial"/>
          <w:lang w:val="en-IN"/>
        </w:rPr>
        <w:t>., 2025). In the given situation, the implementation of standardised concentrations for morphine would create yet one more safeguard for incorrect medication supply.</w:t>
      </w:r>
    </w:p>
    <w:p w14:paraId="1E374F0E"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 xml:space="preserve">Secondly, it is necessary to address the issue of management of care transitions. Research shows that medication errors occur more often during transitions of care as information is lost, distorted, and incompletely conveyed (Elliott </w:t>
      </w:r>
      <w:r w:rsidRPr="00931B3D">
        <w:rPr>
          <w:rFonts w:ascii="Arial" w:hAnsi="Arial" w:cs="Arial"/>
          <w:i/>
          <w:iCs/>
          <w:lang w:val="en-IN"/>
        </w:rPr>
        <w:t>et al</w:t>
      </w:r>
      <w:r w:rsidRPr="00931B3D">
        <w:rPr>
          <w:rFonts w:ascii="Arial" w:hAnsi="Arial" w:cs="Arial"/>
          <w:lang w:val="en-IN"/>
        </w:rPr>
        <w:t xml:space="preserve">., 2021). Care transitions between hospitals and communities are especially vulnerable to medication errors because responsibilities get divided between many institutions with their own information systems and governance arrangements (Martins </w:t>
      </w:r>
      <w:r w:rsidRPr="00931B3D">
        <w:rPr>
          <w:rFonts w:ascii="Arial" w:hAnsi="Arial" w:cs="Arial"/>
          <w:i/>
          <w:iCs/>
          <w:lang w:val="en-IN"/>
        </w:rPr>
        <w:t>et al</w:t>
      </w:r>
      <w:r w:rsidRPr="00931B3D">
        <w:rPr>
          <w:rFonts w:ascii="Arial" w:hAnsi="Arial" w:cs="Arial"/>
          <w:lang w:val="en-IN"/>
        </w:rPr>
        <w:t>., 2021). To strengthen these interfaces, it is necessary to have strong communication channels, mandatory medication reconciliation, and review of high-risk medications by specialists. In the given case, it is necessary to have centralisation of dispensing or mandatory reviewing of prescription by specialist pharmacists prior to community supply of medicines. It will help close accountability gaps and ensure that intentions of the policy are implemented in safe practice.</w:t>
      </w:r>
    </w:p>
    <w:p w14:paraId="4AE09511"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It is also necessary to pay attention to various digital solutions. An electronic prescribing system with clinical decision support features can help decrease medication errors due to automatic warnings about unusual dose or concentration, checking of dose ranges, and prompts for verification of high-risk medications (</w:t>
      </w:r>
      <w:proofErr w:type="spellStart"/>
      <w:r w:rsidRPr="00931B3D">
        <w:rPr>
          <w:rFonts w:ascii="Arial" w:hAnsi="Arial" w:cs="Arial"/>
          <w:lang w:val="en-IN"/>
        </w:rPr>
        <w:t>Alyami</w:t>
      </w:r>
      <w:proofErr w:type="spellEnd"/>
      <w:r w:rsidRPr="00931B3D">
        <w:rPr>
          <w:rFonts w:ascii="Arial" w:hAnsi="Arial" w:cs="Arial"/>
          <w:lang w:val="en-IN"/>
        </w:rPr>
        <w:t xml:space="preserve"> </w:t>
      </w:r>
      <w:r w:rsidRPr="00931B3D">
        <w:rPr>
          <w:rFonts w:ascii="Arial" w:hAnsi="Arial" w:cs="Arial"/>
          <w:i/>
          <w:iCs/>
          <w:lang w:val="en-IN"/>
        </w:rPr>
        <w:t>et al</w:t>
      </w:r>
      <w:r w:rsidRPr="00931B3D">
        <w:rPr>
          <w:rFonts w:ascii="Arial" w:hAnsi="Arial" w:cs="Arial"/>
          <w:lang w:val="en-IN"/>
        </w:rPr>
        <w:t xml:space="preserve">., 2024). Digital safeguards are especially valuable in </w:t>
      </w:r>
      <w:proofErr w:type="spellStart"/>
      <w:r w:rsidRPr="00931B3D">
        <w:rPr>
          <w:rFonts w:ascii="Arial" w:hAnsi="Arial" w:cs="Arial"/>
          <w:lang w:val="en-IN"/>
        </w:rPr>
        <w:t>pediatrics</w:t>
      </w:r>
      <w:proofErr w:type="spellEnd"/>
      <w:r w:rsidRPr="00931B3D">
        <w:rPr>
          <w:rFonts w:ascii="Arial" w:hAnsi="Arial" w:cs="Arial"/>
          <w:lang w:val="en-IN"/>
        </w:rPr>
        <w:t xml:space="preserve"> because they can detect unusual dose or concentration before medication reaches patients (</w:t>
      </w:r>
      <w:proofErr w:type="spellStart"/>
      <w:r w:rsidRPr="00931B3D">
        <w:rPr>
          <w:rFonts w:ascii="Arial" w:hAnsi="Arial" w:cs="Arial"/>
          <w:lang w:val="en-IN"/>
        </w:rPr>
        <w:t>Alyami</w:t>
      </w:r>
      <w:proofErr w:type="spellEnd"/>
      <w:r w:rsidRPr="00931B3D">
        <w:rPr>
          <w:rFonts w:ascii="Arial" w:hAnsi="Arial" w:cs="Arial"/>
          <w:lang w:val="en-IN"/>
        </w:rPr>
        <w:t xml:space="preserve"> </w:t>
      </w:r>
      <w:r w:rsidRPr="00931B3D">
        <w:rPr>
          <w:rFonts w:ascii="Arial" w:hAnsi="Arial" w:cs="Arial"/>
          <w:i/>
          <w:iCs/>
          <w:lang w:val="en-IN"/>
        </w:rPr>
        <w:t>et al</w:t>
      </w:r>
      <w:r w:rsidRPr="00931B3D">
        <w:rPr>
          <w:rFonts w:ascii="Arial" w:hAnsi="Arial" w:cs="Arial"/>
          <w:lang w:val="en-IN"/>
        </w:rPr>
        <w:t>., 2024). Additionally, barcode medication administration systems and electronic verification systems can contribute to accuracy of administration due to the requirement to verify the medication identity, concentration, and dose on several steps of the medication pathway (</w:t>
      </w:r>
      <w:proofErr w:type="spellStart"/>
      <w:r w:rsidRPr="00931B3D">
        <w:rPr>
          <w:rFonts w:ascii="Arial" w:hAnsi="Arial" w:cs="Arial"/>
          <w:lang w:val="en-IN"/>
        </w:rPr>
        <w:t>Rodziewicz</w:t>
      </w:r>
      <w:proofErr w:type="spellEnd"/>
      <w:r w:rsidRPr="00931B3D">
        <w:rPr>
          <w:rFonts w:ascii="Arial" w:hAnsi="Arial" w:cs="Arial"/>
          <w:lang w:val="en-IN"/>
        </w:rPr>
        <w:t xml:space="preserve">, Houseman and </w:t>
      </w:r>
      <w:proofErr w:type="spellStart"/>
      <w:r w:rsidRPr="00931B3D">
        <w:rPr>
          <w:rFonts w:ascii="Arial" w:hAnsi="Arial" w:cs="Arial"/>
          <w:lang w:val="en-IN"/>
        </w:rPr>
        <w:t>Hipskind</w:t>
      </w:r>
      <w:proofErr w:type="spellEnd"/>
      <w:r w:rsidRPr="00931B3D">
        <w:rPr>
          <w:rFonts w:ascii="Arial" w:hAnsi="Arial" w:cs="Arial"/>
          <w:lang w:val="en-IN"/>
        </w:rPr>
        <w:t>, 2024). Interoperable digital systems that would allow communication between hospital specialists and community pharmacists can help further increase safety as consultations would become faster and more accessible (NHS England, 2023).</w:t>
      </w:r>
    </w:p>
    <w:p w14:paraId="24C383DF"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However, it is necessary to introduce not only technical changes to avoid further occurrences of incidents but also some organisational ones. It has been demonstrated through research that the leadership style affects patient outcomes, staff engagement, and reporting practices (</w:t>
      </w:r>
      <w:proofErr w:type="spellStart"/>
      <w:r w:rsidRPr="00931B3D">
        <w:rPr>
          <w:rFonts w:ascii="Arial" w:hAnsi="Arial" w:cs="Arial"/>
          <w:lang w:val="en-IN"/>
        </w:rPr>
        <w:t>Ystaas</w:t>
      </w:r>
      <w:proofErr w:type="spellEnd"/>
      <w:r w:rsidRPr="00931B3D">
        <w:rPr>
          <w:rFonts w:ascii="Arial" w:hAnsi="Arial" w:cs="Arial"/>
          <w:lang w:val="en-IN"/>
        </w:rPr>
        <w:t xml:space="preserve"> </w:t>
      </w:r>
      <w:r w:rsidRPr="00931B3D">
        <w:rPr>
          <w:rFonts w:ascii="Arial" w:hAnsi="Arial" w:cs="Arial"/>
          <w:i/>
          <w:iCs/>
          <w:lang w:val="en-IN"/>
        </w:rPr>
        <w:t>et al</w:t>
      </w:r>
      <w:r w:rsidRPr="00931B3D">
        <w:rPr>
          <w:rFonts w:ascii="Arial" w:hAnsi="Arial" w:cs="Arial"/>
          <w:lang w:val="en-IN"/>
        </w:rPr>
        <w:t xml:space="preserve">., 2023). The transformational leadership is especially effective because it stimulates continuous improvement and proactive problem-solving by encouraging shared vision (Wei and Horton-Deutsch, 2022). Leaders who encourage open communication and involve staff into decision-making are more likely to create a culture in which potential hazards are identified and dealt with (Davis </w:t>
      </w:r>
      <w:r w:rsidRPr="00931B3D">
        <w:rPr>
          <w:rFonts w:ascii="Arial" w:hAnsi="Arial" w:cs="Arial"/>
          <w:i/>
          <w:iCs/>
          <w:lang w:val="en-IN"/>
        </w:rPr>
        <w:t>et al</w:t>
      </w:r>
      <w:r w:rsidRPr="00931B3D">
        <w:rPr>
          <w:rFonts w:ascii="Arial" w:hAnsi="Arial" w:cs="Arial"/>
          <w:lang w:val="en-IN"/>
        </w:rPr>
        <w:t>., 2025). Similar incidents occurring repeatedly demonstrate that there has been no proper organisational learning after the previous events and that there should be stronger transformational leadership across healthcare organisations.</w:t>
      </w:r>
    </w:p>
    <w:p w14:paraId="7BA6BB8E"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 xml:space="preserve">Finally, the adoption of just culture model is another key lesson from this case. Traditional models based on punishing employees do not encourage reporting and organisational learning because the majority of healthcare errors occur due to system flaws and not intentional misconduct (Murray </w:t>
      </w:r>
      <w:r w:rsidRPr="00931B3D">
        <w:rPr>
          <w:rFonts w:ascii="Arial" w:hAnsi="Arial" w:cs="Arial"/>
          <w:i/>
          <w:iCs/>
          <w:lang w:val="en-IN"/>
        </w:rPr>
        <w:t>et al</w:t>
      </w:r>
      <w:r w:rsidRPr="00931B3D">
        <w:rPr>
          <w:rFonts w:ascii="Arial" w:hAnsi="Arial" w:cs="Arial"/>
          <w:lang w:val="en-IN"/>
        </w:rPr>
        <w:t xml:space="preserve">., 2023). Just culture principles provide an opposite perspective because they encourage transparent reporting and analysis (Murray </w:t>
      </w:r>
      <w:r w:rsidRPr="00931B3D">
        <w:rPr>
          <w:rFonts w:ascii="Arial" w:hAnsi="Arial" w:cs="Arial"/>
          <w:i/>
          <w:iCs/>
          <w:lang w:val="en-IN"/>
        </w:rPr>
        <w:t>et al</w:t>
      </w:r>
      <w:r w:rsidRPr="00931B3D">
        <w:rPr>
          <w:rFonts w:ascii="Arial" w:hAnsi="Arial" w:cs="Arial"/>
          <w:lang w:val="en-IN"/>
        </w:rPr>
        <w:t xml:space="preserve">., 2023). Leadership training in just culture principles can positively affect reporting </w:t>
      </w:r>
      <w:proofErr w:type="spellStart"/>
      <w:r w:rsidRPr="00931B3D">
        <w:rPr>
          <w:rFonts w:ascii="Arial" w:hAnsi="Arial" w:cs="Arial"/>
          <w:lang w:val="en-IN"/>
        </w:rPr>
        <w:t>behaviors</w:t>
      </w:r>
      <w:proofErr w:type="spellEnd"/>
      <w:r w:rsidRPr="00931B3D">
        <w:rPr>
          <w:rFonts w:ascii="Arial" w:hAnsi="Arial" w:cs="Arial"/>
          <w:lang w:val="en-IN"/>
        </w:rPr>
        <w:t xml:space="preserve">, psychological safety, and organisational commitment to patient safety (Mohamed </w:t>
      </w:r>
      <w:proofErr w:type="spellStart"/>
      <w:r w:rsidRPr="00931B3D">
        <w:rPr>
          <w:rFonts w:ascii="Arial" w:hAnsi="Arial" w:cs="Arial"/>
          <w:lang w:val="en-IN"/>
        </w:rPr>
        <w:t>Badran</w:t>
      </w:r>
      <w:proofErr w:type="spellEnd"/>
      <w:r w:rsidRPr="00931B3D">
        <w:rPr>
          <w:rFonts w:ascii="Arial" w:hAnsi="Arial" w:cs="Arial"/>
          <w:lang w:val="en-IN"/>
        </w:rPr>
        <w:t xml:space="preserve"> </w:t>
      </w:r>
      <w:r w:rsidRPr="00931B3D">
        <w:rPr>
          <w:rFonts w:ascii="Arial" w:hAnsi="Arial" w:cs="Arial"/>
          <w:i/>
          <w:iCs/>
          <w:lang w:val="en-IN"/>
        </w:rPr>
        <w:t>et al</w:t>
      </w:r>
      <w:r w:rsidRPr="00931B3D">
        <w:rPr>
          <w:rFonts w:ascii="Arial" w:hAnsi="Arial" w:cs="Arial"/>
          <w:lang w:val="en-IN"/>
        </w:rPr>
        <w:t>., 2026). Such a culture ensures that healthcare organisations identify hazards before adverse events occur.</w:t>
      </w:r>
    </w:p>
    <w:p w14:paraId="4676239B"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 xml:space="preserve">Additionally, the importance of distributed leadership needs to be mentioned. The safety of medication depends not only on the work of healthcare practitioners but on their coordinated efforts (Kleine </w:t>
      </w:r>
      <w:r w:rsidRPr="00931B3D">
        <w:rPr>
          <w:rFonts w:ascii="Arial" w:hAnsi="Arial" w:cs="Arial"/>
          <w:i/>
          <w:iCs/>
          <w:lang w:val="en-IN"/>
        </w:rPr>
        <w:t>et al</w:t>
      </w:r>
      <w:r w:rsidRPr="00931B3D">
        <w:rPr>
          <w:rFonts w:ascii="Arial" w:hAnsi="Arial" w:cs="Arial"/>
          <w:lang w:val="en-IN"/>
        </w:rPr>
        <w:t xml:space="preserve">., 2024). Distributed leadership helps to share responsibilities and solve problems in a collaborative way which increases the ability of the systems to detect risks and respond to them (Kleine </w:t>
      </w:r>
      <w:r w:rsidRPr="00931B3D">
        <w:rPr>
          <w:rFonts w:ascii="Arial" w:hAnsi="Arial" w:cs="Arial"/>
          <w:i/>
          <w:iCs/>
          <w:lang w:val="en-IN"/>
        </w:rPr>
        <w:t>et al</w:t>
      </w:r>
      <w:r w:rsidRPr="00931B3D">
        <w:rPr>
          <w:rFonts w:ascii="Arial" w:hAnsi="Arial" w:cs="Arial"/>
          <w:lang w:val="en-IN"/>
        </w:rPr>
        <w:t>., 2024). The involvement of families as partners in medication safety can contribute to this strategy even more as parents serve as a last check point before medication administration (NHS England, 2023).</w:t>
      </w:r>
    </w:p>
    <w:p w14:paraId="3D40D63D" w14:textId="77777777" w:rsidR="00525257" w:rsidRPr="00931B3D" w:rsidRDefault="00233160" w:rsidP="00233160">
      <w:pPr>
        <w:spacing w:line="360" w:lineRule="auto"/>
        <w:rPr>
          <w:rFonts w:ascii="Arial" w:hAnsi="Arial" w:cs="Arial"/>
          <w:lang w:val="en-IN"/>
        </w:rPr>
      </w:pPr>
      <w:r w:rsidRPr="00931B3D">
        <w:rPr>
          <w:rFonts w:ascii="Arial" w:hAnsi="Arial" w:cs="Arial"/>
          <w:lang w:val="en-IN"/>
        </w:rPr>
        <w:t xml:space="preserve">Finally, continuous improvement must also be grounded in data and organisational learning. Audit of prescribing, dispensing, and administration practices associated with RED medications may help to uncover any recurring risks as well as assess the effectiveness of measures taken for patient safety (NHS England, 2023). Moreover, systematic reviews have shown that there were high levels of medication errors among infants and children, showing the necessity to benchmark local practice against the international and national experience (Henry Basil </w:t>
      </w:r>
      <w:r w:rsidRPr="00931B3D">
        <w:rPr>
          <w:rFonts w:ascii="Arial" w:hAnsi="Arial" w:cs="Arial"/>
          <w:i/>
          <w:iCs/>
          <w:lang w:val="en-IN"/>
        </w:rPr>
        <w:t>et al</w:t>
      </w:r>
      <w:r w:rsidRPr="00931B3D">
        <w:rPr>
          <w:rFonts w:ascii="Arial" w:hAnsi="Arial" w:cs="Arial"/>
          <w:lang w:val="en-IN"/>
        </w:rPr>
        <w:t xml:space="preserve">., 2025; Hannibal </w:t>
      </w:r>
      <w:r w:rsidRPr="00931B3D">
        <w:rPr>
          <w:rFonts w:ascii="Arial" w:hAnsi="Arial" w:cs="Arial"/>
          <w:i/>
          <w:iCs/>
          <w:lang w:val="en-IN"/>
        </w:rPr>
        <w:t>et al</w:t>
      </w:r>
      <w:r w:rsidRPr="00931B3D">
        <w:rPr>
          <w:rFonts w:ascii="Arial" w:hAnsi="Arial" w:cs="Arial"/>
          <w:lang w:val="en-IN"/>
        </w:rPr>
        <w:t>., 2025). By means of such measures as continuous monitoring, reporting, and implementing evidence-based improvement measures, organisations may learn how to create systems that would be able to prevent the same problems from happening again. In other words, sustainable medication safety is not possible without proper governance, technology, transformational leadership, and organisational learning.</w:t>
      </w:r>
    </w:p>
    <w:p w14:paraId="7B67AF55" w14:textId="77777777" w:rsidR="00E20905" w:rsidRPr="00931B3D" w:rsidRDefault="00F74839" w:rsidP="00233160">
      <w:pPr>
        <w:pStyle w:val="Heading1"/>
        <w:spacing w:line="360" w:lineRule="auto"/>
        <w:rPr>
          <w:rFonts w:ascii="Arial" w:hAnsi="Arial" w:cs="Arial"/>
        </w:rPr>
      </w:pPr>
      <w:bookmarkStart w:id="6" w:name="_Toc236040694"/>
      <w:r w:rsidRPr="00931B3D">
        <w:rPr>
          <w:rFonts w:ascii="Arial" w:hAnsi="Arial" w:cs="Arial"/>
        </w:rPr>
        <w:t>Recommendations</w:t>
      </w:r>
      <w:bookmarkEnd w:id="6"/>
    </w:p>
    <w:p w14:paraId="53BE5387"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In accordance with the results of the present case analysis, the following evidence-based recommendations can be developed in order to resolve the issues with the organisational system and improve medication safety for high-risk neonatal medicines in the healthcare setting.</w:t>
      </w:r>
    </w:p>
    <w:p w14:paraId="4797416D"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 xml:space="preserve">Firstly, the introduction of mandatory standard concentration protocols for all high-risk neonatal medications is required. According to the findings of the systematic review provided by Wende </w:t>
      </w:r>
      <w:r w:rsidRPr="00931B3D">
        <w:rPr>
          <w:rFonts w:ascii="Arial" w:hAnsi="Arial" w:cs="Arial"/>
          <w:i/>
          <w:iCs/>
          <w:lang w:val="en-IN"/>
        </w:rPr>
        <w:t>et al</w:t>
      </w:r>
      <w:r w:rsidRPr="00931B3D">
        <w:rPr>
          <w:rFonts w:ascii="Arial" w:hAnsi="Arial" w:cs="Arial"/>
          <w:lang w:val="en-IN"/>
        </w:rPr>
        <w:t>. (2025), the introduction of standard concentration infusions in neonatal and paediatric patients results in medication errors reduction due to the reduction of the risks related to the selection of concentration errors. It is possible to provide additional support for the proposed technical intervention through the implementation of the new electronic prescription system in which the default options for prescription would correspond to approved standard concentrations of medicines.</w:t>
      </w:r>
    </w:p>
    <w:p w14:paraId="10B5D535"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 xml:space="preserve">Secondly, there should be implemented some changes in the governance of RED drugs in the interface of secondary and primary care. At the moment, it can be noted that policy is centred, however, the dispensing and educational activities related to the use of RED drugs are decentralised. There are two options in this situation. Firstly, the dispensing of such drugs should be conducted only by the hospital pharmacies or the specialist pharmacist should check any attempt of providing such drugs to the patient in the community. Such changes in the process are needed to close the accountability gap that was discussed previously and is quite common for cases of paediatric medication errors (Hannibal </w:t>
      </w:r>
      <w:r w:rsidRPr="00931B3D">
        <w:rPr>
          <w:rFonts w:ascii="Arial" w:hAnsi="Arial" w:cs="Arial"/>
          <w:i/>
          <w:iCs/>
          <w:lang w:val="en-IN"/>
        </w:rPr>
        <w:t>et al</w:t>
      </w:r>
      <w:r w:rsidRPr="00931B3D">
        <w:rPr>
          <w:rFonts w:ascii="Arial" w:hAnsi="Arial" w:cs="Arial"/>
          <w:lang w:val="en-IN"/>
        </w:rPr>
        <w:t xml:space="preserve">., 2025; Henry Basil </w:t>
      </w:r>
      <w:r w:rsidRPr="00931B3D">
        <w:rPr>
          <w:rFonts w:ascii="Arial" w:hAnsi="Arial" w:cs="Arial"/>
          <w:i/>
          <w:iCs/>
          <w:lang w:val="en-IN"/>
        </w:rPr>
        <w:t>et al</w:t>
      </w:r>
      <w:r w:rsidRPr="00931B3D">
        <w:rPr>
          <w:rFonts w:ascii="Arial" w:hAnsi="Arial" w:cs="Arial"/>
          <w:lang w:val="en-IN"/>
        </w:rPr>
        <w:t>., 2025).</w:t>
      </w:r>
    </w:p>
    <w:p w14:paraId="2AC1073B"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 xml:space="preserve">Thirdly, it is important to develop a programme of the development of leaders in order to promote just culture and transformational leadership among the management of the organisation. The study by Mohamed </w:t>
      </w:r>
      <w:proofErr w:type="spellStart"/>
      <w:r w:rsidRPr="00931B3D">
        <w:rPr>
          <w:rFonts w:ascii="Arial" w:hAnsi="Arial" w:cs="Arial"/>
          <w:lang w:val="en-IN"/>
        </w:rPr>
        <w:t>Badran</w:t>
      </w:r>
      <w:proofErr w:type="spellEnd"/>
      <w:r w:rsidRPr="00931B3D">
        <w:rPr>
          <w:rFonts w:ascii="Arial" w:hAnsi="Arial" w:cs="Arial"/>
          <w:lang w:val="en-IN"/>
        </w:rPr>
        <w:t xml:space="preserve"> </w:t>
      </w:r>
      <w:r w:rsidRPr="00931B3D">
        <w:rPr>
          <w:rFonts w:ascii="Arial" w:hAnsi="Arial" w:cs="Arial"/>
          <w:i/>
          <w:iCs/>
          <w:lang w:val="en-IN"/>
        </w:rPr>
        <w:t>et al</w:t>
      </w:r>
      <w:r w:rsidRPr="00931B3D">
        <w:rPr>
          <w:rFonts w:ascii="Arial" w:hAnsi="Arial" w:cs="Arial"/>
          <w:lang w:val="en-IN"/>
        </w:rPr>
        <w:t xml:space="preserve">. (2026) showed that the just culture training for the nurse leader improves the willingness of nurses to report errors and increases the number of situations in which such reporting happens. Furthermore, according to Murray </w:t>
      </w:r>
      <w:r w:rsidRPr="00931B3D">
        <w:rPr>
          <w:rFonts w:ascii="Arial" w:hAnsi="Arial" w:cs="Arial"/>
          <w:i/>
          <w:iCs/>
          <w:lang w:val="en-IN"/>
        </w:rPr>
        <w:t>et al</w:t>
      </w:r>
      <w:r w:rsidRPr="00931B3D">
        <w:rPr>
          <w:rFonts w:ascii="Arial" w:hAnsi="Arial" w:cs="Arial"/>
          <w:lang w:val="en-IN"/>
        </w:rPr>
        <w:t>. (2023), the leadership commitment, education, and psychological safety are important aspects that are necessary for the introduction of a just culture.</w:t>
      </w:r>
    </w:p>
    <w:p w14:paraId="4A3F2605"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 xml:space="preserve">Fourthly, it is required to implement additional digital systems to facilitate the communication between community pharmacists and the initiating clinicians in order to avoid similar problems in the future. Moreover, strengthening the digital connectivity between secondary and primary care was presented as one of the main strategies to decrease transition-related medication errors in the paediatric population (Hannibal </w:t>
      </w:r>
      <w:r w:rsidRPr="00931B3D">
        <w:rPr>
          <w:rFonts w:ascii="Arial" w:hAnsi="Arial" w:cs="Arial"/>
          <w:i/>
          <w:iCs/>
          <w:lang w:val="en-IN"/>
        </w:rPr>
        <w:t>et al</w:t>
      </w:r>
      <w:r w:rsidRPr="00931B3D">
        <w:rPr>
          <w:rFonts w:ascii="Arial" w:hAnsi="Arial" w:cs="Arial"/>
          <w:lang w:val="en-IN"/>
        </w:rPr>
        <w:t>., 2025).</w:t>
      </w:r>
    </w:p>
    <w:p w14:paraId="73A26182" w14:textId="77777777" w:rsidR="00233160" w:rsidRPr="00931B3D" w:rsidRDefault="00233160" w:rsidP="00233160">
      <w:pPr>
        <w:spacing w:line="360" w:lineRule="auto"/>
        <w:rPr>
          <w:rFonts w:ascii="Arial" w:hAnsi="Arial" w:cs="Arial"/>
          <w:b/>
          <w:bCs/>
          <w:lang w:val="en-IN"/>
        </w:rPr>
      </w:pPr>
      <w:r w:rsidRPr="00931B3D">
        <w:rPr>
          <w:rFonts w:ascii="Arial" w:hAnsi="Arial" w:cs="Arial"/>
          <w:lang w:val="en-IN"/>
        </w:rPr>
        <w:t>Finally, the development of the organisational learning system should be promoted in the organisation. It should include the regular audit of high-risk medication processes, sharing of knowledge and learning from incidents and near-misses, as well as the establishment of clear targets for improvement. NHS Patient Safety Strategy emphasizes the importance of such learning systems that prioritize understanding of system failures rather than blaming individuals (NHS England, 2023). The participation of stakeholders, including parents of children, should be included in the process to provide a patient-centred approach to the problem.</w:t>
      </w:r>
    </w:p>
    <w:p w14:paraId="3783B44F" w14:textId="77777777" w:rsidR="00E20905" w:rsidRPr="00931B3D" w:rsidRDefault="00F74839" w:rsidP="00233160">
      <w:pPr>
        <w:pStyle w:val="Heading1"/>
        <w:spacing w:line="360" w:lineRule="auto"/>
        <w:rPr>
          <w:rFonts w:ascii="Arial" w:hAnsi="Arial" w:cs="Arial"/>
        </w:rPr>
      </w:pPr>
      <w:bookmarkStart w:id="7" w:name="_Toc236040695"/>
      <w:r w:rsidRPr="00931B3D">
        <w:rPr>
          <w:rFonts w:ascii="Arial" w:hAnsi="Arial" w:cs="Arial"/>
        </w:rPr>
        <w:t>Conclusion</w:t>
      </w:r>
      <w:bookmarkEnd w:id="7"/>
    </w:p>
    <w:p w14:paraId="52A90CBF"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In this case study, it has been explored how a major medication safety hazard has taken place where a four-week-old infant has been administered a twenty times overdosed amount of morphine as a result of being supplied an incorrectly concentrated RED drug. It has been found out that there were no individual mistakes leading to this negative case, but rather it happened due to the interaction of several weaknesses in systems of governance, communication between care interfaces and organisational culture of leadership. It has become clear that the centrally developed policy on the use of RED drugs was not adequately supported with sufficient decentralised controls and feedback at the level of hospital-community interface. Transactional and reactive leadership prevailed without showing any characteristics of being transformational and distributed to promote psychological safety and accountability. Recurrence of similar concentration-related mistakes since 2018 has demonstrated a big failure of organisational learning when the information on incidents was not turned into prevention measures.</w:t>
      </w:r>
    </w:p>
    <w:p w14:paraId="3A5AD141" w14:textId="77777777" w:rsidR="00233160" w:rsidRPr="00931B3D" w:rsidRDefault="00233160" w:rsidP="00233160">
      <w:pPr>
        <w:spacing w:line="360" w:lineRule="auto"/>
        <w:rPr>
          <w:rFonts w:ascii="Arial" w:hAnsi="Arial" w:cs="Arial"/>
          <w:lang w:val="en-IN"/>
        </w:rPr>
      </w:pPr>
      <w:r w:rsidRPr="00931B3D">
        <w:rPr>
          <w:rFonts w:ascii="Arial" w:hAnsi="Arial" w:cs="Arial"/>
          <w:lang w:val="en-IN"/>
        </w:rPr>
        <w:t>Systems thinking helps to see the interconnection between different aspects of the described problem. Any sustainable improvement requires coordination between technical systems, governance and leadership development. Recommendations for change that have been offered – such as standardisation of drug concentrations, governance of interfaces, training in just culture, building digital infrastructure and learning systems – provide a solid evidence-based basis for improvement. All in all, this case highlights once again the importance of leadership, governance and systems thinking in healthcare setting. Only by addressing deep underlying problems allowing for predictable mistakes to happen in practice, healthcare organisations will be able to fulfil their primary mission of protecting patients from possible harm.</w:t>
      </w:r>
    </w:p>
    <w:p w14:paraId="491A8A99" w14:textId="77777777" w:rsidR="00233160" w:rsidRPr="00931B3D" w:rsidRDefault="00233160" w:rsidP="00233160">
      <w:pPr>
        <w:spacing w:line="360" w:lineRule="auto"/>
        <w:jc w:val="left"/>
        <w:rPr>
          <w:rFonts w:ascii="Arial" w:eastAsiaTheme="majorEastAsia" w:hAnsi="Arial" w:cs="Arial"/>
          <w:b/>
          <w:bCs/>
          <w:sz w:val="28"/>
          <w:szCs w:val="28"/>
        </w:rPr>
      </w:pPr>
      <w:r w:rsidRPr="00931B3D">
        <w:rPr>
          <w:rFonts w:ascii="Arial" w:hAnsi="Arial" w:cs="Arial"/>
        </w:rPr>
        <w:br w:type="page"/>
      </w:r>
    </w:p>
    <w:p w14:paraId="1A43DD36" w14:textId="77777777" w:rsidR="00334664" w:rsidRPr="00931B3D" w:rsidRDefault="00334664" w:rsidP="00233160">
      <w:pPr>
        <w:pStyle w:val="Heading1"/>
        <w:spacing w:line="360" w:lineRule="auto"/>
        <w:rPr>
          <w:rFonts w:cs="Times New Roman"/>
        </w:rPr>
      </w:pPr>
      <w:bookmarkStart w:id="8" w:name="_Toc236040696"/>
      <w:r w:rsidRPr="00931B3D">
        <w:rPr>
          <w:rFonts w:cs="Times New Roman"/>
        </w:rPr>
        <w:t>References</w:t>
      </w:r>
      <w:bookmarkEnd w:id="8"/>
    </w:p>
    <w:p w14:paraId="6D5E7AAB" w14:textId="77777777" w:rsidR="00EF7A54" w:rsidRPr="00931B3D" w:rsidRDefault="00EF7A54" w:rsidP="00233160">
      <w:pPr>
        <w:spacing w:line="360" w:lineRule="auto"/>
        <w:rPr>
          <w:rFonts w:cs="Times New Roman"/>
        </w:rPr>
      </w:pPr>
      <w:proofErr w:type="spellStart"/>
      <w:r w:rsidRPr="00931B3D">
        <w:rPr>
          <w:rFonts w:cs="Times New Roman"/>
        </w:rPr>
        <w:t>Alsabri</w:t>
      </w:r>
      <w:proofErr w:type="spellEnd"/>
      <w:r w:rsidRPr="00931B3D">
        <w:rPr>
          <w:rFonts w:cs="Times New Roman"/>
        </w:rPr>
        <w:t xml:space="preserve">, M., </w:t>
      </w:r>
      <w:proofErr w:type="spellStart"/>
      <w:r w:rsidRPr="00931B3D">
        <w:rPr>
          <w:rFonts w:cs="Times New Roman"/>
        </w:rPr>
        <w:t>Eapen</w:t>
      </w:r>
      <w:proofErr w:type="spellEnd"/>
      <w:r w:rsidRPr="00931B3D">
        <w:rPr>
          <w:rFonts w:cs="Times New Roman"/>
        </w:rPr>
        <w:t xml:space="preserve">, D., Sabesan, V., Hassan, Z.T., Amin, M., </w:t>
      </w:r>
      <w:proofErr w:type="spellStart"/>
      <w:r w:rsidRPr="00931B3D">
        <w:rPr>
          <w:rFonts w:cs="Times New Roman"/>
        </w:rPr>
        <w:t>Elshanbary</w:t>
      </w:r>
      <w:proofErr w:type="spellEnd"/>
      <w:r w:rsidRPr="00931B3D">
        <w:rPr>
          <w:rFonts w:cs="Times New Roman"/>
        </w:rPr>
        <w:t xml:space="preserve">, A.A., </w:t>
      </w:r>
      <w:proofErr w:type="spellStart"/>
      <w:r w:rsidRPr="00931B3D">
        <w:rPr>
          <w:rFonts w:cs="Times New Roman"/>
        </w:rPr>
        <w:t>Alhaderi</w:t>
      </w:r>
      <w:proofErr w:type="spellEnd"/>
      <w:r w:rsidRPr="00931B3D">
        <w:rPr>
          <w:rFonts w:cs="Times New Roman"/>
        </w:rPr>
        <w:t xml:space="preserve">, A., </w:t>
      </w:r>
      <w:proofErr w:type="spellStart"/>
      <w:r w:rsidRPr="00931B3D">
        <w:rPr>
          <w:rFonts w:cs="Times New Roman"/>
        </w:rPr>
        <w:t>Elshafie</w:t>
      </w:r>
      <w:proofErr w:type="spellEnd"/>
      <w:r w:rsidRPr="00931B3D">
        <w:rPr>
          <w:rFonts w:cs="Times New Roman"/>
        </w:rPr>
        <w:t>, E. and Al-</w:t>
      </w:r>
      <w:proofErr w:type="spellStart"/>
      <w:r w:rsidRPr="00931B3D">
        <w:rPr>
          <w:rFonts w:cs="Times New Roman"/>
        </w:rPr>
        <w:t>Sayaghi</w:t>
      </w:r>
      <w:proofErr w:type="spellEnd"/>
      <w:r w:rsidRPr="00931B3D">
        <w:rPr>
          <w:rFonts w:cs="Times New Roman"/>
        </w:rPr>
        <w:t>, K.M., 2024. Medication errors in pediatric emergency departments: a systematic review and recommendations for enhancing medication safety. </w:t>
      </w:r>
      <w:r w:rsidRPr="00931B3D">
        <w:rPr>
          <w:rFonts w:cs="Times New Roman"/>
          <w:i/>
          <w:iCs/>
        </w:rPr>
        <w:t>Pediatric Emergency Care</w:t>
      </w:r>
      <w:r w:rsidRPr="00931B3D">
        <w:rPr>
          <w:rFonts w:cs="Times New Roman"/>
        </w:rPr>
        <w:t>, </w:t>
      </w:r>
      <w:r w:rsidRPr="00931B3D">
        <w:rPr>
          <w:rFonts w:cs="Times New Roman"/>
          <w:i/>
          <w:iCs/>
        </w:rPr>
        <w:t>40</w:t>
      </w:r>
      <w:r w:rsidRPr="00931B3D">
        <w:rPr>
          <w:rFonts w:cs="Times New Roman"/>
        </w:rPr>
        <w:t xml:space="preserve">(1), pp.58-67. </w:t>
      </w:r>
      <w:hyperlink r:id="rId10" w:history="1">
        <w:r w:rsidRPr="00931B3D">
          <w:rPr>
            <w:rStyle w:val="Hyperlink"/>
            <w:rFonts w:cs="Times New Roman"/>
            <w:color w:val="auto"/>
          </w:rPr>
          <w:t>https://journals.lww.com/pec-online/abstract/2024/01000/medication_errors_in_pediatric_emergency.13.aspx?context=latestarticles</w:t>
        </w:r>
      </w:hyperlink>
      <w:r w:rsidRPr="00931B3D">
        <w:rPr>
          <w:rFonts w:cs="Times New Roman"/>
        </w:rPr>
        <w:t xml:space="preserve"> </w:t>
      </w:r>
    </w:p>
    <w:p w14:paraId="5C94D6E6" w14:textId="77777777" w:rsidR="00EF7A54" w:rsidRPr="00931B3D" w:rsidRDefault="00EF7A54" w:rsidP="00233160">
      <w:pPr>
        <w:spacing w:line="360" w:lineRule="auto"/>
        <w:rPr>
          <w:rFonts w:cs="Times New Roman"/>
          <w:lang w:val="en-IN"/>
        </w:rPr>
      </w:pPr>
      <w:r w:rsidRPr="00931B3D">
        <w:rPr>
          <w:rFonts w:cs="Times New Roman"/>
          <w:lang w:val="en-IN"/>
        </w:rPr>
        <w:t xml:space="preserve">Care Quality Commission (CQC) (2024) </w:t>
      </w:r>
      <w:r w:rsidRPr="00931B3D">
        <w:rPr>
          <w:rFonts w:cs="Times New Roman"/>
          <w:i/>
          <w:iCs/>
          <w:lang w:val="en-IN"/>
        </w:rPr>
        <w:t>The state of health care and adult social care in England 2023/24</w:t>
      </w:r>
      <w:r w:rsidRPr="00931B3D">
        <w:rPr>
          <w:rFonts w:cs="Times New Roman"/>
          <w:lang w:val="en-IN"/>
        </w:rPr>
        <w:t xml:space="preserve">. Available at: </w:t>
      </w:r>
      <w:hyperlink r:id="rId11" w:tgtFrame="_blank" w:history="1">
        <w:r w:rsidRPr="00931B3D">
          <w:rPr>
            <w:rStyle w:val="Hyperlink"/>
            <w:rFonts w:cs="Times New Roman"/>
            <w:color w:val="auto"/>
            <w:lang w:val="en-IN"/>
          </w:rPr>
          <w:t>https://www.cqc.org.uk/publications/major-report/state-care</w:t>
        </w:r>
      </w:hyperlink>
      <w:r w:rsidRPr="00931B3D">
        <w:rPr>
          <w:rFonts w:cs="Times New Roman"/>
          <w:lang w:val="en-IN"/>
        </w:rPr>
        <w:t xml:space="preserve"> (Accessed: 1 July 2026).</w:t>
      </w:r>
    </w:p>
    <w:p w14:paraId="55051B3B" w14:textId="77777777" w:rsidR="00EF7A54" w:rsidRPr="00931B3D" w:rsidRDefault="00EF7A54" w:rsidP="00233160">
      <w:pPr>
        <w:spacing w:line="360" w:lineRule="auto"/>
        <w:rPr>
          <w:rFonts w:cs="Times New Roman"/>
          <w:lang w:val="en-IN"/>
        </w:rPr>
      </w:pPr>
      <w:r w:rsidRPr="00931B3D">
        <w:rPr>
          <w:rFonts w:cs="Times New Roman"/>
        </w:rPr>
        <w:t xml:space="preserve">Davis, T.R., </w:t>
      </w:r>
      <w:proofErr w:type="spellStart"/>
      <w:r w:rsidRPr="00931B3D">
        <w:rPr>
          <w:rFonts w:cs="Times New Roman"/>
        </w:rPr>
        <w:t>Straatmann</w:t>
      </w:r>
      <w:proofErr w:type="spellEnd"/>
      <w:r w:rsidRPr="00931B3D">
        <w:rPr>
          <w:rFonts w:cs="Times New Roman"/>
        </w:rPr>
        <w:t>, K., Snyder, N., Shiner, D., Evans, A., Caruso, C. and Alton, M., 2025. Promoting a Culture of Patient Safety: Using the Principles of Just Culture to Improve Transparency and Risk Reporting in the Hospital Setting. </w:t>
      </w:r>
      <w:r w:rsidRPr="00931B3D">
        <w:rPr>
          <w:rFonts w:cs="Times New Roman"/>
          <w:i/>
          <w:iCs/>
        </w:rPr>
        <w:t>Patient Safety</w:t>
      </w:r>
      <w:r w:rsidRPr="00931B3D">
        <w:rPr>
          <w:rFonts w:cs="Times New Roman"/>
        </w:rPr>
        <w:t>, </w:t>
      </w:r>
      <w:r w:rsidRPr="00931B3D">
        <w:rPr>
          <w:rFonts w:cs="Times New Roman"/>
          <w:i/>
          <w:iCs/>
        </w:rPr>
        <w:t>7</w:t>
      </w:r>
      <w:r w:rsidRPr="00931B3D">
        <w:rPr>
          <w:rFonts w:cs="Times New Roman"/>
        </w:rPr>
        <w:t xml:space="preserve">(2). </w:t>
      </w:r>
      <w:hyperlink r:id="rId12" w:history="1">
        <w:r w:rsidRPr="00931B3D">
          <w:rPr>
            <w:rStyle w:val="Hyperlink"/>
            <w:rFonts w:cs="Times New Roman"/>
            <w:color w:val="auto"/>
            <w:lang w:val="en-IN"/>
          </w:rPr>
          <w:t>https://patientsafetyj.com/article/137737.pdf</w:t>
        </w:r>
      </w:hyperlink>
      <w:r w:rsidRPr="00931B3D">
        <w:rPr>
          <w:rFonts w:cs="Times New Roman"/>
          <w:lang w:val="en-IN"/>
        </w:rPr>
        <w:t xml:space="preserve"> </w:t>
      </w:r>
    </w:p>
    <w:p w14:paraId="3FF292EE" w14:textId="77777777" w:rsidR="00EF7A54" w:rsidRPr="00931B3D" w:rsidRDefault="00EF7A54" w:rsidP="00233160">
      <w:pPr>
        <w:spacing w:line="360" w:lineRule="auto"/>
        <w:rPr>
          <w:rFonts w:cs="Times New Roman"/>
          <w:lang w:val="en-IN"/>
        </w:rPr>
      </w:pPr>
      <w:r w:rsidRPr="00931B3D">
        <w:rPr>
          <w:rFonts w:cs="Times New Roman"/>
          <w:lang w:val="en-IN"/>
        </w:rPr>
        <w:t xml:space="preserve">Dye, C.F. (2023) </w:t>
      </w:r>
      <w:r w:rsidRPr="00931B3D">
        <w:rPr>
          <w:rFonts w:cs="Times New Roman"/>
          <w:i/>
          <w:iCs/>
          <w:lang w:val="en-IN"/>
        </w:rPr>
        <w:t>Leadership in Healthcare: Essential Values and Skills</w:t>
      </w:r>
      <w:r w:rsidRPr="00931B3D">
        <w:rPr>
          <w:rFonts w:cs="Times New Roman"/>
          <w:lang w:val="en-IN"/>
        </w:rPr>
        <w:t xml:space="preserve">. 4th </w:t>
      </w:r>
      <w:proofErr w:type="spellStart"/>
      <w:r w:rsidRPr="00931B3D">
        <w:rPr>
          <w:rFonts w:cs="Times New Roman"/>
          <w:lang w:val="en-IN"/>
        </w:rPr>
        <w:t>edn</w:t>
      </w:r>
      <w:proofErr w:type="spellEnd"/>
      <w:r w:rsidRPr="00931B3D">
        <w:rPr>
          <w:rFonts w:cs="Times New Roman"/>
          <w:lang w:val="en-IN"/>
        </w:rPr>
        <w:t>. Chicago: Health Administration Press.</w:t>
      </w:r>
    </w:p>
    <w:p w14:paraId="57FB8EE6" w14:textId="77777777" w:rsidR="00EF7A54" w:rsidRPr="00931B3D" w:rsidRDefault="00EF7A54" w:rsidP="00233160">
      <w:pPr>
        <w:spacing w:line="360" w:lineRule="auto"/>
        <w:rPr>
          <w:rFonts w:cs="Times New Roman"/>
        </w:rPr>
      </w:pPr>
      <w:r w:rsidRPr="00931B3D">
        <w:rPr>
          <w:rFonts w:cs="Times New Roman"/>
        </w:rPr>
        <w:t xml:space="preserve">EAHP Special Interest Group (2025) ‘Tackling medication errors: how a systems approach improves patient safety’, European Journal of Hospital Pharmacy. Available at: </w:t>
      </w:r>
      <w:hyperlink r:id="rId13" w:history="1">
        <w:r w:rsidRPr="00931B3D">
          <w:rPr>
            <w:rStyle w:val="Hyperlink"/>
            <w:rFonts w:cs="Times New Roman"/>
            <w:color w:val="auto"/>
          </w:rPr>
          <w:t>https://ejhp.bmj.com/content/early/2025/12/14/ejhpharm-2025-004533</w:t>
        </w:r>
      </w:hyperlink>
      <w:r w:rsidRPr="00931B3D">
        <w:rPr>
          <w:rFonts w:cs="Times New Roman"/>
        </w:rPr>
        <w:t xml:space="preserve"> (Accessed: 1 July 2026).</w:t>
      </w:r>
    </w:p>
    <w:p w14:paraId="68A5F09C" w14:textId="77777777" w:rsidR="00EF7A54" w:rsidRPr="00931B3D" w:rsidRDefault="00EF7A54" w:rsidP="00233160">
      <w:pPr>
        <w:spacing w:line="360" w:lineRule="auto"/>
        <w:rPr>
          <w:rFonts w:cs="Times New Roman"/>
        </w:rPr>
      </w:pPr>
      <w:r w:rsidRPr="00931B3D">
        <w:rPr>
          <w:rFonts w:cs="Times New Roman"/>
        </w:rPr>
        <w:t xml:space="preserve">Elliott, R.A., Camacho, E., Jankovic, D., </w:t>
      </w:r>
      <w:proofErr w:type="spellStart"/>
      <w:r w:rsidRPr="00931B3D">
        <w:rPr>
          <w:rFonts w:cs="Times New Roman"/>
        </w:rPr>
        <w:t>Sculpher</w:t>
      </w:r>
      <w:proofErr w:type="spellEnd"/>
      <w:r w:rsidRPr="00931B3D">
        <w:rPr>
          <w:rFonts w:cs="Times New Roman"/>
        </w:rPr>
        <w:t>, M.J. and Faria, R., 2021. Economic analysis of the prevalence and clinical and economic burden of medication error in England. </w:t>
      </w:r>
      <w:r w:rsidRPr="00931B3D">
        <w:rPr>
          <w:rFonts w:cs="Times New Roman"/>
          <w:i/>
          <w:iCs/>
        </w:rPr>
        <w:t>BMJ Quality &amp; Safety</w:t>
      </w:r>
      <w:r w:rsidRPr="00931B3D">
        <w:rPr>
          <w:rFonts w:cs="Times New Roman"/>
        </w:rPr>
        <w:t>, </w:t>
      </w:r>
      <w:r w:rsidRPr="00931B3D">
        <w:rPr>
          <w:rFonts w:cs="Times New Roman"/>
          <w:i/>
          <w:iCs/>
        </w:rPr>
        <w:t>30</w:t>
      </w:r>
      <w:r w:rsidRPr="00931B3D">
        <w:rPr>
          <w:rFonts w:cs="Times New Roman"/>
        </w:rPr>
        <w:t xml:space="preserve">(2), pp.96-105. </w:t>
      </w:r>
      <w:hyperlink r:id="rId14" w:history="1">
        <w:r w:rsidRPr="00931B3D">
          <w:rPr>
            <w:rStyle w:val="Hyperlink"/>
            <w:rFonts w:cs="Times New Roman"/>
            <w:color w:val="auto"/>
          </w:rPr>
          <w:t>https://qualitysafety.bmj.com/content/qhc/30/2/96.full.pdf</w:t>
        </w:r>
      </w:hyperlink>
      <w:r w:rsidRPr="00931B3D">
        <w:rPr>
          <w:rFonts w:cs="Times New Roman"/>
        </w:rPr>
        <w:t xml:space="preserve"> </w:t>
      </w:r>
    </w:p>
    <w:p w14:paraId="410C6F75" w14:textId="77777777" w:rsidR="00EF7A54" w:rsidRPr="00931B3D" w:rsidRDefault="00EF7A54" w:rsidP="00233160">
      <w:pPr>
        <w:spacing w:line="360" w:lineRule="auto"/>
        <w:rPr>
          <w:rFonts w:cs="Times New Roman"/>
          <w:lang w:val="en-IN"/>
        </w:rPr>
      </w:pPr>
      <w:r w:rsidRPr="00931B3D">
        <w:rPr>
          <w:rFonts w:cs="Times New Roman"/>
          <w:lang w:val="en-IN"/>
        </w:rPr>
        <w:t xml:space="preserve">Fong, B. (ed.) (2022) </w:t>
      </w:r>
      <w:r w:rsidRPr="00931B3D">
        <w:rPr>
          <w:rFonts w:cs="Times New Roman"/>
          <w:i/>
          <w:iCs/>
          <w:lang w:val="en-IN"/>
        </w:rPr>
        <w:t>Systems Thinking and Sustainable Healthcare Delivery</w:t>
      </w:r>
      <w:r w:rsidRPr="00931B3D">
        <w:rPr>
          <w:rFonts w:cs="Times New Roman"/>
          <w:lang w:val="en-IN"/>
        </w:rPr>
        <w:t xml:space="preserve">. London: Routledge.  </w:t>
      </w:r>
      <w:r w:rsidRPr="00931B3D">
        <w:rPr>
          <w:rFonts w:cs="Times New Roman"/>
        </w:rPr>
        <w:fldChar w:fldCharType="begin"/>
      </w:r>
      <w:r w:rsidRPr="00931B3D">
        <w:rPr>
          <w:rFonts w:cs="Times New Roman"/>
        </w:rPr>
        <w:instrText>HYPERLINK "https://www.taylorfrancis.com/books/edit/10.4324/9781003305637/systems-thinking-sustainable-healthcare-delivery-ben-fong" \t "_blank"</w:instrText>
      </w:r>
      <w:r w:rsidRPr="00931B3D">
        <w:rPr>
          <w:rFonts w:cs="Times New Roman"/>
        </w:rPr>
      </w:r>
      <w:r w:rsidRPr="00931B3D">
        <w:rPr>
          <w:rFonts w:cs="Times New Roman"/>
        </w:rPr>
        <w:fldChar w:fldCharType="separate"/>
      </w:r>
      <w:r w:rsidRPr="00931B3D">
        <w:rPr>
          <w:rStyle w:val="Hyperlink"/>
          <w:rFonts w:cs="Times New Roman"/>
          <w:color w:val="auto"/>
          <w:lang w:val="en-IN"/>
        </w:rPr>
        <w:t>https://www.taylorfrancis.com/books/edit/10.4324/9781003305637/systems-thinking-sustainable-healthcare-delivery-ben-fong</w:t>
      </w:r>
      <w:r w:rsidRPr="00931B3D">
        <w:rPr>
          <w:rStyle w:val="Hyperlink"/>
          <w:rFonts w:cs="Times New Roman"/>
          <w:color w:val="auto"/>
          <w:lang w:val="en-IN"/>
        </w:rPr>
        <w:fldChar w:fldCharType="end"/>
      </w:r>
      <w:r w:rsidRPr="00931B3D">
        <w:rPr>
          <w:rFonts w:cs="Times New Roman"/>
          <w:lang w:val="en-IN"/>
        </w:rPr>
        <w:t xml:space="preserve"> </w:t>
      </w:r>
    </w:p>
    <w:p w14:paraId="151CACBB" w14:textId="77777777" w:rsidR="00EF7A54" w:rsidRPr="00931B3D" w:rsidRDefault="00EF7A54" w:rsidP="00233160">
      <w:pPr>
        <w:spacing w:line="360" w:lineRule="auto"/>
        <w:rPr>
          <w:rFonts w:cs="Times New Roman"/>
        </w:rPr>
      </w:pPr>
      <w:r w:rsidRPr="00931B3D">
        <w:rPr>
          <w:rFonts w:cs="Times New Roman"/>
        </w:rPr>
        <w:t xml:space="preserve">Hannibal, G.D., Vithanage, N.V.N.N., </w:t>
      </w:r>
      <w:proofErr w:type="spellStart"/>
      <w:r w:rsidRPr="00931B3D">
        <w:rPr>
          <w:rFonts w:cs="Times New Roman"/>
        </w:rPr>
        <w:t>Madhushika</w:t>
      </w:r>
      <w:proofErr w:type="spellEnd"/>
      <w:r w:rsidRPr="00931B3D">
        <w:rPr>
          <w:rFonts w:cs="Times New Roman"/>
        </w:rPr>
        <w:t xml:space="preserve">, M.T., </w:t>
      </w:r>
      <w:proofErr w:type="spellStart"/>
      <w:r w:rsidRPr="00931B3D">
        <w:rPr>
          <w:rFonts w:cs="Times New Roman"/>
        </w:rPr>
        <w:t>Sinhabahu</w:t>
      </w:r>
      <w:proofErr w:type="spellEnd"/>
      <w:r w:rsidRPr="00931B3D">
        <w:rPr>
          <w:rFonts w:cs="Times New Roman"/>
        </w:rPr>
        <w:t xml:space="preserve">, T.K., </w:t>
      </w:r>
      <w:proofErr w:type="spellStart"/>
      <w:r w:rsidRPr="00931B3D">
        <w:rPr>
          <w:rFonts w:cs="Times New Roman"/>
        </w:rPr>
        <w:t>Kankananarachchi</w:t>
      </w:r>
      <w:proofErr w:type="spellEnd"/>
      <w:r w:rsidRPr="00931B3D">
        <w:rPr>
          <w:rFonts w:cs="Times New Roman"/>
        </w:rPr>
        <w:t xml:space="preserve">, I. and Liyanage, P.L.G.C., 2025. A systematic review of prescription errors in </w:t>
      </w:r>
      <w:proofErr w:type="spellStart"/>
      <w:r w:rsidRPr="00931B3D">
        <w:rPr>
          <w:rFonts w:cs="Times New Roman"/>
        </w:rPr>
        <w:t>paediatric</w:t>
      </w:r>
      <w:proofErr w:type="spellEnd"/>
      <w:r w:rsidRPr="00931B3D">
        <w:rPr>
          <w:rFonts w:cs="Times New Roman"/>
        </w:rPr>
        <w:t xml:space="preserve"> care. </w:t>
      </w:r>
      <w:r w:rsidRPr="00931B3D">
        <w:rPr>
          <w:rFonts w:cs="Times New Roman"/>
          <w:i/>
          <w:iCs/>
        </w:rPr>
        <w:t>BMC Health Services Research</w:t>
      </w:r>
      <w:r w:rsidRPr="00931B3D">
        <w:rPr>
          <w:rFonts w:cs="Times New Roman"/>
        </w:rPr>
        <w:t>, </w:t>
      </w:r>
      <w:r w:rsidRPr="00931B3D">
        <w:rPr>
          <w:rFonts w:cs="Times New Roman"/>
          <w:i/>
          <w:iCs/>
        </w:rPr>
        <w:t>25</w:t>
      </w:r>
      <w:r w:rsidRPr="00931B3D">
        <w:rPr>
          <w:rFonts w:cs="Times New Roman"/>
        </w:rPr>
        <w:t xml:space="preserve">(1), p.967. </w:t>
      </w:r>
      <w:hyperlink r:id="rId15" w:history="1">
        <w:r w:rsidRPr="00931B3D">
          <w:rPr>
            <w:rStyle w:val="Hyperlink"/>
            <w:rFonts w:cs="Times New Roman"/>
            <w:color w:val="auto"/>
          </w:rPr>
          <w:t>https://link.springer.com/content/pdf/10.1186/s12913-025-13109-6.pdf</w:t>
        </w:r>
      </w:hyperlink>
      <w:r w:rsidRPr="00931B3D">
        <w:rPr>
          <w:rFonts w:cs="Times New Roman"/>
        </w:rPr>
        <w:t xml:space="preserve"> </w:t>
      </w:r>
    </w:p>
    <w:p w14:paraId="081B3184" w14:textId="77777777" w:rsidR="00EF7A54" w:rsidRPr="00931B3D" w:rsidRDefault="00EF7A54" w:rsidP="00233160">
      <w:pPr>
        <w:spacing w:line="360" w:lineRule="auto"/>
        <w:rPr>
          <w:rFonts w:cs="Times New Roman"/>
          <w:lang w:val="en-IN"/>
        </w:rPr>
      </w:pPr>
      <w:r w:rsidRPr="00931B3D">
        <w:rPr>
          <w:rFonts w:cs="Times New Roman"/>
        </w:rPr>
        <w:t xml:space="preserve">Hannibal, G.D., Vithanage, N.V.N.N., </w:t>
      </w:r>
      <w:proofErr w:type="spellStart"/>
      <w:r w:rsidRPr="00931B3D">
        <w:rPr>
          <w:rFonts w:cs="Times New Roman"/>
        </w:rPr>
        <w:t>Madhushika</w:t>
      </w:r>
      <w:proofErr w:type="spellEnd"/>
      <w:r w:rsidRPr="00931B3D">
        <w:rPr>
          <w:rFonts w:cs="Times New Roman"/>
        </w:rPr>
        <w:t xml:space="preserve">, M.T., </w:t>
      </w:r>
      <w:proofErr w:type="spellStart"/>
      <w:r w:rsidRPr="00931B3D">
        <w:rPr>
          <w:rFonts w:cs="Times New Roman"/>
        </w:rPr>
        <w:t>Sinhabahu</w:t>
      </w:r>
      <w:proofErr w:type="spellEnd"/>
      <w:r w:rsidRPr="00931B3D">
        <w:rPr>
          <w:rFonts w:cs="Times New Roman"/>
        </w:rPr>
        <w:t xml:space="preserve">, T.K., </w:t>
      </w:r>
      <w:proofErr w:type="spellStart"/>
      <w:r w:rsidRPr="00931B3D">
        <w:rPr>
          <w:rFonts w:cs="Times New Roman"/>
        </w:rPr>
        <w:t>Kankananarachchi</w:t>
      </w:r>
      <w:proofErr w:type="spellEnd"/>
      <w:r w:rsidRPr="00931B3D">
        <w:rPr>
          <w:rFonts w:cs="Times New Roman"/>
        </w:rPr>
        <w:t xml:space="preserve">, I. and Liyanage, P.L.G.C., 2025. A systematic review of prescription errors in </w:t>
      </w:r>
      <w:proofErr w:type="spellStart"/>
      <w:r w:rsidRPr="00931B3D">
        <w:rPr>
          <w:rFonts w:cs="Times New Roman"/>
        </w:rPr>
        <w:t>paediatric</w:t>
      </w:r>
      <w:proofErr w:type="spellEnd"/>
      <w:r w:rsidRPr="00931B3D">
        <w:rPr>
          <w:rFonts w:cs="Times New Roman"/>
        </w:rPr>
        <w:t xml:space="preserve"> care. </w:t>
      </w:r>
      <w:r w:rsidRPr="00931B3D">
        <w:rPr>
          <w:rFonts w:cs="Times New Roman"/>
          <w:i/>
          <w:iCs/>
        </w:rPr>
        <w:t>BMC Health Services Research</w:t>
      </w:r>
      <w:r w:rsidRPr="00931B3D">
        <w:rPr>
          <w:rFonts w:cs="Times New Roman"/>
        </w:rPr>
        <w:t>, </w:t>
      </w:r>
      <w:r w:rsidRPr="00931B3D">
        <w:rPr>
          <w:rFonts w:cs="Times New Roman"/>
          <w:i/>
          <w:iCs/>
        </w:rPr>
        <w:t>25</w:t>
      </w:r>
      <w:r w:rsidRPr="00931B3D">
        <w:rPr>
          <w:rFonts w:cs="Times New Roman"/>
        </w:rPr>
        <w:t xml:space="preserve">(1), p.967. </w:t>
      </w:r>
      <w:r w:rsidRPr="00931B3D">
        <w:rPr>
          <w:rFonts w:cs="Times New Roman"/>
          <w:lang w:val="en-IN"/>
        </w:rPr>
        <w:t xml:space="preserve"> </w:t>
      </w:r>
      <w:hyperlink r:id="rId16" w:history="1">
        <w:r w:rsidRPr="00931B3D">
          <w:rPr>
            <w:rStyle w:val="Hyperlink"/>
            <w:rFonts w:cs="Times New Roman"/>
            <w:color w:val="auto"/>
            <w:lang w:val="en-IN"/>
          </w:rPr>
          <w:t>https://link.springer.com/content/pdf/10.1186/s12913-025-13109-6.pdf</w:t>
        </w:r>
      </w:hyperlink>
      <w:r w:rsidRPr="00931B3D">
        <w:rPr>
          <w:rFonts w:cs="Times New Roman"/>
          <w:lang w:val="en-IN"/>
        </w:rPr>
        <w:t xml:space="preserve"> </w:t>
      </w:r>
    </w:p>
    <w:p w14:paraId="1647558B" w14:textId="77777777" w:rsidR="00EF7A54" w:rsidRPr="00931B3D" w:rsidRDefault="00EF7A54" w:rsidP="00233160">
      <w:pPr>
        <w:spacing w:line="360" w:lineRule="auto"/>
        <w:rPr>
          <w:rFonts w:cs="Times New Roman"/>
          <w:lang w:val="en-IN"/>
        </w:rPr>
      </w:pPr>
      <w:r w:rsidRPr="00931B3D">
        <w:rPr>
          <w:rFonts w:cs="Times New Roman"/>
          <w:lang w:val="en-IN"/>
        </w:rPr>
        <w:t xml:space="preserve">Healthcare Safety Investigation Branch (HSIB) (2022) </w:t>
      </w:r>
      <w:r w:rsidRPr="00931B3D">
        <w:rPr>
          <w:rFonts w:cs="Times New Roman"/>
          <w:i/>
          <w:iCs/>
          <w:lang w:val="en-IN"/>
        </w:rPr>
        <w:t xml:space="preserve">Investigation report: Unintentional overdose of morphine </w:t>
      </w:r>
      <w:proofErr w:type="spellStart"/>
      <w:r w:rsidRPr="00931B3D">
        <w:rPr>
          <w:rFonts w:cs="Times New Roman"/>
          <w:i/>
          <w:iCs/>
          <w:lang w:val="en-IN"/>
        </w:rPr>
        <w:t>sulfate</w:t>
      </w:r>
      <w:proofErr w:type="spellEnd"/>
      <w:r w:rsidRPr="00931B3D">
        <w:rPr>
          <w:rFonts w:cs="Times New Roman"/>
          <w:i/>
          <w:iCs/>
          <w:lang w:val="en-IN"/>
        </w:rPr>
        <w:t xml:space="preserve"> oral solution</w:t>
      </w:r>
      <w:r w:rsidRPr="00931B3D">
        <w:rPr>
          <w:rFonts w:cs="Times New Roman"/>
          <w:lang w:val="en-IN"/>
        </w:rPr>
        <w:t xml:space="preserve">. Available at: </w:t>
      </w:r>
      <w:hyperlink r:id="rId17" w:tgtFrame="_blank" w:history="1">
        <w:r w:rsidRPr="00931B3D">
          <w:rPr>
            <w:rStyle w:val="Hyperlink"/>
            <w:rFonts w:cs="Times New Roman"/>
            <w:color w:val="auto"/>
            <w:lang w:val="en-IN"/>
          </w:rPr>
          <w:t>https://www.hssib.org.uk/patient-safety-investigations/unintentional-overdose-of-morphine-sulfate-oral-solution/investigation-report/</w:t>
        </w:r>
      </w:hyperlink>
      <w:r w:rsidRPr="00931B3D">
        <w:rPr>
          <w:rFonts w:cs="Times New Roman"/>
          <w:lang w:val="en-IN"/>
        </w:rPr>
        <w:t xml:space="preserve"> (Accessed: 1 July 2026).</w:t>
      </w:r>
    </w:p>
    <w:p w14:paraId="49A97F00" w14:textId="77777777" w:rsidR="00EF7A54" w:rsidRPr="00931B3D" w:rsidRDefault="00EF7A54" w:rsidP="00233160">
      <w:pPr>
        <w:spacing w:line="360" w:lineRule="auto"/>
        <w:rPr>
          <w:rFonts w:cs="Times New Roman"/>
        </w:rPr>
      </w:pPr>
      <w:r w:rsidRPr="00931B3D">
        <w:rPr>
          <w:rFonts w:cs="Times New Roman"/>
        </w:rPr>
        <w:t xml:space="preserve">Henry Basil, J., </w:t>
      </w:r>
      <w:proofErr w:type="spellStart"/>
      <w:r w:rsidRPr="00931B3D">
        <w:rPr>
          <w:rFonts w:cs="Times New Roman"/>
        </w:rPr>
        <w:t>Premakumar</w:t>
      </w:r>
      <w:proofErr w:type="spellEnd"/>
      <w:r w:rsidRPr="00931B3D">
        <w:rPr>
          <w:rFonts w:cs="Times New Roman"/>
        </w:rPr>
        <w:t xml:space="preserve">, C.M., </w:t>
      </w:r>
      <w:proofErr w:type="spellStart"/>
      <w:r w:rsidRPr="00931B3D">
        <w:rPr>
          <w:rFonts w:cs="Times New Roman"/>
        </w:rPr>
        <w:t>Mhd</w:t>
      </w:r>
      <w:proofErr w:type="spellEnd"/>
      <w:r w:rsidRPr="00931B3D">
        <w:rPr>
          <w:rFonts w:cs="Times New Roman"/>
        </w:rPr>
        <w:t xml:space="preserve"> Ali, A., Mohd Tahir, N.A. and Mohamed Shah, N., 2022. </w:t>
      </w:r>
      <w:proofErr w:type="gramStart"/>
      <w:r w:rsidRPr="00931B3D">
        <w:rPr>
          <w:rFonts w:cs="Times New Roman"/>
        </w:rPr>
        <w:t>Prevalence,</w:t>
      </w:r>
      <w:proofErr w:type="gramEnd"/>
      <w:r w:rsidRPr="00931B3D">
        <w:rPr>
          <w:rFonts w:cs="Times New Roman"/>
        </w:rPr>
        <w:t xml:space="preserve"> causes and severity of medication administration errors in the neonatal intensive care unit: a systematic review and meta-analysis. </w:t>
      </w:r>
      <w:r w:rsidRPr="00931B3D">
        <w:rPr>
          <w:rFonts w:cs="Times New Roman"/>
          <w:i/>
          <w:iCs/>
        </w:rPr>
        <w:t>Drug safety</w:t>
      </w:r>
      <w:r w:rsidRPr="00931B3D">
        <w:rPr>
          <w:rFonts w:cs="Times New Roman"/>
        </w:rPr>
        <w:t>, </w:t>
      </w:r>
      <w:r w:rsidRPr="00931B3D">
        <w:rPr>
          <w:rFonts w:cs="Times New Roman"/>
          <w:i/>
          <w:iCs/>
        </w:rPr>
        <w:t>45</w:t>
      </w:r>
      <w:r w:rsidRPr="00931B3D">
        <w:rPr>
          <w:rFonts w:cs="Times New Roman"/>
        </w:rPr>
        <w:t xml:space="preserve">(12), pp.1457-1476. </w:t>
      </w:r>
      <w:hyperlink r:id="rId18" w:history="1">
        <w:r w:rsidRPr="00931B3D">
          <w:rPr>
            <w:rStyle w:val="Hyperlink"/>
            <w:rFonts w:cs="Times New Roman"/>
            <w:color w:val="auto"/>
          </w:rPr>
          <w:t>https://link.springer.com/article/10.1007/s40264-022-01236-6</w:t>
        </w:r>
      </w:hyperlink>
      <w:r w:rsidRPr="00931B3D">
        <w:rPr>
          <w:rFonts w:cs="Times New Roman"/>
        </w:rPr>
        <w:t xml:space="preserve"> </w:t>
      </w:r>
    </w:p>
    <w:p w14:paraId="067A041C" w14:textId="77777777" w:rsidR="00EF7A54" w:rsidRPr="00931B3D" w:rsidRDefault="00EF7A54" w:rsidP="00233160">
      <w:pPr>
        <w:spacing w:line="360" w:lineRule="auto"/>
        <w:rPr>
          <w:rFonts w:cs="Times New Roman"/>
        </w:rPr>
      </w:pPr>
      <w:r w:rsidRPr="00931B3D">
        <w:rPr>
          <w:rFonts w:cs="Times New Roman"/>
        </w:rPr>
        <w:t xml:space="preserve">Henry Basil, J., </w:t>
      </w:r>
      <w:proofErr w:type="spellStart"/>
      <w:r w:rsidRPr="00931B3D">
        <w:rPr>
          <w:rFonts w:cs="Times New Roman"/>
        </w:rPr>
        <w:t>Premakumar</w:t>
      </w:r>
      <w:proofErr w:type="spellEnd"/>
      <w:r w:rsidRPr="00931B3D">
        <w:rPr>
          <w:rFonts w:cs="Times New Roman"/>
        </w:rPr>
        <w:t xml:space="preserve">, C.M., </w:t>
      </w:r>
      <w:proofErr w:type="spellStart"/>
      <w:r w:rsidRPr="00931B3D">
        <w:rPr>
          <w:rFonts w:cs="Times New Roman"/>
        </w:rPr>
        <w:t>Mhd</w:t>
      </w:r>
      <w:proofErr w:type="spellEnd"/>
      <w:r w:rsidRPr="00931B3D">
        <w:rPr>
          <w:rFonts w:cs="Times New Roman"/>
        </w:rPr>
        <w:t xml:space="preserve"> Ali, A., Mohd Tahir, N.A., </w:t>
      </w:r>
      <w:proofErr w:type="spellStart"/>
      <w:r w:rsidRPr="00931B3D">
        <w:rPr>
          <w:rFonts w:cs="Times New Roman"/>
        </w:rPr>
        <w:t>Seman</w:t>
      </w:r>
      <w:proofErr w:type="spellEnd"/>
      <w:r w:rsidRPr="00931B3D">
        <w:rPr>
          <w:rFonts w:cs="Times New Roman"/>
        </w:rPr>
        <w:t xml:space="preserve">, Z., Voo, J.Y.H., Ishak, S. and Mohamed Shah, N., 2025. Prevalence and factors associated with medication administration errors in the neonatal intensive care unit: a </w:t>
      </w:r>
      <w:proofErr w:type="spellStart"/>
      <w:r w:rsidRPr="00931B3D">
        <w:rPr>
          <w:rFonts w:cs="Times New Roman"/>
        </w:rPr>
        <w:t>multicentre</w:t>
      </w:r>
      <w:proofErr w:type="spellEnd"/>
      <w:r w:rsidRPr="00931B3D">
        <w:rPr>
          <w:rFonts w:cs="Times New Roman"/>
        </w:rPr>
        <w:t xml:space="preserve">, nationwide direct observational study. Journal of Advanced Nursing, 81(2), pp.820-833. </w:t>
      </w:r>
      <w:hyperlink r:id="rId19" w:history="1">
        <w:r w:rsidRPr="00931B3D">
          <w:rPr>
            <w:rStyle w:val="Hyperlink"/>
            <w:rFonts w:cs="Times New Roman"/>
            <w:color w:val="auto"/>
          </w:rPr>
          <w:t>https://onlinelibrary.wiley.com/doi/abs/10.1111/jan.16247</w:t>
        </w:r>
      </w:hyperlink>
      <w:r w:rsidRPr="00931B3D">
        <w:rPr>
          <w:rFonts w:cs="Times New Roman"/>
        </w:rPr>
        <w:t xml:space="preserve"> </w:t>
      </w:r>
    </w:p>
    <w:p w14:paraId="11FC693C" w14:textId="77777777" w:rsidR="00EF7A54" w:rsidRPr="00931B3D" w:rsidRDefault="00EF7A54" w:rsidP="00233160">
      <w:pPr>
        <w:spacing w:line="360" w:lineRule="auto"/>
        <w:rPr>
          <w:rFonts w:cs="Times New Roman"/>
          <w:lang w:val="en-IN"/>
        </w:rPr>
      </w:pPr>
      <w:r w:rsidRPr="00931B3D">
        <w:rPr>
          <w:rFonts w:cs="Times New Roman"/>
          <w:lang w:val="en-IN"/>
        </w:rPr>
        <w:t xml:space="preserve">Homer, J.B. (2026) </w:t>
      </w:r>
      <w:r w:rsidRPr="00931B3D">
        <w:rPr>
          <w:rFonts w:cs="Times New Roman"/>
          <w:i/>
          <w:iCs/>
          <w:lang w:val="en-IN"/>
        </w:rPr>
        <w:t>The Base Case: Systems Models and Data Analysis 2020-2026</w:t>
      </w:r>
      <w:r w:rsidRPr="00931B3D">
        <w:rPr>
          <w:rFonts w:cs="Times New Roman"/>
          <w:lang w:val="en-IN"/>
        </w:rPr>
        <w:t xml:space="preserve">. </w:t>
      </w:r>
      <w:proofErr w:type="spellStart"/>
      <w:r w:rsidRPr="00931B3D">
        <w:rPr>
          <w:rFonts w:cs="Times New Roman"/>
          <w:lang w:val="en-IN"/>
        </w:rPr>
        <w:t>Barrytown</w:t>
      </w:r>
      <w:proofErr w:type="spellEnd"/>
      <w:r w:rsidRPr="00931B3D">
        <w:rPr>
          <w:rFonts w:cs="Times New Roman"/>
          <w:lang w:val="en-IN"/>
        </w:rPr>
        <w:t>, NY: Grapeseed Press.</w:t>
      </w:r>
    </w:p>
    <w:p w14:paraId="1B5DEC14" w14:textId="77777777" w:rsidR="00EF7A54" w:rsidRPr="00931B3D" w:rsidRDefault="00EF7A54" w:rsidP="00233160">
      <w:pPr>
        <w:spacing w:line="360" w:lineRule="auto"/>
        <w:rPr>
          <w:rFonts w:cs="Times New Roman"/>
          <w:lang w:val="en-IN"/>
        </w:rPr>
      </w:pPr>
      <w:r w:rsidRPr="00931B3D">
        <w:rPr>
          <w:rFonts w:cs="Times New Roman"/>
        </w:rPr>
        <w:t xml:space="preserve">Huebner, C. and </w:t>
      </w:r>
      <w:proofErr w:type="spellStart"/>
      <w:r w:rsidRPr="00931B3D">
        <w:rPr>
          <w:rFonts w:cs="Times New Roman"/>
        </w:rPr>
        <w:t>Flessa</w:t>
      </w:r>
      <w:proofErr w:type="spellEnd"/>
      <w:r w:rsidRPr="00931B3D">
        <w:rPr>
          <w:rFonts w:cs="Times New Roman"/>
        </w:rPr>
        <w:t>, S., 2022. Strategic management in healthcare: a call for long-term and systems-thinking in an uncertain system. </w:t>
      </w:r>
      <w:r w:rsidRPr="00931B3D">
        <w:rPr>
          <w:rFonts w:cs="Times New Roman"/>
          <w:i/>
          <w:iCs/>
        </w:rPr>
        <w:t>International journal of environmental research and public health</w:t>
      </w:r>
      <w:r w:rsidRPr="00931B3D">
        <w:rPr>
          <w:rFonts w:cs="Times New Roman"/>
        </w:rPr>
        <w:t>, </w:t>
      </w:r>
      <w:r w:rsidRPr="00931B3D">
        <w:rPr>
          <w:rFonts w:cs="Times New Roman"/>
          <w:i/>
          <w:iCs/>
        </w:rPr>
        <w:t>19</w:t>
      </w:r>
      <w:r w:rsidRPr="00931B3D">
        <w:rPr>
          <w:rFonts w:cs="Times New Roman"/>
        </w:rPr>
        <w:t xml:space="preserve">(14), p.8617. </w:t>
      </w:r>
      <w:hyperlink r:id="rId20" w:history="1">
        <w:r w:rsidRPr="00931B3D">
          <w:rPr>
            <w:rStyle w:val="Hyperlink"/>
            <w:rFonts w:cs="Times New Roman"/>
            <w:color w:val="auto"/>
            <w:lang w:val="en-IN"/>
          </w:rPr>
          <w:t>https://www.mdpi.com/1660-4601/19/14/8617</w:t>
        </w:r>
      </w:hyperlink>
      <w:r w:rsidRPr="00931B3D">
        <w:rPr>
          <w:rFonts w:cs="Times New Roman"/>
          <w:lang w:val="en-IN"/>
        </w:rPr>
        <w:t xml:space="preserve"> </w:t>
      </w:r>
    </w:p>
    <w:p w14:paraId="7D368777" w14:textId="77777777" w:rsidR="00EF7A54" w:rsidRPr="00931B3D" w:rsidRDefault="00EF7A54" w:rsidP="00233160">
      <w:pPr>
        <w:spacing w:line="360" w:lineRule="auto"/>
        <w:rPr>
          <w:rFonts w:cs="Times New Roman"/>
          <w:lang w:val="en-IN"/>
        </w:rPr>
      </w:pPr>
      <w:r w:rsidRPr="00931B3D">
        <w:rPr>
          <w:rFonts w:cs="Times New Roman"/>
          <w:lang w:val="en-IN"/>
        </w:rPr>
        <w:t xml:space="preserve">Johnson, J.A., Anderson, D.E. and </w:t>
      </w:r>
      <w:proofErr w:type="spellStart"/>
      <w:r w:rsidRPr="00931B3D">
        <w:rPr>
          <w:rFonts w:cs="Times New Roman"/>
          <w:lang w:val="en-IN"/>
        </w:rPr>
        <w:t>Rossow</w:t>
      </w:r>
      <w:proofErr w:type="spellEnd"/>
      <w:r w:rsidRPr="00931B3D">
        <w:rPr>
          <w:rFonts w:cs="Times New Roman"/>
          <w:lang w:val="en-IN"/>
        </w:rPr>
        <w:t xml:space="preserve">, C.C. (2020) </w:t>
      </w:r>
      <w:r w:rsidRPr="00931B3D">
        <w:rPr>
          <w:rFonts w:cs="Times New Roman"/>
          <w:i/>
          <w:iCs/>
          <w:lang w:val="en-IN"/>
        </w:rPr>
        <w:t>Health Systems Thinking: A Primer</w:t>
      </w:r>
      <w:r w:rsidRPr="00931B3D">
        <w:rPr>
          <w:rFonts w:cs="Times New Roman"/>
          <w:lang w:val="en-IN"/>
        </w:rPr>
        <w:t>. Burlington, MA: Jones &amp; Bartlett Learning.</w:t>
      </w:r>
    </w:p>
    <w:p w14:paraId="2FF7D605" w14:textId="77777777" w:rsidR="00EF7A54" w:rsidRPr="00931B3D" w:rsidRDefault="00EF7A54" w:rsidP="00233160">
      <w:pPr>
        <w:spacing w:line="360" w:lineRule="auto"/>
        <w:rPr>
          <w:rFonts w:cs="Times New Roman"/>
        </w:rPr>
      </w:pPr>
      <w:r w:rsidRPr="00931B3D">
        <w:rPr>
          <w:rFonts w:cs="Times New Roman"/>
        </w:rPr>
        <w:t xml:space="preserve">Kleine, J., </w:t>
      </w:r>
      <w:proofErr w:type="spellStart"/>
      <w:r w:rsidRPr="00931B3D">
        <w:rPr>
          <w:rFonts w:cs="Times New Roman"/>
        </w:rPr>
        <w:t>Köppen</w:t>
      </w:r>
      <w:proofErr w:type="spellEnd"/>
      <w:r w:rsidRPr="00931B3D">
        <w:rPr>
          <w:rFonts w:cs="Times New Roman"/>
        </w:rPr>
        <w:t xml:space="preserve">, J., </w:t>
      </w:r>
      <w:proofErr w:type="spellStart"/>
      <w:r w:rsidRPr="00931B3D">
        <w:rPr>
          <w:rFonts w:cs="Times New Roman"/>
        </w:rPr>
        <w:t>Gurisch</w:t>
      </w:r>
      <w:proofErr w:type="spellEnd"/>
      <w:r w:rsidRPr="00931B3D">
        <w:rPr>
          <w:rFonts w:cs="Times New Roman"/>
        </w:rPr>
        <w:t>, C. and Maier, C.B., 2024. Transformational nurse leadership attributes in German hospitals pursuing organization-wide change via Magnet® or Pathway® principles: results from a qualitative study. </w:t>
      </w:r>
      <w:r w:rsidRPr="00931B3D">
        <w:rPr>
          <w:rFonts w:cs="Times New Roman"/>
          <w:i/>
          <w:iCs/>
        </w:rPr>
        <w:t>BMC health services research</w:t>
      </w:r>
      <w:r w:rsidRPr="00931B3D">
        <w:rPr>
          <w:rFonts w:cs="Times New Roman"/>
        </w:rPr>
        <w:t>, </w:t>
      </w:r>
      <w:r w:rsidRPr="00931B3D">
        <w:rPr>
          <w:rFonts w:cs="Times New Roman"/>
          <w:i/>
          <w:iCs/>
        </w:rPr>
        <w:t>24</w:t>
      </w:r>
      <w:r w:rsidRPr="00931B3D">
        <w:rPr>
          <w:rFonts w:cs="Times New Roman"/>
        </w:rPr>
        <w:t xml:space="preserve">(1), p.440. </w:t>
      </w:r>
      <w:hyperlink r:id="rId21" w:history="1">
        <w:r w:rsidRPr="00931B3D">
          <w:rPr>
            <w:rStyle w:val="Hyperlink"/>
            <w:rFonts w:cs="Times New Roman"/>
            <w:color w:val="auto"/>
          </w:rPr>
          <w:t>https://link.springer.com/content/pdf/10.1186/s12913-024-10862-y.pdf</w:t>
        </w:r>
      </w:hyperlink>
      <w:r w:rsidRPr="00931B3D">
        <w:rPr>
          <w:rFonts w:cs="Times New Roman"/>
        </w:rPr>
        <w:t xml:space="preserve"> </w:t>
      </w:r>
    </w:p>
    <w:p w14:paraId="51DA45F9" w14:textId="77777777" w:rsidR="00EF7A54" w:rsidRPr="00931B3D" w:rsidRDefault="00EF7A54" w:rsidP="00233160">
      <w:pPr>
        <w:spacing w:line="360" w:lineRule="auto"/>
        <w:rPr>
          <w:rFonts w:cs="Times New Roman"/>
        </w:rPr>
      </w:pPr>
      <w:r w:rsidRPr="00931B3D">
        <w:rPr>
          <w:rFonts w:cs="Times New Roman"/>
        </w:rPr>
        <w:t xml:space="preserve">Lopez-Pineda, A., Gonzalez de Dios, J., </w:t>
      </w:r>
      <w:proofErr w:type="spellStart"/>
      <w:r w:rsidRPr="00931B3D">
        <w:rPr>
          <w:rFonts w:cs="Times New Roman"/>
        </w:rPr>
        <w:t>Guilabert</w:t>
      </w:r>
      <w:proofErr w:type="spellEnd"/>
      <w:r w:rsidRPr="00931B3D">
        <w:rPr>
          <w:rFonts w:cs="Times New Roman"/>
        </w:rPr>
        <w:t xml:space="preserve"> Mora, M., Mira-Perceval Juan, G. and Mira Solves, J.J., 2022. A systematic review on pediatric medication errors by parents or caregivers at home. </w:t>
      </w:r>
      <w:r w:rsidRPr="00931B3D">
        <w:rPr>
          <w:rFonts w:cs="Times New Roman"/>
          <w:i/>
          <w:iCs/>
        </w:rPr>
        <w:t>Expert Opinion on Drug Safety</w:t>
      </w:r>
      <w:r w:rsidRPr="00931B3D">
        <w:rPr>
          <w:rFonts w:cs="Times New Roman"/>
        </w:rPr>
        <w:t>, </w:t>
      </w:r>
      <w:r w:rsidRPr="00931B3D">
        <w:rPr>
          <w:rFonts w:cs="Times New Roman"/>
          <w:i/>
          <w:iCs/>
        </w:rPr>
        <w:t>21</w:t>
      </w:r>
      <w:r w:rsidRPr="00931B3D">
        <w:rPr>
          <w:rFonts w:cs="Times New Roman"/>
        </w:rPr>
        <w:t xml:space="preserve">(1), pp.95-105. </w:t>
      </w:r>
      <w:hyperlink r:id="rId22" w:history="1">
        <w:r w:rsidRPr="00931B3D">
          <w:rPr>
            <w:rStyle w:val="Hyperlink"/>
            <w:rFonts w:cs="Times New Roman"/>
            <w:color w:val="auto"/>
          </w:rPr>
          <w:t>https://serviciopediatria.com/wp-content/uploads/2021/07/2021_Pediatric-medication-errors-by-parents_Dug-Safety.pdf</w:t>
        </w:r>
      </w:hyperlink>
      <w:r w:rsidRPr="00931B3D">
        <w:rPr>
          <w:rFonts w:cs="Times New Roman"/>
        </w:rPr>
        <w:t xml:space="preserve"> </w:t>
      </w:r>
    </w:p>
    <w:p w14:paraId="3DBB3839" w14:textId="77777777" w:rsidR="00EF7A54" w:rsidRPr="00931B3D" w:rsidRDefault="00EF7A54" w:rsidP="00233160">
      <w:pPr>
        <w:spacing w:line="360" w:lineRule="auto"/>
        <w:rPr>
          <w:rFonts w:cs="Times New Roman"/>
          <w:lang w:val="en-IN"/>
        </w:rPr>
      </w:pPr>
      <w:r w:rsidRPr="00931B3D">
        <w:rPr>
          <w:rFonts w:cs="Times New Roman"/>
        </w:rPr>
        <w:t xml:space="preserve">Martins, J.M., </w:t>
      </w:r>
      <w:proofErr w:type="spellStart"/>
      <w:r w:rsidRPr="00931B3D">
        <w:rPr>
          <w:rFonts w:cs="Times New Roman"/>
        </w:rPr>
        <w:t>Pathmanathan</w:t>
      </w:r>
      <w:proofErr w:type="spellEnd"/>
      <w:r w:rsidRPr="00931B3D">
        <w:rPr>
          <w:rFonts w:cs="Times New Roman"/>
        </w:rPr>
        <w:t xml:space="preserve">, I., Tan, D.T., Lim, S.C. and </w:t>
      </w:r>
      <w:proofErr w:type="spellStart"/>
      <w:r w:rsidRPr="00931B3D">
        <w:rPr>
          <w:rFonts w:cs="Times New Roman"/>
        </w:rPr>
        <w:t>Allotey</w:t>
      </w:r>
      <w:proofErr w:type="spellEnd"/>
      <w:r w:rsidRPr="00931B3D">
        <w:rPr>
          <w:rFonts w:cs="Times New Roman"/>
        </w:rPr>
        <w:t>, P. eds., 2021. </w:t>
      </w:r>
      <w:r w:rsidRPr="00931B3D">
        <w:rPr>
          <w:rFonts w:cs="Times New Roman"/>
          <w:i/>
          <w:iCs/>
        </w:rPr>
        <w:t>Systems thinking analyses for health policy and systems development: a Malaysian case study</w:t>
      </w:r>
      <w:r w:rsidRPr="00931B3D">
        <w:rPr>
          <w:rFonts w:cs="Times New Roman"/>
        </w:rPr>
        <w:t xml:space="preserve">. Cambridge University Press. </w:t>
      </w:r>
      <w:hyperlink r:id="rId23" w:tgtFrame="_blank" w:history="1">
        <w:r w:rsidRPr="00931B3D">
          <w:rPr>
            <w:rStyle w:val="Hyperlink"/>
            <w:rFonts w:cs="Times New Roman"/>
            <w:color w:val="auto"/>
            <w:lang w:val="en-IN"/>
          </w:rPr>
          <w:t>https://www.cambridge.org/core/books/systems-thinking-analyses-for-health-policy-and-systems-development</w:t>
        </w:r>
      </w:hyperlink>
      <w:r w:rsidRPr="00931B3D">
        <w:rPr>
          <w:rFonts w:cs="Times New Roman"/>
          <w:lang w:val="en-IN"/>
        </w:rPr>
        <w:t xml:space="preserve"> </w:t>
      </w:r>
    </w:p>
    <w:p w14:paraId="5268C995" w14:textId="77777777" w:rsidR="00EF7A54" w:rsidRPr="00931B3D" w:rsidRDefault="00EF7A54" w:rsidP="00233160">
      <w:pPr>
        <w:spacing w:line="360" w:lineRule="auto"/>
        <w:rPr>
          <w:rFonts w:cs="Times New Roman"/>
        </w:rPr>
      </w:pPr>
      <w:r w:rsidRPr="00931B3D">
        <w:rPr>
          <w:rFonts w:cs="Times New Roman"/>
        </w:rPr>
        <w:t xml:space="preserve">Marufu, T.C., Bower, R., </w:t>
      </w:r>
      <w:proofErr w:type="spellStart"/>
      <w:r w:rsidRPr="00931B3D">
        <w:rPr>
          <w:rFonts w:cs="Times New Roman"/>
        </w:rPr>
        <w:t>Hendron</w:t>
      </w:r>
      <w:proofErr w:type="spellEnd"/>
      <w:r w:rsidRPr="00931B3D">
        <w:rPr>
          <w:rFonts w:cs="Times New Roman"/>
        </w:rPr>
        <w:t xml:space="preserve">, E. and Manning, J.C., 2022. Nursing interventions to reduce medication errors in </w:t>
      </w:r>
      <w:proofErr w:type="spellStart"/>
      <w:r w:rsidRPr="00931B3D">
        <w:rPr>
          <w:rFonts w:cs="Times New Roman"/>
        </w:rPr>
        <w:t>paediatrics</w:t>
      </w:r>
      <w:proofErr w:type="spellEnd"/>
      <w:r w:rsidRPr="00931B3D">
        <w:rPr>
          <w:rFonts w:cs="Times New Roman"/>
        </w:rPr>
        <w:t xml:space="preserve"> and neonates: Systematic review and meta-analysis. </w:t>
      </w:r>
      <w:r w:rsidRPr="00931B3D">
        <w:rPr>
          <w:rFonts w:cs="Times New Roman"/>
          <w:i/>
          <w:iCs/>
        </w:rPr>
        <w:t>Journal of Pediatric Nursing</w:t>
      </w:r>
      <w:r w:rsidRPr="00931B3D">
        <w:rPr>
          <w:rFonts w:cs="Times New Roman"/>
        </w:rPr>
        <w:t>, </w:t>
      </w:r>
      <w:r w:rsidRPr="00931B3D">
        <w:rPr>
          <w:rFonts w:cs="Times New Roman"/>
          <w:i/>
          <w:iCs/>
        </w:rPr>
        <w:t>62</w:t>
      </w:r>
      <w:r w:rsidRPr="00931B3D">
        <w:rPr>
          <w:rFonts w:cs="Times New Roman"/>
        </w:rPr>
        <w:t xml:space="preserve">, </w:t>
      </w:r>
      <w:proofErr w:type="gramStart"/>
      <w:r w:rsidRPr="00931B3D">
        <w:rPr>
          <w:rFonts w:cs="Times New Roman"/>
        </w:rPr>
        <w:t>pp.e</w:t>
      </w:r>
      <w:proofErr w:type="gramEnd"/>
      <w:r w:rsidRPr="00931B3D">
        <w:rPr>
          <w:rFonts w:cs="Times New Roman"/>
        </w:rPr>
        <w:t xml:space="preserve">139-e147. </w:t>
      </w:r>
      <w:hyperlink r:id="rId24" w:history="1">
        <w:r w:rsidRPr="00931B3D">
          <w:rPr>
            <w:rStyle w:val="Hyperlink"/>
            <w:rFonts w:cs="Times New Roman"/>
            <w:color w:val="auto"/>
          </w:rPr>
          <w:t>https://www.sciencedirect.com/science/article/pii/S0882596321002578</w:t>
        </w:r>
      </w:hyperlink>
      <w:r w:rsidRPr="00931B3D">
        <w:rPr>
          <w:rFonts w:cs="Times New Roman"/>
        </w:rPr>
        <w:t xml:space="preserve"> </w:t>
      </w:r>
    </w:p>
    <w:p w14:paraId="190A4208" w14:textId="77777777" w:rsidR="00EF7A54" w:rsidRPr="00931B3D" w:rsidRDefault="00EF7A54" w:rsidP="00EF7A54">
      <w:pPr>
        <w:rPr>
          <w:rFonts w:cs="Times New Roman"/>
          <w:lang w:val="en-IN"/>
        </w:rPr>
      </w:pPr>
      <w:r w:rsidRPr="00931B3D">
        <w:rPr>
          <w:rFonts w:cs="Times New Roman"/>
          <w:lang w:val="en-IN"/>
        </w:rPr>
        <w:t xml:space="preserve">McGregor, D. (1960) </w:t>
      </w:r>
      <w:r w:rsidRPr="00931B3D">
        <w:rPr>
          <w:rFonts w:cs="Times New Roman"/>
          <w:i/>
          <w:iCs/>
          <w:lang w:val="en-IN"/>
        </w:rPr>
        <w:t>The Human Side of Enterprise</w:t>
      </w:r>
      <w:r w:rsidRPr="00931B3D">
        <w:rPr>
          <w:rFonts w:cs="Times New Roman"/>
          <w:lang w:val="en-IN"/>
        </w:rPr>
        <w:t xml:space="preserve">. New York: McGraw-Hill. </w:t>
      </w:r>
    </w:p>
    <w:p w14:paraId="3993EBC6" w14:textId="77777777" w:rsidR="00EF7A54" w:rsidRPr="00931B3D" w:rsidRDefault="00EF7A54" w:rsidP="00233160">
      <w:pPr>
        <w:spacing w:line="360" w:lineRule="auto"/>
        <w:rPr>
          <w:rFonts w:cs="Times New Roman"/>
        </w:rPr>
      </w:pPr>
      <w:r w:rsidRPr="00931B3D">
        <w:rPr>
          <w:rFonts w:cs="Times New Roman"/>
        </w:rPr>
        <w:t xml:space="preserve">Mohamed </w:t>
      </w:r>
      <w:proofErr w:type="spellStart"/>
      <w:r w:rsidRPr="00931B3D">
        <w:rPr>
          <w:rFonts w:cs="Times New Roman"/>
        </w:rPr>
        <w:t>Badran</w:t>
      </w:r>
      <w:proofErr w:type="spellEnd"/>
      <w:r w:rsidRPr="00931B3D">
        <w:rPr>
          <w:rFonts w:cs="Times New Roman"/>
        </w:rPr>
        <w:t xml:space="preserve">, F.M., Rahman Gaber Khalifa, M.A.E., </w:t>
      </w:r>
      <w:proofErr w:type="spellStart"/>
      <w:r w:rsidRPr="00931B3D">
        <w:rPr>
          <w:rFonts w:cs="Times New Roman"/>
        </w:rPr>
        <w:t>Elghannam</w:t>
      </w:r>
      <w:proofErr w:type="spellEnd"/>
      <w:r w:rsidRPr="00931B3D">
        <w:rPr>
          <w:rFonts w:cs="Times New Roman"/>
        </w:rPr>
        <w:t xml:space="preserve">, H.M. and Mohamed Ali, E.H., 2026. From blame to </w:t>
      </w:r>
      <w:proofErr w:type="gramStart"/>
      <w:r w:rsidRPr="00931B3D">
        <w:rPr>
          <w:rFonts w:cs="Times New Roman"/>
        </w:rPr>
        <w:t>learning:</w:t>
      </w:r>
      <w:proofErr w:type="gramEnd"/>
      <w:r w:rsidRPr="00931B3D">
        <w:rPr>
          <w:rFonts w:cs="Times New Roman"/>
        </w:rPr>
        <w:t xml:space="preserve"> implementing a just culture program for head nurses and its impact on silent behavior and error reporting among staff nurses. BMC nursing. </w:t>
      </w:r>
      <w:hyperlink r:id="rId25" w:history="1">
        <w:r w:rsidRPr="00931B3D">
          <w:rPr>
            <w:rStyle w:val="Hyperlink"/>
            <w:rFonts w:cs="Times New Roman"/>
            <w:color w:val="auto"/>
          </w:rPr>
          <w:t>https://link.springer.com/content/pdf/10.1186/s12912-025-04265-5_reference.pdf</w:t>
        </w:r>
      </w:hyperlink>
      <w:r w:rsidRPr="00931B3D">
        <w:rPr>
          <w:rFonts w:cs="Times New Roman"/>
        </w:rPr>
        <w:t xml:space="preserve"> </w:t>
      </w:r>
    </w:p>
    <w:p w14:paraId="7AC8CD9D" w14:textId="77777777" w:rsidR="00EF7A54" w:rsidRPr="00931B3D" w:rsidRDefault="00EF7A54" w:rsidP="00233160">
      <w:pPr>
        <w:spacing w:line="360" w:lineRule="auto"/>
        <w:rPr>
          <w:rFonts w:cs="Times New Roman"/>
          <w:lang w:val="en-IN"/>
        </w:rPr>
      </w:pPr>
      <w:r w:rsidRPr="00931B3D">
        <w:rPr>
          <w:rFonts w:cs="Times New Roman"/>
        </w:rPr>
        <w:t xml:space="preserve">Murray, J.S., Lee, J., Larson, S., Range, A., Scott, D. and Clifford, J., 2023. Requirements for implementing a ‘just </w:t>
      </w:r>
      <w:proofErr w:type="spellStart"/>
      <w:r w:rsidRPr="00931B3D">
        <w:rPr>
          <w:rFonts w:cs="Times New Roman"/>
        </w:rPr>
        <w:t>culture’within</w:t>
      </w:r>
      <w:proofErr w:type="spellEnd"/>
      <w:r w:rsidRPr="00931B3D">
        <w:rPr>
          <w:rFonts w:cs="Times New Roman"/>
        </w:rPr>
        <w:t xml:space="preserve"> healthcare </w:t>
      </w:r>
      <w:proofErr w:type="spellStart"/>
      <w:r w:rsidRPr="00931B3D">
        <w:rPr>
          <w:rFonts w:cs="Times New Roman"/>
        </w:rPr>
        <w:t>organisations</w:t>
      </w:r>
      <w:proofErr w:type="spellEnd"/>
      <w:r w:rsidRPr="00931B3D">
        <w:rPr>
          <w:rFonts w:cs="Times New Roman"/>
        </w:rPr>
        <w:t>: an integrative review. </w:t>
      </w:r>
      <w:r w:rsidRPr="00931B3D">
        <w:rPr>
          <w:rFonts w:cs="Times New Roman"/>
          <w:i/>
          <w:iCs/>
        </w:rPr>
        <w:t>BMJ open quality</w:t>
      </w:r>
      <w:r w:rsidRPr="00931B3D">
        <w:rPr>
          <w:rFonts w:cs="Times New Roman"/>
        </w:rPr>
        <w:t>, </w:t>
      </w:r>
      <w:r w:rsidRPr="00931B3D">
        <w:rPr>
          <w:rFonts w:cs="Times New Roman"/>
          <w:i/>
          <w:iCs/>
        </w:rPr>
        <w:t>12</w:t>
      </w:r>
      <w:r w:rsidRPr="00931B3D">
        <w:rPr>
          <w:rFonts w:cs="Times New Roman"/>
        </w:rPr>
        <w:t>(2)</w:t>
      </w:r>
      <w:r w:rsidRPr="00931B3D">
        <w:rPr>
          <w:rFonts w:cs="Times New Roman"/>
          <w:lang w:val="en-IN"/>
        </w:rPr>
        <w:t xml:space="preserve">. </w:t>
      </w:r>
      <w:hyperlink r:id="rId26" w:history="1">
        <w:r w:rsidRPr="00931B3D">
          <w:rPr>
            <w:rStyle w:val="Hyperlink"/>
            <w:rFonts w:cs="Times New Roman"/>
            <w:color w:val="auto"/>
            <w:lang w:val="en-IN"/>
          </w:rPr>
          <w:t>https://bmjopenquality.bmj.com/content/bmjqir/12/2/e002237.full.pdf</w:t>
        </w:r>
      </w:hyperlink>
      <w:r w:rsidRPr="00931B3D">
        <w:rPr>
          <w:rFonts w:cs="Times New Roman"/>
          <w:lang w:val="en-IN"/>
        </w:rPr>
        <w:t xml:space="preserve"> </w:t>
      </w:r>
    </w:p>
    <w:p w14:paraId="0484F334" w14:textId="77777777" w:rsidR="00EF7A54" w:rsidRPr="00931B3D" w:rsidRDefault="00EF7A54" w:rsidP="00233160">
      <w:pPr>
        <w:spacing w:line="360" w:lineRule="auto"/>
        <w:rPr>
          <w:rFonts w:cs="Times New Roman"/>
          <w:lang w:val="en-IN"/>
        </w:rPr>
      </w:pPr>
      <w:r w:rsidRPr="00931B3D">
        <w:rPr>
          <w:rFonts w:cs="Times New Roman"/>
          <w:lang w:val="en-IN"/>
        </w:rPr>
        <w:t xml:space="preserve">NHS England (2023) </w:t>
      </w:r>
      <w:r w:rsidRPr="00931B3D">
        <w:rPr>
          <w:rFonts w:cs="Times New Roman"/>
          <w:i/>
          <w:iCs/>
          <w:lang w:val="en-IN"/>
        </w:rPr>
        <w:t>Improving patient safety culture – a practical guide</w:t>
      </w:r>
      <w:r w:rsidRPr="00931B3D">
        <w:rPr>
          <w:rFonts w:cs="Times New Roman"/>
          <w:lang w:val="en-IN"/>
        </w:rPr>
        <w:t xml:space="preserve">. Available at: </w:t>
      </w:r>
      <w:hyperlink r:id="rId27" w:tgtFrame="_blank" w:history="1">
        <w:r w:rsidRPr="00931B3D">
          <w:rPr>
            <w:rStyle w:val="Hyperlink"/>
            <w:rFonts w:cs="Times New Roman"/>
            <w:color w:val="auto"/>
            <w:lang w:val="en-IN"/>
          </w:rPr>
          <w:t>https://www.england.nhs.uk/long-read/improving-patient-safety-culture-a-practical-guide/</w:t>
        </w:r>
      </w:hyperlink>
      <w:r w:rsidRPr="00931B3D">
        <w:rPr>
          <w:rFonts w:cs="Times New Roman"/>
          <w:lang w:val="en-IN"/>
        </w:rPr>
        <w:t xml:space="preserve"> (Accessed: 1 July 2026).</w:t>
      </w:r>
    </w:p>
    <w:p w14:paraId="7B72CC68" w14:textId="77777777" w:rsidR="00EF7A54" w:rsidRPr="00931B3D" w:rsidRDefault="00EF7A54" w:rsidP="00233160">
      <w:pPr>
        <w:spacing w:line="360" w:lineRule="auto"/>
        <w:rPr>
          <w:rFonts w:cs="Times New Roman"/>
          <w:lang w:val="en-IN"/>
        </w:rPr>
      </w:pPr>
      <w:r w:rsidRPr="00931B3D">
        <w:rPr>
          <w:rFonts w:cs="Times New Roman"/>
          <w:lang w:val="en-IN"/>
        </w:rPr>
        <w:t xml:space="preserve">NHS North East and Yorkshire (2023) </w:t>
      </w:r>
      <w:r w:rsidRPr="00931B3D">
        <w:rPr>
          <w:rFonts w:cs="Times New Roman"/>
          <w:i/>
          <w:iCs/>
          <w:lang w:val="en-IN"/>
        </w:rPr>
        <w:t>Serious Incident Case Study: Infant Morphine Overdose – Investigation Summary &amp; Learning</w:t>
      </w:r>
      <w:r w:rsidRPr="00931B3D">
        <w:rPr>
          <w:rFonts w:cs="Times New Roman"/>
          <w:lang w:val="en-IN"/>
        </w:rPr>
        <w:t xml:space="preserve">. Available at: </w:t>
      </w:r>
      <w:hyperlink r:id="rId28" w:tgtFrame="_blank" w:history="1">
        <w:r w:rsidRPr="00931B3D">
          <w:rPr>
            <w:rStyle w:val="Hyperlink"/>
            <w:rFonts w:cs="Times New Roman"/>
            <w:color w:val="auto"/>
            <w:lang w:val="en-IN"/>
          </w:rPr>
          <w:t>https://northyorkshireccg.nhs.uk/wp-content/uploads/2023/09/11.07.23-NHS-NEY-INFANT-MORPHINE-OVERDOSE-CASE-STUDY.pdf</w:t>
        </w:r>
      </w:hyperlink>
      <w:r w:rsidRPr="00931B3D">
        <w:rPr>
          <w:rFonts w:cs="Times New Roman"/>
          <w:lang w:val="en-IN"/>
        </w:rPr>
        <w:t xml:space="preserve"> (Accessed: 1 July 2026).</w:t>
      </w:r>
    </w:p>
    <w:p w14:paraId="7E18ACA9" w14:textId="77777777" w:rsidR="00EF7A54" w:rsidRPr="00931B3D" w:rsidRDefault="00EF7A54" w:rsidP="00EF7A54">
      <w:pPr>
        <w:rPr>
          <w:rFonts w:cs="Times New Roman"/>
          <w:lang w:val="en-IN"/>
        </w:rPr>
      </w:pPr>
      <w:proofErr w:type="spellStart"/>
      <w:r w:rsidRPr="00931B3D">
        <w:rPr>
          <w:rFonts w:cs="Times New Roman"/>
          <w:lang w:val="en-IN"/>
        </w:rPr>
        <w:t>Ouchi</w:t>
      </w:r>
      <w:proofErr w:type="spellEnd"/>
      <w:r w:rsidRPr="00931B3D">
        <w:rPr>
          <w:rFonts w:cs="Times New Roman"/>
          <w:lang w:val="en-IN"/>
        </w:rPr>
        <w:t xml:space="preserve">, W.G. (1981) </w:t>
      </w:r>
      <w:r w:rsidRPr="00931B3D">
        <w:rPr>
          <w:rFonts w:cs="Times New Roman"/>
          <w:i/>
          <w:iCs/>
          <w:lang w:val="en-IN"/>
        </w:rPr>
        <w:t>Theory Z: How American Business Can Meet the Japanese Challenge</w:t>
      </w:r>
      <w:r w:rsidRPr="00931B3D">
        <w:rPr>
          <w:rFonts w:cs="Times New Roman"/>
          <w:lang w:val="en-IN"/>
        </w:rPr>
        <w:t xml:space="preserve">. Reading, MA: Addison-Wesley. </w:t>
      </w:r>
    </w:p>
    <w:p w14:paraId="13A4CB67" w14:textId="77777777" w:rsidR="00EF7A54" w:rsidRPr="00931B3D" w:rsidRDefault="00EF7A54" w:rsidP="00233160">
      <w:pPr>
        <w:spacing w:line="360" w:lineRule="auto"/>
        <w:rPr>
          <w:rFonts w:cs="Times New Roman"/>
        </w:rPr>
      </w:pPr>
      <w:proofErr w:type="spellStart"/>
      <w:r w:rsidRPr="00931B3D">
        <w:rPr>
          <w:rFonts w:cs="Times New Roman"/>
        </w:rPr>
        <w:t>Sheiniz</w:t>
      </w:r>
      <w:proofErr w:type="spellEnd"/>
      <w:r w:rsidRPr="00931B3D">
        <w:rPr>
          <w:rFonts w:cs="Times New Roman"/>
        </w:rPr>
        <w:t xml:space="preserve">, G., McCallion, N., </w:t>
      </w:r>
      <w:proofErr w:type="spellStart"/>
      <w:r w:rsidRPr="00931B3D">
        <w:rPr>
          <w:rFonts w:cs="Times New Roman"/>
        </w:rPr>
        <w:t>Allegaert</w:t>
      </w:r>
      <w:proofErr w:type="spellEnd"/>
      <w:r w:rsidRPr="00931B3D">
        <w:rPr>
          <w:rFonts w:cs="Times New Roman"/>
        </w:rPr>
        <w:t>, K. and O’Brien, F., 2025. Safeguarding drug safety in neonates: addressing the impact of in-hospital medication administration errors through prevention and standardization. </w:t>
      </w:r>
      <w:r w:rsidRPr="00931B3D">
        <w:rPr>
          <w:rFonts w:cs="Times New Roman"/>
          <w:i/>
          <w:iCs/>
        </w:rPr>
        <w:t>Expert Opinion on Drug Safety</w:t>
      </w:r>
      <w:r w:rsidRPr="00931B3D">
        <w:rPr>
          <w:rFonts w:cs="Times New Roman"/>
        </w:rPr>
        <w:t xml:space="preserve">, pp.1-3. </w:t>
      </w:r>
      <w:hyperlink r:id="rId29" w:history="1">
        <w:r w:rsidRPr="00931B3D">
          <w:rPr>
            <w:rStyle w:val="Hyperlink"/>
            <w:rFonts w:cs="Times New Roman"/>
            <w:color w:val="auto"/>
          </w:rPr>
          <w:t>https://www.tandfonline.com/doi/pdf/10.1080/14740338.2025.2585069</w:t>
        </w:r>
      </w:hyperlink>
      <w:r w:rsidRPr="00931B3D">
        <w:rPr>
          <w:rFonts w:cs="Times New Roman"/>
        </w:rPr>
        <w:t xml:space="preserve"> </w:t>
      </w:r>
    </w:p>
    <w:p w14:paraId="341BF992" w14:textId="77777777" w:rsidR="00EF7A54" w:rsidRPr="00931B3D" w:rsidRDefault="00EF7A54" w:rsidP="00EF7A54">
      <w:pPr>
        <w:rPr>
          <w:rFonts w:cs="Times New Roman"/>
        </w:rPr>
      </w:pPr>
      <w:r w:rsidRPr="00931B3D">
        <w:rPr>
          <w:rFonts w:cs="Times New Roman"/>
          <w:lang w:val="en-IN"/>
        </w:rPr>
        <w:t xml:space="preserve">Tannenbaum, R. and Schmidt, W.H. (1973) ‘How to choose a leadership pattern’, </w:t>
      </w:r>
      <w:r w:rsidRPr="00931B3D">
        <w:rPr>
          <w:rFonts w:cs="Times New Roman"/>
          <w:i/>
          <w:iCs/>
          <w:lang w:val="en-IN"/>
        </w:rPr>
        <w:t>Harvard Business Review</w:t>
      </w:r>
      <w:r w:rsidRPr="00931B3D">
        <w:rPr>
          <w:rFonts w:cs="Times New Roman"/>
          <w:lang w:val="en-IN"/>
        </w:rPr>
        <w:t>, 51(3), pp. 162–180.</w:t>
      </w:r>
    </w:p>
    <w:p w14:paraId="304236FF" w14:textId="77777777" w:rsidR="00EF7A54" w:rsidRPr="00931B3D" w:rsidRDefault="00EF7A54" w:rsidP="00233160">
      <w:pPr>
        <w:spacing w:line="360" w:lineRule="auto"/>
        <w:rPr>
          <w:rFonts w:cs="Times New Roman"/>
          <w:lang w:val="en-IN"/>
        </w:rPr>
      </w:pPr>
      <w:r w:rsidRPr="00931B3D">
        <w:rPr>
          <w:rFonts w:cs="Times New Roman"/>
          <w:lang w:val="en-IN"/>
        </w:rPr>
        <w:t xml:space="preserve">Wei, H. and Horton-Deutsch, S. (eds) (2022) </w:t>
      </w:r>
      <w:r w:rsidRPr="00931B3D">
        <w:rPr>
          <w:rFonts w:cs="Times New Roman"/>
          <w:i/>
          <w:iCs/>
          <w:lang w:val="en-IN"/>
        </w:rPr>
        <w:t>Visionary Leadership in Healthcare: Excellence in Practice, Policy, and Ethics</w:t>
      </w:r>
      <w:r w:rsidRPr="00931B3D">
        <w:rPr>
          <w:rFonts w:cs="Times New Roman"/>
          <w:lang w:val="en-IN"/>
        </w:rPr>
        <w:t xml:space="preserve">. Indianapolis: Sigma Theta Tau International. Available at: </w:t>
      </w:r>
      <w:hyperlink r:id="rId30" w:tgtFrame="_blank" w:history="1">
        <w:r w:rsidRPr="00931B3D">
          <w:rPr>
            <w:rStyle w:val="Hyperlink"/>
            <w:rFonts w:cs="Times New Roman"/>
            <w:color w:val="auto"/>
            <w:lang w:val="en-IN"/>
          </w:rPr>
          <w:t>https://www.researchgate.net/publication/359365145</w:t>
        </w:r>
      </w:hyperlink>
      <w:r w:rsidRPr="00931B3D">
        <w:rPr>
          <w:rFonts w:cs="Times New Roman"/>
          <w:lang w:val="en-IN"/>
        </w:rPr>
        <w:t xml:space="preserve"> (Accessed: 1 July 2026). </w:t>
      </w:r>
    </w:p>
    <w:p w14:paraId="7744B01F" w14:textId="77777777" w:rsidR="00EF7A54" w:rsidRPr="00931B3D" w:rsidRDefault="00EF7A54" w:rsidP="00233160">
      <w:pPr>
        <w:spacing w:line="360" w:lineRule="auto"/>
        <w:rPr>
          <w:rFonts w:cs="Times New Roman"/>
        </w:rPr>
      </w:pPr>
      <w:r w:rsidRPr="00931B3D">
        <w:rPr>
          <w:rFonts w:cs="Times New Roman"/>
        </w:rPr>
        <w:t xml:space="preserve">Wende, L., </w:t>
      </w:r>
      <w:proofErr w:type="spellStart"/>
      <w:r w:rsidRPr="00931B3D">
        <w:rPr>
          <w:rFonts w:cs="Times New Roman"/>
        </w:rPr>
        <w:t>Schoberer</w:t>
      </w:r>
      <w:proofErr w:type="spellEnd"/>
      <w:r w:rsidRPr="00931B3D">
        <w:rPr>
          <w:rFonts w:cs="Times New Roman"/>
        </w:rPr>
        <w:t xml:space="preserve">, M., </w:t>
      </w:r>
      <w:proofErr w:type="spellStart"/>
      <w:r w:rsidRPr="00931B3D">
        <w:rPr>
          <w:rFonts w:cs="Times New Roman"/>
        </w:rPr>
        <w:t>Kaune</w:t>
      </w:r>
      <w:proofErr w:type="spellEnd"/>
      <w:r w:rsidRPr="00931B3D">
        <w:rPr>
          <w:rFonts w:cs="Times New Roman"/>
        </w:rPr>
        <w:t xml:space="preserve">, A., Kreutzer, K.B., </w:t>
      </w:r>
      <w:proofErr w:type="spellStart"/>
      <w:r w:rsidRPr="00931B3D">
        <w:rPr>
          <w:rFonts w:cs="Times New Roman"/>
        </w:rPr>
        <w:t>Orlikowsky</w:t>
      </w:r>
      <w:proofErr w:type="spellEnd"/>
      <w:r w:rsidRPr="00931B3D">
        <w:rPr>
          <w:rFonts w:cs="Times New Roman"/>
        </w:rPr>
        <w:t xml:space="preserve">, T., Christiansen, N., </w:t>
      </w:r>
      <w:proofErr w:type="spellStart"/>
      <w:r w:rsidRPr="00931B3D">
        <w:rPr>
          <w:rFonts w:cs="Times New Roman"/>
        </w:rPr>
        <w:t>Nydert</w:t>
      </w:r>
      <w:proofErr w:type="spellEnd"/>
      <w:r w:rsidRPr="00931B3D">
        <w:rPr>
          <w:rFonts w:cs="Times New Roman"/>
        </w:rPr>
        <w:t xml:space="preserve">, P., Schubert, S. and </w:t>
      </w:r>
      <w:proofErr w:type="spellStart"/>
      <w:r w:rsidRPr="00931B3D">
        <w:rPr>
          <w:rFonts w:cs="Times New Roman"/>
        </w:rPr>
        <w:t>Eisert</w:t>
      </w:r>
      <w:proofErr w:type="spellEnd"/>
      <w:r w:rsidRPr="00931B3D">
        <w:rPr>
          <w:rFonts w:cs="Times New Roman"/>
        </w:rPr>
        <w:t>, A., 2025. The Effect of Standard Concentration Infusions on Medication Errors in Neonatal and Pediatric Healthcare Settings: A Systematic Review. </w:t>
      </w:r>
      <w:r w:rsidRPr="00931B3D">
        <w:rPr>
          <w:rFonts w:cs="Times New Roman"/>
          <w:i/>
          <w:iCs/>
        </w:rPr>
        <w:t>Journal of Clinical Medicine</w:t>
      </w:r>
      <w:r w:rsidRPr="00931B3D">
        <w:rPr>
          <w:rFonts w:cs="Times New Roman"/>
        </w:rPr>
        <w:t>, </w:t>
      </w:r>
      <w:r w:rsidRPr="00931B3D">
        <w:rPr>
          <w:rFonts w:cs="Times New Roman"/>
          <w:i/>
          <w:iCs/>
        </w:rPr>
        <w:t>14</w:t>
      </w:r>
      <w:r w:rsidRPr="00931B3D">
        <w:rPr>
          <w:rFonts w:cs="Times New Roman"/>
        </w:rPr>
        <w:t xml:space="preserve">(22), p.7965. </w:t>
      </w:r>
      <w:hyperlink r:id="rId31" w:history="1">
        <w:r w:rsidRPr="00931B3D">
          <w:rPr>
            <w:rStyle w:val="Hyperlink"/>
            <w:rFonts w:cs="Times New Roman"/>
            <w:color w:val="auto"/>
          </w:rPr>
          <w:t>https://pmc.ncbi.nlm.nih.gov/articles/PMC12653657/</w:t>
        </w:r>
      </w:hyperlink>
      <w:r w:rsidRPr="00931B3D">
        <w:rPr>
          <w:rFonts w:cs="Times New Roman"/>
        </w:rPr>
        <w:t xml:space="preserve"> </w:t>
      </w:r>
    </w:p>
    <w:p w14:paraId="21258D26" w14:textId="77777777" w:rsidR="00EF7A54" w:rsidRPr="00931B3D" w:rsidRDefault="00EF7A54" w:rsidP="00233160">
      <w:pPr>
        <w:spacing w:line="360" w:lineRule="auto"/>
        <w:rPr>
          <w:rFonts w:cs="Times New Roman"/>
          <w:lang w:val="en-IN"/>
        </w:rPr>
      </w:pPr>
      <w:r w:rsidRPr="00931B3D">
        <w:rPr>
          <w:rFonts w:cs="Times New Roman"/>
          <w:lang w:val="en-IN"/>
        </w:rPr>
        <w:t xml:space="preserve">World Health Organization (WHO) (2023) </w:t>
      </w:r>
      <w:r w:rsidRPr="00931B3D">
        <w:rPr>
          <w:rFonts w:cs="Times New Roman"/>
          <w:i/>
          <w:iCs/>
          <w:lang w:val="en-IN"/>
        </w:rPr>
        <w:t>Medication safety in high-risk situations</w:t>
      </w:r>
      <w:r w:rsidRPr="00931B3D">
        <w:rPr>
          <w:rFonts w:cs="Times New Roman"/>
          <w:lang w:val="en-IN"/>
        </w:rPr>
        <w:t xml:space="preserve">. Geneva: World Health Organization. Available at: </w:t>
      </w:r>
      <w:hyperlink r:id="rId32" w:tgtFrame="_blank" w:history="1">
        <w:r w:rsidRPr="00931B3D">
          <w:rPr>
            <w:rStyle w:val="Hyperlink"/>
            <w:rFonts w:cs="Times New Roman"/>
            <w:color w:val="auto"/>
            <w:lang w:val="en-IN"/>
          </w:rPr>
          <w:t>https://www.who.int/publications/i/item/9789241515481</w:t>
        </w:r>
      </w:hyperlink>
      <w:r w:rsidRPr="00931B3D">
        <w:rPr>
          <w:rFonts w:cs="Times New Roman"/>
          <w:lang w:val="en-IN"/>
        </w:rPr>
        <w:t xml:space="preserve"> (Accessed: 1 July 2026).</w:t>
      </w:r>
    </w:p>
    <w:p w14:paraId="38A4B642" w14:textId="77777777" w:rsidR="00EF7A54" w:rsidRPr="00931B3D" w:rsidRDefault="00EF7A54" w:rsidP="00233160">
      <w:pPr>
        <w:spacing w:line="360" w:lineRule="auto"/>
        <w:rPr>
          <w:rFonts w:cs="Times New Roman"/>
        </w:rPr>
      </w:pPr>
      <w:proofErr w:type="spellStart"/>
      <w:r w:rsidRPr="00931B3D">
        <w:rPr>
          <w:rFonts w:cs="Times New Roman"/>
        </w:rPr>
        <w:t>Ystaas</w:t>
      </w:r>
      <w:proofErr w:type="spellEnd"/>
      <w:r w:rsidRPr="00931B3D">
        <w:rPr>
          <w:rFonts w:cs="Times New Roman"/>
        </w:rPr>
        <w:t xml:space="preserve">, L.M.K., </w:t>
      </w:r>
      <w:proofErr w:type="spellStart"/>
      <w:r w:rsidRPr="00931B3D">
        <w:rPr>
          <w:rFonts w:cs="Times New Roman"/>
        </w:rPr>
        <w:t>Nikitara</w:t>
      </w:r>
      <w:proofErr w:type="spellEnd"/>
      <w:r w:rsidRPr="00931B3D">
        <w:rPr>
          <w:rFonts w:cs="Times New Roman"/>
        </w:rPr>
        <w:t xml:space="preserve">, M., </w:t>
      </w:r>
      <w:proofErr w:type="spellStart"/>
      <w:r w:rsidRPr="00931B3D">
        <w:rPr>
          <w:rFonts w:cs="Times New Roman"/>
        </w:rPr>
        <w:t>Ghobrial</w:t>
      </w:r>
      <w:proofErr w:type="spellEnd"/>
      <w:r w:rsidRPr="00931B3D">
        <w:rPr>
          <w:rFonts w:cs="Times New Roman"/>
        </w:rPr>
        <w:t xml:space="preserve">, S., </w:t>
      </w:r>
      <w:proofErr w:type="spellStart"/>
      <w:r w:rsidRPr="00931B3D">
        <w:rPr>
          <w:rFonts w:cs="Times New Roman"/>
        </w:rPr>
        <w:t>Latzourakis</w:t>
      </w:r>
      <w:proofErr w:type="spellEnd"/>
      <w:r w:rsidRPr="00931B3D">
        <w:rPr>
          <w:rFonts w:cs="Times New Roman"/>
        </w:rPr>
        <w:t xml:space="preserve">, E., </w:t>
      </w:r>
      <w:proofErr w:type="spellStart"/>
      <w:r w:rsidRPr="00931B3D">
        <w:rPr>
          <w:rFonts w:cs="Times New Roman"/>
        </w:rPr>
        <w:t>Polychronis</w:t>
      </w:r>
      <w:proofErr w:type="spellEnd"/>
      <w:r w:rsidRPr="00931B3D">
        <w:rPr>
          <w:rFonts w:cs="Times New Roman"/>
        </w:rPr>
        <w:t>, G. and Constantinou, C.S., 2023. The impact of transformational leadership in the nursing work environment and patients’ outcomes: a systematic review. </w:t>
      </w:r>
      <w:r w:rsidRPr="00931B3D">
        <w:rPr>
          <w:rFonts w:cs="Times New Roman"/>
          <w:i/>
          <w:iCs/>
        </w:rPr>
        <w:t>Nursing Reports</w:t>
      </w:r>
      <w:r w:rsidRPr="00931B3D">
        <w:rPr>
          <w:rFonts w:cs="Times New Roman"/>
        </w:rPr>
        <w:t>, </w:t>
      </w:r>
      <w:r w:rsidRPr="00931B3D">
        <w:rPr>
          <w:rFonts w:cs="Times New Roman"/>
          <w:i/>
          <w:iCs/>
        </w:rPr>
        <w:t>13</w:t>
      </w:r>
      <w:r w:rsidRPr="00931B3D">
        <w:rPr>
          <w:rFonts w:cs="Times New Roman"/>
        </w:rPr>
        <w:t xml:space="preserve">(3), pp.1271-1290. </w:t>
      </w:r>
      <w:hyperlink r:id="rId33" w:history="1">
        <w:r w:rsidRPr="00931B3D">
          <w:rPr>
            <w:rStyle w:val="Hyperlink"/>
            <w:rFonts w:cs="Times New Roman"/>
            <w:color w:val="auto"/>
          </w:rPr>
          <w:t>https://www.mdpi.com/2039-4403/13/3/108</w:t>
        </w:r>
      </w:hyperlink>
      <w:r w:rsidRPr="00931B3D">
        <w:rPr>
          <w:rFonts w:cs="Times New Roman"/>
        </w:rPr>
        <w:t xml:space="preserve"> </w:t>
      </w:r>
    </w:p>
    <w:p w14:paraId="21F0D872" w14:textId="77777777" w:rsidR="00EF7A54" w:rsidRPr="00931B3D" w:rsidRDefault="00EF7A54" w:rsidP="00233160">
      <w:pPr>
        <w:spacing w:line="360" w:lineRule="auto"/>
        <w:rPr>
          <w:rFonts w:cs="Times New Roman"/>
        </w:rPr>
      </w:pPr>
      <w:proofErr w:type="spellStart"/>
      <w:r w:rsidRPr="00931B3D">
        <w:rPr>
          <w:rFonts w:cs="Times New Roman"/>
        </w:rPr>
        <w:t>Ystaas</w:t>
      </w:r>
      <w:proofErr w:type="spellEnd"/>
      <w:r w:rsidRPr="00931B3D">
        <w:rPr>
          <w:rFonts w:cs="Times New Roman"/>
        </w:rPr>
        <w:t xml:space="preserve">, L.M.K., </w:t>
      </w:r>
      <w:proofErr w:type="spellStart"/>
      <w:r w:rsidRPr="00931B3D">
        <w:rPr>
          <w:rFonts w:cs="Times New Roman"/>
        </w:rPr>
        <w:t>Nikitara</w:t>
      </w:r>
      <w:proofErr w:type="spellEnd"/>
      <w:r w:rsidRPr="00931B3D">
        <w:rPr>
          <w:rFonts w:cs="Times New Roman"/>
        </w:rPr>
        <w:t xml:space="preserve">, M., </w:t>
      </w:r>
      <w:proofErr w:type="spellStart"/>
      <w:r w:rsidRPr="00931B3D">
        <w:rPr>
          <w:rFonts w:cs="Times New Roman"/>
        </w:rPr>
        <w:t>Ghobrial</w:t>
      </w:r>
      <w:proofErr w:type="spellEnd"/>
      <w:r w:rsidRPr="00931B3D">
        <w:rPr>
          <w:rFonts w:cs="Times New Roman"/>
        </w:rPr>
        <w:t xml:space="preserve">, S., </w:t>
      </w:r>
      <w:proofErr w:type="spellStart"/>
      <w:r w:rsidRPr="00931B3D">
        <w:rPr>
          <w:rFonts w:cs="Times New Roman"/>
        </w:rPr>
        <w:t>Latzourakis</w:t>
      </w:r>
      <w:proofErr w:type="spellEnd"/>
      <w:r w:rsidRPr="00931B3D">
        <w:rPr>
          <w:rFonts w:cs="Times New Roman"/>
        </w:rPr>
        <w:t xml:space="preserve">, E., </w:t>
      </w:r>
      <w:proofErr w:type="spellStart"/>
      <w:r w:rsidRPr="00931B3D">
        <w:rPr>
          <w:rFonts w:cs="Times New Roman"/>
        </w:rPr>
        <w:t>Polychronis</w:t>
      </w:r>
      <w:proofErr w:type="spellEnd"/>
      <w:r w:rsidRPr="00931B3D">
        <w:rPr>
          <w:rFonts w:cs="Times New Roman"/>
        </w:rPr>
        <w:t xml:space="preserve">, G. and Constantinou, C.S., 2023. The impact of transformational leadership in the nursing work environment and patients’ outcomes: a systematic review. Nursing Reports, 13(3), pp.1271-1290. </w:t>
      </w:r>
      <w:hyperlink r:id="rId34" w:history="1">
        <w:r w:rsidRPr="00931B3D">
          <w:rPr>
            <w:rStyle w:val="Hyperlink"/>
            <w:rFonts w:cs="Times New Roman"/>
            <w:color w:val="auto"/>
          </w:rPr>
          <w:t>https://www.mdpi.com/2039-4403/13/3/108</w:t>
        </w:r>
      </w:hyperlink>
      <w:r w:rsidRPr="00931B3D">
        <w:rPr>
          <w:rFonts w:cs="Times New Roman"/>
        </w:rPr>
        <w:t xml:space="preserve"> </w:t>
      </w:r>
    </w:p>
    <w:p w14:paraId="2FAC586B" w14:textId="77777777" w:rsidR="00EF7A54" w:rsidRPr="00931B3D" w:rsidRDefault="00EF7A54" w:rsidP="00233160">
      <w:pPr>
        <w:spacing w:line="360" w:lineRule="auto"/>
        <w:rPr>
          <w:rFonts w:cs="Times New Roman"/>
        </w:rPr>
      </w:pPr>
      <w:r w:rsidRPr="00931B3D">
        <w:rPr>
          <w:rFonts w:cs="Times New Roman"/>
        </w:rPr>
        <w:t xml:space="preserve">Yusof, M.M., Takeda, T., </w:t>
      </w:r>
      <w:proofErr w:type="spellStart"/>
      <w:r w:rsidRPr="00931B3D">
        <w:rPr>
          <w:rFonts w:cs="Times New Roman"/>
        </w:rPr>
        <w:t>Shimai</w:t>
      </w:r>
      <w:proofErr w:type="spellEnd"/>
      <w:r w:rsidRPr="00931B3D">
        <w:rPr>
          <w:rFonts w:cs="Times New Roman"/>
        </w:rPr>
        <w:t xml:space="preserve">, Y., </w:t>
      </w:r>
      <w:proofErr w:type="spellStart"/>
      <w:r w:rsidRPr="00931B3D">
        <w:rPr>
          <w:rFonts w:cs="Times New Roman"/>
        </w:rPr>
        <w:t>Mihara</w:t>
      </w:r>
      <w:proofErr w:type="spellEnd"/>
      <w:r w:rsidRPr="00931B3D">
        <w:rPr>
          <w:rFonts w:cs="Times New Roman"/>
        </w:rPr>
        <w:t>, N. and Matsumura, Y., 2024. Evaluating health information systems-related errors using the human, organization, process, technology-fit (HOPT-fit) framework. </w:t>
      </w:r>
      <w:r w:rsidRPr="00931B3D">
        <w:rPr>
          <w:rFonts w:cs="Times New Roman"/>
          <w:i/>
          <w:iCs/>
        </w:rPr>
        <w:t>Health Informatics Journal</w:t>
      </w:r>
      <w:r w:rsidRPr="00931B3D">
        <w:rPr>
          <w:rFonts w:cs="Times New Roman"/>
        </w:rPr>
        <w:t>, </w:t>
      </w:r>
      <w:r w:rsidRPr="00931B3D">
        <w:rPr>
          <w:rFonts w:cs="Times New Roman"/>
          <w:i/>
          <w:iCs/>
        </w:rPr>
        <w:t>30</w:t>
      </w:r>
      <w:r w:rsidRPr="00931B3D">
        <w:rPr>
          <w:rFonts w:cs="Times New Roman"/>
        </w:rPr>
        <w:t xml:space="preserve">(2), p.14604582241252763. </w:t>
      </w:r>
      <w:hyperlink r:id="rId35" w:history="1">
        <w:r w:rsidRPr="00931B3D">
          <w:rPr>
            <w:rStyle w:val="Hyperlink"/>
            <w:rFonts w:cs="Times New Roman"/>
            <w:color w:val="auto"/>
          </w:rPr>
          <w:t>https://journals.sagepub.com/doi/pdf/10.1177/14604582241252763</w:t>
        </w:r>
      </w:hyperlink>
      <w:r w:rsidRPr="00931B3D">
        <w:rPr>
          <w:rFonts w:cs="Times New Roman"/>
        </w:rPr>
        <w:t xml:space="preserve"> </w:t>
      </w:r>
    </w:p>
    <w:p w14:paraId="3200003A" w14:textId="77777777" w:rsidR="00334664" w:rsidRPr="00931B3D" w:rsidRDefault="00334664" w:rsidP="00233160">
      <w:pPr>
        <w:spacing w:line="360" w:lineRule="auto"/>
        <w:rPr>
          <w:rFonts w:cs="Times New Roman"/>
          <w:lang w:val="en-IN"/>
        </w:rPr>
      </w:pPr>
    </w:p>
    <w:p w14:paraId="45156FEF" w14:textId="77777777" w:rsidR="00E20905" w:rsidRPr="00931B3D" w:rsidRDefault="00E20905" w:rsidP="00233160">
      <w:pPr>
        <w:spacing w:line="360" w:lineRule="auto"/>
        <w:rPr>
          <w:rFonts w:cs="Times New Roman"/>
          <w:lang w:val="en-IN"/>
        </w:rPr>
      </w:pPr>
    </w:p>
    <w:sectPr w:rsidR="00E20905" w:rsidRPr="00931B3D" w:rsidSect="00575BC0">
      <w:footerReference w:type="default" r:id="rId3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7B3632" w14:textId="77777777" w:rsidR="00F74839" w:rsidRDefault="00F74839" w:rsidP="00575BC0">
      <w:pPr>
        <w:spacing w:after="0" w:line="240" w:lineRule="auto"/>
      </w:pPr>
      <w:r>
        <w:separator/>
      </w:r>
    </w:p>
  </w:endnote>
  <w:endnote w:type="continuationSeparator" w:id="0">
    <w:p w14:paraId="42BDD153" w14:textId="77777777" w:rsidR="00F74839" w:rsidRDefault="00F74839" w:rsidP="00575B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Courier">
    <w:panose1 w:val="00000000000000000000"/>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633857"/>
      <w:docPartObj>
        <w:docPartGallery w:val="Page Numbers (Bottom of Page)"/>
        <w:docPartUnique/>
      </w:docPartObj>
    </w:sdtPr>
    <w:sdtEndPr>
      <w:rPr>
        <w:noProof/>
        <w:sz w:val="20"/>
        <w:szCs w:val="20"/>
      </w:rPr>
    </w:sdtEndPr>
    <w:sdtContent>
      <w:p w14:paraId="0E774532" w14:textId="77777777" w:rsidR="00575BC0" w:rsidRPr="00575BC0" w:rsidRDefault="00575BC0">
        <w:pPr>
          <w:pStyle w:val="Footer"/>
          <w:jc w:val="right"/>
          <w:rPr>
            <w:sz w:val="20"/>
            <w:szCs w:val="20"/>
          </w:rPr>
        </w:pPr>
        <w:r w:rsidRPr="00575BC0">
          <w:rPr>
            <w:sz w:val="20"/>
            <w:szCs w:val="20"/>
          </w:rPr>
          <w:fldChar w:fldCharType="begin"/>
        </w:r>
        <w:r w:rsidRPr="00575BC0">
          <w:rPr>
            <w:sz w:val="20"/>
            <w:szCs w:val="20"/>
          </w:rPr>
          <w:instrText xml:space="preserve"> PAGE   \* MERGEFORMAT </w:instrText>
        </w:r>
        <w:r w:rsidRPr="00575BC0">
          <w:rPr>
            <w:sz w:val="20"/>
            <w:szCs w:val="20"/>
          </w:rPr>
          <w:fldChar w:fldCharType="separate"/>
        </w:r>
        <w:r w:rsidRPr="00575BC0">
          <w:rPr>
            <w:noProof/>
            <w:sz w:val="20"/>
            <w:szCs w:val="20"/>
          </w:rPr>
          <w:t>2</w:t>
        </w:r>
        <w:r w:rsidRPr="00575BC0">
          <w:rPr>
            <w:noProof/>
            <w:sz w:val="20"/>
            <w:szCs w:val="20"/>
          </w:rPr>
          <w:fldChar w:fldCharType="end"/>
        </w:r>
      </w:p>
    </w:sdtContent>
  </w:sdt>
  <w:p w14:paraId="10A647D0" w14:textId="77777777" w:rsidR="00575BC0" w:rsidRDefault="00575B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F76240" w14:textId="77777777" w:rsidR="00F74839" w:rsidRDefault="00F74839" w:rsidP="00575BC0">
      <w:pPr>
        <w:spacing w:after="0" w:line="240" w:lineRule="auto"/>
      </w:pPr>
      <w:r>
        <w:separator/>
      </w:r>
    </w:p>
  </w:footnote>
  <w:footnote w:type="continuationSeparator" w:id="0">
    <w:p w14:paraId="046AADE6" w14:textId="77777777" w:rsidR="00F74839" w:rsidRDefault="00F74839" w:rsidP="00575B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49C6672"/>
    <w:multiLevelType w:val="hybridMultilevel"/>
    <w:tmpl w:val="B1F6DB9E"/>
    <w:lvl w:ilvl="0" w:tplc="DBD63146">
      <w:start w:val="13"/>
      <w:numFmt w:val="bullet"/>
      <w:lvlText w:val=""/>
      <w:lvlJc w:val="left"/>
      <w:pPr>
        <w:ind w:left="720" w:hanging="360"/>
      </w:pPr>
      <w:rPr>
        <w:rFonts w:ascii="Times New Roman" w:eastAsiaTheme="minorEastAsia"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F5A2D64"/>
    <w:multiLevelType w:val="hybridMultilevel"/>
    <w:tmpl w:val="26F4E7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54542207">
    <w:abstractNumId w:val="8"/>
  </w:num>
  <w:num w:numId="2" w16cid:durableId="586616546">
    <w:abstractNumId w:val="6"/>
  </w:num>
  <w:num w:numId="3" w16cid:durableId="257953264">
    <w:abstractNumId w:val="5"/>
  </w:num>
  <w:num w:numId="4" w16cid:durableId="1254245588">
    <w:abstractNumId w:val="4"/>
  </w:num>
  <w:num w:numId="5" w16cid:durableId="135413533">
    <w:abstractNumId w:val="7"/>
  </w:num>
  <w:num w:numId="6" w16cid:durableId="1358195102">
    <w:abstractNumId w:val="3"/>
  </w:num>
  <w:num w:numId="7" w16cid:durableId="441149482">
    <w:abstractNumId w:val="2"/>
  </w:num>
  <w:num w:numId="8" w16cid:durableId="1358583742">
    <w:abstractNumId w:val="1"/>
  </w:num>
  <w:num w:numId="9" w16cid:durableId="1299216615">
    <w:abstractNumId w:val="0"/>
  </w:num>
  <w:num w:numId="10" w16cid:durableId="990790419">
    <w:abstractNumId w:val="10"/>
  </w:num>
  <w:num w:numId="11" w16cid:durableId="208236974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241CC"/>
    <w:rsid w:val="0013786B"/>
    <w:rsid w:val="0015074B"/>
    <w:rsid w:val="00162565"/>
    <w:rsid w:val="001B6C64"/>
    <w:rsid w:val="00223A19"/>
    <w:rsid w:val="00233160"/>
    <w:rsid w:val="00234122"/>
    <w:rsid w:val="0029639D"/>
    <w:rsid w:val="002D1856"/>
    <w:rsid w:val="002E457D"/>
    <w:rsid w:val="00326F90"/>
    <w:rsid w:val="00332608"/>
    <w:rsid w:val="00334664"/>
    <w:rsid w:val="003F3B54"/>
    <w:rsid w:val="004211DF"/>
    <w:rsid w:val="00462F45"/>
    <w:rsid w:val="004C0A64"/>
    <w:rsid w:val="004E6D5B"/>
    <w:rsid w:val="00525257"/>
    <w:rsid w:val="005338A1"/>
    <w:rsid w:val="00553857"/>
    <w:rsid w:val="00575BC0"/>
    <w:rsid w:val="005E71D1"/>
    <w:rsid w:val="00675F28"/>
    <w:rsid w:val="00694AEE"/>
    <w:rsid w:val="006B37E5"/>
    <w:rsid w:val="006C7A48"/>
    <w:rsid w:val="00703967"/>
    <w:rsid w:val="00826BBC"/>
    <w:rsid w:val="008430E7"/>
    <w:rsid w:val="00847594"/>
    <w:rsid w:val="008647B0"/>
    <w:rsid w:val="008D2143"/>
    <w:rsid w:val="00931B3D"/>
    <w:rsid w:val="0095562F"/>
    <w:rsid w:val="0096473B"/>
    <w:rsid w:val="00977CBF"/>
    <w:rsid w:val="00A4713B"/>
    <w:rsid w:val="00AA1D8D"/>
    <w:rsid w:val="00AA6A74"/>
    <w:rsid w:val="00B009D8"/>
    <w:rsid w:val="00B47730"/>
    <w:rsid w:val="00CB0664"/>
    <w:rsid w:val="00DB3A57"/>
    <w:rsid w:val="00DB7371"/>
    <w:rsid w:val="00E20905"/>
    <w:rsid w:val="00EE0DB4"/>
    <w:rsid w:val="00EF7A54"/>
    <w:rsid w:val="00F74839"/>
    <w:rsid w:val="00F970A3"/>
    <w:rsid w:val="00FA232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CBABF0C"/>
  <w14:defaultImageDpi w14:val="300"/>
  <w15:docId w15:val="{03C1FD3F-8D7C-4A40-A1F1-16194FD43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3160"/>
    <w:pPr>
      <w:jc w:val="both"/>
    </w:pPr>
    <w:rPr>
      <w:rFonts w:ascii="Times New Roman" w:hAnsi="Times New Roman"/>
      <w:sz w:val="24"/>
    </w:rPr>
  </w:style>
  <w:style w:type="paragraph" w:styleId="Heading1">
    <w:name w:val="heading 1"/>
    <w:basedOn w:val="Normal"/>
    <w:next w:val="Normal"/>
    <w:link w:val="Heading1Char"/>
    <w:uiPriority w:val="9"/>
    <w:qFormat/>
    <w:rsid w:val="00525257"/>
    <w:pPr>
      <w:keepNext/>
      <w:keepLines/>
      <w:spacing w:before="120" w:after="12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25257"/>
    <w:pPr>
      <w:keepNext/>
      <w:keepLines/>
      <w:spacing w:before="120" w:after="12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525257"/>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25257"/>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334664"/>
    <w:rPr>
      <w:color w:val="0000FF" w:themeColor="hyperlink"/>
      <w:u w:val="single"/>
    </w:rPr>
  </w:style>
  <w:style w:type="paragraph" w:styleId="TOC1">
    <w:name w:val="toc 1"/>
    <w:basedOn w:val="Normal"/>
    <w:next w:val="Normal"/>
    <w:autoRedefine/>
    <w:uiPriority w:val="39"/>
    <w:unhideWhenUsed/>
    <w:rsid w:val="00233160"/>
    <w:pPr>
      <w:spacing w:after="100"/>
    </w:pPr>
  </w:style>
  <w:style w:type="paragraph" w:styleId="TOC2">
    <w:name w:val="toc 2"/>
    <w:basedOn w:val="Normal"/>
    <w:next w:val="Normal"/>
    <w:autoRedefine/>
    <w:uiPriority w:val="39"/>
    <w:unhideWhenUsed/>
    <w:rsid w:val="0023316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5549288">
      <w:bodyDiv w:val="1"/>
      <w:marLeft w:val="0"/>
      <w:marRight w:val="0"/>
      <w:marTop w:val="0"/>
      <w:marBottom w:val="0"/>
      <w:divBdr>
        <w:top w:val="none" w:sz="0" w:space="0" w:color="auto"/>
        <w:left w:val="none" w:sz="0" w:space="0" w:color="auto"/>
        <w:bottom w:val="none" w:sz="0" w:space="0" w:color="auto"/>
        <w:right w:val="none" w:sz="0" w:space="0" w:color="auto"/>
      </w:divBdr>
    </w:div>
    <w:div w:id="160302602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jhp.bmj.com/content/early/2025/12/14/ejhpharm-2025-004533" TargetMode="External"/><Relationship Id="rId18" Type="http://schemas.openxmlformats.org/officeDocument/2006/relationships/hyperlink" Target="https://link.springer.com/article/10.1007/s40264-022-01236-6" TargetMode="External"/><Relationship Id="rId26" Type="http://schemas.openxmlformats.org/officeDocument/2006/relationships/hyperlink" Target="https://bmjopenquality.bmj.com/content/bmjqir/12/2/e002237.full.pdf" TargetMode="External"/><Relationship Id="rId21" Type="http://schemas.openxmlformats.org/officeDocument/2006/relationships/hyperlink" Target="https://link.springer.com/content/pdf/10.1186/s12913-024-10862-y.pdf" TargetMode="External"/><Relationship Id="rId34" Type="http://schemas.openxmlformats.org/officeDocument/2006/relationships/hyperlink" Target="https://www.mdpi.com/2039-4403/13/3/108" TargetMode="External"/><Relationship Id="rId7" Type="http://schemas.openxmlformats.org/officeDocument/2006/relationships/endnotes" Target="endnotes.xml"/><Relationship Id="rId12" Type="http://schemas.openxmlformats.org/officeDocument/2006/relationships/hyperlink" Target="https://patientsafetyj.com/article/137737.pdf" TargetMode="External"/><Relationship Id="rId17" Type="http://schemas.openxmlformats.org/officeDocument/2006/relationships/hyperlink" Target="https://www.hssib.org.uk/patient-safety-investigations/unintentional-overdose-of-morphine-sulfate-oral-solution/investigation-report/" TargetMode="External"/><Relationship Id="rId25" Type="http://schemas.openxmlformats.org/officeDocument/2006/relationships/hyperlink" Target="https://link.springer.com/content/pdf/10.1186/s12912-025-04265-5_reference.pdf" TargetMode="External"/><Relationship Id="rId33" Type="http://schemas.openxmlformats.org/officeDocument/2006/relationships/hyperlink" Target="https://www.mdpi.com/2039-4403/13/3/108"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link.springer.com/content/pdf/10.1186/s12913-025-13109-6.pdf" TargetMode="External"/><Relationship Id="rId20" Type="http://schemas.openxmlformats.org/officeDocument/2006/relationships/hyperlink" Target="https://www.mdpi.com/1660-4601/19/14/8617" TargetMode="External"/><Relationship Id="rId29" Type="http://schemas.openxmlformats.org/officeDocument/2006/relationships/hyperlink" Target="https://www.tandfonline.com/doi/pdf/10.1080/14740338.2025.258506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publications/major-report/state-care" TargetMode="External"/><Relationship Id="rId24" Type="http://schemas.openxmlformats.org/officeDocument/2006/relationships/hyperlink" Target="https://www.sciencedirect.com/science/article/pii/S0882596321002578" TargetMode="External"/><Relationship Id="rId32" Type="http://schemas.openxmlformats.org/officeDocument/2006/relationships/hyperlink" Target="https://www.who.int/publications/i/item/9789241515481"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ink.springer.com/content/pdf/10.1186/s12913-025-13109-6.pdf" TargetMode="External"/><Relationship Id="rId23" Type="http://schemas.openxmlformats.org/officeDocument/2006/relationships/hyperlink" Target="https://www.cambridge.org/core/books/systems-thinking-analyses-for-health-policy-and-systems-development" TargetMode="External"/><Relationship Id="rId28" Type="http://schemas.openxmlformats.org/officeDocument/2006/relationships/hyperlink" Target="https://northyorkshireccg.nhs.uk/wp-content/uploads/2023/09/11.07.23-NHS-NEY-INFANT-MORPHINE-OVERDOSE-CASE-STUDY.pdf" TargetMode="External"/><Relationship Id="rId36" Type="http://schemas.openxmlformats.org/officeDocument/2006/relationships/footer" Target="footer1.xml"/><Relationship Id="rId10" Type="http://schemas.openxmlformats.org/officeDocument/2006/relationships/hyperlink" Target="https://journals.lww.com/pec-online/abstract/2024/01000/medication_errors_in_pediatric_emergency.13.aspx?context=latestarticles" TargetMode="External"/><Relationship Id="rId19" Type="http://schemas.openxmlformats.org/officeDocument/2006/relationships/hyperlink" Target="https://onlinelibrary.wiley.com/doi/abs/10.1111/jan.16247" TargetMode="External"/><Relationship Id="rId31" Type="http://schemas.openxmlformats.org/officeDocument/2006/relationships/hyperlink" Target="https://pmc.ncbi.nlm.nih.gov/articles/PMC1265365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qualitysafety.bmj.com/content/qhc/30/2/96.full.pdf" TargetMode="External"/><Relationship Id="rId22" Type="http://schemas.openxmlformats.org/officeDocument/2006/relationships/hyperlink" Target="https://serviciopediatria.com/wp-content/uploads/2021/07/2021_Pediatric-medication-errors-by-parents_Dug-Safety.pdf" TargetMode="External"/><Relationship Id="rId27" Type="http://schemas.openxmlformats.org/officeDocument/2006/relationships/hyperlink" Target="https://www.england.nhs.uk/long-read/improving-patient-safety-culture-a-practical-guide/" TargetMode="External"/><Relationship Id="rId30" Type="http://schemas.openxmlformats.org/officeDocument/2006/relationships/hyperlink" Target="https://www.researchgate.net/publication/359365145" TargetMode="External"/><Relationship Id="rId35" Type="http://schemas.openxmlformats.org/officeDocument/2006/relationships/hyperlink" Target="https://journals.sagepub.com/doi/pdf/10.1177/14604582241252763"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Pages>
  <Words>7736</Words>
  <Characters>44096</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51729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generated by python-docx</dc:description>
  <cp:lastModifiedBy>Sidhunath S Ogeti</cp:lastModifiedBy>
  <cp:revision>3</cp:revision>
  <dcterms:created xsi:type="dcterms:W3CDTF">2026-07-27T12:30:00Z</dcterms:created>
  <dcterms:modified xsi:type="dcterms:W3CDTF">2026-07-27T12:31:00Z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38ab7fa0-f3d9-4e1d-82c0-92274f702ddc</vt:lpwstr>
  </property>
</Properties>
</file>