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9AF3C" w14:textId="77777777" w:rsidR="003D662E" w:rsidRDefault="003D662E" w:rsidP="007D7766">
      <w:pPr>
        <w:rPr>
          <w:rStyle w:val="fontstyle01"/>
        </w:rPr>
      </w:pPr>
    </w:p>
    <w:p w14:paraId="28F08E06" w14:textId="77777777" w:rsidR="003D662E" w:rsidRDefault="003D662E" w:rsidP="007D7766">
      <w:pPr>
        <w:rPr>
          <w:rStyle w:val="fontstyle01"/>
        </w:rPr>
      </w:pPr>
    </w:p>
    <w:p w14:paraId="26425205" w14:textId="77777777" w:rsidR="003D662E" w:rsidRDefault="003D662E" w:rsidP="007D7766">
      <w:pPr>
        <w:rPr>
          <w:rStyle w:val="fontstyle01"/>
        </w:rPr>
      </w:pPr>
    </w:p>
    <w:p w14:paraId="20832B90" w14:textId="77777777" w:rsidR="003D662E" w:rsidRDefault="003D662E" w:rsidP="007D7766">
      <w:pPr>
        <w:rPr>
          <w:rStyle w:val="fontstyle01"/>
        </w:rPr>
      </w:pPr>
    </w:p>
    <w:p w14:paraId="39C96402" w14:textId="77777777" w:rsidR="003D662E" w:rsidRDefault="003D662E" w:rsidP="003D662E">
      <w:pPr>
        <w:pStyle w:val="Title"/>
        <w:rPr>
          <w:rStyle w:val="fontstyle01"/>
        </w:rPr>
      </w:pPr>
      <w:r>
        <w:rPr>
          <w:rStyle w:val="fontstyle01"/>
        </w:rPr>
        <w:t>BMIH6007</w:t>
      </w:r>
    </w:p>
    <w:p w14:paraId="38E8D449" w14:textId="0C4D20AE" w:rsidR="007D7766" w:rsidRDefault="003D662E" w:rsidP="003D662E">
      <w:pPr>
        <w:pStyle w:val="Title"/>
        <w:rPr>
          <w:rStyle w:val="fontstyle01"/>
        </w:rPr>
      </w:pPr>
      <w:r>
        <w:rPr>
          <w:rStyle w:val="fontstyle01"/>
        </w:rPr>
        <w:t xml:space="preserve"> International Meetings Management for</w:t>
      </w:r>
      <w:r>
        <w:t xml:space="preserve"> </w:t>
      </w:r>
      <w:r>
        <w:rPr>
          <w:rStyle w:val="fontstyle01"/>
        </w:rPr>
        <w:t>the Hotel Industry LEVEL 6</w:t>
      </w:r>
    </w:p>
    <w:p w14:paraId="325C44C9" w14:textId="77777777" w:rsidR="003D662E" w:rsidRDefault="003D662E" w:rsidP="003D662E"/>
    <w:p w14:paraId="1DD8E5F1" w14:textId="00EF3FB1" w:rsidR="003D662E" w:rsidRPr="003D662E" w:rsidRDefault="003D662E" w:rsidP="003D662E">
      <w:pPr>
        <w:jc w:val="center"/>
        <w:rPr>
          <w:b/>
          <w:bCs/>
          <w:sz w:val="36"/>
          <w:szCs w:val="32"/>
        </w:rPr>
      </w:pPr>
      <w:r w:rsidRPr="003D662E">
        <w:rPr>
          <w:b/>
          <w:bCs/>
          <w:sz w:val="36"/>
          <w:szCs w:val="32"/>
        </w:rPr>
        <w:t>Assignment 2</w:t>
      </w:r>
    </w:p>
    <w:p w14:paraId="3B2334ED" w14:textId="77777777" w:rsidR="003D662E" w:rsidRDefault="003D662E" w:rsidP="003D662E">
      <w:pPr>
        <w:jc w:val="center"/>
      </w:pPr>
    </w:p>
    <w:p w14:paraId="6358D1AF" w14:textId="030774B5" w:rsidR="003D662E" w:rsidRDefault="003D662E" w:rsidP="003D662E">
      <w:pPr>
        <w:jc w:val="center"/>
      </w:pPr>
      <w:r>
        <w:t>Student Name</w:t>
      </w:r>
      <w:r w:rsidR="00816D78">
        <w:t xml:space="preserve"> Mahir Mollik</w:t>
      </w:r>
    </w:p>
    <w:p w14:paraId="1AC801DF" w14:textId="5DFBD723" w:rsidR="003D662E" w:rsidRDefault="003D662E" w:rsidP="003D662E">
      <w:pPr>
        <w:jc w:val="center"/>
      </w:pPr>
      <w:r>
        <w:t>Student ID</w:t>
      </w:r>
      <w:r w:rsidR="00816D78">
        <w:t xml:space="preserve"> 2119456</w:t>
      </w:r>
    </w:p>
    <w:p w14:paraId="374AABDA" w14:textId="66E80837" w:rsidR="003D662E" w:rsidRDefault="003D662E" w:rsidP="003D662E">
      <w:pPr>
        <w:jc w:val="center"/>
      </w:pPr>
    </w:p>
    <w:p w14:paraId="2B5277EA" w14:textId="77777777" w:rsidR="003D662E" w:rsidRDefault="003D662E" w:rsidP="003D662E">
      <w:pPr>
        <w:jc w:val="center"/>
      </w:pPr>
    </w:p>
    <w:p w14:paraId="42F23549" w14:textId="60F30BF5" w:rsidR="003D662E" w:rsidRDefault="003D662E">
      <w:pPr>
        <w:spacing w:after="160" w:line="259" w:lineRule="auto"/>
        <w:jc w:val="left"/>
      </w:pPr>
      <w:r>
        <w:br w:type="page"/>
      </w:r>
    </w:p>
    <w:sdt>
      <w:sdtPr>
        <w:rPr>
          <w:rFonts w:ascii="Times New Roman" w:eastAsiaTheme="minorHAnsi" w:hAnsi="Times New Roman" w:cs="Arial"/>
          <w:color w:val="auto"/>
          <w:sz w:val="24"/>
          <w:szCs w:val="22"/>
        </w:rPr>
        <w:id w:val="-1458405303"/>
        <w:docPartObj>
          <w:docPartGallery w:val="Table of Contents"/>
          <w:docPartUnique/>
        </w:docPartObj>
      </w:sdtPr>
      <w:sdtEndPr>
        <w:rPr>
          <w:b/>
          <w:bCs/>
          <w:noProof/>
        </w:rPr>
      </w:sdtEndPr>
      <w:sdtContent>
        <w:p w14:paraId="19B95E97" w14:textId="2ABA9F9A" w:rsidR="003D662E" w:rsidRDefault="003D662E">
          <w:pPr>
            <w:pStyle w:val="TOCHeading"/>
          </w:pPr>
          <w:r>
            <w:t>Table of Contents</w:t>
          </w:r>
        </w:p>
        <w:p w14:paraId="7E02BF0E" w14:textId="3D08D732" w:rsidR="003D662E" w:rsidRDefault="003D662E">
          <w:pPr>
            <w:pStyle w:val="TOC1"/>
            <w:tabs>
              <w:tab w:val="right" w:leader="dot" w:pos="9350"/>
            </w:tabs>
            <w:rPr>
              <w:noProof/>
            </w:rPr>
          </w:pPr>
          <w:r>
            <w:fldChar w:fldCharType="begin"/>
          </w:r>
          <w:r>
            <w:instrText xml:space="preserve"> TOC \o "1-3" \h \z \u </w:instrText>
          </w:r>
          <w:r>
            <w:fldChar w:fldCharType="separate"/>
          </w:r>
          <w:hyperlink w:anchor="_Toc157206488" w:history="1">
            <w:r w:rsidRPr="000B065E">
              <w:rPr>
                <w:rStyle w:val="Hyperlink"/>
                <w:noProof/>
                <w:lang w:val="en-GB"/>
              </w:rPr>
              <w:t>Introduction</w:t>
            </w:r>
            <w:r>
              <w:rPr>
                <w:noProof/>
                <w:webHidden/>
              </w:rPr>
              <w:tab/>
            </w:r>
            <w:r>
              <w:rPr>
                <w:noProof/>
                <w:webHidden/>
              </w:rPr>
              <w:fldChar w:fldCharType="begin"/>
            </w:r>
            <w:r>
              <w:rPr>
                <w:noProof/>
                <w:webHidden/>
              </w:rPr>
              <w:instrText xml:space="preserve"> PAGEREF _Toc157206488 \h </w:instrText>
            </w:r>
            <w:r>
              <w:rPr>
                <w:noProof/>
                <w:webHidden/>
              </w:rPr>
            </w:r>
            <w:r>
              <w:rPr>
                <w:noProof/>
                <w:webHidden/>
              </w:rPr>
              <w:fldChar w:fldCharType="separate"/>
            </w:r>
            <w:r>
              <w:rPr>
                <w:noProof/>
                <w:webHidden/>
              </w:rPr>
              <w:t>1</w:t>
            </w:r>
            <w:r>
              <w:rPr>
                <w:noProof/>
                <w:webHidden/>
              </w:rPr>
              <w:fldChar w:fldCharType="end"/>
            </w:r>
          </w:hyperlink>
        </w:p>
        <w:p w14:paraId="4A686582" w14:textId="7E4E6E1F" w:rsidR="003D662E" w:rsidRDefault="00A43008">
          <w:pPr>
            <w:pStyle w:val="TOC1"/>
            <w:tabs>
              <w:tab w:val="right" w:leader="dot" w:pos="9350"/>
            </w:tabs>
            <w:rPr>
              <w:noProof/>
            </w:rPr>
          </w:pPr>
          <w:hyperlink w:anchor="_Toc157206489" w:history="1">
            <w:r w:rsidR="003D662E" w:rsidRPr="000B065E">
              <w:rPr>
                <w:rStyle w:val="Hyperlink"/>
                <w:noProof/>
                <w:lang w:val="en-GB"/>
              </w:rPr>
              <w:t>The Event Cycle</w:t>
            </w:r>
            <w:r w:rsidR="003D662E">
              <w:rPr>
                <w:noProof/>
                <w:webHidden/>
              </w:rPr>
              <w:tab/>
            </w:r>
            <w:r w:rsidR="003D662E">
              <w:rPr>
                <w:noProof/>
                <w:webHidden/>
              </w:rPr>
              <w:fldChar w:fldCharType="begin"/>
            </w:r>
            <w:r w:rsidR="003D662E">
              <w:rPr>
                <w:noProof/>
                <w:webHidden/>
              </w:rPr>
              <w:instrText xml:space="preserve"> PAGEREF _Toc157206489 \h </w:instrText>
            </w:r>
            <w:r w:rsidR="003D662E">
              <w:rPr>
                <w:noProof/>
                <w:webHidden/>
              </w:rPr>
            </w:r>
            <w:r w:rsidR="003D662E">
              <w:rPr>
                <w:noProof/>
                <w:webHidden/>
              </w:rPr>
              <w:fldChar w:fldCharType="separate"/>
            </w:r>
            <w:r w:rsidR="003D662E">
              <w:rPr>
                <w:noProof/>
                <w:webHidden/>
              </w:rPr>
              <w:t>2</w:t>
            </w:r>
            <w:r w:rsidR="003D662E">
              <w:rPr>
                <w:noProof/>
                <w:webHidden/>
              </w:rPr>
              <w:fldChar w:fldCharType="end"/>
            </w:r>
          </w:hyperlink>
        </w:p>
        <w:p w14:paraId="220B1BF2" w14:textId="0B891D57" w:rsidR="003D662E" w:rsidRDefault="00A43008">
          <w:pPr>
            <w:pStyle w:val="TOC1"/>
            <w:tabs>
              <w:tab w:val="right" w:leader="dot" w:pos="9350"/>
            </w:tabs>
            <w:rPr>
              <w:noProof/>
            </w:rPr>
          </w:pPr>
          <w:hyperlink w:anchor="_Toc157206490" w:history="1">
            <w:r w:rsidR="003D662E" w:rsidRPr="000B065E">
              <w:rPr>
                <w:rStyle w:val="Hyperlink"/>
                <w:noProof/>
                <w:lang w:val="en-GB"/>
              </w:rPr>
              <w:t>Event Concept</w:t>
            </w:r>
            <w:r w:rsidR="003D662E">
              <w:rPr>
                <w:noProof/>
                <w:webHidden/>
              </w:rPr>
              <w:tab/>
            </w:r>
            <w:r w:rsidR="003D662E">
              <w:rPr>
                <w:noProof/>
                <w:webHidden/>
              </w:rPr>
              <w:fldChar w:fldCharType="begin"/>
            </w:r>
            <w:r w:rsidR="003D662E">
              <w:rPr>
                <w:noProof/>
                <w:webHidden/>
              </w:rPr>
              <w:instrText xml:space="preserve"> PAGEREF _Toc157206490 \h </w:instrText>
            </w:r>
            <w:r w:rsidR="003D662E">
              <w:rPr>
                <w:noProof/>
                <w:webHidden/>
              </w:rPr>
            </w:r>
            <w:r w:rsidR="003D662E">
              <w:rPr>
                <w:noProof/>
                <w:webHidden/>
              </w:rPr>
              <w:fldChar w:fldCharType="separate"/>
            </w:r>
            <w:r w:rsidR="003D662E">
              <w:rPr>
                <w:noProof/>
                <w:webHidden/>
              </w:rPr>
              <w:t>3</w:t>
            </w:r>
            <w:r w:rsidR="003D662E">
              <w:rPr>
                <w:noProof/>
                <w:webHidden/>
              </w:rPr>
              <w:fldChar w:fldCharType="end"/>
            </w:r>
          </w:hyperlink>
        </w:p>
        <w:p w14:paraId="1F3BE616" w14:textId="154C49D7" w:rsidR="003D662E" w:rsidRDefault="00A43008">
          <w:pPr>
            <w:pStyle w:val="TOC1"/>
            <w:tabs>
              <w:tab w:val="right" w:leader="dot" w:pos="9350"/>
            </w:tabs>
            <w:rPr>
              <w:noProof/>
            </w:rPr>
          </w:pPr>
          <w:hyperlink w:anchor="_Toc157206491" w:history="1">
            <w:r w:rsidR="003D662E" w:rsidRPr="000B065E">
              <w:rPr>
                <w:rStyle w:val="Hyperlink"/>
                <w:noProof/>
                <w:lang w:val="en-GB"/>
              </w:rPr>
              <w:t>Aim and Objectives</w:t>
            </w:r>
            <w:r w:rsidR="003D662E">
              <w:rPr>
                <w:noProof/>
                <w:webHidden/>
              </w:rPr>
              <w:tab/>
            </w:r>
            <w:r w:rsidR="003D662E">
              <w:rPr>
                <w:noProof/>
                <w:webHidden/>
              </w:rPr>
              <w:fldChar w:fldCharType="begin"/>
            </w:r>
            <w:r w:rsidR="003D662E">
              <w:rPr>
                <w:noProof/>
                <w:webHidden/>
              </w:rPr>
              <w:instrText xml:space="preserve"> PAGEREF _Toc157206491 \h </w:instrText>
            </w:r>
            <w:r w:rsidR="003D662E">
              <w:rPr>
                <w:noProof/>
                <w:webHidden/>
              </w:rPr>
            </w:r>
            <w:r w:rsidR="003D662E">
              <w:rPr>
                <w:noProof/>
                <w:webHidden/>
              </w:rPr>
              <w:fldChar w:fldCharType="separate"/>
            </w:r>
            <w:r w:rsidR="003D662E">
              <w:rPr>
                <w:noProof/>
                <w:webHidden/>
              </w:rPr>
              <w:t>4</w:t>
            </w:r>
            <w:r w:rsidR="003D662E">
              <w:rPr>
                <w:noProof/>
                <w:webHidden/>
              </w:rPr>
              <w:fldChar w:fldCharType="end"/>
            </w:r>
          </w:hyperlink>
        </w:p>
        <w:p w14:paraId="57F6A54B" w14:textId="0F8F192D" w:rsidR="003D662E" w:rsidRDefault="00A43008">
          <w:pPr>
            <w:pStyle w:val="TOC1"/>
            <w:tabs>
              <w:tab w:val="right" w:leader="dot" w:pos="9350"/>
            </w:tabs>
            <w:rPr>
              <w:noProof/>
            </w:rPr>
          </w:pPr>
          <w:hyperlink w:anchor="_Toc157206492" w:history="1">
            <w:r w:rsidR="003D662E" w:rsidRPr="000B065E">
              <w:rPr>
                <w:rStyle w:val="Hyperlink"/>
                <w:noProof/>
                <w:lang w:val="en-GB"/>
              </w:rPr>
              <w:t>Event Operations</w:t>
            </w:r>
            <w:r w:rsidR="003D662E">
              <w:rPr>
                <w:noProof/>
                <w:webHidden/>
              </w:rPr>
              <w:tab/>
            </w:r>
            <w:r w:rsidR="003D662E">
              <w:rPr>
                <w:noProof/>
                <w:webHidden/>
              </w:rPr>
              <w:fldChar w:fldCharType="begin"/>
            </w:r>
            <w:r w:rsidR="003D662E">
              <w:rPr>
                <w:noProof/>
                <w:webHidden/>
              </w:rPr>
              <w:instrText xml:space="preserve"> PAGEREF _Toc157206492 \h </w:instrText>
            </w:r>
            <w:r w:rsidR="003D662E">
              <w:rPr>
                <w:noProof/>
                <w:webHidden/>
              </w:rPr>
            </w:r>
            <w:r w:rsidR="003D662E">
              <w:rPr>
                <w:noProof/>
                <w:webHidden/>
              </w:rPr>
              <w:fldChar w:fldCharType="separate"/>
            </w:r>
            <w:r w:rsidR="003D662E">
              <w:rPr>
                <w:noProof/>
                <w:webHidden/>
              </w:rPr>
              <w:t>5</w:t>
            </w:r>
            <w:r w:rsidR="003D662E">
              <w:rPr>
                <w:noProof/>
                <w:webHidden/>
              </w:rPr>
              <w:fldChar w:fldCharType="end"/>
            </w:r>
          </w:hyperlink>
        </w:p>
        <w:p w14:paraId="2C301D24" w14:textId="1CFD7A23" w:rsidR="003D662E" w:rsidRDefault="00A43008">
          <w:pPr>
            <w:pStyle w:val="TOC1"/>
            <w:tabs>
              <w:tab w:val="right" w:leader="dot" w:pos="9350"/>
            </w:tabs>
            <w:rPr>
              <w:noProof/>
            </w:rPr>
          </w:pPr>
          <w:hyperlink w:anchor="_Toc157206493" w:history="1">
            <w:r w:rsidR="003D662E" w:rsidRPr="000B065E">
              <w:rPr>
                <w:rStyle w:val="Hyperlink"/>
                <w:noProof/>
                <w:lang w:val="en-GB"/>
              </w:rPr>
              <w:t>Event Budget</w:t>
            </w:r>
            <w:r w:rsidR="003D662E">
              <w:rPr>
                <w:noProof/>
                <w:webHidden/>
              </w:rPr>
              <w:tab/>
            </w:r>
            <w:r w:rsidR="003D662E">
              <w:rPr>
                <w:noProof/>
                <w:webHidden/>
              </w:rPr>
              <w:fldChar w:fldCharType="begin"/>
            </w:r>
            <w:r w:rsidR="003D662E">
              <w:rPr>
                <w:noProof/>
                <w:webHidden/>
              </w:rPr>
              <w:instrText xml:space="preserve"> PAGEREF _Toc157206493 \h </w:instrText>
            </w:r>
            <w:r w:rsidR="003D662E">
              <w:rPr>
                <w:noProof/>
                <w:webHidden/>
              </w:rPr>
            </w:r>
            <w:r w:rsidR="003D662E">
              <w:rPr>
                <w:noProof/>
                <w:webHidden/>
              </w:rPr>
              <w:fldChar w:fldCharType="separate"/>
            </w:r>
            <w:r w:rsidR="003D662E">
              <w:rPr>
                <w:noProof/>
                <w:webHidden/>
              </w:rPr>
              <w:t>7</w:t>
            </w:r>
            <w:r w:rsidR="003D662E">
              <w:rPr>
                <w:noProof/>
                <w:webHidden/>
              </w:rPr>
              <w:fldChar w:fldCharType="end"/>
            </w:r>
          </w:hyperlink>
        </w:p>
        <w:p w14:paraId="4CDAC153" w14:textId="04C7C327" w:rsidR="003D662E" w:rsidRDefault="00A43008">
          <w:pPr>
            <w:pStyle w:val="TOC1"/>
            <w:tabs>
              <w:tab w:val="right" w:leader="dot" w:pos="9350"/>
            </w:tabs>
            <w:rPr>
              <w:noProof/>
            </w:rPr>
          </w:pPr>
          <w:hyperlink w:anchor="_Toc157206494" w:history="1">
            <w:r w:rsidR="003D662E" w:rsidRPr="000B065E">
              <w:rPr>
                <w:rStyle w:val="Hyperlink"/>
                <w:noProof/>
                <w:lang w:val="en-GB"/>
              </w:rPr>
              <w:t>Industry Trends/Impacts</w:t>
            </w:r>
            <w:r w:rsidR="003D662E">
              <w:rPr>
                <w:noProof/>
                <w:webHidden/>
              </w:rPr>
              <w:tab/>
            </w:r>
            <w:r w:rsidR="003D662E">
              <w:rPr>
                <w:noProof/>
                <w:webHidden/>
              </w:rPr>
              <w:fldChar w:fldCharType="begin"/>
            </w:r>
            <w:r w:rsidR="003D662E">
              <w:rPr>
                <w:noProof/>
                <w:webHidden/>
              </w:rPr>
              <w:instrText xml:space="preserve"> PAGEREF _Toc157206494 \h </w:instrText>
            </w:r>
            <w:r w:rsidR="003D662E">
              <w:rPr>
                <w:noProof/>
                <w:webHidden/>
              </w:rPr>
            </w:r>
            <w:r w:rsidR="003D662E">
              <w:rPr>
                <w:noProof/>
                <w:webHidden/>
              </w:rPr>
              <w:fldChar w:fldCharType="separate"/>
            </w:r>
            <w:r w:rsidR="003D662E">
              <w:rPr>
                <w:noProof/>
                <w:webHidden/>
              </w:rPr>
              <w:t>9</w:t>
            </w:r>
            <w:r w:rsidR="003D662E">
              <w:rPr>
                <w:noProof/>
                <w:webHidden/>
              </w:rPr>
              <w:fldChar w:fldCharType="end"/>
            </w:r>
          </w:hyperlink>
        </w:p>
        <w:p w14:paraId="7F375F6C" w14:textId="228A6684" w:rsidR="003D662E" w:rsidRDefault="00A43008">
          <w:pPr>
            <w:pStyle w:val="TOC1"/>
            <w:tabs>
              <w:tab w:val="right" w:leader="dot" w:pos="9350"/>
            </w:tabs>
            <w:rPr>
              <w:noProof/>
            </w:rPr>
          </w:pPr>
          <w:hyperlink w:anchor="_Toc157206495" w:history="1">
            <w:r w:rsidR="003D662E" w:rsidRPr="000B065E">
              <w:rPr>
                <w:rStyle w:val="Hyperlink"/>
                <w:noProof/>
                <w:lang w:val="en-GB"/>
              </w:rPr>
              <w:t>Cultural and Situational Considerations</w:t>
            </w:r>
            <w:r w:rsidR="003D662E">
              <w:rPr>
                <w:noProof/>
                <w:webHidden/>
              </w:rPr>
              <w:tab/>
            </w:r>
            <w:r w:rsidR="003D662E">
              <w:rPr>
                <w:noProof/>
                <w:webHidden/>
              </w:rPr>
              <w:fldChar w:fldCharType="begin"/>
            </w:r>
            <w:r w:rsidR="003D662E">
              <w:rPr>
                <w:noProof/>
                <w:webHidden/>
              </w:rPr>
              <w:instrText xml:space="preserve"> PAGEREF _Toc157206495 \h </w:instrText>
            </w:r>
            <w:r w:rsidR="003D662E">
              <w:rPr>
                <w:noProof/>
                <w:webHidden/>
              </w:rPr>
            </w:r>
            <w:r w:rsidR="003D662E">
              <w:rPr>
                <w:noProof/>
                <w:webHidden/>
              </w:rPr>
              <w:fldChar w:fldCharType="separate"/>
            </w:r>
            <w:r w:rsidR="003D662E">
              <w:rPr>
                <w:noProof/>
                <w:webHidden/>
              </w:rPr>
              <w:t>11</w:t>
            </w:r>
            <w:r w:rsidR="003D662E">
              <w:rPr>
                <w:noProof/>
                <w:webHidden/>
              </w:rPr>
              <w:fldChar w:fldCharType="end"/>
            </w:r>
          </w:hyperlink>
        </w:p>
        <w:p w14:paraId="0A549D03" w14:textId="61F4658B" w:rsidR="003D662E" w:rsidRDefault="00A43008">
          <w:pPr>
            <w:pStyle w:val="TOC1"/>
            <w:tabs>
              <w:tab w:val="right" w:leader="dot" w:pos="9350"/>
            </w:tabs>
            <w:rPr>
              <w:noProof/>
            </w:rPr>
          </w:pPr>
          <w:hyperlink w:anchor="_Toc157206496" w:history="1">
            <w:r w:rsidR="003D662E" w:rsidRPr="000B065E">
              <w:rPr>
                <w:rStyle w:val="Hyperlink"/>
                <w:noProof/>
              </w:rPr>
              <w:t>Reference list</w:t>
            </w:r>
            <w:r w:rsidR="003D662E">
              <w:rPr>
                <w:noProof/>
                <w:webHidden/>
              </w:rPr>
              <w:tab/>
            </w:r>
            <w:r w:rsidR="003D662E">
              <w:rPr>
                <w:noProof/>
                <w:webHidden/>
              </w:rPr>
              <w:fldChar w:fldCharType="begin"/>
            </w:r>
            <w:r w:rsidR="003D662E">
              <w:rPr>
                <w:noProof/>
                <w:webHidden/>
              </w:rPr>
              <w:instrText xml:space="preserve"> PAGEREF _Toc157206496 \h </w:instrText>
            </w:r>
            <w:r w:rsidR="003D662E">
              <w:rPr>
                <w:noProof/>
                <w:webHidden/>
              </w:rPr>
            </w:r>
            <w:r w:rsidR="003D662E">
              <w:rPr>
                <w:noProof/>
                <w:webHidden/>
              </w:rPr>
              <w:fldChar w:fldCharType="separate"/>
            </w:r>
            <w:r w:rsidR="003D662E">
              <w:rPr>
                <w:noProof/>
                <w:webHidden/>
              </w:rPr>
              <w:t>12</w:t>
            </w:r>
            <w:r w:rsidR="003D662E">
              <w:rPr>
                <w:noProof/>
                <w:webHidden/>
              </w:rPr>
              <w:fldChar w:fldCharType="end"/>
            </w:r>
          </w:hyperlink>
        </w:p>
        <w:p w14:paraId="776E802C" w14:textId="77E86D6B" w:rsidR="003D662E" w:rsidRDefault="003D662E">
          <w:r>
            <w:rPr>
              <w:b/>
              <w:bCs/>
              <w:noProof/>
            </w:rPr>
            <w:fldChar w:fldCharType="end"/>
          </w:r>
        </w:p>
      </w:sdtContent>
    </w:sdt>
    <w:p w14:paraId="671E990F" w14:textId="77777777" w:rsidR="003D662E" w:rsidRPr="003D662E" w:rsidRDefault="003D662E" w:rsidP="003D662E">
      <w:pPr>
        <w:jc w:val="center"/>
      </w:pPr>
    </w:p>
    <w:p w14:paraId="1BE2B33C" w14:textId="77777777" w:rsidR="003D662E" w:rsidRDefault="003D662E" w:rsidP="00703878">
      <w:pPr>
        <w:pStyle w:val="Heading1"/>
        <w:rPr>
          <w:lang w:val="en-GB"/>
        </w:rPr>
        <w:sectPr w:rsidR="003D662E" w:rsidSect="009F7314">
          <w:footerReference w:type="default" r:id="rId8"/>
          <w:pgSz w:w="12240" w:h="15840"/>
          <w:pgMar w:top="1440" w:right="1440" w:bottom="1440" w:left="1440" w:header="720" w:footer="720" w:gutter="0"/>
          <w:pgNumType w:fmt="lowerRoman"/>
          <w:cols w:space="720"/>
          <w:docGrid w:linePitch="360"/>
        </w:sectPr>
      </w:pPr>
    </w:p>
    <w:p w14:paraId="266D3F09" w14:textId="676C1830" w:rsidR="00703878" w:rsidRDefault="00703878" w:rsidP="00703878">
      <w:pPr>
        <w:pStyle w:val="Heading1"/>
        <w:rPr>
          <w:lang w:val="en-GB"/>
        </w:rPr>
      </w:pPr>
      <w:bookmarkStart w:id="0" w:name="_Toc157206488"/>
      <w:r w:rsidRPr="00703878">
        <w:rPr>
          <w:lang w:val="en-GB"/>
        </w:rPr>
        <w:lastRenderedPageBreak/>
        <w:t>Introduction</w:t>
      </w:r>
      <w:bookmarkEnd w:id="0"/>
      <w:r w:rsidRPr="00703878">
        <w:rPr>
          <w:lang w:val="en-GB"/>
        </w:rPr>
        <w:t xml:space="preserve"> </w:t>
      </w:r>
    </w:p>
    <w:p w14:paraId="6CD35EDB" w14:textId="41FFCE5F" w:rsidR="00E931BF" w:rsidRDefault="00E931BF" w:rsidP="008F7638">
      <w:pPr>
        <w:rPr>
          <w:b/>
          <w:color w:val="44546A" w:themeColor="text2"/>
          <w:sz w:val="32"/>
          <w:szCs w:val="40"/>
          <w:lang w:val="en-GB"/>
        </w:rPr>
      </w:pPr>
      <w:r w:rsidRPr="00E931BF">
        <w:rPr>
          <w:lang w:val="en-GB"/>
        </w:rPr>
        <w:t>The need of accelerating environmental development in tourism, hospitality, and events prompted the 2-day London sustainability conference. This event promotes stakeholder education, ideation, and collaborative action to create a sustainable future as climate change worsens and society demands responsibility.</w:t>
      </w:r>
      <w:r>
        <w:rPr>
          <w:lang w:val="en-GB"/>
        </w:rPr>
        <w:t xml:space="preserve"> </w:t>
      </w:r>
      <w:r w:rsidRPr="00E931BF">
        <w:rPr>
          <w:lang w:val="en-GB"/>
        </w:rPr>
        <w:t>The event will be held in the London ExCeL conference centre, which has solar panels, electric car infrastructure, ethically produced food, and good public transit. Docklands is near city airports and major train stations, making it convenient for national and international delegates. ISO20121 (Sustainable Events) and ISO 14001 (Environmental Management) certifications make the ExCeL an ideal alternative for honestly living the sustainability discourse.</w:t>
      </w:r>
      <w:r>
        <w:rPr>
          <w:lang w:val="en-GB"/>
        </w:rPr>
        <w:t xml:space="preserve"> </w:t>
      </w:r>
      <w:r w:rsidRPr="00E931BF">
        <w:rPr>
          <w:lang w:val="en-GB"/>
        </w:rPr>
        <w:t xml:space="preserve">Centrally located in a global metropolis with progressive environmental regulations, the London venue sets the tone early on. </w:t>
      </w:r>
      <w:r w:rsidR="008F7638" w:rsidRPr="008F7638">
        <w:rPr>
          <w:lang w:val="en-GB"/>
        </w:rPr>
        <w:t>The meeting has world-class venues and travel links that bring in well-known tourist sustainability workers as speakers, vendors, and attendees. This makes the event better and more powerful. ExCeL can adjust the number of attendees based on need in a main hall, group rooms, and different networking rooms that can hold more than 10,000 people. By focusing on cutting-edge green features and location, the choice of site helps the experience of delegates and addresses climate change.</w:t>
      </w:r>
      <w:r>
        <w:rPr>
          <w:lang w:val="en-GB"/>
        </w:rPr>
        <w:br w:type="page"/>
      </w:r>
    </w:p>
    <w:p w14:paraId="213C1748" w14:textId="0751F7BD" w:rsidR="00703878" w:rsidRPr="00703878" w:rsidRDefault="00703878" w:rsidP="00703878">
      <w:pPr>
        <w:pStyle w:val="Heading1"/>
        <w:rPr>
          <w:lang w:val="en-GB"/>
        </w:rPr>
      </w:pPr>
      <w:bookmarkStart w:id="1" w:name="_Toc157206489"/>
      <w:r w:rsidRPr="00703878">
        <w:rPr>
          <w:lang w:val="en-GB"/>
        </w:rPr>
        <w:lastRenderedPageBreak/>
        <w:t>The Event Cycle</w:t>
      </w:r>
      <w:bookmarkEnd w:id="1"/>
      <w:r w:rsidRPr="00703878">
        <w:rPr>
          <w:lang w:val="en-GB"/>
        </w:rPr>
        <w:t xml:space="preserve"> </w:t>
      </w:r>
    </w:p>
    <w:p w14:paraId="3EEFB3A5" w14:textId="77777777" w:rsidR="004C22DF" w:rsidRPr="004C22DF" w:rsidRDefault="004C22DF" w:rsidP="004C22DF">
      <w:pPr>
        <w:rPr>
          <w:lang w:val="en-GB"/>
        </w:rPr>
      </w:pPr>
      <w:r w:rsidRPr="004C22DF">
        <w:rPr>
          <w:lang w:val="en-GB"/>
        </w:rPr>
        <w:t>The event cycle involves many crucial processes to prepare, coordinate, and execute an event. It provides a methodical approach to event management and important tasks.</w:t>
      </w:r>
    </w:p>
    <w:p w14:paraId="0CCB9FF4" w14:textId="77777777" w:rsidR="004C22DF" w:rsidRPr="004C22DF" w:rsidRDefault="004C22DF" w:rsidP="004C22DF">
      <w:pPr>
        <w:rPr>
          <w:lang w:val="en-GB"/>
        </w:rPr>
      </w:pPr>
      <w:r w:rsidRPr="004C22DF">
        <w:rPr>
          <w:lang w:val="en-GB"/>
        </w:rPr>
        <w:t>Getz's event management strategy includes planning, designing, preparing, hosting, and assessing. Sustainability conference will utilise this model.</w:t>
      </w:r>
    </w:p>
    <w:p w14:paraId="7AC41367" w14:textId="77777777" w:rsidR="004C22DF" w:rsidRPr="004C22DF" w:rsidRDefault="004C22DF" w:rsidP="004C22DF">
      <w:pPr>
        <w:rPr>
          <w:lang w:val="en-GB"/>
        </w:rPr>
      </w:pPr>
      <w:r w:rsidRPr="004C22DF">
        <w:rPr>
          <w:lang w:val="en-GB"/>
        </w:rPr>
        <w:t>Planning includes feasibility studies, goal-setting, and early budgeting. This matches the first assignment's feasibility presentation. Design involves determining the event's idea, programming, and location, according to Zhang et al. (2015). Planning includes people, marketing, legal, procurement, and logistics. Event stage begins with delegates arriving and programme distribution. Last, we review how well the event accomplished its aims and where we may improve.</w:t>
      </w:r>
    </w:p>
    <w:p w14:paraId="626DB51D" w14:textId="7D7D1FA5" w:rsidR="008F7638" w:rsidRPr="008F7638" w:rsidRDefault="004C22DF" w:rsidP="004C22DF">
      <w:pPr>
        <w:rPr>
          <w:lang w:val="en-GB"/>
        </w:rPr>
      </w:pPr>
      <w:r w:rsidRPr="004C22DF">
        <w:rPr>
          <w:lang w:val="en-GB"/>
        </w:rPr>
        <w:t>The sustainability conference will use this staged event cycle technique to select a site, organise speakers, reach out to attendees, prepare transportation and food, take registrations, and deliver the programming. Comments and financial outcomes will be assessed after the event to inform future events (Thacker et al., 2019). Follow a specified event cycle to guarantee seamless execution</w:t>
      </w:r>
      <w:r w:rsidR="008F7638" w:rsidRPr="008F7638">
        <w:rPr>
          <w:lang w:val="en-GB"/>
        </w:rPr>
        <w:t>.</w:t>
      </w:r>
    </w:p>
    <w:p w14:paraId="7D2C32A2" w14:textId="77777777" w:rsidR="00703878" w:rsidRPr="00703878" w:rsidRDefault="00703878" w:rsidP="00703878">
      <w:pPr>
        <w:rPr>
          <w:lang w:val="en-GB"/>
        </w:rPr>
      </w:pPr>
    </w:p>
    <w:p w14:paraId="0BF13D7C" w14:textId="77777777" w:rsidR="00E931BF" w:rsidRDefault="00E931BF">
      <w:pPr>
        <w:spacing w:after="160" w:line="259" w:lineRule="auto"/>
        <w:jc w:val="left"/>
        <w:rPr>
          <w:b/>
          <w:color w:val="44546A" w:themeColor="text2"/>
          <w:sz w:val="32"/>
          <w:szCs w:val="40"/>
          <w:lang w:val="en-GB"/>
        </w:rPr>
      </w:pPr>
      <w:r>
        <w:rPr>
          <w:lang w:val="en-GB"/>
        </w:rPr>
        <w:br w:type="page"/>
      </w:r>
    </w:p>
    <w:p w14:paraId="33EF953B" w14:textId="1D9583E2" w:rsidR="00703878" w:rsidRDefault="00703878" w:rsidP="00703878">
      <w:pPr>
        <w:pStyle w:val="Heading1"/>
        <w:rPr>
          <w:lang w:val="en-GB"/>
        </w:rPr>
      </w:pPr>
      <w:bookmarkStart w:id="2" w:name="_Toc157206490"/>
      <w:r w:rsidRPr="00703878">
        <w:rPr>
          <w:lang w:val="en-GB"/>
        </w:rPr>
        <w:lastRenderedPageBreak/>
        <w:t>Event Concept</w:t>
      </w:r>
      <w:bookmarkEnd w:id="2"/>
      <w:r w:rsidRPr="00703878">
        <w:rPr>
          <w:lang w:val="en-GB"/>
        </w:rPr>
        <w:t xml:space="preserve"> </w:t>
      </w:r>
    </w:p>
    <w:p w14:paraId="18C06898" w14:textId="77777777" w:rsidR="008F7638" w:rsidRPr="008F7638" w:rsidRDefault="008F7638" w:rsidP="008F7638">
      <w:pPr>
        <w:rPr>
          <w:lang w:val="en-GB"/>
        </w:rPr>
      </w:pPr>
      <w:r w:rsidRPr="008F7638">
        <w:rPr>
          <w:lang w:val="en-GB"/>
        </w:rPr>
        <w:t>"Building a Sustainable Future" will be the subject of the two-day sustainability conference. The idea is to look for ways to make the hotel, event, and tourist businesses more eco-friendly.</w:t>
      </w:r>
    </w:p>
    <w:p w14:paraId="28793EBA" w14:textId="77777777" w:rsidR="008F7638" w:rsidRPr="008F7638" w:rsidRDefault="008F7638" w:rsidP="008F7638">
      <w:pPr>
        <w:rPr>
          <w:lang w:val="en-GB"/>
        </w:rPr>
      </w:pPr>
      <w:r w:rsidRPr="008F7638">
        <w:rPr>
          <w:lang w:val="en-GB"/>
        </w:rPr>
        <w:t>Registration and networking will begin on Day 1 with sustainable refreshments and coffee. The critical need for sustainable development will be highlighted in the welcoming speech at 9am. Starting at 9:30 in the morning, a keynote speaker will discuss sustainable tourism's most recent developments, potential threats, and groundbreaking ideas on a worldwide scale.</w:t>
      </w:r>
    </w:p>
    <w:p w14:paraId="43347B01" w14:textId="77777777" w:rsidR="006442CF" w:rsidRPr="006442CF" w:rsidRDefault="006442CF" w:rsidP="006442CF">
      <w:pPr>
        <w:rPr>
          <w:lang w:val="en-GB"/>
        </w:rPr>
      </w:pPr>
      <w:r w:rsidRPr="006442CF">
        <w:rPr>
          <w:lang w:val="en-GB"/>
        </w:rPr>
        <w:t xml:space="preserve">Morning panels from 10:30-12:30pm will enable delegates to engage with innovators spearheading change in areas like </w:t>
      </w:r>
      <w:proofErr w:type="spellStart"/>
      <w:r w:rsidRPr="006442CF">
        <w:rPr>
          <w:lang w:val="en-GB"/>
        </w:rPr>
        <w:t>decarbonization</w:t>
      </w:r>
      <w:proofErr w:type="spellEnd"/>
      <w:r w:rsidRPr="006442CF">
        <w:rPr>
          <w:lang w:val="en-GB"/>
        </w:rPr>
        <w:t>, circular economies, responsible sourcing and inclusivity. A locally-sourced, organic networking lunch will follow.</w:t>
      </w:r>
    </w:p>
    <w:p w14:paraId="4F5FBE0A" w14:textId="77777777" w:rsidR="006442CF" w:rsidRPr="006442CF" w:rsidRDefault="006442CF" w:rsidP="006442CF">
      <w:pPr>
        <w:rPr>
          <w:lang w:val="en-GB"/>
        </w:rPr>
      </w:pPr>
      <w:r w:rsidRPr="006442CF">
        <w:rPr>
          <w:lang w:val="en-GB"/>
        </w:rPr>
        <w:t>Afternoon 'deep dive' workshops from 1:30-4:30pm will enable attendees to focus on sustainability domains for their sector. Hoteliers can examine renewable energy, water stewardship and waste management. Event planners can cover green venues, net-zero catering, biodiversity impacts and climate action communications. Interactive discussions will encourage sharing ideas and forging connections.</w:t>
      </w:r>
    </w:p>
    <w:p w14:paraId="270A55F5" w14:textId="100BC490" w:rsidR="006442CF" w:rsidRPr="006442CF" w:rsidRDefault="006442CF" w:rsidP="006442CF">
      <w:pPr>
        <w:rPr>
          <w:lang w:val="en-GB"/>
        </w:rPr>
      </w:pPr>
      <w:r w:rsidRPr="006442CF">
        <w:rPr>
          <w:lang w:val="en-GB"/>
        </w:rPr>
        <w:t xml:space="preserve">Day 2 sessions will inspire ideas to shift internal cultures, partner authentically, leverage green tech and positively influence visitor </w:t>
      </w:r>
      <w:proofErr w:type="spellStart"/>
      <w:r w:rsidRPr="006442CF">
        <w:rPr>
          <w:lang w:val="en-GB"/>
        </w:rPr>
        <w:t>behaviors</w:t>
      </w:r>
      <w:proofErr w:type="spellEnd"/>
      <w:r w:rsidR="007D7766">
        <w:rPr>
          <w:lang w:val="en-GB"/>
        </w:rPr>
        <w:t xml:space="preserve"> </w:t>
      </w:r>
      <w:r w:rsidR="007D7766">
        <w:t>(Smith, 2012)</w:t>
      </w:r>
      <w:r w:rsidRPr="006442CF">
        <w:rPr>
          <w:lang w:val="en-GB"/>
        </w:rPr>
        <w:t>. The conference finale will be a solutions-focused panel on accelerating progress through policy, innovation and collaboration.</w:t>
      </w:r>
    </w:p>
    <w:p w14:paraId="5290670D" w14:textId="71179AC0" w:rsidR="006442CF" w:rsidRPr="006442CF" w:rsidRDefault="006442CF" w:rsidP="006442CF">
      <w:pPr>
        <w:rPr>
          <w:lang w:val="en-GB"/>
        </w:rPr>
      </w:pPr>
      <w:r w:rsidRPr="006442CF">
        <w:rPr>
          <w:lang w:val="en-GB"/>
        </w:rPr>
        <w:t>Innovative formats like workshops, roundtables and interactive exhibits will complement insightful talks. Sustainability principles will be embedded throughout the event design, spearheaded by a team of green partners. Attendees will gain knowledge, connections and inspiration to drive transformational change from within their own organisations</w:t>
      </w:r>
      <w:r w:rsidR="007D7766">
        <w:rPr>
          <w:lang w:val="en-GB"/>
        </w:rPr>
        <w:t xml:space="preserve"> </w:t>
      </w:r>
      <w:r w:rsidR="007D7766">
        <w:t>(Smith, 2012)</w:t>
      </w:r>
      <w:r w:rsidRPr="006442CF">
        <w:rPr>
          <w:lang w:val="en-GB"/>
        </w:rPr>
        <w:t>.</w:t>
      </w:r>
    </w:p>
    <w:p w14:paraId="08CE4FC4" w14:textId="77777777" w:rsidR="006442CF" w:rsidRPr="006442CF" w:rsidRDefault="006442CF" w:rsidP="006442CF">
      <w:pPr>
        <w:rPr>
          <w:lang w:val="en-GB"/>
        </w:rPr>
      </w:pPr>
      <w:r w:rsidRPr="006442CF">
        <w:rPr>
          <w:lang w:val="en-GB"/>
        </w:rPr>
        <w:t>I have aimed to provide more details on the types of sessions, innovative elements beyond traditional presentations, and the attendee takeaways aligned to the overarching sustainability focus. Please let me know if you would like me to modify or expand this further.</w:t>
      </w:r>
    </w:p>
    <w:p w14:paraId="5D359F45" w14:textId="77777777" w:rsidR="006442CF" w:rsidRDefault="006442CF" w:rsidP="006442CF">
      <w:pPr>
        <w:rPr>
          <w:lang w:val="en-GB"/>
        </w:rPr>
      </w:pPr>
    </w:p>
    <w:p w14:paraId="1A4C1493" w14:textId="77777777" w:rsidR="00E931BF" w:rsidRDefault="00E931BF">
      <w:pPr>
        <w:spacing w:after="160" w:line="259" w:lineRule="auto"/>
        <w:jc w:val="left"/>
        <w:rPr>
          <w:b/>
          <w:color w:val="44546A" w:themeColor="text2"/>
          <w:sz w:val="32"/>
          <w:szCs w:val="40"/>
          <w:lang w:val="en-GB"/>
        </w:rPr>
      </w:pPr>
      <w:r>
        <w:rPr>
          <w:lang w:val="en-GB"/>
        </w:rPr>
        <w:br w:type="page"/>
      </w:r>
    </w:p>
    <w:p w14:paraId="78FA8B89" w14:textId="40D0835B" w:rsidR="00703878" w:rsidRPr="00703878" w:rsidRDefault="00703878" w:rsidP="00703878">
      <w:pPr>
        <w:pStyle w:val="Heading1"/>
        <w:rPr>
          <w:lang w:val="en-GB"/>
        </w:rPr>
      </w:pPr>
      <w:bookmarkStart w:id="3" w:name="_Toc157206491"/>
      <w:r w:rsidRPr="00703878">
        <w:rPr>
          <w:lang w:val="en-GB"/>
        </w:rPr>
        <w:lastRenderedPageBreak/>
        <w:t>Aim and Objectives</w:t>
      </w:r>
      <w:bookmarkEnd w:id="3"/>
      <w:r w:rsidRPr="00703878">
        <w:rPr>
          <w:lang w:val="en-GB"/>
        </w:rPr>
        <w:t xml:space="preserve"> </w:t>
      </w:r>
    </w:p>
    <w:p w14:paraId="7B8A6131" w14:textId="77777777" w:rsidR="008928AC" w:rsidRPr="008928AC" w:rsidRDefault="008928AC" w:rsidP="008928AC">
      <w:pPr>
        <w:rPr>
          <w:lang w:val="en-GB"/>
        </w:rPr>
      </w:pPr>
      <w:r w:rsidRPr="008928AC">
        <w:rPr>
          <w:lang w:val="en-GB"/>
        </w:rPr>
        <w:t xml:space="preserve">The aim of the sustainability conference is to </w:t>
      </w:r>
      <w:proofErr w:type="spellStart"/>
      <w:r w:rsidRPr="008928AC">
        <w:rPr>
          <w:lang w:val="en-GB"/>
        </w:rPr>
        <w:t>catalyze</w:t>
      </w:r>
      <w:proofErr w:type="spellEnd"/>
      <w:r w:rsidRPr="008928AC">
        <w:rPr>
          <w:lang w:val="en-GB"/>
        </w:rPr>
        <w:t xml:space="preserve"> environmental sustainability action across the tourism, events and hospitality sectors.</w:t>
      </w:r>
    </w:p>
    <w:p w14:paraId="06BF917C" w14:textId="77777777" w:rsidR="008928AC" w:rsidRPr="008928AC" w:rsidRDefault="008928AC" w:rsidP="008928AC">
      <w:pPr>
        <w:rPr>
          <w:lang w:val="en-GB"/>
        </w:rPr>
      </w:pPr>
      <w:r w:rsidRPr="008928AC">
        <w:rPr>
          <w:lang w:val="en-GB"/>
        </w:rPr>
        <w:t>Objectives:</w:t>
      </w:r>
    </w:p>
    <w:p w14:paraId="7E3CFF1C" w14:textId="77777777" w:rsidR="008928AC" w:rsidRPr="008928AC" w:rsidRDefault="008928AC" w:rsidP="008928AC">
      <w:pPr>
        <w:numPr>
          <w:ilvl w:val="0"/>
          <w:numId w:val="17"/>
        </w:numPr>
        <w:rPr>
          <w:lang w:val="en-GB"/>
        </w:rPr>
      </w:pPr>
      <w:r w:rsidRPr="008928AC">
        <w:rPr>
          <w:lang w:val="en-GB"/>
        </w:rPr>
        <w:t>Inform participants of latest trends, research, and best practices in sustainability by the end of the conference. This will be measured through a post-event feedback survey.</w:t>
      </w:r>
    </w:p>
    <w:p w14:paraId="0513D6CD" w14:textId="77777777" w:rsidR="008928AC" w:rsidRPr="008928AC" w:rsidRDefault="008928AC" w:rsidP="008928AC">
      <w:pPr>
        <w:numPr>
          <w:ilvl w:val="0"/>
          <w:numId w:val="17"/>
        </w:numPr>
        <w:rPr>
          <w:lang w:val="en-GB"/>
        </w:rPr>
      </w:pPr>
      <w:r w:rsidRPr="008928AC">
        <w:rPr>
          <w:lang w:val="en-GB"/>
        </w:rPr>
        <w:t>Inspire attendees to implement at least 2 new sustainability initiatives in their organisations within 6 months of the conference. This will be tracked via follow up surveys.</w:t>
      </w:r>
    </w:p>
    <w:p w14:paraId="6524333D" w14:textId="77777777" w:rsidR="008928AC" w:rsidRPr="008928AC" w:rsidRDefault="008928AC" w:rsidP="008928AC">
      <w:pPr>
        <w:numPr>
          <w:ilvl w:val="0"/>
          <w:numId w:val="17"/>
        </w:numPr>
        <w:rPr>
          <w:lang w:val="en-GB"/>
        </w:rPr>
      </w:pPr>
      <w:r w:rsidRPr="008928AC">
        <w:rPr>
          <w:lang w:val="en-GB"/>
        </w:rPr>
        <w:t>Achieve 85% participant satisfaction ratings for relevance and quality of conference content, measured through post-event evaluations.</w:t>
      </w:r>
    </w:p>
    <w:p w14:paraId="38CE90EA" w14:textId="77777777" w:rsidR="008928AC" w:rsidRPr="008928AC" w:rsidRDefault="008928AC" w:rsidP="008928AC">
      <w:pPr>
        <w:rPr>
          <w:lang w:val="en-GB"/>
        </w:rPr>
      </w:pPr>
      <w:r w:rsidRPr="008928AC">
        <w:rPr>
          <w:lang w:val="en-GB"/>
        </w:rPr>
        <w:t>The overarching aim focuses on driving sustainability progress. The objectives set measurable outcomes for knowledge, action, and satisfaction amongst delegates after the conference concludes.</w:t>
      </w:r>
    </w:p>
    <w:p w14:paraId="45B76170" w14:textId="77777777" w:rsidR="00703878" w:rsidRPr="00703878" w:rsidRDefault="00703878" w:rsidP="00703878">
      <w:pPr>
        <w:rPr>
          <w:lang w:val="en-GB"/>
        </w:rPr>
      </w:pPr>
    </w:p>
    <w:p w14:paraId="5D54B379" w14:textId="77777777" w:rsidR="00E931BF" w:rsidRDefault="00E931BF">
      <w:pPr>
        <w:spacing w:after="160" w:line="259" w:lineRule="auto"/>
        <w:jc w:val="left"/>
        <w:rPr>
          <w:b/>
          <w:color w:val="44546A" w:themeColor="text2"/>
          <w:sz w:val="32"/>
          <w:szCs w:val="40"/>
          <w:lang w:val="en-GB"/>
        </w:rPr>
      </w:pPr>
      <w:r>
        <w:rPr>
          <w:lang w:val="en-GB"/>
        </w:rPr>
        <w:br w:type="page"/>
      </w:r>
    </w:p>
    <w:p w14:paraId="0650E9D0" w14:textId="73BE0F0F" w:rsidR="00703878" w:rsidRDefault="00703878" w:rsidP="00703878">
      <w:pPr>
        <w:pStyle w:val="Heading1"/>
        <w:rPr>
          <w:lang w:val="en-GB"/>
        </w:rPr>
      </w:pPr>
      <w:bookmarkStart w:id="4" w:name="_Toc157206492"/>
      <w:r w:rsidRPr="00703878">
        <w:rPr>
          <w:lang w:val="en-GB"/>
        </w:rPr>
        <w:lastRenderedPageBreak/>
        <w:t>Event Operations</w:t>
      </w:r>
      <w:bookmarkEnd w:id="4"/>
      <w:r w:rsidRPr="00703878">
        <w:rPr>
          <w:lang w:val="en-GB"/>
        </w:rPr>
        <w:t xml:space="preserve"> </w:t>
      </w:r>
    </w:p>
    <w:p w14:paraId="496E5DAC" w14:textId="77777777" w:rsidR="006442CF" w:rsidRDefault="006442CF" w:rsidP="006442CF">
      <w:pPr>
        <w:rPr>
          <w:lang w:val="en-GB"/>
        </w:rPr>
      </w:pPr>
      <w:r w:rsidRPr="006442CF">
        <w:rPr>
          <w:lang w:val="en-GB"/>
        </w:rPr>
        <w:t>Delivering a smooth, sustainable event experience requires careful planning across key operations including venue, responsible sourcing, accessibility, program logistics and legacy.</w:t>
      </w:r>
    </w:p>
    <w:p w14:paraId="4B84857C" w14:textId="3176AB24" w:rsidR="001A60DB" w:rsidRPr="001A60DB" w:rsidRDefault="001A60DB" w:rsidP="001A60DB">
      <w:pPr>
        <w:rPr>
          <w:lang w:val="en-GB"/>
        </w:rPr>
      </w:pPr>
      <w:r w:rsidRPr="001A60DB">
        <w:rPr>
          <w:lang w:val="en-GB"/>
        </w:rPr>
        <w:t>Staffing and Volunteers</w:t>
      </w:r>
      <w:r>
        <w:rPr>
          <w:lang w:val="en-GB"/>
        </w:rPr>
        <w:t>:</w:t>
      </w:r>
      <w:r w:rsidRPr="001A60DB">
        <w:rPr>
          <w:lang w:val="en-GB"/>
        </w:rPr>
        <w:t xml:space="preserve"> An experienced event coordination team will be recruited with strong background knowledge in sustainability protocols and green event management</w:t>
      </w:r>
      <w:r w:rsidR="007D7766">
        <w:rPr>
          <w:lang w:val="en-GB"/>
        </w:rPr>
        <w:t xml:space="preserve"> </w:t>
      </w:r>
      <w:r w:rsidR="007D7766">
        <w:t>(</w:t>
      </w:r>
      <w:proofErr w:type="spellStart"/>
      <w:r w:rsidR="007D7766">
        <w:t>Silvestre</w:t>
      </w:r>
      <w:proofErr w:type="spellEnd"/>
      <w:r w:rsidR="007D7766">
        <w:t xml:space="preserve"> and </w:t>
      </w:r>
      <w:proofErr w:type="spellStart"/>
      <w:r w:rsidR="007D7766">
        <w:t>Ţîrcă</w:t>
      </w:r>
      <w:proofErr w:type="spellEnd"/>
      <w:r w:rsidR="007D7766">
        <w:t>, 2019)</w:t>
      </w:r>
      <w:r w:rsidRPr="001A60DB">
        <w:rPr>
          <w:lang w:val="en-GB"/>
        </w:rPr>
        <w:t>. All event staff and volunteers will undergo training to align on waste management processes, sustainable principles guiding venue operations, catering and procurement standards. Additional volunteers will be rostered to actively assist with onsite green initiatives like providing guidance on recycling and compost separation at the event.</w:t>
      </w:r>
    </w:p>
    <w:p w14:paraId="3601D325" w14:textId="24F54E17" w:rsidR="001A60DB" w:rsidRDefault="001A60DB" w:rsidP="001A60DB">
      <w:pPr>
        <w:rPr>
          <w:lang w:val="en-GB"/>
        </w:rPr>
      </w:pPr>
      <w:r w:rsidRPr="001A60DB">
        <w:rPr>
          <w:lang w:val="en-GB"/>
        </w:rPr>
        <w:t>Venue Sustainability</w:t>
      </w:r>
      <w:r>
        <w:rPr>
          <w:lang w:val="en-GB"/>
        </w:rPr>
        <w:t>:</w:t>
      </w:r>
      <w:r w:rsidRPr="001A60DB">
        <w:rPr>
          <w:lang w:val="en-GB"/>
        </w:rPr>
        <w:t xml:space="preserve"> During the sustainability event, audits will be conducted on metrics like energy use, water consumption and waste generation. Visible signage around the venue will encourage attendees to uphold positive sustainability </w:t>
      </w:r>
      <w:proofErr w:type="spellStart"/>
      <w:r w:rsidRPr="001A60DB">
        <w:rPr>
          <w:lang w:val="en-GB"/>
        </w:rPr>
        <w:t>behaviors</w:t>
      </w:r>
      <w:proofErr w:type="spellEnd"/>
      <w:r w:rsidRPr="001A60DB">
        <w:rPr>
          <w:lang w:val="en-GB"/>
        </w:rPr>
        <w:t xml:space="preserve"> to </w:t>
      </w:r>
      <w:proofErr w:type="spellStart"/>
      <w:r w:rsidRPr="001A60DB">
        <w:rPr>
          <w:lang w:val="en-GB"/>
        </w:rPr>
        <w:t>minimize</w:t>
      </w:r>
      <w:proofErr w:type="spellEnd"/>
      <w:r w:rsidRPr="001A60DB">
        <w:rPr>
          <w:lang w:val="en-GB"/>
        </w:rPr>
        <w:t xml:space="preserve"> environmental impacts. Venue management will also ensure regular maintenance checks on heating, ventilation, air conditioning and lighting systems to </w:t>
      </w:r>
      <w:proofErr w:type="spellStart"/>
      <w:r w:rsidRPr="001A60DB">
        <w:rPr>
          <w:lang w:val="en-GB"/>
        </w:rPr>
        <w:t>optimize</w:t>
      </w:r>
      <w:proofErr w:type="spellEnd"/>
      <w:r w:rsidRPr="001A60DB">
        <w:rPr>
          <w:lang w:val="en-GB"/>
        </w:rPr>
        <w:t xml:space="preserve"> efficiency and prevent leakages or breakdowns.</w:t>
      </w:r>
      <w:r>
        <w:rPr>
          <w:lang w:val="en-GB"/>
        </w:rPr>
        <w:t xml:space="preserve"> </w:t>
      </w:r>
    </w:p>
    <w:p w14:paraId="256B2E8E" w14:textId="0EA4B5A4" w:rsidR="001A60DB" w:rsidRPr="006442CF" w:rsidRDefault="001A60DB" w:rsidP="001A60DB">
      <w:pPr>
        <w:rPr>
          <w:lang w:val="en-GB"/>
        </w:rPr>
      </w:pPr>
      <w:r w:rsidRPr="006442CF">
        <w:rPr>
          <w:lang w:val="en-GB"/>
        </w:rPr>
        <w:t>The venue selection will consider capacity, location, sustainability credentials and accessibility</w:t>
      </w:r>
      <w:r w:rsidR="007D7766">
        <w:rPr>
          <w:lang w:val="en-GB"/>
        </w:rPr>
        <w:t xml:space="preserve"> </w:t>
      </w:r>
      <w:r w:rsidR="007D7766">
        <w:t>(</w:t>
      </w:r>
      <w:proofErr w:type="spellStart"/>
      <w:r w:rsidR="007D7766">
        <w:t>Silvestre</w:t>
      </w:r>
      <w:proofErr w:type="spellEnd"/>
      <w:r w:rsidR="007D7766">
        <w:t xml:space="preserve"> and </w:t>
      </w:r>
      <w:proofErr w:type="spellStart"/>
      <w:r w:rsidR="007D7766">
        <w:t>Ţîrcă</w:t>
      </w:r>
      <w:proofErr w:type="spellEnd"/>
      <w:r w:rsidR="007D7766">
        <w:t>, 2019)</w:t>
      </w:r>
      <w:r w:rsidRPr="006442CF">
        <w:rPr>
          <w:lang w:val="en-GB"/>
        </w:rPr>
        <w:t xml:space="preserve">. Priority venues hold </w:t>
      </w:r>
      <w:proofErr w:type="spellStart"/>
      <w:r w:rsidRPr="006442CF">
        <w:rPr>
          <w:lang w:val="en-GB"/>
        </w:rPr>
        <w:t>recognized</w:t>
      </w:r>
      <w:proofErr w:type="spellEnd"/>
      <w:r w:rsidRPr="006442CF">
        <w:rPr>
          <w:lang w:val="en-GB"/>
        </w:rPr>
        <w:t xml:space="preserve"> eco-certifications to showcase genuine commitment. A 1,000 delegate plenary hall, breakouts and ample networking space near green transport links are ideal.</w:t>
      </w:r>
    </w:p>
    <w:p w14:paraId="2853798F" w14:textId="5CC262C4" w:rsidR="001A60DB" w:rsidRPr="001A60DB" w:rsidRDefault="001A60DB" w:rsidP="001A60DB">
      <w:pPr>
        <w:rPr>
          <w:lang w:val="en-GB"/>
        </w:rPr>
      </w:pPr>
      <w:r w:rsidRPr="006442CF">
        <w:rPr>
          <w:lang w:val="en-GB"/>
        </w:rPr>
        <w:t>Responsible sourcing policies will drive the procurement of sustainable, ethical catering, materials and local services</w:t>
      </w:r>
      <w:r w:rsidR="007D7766">
        <w:rPr>
          <w:lang w:val="en-GB"/>
        </w:rPr>
        <w:t xml:space="preserve"> </w:t>
      </w:r>
      <w:r w:rsidR="007D7766">
        <w:t>(Baker, 2015)</w:t>
      </w:r>
      <w:r w:rsidRPr="006442CF">
        <w:rPr>
          <w:lang w:val="en-GB"/>
        </w:rPr>
        <w:t>. Menus will balance plant-based options with minimal meat/dairy to reduce emissions. Reusables will replace single-use items with active waste management like compositing and recycling. Printed collateral will use recycled paper and eco-friendly inks.</w:t>
      </w:r>
    </w:p>
    <w:p w14:paraId="7F0DF7E5" w14:textId="43BF6A31" w:rsidR="001A60DB" w:rsidRPr="001A60DB" w:rsidRDefault="001A60DB" w:rsidP="001A60DB">
      <w:pPr>
        <w:rPr>
          <w:lang w:val="en-GB"/>
        </w:rPr>
      </w:pPr>
      <w:r w:rsidRPr="001A60DB">
        <w:rPr>
          <w:lang w:val="en-GB"/>
        </w:rPr>
        <w:t>Catering and Procurement</w:t>
      </w:r>
      <w:r>
        <w:rPr>
          <w:lang w:val="en-GB"/>
        </w:rPr>
        <w:t>:</w:t>
      </w:r>
      <w:r w:rsidRPr="001A60DB">
        <w:rPr>
          <w:lang w:val="en-GB"/>
        </w:rPr>
        <w:t xml:space="preserve"> Catering and other event suppliers will be carefully vetted based on robust sustainability criteria examining their social values, ethical sourcing policies, </w:t>
      </w:r>
      <w:proofErr w:type="spellStart"/>
      <w:r w:rsidRPr="001A60DB">
        <w:rPr>
          <w:lang w:val="en-GB"/>
        </w:rPr>
        <w:t>localization</w:t>
      </w:r>
      <w:proofErr w:type="spellEnd"/>
      <w:r w:rsidRPr="001A60DB">
        <w:rPr>
          <w:lang w:val="en-GB"/>
        </w:rPr>
        <w:t>, waste management, energy, emissions and inclusion commitments. Plant-forward menus will be preferred, focused on seasonal and locally sourced produce to lower food miles. Plastics and other single use items will be eliminated through reusable tableware and compostable packaging while all surplus edible food is donated post-event to support local charities addressing hunger needs</w:t>
      </w:r>
      <w:r w:rsidR="007D7766">
        <w:rPr>
          <w:lang w:val="en-GB"/>
        </w:rPr>
        <w:t xml:space="preserve"> </w:t>
      </w:r>
      <w:r w:rsidR="007D7766">
        <w:t>(Sachs et al., 2022)</w:t>
      </w:r>
      <w:r w:rsidRPr="001A60DB">
        <w:rPr>
          <w:lang w:val="en-GB"/>
        </w:rPr>
        <w:t>.</w:t>
      </w:r>
    </w:p>
    <w:p w14:paraId="52B02B93" w14:textId="6A212654" w:rsidR="001A60DB" w:rsidRPr="006442CF" w:rsidRDefault="001A60DB" w:rsidP="006442CF">
      <w:pPr>
        <w:rPr>
          <w:lang w:val="en-GB"/>
        </w:rPr>
      </w:pPr>
      <w:r w:rsidRPr="001A60DB">
        <w:rPr>
          <w:lang w:val="en-GB"/>
        </w:rPr>
        <w:t>Transport and Logistics</w:t>
      </w:r>
      <w:r>
        <w:rPr>
          <w:lang w:val="en-GB"/>
        </w:rPr>
        <w:t>:</w:t>
      </w:r>
      <w:r w:rsidRPr="001A60DB">
        <w:rPr>
          <w:lang w:val="en-GB"/>
        </w:rPr>
        <w:t xml:space="preserve"> Comprehensive information will be provided pre-event on sustainable transportation options for attendees </w:t>
      </w:r>
      <w:proofErr w:type="spellStart"/>
      <w:r w:rsidRPr="001A60DB">
        <w:rPr>
          <w:lang w:val="en-GB"/>
        </w:rPr>
        <w:t>emphasizing</w:t>
      </w:r>
      <w:proofErr w:type="spellEnd"/>
      <w:r w:rsidRPr="001A60DB">
        <w:rPr>
          <w:lang w:val="en-GB"/>
        </w:rPr>
        <w:t xml:space="preserve"> public transport, </w:t>
      </w:r>
      <w:proofErr w:type="spellStart"/>
      <w:r w:rsidRPr="001A60DB">
        <w:rPr>
          <w:lang w:val="en-GB"/>
        </w:rPr>
        <w:t>rideshares</w:t>
      </w:r>
      <w:proofErr w:type="spellEnd"/>
      <w:r w:rsidRPr="001A60DB">
        <w:rPr>
          <w:lang w:val="en-GB"/>
        </w:rPr>
        <w:t xml:space="preserve">, walking/biking and </w:t>
      </w:r>
      <w:r w:rsidRPr="001A60DB">
        <w:rPr>
          <w:lang w:val="en-GB"/>
        </w:rPr>
        <w:lastRenderedPageBreak/>
        <w:t xml:space="preserve">parking discounts for electric vehicles. Bike storage will be made available onsite while speaker flight emissions are consolidated and mitigated through certified carbon offsets. Transport and deliveries will be </w:t>
      </w:r>
      <w:proofErr w:type="spellStart"/>
      <w:r w:rsidRPr="001A60DB">
        <w:rPr>
          <w:lang w:val="en-GB"/>
        </w:rPr>
        <w:t>optimized</w:t>
      </w:r>
      <w:proofErr w:type="spellEnd"/>
      <w:r w:rsidRPr="001A60DB">
        <w:rPr>
          <w:lang w:val="en-GB"/>
        </w:rPr>
        <w:t xml:space="preserve"> through route planning, load consolidation and priority sourcing from local suppliers to reduce mileage.</w:t>
      </w:r>
      <w:r>
        <w:rPr>
          <w:lang w:val="en-GB"/>
        </w:rPr>
        <w:t xml:space="preserve"> </w:t>
      </w:r>
      <w:r w:rsidRPr="006442CF">
        <w:rPr>
          <w:lang w:val="en-GB"/>
        </w:rPr>
        <w:t>Logistics oversight will coordinate guests, speakers, event staff, production crews and volunteers</w:t>
      </w:r>
      <w:r w:rsidR="007D7766">
        <w:rPr>
          <w:lang w:val="en-GB"/>
        </w:rPr>
        <w:t xml:space="preserve"> </w:t>
      </w:r>
      <w:r w:rsidR="007D7766">
        <w:t>(Sachs et al., 2022)</w:t>
      </w:r>
      <w:r w:rsidRPr="006442CF">
        <w:rPr>
          <w:lang w:val="en-GB"/>
        </w:rPr>
        <w:t>. Scalable digital infrastructure manages seamless registration, contactless payments, live-streaming, scheduling, catering orders and polling. Clear messaging via the event app guides attendees.</w:t>
      </w:r>
    </w:p>
    <w:p w14:paraId="211F9646" w14:textId="5D4C0A7B" w:rsidR="006442CF" w:rsidRPr="006442CF" w:rsidRDefault="006442CF" w:rsidP="006442CF">
      <w:pPr>
        <w:rPr>
          <w:lang w:val="en-GB"/>
        </w:rPr>
      </w:pPr>
      <w:r w:rsidRPr="006442CF">
        <w:rPr>
          <w:lang w:val="en-GB"/>
        </w:rPr>
        <w:t>Accessibility commitments will address inclusion across program content, venues, communications and social events like tours or dinners</w:t>
      </w:r>
      <w:r w:rsidR="007D7766">
        <w:rPr>
          <w:lang w:val="en-GB"/>
        </w:rPr>
        <w:t xml:space="preserve"> </w:t>
      </w:r>
      <w:r w:rsidR="007D7766">
        <w:t>(</w:t>
      </w:r>
      <w:proofErr w:type="spellStart"/>
      <w:r w:rsidR="007D7766">
        <w:t>Broman</w:t>
      </w:r>
      <w:proofErr w:type="spellEnd"/>
      <w:r w:rsidR="007D7766">
        <w:t xml:space="preserve"> and </w:t>
      </w:r>
      <w:proofErr w:type="spellStart"/>
      <w:r w:rsidR="007D7766">
        <w:t>Robèrt</w:t>
      </w:r>
      <w:proofErr w:type="spellEnd"/>
      <w:r w:rsidR="007D7766">
        <w:t>, 2017)</w:t>
      </w:r>
      <w:r w:rsidRPr="006442CF">
        <w:rPr>
          <w:lang w:val="en-GB"/>
        </w:rPr>
        <w:t>. Venues will be wheelchair-accessible with provisions like ramps, elevators and accessible washrooms. Quiet rooms allow sensory breaks. Sign language, live captioning and braille signage increase participation.</w:t>
      </w:r>
    </w:p>
    <w:p w14:paraId="224C6030" w14:textId="4A4AEBB9" w:rsidR="006442CF" w:rsidRPr="006442CF" w:rsidRDefault="006442CF" w:rsidP="006442CF">
      <w:pPr>
        <w:rPr>
          <w:lang w:val="en-GB"/>
        </w:rPr>
      </w:pPr>
      <w:r w:rsidRPr="006442CF">
        <w:rPr>
          <w:lang w:val="en-GB"/>
        </w:rPr>
        <w:t>Post-event legacy initiatives will share sustainability insights with the community. Venue food donations support those in need</w:t>
      </w:r>
      <w:r w:rsidR="007D7766">
        <w:rPr>
          <w:lang w:val="en-GB"/>
        </w:rPr>
        <w:t xml:space="preserve"> </w:t>
      </w:r>
      <w:r w:rsidR="007D7766">
        <w:t>(</w:t>
      </w:r>
      <w:proofErr w:type="spellStart"/>
      <w:r w:rsidR="007D7766">
        <w:t>Østergaard</w:t>
      </w:r>
      <w:proofErr w:type="spellEnd"/>
      <w:r w:rsidR="007D7766">
        <w:t xml:space="preserve"> et al., 2020)</w:t>
      </w:r>
      <w:r w:rsidRPr="006442CF">
        <w:rPr>
          <w:lang w:val="en-GB"/>
        </w:rPr>
        <w:t>. Participant commitments convert inspiration into action. Offset donations help indirectly reduce tourism emissions. Measuring and reporting carbon, waste diversion and inclusion metrics inform future progress.</w:t>
      </w:r>
    </w:p>
    <w:p w14:paraId="6712CD14" w14:textId="77777777" w:rsidR="006442CF" w:rsidRPr="006442CF" w:rsidRDefault="006442CF" w:rsidP="006442CF">
      <w:pPr>
        <w:rPr>
          <w:lang w:val="en-GB"/>
        </w:rPr>
      </w:pPr>
      <w:r w:rsidRPr="006442CF">
        <w:rPr>
          <w:lang w:val="en-GB"/>
        </w:rPr>
        <w:t>Rigorous, innovative operations planning upholds sustainability in the event experience and legacy. This builds trust that the event walks its own talk as an agent of change. Participants can adopt best practices within their own organisations.</w:t>
      </w:r>
    </w:p>
    <w:p w14:paraId="6B2FE18B" w14:textId="77777777" w:rsidR="001A60DB" w:rsidRPr="006442CF" w:rsidRDefault="001A60DB" w:rsidP="006442CF">
      <w:pPr>
        <w:rPr>
          <w:lang w:val="en-GB"/>
        </w:rPr>
      </w:pPr>
    </w:p>
    <w:p w14:paraId="58C2B8A3" w14:textId="77777777" w:rsidR="00703878" w:rsidRPr="00703878" w:rsidRDefault="00703878" w:rsidP="00703878">
      <w:pPr>
        <w:rPr>
          <w:lang w:val="en-GB"/>
        </w:rPr>
      </w:pPr>
    </w:p>
    <w:p w14:paraId="6FDF6988" w14:textId="77777777" w:rsidR="00E931BF" w:rsidRDefault="00E931BF">
      <w:pPr>
        <w:spacing w:after="160" w:line="259" w:lineRule="auto"/>
        <w:jc w:val="left"/>
        <w:rPr>
          <w:b/>
          <w:color w:val="44546A" w:themeColor="text2"/>
          <w:sz w:val="32"/>
          <w:szCs w:val="40"/>
          <w:lang w:val="en-GB"/>
        </w:rPr>
      </w:pPr>
      <w:r>
        <w:rPr>
          <w:lang w:val="en-GB"/>
        </w:rPr>
        <w:br w:type="page"/>
      </w:r>
    </w:p>
    <w:p w14:paraId="05AA050D" w14:textId="15762112" w:rsidR="00703878" w:rsidRPr="00703878" w:rsidRDefault="00703878" w:rsidP="00703878">
      <w:pPr>
        <w:pStyle w:val="Heading1"/>
        <w:rPr>
          <w:lang w:val="en-GB"/>
        </w:rPr>
      </w:pPr>
      <w:bookmarkStart w:id="5" w:name="_Toc157206493"/>
      <w:r w:rsidRPr="00703878">
        <w:rPr>
          <w:lang w:val="en-GB"/>
        </w:rPr>
        <w:lastRenderedPageBreak/>
        <w:t>Event Budget</w:t>
      </w:r>
      <w:bookmarkEnd w:id="5"/>
      <w:r w:rsidRPr="00703878">
        <w:rPr>
          <w:lang w:val="en-GB"/>
        </w:rPr>
        <w:t xml:space="preserve"> </w:t>
      </w:r>
    </w:p>
    <w:p w14:paraId="193FDAFD" w14:textId="77777777" w:rsidR="006442CF" w:rsidRPr="006442CF" w:rsidRDefault="008928AC" w:rsidP="006442CF">
      <w:pPr>
        <w:rPr>
          <w:lang w:val="en-GB"/>
        </w:rPr>
      </w:pPr>
      <w:r w:rsidRPr="008928AC">
        <w:rPr>
          <w:lang w:val="en-GB"/>
        </w:rPr>
        <w:t>The event budget forecasts total income of £145,000 against total expenses of £140,000, indicating a projected surplus of £5,000.</w:t>
      </w:r>
      <w:r w:rsidR="006442CF">
        <w:rPr>
          <w:lang w:val="en-GB"/>
        </w:rPr>
        <w:t xml:space="preserve"> </w:t>
      </w:r>
      <w:r w:rsidR="006442CF" w:rsidRPr="006442CF">
        <w:rPr>
          <w:lang w:val="en-GB"/>
        </w:rPr>
        <w:t>The total budget of £140,000 is necessary to deliver a premium event experience that matches the expectations of a high-level sustainability conference.</w:t>
      </w:r>
    </w:p>
    <w:p w14:paraId="41C0E245" w14:textId="77777777" w:rsidR="006442CF" w:rsidRPr="006442CF" w:rsidRDefault="006442CF" w:rsidP="006442CF">
      <w:pPr>
        <w:rPr>
          <w:lang w:val="en-GB"/>
        </w:rPr>
      </w:pPr>
      <w:r w:rsidRPr="006442CF">
        <w:rPr>
          <w:lang w:val="en-GB"/>
        </w:rPr>
        <w:t>The venue and catering costs at £40,000 reflect market prices for a high-capacity, well-equipped conference facility in central London for 2 days. This accounts for plenary and breakout rooms, top-rated sustainable catering for all meals and breaks, and service costs.</w:t>
      </w:r>
    </w:p>
    <w:p w14:paraId="1FB53A0D" w14:textId="182253D3" w:rsidR="006442CF" w:rsidRPr="006442CF" w:rsidRDefault="006442CF" w:rsidP="006442CF">
      <w:pPr>
        <w:rPr>
          <w:lang w:val="en-GB"/>
        </w:rPr>
      </w:pPr>
      <w:r w:rsidRPr="006442CF">
        <w:rPr>
          <w:lang w:val="en-GB"/>
        </w:rPr>
        <w:t>Talent acquisition to secure renowned sustainability speakers, panelists and workshop leaders will require a £12,000 allocation</w:t>
      </w:r>
      <w:r w:rsidR="007D7766">
        <w:rPr>
          <w:lang w:val="en-GB"/>
        </w:rPr>
        <w:t xml:space="preserve"> </w:t>
      </w:r>
      <w:r w:rsidR="007D7766">
        <w:t>(</w:t>
      </w:r>
      <w:proofErr w:type="spellStart"/>
      <w:r w:rsidR="007D7766">
        <w:t>Østergaard</w:t>
      </w:r>
      <w:proofErr w:type="spellEnd"/>
      <w:r w:rsidR="007D7766">
        <w:t xml:space="preserve"> et al., 2020)</w:t>
      </w:r>
      <w:r w:rsidRPr="006442CF">
        <w:rPr>
          <w:lang w:val="en-GB"/>
        </w:rPr>
        <w:t>. Their insight and profile attract registrations, offsetting this cost through delegate fees.</w:t>
      </w:r>
    </w:p>
    <w:p w14:paraId="0680B50E" w14:textId="77777777" w:rsidR="006442CF" w:rsidRPr="006442CF" w:rsidRDefault="006442CF" w:rsidP="006442CF">
      <w:pPr>
        <w:rPr>
          <w:lang w:val="en-GB"/>
        </w:rPr>
      </w:pPr>
      <w:r w:rsidRPr="006442CF">
        <w:rPr>
          <w:lang w:val="en-GB"/>
        </w:rPr>
        <w:t>Promoting the event effectively to prospective audiences across Europe demands a £10,000 investment in digital, print and social campaigns. Sponsorship leverages additional reach. Robust promotion enables the event to fill its 500 delegate capacity.</w:t>
      </w:r>
    </w:p>
    <w:p w14:paraId="12AE93A2" w14:textId="6AE5A7F1" w:rsidR="006442CF" w:rsidRPr="006442CF" w:rsidRDefault="006442CF" w:rsidP="006442CF">
      <w:pPr>
        <w:rPr>
          <w:lang w:val="en-GB"/>
        </w:rPr>
      </w:pPr>
      <w:r w:rsidRPr="006442CF">
        <w:rPr>
          <w:lang w:val="en-GB"/>
        </w:rPr>
        <w:t>Staffing a core team proficient in sustainability protocols and experienced in conference delivery needs around £15,000 for fair wages</w:t>
      </w:r>
      <w:r w:rsidR="007D7766">
        <w:rPr>
          <w:lang w:val="en-GB"/>
        </w:rPr>
        <w:t xml:space="preserve"> </w:t>
      </w:r>
      <w:r w:rsidR="007D7766">
        <w:t>(</w:t>
      </w:r>
      <w:proofErr w:type="spellStart"/>
      <w:r w:rsidR="007D7766">
        <w:t>Østergaard</w:t>
      </w:r>
      <w:proofErr w:type="spellEnd"/>
      <w:r w:rsidR="007D7766">
        <w:t xml:space="preserve"> et al., 2020)</w:t>
      </w:r>
      <w:r w:rsidRPr="006442CF">
        <w:rPr>
          <w:lang w:val="en-GB"/>
        </w:rPr>
        <w:t>. This secures leadership in event, hospitality and environmental competencies.</w:t>
      </w:r>
    </w:p>
    <w:p w14:paraId="4E627482" w14:textId="77777777" w:rsidR="006442CF" w:rsidRPr="006442CF" w:rsidRDefault="006442CF" w:rsidP="006442CF">
      <w:pPr>
        <w:rPr>
          <w:lang w:val="en-GB"/>
        </w:rPr>
      </w:pPr>
      <w:r w:rsidRPr="006442CF">
        <w:rPr>
          <w:lang w:val="en-GB"/>
        </w:rPr>
        <w:t>The £35,000 for travel, production, IT and security is in line with market rates for services required to produce a large-scale event. Contingency funds account for unforeseen expenses.</w:t>
      </w:r>
    </w:p>
    <w:p w14:paraId="1C465858" w14:textId="5DB576EE" w:rsidR="008928AC" w:rsidRPr="00C67282" w:rsidRDefault="006442CF" w:rsidP="00C67282">
      <w:pPr>
        <w:rPr>
          <w:lang w:val="en-GB"/>
        </w:rPr>
      </w:pPr>
      <w:r w:rsidRPr="006442CF">
        <w:rPr>
          <w:lang w:val="en-GB"/>
        </w:rPr>
        <w:t>In total, the budget reflects realistic costs in the current market for a 2-day sustainability conference. Careful management of sponsorship opportunities and delegate revenues validates investing in an impactful, benchmark-setting event aligned to current industry priorities.</w:t>
      </w:r>
    </w:p>
    <w:tbl>
      <w:tblPr>
        <w:tblW w:w="909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182"/>
        <w:gridCol w:w="2908"/>
      </w:tblGrid>
      <w:tr w:rsidR="00C67282" w:rsidRPr="00C67282" w14:paraId="3CEE5356" w14:textId="77777777" w:rsidTr="00C67282">
        <w:trPr>
          <w:tblHeader/>
          <w:tblCellSpacing w:w="15" w:type="dxa"/>
        </w:trPr>
        <w:tc>
          <w:tcPr>
            <w:tcW w:w="0" w:type="auto"/>
            <w:tcBorders>
              <w:top w:val="single" w:sz="6" w:space="0" w:color="E5E7EB"/>
              <w:left w:val="single" w:sz="6" w:space="0" w:color="E5E7EB"/>
              <w:bottom w:val="single" w:sz="6" w:space="0" w:color="E5E7EB"/>
              <w:right w:val="single" w:sz="2" w:space="0" w:color="E5E7EB"/>
            </w:tcBorders>
            <w:vAlign w:val="bottom"/>
            <w:hideMark/>
          </w:tcPr>
          <w:p w14:paraId="0D57847F" w14:textId="77777777" w:rsidR="00C67282" w:rsidRPr="00C67282" w:rsidRDefault="00C67282" w:rsidP="00C67282">
            <w:pPr>
              <w:rPr>
                <w:rFonts w:eastAsia="Times New Roman" w:cs="Times New Roman"/>
                <w:b/>
                <w:bCs/>
                <w:spacing w:val="-2"/>
                <w:sz w:val="21"/>
                <w:szCs w:val="21"/>
                <w:lang w:val="en-GB" w:eastAsia="en-GB"/>
              </w:rPr>
            </w:pPr>
            <w:r w:rsidRPr="00C67282">
              <w:rPr>
                <w:rFonts w:eastAsia="Times New Roman" w:cs="Times New Roman"/>
                <w:b/>
                <w:bCs/>
                <w:spacing w:val="-2"/>
                <w:sz w:val="21"/>
                <w:szCs w:val="21"/>
                <w:lang w:val="en-GB" w:eastAsia="en-GB"/>
              </w:rPr>
              <w:t>Expense Category</w:t>
            </w:r>
          </w:p>
        </w:tc>
        <w:tc>
          <w:tcPr>
            <w:tcW w:w="0" w:type="auto"/>
            <w:tcBorders>
              <w:top w:val="single" w:sz="6" w:space="0" w:color="E5E7EB"/>
              <w:left w:val="single" w:sz="6" w:space="0" w:color="E5E7EB"/>
              <w:bottom w:val="single" w:sz="6" w:space="0" w:color="E5E7EB"/>
              <w:right w:val="single" w:sz="6" w:space="0" w:color="E5E7EB"/>
            </w:tcBorders>
            <w:vAlign w:val="bottom"/>
            <w:hideMark/>
          </w:tcPr>
          <w:p w14:paraId="7182AB30" w14:textId="77777777" w:rsidR="00C67282" w:rsidRPr="00C67282" w:rsidRDefault="00C67282" w:rsidP="00C67282">
            <w:pPr>
              <w:rPr>
                <w:rFonts w:eastAsia="Times New Roman" w:cs="Times New Roman"/>
                <w:b/>
                <w:bCs/>
                <w:spacing w:val="-2"/>
                <w:sz w:val="21"/>
                <w:szCs w:val="21"/>
                <w:lang w:val="en-GB" w:eastAsia="en-GB"/>
              </w:rPr>
            </w:pPr>
            <w:r w:rsidRPr="00C67282">
              <w:rPr>
                <w:rFonts w:eastAsia="Times New Roman" w:cs="Times New Roman"/>
                <w:b/>
                <w:bCs/>
                <w:spacing w:val="-2"/>
                <w:sz w:val="21"/>
                <w:szCs w:val="21"/>
                <w:lang w:val="en-GB" w:eastAsia="en-GB"/>
              </w:rPr>
              <w:t>Amount (£)</w:t>
            </w:r>
          </w:p>
        </w:tc>
      </w:tr>
      <w:tr w:rsidR="00C67282" w:rsidRPr="00C67282" w14:paraId="42029FFE"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1DFFF0AC"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Venue hire</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7EC0B592"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£22,000</w:t>
            </w:r>
          </w:p>
        </w:tc>
      </w:tr>
      <w:tr w:rsidR="00C67282" w:rsidRPr="00C67282" w14:paraId="5B69DA9E"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79C0BA26"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Catering</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71B22CB4"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£18,000</w:t>
            </w:r>
          </w:p>
        </w:tc>
      </w:tr>
      <w:tr w:rsidR="00C67282" w:rsidRPr="00C67282" w14:paraId="3E5B6877"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06F4C887"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Speaker costs</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77BD9072"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£12,000</w:t>
            </w:r>
          </w:p>
        </w:tc>
      </w:tr>
      <w:tr w:rsidR="00C67282" w:rsidRPr="00C67282" w14:paraId="0A2DF949"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53C36B3B"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Marketing</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0AF593A6"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£10,000</w:t>
            </w:r>
          </w:p>
        </w:tc>
      </w:tr>
      <w:tr w:rsidR="00C67282" w:rsidRPr="00C67282" w14:paraId="45E11D73"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20C11EEB"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Staffing</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2BCBD618"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£15,000</w:t>
            </w:r>
          </w:p>
        </w:tc>
      </w:tr>
      <w:tr w:rsidR="00C67282" w:rsidRPr="00C67282" w14:paraId="125C02B1"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6833B099"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Travel and accommodation</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220AC609"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£10,000</w:t>
            </w:r>
          </w:p>
        </w:tc>
      </w:tr>
      <w:tr w:rsidR="00C67282" w:rsidRPr="00C67282" w14:paraId="0AE48EE7"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6EDFF559"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Materials/printing</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20D44840"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£5,000</w:t>
            </w:r>
          </w:p>
        </w:tc>
      </w:tr>
      <w:tr w:rsidR="00C67282" w:rsidRPr="00C67282" w14:paraId="25A8958D"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7D4AEA9D"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lastRenderedPageBreak/>
              <w:t>Insurance</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3E1779CD"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£3,000</w:t>
            </w:r>
          </w:p>
        </w:tc>
      </w:tr>
      <w:tr w:rsidR="00C67282" w:rsidRPr="00C67282" w14:paraId="75C1E6AF"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4F7E0129"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Logistics/production</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2FFF71EA"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£15,000</w:t>
            </w:r>
          </w:p>
        </w:tc>
      </w:tr>
      <w:tr w:rsidR="00C67282" w:rsidRPr="00C67282" w14:paraId="2D32BC47"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2ABBCF1F"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IT/AV</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0205A25F"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£10,000</w:t>
            </w:r>
          </w:p>
        </w:tc>
      </w:tr>
      <w:tr w:rsidR="00C67282" w:rsidRPr="00C67282" w14:paraId="6564F8BB"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0E6DB841"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Security</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22425288"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£5,000</w:t>
            </w:r>
          </w:p>
        </w:tc>
      </w:tr>
      <w:tr w:rsidR="00C67282" w:rsidRPr="00C67282" w14:paraId="5D643C1E"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6DA70927"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Contingency</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3C171A99"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£15,000</w:t>
            </w:r>
          </w:p>
        </w:tc>
      </w:tr>
    </w:tbl>
    <w:p w14:paraId="69633140" w14:textId="77777777" w:rsidR="00C67282" w:rsidRPr="00C67282" w:rsidRDefault="00C67282" w:rsidP="00C67282">
      <w:pPr>
        <w:rPr>
          <w:rFonts w:eastAsia="Times New Roman" w:cs="Times New Roman"/>
          <w:spacing w:val="-2"/>
          <w:szCs w:val="24"/>
          <w:lang w:val="en-GB" w:eastAsia="en-GB"/>
        </w:rPr>
      </w:pPr>
      <w:r w:rsidRPr="00C67282">
        <w:rPr>
          <w:rFonts w:eastAsia="Times New Roman" w:cs="Times New Roman"/>
          <w:spacing w:val="-2"/>
          <w:szCs w:val="24"/>
          <w:lang w:val="en-GB" w:eastAsia="en-GB"/>
        </w:rPr>
        <w:t>Total Expenses: £140,000</w:t>
      </w:r>
    </w:p>
    <w:tbl>
      <w:tblPr>
        <w:tblW w:w="909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319"/>
        <w:gridCol w:w="2771"/>
      </w:tblGrid>
      <w:tr w:rsidR="00C67282" w:rsidRPr="00C67282" w14:paraId="245FED28" w14:textId="77777777" w:rsidTr="00C67282">
        <w:trPr>
          <w:tblHeader/>
          <w:tblCellSpacing w:w="15" w:type="dxa"/>
        </w:trPr>
        <w:tc>
          <w:tcPr>
            <w:tcW w:w="0" w:type="auto"/>
            <w:tcBorders>
              <w:top w:val="single" w:sz="6" w:space="0" w:color="E5E7EB"/>
              <w:left w:val="single" w:sz="6" w:space="0" w:color="E5E7EB"/>
              <w:bottom w:val="single" w:sz="6" w:space="0" w:color="E5E7EB"/>
              <w:right w:val="single" w:sz="2" w:space="0" w:color="E5E7EB"/>
            </w:tcBorders>
            <w:vAlign w:val="bottom"/>
            <w:hideMark/>
          </w:tcPr>
          <w:p w14:paraId="1D6542BD" w14:textId="77777777" w:rsidR="00C67282" w:rsidRPr="00C67282" w:rsidRDefault="00C67282" w:rsidP="00C67282">
            <w:pPr>
              <w:rPr>
                <w:rFonts w:eastAsia="Times New Roman" w:cs="Times New Roman"/>
                <w:b/>
                <w:bCs/>
                <w:spacing w:val="-2"/>
                <w:sz w:val="21"/>
                <w:szCs w:val="21"/>
                <w:lang w:val="en-GB" w:eastAsia="en-GB"/>
              </w:rPr>
            </w:pPr>
            <w:r w:rsidRPr="00C67282">
              <w:rPr>
                <w:rFonts w:eastAsia="Times New Roman" w:cs="Times New Roman"/>
                <w:b/>
                <w:bCs/>
                <w:spacing w:val="-2"/>
                <w:sz w:val="21"/>
                <w:szCs w:val="21"/>
                <w:lang w:val="en-GB" w:eastAsia="en-GB"/>
              </w:rPr>
              <w:t>Income Source</w:t>
            </w:r>
          </w:p>
        </w:tc>
        <w:tc>
          <w:tcPr>
            <w:tcW w:w="0" w:type="auto"/>
            <w:tcBorders>
              <w:top w:val="single" w:sz="6" w:space="0" w:color="E5E7EB"/>
              <w:left w:val="single" w:sz="6" w:space="0" w:color="E5E7EB"/>
              <w:bottom w:val="single" w:sz="6" w:space="0" w:color="E5E7EB"/>
              <w:right w:val="single" w:sz="6" w:space="0" w:color="E5E7EB"/>
            </w:tcBorders>
            <w:vAlign w:val="bottom"/>
            <w:hideMark/>
          </w:tcPr>
          <w:p w14:paraId="50BE0202" w14:textId="77777777" w:rsidR="00C67282" w:rsidRPr="00C67282" w:rsidRDefault="00C67282" w:rsidP="00C67282">
            <w:pPr>
              <w:rPr>
                <w:rFonts w:eastAsia="Times New Roman" w:cs="Times New Roman"/>
                <w:b/>
                <w:bCs/>
                <w:spacing w:val="-2"/>
                <w:sz w:val="21"/>
                <w:szCs w:val="21"/>
                <w:lang w:val="en-GB" w:eastAsia="en-GB"/>
              </w:rPr>
            </w:pPr>
            <w:r w:rsidRPr="00C67282">
              <w:rPr>
                <w:rFonts w:eastAsia="Times New Roman" w:cs="Times New Roman"/>
                <w:b/>
                <w:bCs/>
                <w:spacing w:val="-2"/>
                <w:sz w:val="21"/>
                <w:szCs w:val="21"/>
                <w:lang w:val="en-GB" w:eastAsia="en-GB"/>
              </w:rPr>
              <w:t>Amount (£)</w:t>
            </w:r>
          </w:p>
        </w:tc>
      </w:tr>
      <w:tr w:rsidR="00C67282" w:rsidRPr="00C67282" w14:paraId="01158880"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0F19D6A0"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Delegate fees (500 attendees)</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6D4B695A"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£100,000</w:t>
            </w:r>
          </w:p>
        </w:tc>
      </w:tr>
      <w:tr w:rsidR="00C67282" w:rsidRPr="00C67282" w14:paraId="1C98EBDC"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32225212"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Sponsorship</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69B33F86"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£25,000</w:t>
            </w:r>
          </w:p>
        </w:tc>
      </w:tr>
      <w:tr w:rsidR="00C67282" w:rsidRPr="00C67282" w14:paraId="33E38F6B"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319D0F92"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Eco-exhibition</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716B13CD"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£10,000</w:t>
            </w:r>
          </w:p>
        </w:tc>
      </w:tr>
      <w:tr w:rsidR="00C67282" w:rsidRPr="00C67282" w14:paraId="76D259C2" w14:textId="77777777" w:rsidTr="00C67282">
        <w:trPr>
          <w:tblCellSpacing w:w="15" w:type="dxa"/>
        </w:trPr>
        <w:tc>
          <w:tcPr>
            <w:tcW w:w="0" w:type="auto"/>
            <w:tcBorders>
              <w:top w:val="single" w:sz="2" w:space="0" w:color="E5E7EB"/>
              <w:left w:val="single" w:sz="6" w:space="0" w:color="E5E7EB"/>
              <w:bottom w:val="single" w:sz="6" w:space="0" w:color="E5E7EB"/>
              <w:right w:val="single" w:sz="2" w:space="0" w:color="E5E7EB"/>
            </w:tcBorders>
            <w:vAlign w:val="bottom"/>
            <w:hideMark/>
          </w:tcPr>
          <w:p w14:paraId="3C01BDBC"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Program advertising</w:t>
            </w:r>
          </w:p>
        </w:tc>
        <w:tc>
          <w:tcPr>
            <w:tcW w:w="0" w:type="auto"/>
            <w:tcBorders>
              <w:top w:val="single" w:sz="2" w:space="0" w:color="E5E7EB"/>
              <w:left w:val="single" w:sz="6" w:space="0" w:color="E5E7EB"/>
              <w:bottom w:val="single" w:sz="6" w:space="0" w:color="E5E7EB"/>
              <w:right w:val="single" w:sz="6" w:space="0" w:color="E5E7EB"/>
            </w:tcBorders>
            <w:vAlign w:val="bottom"/>
            <w:hideMark/>
          </w:tcPr>
          <w:p w14:paraId="29D8A22D" w14:textId="77777777" w:rsidR="00C67282" w:rsidRPr="00C67282" w:rsidRDefault="00C67282" w:rsidP="00C67282">
            <w:pPr>
              <w:rPr>
                <w:rFonts w:eastAsia="Times New Roman" w:cs="Times New Roman"/>
                <w:spacing w:val="-2"/>
                <w:sz w:val="21"/>
                <w:szCs w:val="21"/>
                <w:lang w:val="en-GB" w:eastAsia="en-GB"/>
              </w:rPr>
            </w:pPr>
            <w:r w:rsidRPr="00C67282">
              <w:rPr>
                <w:rFonts w:eastAsia="Times New Roman" w:cs="Times New Roman"/>
                <w:spacing w:val="-2"/>
                <w:sz w:val="21"/>
                <w:szCs w:val="21"/>
                <w:lang w:val="en-GB" w:eastAsia="en-GB"/>
              </w:rPr>
              <w:t>£10,000</w:t>
            </w:r>
          </w:p>
        </w:tc>
      </w:tr>
    </w:tbl>
    <w:p w14:paraId="7ECA5744" w14:textId="77777777" w:rsidR="00C67282" w:rsidRPr="00C67282" w:rsidRDefault="00C67282" w:rsidP="00C67282">
      <w:pPr>
        <w:rPr>
          <w:rFonts w:eastAsia="Times New Roman" w:cs="Times New Roman"/>
          <w:spacing w:val="-2"/>
          <w:szCs w:val="24"/>
          <w:lang w:val="en-GB" w:eastAsia="en-GB"/>
        </w:rPr>
      </w:pPr>
      <w:r w:rsidRPr="00C67282">
        <w:rPr>
          <w:rFonts w:eastAsia="Times New Roman" w:cs="Times New Roman"/>
          <w:spacing w:val="-2"/>
          <w:szCs w:val="24"/>
          <w:lang w:val="en-GB" w:eastAsia="en-GB"/>
        </w:rPr>
        <w:t>Total Income: £145,000</w:t>
      </w:r>
    </w:p>
    <w:p w14:paraId="558EDA81" w14:textId="44EEAC55" w:rsidR="00C67282" w:rsidRPr="008928AC" w:rsidRDefault="00C67282" w:rsidP="008928AC">
      <w:pPr>
        <w:rPr>
          <w:rFonts w:eastAsia="Times New Roman" w:cs="Times New Roman"/>
          <w:spacing w:val="-2"/>
          <w:szCs w:val="24"/>
          <w:lang w:val="en-GB" w:eastAsia="en-GB"/>
        </w:rPr>
      </w:pPr>
      <w:r w:rsidRPr="00C67282">
        <w:rPr>
          <w:rFonts w:eastAsia="Times New Roman" w:cs="Times New Roman"/>
          <w:spacing w:val="-2"/>
          <w:szCs w:val="24"/>
          <w:lang w:val="en-GB" w:eastAsia="en-GB"/>
        </w:rPr>
        <w:t>Projected Surplus: £5,000</w:t>
      </w:r>
    </w:p>
    <w:p w14:paraId="51B7EE53" w14:textId="77777777" w:rsidR="008928AC" w:rsidRPr="008928AC" w:rsidRDefault="008928AC" w:rsidP="008928AC">
      <w:pPr>
        <w:rPr>
          <w:lang w:val="en-GB"/>
        </w:rPr>
      </w:pPr>
      <w:r w:rsidRPr="008928AC">
        <w:rPr>
          <w:lang w:val="en-GB"/>
        </w:rPr>
        <w:t>Key income sources are delegate fees, estimated at £100,000 based on 500 paying attendees. Sponsorship of £25,000 will be secured from partners aligned with sustainability. Additional income streams include the eco-exhibition (£10,000) and program advertising (£10,000).</w:t>
      </w:r>
    </w:p>
    <w:p w14:paraId="183ED580" w14:textId="77777777" w:rsidR="008928AC" w:rsidRPr="008928AC" w:rsidRDefault="008928AC" w:rsidP="008928AC">
      <w:pPr>
        <w:rPr>
          <w:lang w:val="en-GB"/>
        </w:rPr>
      </w:pPr>
      <w:r w:rsidRPr="008928AC">
        <w:rPr>
          <w:lang w:val="en-GB"/>
        </w:rPr>
        <w:t>Venue, catering and logistics costs are fixed overheads. Savings could be made on staffing and production through volunteer support and digital materials. The surplus will provide a buffer for unforeseen costs.</w:t>
      </w:r>
    </w:p>
    <w:p w14:paraId="3D913FD4" w14:textId="12B7C53A" w:rsidR="008928AC" w:rsidRPr="008928AC" w:rsidRDefault="008928AC" w:rsidP="008928AC">
      <w:pPr>
        <w:rPr>
          <w:lang w:val="en-GB"/>
        </w:rPr>
      </w:pPr>
      <w:r w:rsidRPr="008928AC">
        <w:rPr>
          <w:lang w:val="en-GB"/>
        </w:rPr>
        <w:t>Delegates will pay a competitive fee to cover event costs while keeping the conference affordable. Sponsorship boosts revenue while increasing marketing reach through partner channels</w:t>
      </w:r>
      <w:r w:rsidR="007D7766">
        <w:rPr>
          <w:lang w:val="en-GB"/>
        </w:rPr>
        <w:t xml:space="preserve"> </w:t>
      </w:r>
      <w:r w:rsidR="007D7766">
        <w:t>(Organization, 2016)</w:t>
      </w:r>
      <w:r w:rsidRPr="008928AC">
        <w:rPr>
          <w:lang w:val="en-GB"/>
        </w:rPr>
        <w:t>. The exhibition and advertising provide additional income without burdening delegates.</w:t>
      </w:r>
    </w:p>
    <w:p w14:paraId="3D2B733F" w14:textId="4AA7803B" w:rsidR="00703878" w:rsidRPr="00703878" w:rsidRDefault="008928AC" w:rsidP="00703878">
      <w:pPr>
        <w:rPr>
          <w:lang w:val="en-GB"/>
        </w:rPr>
      </w:pPr>
      <w:r w:rsidRPr="008928AC">
        <w:rPr>
          <w:lang w:val="en-GB"/>
        </w:rPr>
        <w:t>Careful budget management, clear financial reporting, cutting unnecessary costs and exploring diverse income streams will enable the event to achieve its purpose while remaining financially viable. This overview provides confidence in the budget planning process</w:t>
      </w:r>
      <w:r w:rsidR="007D7766">
        <w:rPr>
          <w:lang w:val="en-GB"/>
        </w:rPr>
        <w:t xml:space="preserve"> </w:t>
      </w:r>
      <w:r w:rsidR="007D7766">
        <w:t>(Chen et al., 2015)</w:t>
      </w:r>
      <w:r w:rsidRPr="008928AC">
        <w:rPr>
          <w:lang w:val="en-GB"/>
        </w:rPr>
        <w:t>.</w:t>
      </w:r>
    </w:p>
    <w:p w14:paraId="063D3B95" w14:textId="77777777" w:rsidR="00E931BF" w:rsidRDefault="00E931BF">
      <w:pPr>
        <w:spacing w:after="160" w:line="259" w:lineRule="auto"/>
        <w:jc w:val="left"/>
        <w:rPr>
          <w:b/>
          <w:color w:val="44546A" w:themeColor="text2"/>
          <w:sz w:val="32"/>
          <w:szCs w:val="40"/>
          <w:lang w:val="en-GB"/>
        </w:rPr>
      </w:pPr>
      <w:r>
        <w:rPr>
          <w:lang w:val="en-GB"/>
        </w:rPr>
        <w:br w:type="page"/>
      </w:r>
    </w:p>
    <w:p w14:paraId="58941013" w14:textId="68E076DF" w:rsidR="00703878" w:rsidRPr="00703878" w:rsidRDefault="00703878" w:rsidP="00703878">
      <w:pPr>
        <w:pStyle w:val="Heading1"/>
        <w:rPr>
          <w:lang w:val="en-GB"/>
        </w:rPr>
      </w:pPr>
      <w:bookmarkStart w:id="6" w:name="_Toc157206494"/>
      <w:r w:rsidRPr="00703878">
        <w:rPr>
          <w:lang w:val="en-GB"/>
        </w:rPr>
        <w:lastRenderedPageBreak/>
        <w:t>Industry Trends/Impacts</w:t>
      </w:r>
      <w:bookmarkEnd w:id="6"/>
      <w:r w:rsidRPr="00703878">
        <w:rPr>
          <w:lang w:val="en-GB"/>
        </w:rPr>
        <w:t xml:space="preserve"> </w:t>
      </w:r>
    </w:p>
    <w:p w14:paraId="0571E0D5" w14:textId="77777777" w:rsidR="008928AC" w:rsidRPr="008928AC" w:rsidRDefault="008928AC" w:rsidP="008928AC">
      <w:pPr>
        <w:rPr>
          <w:lang w:val="en-GB"/>
        </w:rPr>
      </w:pPr>
      <w:r w:rsidRPr="008928AC">
        <w:rPr>
          <w:lang w:val="en-GB"/>
        </w:rPr>
        <w:t>Several current trends in the events, tourism and hospitality industries impact the planning and delivery of the sustainability conference.</w:t>
      </w:r>
    </w:p>
    <w:p w14:paraId="7CCAF5DC" w14:textId="31D3E9CB" w:rsidR="008928AC" w:rsidRPr="008928AC" w:rsidRDefault="008928AC" w:rsidP="008928AC">
      <w:pPr>
        <w:rPr>
          <w:lang w:val="en-GB"/>
        </w:rPr>
      </w:pPr>
      <w:r w:rsidRPr="008928AC">
        <w:rPr>
          <w:lang w:val="en-GB"/>
        </w:rPr>
        <w:t>Reducing environmental footprints has become a major priority, with more organisations pursuing sustainability certifications, carbon measurement, and waste minimisation</w:t>
      </w:r>
      <w:r w:rsidR="007D7766">
        <w:rPr>
          <w:lang w:val="en-GB"/>
        </w:rPr>
        <w:t xml:space="preserve"> </w:t>
      </w:r>
      <w:r w:rsidR="007D7766">
        <w:t xml:space="preserve">(Holden, </w:t>
      </w:r>
      <w:proofErr w:type="spellStart"/>
      <w:r w:rsidR="007D7766">
        <w:t>Linnerud</w:t>
      </w:r>
      <w:proofErr w:type="spellEnd"/>
      <w:r w:rsidR="007D7766">
        <w:t xml:space="preserve"> and Banister, 2016a)</w:t>
      </w:r>
      <w:r w:rsidRPr="008928AC">
        <w:rPr>
          <w:lang w:val="en-GB"/>
        </w:rPr>
        <w:t>. This supports the event's green focus. Hybrid events are also increasing, enabling remote attendees to join virtually</w:t>
      </w:r>
      <w:r w:rsidR="007D7766">
        <w:rPr>
          <w:lang w:val="en-GB"/>
        </w:rPr>
        <w:t xml:space="preserve"> </w:t>
      </w:r>
      <w:r w:rsidR="007D7766">
        <w:t>(</w:t>
      </w:r>
      <w:proofErr w:type="spellStart"/>
      <w:r w:rsidR="007D7766">
        <w:t>Colglazier</w:t>
      </w:r>
      <w:proofErr w:type="spellEnd"/>
      <w:r w:rsidR="007D7766">
        <w:t>, 2015)</w:t>
      </w:r>
      <w:r w:rsidRPr="008928AC">
        <w:rPr>
          <w:lang w:val="en-GB"/>
        </w:rPr>
        <w:t>. A hybrid format could widen participation and carbon impacts, aligning with the theme.</w:t>
      </w:r>
    </w:p>
    <w:p w14:paraId="1146F8C1" w14:textId="43DD377C" w:rsidR="008928AC" w:rsidRPr="008928AC" w:rsidRDefault="008928AC" w:rsidP="008928AC">
      <w:pPr>
        <w:rPr>
          <w:lang w:val="en-GB"/>
        </w:rPr>
      </w:pPr>
      <w:r w:rsidRPr="008928AC">
        <w:rPr>
          <w:lang w:val="en-GB"/>
        </w:rPr>
        <w:t xml:space="preserve">Health and safety concerns continue to rise after COVID-19. Robust protocols will be necessary to prevent infection transmission and avoid </w:t>
      </w:r>
      <w:proofErr w:type="spellStart"/>
      <w:r w:rsidRPr="008928AC">
        <w:rPr>
          <w:lang w:val="en-GB"/>
        </w:rPr>
        <w:t>reputational</w:t>
      </w:r>
      <w:proofErr w:type="spellEnd"/>
      <w:r w:rsidRPr="008928AC">
        <w:rPr>
          <w:lang w:val="en-GB"/>
        </w:rPr>
        <w:t xml:space="preserve"> risks</w:t>
      </w:r>
      <w:r w:rsidR="007D7766">
        <w:rPr>
          <w:lang w:val="en-GB"/>
        </w:rPr>
        <w:t xml:space="preserve"> </w:t>
      </w:r>
      <w:r w:rsidR="007D7766">
        <w:t>(O’Toole, 2010)</w:t>
      </w:r>
      <w:r w:rsidRPr="008928AC">
        <w:rPr>
          <w:lang w:val="en-GB"/>
        </w:rPr>
        <w:t>. Virtual and hybrid elements provide options if in-person attendance is impacted.</w:t>
      </w:r>
    </w:p>
    <w:p w14:paraId="6AC1B317" w14:textId="31513901" w:rsidR="008928AC" w:rsidRPr="008928AC" w:rsidRDefault="008928AC" w:rsidP="008928AC">
      <w:pPr>
        <w:rPr>
          <w:lang w:val="en-GB"/>
        </w:rPr>
      </w:pPr>
      <w:r w:rsidRPr="008928AC">
        <w:rPr>
          <w:lang w:val="en-GB"/>
        </w:rPr>
        <w:t>Diversity and inclusion are now higher on the agenda. The program, speakers and marketing should represent diverse voices reflecting wider social priorities. Accessibility, family-friendly policies and inclusive cultures must be integrated throughout.</w:t>
      </w:r>
    </w:p>
    <w:p w14:paraId="2400754A" w14:textId="2E4DF33D" w:rsidR="008928AC" w:rsidRDefault="008928AC" w:rsidP="008928AC">
      <w:pPr>
        <w:rPr>
          <w:lang w:val="en-GB"/>
        </w:rPr>
      </w:pPr>
      <w:r w:rsidRPr="008928AC">
        <w:rPr>
          <w:lang w:val="en-GB"/>
        </w:rPr>
        <w:t>Tracking the latest industry developments will allow the sustainability event to mirror important shifts like environmentalism, digital engagement, health/safety and inclusion</w:t>
      </w:r>
      <w:r w:rsidR="007D7766">
        <w:rPr>
          <w:lang w:val="en-GB"/>
        </w:rPr>
        <w:t xml:space="preserve"> </w:t>
      </w:r>
      <w:r w:rsidR="007D7766">
        <w:t>(Malik, 2018)</w:t>
      </w:r>
      <w:r w:rsidRPr="008928AC">
        <w:rPr>
          <w:lang w:val="en-GB"/>
        </w:rPr>
        <w:t>. This ensures the conference stays relevant to attendee needs and interests while upholding its core purpose. Adapting to trends strengthens competitive positioning.</w:t>
      </w:r>
    </w:p>
    <w:p w14:paraId="64E248A1" w14:textId="3D51CA10" w:rsidR="006442CF" w:rsidRPr="006442CF" w:rsidRDefault="006442CF" w:rsidP="006442CF">
      <w:pPr>
        <w:rPr>
          <w:lang w:val="en-GB"/>
        </w:rPr>
      </w:pPr>
      <w:r w:rsidRPr="006442CF">
        <w:rPr>
          <w:lang w:val="en-GB"/>
        </w:rPr>
        <w:t>Reducing environmental footprints has become integral amid climate concerns, with consumers and regulators demanding action</w:t>
      </w:r>
      <w:r w:rsidR="007D7766">
        <w:rPr>
          <w:lang w:val="en-GB"/>
        </w:rPr>
        <w:t xml:space="preserve"> </w:t>
      </w:r>
      <w:r w:rsidR="007D7766">
        <w:t>(O’Toole, 2010)</w:t>
      </w:r>
      <w:r w:rsidRPr="006442CF">
        <w:rPr>
          <w:lang w:val="en-GB"/>
        </w:rPr>
        <w:t xml:space="preserve">. Two-thirds of travellers now prefer sustainable options, leading to major investment in </w:t>
      </w:r>
      <w:proofErr w:type="spellStart"/>
      <w:r w:rsidRPr="006442CF">
        <w:rPr>
          <w:lang w:val="en-GB"/>
        </w:rPr>
        <w:t>decarbonization</w:t>
      </w:r>
      <w:proofErr w:type="spellEnd"/>
      <w:r w:rsidRPr="006442CF">
        <w:rPr>
          <w:lang w:val="en-GB"/>
        </w:rPr>
        <w:t>, renewable energy, circular resource flows, and regenerative operations focused on net positive impacts. The event must showcase genuine sustainability innovation aligned to these expectations.</w:t>
      </w:r>
    </w:p>
    <w:p w14:paraId="58092F5D" w14:textId="62E0F45C" w:rsidR="006442CF" w:rsidRPr="006442CF" w:rsidRDefault="006442CF" w:rsidP="006442CF">
      <w:pPr>
        <w:rPr>
          <w:lang w:val="en-GB"/>
        </w:rPr>
      </w:pPr>
      <w:r w:rsidRPr="006442CF">
        <w:rPr>
          <w:lang w:val="en-GB"/>
        </w:rPr>
        <w:t xml:space="preserve">Health and safety protocols remain vital in a post-pandemic landscape. Robust COVID-mitigation policies following official guidance builds trust for in-person events while hybrid engagement enables broader participation. </w:t>
      </w:r>
      <w:proofErr w:type="spellStart"/>
      <w:r w:rsidRPr="006442CF">
        <w:rPr>
          <w:lang w:val="en-GB"/>
        </w:rPr>
        <w:t>Touchless</w:t>
      </w:r>
      <w:proofErr w:type="spellEnd"/>
      <w:r w:rsidRPr="006442CF">
        <w:rPr>
          <w:lang w:val="en-GB"/>
        </w:rPr>
        <w:t xml:space="preserve"> technology simplifies onsite interactions</w:t>
      </w:r>
      <w:r w:rsidR="007D7766">
        <w:rPr>
          <w:lang w:val="en-GB"/>
        </w:rPr>
        <w:t xml:space="preserve"> </w:t>
      </w:r>
      <w:r w:rsidR="007D7766">
        <w:t>(</w:t>
      </w:r>
      <w:proofErr w:type="spellStart"/>
      <w:r w:rsidR="007D7766">
        <w:t>Emas</w:t>
      </w:r>
      <w:proofErr w:type="spellEnd"/>
      <w:r w:rsidR="007D7766">
        <w:t>, 2015)</w:t>
      </w:r>
      <w:r w:rsidRPr="006442CF">
        <w:rPr>
          <w:lang w:val="en-GB"/>
        </w:rPr>
        <w:t xml:space="preserve">. Clear communications detailing safety plans combat lingering hesitancy. Virtual content widens reach and </w:t>
      </w:r>
      <w:proofErr w:type="spellStart"/>
      <w:r w:rsidRPr="006442CF">
        <w:rPr>
          <w:lang w:val="en-GB"/>
        </w:rPr>
        <w:t>minimizes</w:t>
      </w:r>
      <w:proofErr w:type="spellEnd"/>
      <w:r w:rsidRPr="006442CF">
        <w:rPr>
          <w:lang w:val="en-GB"/>
        </w:rPr>
        <w:t xml:space="preserve"> travel emissions.</w:t>
      </w:r>
    </w:p>
    <w:p w14:paraId="736AEBAF" w14:textId="2E4B25D7" w:rsidR="006442CF" w:rsidRPr="006442CF" w:rsidRDefault="006442CF" w:rsidP="006442CF">
      <w:pPr>
        <w:rPr>
          <w:lang w:val="en-GB"/>
        </w:rPr>
      </w:pPr>
      <w:r w:rsidRPr="006442CF">
        <w:rPr>
          <w:lang w:val="en-GB"/>
        </w:rPr>
        <w:t xml:space="preserve">Diversity, equity and inclusion (DEI) gain prominence as societies and workforces diversify. Programming should elevate plural perspectives through diverse speakers on sustainability solutions tailored for women, minority communities and developing regions. Equitable </w:t>
      </w:r>
      <w:r w:rsidRPr="006442CF">
        <w:rPr>
          <w:lang w:val="en-GB"/>
        </w:rPr>
        <w:lastRenderedPageBreak/>
        <w:t>participation policies, family-friendly timings, accessible venues and inclusive cultures create a welcoming environment where all delegates feel valued while upholding the event’s purpose.</w:t>
      </w:r>
    </w:p>
    <w:p w14:paraId="67E07DCD" w14:textId="6899525B" w:rsidR="006442CF" w:rsidRPr="006442CF" w:rsidRDefault="006442CF" w:rsidP="006442CF">
      <w:pPr>
        <w:rPr>
          <w:lang w:val="en-GB"/>
        </w:rPr>
      </w:pPr>
      <w:r w:rsidRPr="006442CF">
        <w:rPr>
          <w:lang w:val="en-GB"/>
        </w:rPr>
        <w:t>Economic fluctuations and potential market volatility may impact budgets across the tourism industry. Flexible pricing, affordable rates and cost control measures boost viability. Seeking win-win sponsor partnerships shares costs</w:t>
      </w:r>
      <w:r w:rsidR="007D7766">
        <w:rPr>
          <w:lang w:val="en-GB"/>
        </w:rPr>
        <w:t xml:space="preserve"> </w:t>
      </w:r>
      <w:r w:rsidR="007D7766">
        <w:t>(Malik, 2018)</w:t>
      </w:r>
      <w:r w:rsidRPr="006442CF">
        <w:rPr>
          <w:lang w:val="en-GB"/>
        </w:rPr>
        <w:t xml:space="preserve">. Additional content </w:t>
      </w:r>
      <w:proofErr w:type="spellStart"/>
      <w:r w:rsidRPr="006442CF">
        <w:rPr>
          <w:lang w:val="en-GB"/>
        </w:rPr>
        <w:t>monetization</w:t>
      </w:r>
      <w:proofErr w:type="spellEnd"/>
      <w:r w:rsidRPr="006442CF">
        <w:rPr>
          <w:lang w:val="en-GB"/>
        </w:rPr>
        <w:t xml:space="preserve"> via streaming passes or recordings generate income while expanding reach.</w:t>
      </w:r>
    </w:p>
    <w:p w14:paraId="0D9C74E3" w14:textId="3A84138A" w:rsidR="006442CF" w:rsidRPr="008928AC" w:rsidRDefault="006442CF" w:rsidP="008928AC">
      <w:pPr>
        <w:rPr>
          <w:lang w:val="en-GB"/>
        </w:rPr>
      </w:pPr>
      <w:r w:rsidRPr="006442CF">
        <w:rPr>
          <w:lang w:val="en-GB"/>
        </w:rPr>
        <w:t xml:space="preserve">Tracking key shifts empowers agility in </w:t>
      </w:r>
      <w:proofErr w:type="spellStart"/>
      <w:r w:rsidRPr="006442CF">
        <w:rPr>
          <w:lang w:val="en-GB"/>
        </w:rPr>
        <w:t>maximizing</w:t>
      </w:r>
      <w:proofErr w:type="spellEnd"/>
      <w:r w:rsidRPr="006442CF">
        <w:rPr>
          <w:lang w:val="en-GB"/>
        </w:rPr>
        <w:t xml:space="preserve"> relevance, participation, and positive impact as a sustainability leader. Adjusting for ongoing health concerns, championing inclusion and coping with instability secures societal alignment while </w:t>
      </w:r>
      <w:proofErr w:type="spellStart"/>
      <w:r w:rsidRPr="006442CF">
        <w:rPr>
          <w:lang w:val="en-GB"/>
        </w:rPr>
        <w:t>optimizing</w:t>
      </w:r>
      <w:proofErr w:type="spellEnd"/>
      <w:r w:rsidRPr="006442CF">
        <w:rPr>
          <w:lang w:val="en-GB"/>
        </w:rPr>
        <w:t xml:space="preserve"> event outcomes</w:t>
      </w:r>
      <w:r w:rsidR="007D7766">
        <w:rPr>
          <w:lang w:val="en-GB"/>
        </w:rPr>
        <w:t xml:space="preserve"> </w:t>
      </w:r>
      <w:r w:rsidR="007D7766">
        <w:t xml:space="preserve">(Holden, </w:t>
      </w:r>
      <w:proofErr w:type="spellStart"/>
      <w:r w:rsidR="007D7766">
        <w:t>Linnerud</w:t>
      </w:r>
      <w:proofErr w:type="spellEnd"/>
      <w:r w:rsidR="007D7766">
        <w:t xml:space="preserve"> and Banister, 2016b)</w:t>
      </w:r>
      <w:r w:rsidRPr="006442CF">
        <w:rPr>
          <w:lang w:val="en-GB"/>
        </w:rPr>
        <w:t>.</w:t>
      </w:r>
    </w:p>
    <w:p w14:paraId="29110071" w14:textId="77777777" w:rsidR="00703878" w:rsidRPr="00703878" w:rsidRDefault="00703878" w:rsidP="00703878">
      <w:pPr>
        <w:rPr>
          <w:lang w:val="en-GB"/>
        </w:rPr>
      </w:pPr>
    </w:p>
    <w:p w14:paraId="367CF67C" w14:textId="77777777" w:rsidR="00E931BF" w:rsidRDefault="00E931BF">
      <w:pPr>
        <w:spacing w:after="160" w:line="259" w:lineRule="auto"/>
        <w:jc w:val="left"/>
        <w:rPr>
          <w:b/>
          <w:color w:val="44546A" w:themeColor="text2"/>
          <w:sz w:val="32"/>
          <w:szCs w:val="40"/>
          <w:lang w:val="en-GB"/>
        </w:rPr>
      </w:pPr>
      <w:r>
        <w:rPr>
          <w:lang w:val="en-GB"/>
        </w:rPr>
        <w:br w:type="page"/>
      </w:r>
    </w:p>
    <w:p w14:paraId="5CE00A4F" w14:textId="63F087C5" w:rsidR="00703878" w:rsidRPr="00703878" w:rsidRDefault="00703878" w:rsidP="00703878">
      <w:pPr>
        <w:pStyle w:val="Heading1"/>
        <w:rPr>
          <w:lang w:val="en-GB"/>
        </w:rPr>
      </w:pPr>
      <w:bookmarkStart w:id="7" w:name="_Toc157206495"/>
      <w:r w:rsidRPr="00703878">
        <w:rPr>
          <w:lang w:val="en-GB"/>
        </w:rPr>
        <w:lastRenderedPageBreak/>
        <w:t>Cultural and Situational Considerations</w:t>
      </w:r>
      <w:bookmarkEnd w:id="7"/>
      <w:r w:rsidRPr="00703878">
        <w:rPr>
          <w:lang w:val="en-GB"/>
        </w:rPr>
        <w:t xml:space="preserve"> </w:t>
      </w:r>
    </w:p>
    <w:p w14:paraId="7D87C82A" w14:textId="77777777" w:rsidR="007D7766" w:rsidRPr="007D7766" w:rsidRDefault="007D7766" w:rsidP="007D7766">
      <w:pPr>
        <w:rPr>
          <w:lang w:val="en-GB"/>
        </w:rPr>
      </w:pPr>
      <w:r w:rsidRPr="007D7766">
        <w:rPr>
          <w:lang w:val="en-GB"/>
        </w:rPr>
        <w:t>Executing a successful sustainability conference requires understanding the cultural perspectives and situational realities that shape stakeholder priorities across Europe.</w:t>
      </w:r>
    </w:p>
    <w:p w14:paraId="5D16E9B8" w14:textId="7CBCE2B6" w:rsidR="007D7766" w:rsidRPr="007D7766" w:rsidRDefault="007D7766" w:rsidP="007D7766">
      <w:pPr>
        <w:rPr>
          <w:lang w:val="en-GB"/>
        </w:rPr>
      </w:pPr>
      <w:r w:rsidRPr="007D7766">
        <w:rPr>
          <w:lang w:val="en-GB"/>
        </w:rPr>
        <w:t xml:space="preserve">As attendees join from hospitality and tourism </w:t>
      </w:r>
      <w:proofErr w:type="spellStart"/>
      <w:r w:rsidRPr="007D7766">
        <w:rPr>
          <w:lang w:val="en-GB"/>
        </w:rPr>
        <w:t>organizations</w:t>
      </w:r>
      <w:proofErr w:type="spellEnd"/>
      <w:r w:rsidRPr="007D7766">
        <w:rPr>
          <w:lang w:val="en-GB"/>
        </w:rPr>
        <w:t xml:space="preserve"> across various countries, the environmental strategies and regulations they operate under may differ substantially</w:t>
      </w:r>
      <w:r>
        <w:rPr>
          <w:lang w:val="en-GB"/>
        </w:rPr>
        <w:t xml:space="preserve"> </w:t>
      </w:r>
      <w:r>
        <w:t>(Fox et al., 2014)</w:t>
      </w:r>
      <w:r w:rsidRPr="007D7766">
        <w:rPr>
          <w:lang w:val="en-GB"/>
        </w:rPr>
        <w:t xml:space="preserve">. Northern European nations like Sweden and Denmark are sustainability front-runners, whereas Eastern European states lag on green mobility infrastructure </w:t>
      </w:r>
      <w:r>
        <w:t>(</w:t>
      </w:r>
      <w:proofErr w:type="spellStart"/>
      <w:r>
        <w:t>Klarin</w:t>
      </w:r>
      <w:proofErr w:type="spellEnd"/>
      <w:r>
        <w:t>, 2018)</w:t>
      </w:r>
      <w:r w:rsidRPr="007D7766">
        <w:rPr>
          <w:lang w:val="en-GB"/>
        </w:rPr>
        <w:t xml:space="preserve">. </w:t>
      </w:r>
      <w:proofErr w:type="spellStart"/>
      <w:r w:rsidRPr="007D7766">
        <w:rPr>
          <w:lang w:val="en-GB"/>
        </w:rPr>
        <w:t>Recognizing</w:t>
      </w:r>
      <w:proofErr w:type="spellEnd"/>
      <w:r w:rsidRPr="007D7766">
        <w:rPr>
          <w:lang w:val="en-GB"/>
        </w:rPr>
        <w:t xml:space="preserve"> these variances allows the program to bridge knowledge gaps through beginner and advanced sessions while respecting regional contexts in framing sustainable best practices.</w:t>
      </w:r>
    </w:p>
    <w:p w14:paraId="5311186D" w14:textId="146D8F82" w:rsidR="007D7766" w:rsidRPr="007D7766" w:rsidRDefault="007D7766" w:rsidP="007D7766">
      <w:pPr>
        <w:rPr>
          <w:lang w:val="en-GB"/>
        </w:rPr>
      </w:pPr>
      <w:r w:rsidRPr="007D7766">
        <w:rPr>
          <w:lang w:val="en-GB"/>
        </w:rPr>
        <w:t xml:space="preserve">Economic instability and inflationary pressures strain tourism sector budgets </w:t>
      </w:r>
      <w:r>
        <w:t>(Fu et al., 2019)</w:t>
      </w:r>
      <w:r w:rsidRPr="007D7766">
        <w:rPr>
          <w:lang w:val="en-GB"/>
        </w:rPr>
        <w:t xml:space="preserve">. To sustain viability, registration costs must provide value for money, be priced sensitively across tiers, and allow group discounts for bulk corporate bookings. Virtual passes widen affordability to those unable to travel overseas. Sponsorships can alleviate attendee costs through </w:t>
      </w:r>
      <w:proofErr w:type="spellStart"/>
      <w:r w:rsidRPr="007D7766">
        <w:rPr>
          <w:lang w:val="en-GB"/>
        </w:rPr>
        <w:t>subsidized</w:t>
      </w:r>
      <w:proofErr w:type="spellEnd"/>
      <w:r w:rsidRPr="007D7766">
        <w:rPr>
          <w:lang w:val="en-GB"/>
        </w:rPr>
        <w:t xml:space="preserve"> delegate spots.</w:t>
      </w:r>
    </w:p>
    <w:p w14:paraId="51E2EC9B" w14:textId="281552BD" w:rsidR="007D7766" w:rsidRPr="007D7766" w:rsidRDefault="007D7766" w:rsidP="007D7766">
      <w:pPr>
        <w:rPr>
          <w:lang w:val="en-GB"/>
        </w:rPr>
      </w:pPr>
      <w:r w:rsidRPr="007D7766">
        <w:rPr>
          <w:lang w:val="en-GB"/>
        </w:rPr>
        <w:t xml:space="preserve">Accessibility, diversity and inclusion require sincere commitments, not token gestures. The event website, ticketing and registration process, venue </w:t>
      </w:r>
      <w:proofErr w:type="spellStart"/>
      <w:r w:rsidRPr="007D7766">
        <w:rPr>
          <w:lang w:val="en-GB"/>
        </w:rPr>
        <w:t>wayfinding</w:t>
      </w:r>
      <w:proofErr w:type="spellEnd"/>
      <w:r w:rsidRPr="007D7766">
        <w:rPr>
          <w:lang w:val="en-GB"/>
        </w:rPr>
        <w:t xml:space="preserve">, communications and catering must consider disability needs around vision, hearing, mobility and dietary requirements </w:t>
      </w:r>
      <w:r>
        <w:t>(</w:t>
      </w:r>
      <w:proofErr w:type="spellStart"/>
      <w:r>
        <w:t>Hák</w:t>
      </w:r>
      <w:proofErr w:type="spellEnd"/>
      <w:r>
        <w:t xml:space="preserve">, </w:t>
      </w:r>
      <w:proofErr w:type="spellStart"/>
      <w:r>
        <w:t>Janoušková</w:t>
      </w:r>
      <w:proofErr w:type="spellEnd"/>
      <w:r>
        <w:t xml:space="preserve"> and </w:t>
      </w:r>
      <w:proofErr w:type="spellStart"/>
      <w:r>
        <w:t>Moldan</w:t>
      </w:r>
      <w:proofErr w:type="spellEnd"/>
      <w:r>
        <w:t>, 2016)</w:t>
      </w:r>
      <w:r w:rsidRPr="007D7766">
        <w:rPr>
          <w:lang w:val="en-GB"/>
        </w:rPr>
        <w:t>. Session content should spotlight sustainability solutions for women and minority groups while seating arrangements facilitate networking across seniority levels.</w:t>
      </w:r>
    </w:p>
    <w:p w14:paraId="099BDC71" w14:textId="13A999A0" w:rsidR="007D7766" w:rsidRPr="007D7766" w:rsidRDefault="007D7766" w:rsidP="007D7766">
      <w:pPr>
        <w:rPr>
          <w:lang w:val="en-GB"/>
        </w:rPr>
      </w:pPr>
      <w:proofErr w:type="spellStart"/>
      <w:r w:rsidRPr="007D7766">
        <w:rPr>
          <w:lang w:val="en-GB"/>
        </w:rPr>
        <w:t>Centering</w:t>
      </w:r>
      <w:proofErr w:type="spellEnd"/>
      <w:r w:rsidRPr="007D7766">
        <w:rPr>
          <w:lang w:val="en-GB"/>
        </w:rPr>
        <w:t xml:space="preserve"> cultural awareness and situational empathy fosters an impactful, inclusive event. Insisting on accessibility and representational diversity within programming demonstrates the human dimensions of sustainability</w:t>
      </w:r>
      <w:r>
        <w:rPr>
          <w:lang w:val="en-GB"/>
        </w:rPr>
        <w:t xml:space="preserve"> </w:t>
      </w:r>
      <w:r>
        <w:t>(</w:t>
      </w:r>
      <w:proofErr w:type="spellStart"/>
      <w:r>
        <w:t>Hák</w:t>
      </w:r>
      <w:proofErr w:type="spellEnd"/>
      <w:r>
        <w:t xml:space="preserve">, </w:t>
      </w:r>
      <w:proofErr w:type="spellStart"/>
      <w:r>
        <w:t>Janoušková</w:t>
      </w:r>
      <w:proofErr w:type="spellEnd"/>
      <w:r>
        <w:t xml:space="preserve"> and </w:t>
      </w:r>
      <w:proofErr w:type="spellStart"/>
      <w:r>
        <w:t>Moldan</w:t>
      </w:r>
      <w:proofErr w:type="spellEnd"/>
      <w:r>
        <w:t>, 2016)</w:t>
      </w:r>
      <w:r w:rsidRPr="007D7766">
        <w:rPr>
          <w:lang w:val="en-GB"/>
        </w:rPr>
        <w:t>. Adjusting for economic hardship upholds equitable access to earth-saving ideas precisely when they are most essential.</w:t>
      </w:r>
    </w:p>
    <w:p w14:paraId="369A2618" w14:textId="51D7F3C5" w:rsidR="007D7766" w:rsidRDefault="007D7766">
      <w:pPr>
        <w:spacing w:after="160" w:line="259" w:lineRule="auto"/>
        <w:jc w:val="left"/>
      </w:pPr>
      <w:r>
        <w:br w:type="page"/>
      </w:r>
    </w:p>
    <w:p w14:paraId="3EDF7F7C" w14:textId="77777777" w:rsidR="007D7766" w:rsidRDefault="007D7766" w:rsidP="007D7766">
      <w:pPr>
        <w:pStyle w:val="Heading1"/>
        <w:spacing w:before="0" w:after="240"/>
        <w:rPr>
          <w:rFonts w:cs="Times New Roman"/>
          <w:sz w:val="36"/>
          <w:szCs w:val="36"/>
          <w:lang w:val="en-GB"/>
        </w:rPr>
      </w:pPr>
      <w:bookmarkStart w:id="8" w:name="_Toc157206496"/>
      <w:r>
        <w:rPr>
          <w:sz w:val="36"/>
          <w:szCs w:val="36"/>
        </w:rPr>
        <w:lastRenderedPageBreak/>
        <w:t>Reference list</w:t>
      </w:r>
      <w:bookmarkEnd w:id="8"/>
    </w:p>
    <w:p w14:paraId="1F2A9CAE" w14:textId="77777777" w:rsidR="007D7766" w:rsidRDefault="007D7766" w:rsidP="007D7766">
      <w:pPr>
        <w:pStyle w:val="NormalWeb"/>
        <w:spacing w:before="0" w:beforeAutospacing="0" w:after="240" w:afterAutospacing="0" w:line="360" w:lineRule="auto"/>
        <w:jc w:val="both"/>
      </w:pPr>
      <w:r>
        <w:t xml:space="preserve">Baker, S. (2015). </w:t>
      </w:r>
      <w:r>
        <w:rPr>
          <w:i/>
          <w:iCs/>
        </w:rPr>
        <w:t>Sustainable Development</w:t>
      </w:r>
      <w:r>
        <w:t xml:space="preserve">. [online] </w:t>
      </w:r>
      <w:r>
        <w:rPr>
          <w:i/>
          <w:iCs/>
        </w:rPr>
        <w:t>Google Books</w:t>
      </w:r>
      <w:r>
        <w:t xml:space="preserve">. </w:t>
      </w:r>
      <w:proofErr w:type="spellStart"/>
      <w:r>
        <w:t>Routledge</w:t>
      </w:r>
      <w:proofErr w:type="spellEnd"/>
      <w:r>
        <w:t>. Available at: https://books.google.com/books?hl=en&amp;lr=&amp;id=vMJzCgAAQBAJ&amp;oi=fnd&amp;pg=PP1&amp;dq=sustainable+development&amp;ots=VnYlgU44Gd&amp;sig=BnLLL3XVCWBp4y2AYUF4KEIsv-g [Accessed 26 Jan. 2024].</w:t>
      </w:r>
    </w:p>
    <w:p w14:paraId="40C97084" w14:textId="77777777" w:rsidR="007D7766" w:rsidRDefault="007D7766" w:rsidP="007D7766">
      <w:pPr>
        <w:pStyle w:val="NormalWeb"/>
        <w:spacing w:before="0" w:beforeAutospacing="0" w:after="240" w:afterAutospacing="0" w:line="360" w:lineRule="auto"/>
        <w:jc w:val="both"/>
      </w:pPr>
      <w:proofErr w:type="spellStart"/>
      <w:r>
        <w:t>Broman</w:t>
      </w:r>
      <w:proofErr w:type="spellEnd"/>
      <w:r>
        <w:t xml:space="preserve">, G.I. and </w:t>
      </w:r>
      <w:proofErr w:type="spellStart"/>
      <w:r>
        <w:t>Robèrt</w:t>
      </w:r>
      <w:proofErr w:type="spellEnd"/>
      <w:r>
        <w:t xml:space="preserve">, K.-H. (2017). A framework for strategic sustainable development. </w:t>
      </w:r>
      <w:r>
        <w:rPr>
          <w:i/>
          <w:iCs/>
        </w:rPr>
        <w:t>Journal of Cleaner Production</w:t>
      </w:r>
      <w:r>
        <w:t xml:space="preserve">, 140(1), pp.17–31. </w:t>
      </w:r>
      <w:proofErr w:type="spellStart"/>
      <w:r>
        <w:t>doi:https</w:t>
      </w:r>
      <w:proofErr w:type="spellEnd"/>
      <w:r>
        <w:t>://doi.org/10.1016/j.jclepro.2015.10.121.</w:t>
      </w:r>
    </w:p>
    <w:p w14:paraId="0AEE3F5D" w14:textId="77777777" w:rsidR="007D7766" w:rsidRDefault="007D7766" w:rsidP="007D7766">
      <w:pPr>
        <w:pStyle w:val="NormalWeb"/>
        <w:spacing w:before="0" w:beforeAutospacing="0" w:after="240" w:afterAutospacing="0" w:line="360" w:lineRule="auto"/>
        <w:jc w:val="both"/>
      </w:pPr>
      <w:r>
        <w:t xml:space="preserve">Chen, Y., Li, L., Chen, D. and Sachs, J. (2015). How Do Different Elderly-care Patterns Affect Subjective Well-being of Elderly People in Rural China? Case of Shandong Province Achieving the Sustainable Development Goals. </w:t>
      </w:r>
      <w:r>
        <w:rPr>
          <w:i/>
          <w:iCs/>
        </w:rPr>
        <w:t>Journal of International Business Ethics</w:t>
      </w:r>
      <w:r>
        <w:t>, [online] 8(2). Available at: http://www.cibe.org.cn/uploadfile/2016/2016_04_14_11193686.pdf#page=53.</w:t>
      </w:r>
    </w:p>
    <w:p w14:paraId="71018A3B" w14:textId="77777777" w:rsidR="007D7766" w:rsidRDefault="007D7766" w:rsidP="007D7766">
      <w:pPr>
        <w:pStyle w:val="NormalWeb"/>
        <w:spacing w:before="0" w:beforeAutospacing="0" w:after="240" w:afterAutospacing="0" w:line="360" w:lineRule="auto"/>
        <w:jc w:val="both"/>
      </w:pPr>
      <w:proofErr w:type="spellStart"/>
      <w:r>
        <w:t>Colglazier</w:t>
      </w:r>
      <w:proofErr w:type="spellEnd"/>
      <w:r>
        <w:t xml:space="preserve">, W. (2015). Sustainable development agenda: 2030. </w:t>
      </w:r>
      <w:r>
        <w:rPr>
          <w:i/>
          <w:iCs/>
        </w:rPr>
        <w:t>Science</w:t>
      </w:r>
      <w:r>
        <w:t xml:space="preserve">, 349(6252), pp.1048–1050. </w:t>
      </w:r>
      <w:proofErr w:type="spellStart"/>
      <w:r>
        <w:t>doi:https</w:t>
      </w:r>
      <w:proofErr w:type="spellEnd"/>
      <w:r>
        <w:t>://doi.org/10.1126/science.aad2333.</w:t>
      </w:r>
    </w:p>
    <w:p w14:paraId="6320E328" w14:textId="77777777" w:rsidR="007D7766" w:rsidRDefault="007D7766" w:rsidP="007D7766">
      <w:pPr>
        <w:pStyle w:val="NormalWeb"/>
        <w:spacing w:before="0" w:beforeAutospacing="0" w:after="240" w:afterAutospacing="0" w:line="360" w:lineRule="auto"/>
        <w:jc w:val="both"/>
      </w:pPr>
      <w:proofErr w:type="spellStart"/>
      <w:r>
        <w:t>Emas</w:t>
      </w:r>
      <w:proofErr w:type="spellEnd"/>
      <w:r>
        <w:t xml:space="preserve">, R. (2015). </w:t>
      </w:r>
      <w:r>
        <w:rPr>
          <w:i/>
          <w:iCs/>
        </w:rPr>
        <w:t>The Concept of Sustainable Development: Definition and Defining Principles</w:t>
      </w:r>
      <w:r>
        <w:t>. [online] Available at: https://sdgs.un.org/sites/default/files/documents/5839GSDR%25202015_SD_concept_definiton_rev.pdf.</w:t>
      </w:r>
    </w:p>
    <w:p w14:paraId="7FB75AC1" w14:textId="77777777" w:rsidR="007D7766" w:rsidRDefault="007D7766" w:rsidP="007D7766">
      <w:pPr>
        <w:pStyle w:val="NormalWeb"/>
        <w:spacing w:before="0" w:beforeAutospacing="0" w:after="240" w:afterAutospacing="0" w:line="360" w:lineRule="auto"/>
        <w:jc w:val="both"/>
      </w:pPr>
      <w:r>
        <w:t xml:space="preserve">Fox, D., </w:t>
      </w:r>
      <w:proofErr w:type="spellStart"/>
      <w:r>
        <w:t>Gouthro</w:t>
      </w:r>
      <w:proofErr w:type="spellEnd"/>
      <w:r>
        <w:t xml:space="preserve">, M.B., </w:t>
      </w:r>
      <w:proofErr w:type="spellStart"/>
      <w:r>
        <w:t>Morakabati</w:t>
      </w:r>
      <w:proofErr w:type="spellEnd"/>
      <w:r>
        <w:t xml:space="preserve">, Y. and </w:t>
      </w:r>
      <w:proofErr w:type="spellStart"/>
      <w:r>
        <w:t>Brackstone</w:t>
      </w:r>
      <w:proofErr w:type="spellEnd"/>
      <w:r>
        <w:t xml:space="preserve">, J. (2014). </w:t>
      </w:r>
      <w:r>
        <w:rPr>
          <w:i/>
          <w:iCs/>
        </w:rPr>
        <w:t>Doing Events Research: From Theory to Practice</w:t>
      </w:r>
      <w:r>
        <w:t xml:space="preserve">. [online] </w:t>
      </w:r>
      <w:r>
        <w:rPr>
          <w:i/>
          <w:iCs/>
        </w:rPr>
        <w:t>Google Books</w:t>
      </w:r>
      <w:r>
        <w:t xml:space="preserve">. </w:t>
      </w:r>
      <w:proofErr w:type="spellStart"/>
      <w:r>
        <w:t>Routledge</w:t>
      </w:r>
      <w:proofErr w:type="spellEnd"/>
      <w:r>
        <w:t>. Available at: https://books.google.com/books?hl=en&amp;lr=&amp;id=JDVEAwAAQBAJ&amp;oi=fnd&amp;pg=PP1&amp;dq=Fox.</w:t>
      </w:r>
    </w:p>
    <w:p w14:paraId="3821AD87" w14:textId="77777777" w:rsidR="007D7766" w:rsidRDefault="007D7766" w:rsidP="007D7766">
      <w:pPr>
        <w:pStyle w:val="NormalWeb"/>
        <w:spacing w:before="0" w:beforeAutospacing="0" w:after="240" w:afterAutospacing="0" w:line="360" w:lineRule="auto"/>
        <w:jc w:val="both"/>
      </w:pPr>
      <w:r>
        <w:t xml:space="preserve">Fu, B., Wang, S., Zhang, J., </w:t>
      </w:r>
      <w:proofErr w:type="spellStart"/>
      <w:r>
        <w:t>Hou</w:t>
      </w:r>
      <w:proofErr w:type="spellEnd"/>
      <w:r>
        <w:t xml:space="preserve">, Z. and Li, J. (2019). Unravelling the Complexity in Achieving the 17 Sustainable Development Goals. </w:t>
      </w:r>
      <w:r>
        <w:rPr>
          <w:i/>
          <w:iCs/>
        </w:rPr>
        <w:t>National Science Review</w:t>
      </w:r>
      <w:r>
        <w:t xml:space="preserve">, 6(3). </w:t>
      </w:r>
      <w:proofErr w:type="spellStart"/>
      <w:r>
        <w:t>doi:https</w:t>
      </w:r>
      <w:proofErr w:type="spellEnd"/>
      <w:r>
        <w:t>://doi.org/10.1093/nsr/nwz038.</w:t>
      </w:r>
    </w:p>
    <w:p w14:paraId="7F0AE0FE" w14:textId="77777777" w:rsidR="007D7766" w:rsidRDefault="007D7766" w:rsidP="007D7766">
      <w:pPr>
        <w:pStyle w:val="NormalWeb"/>
        <w:spacing w:before="0" w:beforeAutospacing="0" w:after="240" w:afterAutospacing="0" w:line="360" w:lineRule="auto"/>
        <w:jc w:val="both"/>
      </w:pPr>
      <w:proofErr w:type="spellStart"/>
      <w:r>
        <w:t>Hák</w:t>
      </w:r>
      <w:proofErr w:type="spellEnd"/>
      <w:r>
        <w:t xml:space="preserve">, T., </w:t>
      </w:r>
      <w:proofErr w:type="spellStart"/>
      <w:r>
        <w:t>Janoušková</w:t>
      </w:r>
      <w:proofErr w:type="spellEnd"/>
      <w:r>
        <w:t xml:space="preserve">, S. and </w:t>
      </w:r>
      <w:proofErr w:type="spellStart"/>
      <w:r>
        <w:t>Moldan</w:t>
      </w:r>
      <w:proofErr w:type="spellEnd"/>
      <w:r>
        <w:t xml:space="preserve">, B. (2016). Sustainable Development Goals: a Need for Relevant Indicators. </w:t>
      </w:r>
      <w:r>
        <w:rPr>
          <w:i/>
          <w:iCs/>
        </w:rPr>
        <w:t>Ecological Indicators</w:t>
      </w:r>
      <w:r>
        <w:t>, 60(2), pp.565–573.</w:t>
      </w:r>
    </w:p>
    <w:p w14:paraId="5F665F04" w14:textId="77777777" w:rsidR="007D7766" w:rsidRDefault="007D7766" w:rsidP="007D7766">
      <w:pPr>
        <w:pStyle w:val="NormalWeb"/>
        <w:spacing w:before="0" w:beforeAutospacing="0" w:after="240" w:afterAutospacing="0" w:line="360" w:lineRule="auto"/>
        <w:jc w:val="both"/>
      </w:pPr>
      <w:r>
        <w:lastRenderedPageBreak/>
        <w:t xml:space="preserve">Holden, E., </w:t>
      </w:r>
      <w:proofErr w:type="spellStart"/>
      <w:r>
        <w:t>Linnerud</w:t>
      </w:r>
      <w:proofErr w:type="spellEnd"/>
      <w:r>
        <w:t xml:space="preserve">, K. and Banister, D. (2016a). The Imperatives of Sustainable Development. </w:t>
      </w:r>
      <w:r>
        <w:rPr>
          <w:i/>
          <w:iCs/>
        </w:rPr>
        <w:t>Sustainable Development</w:t>
      </w:r>
      <w:r>
        <w:t xml:space="preserve">, 25(3), pp.213–226. </w:t>
      </w:r>
      <w:proofErr w:type="spellStart"/>
      <w:r>
        <w:t>doi:https</w:t>
      </w:r>
      <w:proofErr w:type="spellEnd"/>
      <w:r>
        <w:t>://doi.org/10.1002/sd.1647.</w:t>
      </w:r>
    </w:p>
    <w:p w14:paraId="75580846" w14:textId="77777777" w:rsidR="007D7766" w:rsidRDefault="007D7766" w:rsidP="007D7766">
      <w:pPr>
        <w:pStyle w:val="NormalWeb"/>
        <w:spacing w:before="0" w:beforeAutospacing="0" w:after="240" w:afterAutospacing="0" w:line="360" w:lineRule="auto"/>
        <w:jc w:val="both"/>
      </w:pPr>
      <w:r>
        <w:t xml:space="preserve">Holden, E., </w:t>
      </w:r>
      <w:proofErr w:type="spellStart"/>
      <w:r>
        <w:t>Linnerud</w:t>
      </w:r>
      <w:proofErr w:type="spellEnd"/>
      <w:r>
        <w:t xml:space="preserve">, K. and Banister, D. (2016b). The Imperatives of Sustainable Development. </w:t>
      </w:r>
      <w:r>
        <w:rPr>
          <w:i/>
          <w:iCs/>
        </w:rPr>
        <w:t>Sustainable Development</w:t>
      </w:r>
      <w:r>
        <w:t xml:space="preserve">, 25(3), pp.213–226. </w:t>
      </w:r>
      <w:proofErr w:type="spellStart"/>
      <w:r>
        <w:t>doi:https</w:t>
      </w:r>
      <w:proofErr w:type="spellEnd"/>
      <w:r>
        <w:t>://doi.org/10.1002/sd.1647.</w:t>
      </w:r>
    </w:p>
    <w:p w14:paraId="4D424DE1" w14:textId="77777777" w:rsidR="007D7766" w:rsidRDefault="007D7766" w:rsidP="007D7766">
      <w:pPr>
        <w:pStyle w:val="NormalWeb"/>
        <w:spacing w:before="0" w:beforeAutospacing="0" w:after="240" w:afterAutospacing="0" w:line="360" w:lineRule="auto"/>
        <w:jc w:val="both"/>
      </w:pPr>
      <w:proofErr w:type="spellStart"/>
      <w:r>
        <w:t>Klarin</w:t>
      </w:r>
      <w:proofErr w:type="spellEnd"/>
      <w:r>
        <w:t xml:space="preserve">, T. (2018). The Concept of Sustainable Development: From its Beginning to the Contemporary Issues. </w:t>
      </w:r>
      <w:r>
        <w:rPr>
          <w:i/>
          <w:iCs/>
        </w:rPr>
        <w:t>Zagreb International Review of Economics and Business</w:t>
      </w:r>
      <w:r>
        <w:t xml:space="preserve">, [online] 21(1), pp.67–94. </w:t>
      </w:r>
      <w:proofErr w:type="spellStart"/>
      <w:r>
        <w:t>doi:https</w:t>
      </w:r>
      <w:proofErr w:type="spellEnd"/>
      <w:r>
        <w:t>://doi.org/10.2478/zireb-2018-0005.</w:t>
      </w:r>
    </w:p>
    <w:p w14:paraId="03B292AC" w14:textId="77777777" w:rsidR="007D7766" w:rsidRDefault="007D7766" w:rsidP="007D7766">
      <w:pPr>
        <w:pStyle w:val="NormalWeb"/>
        <w:spacing w:before="0" w:beforeAutospacing="0" w:after="240" w:afterAutospacing="0" w:line="360" w:lineRule="auto"/>
        <w:jc w:val="both"/>
      </w:pPr>
      <w:r>
        <w:t xml:space="preserve">Malik, R.S. (2018). EDUCATIONAL CHALLENGES IN 21ST CENTURY AND SUSTAINABLE DEVELOPMENT. </w:t>
      </w:r>
      <w:r>
        <w:rPr>
          <w:i/>
          <w:iCs/>
        </w:rPr>
        <w:t>Journal of Sustainable Development Education and Research</w:t>
      </w:r>
      <w:r>
        <w:t xml:space="preserve">, 2(1), p.9. </w:t>
      </w:r>
      <w:proofErr w:type="spellStart"/>
      <w:r>
        <w:t>doi:https</w:t>
      </w:r>
      <w:proofErr w:type="spellEnd"/>
      <w:r>
        <w:t>://doi.org/10.17509/jsder.v2i1.12266.</w:t>
      </w:r>
    </w:p>
    <w:p w14:paraId="74B19378" w14:textId="77777777" w:rsidR="007D7766" w:rsidRDefault="007D7766" w:rsidP="007D7766">
      <w:pPr>
        <w:pStyle w:val="NormalWeb"/>
        <w:spacing w:before="0" w:beforeAutospacing="0" w:after="240" w:afterAutospacing="0" w:line="360" w:lineRule="auto"/>
        <w:jc w:val="both"/>
      </w:pPr>
      <w:r>
        <w:t xml:space="preserve">O’Toole, W. (2010). </w:t>
      </w:r>
      <w:r>
        <w:rPr>
          <w:i/>
          <w:iCs/>
        </w:rPr>
        <w:t>Events Feasibility and Development</w:t>
      </w:r>
      <w:r>
        <w:t xml:space="preserve">. [online] </w:t>
      </w:r>
      <w:r>
        <w:rPr>
          <w:i/>
          <w:iCs/>
        </w:rPr>
        <w:t>Google Books</w:t>
      </w:r>
      <w:r>
        <w:t xml:space="preserve">. </w:t>
      </w:r>
      <w:proofErr w:type="spellStart"/>
      <w:r>
        <w:t>Routledge</w:t>
      </w:r>
      <w:proofErr w:type="spellEnd"/>
      <w:r>
        <w:t>. Available at: https://books.google.com/books?hl=en&amp;lr=&amp;id=J4wsBgAAQBAJ&amp;oi=fnd&amp;pg=PP1&amp;dq=O%E2%80%99Toole.</w:t>
      </w:r>
    </w:p>
    <w:p w14:paraId="5B734B44" w14:textId="77777777" w:rsidR="007D7766" w:rsidRDefault="007D7766" w:rsidP="007D7766">
      <w:pPr>
        <w:pStyle w:val="NormalWeb"/>
        <w:spacing w:before="0" w:beforeAutospacing="0" w:after="240" w:afterAutospacing="0" w:line="360" w:lineRule="auto"/>
        <w:jc w:val="both"/>
      </w:pPr>
      <w:proofErr w:type="spellStart"/>
      <w:r>
        <w:t>Organization</w:t>
      </w:r>
      <w:proofErr w:type="spellEnd"/>
      <w:r>
        <w:t xml:space="preserve">, W.H. (2016). </w:t>
      </w:r>
      <w:r>
        <w:rPr>
          <w:i/>
          <w:iCs/>
        </w:rPr>
        <w:t>World Health Statistics 2016 [OP]: Monitoring Health for the Sustainable Development Goals (SDGs)</w:t>
      </w:r>
      <w:r>
        <w:t xml:space="preserve">. [online] </w:t>
      </w:r>
      <w:r>
        <w:rPr>
          <w:i/>
          <w:iCs/>
        </w:rPr>
        <w:t>Google Books</w:t>
      </w:r>
      <w:r>
        <w:t xml:space="preserve">. World Health </w:t>
      </w:r>
      <w:proofErr w:type="spellStart"/>
      <w:r>
        <w:t>Organization</w:t>
      </w:r>
      <w:proofErr w:type="spellEnd"/>
      <w:r>
        <w:t>. Available at: https://books.google.com/books?hl=en&amp;lr=&amp;id=-A4LDgAAQBAJ&amp;oi=fnd&amp;pg=PP1&amp;dq=sustainable+development&amp;ots=ddhi-TfgAD&amp;sig=509USYwKedDpCwTBMK9wdMNzzBA [Accessed 26 Jan. 2024].</w:t>
      </w:r>
    </w:p>
    <w:p w14:paraId="711B6676" w14:textId="77777777" w:rsidR="007D7766" w:rsidRDefault="007D7766" w:rsidP="007D7766">
      <w:pPr>
        <w:pStyle w:val="NormalWeb"/>
        <w:spacing w:before="0" w:beforeAutospacing="0" w:after="240" w:afterAutospacing="0" w:line="360" w:lineRule="auto"/>
        <w:jc w:val="both"/>
      </w:pPr>
      <w:proofErr w:type="spellStart"/>
      <w:r>
        <w:t>Østergaard</w:t>
      </w:r>
      <w:proofErr w:type="spellEnd"/>
      <w:r>
        <w:t xml:space="preserve">, P.A., </w:t>
      </w:r>
      <w:proofErr w:type="spellStart"/>
      <w:r>
        <w:t>Duic</w:t>
      </w:r>
      <w:proofErr w:type="spellEnd"/>
      <w:r>
        <w:t xml:space="preserve">, N., </w:t>
      </w:r>
      <w:proofErr w:type="spellStart"/>
      <w:r>
        <w:t>Noorollahi</w:t>
      </w:r>
      <w:proofErr w:type="spellEnd"/>
      <w:r>
        <w:t xml:space="preserve">, Y., </w:t>
      </w:r>
      <w:proofErr w:type="spellStart"/>
      <w:r>
        <w:t>Mikulcic</w:t>
      </w:r>
      <w:proofErr w:type="spellEnd"/>
      <w:r>
        <w:t xml:space="preserve">, H. and </w:t>
      </w:r>
      <w:proofErr w:type="spellStart"/>
      <w:r>
        <w:t>Kalogirou</w:t>
      </w:r>
      <w:proofErr w:type="spellEnd"/>
      <w:r>
        <w:t xml:space="preserve">, S. (2020). Sustainable development using renewable energy technology. </w:t>
      </w:r>
      <w:r>
        <w:rPr>
          <w:i/>
          <w:iCs/>
        </w:rPr>
        <w:t>Renewable Energy</w:t>
      </w:r>
      <w:r>
        <w:t xml:space="preserve">, 146, pp.2430–2437. </w:t>
      </w:r>
      <w:proofErr w:type="spellStart"/>
      <w:r>
        <w:t>doi:https</w:t>
      </w:r>
      <w:proofErr w:type="spellEnd"/>
      <w:r>
        <w:t>://doi.org/10.1016/j.renene.2019.08.094.</w:t>
      </w:r>
    </w:p>
    <w:p w14:paraId="4336B940" w14:textId="77777777" w:rsidR="007D7766" w:rsidRDefault="007D7766" w:rsidP="007D7766">
      <w:pPr>
        <w:pStyle w:val="NormalWeb"/>
        <w:spacing w:before="0" w:beforeAutospacing="0" w:after="240" w:afterAutospacing="0" w:line="360" w:lineRule="auto"/>
        <w:jc w:val="both"/>
      </w:pPr>
      <w:r>
        <w:t xml:space="preserve">Sachs, J.D., Kroll, C., </w:t>
      </w:r>
      <w:proofErr w:type="spellStart"/>
      <w:r>
        <w:t>Lafortune</w:t>
      </w:r>
      <w:proofErr w:type="spellEnd"/>
      <w:r>
        <w:t xml:space="preserve">, G., Fuller, G. and </w:t>
      </w:r>
      <w:proofErr w:type="spellStart"/>
      <w:r>
        <w:t>Woelm</w:t>
      </w:r>
      <w:proofErr w:type="spellEnd"/>
      <w:r>
        <w:t xml:space="preserve">, F. (2022). </w:t>
      </w:r>
      <w:r>
        <w:rPr>
          <w:i/>
          <w:iCs/>
        </w:rPr>
        <w:t>Sustainable Development Report 2022</w:t>
      </w:r>
      <w:r>
        <w:t xml:space="preserve">. [online] </w:t>
      </w:r>
      <w:r>
        <w:rPr>
          <w:i/>
          <w:iCs/>
        </w:rPr>
        <w:t>Google Books</w:t>
      </w:r>
      <w:r>
        <w:t>. Cambridge University Press. Available at: https://books.google.com/books?hl=en&amp;lr=&amp;id=N5h-EAAAQBAJ&amp;oi=fnd&amp;pg=PR6&amp;dq=sustainable+development&amp;ots=_LIwgw8STe&amp;sig=eANPsB_X1CYEkizpomEz6gQKadU [Accessed 26 Jan. 2024].</w:t>
      </w:r>
    </w:p>
    <w:p w14:paraId="256D93CF" w14:textId="77777777" w:rsidR="007D7766" w:rsidRDefault="007D7766" w:rsidP="007D7766">
      <w:pPr>
        <w:pStyle w:val="NormalWeb"/>
        <w:spacing w:before="0" w:beforeAutospacing="0" w:after="240" w:afterAutospacing="0" w:line="360" w:lineRule="auto"/>
        <w:jc w:val="both"/>
      </w:pPr>
      <w:proofErr w:type="spellStart"/>
      <w:r>
        <w:lastRenderedPageBreak/>
        <w:t>Silvestre</w:t>
      </w:r>
      <w:proofErr w:type="spellEnd"/>
      <w:r>
        <w:t xml:space="preserve">, B.S. and </w:t>
      </w:r>
      <w:proofErr w:type="spellStart"/>
      <w:r>
        <w:t>Ţîrcă</w:t>
      </w:r>
      <w:proofErr w:type="spellEnd"/>
      <w:r>
        <w:t xml:space="preserve">, D.M. (2019). Innovations for sustainable development: Moving toward a sustainable future. </w:t>
      </w:r>
      <w:r>
        <w:rPr>
          <w:i/>
          <w:iCs/>
        </w:rPr>
        <w:t>Journal of Cleaner Production</w:t>
      </w:r>
      <w:r>
        <w:t>, 208(208), pp.325–332.</w:t>
      </w:r>
    </w:p>
    <w:p w14:paraId="77CC3194" w14:textId="77777777" w:rsidR="007D7766" w:rsidRDefault="007D7766" w:rsidP="007D7766">
      <w:pPr>
        <w:pStyle w:val="NormalWeb"/>
        <w:spacing w:before="0" w:beforeAutospacing="0" w:after="240" w:afterAutospacing="0" w:line="360" w:lineRule="auto"/>
        <w:jc w:val="both"/>
      </w:pPr>
      <w:r>
        <w:t xml:space="preserve">Smith, A. (2012). </w:t>
      </w:r>
      <w:r>
        <w:rPr>
          <w:i/>
          <w:iCs/>
        </w:rPr>
        <w:t>Events and Urban Regeneration: The Strategic Use of Events to Revitalise Cities</w:t>
      </w:r>
      <w:r>
        <w:t xml:space="preserve">. [online] </w:t>
      </w:r>
      <w:r>
        <w:rPr>
          <w:i/>
          <w:iCs/>
        </w:rPr>
        <w:t>Google Books</w:t>
      </w:r>
      <w:r>
        <w:t xml:space="preserve">. </w:t>
      </w:r>
      <w:proofErr w:type="spellStart"/>
      <w:r>
        <w:t>Routledge</w:t>
      </w:r>
      <w:proofErr w:type="spellEnd"/>
      <w:r>
        <w:t>. Available at: https://books.google.com/books?hl=en&amp;lr=&amp;id=h1XFBQAAQBAJ&amp;oi=fnd&amp;pg=PT10&amp;dq=Smith.</w:t>
      </w:r>
    </w:p>
    <w:p w14:paraId="6F97029C" w14:textId="77777777" w:rsidR="007D7766" w:rsidRDefault="007D7766" w:rsidP="007D7766">
      <w:pPr>
        <w:pStyle w:val="NormalWeb"/>
        <w:spacing w:before="0" w:beforeAutospacing="0" w:after="240" w:afterAutospacing="0" w:line="360" w:lineRule="auto"/>
        <w:jc w:val="both"/>
      </w:pPr>
      <w:r>
        <w:t xml:space="preserve">Thacker, S., </w:t>
      </w:r>
      <w:proofErr w:type="spellStart"/>
      <w:r>
        <w:t>Adshead</w:t>
      </w:r>
      <w:proofErr w:type="spellEnd"/>
      <w:r>
        <w:t xml:space="preserve">, D., Fay, M., </w:t>
      </w:r>
      <w:proofErr w:type="spellStart"/>
      <w:r>
        <w:t>Hallegatte</w:t>
      </w:r>
      <w:proofErr w:type="spellEnd"/>
      <w:r>
        <w:t xml:space="preserve">, S., Harvey, M., </w:t>
      </w:r>
      <w:proofErr w:type="spellStart"/>
      <w:r>
        <w:t>Meller</w:t>
      </w:r>
      <w:proofErr w:type="spellEnd"/>
      <w:r>
        <w:t xml:space="preserve">, H., </w:t>
      </w:r>
      <w:proofErr w:type="spellStart"/>
      <w:r>
        <w:t>O’Regan</w:t>
      </w:r>
      <w:proofErr w:type="spellEnd"/>
      <w:r>
        <w:t xml:space="preserve">, N., </w:t>
      </w:r>
      <w:proofErr w:type="spellStart"/>
      <w:r>
        <w:t>Rozenberg</w:t>
      </w:r>
      <w:proofErr w:type="spellEnd"/>
      <w:r>
        <w:t xml:space="preserve">, J., Watkins, G. and Hall, J.W. (2019). Infrastructure for Sustainable Development. </w:t>
      </w:r>
      <w:r>
        <w:rPr>
          <w:i/>
          <w:iCs/>
        </w:rPr>
        <w:t>Nature Sustainability</w:t>
      </w:r>
      <w:r>
        <w:t xml:space="preserve">, [online] 2(4), pp.324–331. </w:t>
      </w:r>
      <w:proofErr w:type="spellStart"/>
      <w:r>
        <w:t>doi:https</w:t>
      </w:r>
      <w:proofErr w:type="spellEnd"/>
      <w:r>
        <w:t>://doi.org/10.1038/s41893-019-0256-8.</w:t>
      </w:r>
    </w:p>
    <w:p w14:paraId="0F4C00A7" w14:textId="77777777" w:rsidR="007D7766" w:rsidRDefault="007D7766" w:rsidP="007D7766">
      <w:pPr>
        <w:pStyle w:val="NormalWeb"/>
        <w:spacing w:before="0" w:beforeAutospacing="0" w:after="240" w:afterAutospacing="0" w:line="360" w:lineRule="auto"/>
        <w:jc w:val="both"/>
      </w:pPr>
      <w:r>
        <w:t xml:space="preserve">Zhang, X., Davidson, E.A., </w:t>
      </w:r>
      <w:proofErr w:type="spellStart"/>
      <w:r>
        <w:t>Mauzerall</w:t>
      </w:r>
      <w:proofErr w:type="spellEnd"/>
      <w:r>
        <w:t xml:space="preserve">, D.L., </w:t>
      </w:r>
      <w:proofErr w:type="spellStart"/>
      <w:r>
        <w:t>Searchinger</w:t>
      </w:r>
      <w:proofErr w:type="spellEnd"/>
      <w:r>
        <w:t xml:space="preserve">, T.D., Dumas, P. and Shen, Y. (2015). Managing nitrogen for sustainable development. </w:t>
      </w:r>
      <w:r>
        <w:rPr>
          <w:i/>
          <w:iCs/>
        </w:rPr>
        <w:t>Nature</w:t>
      </w:r>
      <w:r>
        <w:t xml:space="preserve">, [online] 528. </w:t>
      </w:r>
      <w:proofErr w:type="spellStart"/>
      <w:r>
        <w:t>doi:https</w:t>
      </w:r>
      <w:proofErr w:type="spellEnd"/>
      <w:r>
        <w:t>://doi.org/10.1038/nature15743.</w:t>
      </w:r>
    </w:p>
    <w:p w14:paraId="64AFBE15" w14:textId="77777777" w:rsidR="00B00513" w:rsidRDefault="00B00513"/>
    <w:sectPr w:rsidR="00B00513" w:rsidSect="009F73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4FAF7" w14:textId="77777777" w:rsidR="009F7314" w:rsidRDefault="009F7314" w:rsidP="003D662E">
      <w:pPr>
        <w:spacing w:line="240" w:lineRule="auto"/>
      </w:pPr>
      <w:r>
        <w:separator/>
      </w:r>
    </w:p>
  </w:endnote>
  <w:endnote w:type="continuationSeparator" w:id="0">
    <w:p w14:paraId="5E085643" w14:textId="77777777" w:rsidR="009F7314" w:rsidRDefault="009F7314" w:rsidP="003D66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628716"/>
      <w:docPartObj>
        <w:docPartGallery w:val="Page Numbers (Bottom of Page)"/>
        <w:docPartUnique/>
      </w:docPartObj>
    </w:sdtPr>
    <w:sdtEndPr>
      <w:rPr>
        <w:noProof/>
      </w:rPr>
    </w:sdtEndPr>
    <w:sdtContent>
      <w:p w14:paraId="76213B83" w14:textId="43D9A9A6" w:rsidR="003D662E" w:rsidRDefault="003D66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E5FB7B" w14:textId="77777777" w:rsidR="003D662E" w:rsidRDefault="003D6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B5B8E" w14:textId="77777777" w:rsidR="009F7314" w:rsidRDefault="009F7314" w:rsidP="003D662E">
      <w:pPr>
        <w:spacing w:line="240" w:lineRule="auto"/>
      </w:pPr>
      <w:r>
        <w:separator/>
      </w:r>
    </w:p>
  </w:footnote>
  <w:footnote w:type="continuationSeparator" w:id="0">
    <w:p w14:paraId="0B272858" w14:textId="77777777" w:rsidR="009F7314" w:rsidRDefault="009F7314" w:rsidP="003D66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0C0"/>
    <w:multiLevelType w:val="multilevel"/>
    <w:tmpl w:val="FAAE722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FB08CB"/>
    <w:multiLevelType w:val="multilevel"/>
    <w:tmpl w:val="1D64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6946E9"/>
    <w:multiLevelType w:val="multilevel"/>
    <w:tmpl w:val="1706AF8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1F1907"/>
    <w:multiLevelType w:val="multilevel"/>
    <w:tmpl w:val="9114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391703"/>
    <w:multiLevelType w:val="multilevel"/>
    <w:tmpl w:val="27EA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123D37"/>
    <w:multiLevelType w:val="multilevel"/>
    <w:tmpl w:val="425C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5B6282"/>
    <w:multiLevelType w:val="multilevel"/>
    <w:tmpl w:val="DAB2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A96B71"/>
    <w:multiLevelType w:val="multilevel"/>
    <w:tmpl w:val="1712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094BDB"/>
    <w:multiLevelType w:val="multilevel"/>
    <w:tmpl w:val="8A56A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F20E24"/>
    <w:multiLevelType w:val="multilevel"/>
    <w:tmpl w:val="5E2E9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2D474C"/>
    <w:multiLevelType w:val="multilevel"/>
    <w:tmpl w:val="DA0456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ED550B"/>
    <w:multiLevelType w:val="multilevel"/>
    <w:tmpl w:val="B702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E6064B"/>
    <w:multiLevelType w:val="multilevel"/>
    <w:tmpl w:val="1DFE0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3335EB"/>
    <w:multiLevelType w:val="multilevel"/>
    <w:tmpl w:val="6A1E62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263501"/>
    <w:multiLevelType w:val="multilevel"/>
    <w:tmpl w:val="4D4A65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5459AB"/>
    <w:multiLevelType w:val="multilevel"/>
    <w:tmpl w:val="9B0A5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4D3A1E"/>
    <w:multiLevelType w:val="multilevel"/>
    <w:tmpl w:val="A89AB0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5637808">
    <w:abstractNumId w:val="12"/>
  </w:num>
  <w:num w:numId="2" w16cid:durableId="1940135930">
    <w:abstractNumId w:val="9"/>
  </w:num>
  <w:num w:numId="3" w16cid:durableId="825317816">
    <w:abstractNumId w:val="15"/>
  </w:num>
  <w:num w:numId="4" w16cid:durableId="846209400">
    <w:abstractNumId w:val="6"/>
  </w:num>
  <w:num w:numId="5" w16cid:durableId="1003313139">
    <w:abstractNumId w:val="10"/>
  </w:num>
  <w:num w:numId="6" w16cid:durableId="323700636">
    <w:abstractNumId w:val="11"/>
  </w:num>
  <w:num w:numId="7" w16cid:durableId="493883008">
    <w:abstractNumId w:val="16"/>
  </w:num>
  <w:num w:numId="8" w16cid:durableId="1577667294">
    <w:abstractNumId w:val="1"/>
  </w:num>
  <w:num w:numId="9" w16cid:durableId="1084447693">
    <w:abstractNumId w:val="14"/>
  </w:num>
  <w:num w:numId="10" w16cid:durableId="1853454679">
    <w:abstractNumId w:val="3"/>
  </w:num>
  <w:num w:numId="11" w16cid:durableId="111172521">
    <w:abstractNumId w:val="13"/>
  </w:num>
  <w:num w:numId="12" w16cid:durableId="1291592246">
    <w:abstractNumId w:val="8"/>
  </w:num>
  <w:num w:numId="13" w16cid:durableId="1372656238">
    <w:abstractNumId w:val="2"/>
  </w:num>
  <w:num w:numId="14" w16cid:durableId="1729526007">
    <w:abstractNumId w:val="7"/>
  </w:num>
  <w:num w:numId="15" w16cid:durableId="1782333545">
    <w:abstractNumId w:val="0"/>
  </w:num>
  <w:num w:numId="16" w16cid:durableId="92746821">
    <w:abstractNumId w:val="5"/>
  </w:num>
  <w:num w:numId="17" w16cid:durableId="5595601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972"/>
    <w:rsid w:val="000F26A3"/>
    <w:rsid w:val="00141082"/>
    <w:rsid w:val="001A3114"/>
    <w:rsid w:val="001A60DB"/>
    <w:rsid w:val="00267D09"/>
    <w:rsid w:val="003B77F4"/>
    <w:rsid w:val="003D662E"/>
    <w:rsid w:val="003F329E"/>
    <w:rsid w:val="004C22DF"/>
    <w:rsid w:val="00617B60"/>
    <w:rsid w:val="006442CF"/>
    <w:rsid w:val="00703878"/>
    <w:rsid w:val="00703FD7"/>
    <w:rsid w:val="007D7766"/>
    <w:rsid w:val="00816D78"/>
    <w:rsid w:val="008928AC"/>
    <w:rsid w:val="008F7638"/>
    <w:rsid w:val="0090747B"/>
    <w:rsid w:val="009E4E63"/>
    <w:rsid w:val="009F7314"/>
    <w:rsid w:val="00A43008"/>
    <w:rsid w:val="00B00513"/>
    <w:rsid w:val="00B215B3"/>
    <w:rsid w:val="00B36972"/>
    <w:rsid w:val="00C67282"/>
    <w:rsid w:val="00E931BF"/>
    <w:rsid w:val="00FB7F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E5883"/>
  <w15:chartTrackingRefBased/>
  <w15:docId w15:val="{32C410D8-96F0-4654-A357-D8553863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114"/>
    <w:pPr>
      <w:spacing w:after="0" w:line="360" w:lineRule="auto"/>
      <w:jc w:val="both"/>
    </w:pPr>
    <w:rPr>
      <w:rFonts w:ascii="Times New Roman" w:hAnsi="Times New Roman" w:cs="Arial"/>
      <w:sz w:val="24"/>
      <w:lang w:val="en-US"/>
      <w14:ligatures w14:val="none"/>
    </w:rPr>
  </w:style>
  <w:style w:type="paragraph" w:styleId="Heading1">
    <w:name w:val="heading 1"/>
    <w:basedOn w:val="Normal"/>
    <w:next w:val="Normal"/>
    <w:link w:val="Heading1Char"/>
    <w:uiPriority w:val="9"/>
    <w:qFormat/>
    <w:rsid w:val="001A3114"/>
    <w:pPr>
      <w:keepNext/>
      <w:keepLines/>
      <w:spacing w:before="400" w:after="120"/>
      <w:jc w:val="left"/>
      <w:outlineLvl w:val="0"/>
    </w:pPr>
    <w:rPr>
      <w:b/>
      <w:color w:val="44546A" w:themeColor="text2"/>
      <w:sz w:val="32"/>
      <w:szCs w:val="40"/>
    </w:rPr>
  </w:style>
  <w:style w:type="paragraph" w:styleId="Heading2">
    <w:name w:val="heading 2"/>
    <w:basedOn w:val="Normal"/>
    <w:next w:val="Normal"/>
    <w:link w:val="Heading2Char"/>
    <w:uiPriority w:val="9"/>
    <w:unhideWhenUsed/>
    <w:qFormat/>
    <w:rsid w:val="00B215B3"/>
    <w:pPr>
      <w:keepNext/>
      <w:keepLines/>
      <w:spacing w:before="360" w:after="120"/>
      <w:jc w:val="left"/>
      <w:outlineLvl w:val="1"/>
    </w:pPr>
    <w:rPr>
      <w:b/>
      <w:sz w:val="28"/>
      <w:szCs w:val="32"/>
    </w:rPr>
  </w:style>
  <w:style w:type="paragraph" w:styleId="Heading3">
    <w:name w:val="heading 3"/>
    <w:basedOn w:val="Normal"/>
    <w:next w:val="Normal"/>
    <w:link w:val="Heading3Char"/>
    <w:uiPriority w:val="9"/>
    <w:semiHidden/>
    <w:unhideWhenUsed/>
    <w:qFormat/>
    <w:rsid w:val="00FB7FB9"/>
    <w:pPr>
      <w:keepNext/>
      <w:keepLines/>
      <w:spacing w:before="40"/>
      <w:jc w:val="left"/>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15B3"/>
    <w:rPr>
      <w:rFonts w:ascii="Times New Roman" w:hAnsi="Times New Roman" w:cs="Arial"/>
      <w:b/>
      <w:kern w:val="0"/>
      <w:sz w:val="28"/>
      <w:szCs w:val="32"/>
      <w:lang w:val="en"/>
      <w14:ligatures w14:val="none"/>
    </w:rPr>
  </w:style>
  <w:style w:type="character" w:customStyle="1" w:styleId="Heading1Char">
    <w:name w:val="Heading 1 Char"/>
    <w:basedOn w:val="DefaultParagraphFont"/>
    <w:link w:val="Heading1"/>
    <w:uiPriority w:val="9"/>
    <w:rsid w:val="001A3114"/>
    <w:rPr>
      <w:rFonts w:ascii="Times New Roman" w:eastAsia="Arial" w:hAnsi="Times New Roman" w:cs="Arial"/>
      <w:b/>
      <w:color w:val="44546A" w:themeColor="text2"/>
      <w:kern w:val="0"/>
      <w:sz w:val="32"/>
      <w:szCs w:val="40"/>
      <w:lang w:val="en"/>
      <w14:ligatures w14:val="none"/>
    </w:rPr>
  </w:style>
  <w:style w:type="character" w:customStyle="1" w:styleId="Heading3Char">
    <w:name w:val="Heading 3 Char"/>
    <w:basedOn w:val="DefaultParagraphFont"/>
    <w:link w:val="Heading3"/>
    <w:uiPriority w:val="9"/>
    <w:semiHidden/>
    <w:rsid w:val="00FB7FB9"/>
    <w:rPr>
      <w:rFonts w:ascii="Times New Roman" w:eastAsiaTheme="majorEastAsia" w:hAnsi="Times New Roman" w:cstheme="majorBidi"/>
      <w:b/>
      <w:color w:val="1F3763" w:themeColor="accent1" w:themeShade="7F"/>
      <w:kern w:val="0"/>
      <w:sz w:val="24"/>
      <w:szCs w:val="24"/>
      <w:lang w:val="en-GB"/>
      <w14:ligatures w14:val="none"/>
    </w:rPr>
  </w:style>
  <w:style w:type="paragraph" w:styleId="Title">
    <w:name w:val="Title"/>
    <w:basedOn w:val="Normal"/>
    <w:next w:val="Normal"/>
    <w:link w:val="TitleChar"/>
    <w:uiPriority w:val="10"/>
    <w:qFormat/>
    <w:rsid w:val="003F329E"/>
    <w:pPr>
      <w:contextualSpacing/>
      <w:jc w:val="center"/>
    </w:pPr>
    <w:rPr>
      <w:rFonts w:eastAsiaTheme="majorEastAsia" w:cstheme="majorBidi"/>
      <w:b/>
      <w:i/>
      <w:spacing w:val="-10"/>
      <w:kern w:val="28"/>
      <w:sz w:val="56"/>
      <w:szCs w:val="56"/>
    </w:rPr>
  </w:style>
  <w:style w:type="character" w:customStyle="1" w:styleId="TitleChar">
    <w:name w:val="Title Char"/>
    <w:basedOn w:val="DefaultParagraphFont"/>
    <w:link w:val="Title"/>
    <w:uiPriority w:val="10"/>
    <w:rsid w:val="003F329E"/>
    <w:rPr>
      <w:rFonts w:ascii="Times New Roman" w:eastAsiaTheme="majorEastAsia" w:hAnsi="Times New Roman" w:cstheme="majorBidi"/>
      <w:b/>
      <w:i/>
      <w:spacing w:val="-10"/>
      <w:kern w:val="28"/>
      <w:sz w:val="56"/>
      <w:szCs w:val="56"/>
      <w:lang w:val="en-US"/>
      <w14:ligatures w14:val="none"/>
    </w:rPr>
  </w:style>
  <w:style w:type="paragraph" w:styleId="NormalWeb">
    <w:name w:val="Normal (Web)"/>
    <w:basedOn w:val="Normal"/>
    <w:uiPriority w:val="99"/>
    <w:semiHidden/>
    <w:unhideWhenUsed/>
    <w:rsid w:val="00C67282"/>
    <w:pPr>
      <w:spacing w:before="100" w:beforeAutospacing="1" w:after="100" w:afterAutospacing="1" w:line="240" w:lineRule="auto"/>
      <w:jc w:val="left"/>
    </w:pPr>
    <w:rPr>
      <w:rFonts w:eastAsia="Times New Roman" w:cs="Times New Roman"/>
      <w:szCs w:val="24"/>
      <w:lang w:val="en-GB" w:eastAsia="en-GB"/>
    </w:rPr>
  </w:style>
  <w:style w:type="character" w:customStyle="1" w:styleId="fontstyle01">
    <w:name w:val="fontstyle01"/>
    <w:basedOn w:val="DefaultParagraphFont"/>
    <w:rsid w:val="003D662E"/>
    <w:rPr>
      <w:rFonts w:ascii="Arial-BoldMT" w:hAnsi="Arial-BoldMT" w:hint="default"/>
      <w:b/>
      <w:bCs/>
      <w:i w:val="0"/>
      <w:iCs w:val="0"/>
      <w:color w:val="000000"/>
      <w:sz w:val="44"/>
      <w:szCs w:val="44"/>
    </w:rPr>
  </w:style>
  <w:style w:type="paragraph" w:styleId="Header">
    <w:name w:val="header"/>
    <w:basedOn w:val="Normal"/>
    <w:link w:val="HeaderChar"/>
    <w:uiPriority w:val="99"/>
    <w:unhideWhenUsed/>
    <w:rsid w:val="003D662E"/>
    <w:pPr>
      <w:tabs>
        <w:tab w:val="center" w:pos="4513"/>
        <w:tab w:val="right" w:pos="9026"/>
      </w:tabs>
      <w:spacing w:line="240" w:lineRule="auto"/>
    </w:pPr>
  </w:style>
  <w:style w:type="character" w:customStyle="1" w:styleId="HeaderChar">
    <w:name w:val="Header Char"/>
    <w:basedOn w:val="DefaultParagraphFont"/>
    <w:link w:val="Header"/>
    <w:uiPriority w:val="99"/>
    <w:rsid w:val="003D662E"/>
    <w:rPr>
      <w:rFonts w:ascii="Times New Roman" w:hAnsi="Times New Roman" w:cs="Arial"/>
      <w:sz w:val="24"/>
      <w:lang w:val="en-US"/>
      <w14:ligatures w14:val="none"/>
    </w:rPr>
  </w:style>
  <w:style w:type="paragraph" w:styleId="Footer">
    <w:name w:val="footer"/>
    <w:basedOn w:val="Normal"/>
    <w:link w:val="FooterChar"/>
    <w:uiPriority w:val="99"/>
    <w:unhideWhenUsed/>
    <w:rsid w:val="003D662E"/>
    <w:pPr>
      <w:tabs>
        <w:tab w:val="center" w:pos="4513"/>
        <w:tab w:val="right" w:pos="9026"/>
      </w:tabs>
      <w:spacing w:line="240" w:lineRule="auto"/>
    </w:pPr>
  </w:style>
  <w:style w:type="character" w:customStyle="1" w:styleId="FooterChar">
    <w:name w:val="Footer Char"/>
    <w:basedOn w:val="DefaultParagraphFont"/>
    <w:link w:val="Footer"/>
    <w:uiPriority w:val="99"/>
    <w:rsid w:val="003D662E"/>
    <w:rPr>
      <w:rFonts w:ascii="Times New Roman" w:hAnsi="Times New Roman" w:cs="Arial"/>
      <w:sz w:val="24"/>
      <w:lang w:val="en-US"/>
      <w14:ligatures w14:val="none"/>
    </w:rPr>
  </w:style>
  <w:style w:type="paragraph" w:styleId="TOCHeading">
    <w:name w:val="TOC Heading"/>
    <w:basedOn w:val="Heading1"/>
    <w:next w:val="Normal"/>
    <w:uiPriority w:val="39"/>
    <w:unhideWhenUsed/>
    <w:qFormat/>
    <w:rsid w:val="003D662E"/>
    <w:pPr>
      <w:spacing w:before="240" w:after="0" w:line="259" w:lineRule="auto"/>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3D662E"/>
    <w:pPr>
      <w:spacing w:after="100"/>
    </w:pPr>
  </w:style>
  <w:style w:type="character" w:styleId="Hyperlink">
    <w:name w:val="Hyperlink"/>
    <w:basedOn w:val="DefaultParagraphFont"/>
    <w:uiPriority w:val="99"/>
    <w:unhideWhenUsed/>
    <w:rsid w:val="003D66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786">
      <w:bodyDiv w:val="1"/>
      <w:marLeft w:val="0"/>
      <w:marRight w:val="0"/>
      <w:marTop w:val="0"/>
      <w:marBottom w:val="0"/>
      <w:divBdr>
        <w:top w:val="none" w:sz="0" w:space="0" w:color="auto"/>
        <w:left w:val="none" w:sz="0" w:space="0" w:color="auto"/>
        <w:bottom w:val="none" w:sz="0" w:space="0" w:color="auto"/>
        <w:right w:val="none" w:sz="0" w:space="0" w:color="auto"/>
      </w:divBdr>
    </w:div>
    <w:div w:id="168908636">
      <w:bodyDiv w:val="1"/>
      <w:marLeft w:val="0"/>
      <w:marRight w:val="0"/>
      <w:marTop w:val="0"/>
      <w:marBottom w:val="0"/>
      <w:divBdr>
        <w:top w:val="none" w:sz="0" w:space="0" w:color="auto"/>
        <w:left w:val="none" w:sz="0" w:space="0" w:color="auto"/>
        <w:bottom w:val="none" w:sz="0" w:space="0" w:color="auto"/>
        <w:right w:val="none" w:sz="0" w:space="0" w:color="auto"/>
      </w:divBdr>
    </w:div>
    <w:div w:id="267389686">
      <w:bodyDiv w:val="1"/>
      <w:marLeft w:val="0"/>
      <w:marRight w:val="0"/>
      <w:marTop w:val="0"/>
      <w:marBottom w:val="0"/>
      <w:divBdr>
        <w:top w:val="none" w:sz="0" w:space="0" w:color="auto"/>
        <w:left w:val="none" w:sz="0" w:space="0" w:color="auto"/>
        <w:bottom w:val="none" w:sz="0" w:space="0" w:color="auto"/>
        <w:right w:val="none" w:sz="0" w:space="0" w:color="auto"/>
      </w:divBdr>
    </w:div>
    <w:div w:id="560478247">
      <w:bodyDiv w:val="1"/>
      <w:marLeft w:val="0"/>
      <w:marRight w:val="0"/>
      <w:marTop w:val="0"/>
      <w:marBottom w:val="0"/>
      <w:divBdr>
        <w:top w:val="none" w:sz="0" w:space="0" w:color="auto"/>
        <w:left w:val="none" w:sz="0" w:space="0" w:color="auto"/>
        <w:bottom w:val="none" w:sz="0" w:space="0" w:color="auto"/>
        <w:right w:val="none" w:sz="0" w:space="0" w:color="auto"/>
      </w:divBdr>
    </w:div>
    <w:div w:id="608200121">
      <w:bodyDiv w:val="1"/>
      <w:marLeft w:val="0"/>
      <w:marRight w:val="0"/>
      <w:marTop w:val="0"/>
      <w:marBottom w:val="0"/>
      <w:divBdr>
        <w:top w:val="none" w:sz="0" w:space="0" w:color="auto"/>
        <w:left w:val="none" w:sz="0" w:space="0" w:color="auto"/>
        <w:bottom w:val="none" w:sz="0" w:space="0" w:color="auto"/>
        <w:right w:val="none" w:sz="0" w:space="0" w:color="auto"/>
      </w:divBdr>
    </w:div>
    <w:div w:id="660547912">
      <w:bodyDiv w:val="1"/>
      <w:marLeft w:val="0"/>
      <w:marRight w:val="0"/>
      <w:marTop w:val="0"/>
      <w:marBottom w:val="0"/>
      <w:divBdr>
        <w:top w:val="none" w:sz="0" w:space="0" w:color="auto"/>
        <w:left w:val="none" w:sz="0" w:space="0" w:color="auto"/>
        <w:bottom w:val="none" w:sz="0" w:space="0" w:color="auto"/>
        <w:right w:val="none" w:sz="0" w:space="0" w:color="auto"/>
      </w:divBdr>
    </w:div>
    <w:div w:id="953440474">
      <w:bodyDiv w:val="1"/>
      <w:marLeft w:val="0"/>
      <w:marRight w:val="0"/>
      <w:marTop w:val="0"/>
      <w:marBottom w:val="0"/>
      <w:divBdr>
        <w:top w:val="none" w:sz="0" w:space="0" w:color="auto"/>
        <w:left w:val="none" w:sz="0" w:space="0" w:color="auto"/>
        <w:bottom w:val="none" w:sz="0" w:space="0" w:color="auto"/>
        <w:right w:val="none" w:sz="0" w:space="0" w:color="auto"/>
      </w:divBdr>
    </w:div>
    <w:div w:id="955672423">
      <w:bodyDiv w:val="1"/>
      <w:marLeft w:val="0"/>
      <w:marRight w:val="0"/>
      <w:marTop w:val="0"/>
      <w:marBottom w:val="0"/>
      <w:divBdr>
        <w:top w:val="none" w:sz="0" w:space="0" w:color="auto"/>
        <w:left w:val="none" w:sz="0" w:space="0" w:color="auto"/>
        <w:bottom w:val="none" w:sz="0" w:space="0" w:color="auto"/>
        <w:right w:val="none" w:sz="0" w:space="0" w:color="auto"/>
      </w:divBdr>
    </w:div>
    <w:div w:id="1189371423">
      <w:bodyDiv w:val="1"/>
      <w:marLeft w:val="0"/>
      <w:marRight w:val="0"/>
      <w:marTop w:val="0"/>
      <w:marBottom w:val="0"/>
      <w:divBdr>
        <w:top w:val="none" w:sz="0" w:space="0" w:color="auto"/>
        <w:left w:val="none" w:sz="0" w:space="0" w:color="auto"/>
        <w:bottom w:val="none" w:sz="0" w:space="0" w:color="auto"/>
        <w:right w:val="none" w:sz="0" w:space="0" w:color="auto"/>
      </w:divBdr>
    </w:div>
    <w:div w:id="1357847909">
      <w:bodyDiv w:val="1"/>
      <w:marLeft w:val="0"/>
      <w:marRight w:val="0"/>
      <w:marTop w:val="0"/>
      <w:marBottom w:val="0"/>
      <w:divBdr>
        <w:top w:val="none" w:sz="0" w:space="0" w:color="auto"/>
        <w:left w:val="none" w:sz="0" w:space="0" w:color="auto"/>
        <w:bottom w:val="none" w:sz="0" w:space="0" w:color="auto"/>
        <w:right w:val="none" w:sz="0" w:space="0" w:color="auto"/>
      </w:divBdr>
    </w:div>
    <w:div w:id="1367288149">
      <w:bodyDiv w:val="1"/>
      <w:marLeft w:val="0"/>
      <w:marRight w:val="0"/>
      <w:marTop w:val="0"/>
      <w:marBottom w:val="0"/>
      <w:divBdr>
        <w:top w:val="none" w:sz="0" w:space="0" w:color="auto"/>
        <w:left w:val="none" w:sz="0" w:space="0" w:color="auto"/>
        <w:bottom w:val="none" w:sz="0" w:space="0" w:color="auto"/>
        <w:right w:val="none" w:sz="0" w:space="0" w:color="auto"/>
      </w:divBdr>
    </w:div>
    <w:div w:id="1409962730">
      <w:bodyDiv w:val="1"/>
      <w:marLeft w:val="0"/>
      <w:marRight w:val="0"/>
      <w:marTop w:val="0"/>
      <w:marBottom w:val="0"/>
      <w:divBdr>
        <w:top w:val="none" w:sz="0" w:space="0" w:color="auto"/>
        <w:left w:val="none" w:sz="0" w:space="0" w:color="auto"/>
        <w:bottom w:val="none" w:sz="0" w:space="0" w:color="auto"/>
        <w:right w:val="none" w:sz="0" w:space="0" w:color="auto"/>
      </w:divBdr>
    </w:div>
    <w:div w:id="1494640711">
      <w:bodyDiv w:val="1"/>
      <w:marLeft w:val="0"/>
      <w:marRight w:val="0"/>
      <w:marTop w:val="0"/>
      <w:marBottom w:val="0"/>
      <w:divBdr>
        <w:top w:val="none" w:sz="0" w:space="0" w:color="auto"/>
        <w:left w:val="none" w:sz="0" w:space="0" w:color="auto"/>
        <w:bottom w:val="none" w:sz="0" w:space="0" w:color="auto"/>
        <w:right w:val="none" w:sz="0" w:space="0" w:color="auto"/>
      </w:divBdr>
    </w:div>
    <w:div w:id="1529948741">
      <w:bodyDiv w:val="1"/>
      <w:marLeft w:val="0"/>
      <w:marRight w:val="0"/>
      <w:marTop w:val="0"/>
      <w:marBottom w:val="0"/>
      <w:divBdr>
        <w:top w:val="none" w:sz="0" w:space="0" w:color="auto"/>
        <w:left w:val="none" w:sz="0" w:space="0" w:color="auto"/>
        <w:bottom w:val="none" w:sz="0" w:space="0" w:color="auto"/>
        <w:right w:val="none" w:sz="0" w:space="0" w:color="auto"/>
      </w:divBdr>
    </w:div>
    <w:div w:id="1613660087">
      <w:bodyDiv w:val="1"/>
      <w:marLeft w:val="0"/>
      <w:marRight w:val="0"/>
      <w:marTop w:val="0"/>
      <w:marBottom w:val="0"/>
      <w:divBdr>
        <w:top w:val="none" w:sz="0" w:space="0" w:color="auto"/>
        <w:left w:val="none" w:sz="0" w:space="0" w:color="auto"/>
        <w:bottom w:val="none" w:sz="0" w:space="0" w:color="auto"/>
        <w:right w:val="none" w:sz="0" w:space="0" w:color="auto"/>
      </w:divBdr>
    </w:div>
    <w:div w:id="1790514898">
      <w:bodyDiv w:val="1"/>
      <w:marLeft w:val="0"/>
      <w:marRight w:val="0"/>
      <w:marTop w:val="0"/>
      <w:marBottom w:val="0"/>
      <w:divBdr>
        <w:top w:val="none" w:sz="0" w:space="0" w:color="auto"/>
        <w:left w:val="none" w:sz="0" w:space="0" w:color="auto"/>
        <w:bottom w:val="none" w:sz="0" w:space="0" w:color="auto"/>
        <w:right w:val="none" w:sz="0" w:space="0" w:color="auto"/>
      </w:divBdr>
    </w:div>
    <w:div w:id="1930918356">
      <w:bodyDiv w:val="1"/>
      <w:marLeft w:val="0"/>
      <w:marRight w:val="0"/>
      <w:marTop w:val="0"/>
      <w:marBottom w:val="0"/>
      <w:divBdr>
        <w:top w:val="none" w:sz="0" w:space="0" w:color="auto"/>
        <w:left w:val="none" w:sz="0" w:space="0" w:color="auto"/>
        <w:bottom w:val="none" w:sz="0" w:space="0" w:color="auto"/>
        <w:right w:val="none" w:sz="0" w:space="0" w:color="auto"/>
      </w:divBdr>
      <w:divsChild>
        <w:div w:id="562523960">
          <w:marLeft w:val="0"/>
          <w:marRight w:val="0"/>
          <w:marTop w:val="0"/>
          <w:marBottom w:val="0"/>
          <w:divBdr>
            <w:top w:val="none" w:sz="0" w:space="0" w:color="auto"/>
            <w:left w:val="none" w:sz="0" w:space="0" w:color="auto"/>
            <w:bottom w:val="none" w:sz="0" w:space="0" w:color="auto"/>
            <w:right w:val="none" w:sz="0" w:space="0" w:color="auto"/>
          </w:divBdr>
        </w:div>
      </w:divsChild>
    </w:div>
    <w:div w:id="197637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CCD47-7807-4952-B0F3-BC62CA21C3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3619</Words>
  <Characters>20634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Mahir Mollik (2119456)</cp:lastModifiedBy>
  <cp:revision>4</cp:revision>
  <dcterms:created xsi:type="dcterms:W3CDTF">2024-02-20T10:14:00Z</dcterms:created>
  <dcterms:modified xsi:type="dcterms:W3CDTF">2024-02-20T10:15:00Z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2024-01-26T15:43:39Z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ae13d032-643a-4985-b50d-9ca2f31d69fe</vt:lpwstr>
  </property>
  <property fmtid="{D5CDD505-2E9C-101B-9397-08002B2CF9AE}" pid="7" name="MSIP_Label_defa4170-0d19-0005-0004-bc88714345d2_ActionId">
    <vt:lpwstr>caa4f401-2475-4a8f-9b82-d59adeae526d</vt:lpwstr>
  </property>
  <property fmtid="{D5CDD505-2E9C-101B-9397-08002B2CF9AE}" pid="8" name="MSIP_Label_defa4170-0d19-0005-0004-bc88714345d2_ContentBits">
    <vt:lpwstr>0</vt:lpwstr>
  </property>
</Properties>
</file>