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8943E" w14:textId="77777777" w:rsidR="00477B92" w:rsidRDefault="00477B92" w:rsidP="00477B92">
      <w:pPr>
        <w:pStyle w:val="NormalWeb"/>
        <w:spacing w:before="0" w:beforeAutospacing="0" w:after="0" w:afterAutospacing="0"/>
        <w:ind w:left="-180" w:right="-334"/>
      </w:pPr>
      <w:r>
        <w:rPr>
          <w:noProof/>
        </w:rPr>
        <w:drawing>
          <wp:inline distT="0" distB="0" distL="0" distR="0" wp14:anchorId="67A820E3" wp14:editId="38029994">
            <wp:extent cx="1905000" cy="635000"/>
            <wp:effectExtent l="25400" t="25400" r="12700" b="1270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141BB81D" w14:textId="77777777" w:rsidR="00477B92" w:rsidRDefault="00477B92" w:rsidP="00477B92">
      <w:pPr>
        <w:pStyle w:val="NormalWeb"/>
        <w:spacing w:before="0" w:beforeAutospacing="0" w:after="0" w:afterAutospacing="0"/>
        <w:ind w:left="-180" w:right="-334"/>
      </w:pPr>
    </w:p>
    <w:p w14:paraId="0672DCBF" w14:textId="77777777" w:rsidR="00477B92" w:rsidRDefault="00477B92" w:rsidP="00477B92">
      <w:pPr>
        <w:pStyle w:val="NormalWeb"/>
        <w:spacing w:before="0" w:beforeAutospacing="0" w:after="0" w:afterAutospacing="0"/>
        <w:ind w:left="-180" w:right="-334"/>
      </w:pPr>
    </w:p>
    <w:p w14:paraId="7F8B454E" w14:textId="77777777" w:rsidR="00477B92" w:rsidRDefault="00477B92" w:rsidP="00477B9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CEEAAD6" w14:textId="77777777" w:rsidR="00477B92" w:rsidRPr="00230F35" w:rsidRDefault="00477B92" w:rsidP="00477B9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B1CA3FE" w14:textId="77777777" w:rsidR="00477B92" w:rsidRPr="00230F35" w:rsidRDefault="00477B92" w:rsidP="00477B92">
      <w:pPr>
        <w:rPr>
          <w:rFonts w:ascii="Arial" w:hAnsi="Arial" w:cs="Arial"/>
          <w:sz w:val="28"/>
          <w:szCs w:val="28"/>
          <w:lang w:val="cy-GB"/>
        </w:rPr>
      </w:pPr>
    </w:p>
    <w:p w14:paraId="64CC0F5A" w14:textId="77777777" w:rsidR="00477B92" w:rsidRDefault="00477B92" w:rsidP="00477B92">
      <w:pPr>
        <w:pStyle w:val="Heading3"/>
        <w:jc w:val="center"/>
        <w:rPr>
          <w:lang w:val="cy-GB"/>
        </w:rPr>
      </w:pPr>
      <w:r>
        <w:rPr>
          <w:lang w:val="cy-GB"/>
        </w:rPr>
        <w:t>THIS SHEET MUST BE THE FIRST PAGE OF THE ASSIGNMENT YOU ARE SUBMITTING  (DO NOT SEND AS A SEPARATE FILE)</w:t>
      </w:r>
    </w:p>
    <w:p w14:paraId="0375E5DC" w14:textId="77777777" w:rsidR="00477B92" w:rsidRDefault="00477B92" w:rsidP="00477B9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77B92" w:rsidRPr="00230F35" w14:paraId="6149491C" w14:textId="77777777" w:rsidTr="00172740">
        <w:trPr>
          <w:trHeight w:val="614"/>
        </w:trPr>
        <w:tc>
          <w:tcPr>
            <w:tcW w:w="8856" w:type="dxa"/>
            <w:gridSpan w:val="5"/>
          </w:tcPr>
          <w:p w14:paraId="5CFFED8E" w14:textId="77777777" w:rsidR="00477B92" w:rsidRPr="00230F35" w:rsidRDefault="00477B92" w:rsidP="0017274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77B92" w:rsidRPr="00230F35" w14:paraId="3C84EF79" w14:textId="77777777" w:rsidTr="00172740">
        <w:trPr>
          <w:trHeight w:val="718"/>
        </w:trPr>
        <w:tc>
          <w:tcPr>
            <w:tcW w:w="8856" w:type="dxa"/>
            <w:gridSpan w:val="5"/>
          </w:tcPr>
          <w:p w14:paraId="53869FEC" w14:textId="77777777" w:rsidR="00477B92" w:rsidRDefault="00477B92" w:rsidP="0017274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EB1F806" w14:textId="77777777" w:rsidR="00477B92" w:rsidRPr="00230F35" w:rsidRDefault="00477B92" w:rsidP="00172740">
            <w:pPr>
              <w:pStyle w:val="NormalWeb"/>
              <w:spacing w:before="0" w:beforeAutospacing="0" w:after="0" w:afterAutospacing="0"/>
              <w:ind w:right="34"/>
              <w:rPr>
                <w:rFonts w:ascii="Arial" w:hAnsi="Arial" w:cs="Arial"/>
                <w:sz w:val="22"/>
                <w:szCs w:val="22"/>
              </w:rPr>
            </w:pPr>
            <w:r>
              <w:rPr>
                <w:rFonts w:ascii="Arial" w:hAnsi="Arial" w:cs="Arial"/>
                <w:sz w:val="22"/>
                <w:szCs w:val="22"/>
              </w:rPr>
              <w:t>Kristin Bremer</w:t>
            </w:r>
          </w:p>
        </w:tc>
      </w:tr>
      <w:tr w:rsidR="00477B92" w:rsidRPr="00230F35" w14:paraId="0BEC76D0" w14:textId="77777777" w:rsidTr="00172740">
        <w:trPr>
          <w:trHeight w:val="849"/>
        </w:trPr>
        <w:tc>
          <w:tcPr>
            <w:tcW w:w="4788" w:type="dxa"/>
          </w:tcPr>
          <w:p w14:paraId="52E3C102" w14:textId="77777777" w:rsidR="00477B92" w:rsidRPr="00230F35" w:rsidRDefault="00477B92" w:rsidP="0017274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HPMS 7006</w:t>
            </w:r>
          </w:p>
          <w:p w14:paraId="06705195" w14:textId="77777777" w:rsidR="00477B92" w:rsidRPr="00230F35" w:rsidRDefault="00477B92" w:rsidP="00172740">
            <w:pPr>
              <w:pStyle w:val="NormalWeb"/>
              <w:spacing w:before="0" w:beforeAutospacing="0" w:after="0" w:afterAutospacing="0"/>
              <w:ind w:right="34"/>
              <w:rPr>
                <w:rFonts w:ascii="Arial" w:hAnsi="Arial" w:cs="Arial"/>
                <w:sz w:val="22"/>
                <w:szCs w:val="22"/>
              </w:rPr>
            </w:pPr>
          </w:p>
          <w:p w14:paraId="1DF66B2B" w14:textId="77777777" w:rsidR="00477B92" w:rsidRDefault="00477B92" w:rsidP="0017274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17A0047" w14:textId="77777777" w:rsidR="00477B92" w:rsidRDefault="00477B92" w:rsidP="00172740">
            <w:pPr>
              <w:pStyle w:val="NormalWeb"/>
              <w:spacing w:before="0" w:beforeAutospacing="0" w:after="0" w:afterAutospacing="0"/>
              <w:ind w:right="34"/>
              <w:rPr>
                <w:rFonts w:ascii="Arial" w:hAnsi="Arial" w:cs="Arial"/>
                <w:sz w:val="22"/>
                <w:szCs w:val="22"/>
              </w:rPr>
            </w:pPr>
          </w:p>
          <w:p w14:paraId="10696B5A" w14:textId="77777777" w:rsidR="00477B92" w:rsidRPr="00230F35" w:rsidRDefault="00477B92" w:rsidP="00172740">
            <w:pPr>
              <w:pStyle w:val="NormalWeb"/>
              <w:spacing w:before="0" w:beforeAutospacing="0" w:after="0" w:afterAutospacing="0"/>
              <w:ind w:right="34"/>
              <w:rPr>
                <w:rFonts w:ascii="Arial" w:hAnsi="Arial" w:cs="Arial"/>
                <w:sz w:val="22"/>
                <w:szCs w:val="22"/>
              </w:rPr>
            </w:pPr>
            <w:r>
              <w:rPr>
                <w:rFonts w:ascii="Arial" w:hAnsi="Arial" w:cs="Arial"/>
                <w:sz w:val="22"/>
                <w:szCs w:val="22"/>
              </w:rPr>
              <w:t>Thomas Becket</w:t>
            </w:r>
          </w:p>
        </w:tc>
        <w:tc>
          <w:tcPr>
            <w:tcW w:w="2266" w:type="dxa"/>
            <w:gridSpan w:val="3"/>
          </w:tcPr>
          <w:p w14:paraId="37482114" w14:textId="77777777" w:rsidR="00477B92" w:rsidRDefault="00477B92" w:rsidP="0017274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529DDBF" w14:textId="77777777" w:rsidR="00477B92" w:rsidRPr="00230F35" w:rsidRDefault="00477B92" w:rsidP="00172740">
            <w:pPr>
              <w:pStyle w:val="NormalWeb"/>
              <w:spacing w:before="0" w:beforeAutospacing="0" w:after="0" w:afterAutospacing="0"/>
              <w:ind w:right="34"/>
              <w:rPr>
                <w:rFonts w:ascii="Arial" w:hAnsi="Arial" w:cs="Arial"/>
                <w:sz w:val="22"/>
                <w:szCs w:val="22"/>
              </w:rPr>
            </w:pPr>
            <w:r>
              <w:rPr>
                <w:rFonts w:ascii="Arial" w:hAnsi="Arial" w:cs="Arial"/>
                <w:sz w:val="22"/>
                <w:szCs w:val="22"/>
              </w:rPr>
              <w:t>2101218</w:t>
            </w:r>
          </w:p>
        </w:tc>
        <w:tc>
          <w:tcPr>
            <w:tcW w:w="1802" w:type="dxa"/>
          </w:tcPr>
          <w:p w14:paraId="122CCE4B" w14:textId="77777777" w:rsidR="00477B92" w:rsidRPr="00230F35" w:rsidRDefault="00477B92" w:rsidP="0017274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BF2C7EB" w14:textId="77777777" w:rsidR="00477B92" w:rsidRPr="00230F35" w:rsidRDefault="00477B92" w:rsidP="0017274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477B92" w:rsidRPr="00230F35" w14:paraId="436AA2A7" w14:textId="77777777" w:rsidTr="00172740">
        <w:trPr>
          <w:trHeight w:val="1139"/>
        </w:trPr>
        <w:tc>
          <w:tcPr>
            <w:tcW w:w="8856" w:type="dxa"/>
            <w:gridSpan w:val="5"/>
          </w:tcPr>
          <w:p w14:paraId="0996C762" w14:textId="77777777" w:rsidR="00477B92" w:rsidRPr="00230F35" w:rsidRDefault="00477B92" w:rsidP="00172740">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786BA874" w14:textId="77777777" w:rsidR="00477B92" w:rsidRPr="00230F35" w:rsidRDefault="00477B92" w:rsidP="00172740">
            <w:pPr>
              <w:pStyle w:val="NormalWeb"/>
              <w:spacing w:before="0" w:beforeAutospacing="0" w:after="0" w:afterAutospacing="0"/>
              <w:ind w:right="34"/>
              <w:rPr>
                <w:rFonts w:ascii="Arial" w:hAnsi="Arial" w:cs="Arial"/>
                <w:sz w:val="22"/>
                <w:szCs w:val="22"/>
              </w:rPr>
            </w:pPr>
          </w:p>
          <w:p w14:paraId="552A70A3" w14:textId="77777777" w:rsidR="00477B92" w:rsidRDefault="00477B92" w:rsidP="00172740">
            <w:pPr>
              <w:pStyle w:val="NormalWeb"/>
              <w:spacing w:before="0" w:beforeAutospacing="0" w:after="0" w:afterAutospacing="0"/>
              <w:ind w:right="34"/>
              <w:rPr>
                <w:rFonts w:ascii="Arial" w:hAnsi="Arial" w:cs="Arial"/>
                <w:sz w:val="22"/>
                <w:szCs w:val="22"/>
              </w:rPr>
            </w:pPr>
          </w:p>
          <w:p w14:paraId="582FF8DA" w14:textId="77777777" w:rsidR="00477B92" w:rsidRPr="00230F35" w:rsidRDefault="00477B92" w:rsidP="0017274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22 November 2021</w:t>
            </w:r>
          </w:p>
        </w:tc>
      </w:tr>
      <w:tr w:rsidR="00477B92" w:rsidRPr="00230F35" w14:paraId="7E4C3AB7" w14:textId="77777777" w:rsidTr="00172740">
        <w:trPr>
          <w:trHeight w:val="978"/>
        </w:trPr>
        <w:tc>
          <w:tcPr>
            <w:tcW w:w="8856" w:type="dxa"/>
            <w:gridSpan w:val="5"/>
            <w:tcBorders>
              <w:bottom w:val="single" w:sz="4" w:space="0" w:color="000000"/>
            </w:tcBorders>
          </w:tcPr>
          <w:p w14:paraId="6CEECA3D" w14:textId="77777777" w:rsidR="00477B92" w:rsidRDefault="00477B92" w:rsidP="00172740">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1FD183BE" w14:textId="77777777" w:rsidR="00477B92" w:rsidRDefault="00477B92" w:rsidP="00172740">
            <w:pPr>
              <w:rPr>
                <w:rFonts w:ascii="Arial" w:hAnsi="Arial" w:cs="Arial"/>
                <w:sz w:val="22"/>
                <w:szCs w:val="22"/>
              </w:rPr>
            </w:pPr>
          </w:p>
          <w:p w14:paraId="43B7D3FC" w14:textId="77777777" w:rsidR="00477B92" w:rsidRPr="00230F35" w:rsidRDefault="00477B92" w:rsidP="00172740">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Pr>
                <w:rFonts w:ascii="Arial" w:hAnsi="Arial" w:cs="Arial"/>
                <w:b/>
                <w:bCs/>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477B92" w:rsidRPr="00230F35" w14:paraId="723E91ED" w14:textId="77777777" w:rsidTr="00172740">
        <w:trPr>
          <w:trHeight w:val="978"/>
        </w:trPr>
        <w:tc>
          <w:tcPr>
            <w:tcW w:w="8856" w:type="dxa"/>
            <w:gridSpan w:val="5"/>
            <w:shd w:val="clear" w:color="auto" w:fill="D9D9D9"/>
          </w:tcPr>
          <w:p w14:paraId="4D758C52" w14:textId="77777777" w:rsidR="00477B92" w:rsidRPr="00230F35" w:rsidRDefault="00477B92" w:rsidP="0017274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194F9C9" w14:textId="77777777" w:rsidR="00477B92" w:rsidRDefault="00477B92" w:rsidP="0017274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B3F5F40" w14:textId="77777777" w:rsidR="00477B92" w:rsidRDefault="00477B92" w:rsidP="0017274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0935DBD1" w14:textId="77777777" w:rsidR="00477B92" w:rsidRPr="00230F35" w:rsidRDefault="00477B92" w:rsidP="00172740">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477B92" w:rsidRPr="00230F35" w14:paraId="52EFA084" w14:textId="77777777" w:rsidTr="00172740">
        <w:trPr>
          <w:trHeight w:val="3972"/>
        </w:trPr>
        <w:tc>
          <w:tcPr>
            <w:tcW w:w="8856" w:type="dxa"/>
            <w:gridSpan w:val="5"/>
          </w:tcPr>
          <w:p w14:paraId="6571295B" w14:textId="77777777" w:rsidR="00477B92" w:rsidRDefault="00477B92" w:rsidP="00172740">
            <w:pPr>
              <w:rPr>
                <w:rFonts w:ascii="Arial" w:hAnsi="Arial"/>
                <w:b/>
              </w:rPr>
            </w:pPr>
          </w:p>
          <w:p w14:paraId="414C766E" w14:textId="77777777" w:rsidR="00477B92" w:rsidRPr="00116CE6" w:rsidRDefault="00477B92" w:rsidP="0017274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77B92" w:rsidRPr="00116CE6" w14:paraId="02FA4895" w14:textId="77777777" w:rsidTr="00172740">
              <w:tc>
                <w:tcPr>
                  <w:tcW w:w="6970" w:type="dxa"/>
                </w:tcPr>
                <w:p w14:paraId="2D6822CB" w14:textId="77777777" w:rsidR="00477B92" w:rsidRPr="00116CE6" w:rsidRDefault="00477B92" w:rsidP="00172740">
                  <w:pPr>
                    <w:rPr>
                      <w:rFonts w:ascii="Arial" w:hAnsi="Arial"/>
                      <w:sz w:val="20"/>
                      <w:szCs w:val="20"/>
                    </w:rPr>
                  </w:pPr>
                </w:p>
                <w:p w14:paraId="0F0B8E81" w14:textId="77777777" w:rsidR="00477B92" w:rsidRPr="00116CE6" w:rsidRDefault="00477B92" w:rsidP="0017274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966ACA6" w14:textId="77777777" w:rsidR="00477B92" w:rsidRPr="00116CE6" w:rsidRDefault="00477B92" w:rsidP="00172740">
                  <w:pPr>
                    <w:rPr>
                      <w:rFonts w:ascii="Arial" w:hAnsi="Arial"/>
                      <w:sz w:val="20"/>
                      <w:szCs w:val="20"/>
                    </w:rPr>
                  </w:pPr>
                </w:p>
              </w:tc>
            </w:tr>
            <w:tr w:rsidR="00477B92" w:rsidRPr="00116CE6" w14:paraId="6B84D30C" w14:textId="77777777" w:rsidTr="00172740">
              <w:tc>
                <w:tcPr>
                  <w:tcW w:w="6970" w:type="dxa"/>
                </w:tcPr>
                <w:p w14:paraId="56BF1B4C" w14:textId="77777777" w:rsidR="00477B92" w:rsidRPr="00116CE6" w:rsidRDefault="00477B92" w:rsidP="00172740">
                  <w:pPr>
                    <w:rPr>
                      <w:rFonts w:ascii="Arial" w:hAnsi="Arial"/>
                      <w:sz w:val="20"/>
                      <w:szCs w:val="20"/>
                    </w:rPr>
                  </w:pPr>
                </w:p>
                <w:p w14:paraId="7C872207" w14:textId="77777777" w:rsidR="00477B92" w:rsidRPr="00116CE6" w:rsidRDefault="00477B92" w:rsidP="0017274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7315B34" w14:textId="77777777" w:rsidR="00477B92" w:rsidRPr="00116CE6" w:rsidRDefault="00477B92" w:rsidP="00172740">
                  <w:pPr>
                    <w:rPr>
                      <w:rFonts w:ascii="Arial" w:hAnsi="Arial"/>
                      <w:sz w:val="20"/>
                      <w:szCs w:val="20"/>
                    </w:rPr>
                  </w:pPr>
                </w:p>
              </w:tc>
            </w:tr>
            <w:tr w:rsidR="00477B92" w:rsidRPr="00116CE6" w14:paraId="7B7AEF9A" w14:textId="77777777" w:rsidTr="00172740">
              <w:tc>
                <w:tcPr>
                  <w:tcW w:w="6970" w:type="dxa"/>
                </w:tcPr>
                <w:p w14:paraId="61A1688C" w14:textId="77777777" w:rsidR="00477B92" w:rsidRPr="00116CE6" w:rsidRDefault="00477B92" w:rsidP="00172740">
                  <w:pPr>
                    <w:rPr>
                      <w:rFonts w:ascii="Arial" w:hAnsi="Arial"/>
                      <w:sz w:val="20"/>
                      <w:szCs w:val="20"/>
                    </w:rPr>
                  </w:pPr>
                </w:p>
                <w:p w14:paraId="0834A000" w14:textId="77777777" w:rsidR="00477B92" w:rsidRPr="00116CE6" w:rsidRDefault="00477B92" w:rsidP="0017274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5EACB02" w14:textId="77777777" w:rsidR="00477B92" w:rsidRPr="00116CE6" w:rsidRDefault="00477B92" w:rsidP="00172740">
                  <w:pPr>
                    <w:rPr>
                      <w:rFonts w:ascii="Arial" w:hAnsi="Arial"/>
                      <w:sz w:val="20"/>
                      <w:szCs w:val="20"/>
                    </w:rPr>
                  </w:pPr>
                </w:p>
              </w:tc>
            </w:tr>
            <w:tr w:rsidR="00477B92" w:rsidRPr="00116CE6" w14:paraId="2DCDFDC8" w14:textId="77777777" w:rsidTr="00172740">
              <w:tc>
                <w:tcPr>
                  <w:tcW w:w="6970" w:type="dxa"/>
                </w:tcPr>
                <w:p w14:paraId="3646EC05" w14:textId="77777777" w:rsidR="00477B92" w:rsidRDefault="00477B92" w:rsidP="00172740">
                  <w:pPr>
                    <w:rPr>
                      <w:rFonts w:ascii="Arial" w:hAnsi="Arial"/>
                      <w:sz w:val="20"/>
                      <w:szCs w:val="20"/>
                    </w:rPr>
                  </w:pPr>
                </w:p>
                <w:p w14:paraId="59D94612" w14:textId="77777777" w:rsidR="00477B92" w:rsidRPr="00022345" w:rsidRDefault="00477B92" w:rsidP="00172740">
                  <w:pPr>
                    <w:rPr>
                      <w:rFonts w:ascii="Arial" w:hAnsi="Arial"/>
                      <w:b/>
                      <w:sz w:val="20"/>
                      <w:szCs w:val="20"/>
                    </w:rPr>
                  </w:pPr>
                  <w:r w:rsidRPr="00022345">
                    <w:rPr>
                      <w:rFonts w:ascii="Arial" w:hAnsi="Arial"/>
                      <w:b/>
                      <w:sz w:val="20"/>
                      <w:szCs w:val="20"/>
                    </w:rPr>
                    <w:t>Final Mark</w:t>
                  </w:r>
                </w:p>
                <w:p w14:paraId="7F61FA99" w14:textId="77777777" w:rsidR="00477B92" w:rsidRPr="00116CE6" w:rsidRDefault="00477B92" w:rsidP="00172740">
                  <w:pPr>
                    <w:rPr>
                      <w:rFonts w:ascii="Arial" w:hAnsi="Arial"/>
                      <w:sz w:val="20"/>
                      <w:szCs w:val="20"/>
                    </w:rPr>
                  </w:pPr>
                </w:p>
              </w:tc>
              <w:tc>
                <w:tcPr>
                  <w:tcW w:w="1660" w:type="dxa"/>
                </w:tcPr>
                <w:p w14:paraId="6CD7CC85" w14:textId="77777777" w:rsidR="00477B92" w:rsidRPr="00116CE6" w:rsidRDefault="00477B92" w:rsidP="00172740">
                  <w:pPr>
                    <w:rPr>
                      <w:rFonts w:ascii="Arial" w:hAnsi="Arial"/>
                      <w:sz w:val="20"/>
                      <w:szCs w:val="20"/>
                    </w:rPr>
                  </w:pPr>
                </w:p>
              </w:tc>
            </w:tr>
          </w:tbl>
          <w:p w14:paraId="528DB80C" w14:textId="77777777" w:rsidR="00477B92" w:rsidRDefault="00477B92" w:rsidP="00172740">
            <w:pPr>
              <w:pStyle w:val="NormalWeb"/>
              <w:spacing w:before="0" w:beforeAutospacing="0" w:after="0" w:afterAutospacing="0"/>
              <w:ind w:left="142" w:right="34"/>
              <w:rPr>
                <w:rFonts w:ascii="Arial" w:hAnsi="Arial" w:cs="Arial"/>
                <w:b/>
                <w:sz w:val="22"/>
                <w:szCs w:val="22"/>
              </w:rPr>
            </w:pPr>
          </w:p>
          <w:p w14:paraId="21DA8EC2" w14:textId="77777777" w:rsidR="00477B92" w:rsidRPr="00230F35" w:rsidRDefault="00477B92" w:rsidP="0017274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8A37F9E" w14:textId="77777777" w:rsidR="00477B92" w:rsidRDefault="00477B92" w:rsidP="00172740">
            <w:pPr>
              <w:pStyle w:val="NormalWeb"/>
              <w:spacing w:before="0" w:beforeAutospacing="0" w:after="0" w:afterAutospacing="0"/>
              <w:rPr>
                <w:rFonts w:ascii="Arial" w:hAnsi="Arial" w:cs="Arial"/>
                <w:b/>
                <w:sz w:val="22"/>
                <w:szCs w:val="22"/>
              </w:rPr>
            </w:pPr>
          </w:p>
          <w:p w14:paraId="1363B3C2" w14:textId="77777777" w:rsidR="00477B92" w:rsidRDefault="00477B92" w:rsidP="00172740">
            <w:pPr>
              <w:pStyle w:val="NormalWeb"/>
              <w:spacing w:before="0" w:beforeAutospacing="0" w:after="0" w:afterAutospacing="0"/>
              <w:rPr>
                <w:rFonts w:ascii="Arial" w:hAnsi="Arial" w:cs="Arial"/>
                <w:b/>
                <w:sz w:val="22"/>
                <w:szCs w:val="22"/>
              </w:rPr>
            </w:pPr>
          </w:p>
          <w:p w14:paraId="72F3C768" w14:textId="77777777" w:rsidR="00477B92" w:rsidRDefault="00477B92" w:rsidP="00172740">
            <w:pPr>
              <w:pStyle w:val="NormalWeb"/>
              <w:spacing w:before="0" w:beforeAutospacing="0" w:after="0" w:afterAutospacing="0"/>
              <w:rPr>
                <w:rFonts w:ascii="Arial" w:hAnsi="Arial" w:cs="Arial"/>
                <w:b/>
                <w:sz w:val="22"/>
                <w:szCs w:val="22"/>
              </w:rPr>
            </w:pPr>
          </w:p>
          <w:p w14:paraId="0D35C7E3" w14:textId="77777777" w:rsidR="00477B92" w:rsidRDefault="00477B92" w:rsidP="00172740">
            <w:pPr>
              <w:pStyle w:val="NormalWeb"/>
              <w:spacing w:before="0" w:beforeAutospacing="0" w:after="0" w:afterAutospacing="0"/>
              <w:rPr>
                <w:rFonts w:ascii="Arial" w:hAnsi="Arial" w:cs="Arial"/>
                <w:b/>
                <w:sz w:val="22"/>
                <w:szCs w:val="22"/>
              </w:rPr>
            </w:pPr>
          </w:p>
          <w:p w14:paraId="6342008B" w14:textId="77777777" w:rsidR="00477B92" w:rsidRDefault="00477B92" w:rsidP="00172740">
            <w:pPr>
              <w:pStyle w:val="NormalWeb"/>
              <w:spacing w:before="0" w:beforeAutospacing="0" w:after="0" w:afterAutospacing="0"/>
              <w:rPr>
                <w:rFonts w:ascii="Arial" w:hAnsi="Arial" w:cs="Arial"/>
                <w:b/>
                <w:sz w:val="22"/>
                <w:szCs w:val="22"/>
              </w:rPr>
            </w:pPr>
          </w:p>
          <w:p w14:paraId="761BAD5C" w14:textId="77777777" w:rsidR="00477B92" w:rsidRPr="00230F35" w:rsidRDefault="00477B92" w:rsidP="0017274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ED68C99" w14:textId="77777777" w:rsidR="00477B92" w:rsidRDefault="00477B92" w:rsidP="0017274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7DC8BE5" w14:textId="77777777" w:rsidR="00477B92" w:rsidRPr="00001C3B" w:rsidRDefault="00477B92" w:rsidP="00172740">
            <w:pPr>
              <w:pStyle w:val="NormalWeb"/>
              <w:rPr>
                <w:rFonts w:ascii="Arial" w:hAnsi="Arial" w:cs="Arial"/>
                <w:sz w:val="22"/>
                <w:szCs w:val="22"/>
              </w:rPr>
            </w:pPr>
          </w:p>
        </w:tc>
      </w:tr>
      <w:tr w:rsidR="00477B92" w:rsidRPr="00230F35" w14:paraId="136E0402" w14:textId="77777777" w:rsidTr="00172740">
        <w:trPr>
          <w:trHeight w:val="492"/>
        </w:trPr>
        <w:tc>
          <w:tcPr>
            <w:tcW w:w="6768" w:type="dxa"/>
            <w:gridSpan w:val="3"/>
          </w:tcPr>
          <w:p w14:paraId="4DEDB700" w14:textId="77777777" w:rsidR="00477B92" w:rsidRPr="00230F35" w:rsidRDefault="00477B92" w:rsidP="0017274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3926D0B" w14:textId="77777777" w:rsidR="00477B92" w:rsidRPr="00230F35" w:rsidRDefault="00477B92" w:rsidP="00172740">
            <w:pPr>
              <w:pStyle w:val="NormalWeb"/>
              <w:spacing w:after="0"/>
              <w:ind w:left="142" w:right="34"/>
              <w:rPr>
                <w:rFonts w:ascii="Arial" w:hAnsi="Arial" w:cs="Arial"/>
                <w:sz w:val="22"/>
                <w:szCs w:val="22"/>
              </w:rPr>
            </w:pPr>
            <w:r w:rsidRPr="00230F35">
              <w:rPr>
                <w:rFonts w:ascii="Arial" w:hAnsi="Arial" w:cs="Arial"/>
                <w:sz w:val="22"/>
                <w:szCs w:val="22"/>
              </w:rPr>
              <w:t>Date:</w:t>
            </w:r>
          </w:p>
        </w:tc>
      </w:tr>
      <w:tr w:rsidR="00477B92" w:rsidRPr="002F467C" w14:paraId="6B27AA1E" w14:textId="77777777" w:rsidTr="00172740">
        <w:tc>
          <w:tcPr>
            <w:tcW w:w="8856" w:type="dxa"/>
            <w:gridSpan w:val="5"/>
          </w:tcPr>
          <w:p w14:paraId="7E9C7F5D" w14:textId="77777777" w:rsidR="00477B92" w:rsidRPr="00230F35" w:rsidRDefault="00477B92" w:rsidP="00172740">
            <w:pPr>
              <w:pStyle w:val="NormalWeb"/>
              <w:spacing w:before="0" w:beforeAutospacing="0" w:after="0" w:afterAutospacing="0"/>
              <w:ind w:right="-334"/>
              <w:rPr>
                <w:rFonts w:ascii="Arial" w:hAnsi="Arial" w:cs="Arial"/>
                <w:bCs/>
                <w:i/>
                <w:sz w:val="22"/>
                <w:szCs w:val="22"/>
              </w:rPr>
            </w:pPr>
          </w:p>
          <w:p w14:paraId="54CF0D4B" w14:textId="77777777" w:rsidR="00477B92" w:rsidRPr="00230F35" w:rsidRDefault="00477B92" w:rsidP="0017274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63DCF7D" w14:textId="77777777" w:rsidR="00477B92" w:rsidRPr="00230F35" w:rsidRDefault="00477B92" w:rsidP="00172740">
            <w:pPr>
              <w:pStyle w:val="NormalWeb"/>
              <w:spacing w:before="0" w:beforeAutospacing="0" w:after="0" w:afterAutospacing="0"/>
              <w:ind w:right="-334"/>
              <w:rPr>
                <w:rFonts w:ascii="Arial" w:hAnsi="Arial" w:cs="Arial"/>
                <w:b/>
                <w:bCs/>
                <w:sz w:val="22"/>
                <w:szCs w:val="22"/>
              </w:rPr>
            </w:pPr>
          </w:p>
          <w:p w14:paraId="2C4DAEB3" w14:textId="77777777" w:rsidR="00477B92" w:rsidRPr="00230F35" w:rsidRDefault="00477B92" w:rsidP="0017274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B33DD06" w14:textId="77777777" w:rsidR="00477B92" w:rsidRPr="00230F35" w:rsidRDefault="00477B92" w:rsidP="00172740">
            <w:pPr>
              <w:pStyle w:val="NormalWeb"/>
              <w:spacing w:before="0" w:beforeAutospacing="0" w:after="0" w:afterAutospacing="0"/>
              <w:ind w:right="-334"/>
              <w:rPr>
                <w:rFonts w:ascii="Arial" w:hAnsi="Arial" w:cs="Arial"/>
                <w:bCs/>
                <w:sz w:val="22"/>
                <w:szCs w:val="22"/>
              </w:rPr>
            </w:pPr>
          </w:p>
          <w:p w14:paraId="4FB2FA68" w14:textId="77777777" w:rsidR="00477B92" w:rsidRPr="00230F35" w:rsidRDefault="00477B92" w:rsidP="00172740">
            <w:pPr>
              <w:pStyle w:val="NormalWeb"/>
              <w:spacing w:before="0" w:beforeAutospacing="0" w:after="0" w:afterAutospacing="0"/>
              <w:ind w:right="-334"/>
              <w:rPr>
                <w:rFonts w:ascii="Arial" w:hAnsi="Arial" w:cs="Arial"/>
                <w:bCs/>
                <w:sz w:val="22"/>
                <w:szCs w:val="22"/>
              </w:rPr>
            </w:pPr>
          </w:p>
          <w:p w14:paraId="203D4FB6" w14:textId="77777777" w:rsidR="00477B92" w:rsidRPr="00230F35" w:rsidRDefault="00477B92" w:rsidP="00172740">
            <w:pPr>
              <w:pStyle w:val="NormalWeb"/>
              <w:spacing w:before="0" w:beforeAutospacing="0" w:after="0" w:afterAutospacing="0"/>
              <w:ind w:right="-334"/>
              <w:rPr>
                <w:rFonts w:ascii="Arial" w:hAnsi="Arial" w:cs="Arial"/>
                <w:bCs/>
                <w:sz w:val="22"/>
                <w:szCs w:val="22"/>
              </w:rPr>
            </w:pPr>
          </w:p>
        </w:tc>
      </w:tr>
      <w:tr w:rsidR="00477B92" w:rsidRPr="002F467C" w14:paraId="613EE3D2" w14:textId="77777777" w:rsidTr="00172740">
        <w:trPr>
          <w:trHeight w:val="720"/>
        </w:trPr>
        <w:tc>
          <w:tcPr>
            <w:tcW w:w="5211" w:type="dxa"/>
            <w:gridSpan w:val="2"/>
          </w:tcPr>
          <w:p w14:paraId="6BB63928" w14:textId="77777777" w:rsidR="00477B92" w:rsidRPr="00230F35" w:rsidRDefault="00477B92" w:rsidP="0017274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8BBA1E7" w14:textId="77777777" w:rsidR="00477B92" w:rsidRPr="00230F35" w:rsidRDefault="00477B92" w:rsidP="0017274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77B92" w:rsidRPr="002F467C" w14:paraId="53F7F3C0" w14:textId="77777777" w:rsidTr="00172740">
        <w:trPr>
          <w:trHeight w:val="720"/>
        </w:trPr>
        <w:tc>
          <w:tcPr>
            <w:tcW w:w="8856" w:type="dxa"/>
            <w:gridSpan w:val="5"/>
          </w:tcPr>
          <w:p w14:paraId="44B6E560" w14:textId="77777777" w:rsidR="00477B92" w:rsidRPr="00B34964" w:rsidRDefault="00477B92" w:rsidP="00172740">
            <w:pPr>
              <w:rPr>
                <w:rFonts w:ascii="Arial" w:hAnsi="Arial" w:cs="Arial"/>
                <w:b/>
                <w:sz w:val="22"/>
                <w:szCs w:val="22"/>
              </w:rPr>
            </w:pPr>
            <w:r w:rsidRPr="00B34964">
              <w:rPr>
                <w:rFonts w:ascii="Arial" w:hAnsi="Arial" w:cs="Arial"/>
                <w:b/>
                <w:sz w:val="22"/>
                <w:szCs w:val="22"/>
              </w:rPr>
              <w:t>External Examiner’s comments (if relevant)</w:t>
            </w:r>
          </w:p>
          <w:p w14:paraId="378A77E8" w14:textId="77777777" w:rsidR="00477B92" w:rsidRPr="00230F35" w:rsidRDefault="00477B92" w:rsidP="00172740">
            <w:pPr>
              <w:pStyle w:val="NormalWeb"/>
              <w:spacing w:before="0" w:beforeAutospacing="0" w:after="0" w:afterAutospacing="0"/>
              <w:ind w:right="-334"/>
              <w:rPr>
                <w:rFonts w:ascii="Arial" w:hAnsi="Arial" w:cs="Arial"/>
                <w:bCs/>
                <w:sz w:val="22"/>
                <w:szCs w:val="22"/>
              </w:rPr>
            </w:pPr>
          </w:p>
          <w:p w14:paraId="5626C590" w14:textId="77777777" w:rsidR="00477B92" w:rsidRPr="00230F35" w:rsidRDefault="00477B92" w:rsidP="00172740">
            <w:pPr>
              <w:pStyle w:val="NormalWeb"/>
              <w:spacing w:before="0" w:beforeAutospacing="0" w:after="0" w:afterAutospacing="0"/>
              <w:ind w:right="-334"/>
              <w:rPr>
                <w:rFonts w:ascii="Arial" w:hAnsi="Arial" w:cs="Arial"/>
                <w:bCs/>
                <w:sz w:val="22"/>
                <w:szCs w:val="22"/>
              </w:rPr>
            </w:pPr>
          </w:p>
          <w:p w14:paraId="28760DB0" w14:textId="77777777" w:rsidR="00477B92" w:rsidRPr="00230F35" w:rsidRDefault="00477B92" w:rsidP="00172740">
            <w:pPr>
              <w:pStyle w:val="NormalWeb"/>
              <w:spacing w:before="0" w:beforeAutospacing="0" w:after="0" w:afterAutospacing="0"/>
              <w:ind w:right="-334"/>
              <w:rPr>
                <w:rFonts w:ascii="Arial" w:hAnsi="Arial" w:cs="Arial"/>
                <w:bCs/>
                <w:sz w:val="22"/>
                <w:szCs w:val="22"/>
              </w:rPr>
            </w:pPr>
          </w:p>
        </w:tc>
      </w:tr>
      <w:tr w:rsidR="00477B92" w:rsidRPr="002F467C" w14:paraId="4895841F" w14:textId="77777777" w:rsidTr="00172740">
        <w:trPr>
          <w:trHeight w:val="720"/>
        </w:trPr>
        <w:tc>
          <w:tcPr>
            <w:tcW w:w="5211" w:type="dxa"/>
            <w:gridSpan w:val="2"/>
          </w:tcPr>
          <w:p w14:paraId="6A4EEC48" w14:textId="77777777" w:rsidR="00477B92" w:rsidRPr="00230F35" w:rsidRDefault="00477B92" w:rsidP="00172740">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0CB76B2" w14:textId="77777777" w:rsidR="00477B92" w:rsidRPr="00230F35" w:rsidRDefault="00477B92" w:rsidP="00172740">
            <w:pPr>
              <w:rPr>
                <w:rFonts w:ascii="Arial" w:hAnsi="Arial" w:cs="Arial"/>
                <w:sz w:val="22"/>
                <w:szCs w:val="22"/>
              </w:rPr>
            </w:pPr>
            <w:r w:rsidRPr="00230F35">
              <w:rPr>
                <w:rFonts w:ascii="Arial" w:hAnsi="Arial" w:cs="Arial"/>
                <w:sz w:val="22"/>
                <w:szCs w:val="22"/>
              </w:rPr>
              <w:t>Date:</w:t>
            </w:r>
          </w:p>
        </w:tc>
      </w:tr>
    </w:tbl>
    <w:p w14:paraId="2AFA8409" w14:textId="77777777" w:rsidR="00477B92" w:rsidRPr="00D67BF8" w:rsidRDefault="00477B92" w:rsidP="00477B92">
      <w:pPr>
        <w:pStyle w:val="NormalWeb"/>
        <w:spacing w:before="0" w:beforeAutospacing="0" w:after="0" w:afterAutospacing="0"/>
        <w:ind w:right="-334"/>
        <w:rPr>
          <w:rFonts w:ascii="Trebuchet MS" w:hAnsi="Trebuchet MS" w:cs="Tahoma"/>
          <w:bCs/>
          <w:sz w:val="24"/>
          <w:szCs w:val="24"/>
        </w:rPr>
      </w:pPr>
    </w:p>
    <w:p w14:paraId="49F67635" w14:textId="77777777" w:rsidR="00477B92" w:rsidRDefault="00477B92"/>
    <w:p w14:paraId="1924721C" w14:textId="77777777" w:rsidR="00477B92" w:rsidRDefault="00477B92"/>
    <w:p w14:paraId="2775B4D0" w14:textId="77777777" w:rsidR="00477B92" w:rsidRDefault="00477B92"/>
    <w:p w14:paraId="2D9FA331" w14:textId="77777777" w:rsidR="00477B92" w:rsidRDefault="00477B92"/>
    <w:p w14:paraId="369844FE" w14:textId="77777777" w:rsidR="00477B92" w:rsidRDefault="00477B92"/>
    <w:p w14:paraId="0AF45F6A" w14:textId="77777777" w:rsidR="00477B92" w:rsidRDefault="00477B92"/>
    <w:p w14:paraId="18D6A029" w14:textId="77777777" w:rsidR="00477B92" w:rsidRDefault="00477B92"/>
    <w:p w14:paraId="156D3311" w14:textId="5BFD208D" w:rsidR="00D730D5" w:rsidRDefault="00392055">
      <w:r>
        <w:lastRenderedPageBreak/>
        <w:t>Kristin Bremer</w:t>
      </w:r>
    </w:p>
    <w:p w14:paraId="18870A03" w14:textId="77777777" w:rsidR="00D14688" w:rsidRDefault="00D14688">
      <w:r>
        <w:t xml:space="preserve">HPMS 7006 </w:t>
      </w:r>
    </w:p>
    <w:p w14:paraId="5CE538CB" w14:textId="7948AE91" w:rsidR="00392055" w:rsidRDefault="00392055">
      <w:r>
        <w:t xml:space="preserve">Thomas Becket – Assessment 1 </w:t>
      </w:r>
      <w:r w:rsidR="00CE5DE6">
        <w:t>Visual Image Commentary</w:t>
      </w:r>
    </w:p>
    <w:p w14:paraId="672C2B7C" w14:textId="745DF8AB" w:rsidR="00392055" w:rsidRDefault="00392055">
      <w:r>
        <w:t>12 November 2021</w:t>
      </w:r>
    </w:p>
    <w:p w14:paraId="5419AC09" w14:textId="77E9AF1B" w:rsidR="00CE5DE6" w:rsidRDefault="00CE5DE6"/>
    <w:p w14:paraId="5AEF96D8" w14:textId="0D145114" w:rsidR="00CE5DE6" w:rsidRDefault="003E1CBD">
      <w:r>
        <w:t xml:space="preserve">Cambridge, The </w:t>
      </w:r>
      <w:proofErr w:type="spellStart"/>
      <w:r>
        <w:t>FitzWilliam</w:t>
      </w:r>
      <w:proofErr w:type="spellEnd"/>
      <w:r>
        <w:t xml:space="preserve"> Museum M. 22-1904</w:t>
      </w:r>
    </w:p>
    <w:p w14:paraId="5F772489" w14:textId="78C1856A" w:rsidR="003E1CBD" w:rsidRDefault="003E1CBD"/>
    <w:p w14:paraId="3328380F" w14:textId="58C761F7" w:rsidR="003E1CBD" w:rsidRDefault="003E1CBD">
      <w:r>
        <w:t xml:space="preserve">Title: Crucifixion and the Martyrdom of Thomas </w:t>
      </w:r>
      <w:r>
        <w:rPr>
          <w:rFonts w:ascii="Eurostile" w:hAnsi="Eurostile"/>
        </w:rPr>
        <w:t>à</w:t>
      </w:r>
      <w:r>
        <w:t xml:space="preserve"> Becket</w:t>
      </w:r>
    </w:p>
    <w:p w14:paraId="74062C53" w14:textId="2BDF6610" w:rsidR="003E1CBD" w:rsidRDefault="003E1CBD"/>
    <w:p w14:paraId="139EFFDF" w14:textId="521990E6" w:rsidR="0056074A" w:rsidRDefault="003E1CBD" w:rsidP="00566039">
      <w:pPr>
        <w:spacing w:line="480" w:lineRule="auto"/>
      </w:pPr>
      <w:r>
        <w:t>This small ivory carving is the right wing of a diptych broken into an upper and lower depiction.</w:t>
      </w:r>
      <w:r>
        <w:rPr>
          <w:rStyle w:val="FootnoteReference"/>
        </w:rPr>
        <w:footnoteReference w:id="1"/>
      </w:r>
      <w:r>
        <w:t xml:space="preserve">  </w:t>
      </w:r>
      <w:r w:rsidR="00CA0343">
        <w:t xml:space="preserve">The </w:t>
      </w:r>
      <w:r>
        <w:t xml:space="preserve">Crucifixion of </w:t>
      </w:r>
      <w:r w:rsidR="00CA0343">
        <w:t>Christ</w:t>
      </w:r>
      <w:r>
        <w:t xml:space="preserve"> is on the top and the martyrdom of St. Thomas Becket on the bottom.  It is dated as 14</w:t>
      </w:r>
      <w:r w:rsidRPr="003E1CBD">
        <w:rPr>
          <w:vertAlign w:val="superscript"/>
        </w:rPr>
        <w:t>th</w:t>
      </w:r>
      <w:r>
        <w:t xml:space="preserve"> century, circa 1300-1370 in the Gothic style.  </w:t>
      </w:r>
      <w:r w:rsidR="00E35698">
        <w:t>The maker is unknown and the provenance is sparse.</w:t>
      </w:r>
      <w:r w:rsidR="002F508A">
        <w:rPr>
          <w:rStyle w:val="FootnoteReference"/>
        </w:rPr>
        <w:footnoteReference w:id="2"/>
      </w:r>
      <w:r w:rsidR="00102B13" w:rsidRPr="00102B13">
        <w:t xml:space="preserve"> </w:t>
      </w:r>
      <w:r w:rsidR="0056074A">
        <w:t>This object is fascinating in its material, construction, size, and purpose.  And, f</w:t>
      </w:r>
      <w:r w:rsidR="00102B13">
        <w:t>or such a small carving, it is quite intricate and rich with symbolism.</w:t>
      </w:r>
    </w:p>
    <w:p w14:paraId="345B3BAB" w14:textId="78C2B1B2" w:rsidR="003E1CBD" w:rsidRDefault="0056074A" w:rsidP="00566039">
      <w:pPr>
        <w:spacing w:line="480" w:lineRule="auto"/>
      </w:pPr>
      <w:r>
        <w:tab/>
      </w:r>
      <w:r w:rsidR="00102B13">
        <w:t xml:space="preserve">  </w:t>
      </w:r>
      <w:r w:rsidR="000A068D">
        <w:t>Gothic religious items made of ivory was in its ‘Golden Age’ from the 1230-1380.</w:t>
      </w:r>
      <w:r w:rsidR="000A068D">
        <w:rPr>
          <w:rStyle w:val="FootnoteReference"/>
        </w:rPr>
        <w:footnoteReference w:id="3"/>
      </w:r>
      <w:r w:rsidR="00CA0343">
        <w:t xml:space="preserve"> </w:t>
      </w:r>
      <w:r w:rsidR="002C6432">
        <w:t>This Gothic period of ivory carving was a resumption of use of ivory from the lull in the 12</w:t>
      </w:r>
      <w:r w:rsidR="002C6432" w:rsidRPr="002C6432">
        <w:rPr>
          <w:vertAlign w:val="superscript"/>
        </w:rPr>
        <w:t>th</w:t>
      </w:r>
      <w:r w:rsidR="002C6432">
        <w:t xml:space="preserve"> century.  Ivory’s resurgence in Medieval art was due to an increase in supply of ivory to Europe from Africa during this time period. The ivory, itself, is likely to be from the African Savannah Elephant.</w:t>
      </w:r>
      <w:r w:rsidR="002C6432">
        <w:rPr>
          <w:rStyle w:val="FootnoteReference"/>
        </w:rPr>
        <w:footnoteReference w:id="4"/>
      </w:r>
      <w:r w:rsidR="00547094">
        <w:t xml:space="preserve">  In addition, this ‘Golden Age’ </w:t>
      </w:r>
      <w:r w:rsidR="00F534F8">
        <w:t>saw the construction of many d</w:t>
      </w:r>
      <w:r w:rsidR="009C1204">
        <w:t>i</w:t>
      </w:r>
      <w:r w:rsidR="00F534F8">
        <w:t>ptychs,</w:t>
      </w:r>
      <w:r w:rsidR="009C1204">
        <w:t xml:space="preserve"> triptychs, and polyptychs for religious purposes of prayer and meditation.  These were done for alter pieces, Churches, as well as for private individuals. </w:t>
      </w:r>
      <w:r w:rsidR="00F534F8">
        <w:t xml:space="preserve"> </w:t>
      </w:r>
      <w:r w:rsidR="00547094">
        <w:t>T</w:t>
      </w:r>
      <w:r w:rsidR="009C1204">
        <w:t>he size of this</w:t>
      </w:r>
      <w:r w:rsidR="00547094">
        <w:t xml:space="preserve"> carving </w:t>
      </w:r>
      <w:r w:rsidR="009C1204">
        <w:t xml:space="preserve">indicates it </w:t>
      </w:r>
      <w:r w:rsidR="00547094">
        <w:t xml:space="preserve">would have been a luxury item for </w:t>
      </w:r>
      <w:r w:rsidR="009C1204">
        <w:t>a</w:t>
      </w:r>
      <w:r w:rsidR="00547094">
        <w:t xml:space="preserve"> very wealthy</w:t>
      </w:r>
      <w:r w:rsidR="009C1204">
        <w:t xml:space="preserve"> individual</w:t>
      </w:r>
      <w:r w:rsidR="00547094">
        <w:t>.</w:t>
      </w:r>
      <w:r w:rsidR="00C53B7A">
        <w:t xml:space="preserve">  In addition, it</w:t>
      </w:r>
      <w:r w:rsidR="00CA0343">
        <w:t xml:space="preserve">s </w:t>
      </w:r>
      <w:r w:rsidR="00C53B7A">
        <w:t xml:space="preserve">size would have made it a </w:t>
      </w:r>
      <w:r w:rsidR="00C53B7A">
        <w:lastRenderedPageBreak/>
        <w:t>po</w:t>
      </w:r>
      <w:r w:rsidR="009B0E7B">
        <w:t>r</w:t>
      </w:r>
      <w:r w:rsidR="00C53B7A">
        <w:t>table item</w:t>
      </w:r>
      <w:r w:rsidR="009B0E7B">
        <w:t xml:space="preserve">.  This would have been an important item for prayer for medieval Catholics.  It depicts both the Crucifixion and St. Thomas.  The Crucifixion is the most powerful symbol of Christianity and praying to a saint for intercession is still a vital part of Catholicism.  Like relics, depictions of saints hold power for the living.  The image of the saint provides some of the essence of the saint that </w:t>
      </w:r>
      <w:r w:rsidR="002433D1">
        <w:t>assists in prayer intercession.  Today, Catholics may use prayer cards of saints or blessed metals of saints for particular prayers.  St. Thomas Becket is considered a ‘healing saint’, so this could have been used for an individual praying for improved health.</w:t>
      </w:r>
    </w:p>
    <w:p w14:paraId="7EF21461" w14:textId="06BDCAED" w:rsidR="009C2AB0" w:rsidRDefault="009C2AB0" w:rsidP="00566039">
      <w:pPr>
        <w:spacing w:line="480" w:lineRule="auto"/>
      </w:pPr>
      <w:r>
        <w:tab/>
        <w:t>Examination of the diptych reveals much powerful symbolism.  The top zone, the Crucifixion, Christ on the Cross is in the center</w:t>
      </w:r>
      <w:r w:rsidR="006D5ACD">
        <w:t>,</w:t>
      </w:r>
      <w:r>
        <w:t xml:space="preserve"> and to the right side</w:t>
      </w:r>
      <w:r w:rsidR="00621F02">
        <w:t xml:space="preserve"> is</w:t>
      </w:r>
      <w:r>
        <w:t xml:space="preserve"> St. John the Baptist with his head lowered </w:t>
      </w:r>
      <w:r w:rsidR="00545A70">
        <w:t>and</w:t>
      </w:r>
      <w:r>
        <w:t xml:space="preserve"> resting in his right hand.  Slightly behind him is carved two Jews.  The Crucifixion, of course, is the most important symbol of sacrifice for Christians.  The placement and positioning of St. John the Baptist </w:t>
      </w:r>
      <w:r w:rsidR="00AF5178">
        <w:t>are</w:t>
      </w:r>
      <w:r>
        <w:t xml:space="preserve"> interesting</w:t>
      </w:r>
      <w:r w:rsidR="00AF5178">
        <w:t>.  St. John the Baptist can imply multiple meanings</w:t>
      </w:r>
      <w:r w:rsidR="00621F02">
        <w:t>.</w:t>
      </w:r>
      <w:r w:rsidR="00621F02">
        <w:rPr>
          <w:rStyle w:val="FootnoteReference"/>
        </w:rPr>
        <w:footnoteReference w:id="5"/>
      </w:r>
      <w:r w:rsidR="00621F02">
        <w:t xml:space="preserve">  H</w:t>
      </w:r>
      <w:r w:rsidR="00AF5178">
        <w:t xml:space="preserve">owever, his bent head is likely referring to his decapitation at the </w:t>
      </w:r>
      <w:r w:rsidR="00545A70">
        <w:t>order</w:t>
      </w:r>
      <w:r w:rsidR="00AF5178">
        <w:t xml:space="preserve"> of Herod </w:t>
      </w:r>
      <w:r w:rsidR="00F33094">
        <w:t>Antipas.  Catholics consider St. John an early martyr</w:t>
      </w:r>
      <w:r w:rsidR="0036067A">
        <w:t>.</w:t>
      </w:r>
      <w:r w:rsidR="00D45D42">
        <w:t xml:space="preserve">  The two Jews behind him and to the right have elongated faces, beards, and exotic hats.  The medieval Catholic Church did not treat Jews kindly in fact and in art.  Often times, medieval artwork changes or exaggerates the physical stereotypes of Jews to display a sinister distortion.</w:t>
      </w:r>
      <w:r w:rsidR="00792396">
        <w:t xml:space="preserve">  We see this in this carving and could be conveying that the Jews were ‘Christ-killers’ as well as having responsibility for the death of St. John the Baptist.  </w:t>
      </w:r>
      <w:r w:rsidR="00713A69">
        <w:t>The Jews are the perpetrators of these crimes.</w:t>
      </w:r>
    </w:p>
    <w:p w14:paraId="5432FD93" w14:textId="731AEBE7" w:rsidR="00944BA6" w:rsidRDefault="00944BA6" w:rsidP="00566039">
      <w:pPr>
        <w:spacing w:line="480" w:lineRule="auto"/>
      </w:pPr>
      <w:r>
        <w:tab/>
        <w:t xml:space="preserve">The left side of the top zone displays the Virgin Mary with two women supporting her.  She is shown in maternal anguish at the foot of the cross.  So much anguish, the women must </w:t>
      </w:r>
      <w:r>
        <w:lastRenderedPageBreak/>
        <w:t xml:space="preserve">hold her up. </w:t>
      </w:r>
      <w:r w:rsidR="00333601">
        <w:t>This is a version of the Stabat Mater.</w:t>
      </w:r>
      <w:r w:rsidR="00333601">
        <w:rPr>
          <w:rStyle w:val="FootnoteReference"/>
        </w:rPr>
        <w:footnoteReference w:id="6"/>
      </w:r>
      <w:r w:rsidR="00333601">
        <w:t xml:space="preserve"> </w:t>
      </w:r>
      <w:r w:rsidR="00714922">
        <w:t xml:space="preserve">It is slightly different from a traditional Stabat Mater in that it has Mary fainting and falls into the category of </w:t>
      </w:r>
      <w:r w:rsidR="00702EAA">
        <w:t xml:space="preserve">‘Swoon of the Virgin’.  This was a popular depiction of Mary fainting </w:t>
      </w:r>
      <w:r w:rsidR="004D0B31">
        <w:t xml:space="preserve">at the foot of the cross </w:t>
      </w:r>
      <w:r w:rsidR="00702EAA">
        <w:t>in the 1</w:t>
      </w:r>
      <w:r w:rsidR="006D5ACD">
        <w:t>3</w:t>
      </w:r>
      <w:r w:rsidR="00702EAA" w:rsidRPr="00702EAA">
        <w:rPr>
          <w:vertAlign w:val="superscript"/>
        </w:rPr>
        <w:t>th</w:t>
      </w:r>
      <w:r w:rsidR="00702EAA">
        <w:t xml:space="preserve"> century.  However, since there is no mention of Mary fainting in the Gospels, </w:t>
      </w:r>
      <w:r w:rsidR="00D34DE6">
        <w:t>theologians argued that the mother of God should not be portrayed this way</w:t>
      </w:r>
      <w:r w:rsidR="00702EAA">
        <w:t>.</w:t>
      </w:r>
      <w:r w:rsidR="00D34DE6">
        <w:t xml:space="preserve">  Neff suggests ‘A swoon would show a lack of perfection and grace, a momentary loss of faith inconceivable in the </w:t>
      </w:r>
      <w:proofErr w:type="gramStart"/>
      <w:r w:rsidR="00D34DE6">
        <w:t>Mother</w:t>
      </w:r>
      <w:proofErr w:type="gramEnd"/>
      <w:r w:rsidR="00D34DE6">
        <w:t xml:space="preserve"> of God’.</w:t>
      </w:r>
      <w:r w:rsidR="00D34DE6">
        <w:rPr>
          <w:rStyle w:val="FootnoteReference"/>
        </w:rPr>
        <w:footnoteReference w:id="7"/>
      </w:r>
      <w:r w:rsidR="00702EAA">
        <w:t xml:space="preserve"> </w:t>
      </w:r>
      <w:r w:rsidR="00D34DE6">
        <w:t xml:space="preserve">Neff argues that the visual parallel between Mary and Jesus on the cross portrays Mary’s sharing in the passion as well as </w:t>
      </w:r>
      <w:r w:rsidR="00610D54">
        <w:t>in the mystery of having both divine and human nature. ‘By sharing Christ’s suffering and death, Mary takes part in Christ’s salvation of Mankind’.</w:t>
      </w:r>
      <w:r w:rsidR="00610D54">
        <w:rPr>
          <w:rStyle w:val="FootnoteReference"/>
        </w:rPr>
        <w:footnoteReference w:id="8"/>
      </w:r>
      <w:r w:rsidR="00610D54">
        <w:t xml:space="preserve"> Remarkably, Neff regards the swooning Mary as not only expressing ‘her compassion, her maternity, and her sacrifice’ but also ‘it is the pain of childbirth’.</w:t>
      </w:r>
      <w:r w:rsidR="00610D54">
        <w:rPr>
          <w:rStyle w:val="FootnoteReference"/>
        </w:rPr>
        <w:footnoteReference w:id="9"/>
      </w:r>
    </w:p>
    <w:p w14:paraId="7577ED2A" w14:textId="38E36DD3" w:rsidR="004D0B31" w:rsidRDefault="004D0B31" w:rsidP="00566039">
      <w:pPr>
        <w:spacing w:line="480" w:lineRule="auto"/>
      </w:pPr>
      <w:r>
        <w:tab/>
        <w:t xml:space="preserve">The bottom zone of the diptych shows the scene of the murder of St. Thomas Becket in Canterbury Cathedral.  The second figure in from the right has St. Thomas kneeling below his cross-bearer.  St. Thomas is posed in prayer as described by the ‘Lives’ of Becket.  Becket is commending his spirit to God.  This is in direct comparison to Christ commending his spirit to God on the cross.  The cross-bearer is usually assumed to be Edward Grim; however, the actual cross-bearer </w:t>
      </w:r>
      <w:r w:rsidR="00B855D8">
        <w:t xml:space="preserve">the day of the murder </w:t>
      </w:r>
      <w:r>
        <w:t>was Henry of Auxerre.</w:t>
      </w:r>
      <w:r>
        <w:rPr>
          <w:rStyle w:val="FootnoteReference"/>
        </w:rPr>
        <w:footnoteReference w:id="10"/>
      </w:r>
      <w:r>
        <w:t xml:space="preserve"> Edward Grim holds the cross just prior to the murder in the Cathedral.  Grim, who is in close proximity to Becket as he is murdered, is badly injured in the arm attempting to give protection to the </w:t>
      </w:r>
      <w:proofErr w:type="gramStart"/>
      <w:r>
        <w:t>Archbishop</w:t>
      </w:r>
      <w:proofErr w:type="gramEnd"/>
      <w:r>
        <w:t xml:space="preserve">.  The </w:t>
      </w:r>
      <w:r>
        <w:lastRenderedPageBreak/>
        <w:t>carving displays the cross-bearers arm outstretched and one of the knights</w:t>
      </w:r>
      <w:r w:rsidR="008B33E4">
        <w:t>’ swords extended beyond the arm</w:t>
      </w:r>
      <w:r w:rsidR="00091D5C">
        <w:t xml:space="preserve"> and on the top of Becket’s head</w:t>
      </w:r>
      <w:r w:rsidR="008B33E4">
        <w:t>.</w:t>
      </w:r>
      <w:r w:rsidR="00A8352C">
        <w:t xml:space="preserve">  The theme of sacrifice is again exhibited with Becket and Grim in the carving.</w:t>
      </w:r>
    </w:p>
    <w:p w14:paraId="33A89F4E" w14:textId="20DF5B1C" w:rsidR="00A8352C" w:rsidRDefault="00A8352C" w:rsidP="00566039">
      <w:pPr>
        <w:spacing w:line="480" w:lineRule="auto"/>
      </w:pPr>
      <w:r>
        <w:tab/>
        <w:t>The left side of the bottom zone shows three of the four knights who murdered Becket.</w:t>
      </w:r>
      <w:r w:rsidR="00091D5C">
        <w:t xml:space="preserve">  The knight that is furthest left in the carving is stepping forward with his sword and shield.  The shield has a shaggy head carved into it.  I believe this is to represent Reginald </w:t>
      </w:r>
      <w:proofErr w:type="spellStart"/>
      <w:r w:rsidR="00091D5C">
        <w:t>FitzUrse</w:t>
      </w:r>
      <w:proofErr w:type="spellEnd"/>
      <w:r w:rsidR="00091D5C">
        <w:t xml:space="preserve">.  </w:t>
      </w:r>
      <w:proofErr w:type="spellStart"/>
      <w:r w:rsidR="00091D5C">
        <w:t>FitzUrse</w:t>
      </w:r>
      <w:proofErr w:type="spellEnd"/>
      <w:r w:rsidR="00091D5C">
        <w:t xml:space="preserve"> has been presented in other medieval artworks as having a ‘muzzled bear’ on his shield.</w:t>
      </w:r>
      <w:r w:rsidR="00091D5C">
        <w:rPr>
          <w:rStyle w:val="FootnoteReference"/>
        </w:rPr>
        <w:footnoteReference w:id="11"/>
      </w:r>
      <w:r w:rsidR="00A27570">
        <w:t xml:space="preserve"> It was </w:t>
      </w:r>
      <w:proofErr w:type="spellStart"/>
      <w:r w:rsidR="00A27570">
        <w:t>FitzUrse</w:t>
      </w:r>
      <w:proofErr w:type="spellEnd"/>
      <w:r w:rsidR="00A27570">
        <w:t xml:space="preserve"> who engages in a hostile verbal confrontation with Becket immediately preceding the murder and </w:t>
      </w:r>
      <w:r w:rsidR="00C25265">
        <w:t xml:space="preserve">he is the aggressor.  </w:t>
      </w:r>
    </w:p>
    <w:p w14:paraId="1003B57B" w14:textId="77777777" w:rsidR="006949F7" w:rsidRDefault="00C25265" w:rsidP="00566039">
      <w:pPr>
        <w:spacing w:line="480" w:lineRule="auto"/>
      </w:pPr>
      <w:r>
        <w:tab/>
        <w:t xml:space="preserve">Interestingly, both zones of the diptych have Gothic arches as architectural borders on the tops of the scenes.  One can see the slight points in the arches, defining them as Gothic.  Of course, this carving was done in the period of the Gothic style for Cathedrals in Europe.  </w:t>
      </w:r>
      <w:r w:rsidR="00E06209">
        <w:t xml:space="preserve">This detail may symbolize the Church.  </w:t>
      </w:r>
      <w:r w:rsidR="00E757D9">
        <w:t xml:space="preserve">The Crucifixion bordered by arches as the founding of Christ’s Church and the symbol of Christianity.  The martyrdom bordered by arches as Becket’s defense of the Church.  </w:t>
      </w:r>
    </w:p>
    <w:p w14:paraId="33B713F8" w14:textId="0F19AC3D" w:rsidR="00C25265" w:rsidRDefault="006949F7" w:rsidP="00566039">
      <w:pPr>
        <w:spacing w:line="480" w:lineRule="auto"/>
      </w:pPr>
      <w:r>
        <w:tab/>
        <w:t>The diptych begs for comparison of the two zones.  Becket’s martyrdom and sacrifice is a mirror of Christ’s sacrifice.  The ancillary figures of St. John the Baptist and Edward Grim also present sacrifice.  St. John’s martyrdom via decapitation as a forerunner to the crucifixion can be compared to St. Thomas’s martyrdom.  Both St. John’s and St. Thomas’s deaths were extremely violent and involve blows to the head.  In addition, Edward Grim, in defense of St. Thomas, is injured.  The figure of Mary also exhibits the sacrifice she has made as the mother of Jesus.</w:t>
      </w:r>
      <w:r w:rsidR="00D13903">
        <w:t xml:space="preserve">  The Jews and the knights are portrayed as those responsible for the deaths.</w:t>
      </w:r>
    </w:p>
    <w:p w14:paraId="62A546E3" w14:textId="533A8B14" w:rsidR="00CE5DE6" w:rsidRDefault="00223A90">
      <w:r w:rsidRPr="00223A90">
        <w:lastRenderedPageBreak/>
        <w:drawing>
          <wp:inline distT="0" distB="0" distL="0" distR="0" wp14:anchorId="07F65ACE" wp14:editId="110650D4">
            <wp:extent cx="5700395" cy="82296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00395" cy="8229600"/>
                    </a:xfrm>
                    <a:prstGeom prst="rect">
                      <a:avLst/>
                    </a:prstGeom>
                  </pic:spPr>
                </pic:pic>
              </a:graphicData>
            </a:graphic>
          </wp:inline>
        </w:drawing>
      </w:r>
    </w:p>
    <w:p w14:paraId="24EC4256" w14:textId="16B990B9" w:rsidR="00CE5DE6" w:rsidRDefault="00CE5DE6"/>
    <w:p w14:paraId="67F1B483" w14:textId="3EA70558" w:rsidR="00CE5DE6" w:rsidRDefault="00CE5DE6"/>
    <w:p w14:paraId="2884CF32" w14:textId="0A0D7CEC" w:rsidR="00CE5DE6" w:rsidRDefault="00CE5DE6"/>
    <w:p w14:paraId="427E0F59" w14:textId="791FAA36" w:rsidR="00CE5DE6" w:rsidRDefault="00CE5DE6"/>
    <w:p w14:paraId="4ED1D480" w14:textId="62D20824" w:rsidR="00CE5DE6" w:rsidRDefault="00CE5DE6"/>
    <w:p w14:paraId="2E8F3E85" w14:textId="485E4E4E" w:rsidR="00CE5DE6" w:rsidRDefault="00CE5DE6"/>
    <w:p w14:paraId="64EEE5F1" w14:textId="3BF84610" w:rsidR="00CE5DE6" w:rsidRDefault="00CE5DE6"/>
    <w:p w14:paraId="3EA4A2CA" w14:textId="4D05E417" w:rsidR="00CE5DE6" w:rsidRDefault="00CE5DE6"/>
    <w:p w14:paraId="760C35D9" w14:textId="4D7AAA76" w:rsidR="00CE5DE6" w:rsidRDefault="00CE5DE6"/>
    <w:p w14:paraId="75EA489B" w14:textId="37F0570C" w:rsidR="00CE5DE6" w:rsidRDefault="00CE5DE6"/>
    <w:p w14:paraId="1A484133" w14:textId="60FA1333" w:rsidR="00CE5DE6" w:rsidRDefault="00CE5DE6"/>
    <w:p w14:paraId="74BF64EA" w14:textId="6D8F5998" w:rsidR="00CE5DE6" w:rsidRDefault="00CE5DE6"/>
    <w:p w14:paraId="2F6D0E56" w14:textId="05CBC54C" w:rsidR="00CE5DE6" w:rsidRDefault="00CE5DE6"/>
    <w:p w14:paraId="755CB618" w14:textId="00C2AD7C" w:rsidR="00CE5DE6" w:rsidRDefault="00CE5DE6"/>
    <w:p w14:paraId="47861DC7" w14:textId="77777777" w:rsidR="00CE5DE6" w:rsidRDefault="00CE5DE6"/>
    <w:p w14:paraId="42BB590A" w14:textId="054FADE4" w:rsidR="00392055" w:rsidRDefault="00392055"/>
    <w:p w14:paraId="5CCEC9F6" w14:textId="77777777" w:rsidR="00392055" w:rsidRDefault="00392055"/>
    <w:sectPr w:rsidR="00392055">
      <w:headerReference w:type="even" r:id="rId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6CF59" w14:textId="77777777" w:rsidR="00397AE3" w:rsidRDefault="00397AE3" w:rsidP="003E1CBD">
      <w:r>
        <w:separator/>
      </w:r>
    </w:p>
  </w:endnote>
  <w:endnote w:type="continuationSeparator" w:id="0">
    <w:p w14:paraId="75E167E5" w14:textId="77777777" w:rsidR="00397AE3" w:rsidRDefault="00397AE3" w:rsidP="003E1C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Eurostile">
    <w:panose1 w:val="020B0504020202050204"/>
    <w:charset w:val="4D"/>
    <w:family w:val="swiss"/>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27BBB" w14:textId="77777777" w:rsidR="00397AE3" w:rsidRDefault="00397AE3" w:rsidP="003E1CBD">
      <w:r>
        <w:separator/>
      </w:r>
    </w:p>
  </w:footnote>
  <w:footnote w:type="continuationSeparator" w:id="0">
    <w:p w14:paraId="4572ABEA" w14:textId="77777777" w:rsidR="00397AE3" w:rsidRDefault="00397AE3" w:rsidP="003E1CBD">
      <w:r>
        <w:continuationSeparator/>
      </w:r>
    </w:p>
  </w:footnote>
  <w:footnote w:id="1">
    <w:p w14:paraId="795C1EF0" w14:textId="59FC6A26" w:rsidR="003E1CBD" w:rsidRPr="003E1CBD" w:rsidRDefault="003E1CBD">
      <w:pPr>
        <w:pStyle w:val="FootnoteText"/>
        <w:rPr>
          <w:sz w:val="24"/>
          <w:szCs w:val="24"/>
        </w:rPr>
      </w:pPr>
      <w:r>
        <w:rPr>
          <w:rStyle w:val="FootnoteReference"/>
        </w:rPr>
        <w:footnoteRef/>
      </w:r>
      <w:r>
        <w:t xml:space="preserve"> </w:t>
      </w:r>
      <w:r>
        <w:rPr>
          <w:sz w:val="24"/>
          <w:szCs w:val="24"/>
        </w:rPr>
        <w:t>The dimensions given are: Depth .9 cm, Height 11.3 cm, and Width 7.1 cm.</w:t>
      </w:r>
    </w:p>
  </w:footnote>
  <w:footnote w:id="2">
    <w:p w14:paraId="747EF3FC" w14:textId="640B14C9" w:rsidR="002F508A" w:rsidRPr="002F508A" w:rsidRDefault="002F508A">
      <w:pPr>
        <w:pStyle w:val="FootnoteText"/>
        <w:rPr>
          <w:sz w:val="24"/>
          <w:szCs w:val="24"/>
        </w:rPr>
      </w:pPr>
      <w:r>
        <w:rPr>
          <w:rStyle w:val="FootnoteReference"/>
        </w:rPr>
        <w:footnoteRef/>
      </w:r>
      <w:r>
        <w:t xml:space="preserve"> </w:t>
      </w:r>
      <w:r>
        <w:rPr>
          <w:sz w:val="24"/>
          <w:szCs w:val="24"/>
        </w:rPr>
        <w:t xml:space="preserve">The </w:t>
      </w:r>
      <w:proofErr w:type="spellStart"/>
      <w:r>
        <w:rPr>
          <w:sz w:val="24"/>
          <w:szCs w:val="24"/>
        </w:rPr>
        <w:t>FitztWilliam</w:t>
      </w:r>
      <w:proofErr w:type="spellEnd"/>
      <w:r>
        <w:rPr>
          <w:sz w:val="24"/>
          <w:szCs w:val="24"/>
        </w:rPr>
        <w:t xml:space="preserve"> Museum provides the hi</w:t>
      </w:r>
      <w:r w:rsidRPr="002F508A">
        <w:rPr>
          <w:sz w:val="24"/>
          <w:szCs w:val="24"/>
        </w:rPr>
        <w:t>stor</w:t>
      </w:r>
      <w:r>
        <w:rPr>
          <w:sz w:val="24"/>
          <w:szCs w:val="24"/>
        </w:rPr>
        <w:t>ical</w:t>
      </w:r>
      <w:r w:rsidRPr="002F508A">
        <w:rPr>
          <w:sz w:val="24"/>
          <w:szCs w:val="24"/>
        </w:rPr>
        <w:t xml:space="preserve"> note: </w:t>
      </w:r>
      <w:r>
        <w:rPr>
          <w:sz w:val="24"/>
          <w:szCs w:val="24"/>
        </w:rPr>
        <w:t>‘</w:t>
      </w:r>
      <w:r w:rsidRPr="002F508A">
        <w:rPr>
          <w:sz w:val="24"/>
          <w:szCs w:val="24"/>
        </w:rPr>
        <w:t xml:space="preserve">Hollingworth </w:t>
      </w:r>
      <w:proofErr w:type="spellStart"/>
      <w:r w:rsidRPr="002F508A">
        <w:rPr>
          <w:sz w:val="24"/>
          <w:szCs w:val="24"/>
        </w:rPr>
        <w:t>Magniac</w:t>
      </w:r>
      <w:proofErr w:type="spellEnd"/>
      <w:r w:rsidRPr="002F508A">
        <w:rPr>
          <w:sz w:val="24"/>
          <w:szCs w:val="24"/>
        </w:rPr>
        <w:t xml:space="preserve">, </w:t>
      </w:r>
      <w:proofErr w:type="spellStart"/>
      <w:r w:rsidRPr="002F508A">
        <w:rPr>
          <w:sz w:val="24"/>
          <w:szCs w:val="24"/>
        </w:rPr>
        <w:t>Colworth</w:t>
      </w:r>
      <w:proofErr w:type="spellEnd"/>
      <w:r w:rsidRPr="002F508A">
        <w:rPr>
          <w:sz w:val="24"/>
          <w:szCs w:val="24"/>
        </w:rPr>
        <w:t xml:space="preserve">, Bedfordshire; sold Christie, Manson &amp; Woods, Catalogue of the renowned collection of works of art, chiefly formed by the late Hollingworth </w:t>
      </w:r>
      <w:proofErr w:type="spellStart"/>
      <w:r w:rsidRPr="002F508A">
        <w:rPr>
          <w:sz w:val="24"/>
          <w:szCs w:val="24"/>
        </w:rPr>
        <w:t>Magniac</w:t>
      </w:r>
      <w:proofErr w:type="spellEnd"/>
      <w:r w:rsidRPr="002F508A">
        <w:rPr>
          <w:sz w:val="24"/>
          <w:szCs w:val="24"/>
        </w:rPr>
        <w:t xml:space="preserve">, Esq., (Known as the </w:t>
      </w:r>
      <w:proofErr w:type="spellStart"/>
      <w:r w:rsidRPr="002F508A">
        <w:rPr>
          <w:sz w:val="24"/>
          <w:szCs w:val="24"/>
        </w:rPr>
        <w:t>Colworth</w:t>
      </w:r>
      <w:proofErr w:type="spellEnd"/>
      <w:r w:rsidRPr="002F508A">
        <w:rPr>
          <w:sz w:val="24"/>
          <w:szCs w:val="24"/>
        </w:rPr>
        <w:t xml:space="preserve"> Collection), p. 82, </w:t>
      </w:r>
      <w:proofErr w:type="gramStart"/>
      <w:r w:rsidRPr="002F508A">
        <w:rPr>
          <w:sz w:val="24"/>
          <w:szCs w:val="24"/>
        </w:rPr>
        <w:t>lot .</w:t>
      </w:r>
      <w:proofErr w:type="gramEnd"/>
      <w:r w:rsidRPr="002F508A">
        <w:rPr>
          <w:sz w:val="24"/>
          <w:szCs w:val="24"/>
        </w:rPr>
        <w:t xml:space="preserve"> 256; sold for £32.11.0. to McClean</w:t>
      </w:r>
      <w:r>
        <w:rPr>
          <w:sz w:val="24"/>
          <w:szCs w:val="24"/>
        </w:rPr>
        <w:t>’</w:t>
      </w:r>
      <w:r w:rsidRPr="002F508A">
        <w:rPr>
          <w:sz w:val="24"/>
          <w:szCs w:val="24"/>
        </w:rPr>
        <w:t>.</w:t>
      </w:r>
      <w:r>
        <w:rPr>
          <w:sz w:val="24"/>
          <w:szCs w:val="24"/>
        </w:rPr>
        <w:t xml:space="preserve">  </w:t>
      </w:r>
      <w:r w:rsidR="00002EA7">
        <w:rPr>
          <w:sz w:val="24"/>
          <w:szCs w:val="24"/>
        </w:rPr>
        <w:t>Frank McClean bequeathed it in 1904. (</w:t>
      </w:r>
      <w:hyperlink r:id="rId1" w:history="1">
        <w:r w:rsidR="00002EA7" w:rsidRPr="005B391A">
          <w:rPr>
            <w:rStyle w:val="Hyperlink"/>
            <w:sz w:val="24"/>
            <w:szCs w:val="24"/>
          </w:rPr>
          <w:t>https://collection.beta.fitz.ms/id/object/31665</w:t>
        </w:r>
      </w:hyperlink>
      <w:r w:rsidR="00002EA7">
        <w:rPr>
          <w:sz w:val="24"/>
          <w:szCs w:val="24"/>
        </w:rPr>
        <w:t xml:space="preserve">). </w:t>
      </w:r>
    </w:p>
  </w:footnote>
  <w:footnote w:id="3">
    <w:p w14:paraId="238D47FE" w14:textId="1E964617" w:rsidR="000A068D" w:rsidRPr="002C6432" w:rsidRDefault="000A068D" w:rsidP="002C6432">
      <w:pPr>
        <w:rPr>
          <w:rFonts w:ascii="Helvetica Neue" w:eastAsia="Times New Roman" w:hAnsi="Helvetica Neue" w:cs="Times New Roman"/>
          <w:color w:val="333333"/>
          <w:sz w:val="29"/>
          <w:szCs w:val="29"/>
          <w:shd w:val="clear" w:color="auto" w:fill="FFFFFF"/>
        </w:rPr>
      </w:pPr>
      <w:r>
        <w:rPr>
          <w:rStyle w:val="FootnoteReference"/>
        </w:rPr>
        <w:footnoteRef/>
      </w:r>
      <w:r>
        <w:t xml:space="preserve"> </w:t>
      </w:r>
      <w:proofErr w:type="spellStart"/>
      <w:r w:rsidRPr="00392055">
        <w:rPr>
          <w:rFonts w:eastAsia="Times New Roman" w:cs="Times New Roman"/>
          <w:color w:val="333333"/>
          <w:shd w:val="clear" w:color="auto" w:fill="FFFFFF"/>
        </w:rPr>
        <w:t>Guérin</w:t>
      </w:r>
      <w:proofErr w:type="spellEnd"/>
      <w:r w:rsidRPr="00392055">
        <w:rPr>
          <w:rFonts w:eastAsia="Times New Roman" w:cs="Times New Roman"/>
          <w:color w:val="333333"/>
          <w:shd w:val="clear" w:color="auto" w:fill="FFFFFF"/>
        </w:rPr>
        <w:t>, Sarah M. “Ivory Carving in the Gothic Era, Thirteenth–Fifteenth Centuries.” In </w:t>
      </w:r>
      <w:proofErr w:type="spellStart"/>
      <w:r w:rsidRPr="00392055">
        <w:rPr>
          <w:rFonts w:eastAsia="Times New Roman" w:cs="Times New Roman"/>
          <w:i/>
          <w:iCs/>
          <w:color w:val="333333"/>
          <w:bdr w:val="none" w:sz="0" w:space="0" w:color="auto" w:frame="1"/>
        </w:rPr>
        <w:t>Heilbrunn</w:t>
      </w:r>
      <w:proofErr w:type="spellEnd"/>
      <w:r w:rsidRPr="00392055">
        <w:rPr>
          <w:rFonts w:eastAsia="Times New Roman" w:cs="Times New Roman"/>
          <w:i/>
          <w:iCs/>
          <w:color w:val="333333"/>
          <w:bdr w:val="none" w:sz="0" w:space="0" w:color="auto" w:frame="1"/>
        </w:rPr>
        <w:t xml:space="preserve"> Timeline of Art History</w:t>
      </w:r>
      <w:r w:rsidRPr="00392055">
        <w:rPr>
          <w:rFonts w:eastAsia="Times New Roman" w:cs="Times New Roman"/>
          <w:color w:val="333333"/>
          <w:shd w:val="clear" w:color="auto" w:fill="FFFFFF"/>
        </w:rPr>
        <w:t xml:space="preserve">. New York: The Metropolitan Museum of Art, 2000–. </w:t>
      </w:r>
      <w:r>
        <w:rPr>
          <w:rFonts w:eastAsia="Times New Roman" w:cs="Times New Roman"/>
          <w:color w:val="333333"/>
          <w:shd w:val="clear" w:color="auto" w:fill="FFFFFF"/>
        </w:rPr>
        <w:t>(</w:t>
      </w:r>
      <w:hyperlink r:id="rId2" w:history="1">
        <w:r w:rsidRPr="00392055">
          <w:rPr>
            <w:rStyle w:val="Hyperlink"/>
            <w:rFonts w:eastAsia="Times New Roman" w:cs="Times New Roman"/>
            <w:shd w:val="clear" w:color="auto" w:fill="FFFFFF"/>
          </w:rPr>
          <w:t>http://www.metmuseum.org/toah/hd/goiv/hd_goiv.htm</w:t>
        </w:r>
      </w:hyperlink>
      <w:r>
        <w:rPr>
          <w:rFonts w:eastAsia="Times New Roman" w:cs="Times New Roman"/>
          <w:color w:val="333333"/>
          <w:shd w:val="clear" w:color="auto" w:fill="FFFFFF"/>
        </w:rPr>
        <w:t xml:space="preserve"> </w:t>
      </w:r>
      <w:r w:rsidRPr="00392055">
        <w:rPr>
          <w:rFonts w:eastAsia="Times New Roman" w:cs="Times New Roman"/>
          <w:color w:val="333333"/>
          <w:shd w:val="clear" w:color="auto" w:fill="FFFFFF"/>
        </w:rPr>
        <w:t>(May 2010</w:t>
      </w:r>
      <w:r w:rsidRPr="00392055">
        <w:rPr>
          <w:rFonts w:ascii="Helvetica Neue" w:eastAsia="Times New Roman" w:hAnsi="Helvetica Neue" w:cs="Times New Roman"/>
          <w:color w:val="333333"/>
          <w:sz w:val="29"/>
          <w:szCs w:val="29"/>
          <w:shd w:val="clear" w:color="auto" w:fill="FFFFFF"/>
        </w:rPr>
        <w:t>)</w:t>
      </w:r>
      <w:r>
        <w:rPr>
          <w:rFonts w:ascii="Helvetica Neue" w:eastAsia="Times New Roman" w:hAnsi="Helvetica Neue" w:cs="Times New Roman"/>
          <w:color w:val="333333"/>
          <w:sz w:val="29"/>
          <w:szCs w:val="29"/>
          <w:shd w:val="clear" w:color="auto" w:fill="FFFFFF"/>
        </w:rPr>
        <w:t>)</w:t>
      </w:r>
    </w:p>
  </w:footnote>
  <w:footnote w:id="4">
    <w:p w14:paraId="2259BC37" w14:textId="0B3580AE" w:rsidR="002C6432" w:rsidRPr="002C6432" w:rsidRDefault="002C6432">
      <w:pPr>
        <w:pStyle w:val="FootnoteText"/>
        <w:rPr>
          <w:sz w:val="24"/>
          <w:szCs w:val="24"/>
        </w:rPr>
      </w:pPr>
      <w:r>
        <w:rPr>
          <w:rStyle w:val="FootnoteReference"/>
        </w:rPr>
        <w:footnoteRef/>
      </w:r>
      <w:r>
        <w:t xml:space="preserve"> </w:t>
      </w:r>
      <w:r>
        <w:rPr>
          <w:sz w:val="24"/>
          <w:szCs w:val="24"/>
        </w:rPr>
        <w:t>Ibid.</w:t>
      </w:r>
    </w:p>
  </w:footnote>
  <w:footnote w:id="5">
    <w:p w14:paraId="549EAA1E" w14:textId="79865113" w:rsidR="00621F02" w:rsidRPr="00621F02" w:rsidRDefault="00621F02">
      <w:pPr>
        <w:pStyle w:val="FootnoteText"/>
        <w:rPr>
          <w:sz w:val="24"/>
          <w:szCs w:val="24"/>
        </w:rPr>
      </w:pPr>
      <w:r>
        <w:rPr>
          <w:rStyle w:val="FootnoteReference"/>
        </w:rPr>
        <w:footnoteRef/>
      </w:r>
      <w:r>
        <w:t xml:space="preserve"> </w:t>
      </w:r>
      <w:r w:rsidRPr="00621F02">
        <w:rPr>
          <w:sz w:val="24"/>
          <w:szCs w:val="24"/>
        </w:rPr>
        <w:t xml:space="preserve">St. John the Baptist can denote ‘new life’ under baptism, the </w:t>
      </w:r>
      <w:r>
        <w:rPr>
          <w:sz w:val="24"/>
          <w:szCs w:val="24"/>
        </w:rPr>
        <w:t xml:space="preserve">‘forerunner of Christ’, or </w:t>
      </w:r>
      <w:r w:rsidR="00545A70">
        <w:rPr>
          <w:sz w:val="24"/>
          <w:szCs w:val="24"/>
        </w:rPr>
        <w:t>triumph</w:t>
      </w:r>
      <w:r w:rsidR="00D34DE6">
        <w:rPr>
          <w:sz w:val="24"/>
          <w:szCs w:val="24"/>
        </w:rPr>
        <w:t xml:space="preserve"> of ‘new law’ over Judaism’s ‘old law’. </w:t>
      </w:r>
    </w:p>
  </w:footnote>
  <w:footnote w:id="6">
    <w:p w14:paraId="29B58C1F" w14:textId="488D4195" w:rsidR="00333601" w:rsidRPr="00333601" w:rsidRDefault="00333601">
      <w:pPr>
        <w:pStyle w:val="FootnoteText"/>
        <w:rPr>
          <w:sz w:val="24"/>
          <w:szCs w:val="24"/>
        </w:rPr>
      </w:pPr>
      <w:r>
        <w:rPr>
          <w:rStyle w:val="FootnoteReference"/>
        </w:rPr>
        <w:footnoteRef/>
      </w:r>
      <w:r>
        <w:t xml:space="preserve"> </w:t>
      </w:r>
      <w:r>
        <w:rPr>
          <w:sz w:val="24"/>
          <w:szCs w:val="24"/>
        </w:rPr>
        <w:t xml:space="preserve">Latin for ‘the </w:t>
      </w:r>
      <w:proofErr w:type="gramStart"/>
      <w:r>
        <w:rPr>
          <w:sz w:val="24"/>
          <w:szCs w:val="24"/>
        </w:rPr>
        <w:t>Mother</w:t>
      </w:r>
      <w:proofErr w:type="gramEnd"/>
      <w:r>
        <w:rPr>
          <w:sz w:val="24"/>
          <w:szCs w:val="24"/>
        </w:rPr>
        <w:t xml:space="preserve"> was standing’.</w:t>
      </w:r>
    </w:p>
  </w:footnote>
  <w:footnote w:id="7">
    <w:p w14:paraId="0B1A1BCE" w14:textId="1564F7BB" w:rsidR="00D34DE6" w:rsidRPr="00D34DE6" w:rsidRDefault="00D34DE6">
      <w:pPr>
        <w:pStyle w:val="FootnoteText"/>
        <w:rPr>
          <w:sz w:val="24"/>
          <w:szCs w:val="24"/>
        </w:rPr>
      </w:pPr>
      <w:r>
        <w:rPr>
          <w:rStyle w:val="FootnoteReference"/>
        </w:rPr>
        <w:footnoteRef/>
      </w:r>
      <w:r>
        <w:t xml:space="preserve"> </w:t>
      </w:r>
      <w:r>
        <w:rPr>
          <w:sz w:val="24"/>
          <w:szCs w:val="24"/>
        </w:rPr>
        <w:t xml:space="preserve">Amy Neff, ‘The Pain of </w:t>
      </w:r>
      <w:proofErr w:type="spellStart"/>
      <w:r>
        <w:rPr>
          <w:i/>
          <w:iCs/>
          <w:sz w:val="24"/>
          <w:szCs w:val="24"/>
        </w:rPr>
        <w:t>Compassio</w:t>
      </w:r>
      <w:proofErr w:type="spellEnd"/>
      <w:r>
        <w:rPr>
          <w:sz w:val="24"/>
          <w:szCs w:val="24"/>
        </w:rPr>
        <w:t xml:space="preserve">: Mary’s Labor at the Foot of the Cross’ </w:t>
      </w:r>
      <w:proofErr w:type="gramStart"/>
      <w:r>
        <w:rPr>
          <w:i/>
          <w:iCs/>
          <w:sz w:val="24"/>
          <w:szCs w:val="24"/>
        </w:rPr>
        <w:t>The</w:t>
      </w:r>
      <w:proofErr w:type="gramEnd"/>
      <w:r>
        <w:rPr>
          <w:i/>
          <w:iCs/>
          <w:sz w:val="24"/>
          <w:szCs w:val="24"/>
        </w:rPr>
        <w:t xml:space="preserve"> Art Bulletin</w:t>
      </w:r>
      <w:r>
        <w:rPr>
          <w:sz w:val="24"/>
          <w:szCs w:val="24"/>
        </w:rPr>
        <w:t xml:space="preserve"> (1998) 80, 2, </w:t>
      </w:r>
      <w:r w:rsidR="00610D54">
        <w:rPr>
          <w:sz w:val="24"/>
          <w:szCs w:val="24"/>
        </w:rPr>
        <w:t xml:space="preserve">p. </w:t>
      </w:r>
      <w:r>
        <w:rPr>
          <w:sz w:val="24"/>
          <w:szCs w:val="24"/>
        </w:rPr>
        <w:t>254</w:t>
      </w:r>
      <w:r w:rsidR="00610D54">
        <w:rPr>
          <w:sz w:val="24"/>
          <w:szCs w:val="24"/>
        </w:rPr>
        <w:t>.</w:t>
      </w:r>
    </w:p>
  </w:footnote>
  <w:footnote w:id="8">
    <w:p w14:paraId="28DF0287" w14:textId="1C12C504" w:rsidR="00610D54" w:rsidRPr="00610D54" w:rsidRDefault="00610D54">
      <w:pPr>
        <w:pStyle w:val="FootnoteText"/>
        <w:rPr>
          <w:sz w:val="24"/>
          <w:szCs w:val="24"/>
        </w:rPr>
      </w:pPr>
      <w:r>
        <w:rPr>
          <w:rStyle w:val="FootnoteReference"/>
        </w:rPr>
        <w:footnoteRef/>
      </w:r>
      <w:r>
        <w:t xml:space="preserve"> </w:t>
      </w:r>
      <w:r>
        <w:rPr>
          <w:sz w:val="24"/>
          <w:szCs w:val="24"/>
        </w:rPr>
        <w:t>Ibid, p. 255</w:t>
      </w:r>
    </w:p>
  </w:footnote>
  <w:footnote w:id="9">
    <w:p w14:paraId="6AD8DF99" w14:textId="7DCB5985" w:rsidR="00610D54" w:rsidRPr="00610D54" w:rsidRDefault="00610D54">
      <w:pPr>
        <w:pStyle w:val="FootnoteText"/>
        <w:rPr>
          <w:sz w:val="24"/>
          <w:szCs w:val="24"/>
        </w:rPr>
      </w:pPr>
      <w:r>
        <w:rPr>
          <w:rStyle w:val="FootnoteReference"/>
        </w:rPr>
        <w:footnoteRef/>
      </w:r>
      <w:r>
        <w:t xml:space="preserve"> </w:t>
      </w:r>
      <w:r>
        <w:rPr>
          <w:sz w:val="24"/>
          <w:szCs w:val="24"/>
        </w:rPr>
        <w:t>Ibid, p. 255</w:t>
      </w:r>
    </w:p>
  </w:footnote>
  <w:footnote w:id="10">
    <w:p w14:paraId="4C7A3496" w14:textId="3CD0DC26" w:rsidR="004D0B31" w:rsidRPr="004D0B31" w:rsidRDefault="004D0B31">
      <w:pPr>
        <w:pStyle w:val="FootnoteText"/>
        <w:rPr>
          <w:sz w:val="24"/>
          <w:szCs w:val="24"/>
        </w:rPr>
      </w:pPr>
      <w:r>
        <w:rPr>
          <w:rStyle w:val="FootnoteReference"/>
        </w:rPr>
        <w:footnoteRef/>
      </w:r>
      <w:r>
        <w:t xml:space="preserve"> </w:t>
      </w:r>
      <w:r>
        <w:rPr>
          <w:sz w:val="24"/>
          <w:szCs w:val="24"/>
        </w:rPr>
        <w:t xml:space="preserve">David Knowles, </w:t>
      </w:r>
      <w:r>
        <w:rPr>
          <w:i/>
          <w:iCs/>
          <w:sz w:val="24"/>
          <w:szCs w:val="24"/>
        </w:rPr>
        <w:t>Thomas Becket</w:t>
      </w:r>
      <w:r>
        <w:rPr>
          <w:sz w:val="24"/>
          <w:szCs w:val="24"/>
        </w:rPr>
        <w:t>, London: Adam &amp; Charles Black (1970) p 146.</w:t>
      </w:r>
      <w:r w:rsidR="00A06E1E">
        <w:rPr>
          <w:sz w:val="24"/>
          <w:szCs w:val="24"/>
        </w:rPr>
        <w:t xml:space="preserve"> Thomas’s usual cross-bearer was Alexander-Llewelyn.</w:t>
      </w:r>
    </w:p>
  </w:footnote>
  <w:footnote w:id="11">
    <w:p w14:paraId="01FD259E" w14:textId="31D31039" w:rsidR="00091D5C" w:rsidRPr="00091D5C" w:rsidRDefault="00091D5C">
      <w:pPr>
        <w:pStyle w:val="FootnoteText"/>
        <w:rPr>
          <w:sz w:val="24"/>
          <w:szCs w:val="24"/>
        </w:rPr>
      </w:pPr>
      <w:r>
        <w:rPr>
          <w:rStyle w:val="FootnoteReference"/>
        </w:rPr>
        <w:footnoteRef/>
      </w:r>
      <w:r>
        <w:t xml:space="preserve"> </w:t>
      </w:r>
      <w:r>
        <w:rPr>
          <w:sz w:val="24"/>
          <w:szCs w:val="24"/>
        </w:rPr>
        <w:t xml:space="preserve">London, British Library Illuminated Manuscripts Cotton MS Claudius BII f. 341r.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0870738"/>
      <w:docPartObj>
        <w:docPartGallery w:val="Page Numbers (Top of Page)"/>
        <w:docPartUnique/>
      </w:docPartObj>
    </w:sdtPr>
    <w:sdtEndPr>
      <w:rPr>
        <w:rStyle w:val="PageNumber"/>
      </w:rPr>
    </w:sdtEndPr>
    <w:sdtContent>
      <w:p w14:paraId="78B00F8D" w14:textId="748CF8CB" w:rsidR="00547094" w:rsidRDefault="00547094" w:rsidP="005B391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E635EF" w14:textId="77777777" w:rsidR="00547094" w:rsidRDefault="00547094" w:rsidP="0054709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817359"/>
      <w:docPartObj>
        <w:docPartGallery w:val="Page Numbers (Top of Page)"/>
        <w:docPartUnique/>
      </w:docPartObj>
    </w:sdtPr>
    <w:sdtEndPr>
      <w:rPr>
        <w:rStyle w:val="PageNumber"/>
      </w:rPr>
    </w:sdtEndPr>
    <w:sdtContent>
      <w:p w14:paraId="5094EA23" w14:textId="177B6A8E" w:rsidR="00547094" w:rsidRDefault="00547094" w:rsidP="005B391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9AE6CC" w14:textId="77777777" w:rsidR="00547094" w:rsidRDefault="00547094" w:rsidP="00547094">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055"/>
    <w:rsid w:val="00002EA7"/>
    <w:rsid w:val="00091D5C"/>
    <w:rsid w:val="000A068D"/>
    <w:rsid w:val="00102B13"/>
    <w:rsid w:val="00223A90"/>
    <w:rsid w:val="002433D1"/>
    <w:rsid w:val="002C6432"/>
    <w:rsid w:val="002F508A"/>
    <w:rsid w:val="00333601"/>
    <w:rsid w:val="00360351"/>
    <w:rsid w:val="0036067A"/>
    <w:rsid w:val="00392055"/>
    <w:rsid w:val="00397AE3"/>
    <w:rsid w:val="003E1CBD"/>
    <w:rsid w:val="00477B92"/>
    <w:rsid w:val="004D0B31"/>
    <w:rsid w:val="00545A70"/>
    <w:rsid w:val="00547094"/>
    <w:rsid w:val="0056074A"/>
    <w:rsid w:val="00566039"/>
    <w:rsid w:val="00610D54"/>
    <w:rsid w:val="0061326C"/>
    <w:rsid w:val="00621F02"/>
    <w:rsid w:val="006949F7"/>
    <w:rsid w:val="006D5ACD"/>
    <w:rsid w:val="00702EAA"/>
    <w:rsid w:val="00713A69"/>
    <w:rsid w:val="00714922"/>
    <w:rsid w:val="00792396"/>
    <w:rsid w:val="007F4A0D"/>
    <w:rsid w:val="008B33E4"/>
    <w:rsid w:val="00944BA6"/>
    <w:rsid w:val="009B0E7B"/>
    <w:rsid w:val="009C1204"/>
    <w:rsid w:val="009C2AB0"/>
    <w:rsid w:val="00A06E1E"/>
    <w:rsid w:val="00A233B0"/>
    <w:rsid w:val="00A27570"/>
    <w:rsid w:val="00A8352C"/>
    <w:rsid w:val="00AF5178"/>
    <w:rsid w:val="00B855D8"/>
    <w:rsid w:val="00C25265"/>
    <w:rsid w:val="00C53B7A"/>
    <w:rsid w:val="00CA0343"/>
    <w:rsid w:val="00CE5DE6"/>
    <w:rsid w:val="00D13903"/>
    <w:rsid w:val="00D14688"/>
    <w:rsid w:val="00D34DE6"/>
    <w:rsid w:val="00D45D42"/>
    <w:rsid w:val="00D730D5"/>
    <w:rsid w:val="00DB5944"/>
    <w:rsid w:val="00E06209"/>
    <w:rsid w:val="00E35698"/>
    <w:rsid w:val="00E757D9"/>
    <w:rsid w:val="00F33094"/>
    <w:rsid w:val="00F534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1E570"/>
  <w15:chartTrackingRefBased/>
  <w15:docId w15:val="{9DB8D07B-CD32-1E40-BE69-BC52BC795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477B92"/>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92055"/>
  </w:style>
  <w:style w:type="paragraph" w:styleId="FootnoteText">
    <w:name w:val="footnote text"/>
    <w:basedOn w:val="Normal"/>
    <w:link w:val="FootnoteTextChar"/>
    <w:uiPriority w:val="99"/>
    <w:semiHidden/>
    <w:unhideWhenUsed/>
    <w:rsid w:val="003E1CBD"/>
    <w:rPr>
      <w:sz w:val="20"/>
      <w:szCs w:val="20"/>
    </w:rPr>
  </w:style>
  <w:style w:type="character" w:customStyle="1" w:styleId="FootnoteTextChar">
    <w:name w:val="Footnote Text Char"/>
    <w:basedOn w:val="DefaultParagraphFont"/>
    <w:link w:val="FootnoteText"/>
    <w:uiPriority w:val="99"/>
    <w:semiHidden/>
    <w:rsid w:val="003E1CBD"/>
    <w:rPr>
      <w:sz w:val="20"/>
      <w:szCs w:val="20"/>
    </w:rPr>
  </w:style>
  <w:style w:type="character" w:styleId="FootnoteReference">
    <w:name w:val="footnote reference"/>
    <w:basedOn w:val="DefaultParagraphFont"/>
    <w:uiPriority w:val="99"/>
    <w:semiHidden/>
    <w:unhideWhenUsed/>
    <w:rsid w:val="003E1CBD"/>
    <w:rPr>
      <w:vertAlign w:val="superscript"/>
    </w:rPr>
  </w:style>
  <w:style w:type="character" w:styleId="Hyperlink">
    <w:name w:val="Hyperlink"/>
    <w:basedOn w:val="DefaultParagraphFont"/>
    <w:uiPriority w:val="99"/>
    <w:unhideWhenUsed/>
    <w:rsid w:val="00002EA7"/>
    <w:rPr>
      <w:color w:val="0563C1" w:themeColor="hyperlink"/>
      <w:u w:val="single"/>
    </w:rPr>
  </w:style>
  <w:style w:type="character" w:styleId="UnresolvedMention">
    <w:name w:val="Unresolved Mention"/>
    <w:basedOn w:val="DefaultParagraphFont"/>
    <w:uiPriority w:val="99"/>
    <w:semiHidden/>
    <w:unhideWhenUsed/>
    <w:rsid w:val="00002EA7"/>
    <w:rPr>
      <w:color w:val="605E5C"/>
      <w:shd w:val="clear" w:color="auto" w:fill="E1DFDD"/>
    </w:rPr>
  </w:style>
  <w:style w:type="paragraph" w:styleId="Header">
    <w:name w:val="header"/>
    <w:basedOn w:val="Normal"/>
    <w:link w:val="HeaderChar"/>
    <w:uiPriority w:val="99"/>
    <w:unhideWhenUsed/>
    <w:rsid w:val="00547094"/>
    <w:pPr>
      <w:tabs>
        <w:tab w:val="center" w:pos="4680"/>
        <w:tab w:val="right" w:pos="9360"/>
      </w:tabs>
    </w:pPr>
  </w:style>
  <w:style w:type="character" w:customStyle="1" w:styleId="HeaderChar">
    <w:name w:val="Header Char"/>
    <w:basedOn w:val="DefaultParagraphFont"/>
    <w:link w:val="Header"/>
    <w:uiPriority w:val="99"/>
    <w:rsid w:val="00547094"/>
  </w:style>
  <w:style w:type="character" w:styleId="PageNumber">
    <w:name w:val="page number"/>
    <w:basedOn w:val="DefaultParagraphFont"/>
    <w:uiPriority w:val="99"/>
    <w:semiHidden/>
    <w:unhideWhenUsed/>
    <w:rsid w:val="00547094"/>
  </w:style>
  <w:style w:type="character" w:customStyle="1" w:styleId="Heading3Char">
    <w:name w:val="Heading 3 Char"/>
    <w:basedOn w:val="DefaultParagraphFont"/>
    <w:link w:val="Heading3"/>
    <w:rsid w:val="00477B92"/>
    <w:rPr>
      <w:rFonts w:ascii="Tahoma" w:eastAsia="SimSun" w:hAnsi="Tahoma" w:cs="Tahoma"/>
      <w:b/>
      <w:bCs/>
      <w:sz w:val="20"/>
      <w:szCs w:val="20"/>
      <w:lang w:val="en-GB" w:eastAsia="zh-CN"/>
    </w:rPr>
  </w:style>
  <w:style w:type="paragraph" w:styleId="NormalWeb">
    <w:name w:val="Normal (Web)"/>
    <w:basedOn w:val="Normal"/>
    <w:rsid w:val="00477B92"/>
    <w:pPr>
      <w:spacing w:before="100" w:beforeAutospacing="1" w:after="100" w:afterAutospacing="1"/>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564682">
      <w:bodyDiv w:val="1"/>
      <w:marLeft w:val="0"/>
      <w:marRight w:val="0"/>
      <w:marTop w:val="0"/>
      <w:marBottom w:val="0"/>
      <w:divBdr>
        <w:top w:val="none" w:sz="0" w:space="0" w:color="auto"/>
        <w:left w:val="none" w:sz="0" w:space="0" w:color="auto"/>
        <w:bottom w:val="none" w:sz="0" w:space="0" w:color="auto"/>
        <w:right w:val="none" w:sz="0" w:space="0" w:color="auto"/>
      </w:divBdr>
    </w:div>
    <w:div w:id="1376269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tif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_rels/footnotes.xml.rels><?xml version="1.0" encoding="UTF-8" standalone="yes"?>
<Relationships xmlns="http://schemas.openxmlformats.org/package/2006/relationships"><Relationship Id="rId2" Type="http://schemas.openxmlformats.org/officeDocument/2006/relationships/hyperlink" Target="http://www.metmuseum.org/toah/hd/goiv/hd_goiv.htm" TargetMode="External"/><Relationship Id="rId1" Type="http://schemas.openxmlformats.org/officeDocument/2006/relationships/hyperlink" Target="https://collection.beta.fitz.ms/id/object/316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1262</Words>
  <Characters>7198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 Bremer</dc:creator>
  <cp:keywords/>
  <dc:description/>
  <cp:lastModifiedBy>Kristin Bremer</cp:lastModifiedBy>
  <cp:revision>2</cp:revision>
  <dcterms:created xsi:type="dcterms:W3CDTF">2021-11-20T15:59:00Z</dcterms:created>
  <dcterms:modified xsi:type="dcterms:W3CDTF">2021-11-20T15:59:00Z</dcterms:modified>
</cp:coreProperties>
</file>