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EF2B10E" w:rsidP="2EF2B10E" w:rsidRDefault="2EF2B10E" w14:paraId="66AD61F4" w14:textId="31D0FC7C">
      <w:pPr>
        <w:rPr>
          <w:rFonts w:ascii="Aptos" w:hAnsi="Aptos" w:eastAsia="Aptos" w:cs="Aptos"/>
          <w:b w:val="0"/>
          <w:bCs w:val="0"/>
          <w:i w:val="0"/>
          <w:iCs w:val="0"/>
          <w:caps w:val="0"/>
          <w:smallCaps w:val="0"/>
          <w:noProof w:val="0"/>
          <w:color w:val="000000" w:themeColor="text1" w:themeTint="FF" w:themeShade="FF"/>
          <w:sz w:val="24"/>
          <w:szCs w:val="24"/>
          <w:lang w:val="en-GB"/>
        </w:rPr>
      </w:pPr>
    </w:p>
    <w:p w:rsidR="0F70D564" w:rsidP="2EF2B10E" w:rsidRDefault="0F70D564" w14:paraId="5CF5570B" w14:textId="6590A831">
      <w:pPr>
        <w:rPr>
          <w:rFonts w:ascii="Aptos" w:hAnsi="Aptos" w:eastAsia="Aptos" w:cs="Aptos"/>
          <w:b w:val="0"/>
          <w:bCs w:val="0"/>
          <w:i w:val="0"/>
          <w:iCs w:val="0"/>
          <w:caps w:val="0"/>
          <w:smallCaps w:val="0"/>
          <w:noProof w:val="0"/>
          <w:color w:val="000000" w:themeColor="text1" w:themeTint="FF" w:themeShade="FF"/>
          <w:sz w:val="24"/>
          <w:szCs w:val="24"/>
          <w:lang w:val="en-GB"/>
        </w:rPr>
      </w:pPr>
      <w:r w:rsidR="0F70D564">
        <w:drawing>
          <wp:inline wp14:editId="33B8113C" wp14:anchorId="1BD573D9">
            <wp:extent cx="5943600" cy="2181225"/>
            <wp:effectExtent l="0" t="0" r="0" b="0"/>
            <wp:docPr id="15119361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1936191" name="Picture 1511936191"/>
                    <pic:cNvPicPr/>
                  </pic:nvPicPr>
                  <pic:blipFill>
                    <a:blip xmlns:r="http://schemas.openxmlformats.org/officeDocument/2006/relationships" r:embed="rId608787298">
                      <a:extLst>
                        <a:ext uri="{28A0092B-C50C-407E-A947-70E740481C1C}">
                          <a14:useLocalDpi xmlns:a14="http://schemas.microsoft.com/office/drawing/2010/main"/>
                        </a:ext>
                      </a:extLst>
                    </a:blip>
                    <a:stretch>
                      <a:fillRect/>
                    </a:stretch>
                  </pic:blipFill>
                  <pic:spPr>
                    <a:xfrm>
                      <a:off x="0" y="0"/>
                      <a:ext cx="5943600" cy="2181225"/>
                    </a:xfrm>
                    <a:prstGeom prst="rect">
                      <a:avLst/>
                    </a:prstGeom>
                  </pic:spPr>
                </pic:pic>
              </a:graphicData>
            </a:graphic>
          </wp:inline>
        </w:drawing>
      </w:r>
    </w:p>
    <w:p w:rsidR="2EF2B10E" w:rsidP="2EF2B10E" w:rsidRDefault="2EF2B10E" w14:paraId="5F6A4AB8" w14:textId="07896236">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w:rsidR="0F70D564" w:rsidP="2EF2B10E" w:rsidRDefault="0F70D564" w14:paraId="278B7BE5" w14:textId="01CA5D8C">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2EF2B10E" w:rsidR="0F70D564">
        <w:rPr>
          <w:rFonts w:ascii="Aptos" w:hAnsi="Aptos" w:eastAsia="Aptos" w:cs="Aptos"/>
          <w:b w:val="0"/>
          <w:bCs w:val="0"/>
          <w:i w:val="0"/>
          <w:iCs w:val="0"/>
          <w:caps w:val="0"/>
          <w:smallCaps w:val="0"/>
          <w:noProof w:val="0"/>
          <w:color w:val="000000" w:themeColor="text1" w:themeTint="FF" w:themeShade="FF"/>
          <w:sz w:val="24"/>
          <w:szCs w:val="24"/>
          <w:lang w:val="en-US"/>
        </w:rPr>
        <w:t>Student Name: Rowan Francis-Jones</w:t>
      </w:r>
    </w:p>
    <w:p w:rsidR="0F70D564" w:rsidP="2EF2B10E" w:rsidRDefault="0F70D564" w14:paraId="59CB9452" w14:textId="3AD542A1">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2EF2B10E" w:rsidR="0F70D564">
        <w:rPr>
          <w:rFonts w:ascii="Aptos" w:hAnsi="Aptos" w:eastAsia="Aptos" w:cs="Aptos"/>
          <w:b w:val="0"/>
          <w:bCs w:val="0"/>
          <w:i w:val="0"/>
          <w:iCs w:val="0"/>
          <w:caps w:val="0"/>
          <w:smallCaps w:val="0"/>
          <w:noProof w:val="0"/>
          <w:color w:val="000000" w:themeColor="text1" w:themeTint="FF" w:themeShade="FF"/>
          <w:sz w:val="24"/>
          <w:szCs w:val="24"/>
          <w:lang w:val="en-US"/>
        </w:rPr>
        <w:t>Student ID: 2516294</w:t>
      </w:r>
    </w:p>
    <w:p w:rsidR="0F70D564" w:rsidP="2EF2B10E" w:rsidRDefault="0F70D564" w14:paraId="7460E42E" w14:textId="12B68791">
      <w:pPr>
        <w:jc w:val="center"/>
      </w:pPr>
      <w:r w:rsidRPr="2EF2B10E" w:rsidR="0F70D564">
        <w:rPr>
          <w:rFonts w:ascii="Aptos" w:hAnsi="Aptos" w:eastAsia="Aptos" w:cs="Aptos"/>
          <w:b w:val="0"/>
          <w:bCs w:val="0"/>
          <w:i w:val="0"/>
          <w:iCs w:val="0"/>
          <w:caps w:val="0"/>
          <w:smallCaps w:val="0"/>
          <w:noProof w:val="0"/>
          <w:color w:val="000000" w:themeColor="text1" w:themeTint="FF" w:themeShade="FF"/>
          <w:sz w:val="24"/>
          <w:szCs w:val="24"/>
          <w:lang w:val="en-US"/>
        </w:rPr>
        <w:t>Course name: Fundamentals of Construction Technology</w:t>
      </w:r>
    </w:p>
    <w:p w:rsidR="0F70D564" w:rsidP="2EF2B10E" w:rsidRDefault="0F70D564" w14:paraId="7D01318F" w14:textId="4EE598C4">
      <w:pPr>
        <w:jc w:val="center"/>
      </w:pPr>
      <w:r w:rsidRPr="2EF2B10E" w:rsidR="0F70D564">
        <w:rPr>
          <w:rFonts w:ascii="Aptos" w:hAnsi="Aptos" w:eastAsia="Aptos" w:cs="Aptos"/>
          <w:b w:val="0"/>
          <w:bCs w:val="0"/>
          <w:i w:val="0"/>
          <w:iCs w:val="0"/>
          <w:caps w:val="0"/>
          <w:smallCaps w:val="0"/>
          <w:noProof w:val="0"/>
          <w:color w:val="000000" w:themeColor="text1" w:themeTint="FF" w:themeShade="FF"/>
          <w:sz w:val="24"/>
          <w:szCs w:val="24"/>
          <w:lang w:val="en-US"/>
        </w:rPr>
        <w:t>Date Handed In – 30/04/2026</w:t>
      </w:r>
    </w:p>
    <w:p w:rsidR="2EF2B10E" w:rsidP="2EF2B10E" w:rsidRDefault="2EF2B10E" w14:paraId="30306117" w14:textId="2AC92196">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2EF2B10E" w:rsidP="2EF2B10E" w:rsidRDefault="2EF2B10E" w14:paraId="7685D2D7" w14:textId="212C3AFB">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2EF2B10E" w:rsidP="2EF2B10E" w:rsidRDefault="2EF2B10E" w14:paraId="7829D89C" w14:textId="57E9A7CC">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2EF2B10E" w:rsidP="2EF2B10E" w:rsidRDefault="2EF2B10E" w14:paraId="6C21A387" w14:textId="3F82B776">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2EF2B10E" w:rsidP="2EF2B10E" w:rsidRDefault="2EF2B10E" w14:paraId="20E513AF" w14:textId="2522C9D5">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2EF2B10E" w:rsidP="2EF2B10E" w:rsidRDefault="2EF2B10E" w14:paraId="6078952A" w14:textId="26EA8573">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2EF2B10E" w:rsidP="2EF2B10E" w:rsidRDefault="2EF2B10E" w14:paraId="2650B8E6" w14:textId="6A29FE5E">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2EF2B10E" w:rsidP="2EF2B10E" w:rsidRDefault="2EF2B10E" w14:paraId="3C2533EF" w14:textId="03715278">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2EF2B10E" w:rsidP="2EF2B10E" w:rsidRDefault="2EF2B10E" w14:paraId="1BDF3C5A" w14:textId="34727E62">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2EF2B10E" w:rsidP="2EF2B10E" w:rsidRDefault="2EF2B10E" w14:paraId="2131D322" w14:textId="412A2F0C">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2EF2B10E" w:rsidP="2EF2B10E" w:rsidRDefault="2EF2B10E" w14:paraId="3495146B" w14:textId="77D9B746">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2EF2B10E" w:rsidP="2EF2B10E" w:rsidRDefault="2EF2B10E" w14:paraId="61325D47" w14:textId="6145ED58">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2EF2B10E" w:rsidP="2EF2B10E" w:rsidRDefault="2EF2B10E" w14:paraId="75E63AAA" w14:textId="5477658C">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2EF2B10E" w:rsidP="2EF2B10E" w:rsidRDefault="2EF2B10E" w14:paraId="7D2C7C5A" w14:textId="455800FF">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sdt>
      <w:sdtPr>
        <w:id w:val="1537391760"/>
        <w:docPartObj>
          <w:docPartGallery w:val="Table of Contents"/>
          <w:docPartUnique/>
        </w:docPartObj>
      </w:sdtPr>
      <w:sdtContent>
        <w:p w:rsidR="2EF2B10E" w:rsidP="2EF2B10E" w:rsidRDefault="2EF2B10E" w14:paraId="7A42469A" w14:textId="1CE8FB5F">
          <w:pPr>
            <w:pStyle w:val="TOC1"/>
            <w:tabs>
              <w:tab w:val="right" w:leader="dot" w:pos="9015"/>
            </w:tabs>
            <w:bidi w:val="0"/>
          </w:pPr>
          <w:r>
            <w:fldChar w:fldCharType="begin"/>
          </w:r>
          <w:r>
            <w:instrText xml:space="preserve">TOC \o "1-9" \z \u \h</w:instrText>
          </w:r>
          <w:r>
            <w:fldChar w:fldCharType="separate"/>
          </w:r>
          <w:hyperlink w:anchor="_Toc737252576">
            <w:r w:rsidRPr="2EF2B10E" w:rsidR="2EF2B10E">
              <w:rPr>
                <w:rStyle w:val="Hyperlink"/>
              </w:rPr>
              <w:t>1.0 Introduction</w:t>
            </w:r>
            <w:r>
              <w:tab/>
            </w:r>
            <w:r>
              <w:fldChar w:fldCharType="begin"/>
            </w:r>
            <w:r>
              <w:instrText xml:space="preserve">PAGEREF _Toc737252576 \h</w:instrText>
            </w:r>
            <w:r>
              <w:fldChar w:fldCharType="separate"/>
            </w:r>
            <w:r w:rsidRPr="2EF2B10E" w:rsidR="2EF2B10E">
              <w:rPr>
                <w:rStyle w:val="Hyperlink"/>
              </w:rPr>
              <w:t>1</w:t>
            </w:r>
            <w:r>
              <w:fldChar w:fldCharType="end"/>
            </w:r>
          </w:hyperlink>
        </w:p>
        <w:p w:rsidR="2EF2B10E" w:rsidP="2EF2B10E" w:rsidRDefault="2EF2B10E" w14:paraId="5EF6EBBD" w14:textId="2A8A2288">
          <w:pPr>
            <w:pStyle w:val="TOC1"/>
            <w:tabs>
              <w:tab w:val="right" w:leader="dot" w:pos="9015"/>
            </w:tabs>
            <w:bidi w:val="0"/>
          </w:pPr>
          <w:hyperlink w:anchor="_Toc1436510860">
            <w:r w:rsidRPr="2EF2B10E" w:rsidR="2EF2B10E">
              <w:rPr>
                <w:rStyle w:val="Hyperlink"/>
              </w:rPr>
              <w:t>2.0 Site Description</w:t>
            </w:r>
            <w:r>
              <w:tab/>
            </w:r>
            <w:r>
              <w:fldChar w:fldCharType="begin"/>
            </w:r>
            <w:r>
              <w:instrText xml:space="preserve">PAGEREF _Toc1436510860 \h</w:instrText>
            </w:r>
            <w:r>
              <w:fldChar w:fldCharType="separate"/>
            </w:r>
            <w:r w:rsidRPr="2EF2B10E" w:rsidR="2EF2B10E">
              <w:rPr>
                <w:rStyle w:val="Hyperlink"/>
              </w:rPr>
              <w:t>2</w:t>
            </w:r>
            <w:r>
              <w:fldChar w:fldCharType="end"/>
            </w:r>
          </w:hyperlink>
        </w:p>
        <w:p w:rsidR="2EF2B10E" w:rsidP="2EF2B10E" w:rsidRDefault="2EF2B10E" w14:paraId="64B845B3" w14:textId="2360DFEF">
          <w:pPr>
            <w:pStyle w:val="TOC1"/>
            <w:tabs>
              <w:tab w:val="right" w:leader="dot" w:pos="9015"/>
            </w:tabs>
            <w:bidi w:val="0"/>
          </w:pPr>
          <w:hyperlink w:anchor="_Toc1887340259">
            <w:r w:rsidRPr="2EF2B10E" w:rsidR="2EF2B10E">
              <w:rPr>
                <w:rStyle w:val="Hyperlink"/>
              </w:rPr>
              <w:t>3.0 Historical Background and Archival Study</w:t>
            </w:r>
            <w:r>
              <w:tab/>
            </w:r>
            <w:r>
              <w:fldChar w:fldCharType="begin"/>
            </w:r>
            <w:r>
              <w:instrText xml:space="preserve">PAGEREF _Toc1887340259 \h</w:instrText>
            </w:r>
            <w:r>
              <w:fldChar w:fldCharType="separate"/>
            </w:r>
            <w:r w:rsidRPr="2EF2B10E" w:rsidR="2EF2B10E">
              <w:rPr>
                <w:rStyle w:val="Hyperlink"/>
              </w:rPr>
              <w:t>2</w:t>
            </w:r>
            <w:r>
              <w:fldChar w:fldCharType="end"/>
            </w:r>
          </w:hyperlink>
        </w:p>
        <w:p w:rsidR="2EF2B10E" w:rsidP="2EF2B10E" w:rsidRDefault="2EF2B10E" w14:paraId="2201BA8D" w14:textId="5F77C269">
          <w:pPr>
            <w:pStyle w:val="TOC2"/>
            <w:tabs>
              <w:tab w:val="right" w:leader="dot" w:pos="9015"/>
            </w:tabs>
            <w:bidi w:val="0"/>
          </w:pPr>
          <w:hyperlink w:anchor="_Toc1150622929">
            <w:r w:rsidRPr="2EF2B10E" w:rsidR="2EF2B10E">
              <w:rPr>
                <w:rStyle w:val="Hyperlink"/>
              </w:rPr>
              <w:t>3.1 1850–1900: Industrial Expansion and Dockland Development</w:t>
            </w:r>
            <w:r>
              <w:tab/>
            </w:r>
            <w:r>
              <w:fldChar w:fldCharType="begin"/>
            </w:r>
            <w:r>
              <w:instrText xml:space="preserve">PAGEREF _Toc1150622929 \h</w:instrText>
            </w:r>
            <w:r>
              <w:fldChar w:fldCharType="separate"/>
            </w:r>
            <w:r w:rsidRPr="2EF2B10E" w:rsidR="2EF2B10E">
              <w:rPr>
                <w:rStyle w:val="Hyperlink"/>
              </w:rPr>
              <w:t>3</w:t>
            </w:r>
            <w:r>
              <w:fldChar w:fldCharType="end"/>
            </w:r>
          </w:hyperlink>
        </w:p>
        <w:p w:rsidR="2EF2B10E" w:rsidP="2EF2B10E" w:rsidRDefault="2EF2B10E" w14:paraId="4948E125" w14:textId="61492DB0">
          <w:pPr>
            <w:pStyle w:val="TOC2"/>
            <w:tabs>
              <w:tab w:val="right" w:leader="dot" w:pos="9015"/>
            </w:tabs>
            <w:bidi w:val="0"/>
          </w:pPr>
          <w:hyperlink w:anchor="_Toc810211784">
            <w:r w:rsidRPr="2EF2B10E" w:rsidR="2EF2B10E">
              <w:rPr>
                <w:rStyle w:val="Hyperlink"/>
              </w:rPr>
              <w:t>3.2 1900–1950: Continued Industrial Activity</w:t>
            </w:r>
            <w:r>
              <w:tab/>
            </w:r>
            <w:r>
              <w:fldChar w:fldCharType="begin"/>
            </w:r>
            <w:r>
              <w:instrText xml:space="preserve">PAGEREF _Toc810211784 \h</w:instrText>
            </w:r>
            <w:r>
              <w:fldChar w:fldCharType="separate"/>
            </w:r>
            <w:r w:rsidRPr="2EF2B10E" w:rsidR="2EF2B10E">
              <w:rPr>
                <w:rStyle w:val="Hyperlink"/>
              </w:rPr>
              <w:t>3</w:t>
            </w:r>
            <w:r>
              <w:fldChar w:fldCharType="end"/>
            </w:r>
          </w:hyperlink>
        </w:p>
        <w:p w:rsidR="2EF2B10E" w:rsidP="2EF2B10E" w:rsidRDefault="2EF2B10E" w14:paraId="478A8D1E" w14:textId="2CB9A706">
          <w:pPr>
            <w:pStyle w:val="TOC2"/>
            <w:tabs>
              <w:tab w:val="right" w:leader="dot" w:pos="9015"/>
            </w:tabs>
            <w:bidi w:val="0"/>
          </w:pPr>
          <w:hyperlink w:anchor="_Toc267399514">
            <w:r w:rsidRPr="2EF2B10E" w:rsidR="2EF2B10E">
              <w:rPr>
                <w:rStyle w:val="Hyperlink"/>
              </w:rPr>
              <w:t>3.3 1950–1980: Decline of Swansea Docklands</w:t>
            </w:r>
            <w:r>
              <w:tab/>
            </w:r>
            <w:r>
              <w:fldChar w:fldCharType="begin"/>
            </w:r>
            <w:r>
              <w:instrText xml:space="preserve">PAGEREF _Toc267399514 \h</w:instrText>
            </w:r>
            <w:r>
              <w:fldChar w:fldCharType="separate"/>
            </w:r>
            <w:r w:rsidRPr="2EF2B10E" w:rsidR="2EF2B10E">
              <w:rPr>
                <w:rStyle w:val="Hyperlink"/>
              </w:rPr>
              <w:t>4</w:t>
            </w:r>
            <w:r>
              <w:fldChar w:fldCharType="end"/>
            </w:r>
          </w:hyperlink>
        </w:p>
        <w:p w:rsidR="2EF2B10E" w:rsidP="2EF2B10E" w:rsidRDefault="2EF2B10E" w14:paraId="416D20D7" w14:textId="109AA65C">
          <w:pPr>
            <w:pStyle w:val="TOC2"/>
            <w:tabs>
              <w:tab w:val="right" w:leader="dot" w:pos="9015"/>
            </w:tabs>
            <w:bidi w:val="0"/>
          </w:pPr>
          <w:hyperlink w:anchor="_Toc2132266777">
            <w:r w:rsidRPr="2EF2B10E" w:rsidR="2EF2B10E">
              <w:rPr>
                <w:rStyle w:val="Hyperlink"/>
              </w:rPr>
              <w:t>3.4 1980–Present: Maritime Quarter Redevelopment</w:t>
            </w:r>
            <w:r>
              <w:tab/>
            </w:r>
            <w:r>
              <w:fldChar w:fldCharType="begin"/>
            </w:r>
            <w:r>
              <w:instrText xml:space="preserve">PAGEREF _Toc2132266777 \h</w:instrText>
            </w:r>
            <w:r>
              <w:fldChar w:fldCharType="separate"/>
            </w:r>
            <w:r w:rsidRPr="2EF2B10E" w:rsidR="2EF2B10E">
              <w:rPr>
                <w:rStyle w:val="Hyperlink"/>
              </w:rPr>
              <w:t>4</w:t>
            </w:r>
            <w:r>
              <w:fldChar w:fldCharType="end"/>
            </w:r>
          </w:hyperlink>
        </w:p>
        <w:p w:rsidR="2EF2B10E" w:rsidP="2EF2B10E" w:rsidRDefault="2EF2B10E" w14:paraId="3432B5EB" w14:textId="7791D29C">
          <w:pPr>
            <w:pStyle w:val="TOC1"/>
            <w:tabs>
              <w:tab w:val="right" w:leader="dot" w:pos="9015"/>
            </w:tabs>
            <w:bidi w:val="0"/>
          </w:pPr>
          <w:hyperlink w:anchor="_Toc1243464355">
            <w:r w:rsidRPr="2EF2B10E" w:rsidR="2EF2B10E">
              <w:rPr>
                <w:rStyle w:val="Hyperlink"/>
              </w:rPr>
              <w:t>4.0 Geological and Ground Conditions</w:t>
            </w:r>
            <w:r>
              <w:tab/>
            </w:r>
            <w:r>
              <w:fldChar w:fldCharType="begin"/>
            </w:r>
            <w:r>
              <w:instrText xml:space="preserve">PAGEREF _Toc1243464355 \h</w:instrText>
            </w:r>
            <w:r>
              <w:fldChar w:fldCharType="separate"/>
            </w:r>
            <w:r w:rsidRPr="2EF2B10E" w:rsidR="2EF2B10E">
              <w:rPr>
                <w:rStyle w:val="Hyperlink"/>
              </w:rPr>
              <w:t>4</w:t>
            </w:r>
            <w:r>
              <w:fldChar w:fldCharType="end"/>
            </w:r>
          </w:hyperlink>
        </w:p>
        <w:p w:rsidR="2EF2B10E" w:rsidP="2EF2B10E" w:rsidRDefault="2EF2B10E" w14:paraId="70CB9FB4" w14:textId="5682E654">
          <w:pPr>
            <w:pStyle w:val="TOC2"/>
            <w:tabs>
              <w:tab w:val="right" w:leader="dot" w:pos="9015"/>
            </w:tabs>
            <w:bidi w:val="0"/>
          </w:pPr>
          <w:hyperlink w:anchor="_Toc890508102">
            <w:r w:rsidRPr="2EF2B10E" w:rsidR="2EF2B10E">
              <w:rPr>
                <w:rStyle w:val="Hyperlink"/>
              </w:rPr>
              <w:t>4.1 Regional Geology</w:t>
            </w:r>
            <w:r>
              <w:tab/>
            </w:r>
            <w:r>
              <w:fldChar w:fldCharType="begin"/>
            </w:r>
            <w:r>
              <w:instrText xml:space="preserve">PAGEREF _Toc890508102 \h</w:instrText>
            </w:r>
            <w:r>
              <w:fldChar w:fldCharType="separate"/>
            </w:r>
            <w:r w:rsidRPr="2EF2B10E" w:rsidR="2EF2B10E">
              <w:rPr>
                <w:rStyle w:val="Hyperlink"/>
              </w:rPr>
              <w:t>4</w:t>
            </w:r>
            <w:r>
              <w:fldChar w:fldCharType="end"/>
            </w:r>
          </w:hyperlink>
        </w:p>
        <w:p w:rsidR="2EF2B10E" w:rsidP="2EF2B10E" w:rsidRDefault="2EF2B10E" w14:paraId="080D4258" w14:textId="0D52A32C">
          <w:pPr>
            <w:pStyle w:val="TOC2"/>
            <w:tabs>
              <w:tab w:val="right" w:leader="dot" w:pos="9015"/>
            </w:tabs>
            <w:bidi w:val="0"/>
          </w:pPr>
          <w:hyperlink w:anchor="_Toc841701743">
            <w:r w:rsidRPr="2EF2B10E" w:rsidR="2EF2B10E">
              <w:rPr>
                <w:rStyle w:val="Hyperlink"/>
              </w:rPr>
              <w:t>4.2 Groundwater Conditions</w:t>
            </w:r>
            <w:r>
              <w:tab/>
            </w:r>
            <w:r>
              <w:fldChar w:fldCharType="begin"/>
            </w:r>
            <w:r>
              <w:instrText xml:space="preserve">PAGEREF _Toc841701743 \h</w:instrText>
            </w:r>
            <w:r>
              <w:fldChar w:fldCharType="separate"/>
            </w:r>
            <w:r w:rsidRPr="2EF2B10E" w:rsidR="2EF2B10E">
              <w:rPr>
                <w:rStyle w:val="Hyperlink"/>
              </w:rPr>
              <w:t>5</w:t>
            </w:r>
            <w:r>
              <w:fldChar w:fldCharType="end"/>
            </w:r>
          </w:hyperlink>
        </w:p>
        <w:p w:rsidR="2EF2B10E" w:rsidP="2EF2B10E" w:rsidRDefault="2EF2B10E" w14:paraId="079F83F9" w14:textId="5D6F8A7F">
          <w:pPr>
            <w:pStyle w:val="TOC1"/>
            <w:tabs>
              <w:tab w:val="right" w:leader="dot" w:pos="9015"/>
            </w:tabs>
            <w:bidi w:val="0"/>
          </w:pPr>
          <w:hyperlink w:anchor="_Toc282074396">
            <w:r w:rsidRPr="2EF2B10E" w:rsidR="2EF2B10E">
              <w:rPr>
                <w:rStyle w:val="Hyperlink"/>
              </w:rPr>
              <w:t>5.0 Significant Site Risks</w:t>
            </w:r>
            <w:r>
              <w:tab/>
            </w:r>
            <w:r>
              <w:fldChar w:fldCharType="begin"/>
            </w:r>
            <w:r>
              <w:instrText xml:space="preserve">PAGEREF _Toc282074396 \h</w:instrText>
            </w:r>
            <w:r>
              <w:fldChar w:fldCharType="separate"/>
            </w:r>
            <w:r w:rsidRPr="2EF2B10E" w:rsidR="2EF2B10E">
              <w:rPr>
                <w:rStyle w:val="Hyperlink"/>
              </w:rPr>
              <w:t>5</w:t>
            </w:r>
            <w:r>
              <w:fldChar w:fldCharType="end"/>
            </w:r>
          </w:hyperlink>
        </w:p>
        <w:p w:rsidR="2EF2B10E" w:rsidP="2EF2B10E" w:rsidRDefault="2EF2B10E" w14:paraId="72F7FCC2" w14:textId="610D1E7E">
          <w:pPr>
            <w:pStyle w:val="TOC2"/>
            <w:tabs>
              <w:tab w:val="right" w:leader="dot" w:pos="9015"/>
            </w:tabs>
            <w:bidi w:val="0"/>
          </w:pPr>
          <w:hyperlink w:anchor="_Toc205775041">
            <w:r w:rsidRPr="2EF2B10E" w:rsidR="2EF2B10E">
              <w:rPr>
                <w:rStyle w:val="Hyperlink"/>
              </w:rPr>
              <w:t>5.1 Made Ground and Settlement</w:t>
            </w:r>
            <w:r>
              <w:tab/>
            </w:r>
            <w:r>
              <w:fldChar w:fldCharType="begin"/>
            </w:r>
            <w:r>
              <w:instrText xml:space="preserve">PAGEREF _Toc205775041 \h</w:instrText>
            </w:r>
            <w:r>
              <w:fldChar w:fldCharType="separate"/>
            </w:r>
            <w:r w:rsidRPr="2EF2B10E" w:rsidR="2EF2B10E">
              <w:rPr>
                <w:rStyle w:val="Hyperlink"/>
              </w:rPr>
              <w:t>5</w:t>
            </w:r>
            <w:r>
              <w:fldChar w:fldCharType="end"/>
            </w:r>
          </w:hyperlink>
        </w:p>
        <w:p w:rsidR="2EF2B10E" w:rsidP="2EF2B10E" w:rsidRDefault="2EF2B10E" w14:paraId="02F3E47D" w14:textId="56566125">
          <w:pPr>
            <w:pStyle w:val="TOC2"/>
            <w:tabs>
              <w:tab w:val="right" w:leader="dot" w:pos="9015"/>
            </w:tabs>
            <w:bidi w:val="0"/>
          </w:pPr>
          <w:hyperlink w:anchor="_Toc1924011483">
            <w:r w:rsidRPr="2EF2B10E" w:rsidR="2EF2B10E">
              <w:rPr>
                <w:rStyle w:val="Hyperlink"/>
              </w:rPr>
              <w:t>5.2 Soft Alluvial Deposits</w:t>
            </w:r>
            <w:r>
              <w:tab/>
            </w:r>
            <w:r>
              <w:fldChar w:fldCharType="begin"/>
            </w:r>
            <w:r>
              <w:instrText xml:space="preserve">PAGEREF _Toc1924011483 \h</w:instrText>
            </w:r>
            <w:r>
              <w:fldChar w:fldCharType="separate"/>
            </w:r>
            <w:r w:rsidRPr="2EF2B10E" w:rsidR="2EF2B10E">
              <w:rPr>
                <w:rStyle w:val="Hyperlink"/>
              </w:rPr>
              <w:t>5</w:t>
            </w:r>
            <w:r>
              <w:fldChar w:fldCharType="end"/>
            </w:r>
          </w:hyperlink>
        </w:p>
        <w:p w:rsidR="2EF2B10E" w:rsidP="2EF2B10E" w:rsidRDefault="2EF2B10E" w14:paraId="602B0706" w14:textId="515B6C6E">
          <w:pPr>
            <w:pStyle w:val="TOC2"/>
            <w:tabs>
              <w:tab w:val="right" w:leader="dot" w:pos="9015"/>
            </w:tabs>
            <w:bidi w:val="0"/>
          </w:pPr>
          <w:hyperlink w:anchor="_Toc916863503">
            <w:r w:rsidRPr="2EF2B10E" w:rsidR="2EF2B10E">
              <w:rPr>
                <w:rStyle w:val="Hyperlink"/>
              </w:rPr>
              <w:t>5.3 Contamination Risk</w:t>
            </w:r>
            <w:r>
              <w:tab/>
            </w:r>
            <w:r>
              <w:fldChar w:fldCharType="begin"/>
            </w:r>
            <w:r>
              <w:instrText xml:space="preserve">PAGEREF _Toc916863503 \h</w:instrText>
            </w:r>
            <w:r>
              <w:fldChar w:fldCharType="separate"/>
            </w:r>
            <w:r w:rsidRPr="2EF2B10E" w:rsidR="2EF2B10E">
              <w:rPr>
                <w:rStyle w:val="Hyperlink"/>
              </w:rPr>
              <w:t>6</w:t>
            </w:r>
            <w:r>
              <w:fldChar w:fldCharType="end"/>
            </w:r>
          </w:hyperlink>
        </w:p>
        <w:p w:rsidR="2EF2B10E" w:rsidP="2EF2B10E" w:rsidRDefault="2EF2B10E" w14:paraId="786CDFEC" w14:textId="2D819ABB">
          <w:pPr>
            <w:pStyle w:val="TOC2"/>
            <w:tabs>
              <w:tab w:val="right" w:leader="dot" w:pos="9015"/>
            </w:tabs>
            <w:bidi w:val="0"/>
          </w:pPr>
          <w:hyperlink w:anchor="_Toc1607197895">
            <w:r w:rsidRPr="2EF2B10E" w:rsidR="2EF2B10E">
              <w:rPr>
                <w:rStyle w:val="Hyperlink"/>
              </w:rPr>
              <w:t>5.4 Groundwater and Marine Conditions</w:t>
            </w:r>
            <w:r>
              <w:tab/>
            </w:r>
            <w:r>
              <w:fldChar w:fldCharType="begin"/>
            </w:r>
            <w:r>
              <w:instrText xml:space="preserve">PAGEREF _Toc1607197895 \h</w:instrText>
            </w:r>
            <w:r>
              <w:fldChar w:fldCharType="separate"/>
            </w:r>
            <w:r w:rsidRPr="2EF2B10E" w:rsidR="2EF2B10E">
              <w:rPr>
                <w:rStyle w:val="Hyperlink"/>
              </w:rPr>
              <w:t>6</w:t>
            </w:r>
            <w:r>
              <w:fldChar w:fldCharType="end"/>
            </w:r>
          </w:hyperlink>
        </w:p>
        <w:p w:rsidR="2EF2B10E" w:rsidP="2EF2B10E" w:rsidRDefault="2EF2B10E" w14:paraId="2A9C550F" w14:textId="4BEC5C10">
          <w:pPr>
            <w:pStyle w:val="TOC2"/>
            <w:tabs>
              <w:tab w:val="right" w:leader="dot" w:pos="9015"/>
            </w:tabs>
            <w:bidi w:val="0"/>
          </w:pPr>
          <w:hyperlink w:anchor="_Toc747013678">
            <w:r w:rsidRPr="2EF2B10E" w:rsidR="2EF2B10E">
              <w:rPr>
                <w:rStyle w:val="Hyperlink"/>
              </w:rPr>
              <w:t>6.0 Recommendations for Detailed Site Investigation</w:t>
            </w:r>
            <w:r>
              <w:tab/>
            </w:r>
            <w:r>
              <w:fldChar w:fldCharType="begin"/>
            </w:r>
            <w:r>
              <w:instrText xml:space="preserve">PAGEREF _Toc747013678 \h</w:instrText>
            </w:r>
            <w:r>
              <w:fldChar w:fldCharType="separate"/>
            </w:r>
            <w:r w:rsidRPr="2EF2B10E" w:rsidR="2EF2B10E">
              <w:rPr>
                <w:rStyle w:val="Hyperlink"/>
              </w:rPr>
              <w:t>6</w:t>
            </w:r>
            <w:r>
              <w:fldChar w:fldCharType="end"/>
            </w:r>
          </w:hyperlink>
        </w:p>
        <w:p w:rsidR="2EF2B10E" w:rsidP="2EF2B10E" w:rsidRDefault="2EF2B10E" w14:paraId="4C68B2E2" w14:textId="05E5A124">
          <w:pPr>
            <w:pStyle w:val="TOC3"/>
            <w:tabs>
              <w:tab w:val="right" w:leader="dot" w:pos="9015"/>
            </w:tabs>
            <w:bidi w:val="0"/>
          </w:pPr>
          <w:hyperlink w:anchor="_Toc317322969">
            <w:r w:rsidRPr="2EF2B10E" w:rsidR="2EF2B10E">
              <w:rPr>
                <w:rStyle w:val="Hyperlink"/>
              </w:rPr>
              <w:t>6.1 Boreholes</w:t>
            </w:r>
            <w:r>
              <w:tab/>
            </w:r>
            <w:r>
              <w:fldChar w:fldCharType="begin"/>
            </w:r>
            <w:r>
              <w:instrText xml:space="preserve">PAGEREF _Toc317322969 \h</w:instrText>
            </w:r>
            <w:r>
              <w:fldChar w:fldCharType="separate"/>
            </w:r>
            <w:r w:rsidRPr="2EF2B10E" w:rsidR="2EF2B10E">
              <w:rPr>
                <w:rStyle w:val="Hyperlink"/>
              </w:rPr>
              <w:t>6</w:t>
            </w:r>
            <w:r>
              <w:fldChar w:fldCharType="end"/>
            </w:r>
          </w:hyperlink>
        </w:p>
        <w:p w:rsidR="2EF2B10E" w:rsidP="2EF2B10E" w:rsidRDefault="2EF2B10E" w14:paraId="16CAA6B6" w14:textId="215F93BE">
          <w:pPr>
            <w:pStyle w:val="TOC3"/>
            <w:tabs>
              <w:tab w:val="right" w:leader="dot" w:pos="9015"/>
            </w:tabs>
            <w:bidi w:val="0"/>
          </w:pPr>
          <w:hyperlink w:anchor="_Toc1289723178">
            <w:r w:rsidRPr="2EF2B10E" w:rsidR="2EF2B10E">
              <w:rPr>
                <w:rStyle w:val="Hyperlink"/>
              </w:rPr>
              <w:t>6.2 Trial Pits</w:t>
            </w:r>
            <w:r>
              <w:tab/>
            </w:r>
            <w:r>
              <w:fldChar w:fldCharType="begin"/>
            </w:r>
            <w:r>
              <w:instrText xml:space="preserve">PAGEREF _Toc1289723178 \h</w:instrText>
            </w:r>
            <w:r>
              <w:fldChar w:fldCharType="separate"/>
            </w:r>
            <w:r w:rsidRPr="2EF2B10E" w:rsidR="2EF2B10E">
              <w:rPr>
                <w:rStyle w:val="Hyperlink"/>
              </w:rPr>
              <w:t>7</w:t>
            </w:r>
            <w:r>
              <w:fldChar w:fldCharType="end"/>
            </w:r>
          </w:hyperlink>
        </w:p>
        <w:p w:rsidR="2EF2B10E" w:rsidP="2EF2B10E" w:rsidRDefault="2EF2B10E" w14:paraId="430C630A" w14:textId="2D7621F9">
          <w:pPr>
            <w:pStyle w:val="TOC3"/>
            <w:tabs>
              <w:tab w:val="right" w:leader="dot" w:pos="9015"/>
            </w:tabs>
            <w:bidi w:val="0"/>
          </w:pPr>
          <w:hyperlink w:anchor="_Toc1097602032">
            <w:r w:rsidRPr="2EF2B10E" w:rsidR="2EF2B10E">
              <w:rPr>
                <w:rStyle w:val="Hyperlink"/>
              </w:rPr>
              <w:t>6.3 In-Situ Testing</w:t>
            </w:r>
            <w:r>
              <w:tab/>
            </w:r>
            <w:r>
              <w:fldChar w:fldCharType="begin"/>
            </w:r>
            <w:r>
              <w:instrText xml:space="preserve">PAGEREF _Toc1097602032 \h</w:instrText>
            </w:r>
            <w:r>
              <w:fldChar w:fldCharType="separate"/>
            </w:r>
            <w:r w:rsidRPr="2EF2B10E" w:rsidR="2EF2B10E">
              <w:rPr>
                <w:rStyle w:val="Hyperlink"/>
              </w:rPr>
              <w:t>7</w:t>
            </w:r>
            <w:r>
              <w:fldChar w:fldCharType="end"/>
            </w:r>
          </w:hyperlink>
        </w:p>
        <w:p w:rsidR="2EF2B10E" w:rsidP="2EF2B10E" w:rsidRDefault="2EF2B10E" w14:paraId="346A5D76" w14:textId="7C062320">
          <w:pPr>
            <w:pStyle w:val="TOC3"/>
            <w:tabs>
              <w:tab w:val="right" w:leader="dot" w:pos="9015"/>
            </w:tabs>
            <w:bidi w:val="0"/>
          </w:pPr>
          <w:hyperlink w:anchor="_Toc1841409282">
            <w:r w:rsidRPr="2EF2B10E" w:rsidR="2EF2B10E">
              <w:rPr>
                <w:rStyle w:val="Hyperlink"/>
              </w:rPr>
              <w:t>6.4 Laboratory Testing</w:t>
            </w:r>
            <w:r>
              <w:tab/>
            </w:r>
            <w:r>
              <w:fldChar w:fldCharType="begin"/>
            </w:r>
            <w:r>
              <w:instrText xml:space="preserve">PAGEREF _Toc1841409282 \h</w:instrText>
            </w:r>
            <w:r>
              <w:fldChar w:fldCharType="separate"/>
            </w:r>
            <w:r w:rsidRPr="2EF2B10E" w:rsidR="2EF2B10E">
              <w:rPr>
                <w:rStyle w:val="Hyperlink"/>
              </w:rPr>
              <w:t>7</w:t>
            </w:r>
            <w:r>
              <w:fldChar w:fldCharType="end"/>
            </w:r>
          </w:hyperlink>
        </w:p>
        <w:p w:rsidR="2EF2B10E" w:rsidP="2EF2B10E" w:rsidRDefault="2EF2B10E" w14:paraId="15FBE30C" w14:textId="7BCC54B1">
          <w:pPr>
            <w:pStyle w:val="TOC3"/>
            <w:tabs>
              <w:tab w:val="right" w:leader="dot" w:pos="9015"/>
            </w:tabs>
            <w:bidi w:val="0"/>
          </w:pPr>
          <w:hyperlink w:anchor="_Toc1225161838">
            <w:r w:rsidRPr="2EF2B10E" w:rsidR="2EF2B10E">
              <w:rPr>
                <w:rStyle w:val="Hyperlink"/>
              </w:rPr>
              <w:t>6.5 Environmental Investigation</w:t>
            </w:r>
            <w:r>
              <w:tab/>
            </w:r>
            <w:r>
              <w:fldChar w:fldCharType="begin"/>
            </w:r>
            <w:r>
              <w:instrText xml:space="preserve">PAGEREF _Toc1225161838 \h</w:instrText>
            </w:r>
            <w:r>
              <w:fldChar w:fldCharType="separate"/>
            </w:r>
            <w:r w:rsidRPr="2EF2B10E" w:rsidR="2EF2B10E">
              <w:rPr>
                <w:rStyle w:val="Hyperlink"/>
              </w:rPr>
              <w:t>7</w:t>
            </w:r>
            <w:r>
              <w:fldChar w:fldCharType="end"/>
            </w:r>
          </w:hyperlink>
        </w:p>
        <w:p w:rsidR="2EF2B10E" w:rsidP="2EF2B10E" w:rsidRDefault="2EF2B10E" w14:paraId="711CB1DB" w14:textId="2FE9C7B5">
          <w:pPr>
            <w:pStyle w:val="TOC2"/>
            <w:tabs>
              <w:tab w:val="right" w:leader="dot" w:pos="9015"/>
            </w:tabs>
            <w:bidi w:val="0"/>
          </w:pPr>
          <w:hyperlink w:anchor="_Toc735301375">
            <w:r w:rsidRPr="2EF2B10E" w:rsidR="2EF2B10E">
              <w:rPr>
                <w:rStyle w:val="Hyperlink"/>
              </w:rPr>
              <w:t>8.0 Applicable Regulations and Codes of Practice</w:t>
            </w:r>
            <w:r>
              <w:tab/>
            </w:r>
            <w:r>
              <w:fldChar w:fldCharType="begin"/>
            </w:r>
            <w:r>
              <w:instrText xml:space="preserve">PAGEREF _Toc735301375 \h</w:instrText>
            </w:r>
            <w:r>
              <w:fldChar w:fldCharType="separate"/>
            </w:r>
            <w:r w:rsidRPr="2EF2B10E" w:rsidR="2EF2B10E">
              <w:rPr>
                <w:rStyle w:val="Hyperlink"/>
              </w:rPr>
              <w:t>8</w:t>
            </w:r>
            <w:r>
              <w:fldChar w:fldCharType="end"/>
            </w:r>
          </w:hyperlink>
        </w:p>
        <w:p w:rsidR="2EF2B10E" w:rsidP="2EF2B10E" w:rsidRDefault="2EF2B10E" w14:paraId="4AF6387B" w14:textId="68221BA3">
          <w:pPr>
            <w:pStyle w:val="TOC3"/>
            <w:tabs>
              <w:tab w:val="right" w:leader="dot" w:pos="9015"/>
            </w:tabs>
            <w:bidi w:val="0"/>
          </w:pPr>
          <w:hyperlink w:anchor="_Toc792174022">
            <w:r w:rsidRPr="2EF2B10E" w:rsidR="2EF2B10E">
              <w:rPr>
                <w:rStyle w:val="Hyperlink"/>
              </w:rPr>
              <w:t>8.1 Building Regulations</w:t>
            </w:r>
            <w:r>
              <w:tab/>
            </w:r>
            <w:r>
              <w:fldChar w:fldCharType="begin"/>
            </w:r>
            <w:r>
              <w:instrText xml:space="preserve">PAGEREF _Toc792174022 \h</w:instrText>
            </w:r>
            <w:r>
              <w:fldChar w:fldCharType="separate"/>
            </w:r>
            <w:r w:rsidRPr="2EF2B10E" w:rsidR="2EF2B10E">
              <w:rPr>
                <w:rStyle w:val="Hyperlink"/>
              </w:rPr>
              <w:t>8</w:t>
            </w:r>
            <w:r>
              <w:fldChar w:fldCharType="end"/>
            </w:r>
          </w:hyperlink>
        </w:p>
        <w:p w:rsidR="2EF2B10E" w:rsidP="2EF2B10E" w:rsidRDefault="2EF2B10E" w14:paraId="5E1718D6" w14:textId="27DE11A2">
          <w:pPr>
            <w:pStyle w:val="TOC1"/>
            <w:tabs>
              <w:tab w:val="right" w:leader="dot" w:pos="9015"/>
            </w:tabs>
            <w:bidi w:val="0"/>
          </w:pPr>
          <w:hyperlink w:anchor="_Toc45717695">
            <w:r w:rsidRPr="2EF2B10E" w:rsidR="2EF2B10E">
              <w:rPr>
                <w:rStyle w:val="Hyperlink"/>
              </w:rPr>
              <w:t>9.0 Local Authority and Regulatory Consultation</w:t>
            </w:r>
            <w:r>
              <w:tab/>
            </w:r>
            <w:r>
              <w:fldChar w:fldCharType="begin"/>
            </w:r>
            <w:r>
              <w:instrText xml:space="preserve">PAGEREF _Toc45717695 \h</w:instrText>
            </w:r>
            <w:r>
              <w:fldChar w:fldCharType="separate"/>
            </w:r>
            <w:r w:rsidRPr="2EF2B10E" w:rsidR="2EF2B10E">
              <w:rPr>
                <w:rStyle w:val="Hyperlink"/>
              </w:rPr>
              <w:t>8</w:t>
            </w:r>
            <w:r>
              <w:fldChar w:fldCharType="end"/>
            </w:r>
          </w:hyperlink>
        </w:p>
        <w:p w:rsidR="2EF2B10E" w:rsidP="2EF2B10E" w:rsidRDefault="2EF2B10E" w14:paraId="1313B06A" w14:textId="364A519C">
          <w:pPr>
            <w:pStyle w:val="TOC3"/>
            <w:tabs>
              <w:tab w:val="right" w:leader="dot" w:pos="9015"/>
            </w:tabs>
            <w:bidi w:val="0"/>
          </w:pPr>
          <w:hyperlink w:anchor="_Toc775931547">
            <w:r w:rsidRPr="2EF2B10E" w:rsidR="2EF2B10E">
              <w:rPr>
                <w:rStyle w:val="Hyperlink"/>
              </w:rPr>
              <w:t>9.1 Swansea Council</w:t>
            </w:r>
            <w:r>
              <w:tab/>
            </w:r>
            <w:r>
              <w:fldChar w:fldCharType="begin"/>
            </w:r>
            <w:r>
              <w:instrText xml:space="preserve">PAGEREF _Toc775931547 \h</w:instrText>
            </w:r>
            <w:r>
              <w:fldChar w:fldCharType="separate"/>
            </w:r>
            <w:r w:rsidRPr="2EF2B10E" w:rsidR="2EF2B10E">
              <w:rPr>
                <w:rStyle w:val="Hyperlink"/>
              </w:rPr>
              <w:t>8</w:t>
            </w:r>
            <w:r>
              <w:fldChar w:fldCharType="end"/>
            </w:r>
          </w:hyperlink>
        </w:p>
        <w:p w:rsidR="2EF2B10E" w:rsidP="2EF2B10E" w:rsidRDefault="2EF2B10E" w14:paraId="133BE8DB" w14:textId="1C127056">
          <w:pPr>
            <w:pStyle w:val="TOC3"/>
            <w:tabs>
              <w:tab w:val="right" w:leader="dot" w:pos="9015"/>
            </w:tabs>
            <w:bidi w:val="0"/>
          </w:pPr>
          <w:hyperlink w:anchor="_Toc1917970969">
            <w:r w:rsidRPr="2EF2B10E" w:rsidR="2EF2B10E">
              <w:rPr>
                <w:rStyle w:val="Hyperlink"/>
              </w:rPr>
              <w:t>9.2 Natural Resources Wales (NRW)</w:t>
            </w:r>
            <w:r>
              <w:tab/>
            </w:r>
            <w:r>
              <w:fldChar w:fldCharType="begin"/>
            </w:r>
            <w:r>
              <w:instrText xml:space="preserve">PAGEREF _Toc1917970969 \h</w:instrText>
            </w:r>
            <w:r>
              <w:fldChar w:fldCharType="separate"/>
            </w:r>
            <w:r w:rsidRPr="2EF2B10E" w:rsidR="2EF2B10E">
              <w:rPr>
                <w:rStyle w:val="Hyperlink"/>
              </w:rPr>
              <w:t>9</w:t>
            </w:r>
            <w:r>
              <w:fldChar w:fldCharType="end"/>
            </w:r>
          </w:hyperlink>
        </w:p>
        <w:p w:rsidR="2EF2B10E" w:rsidP="2EF2B10E" w:rsidRDefault="2EF2B10E" w14:paraId="147E017C" w14:textId="580A8C4E">
          <w:pPr>
            <w:pStyle w:val="TOC1"/>
            <w:tabs>
              <w:tab w:val="right" w:leader="dot" w:pos="9015"/>
            </w:tabs>
            <w:bidi w:val="0"/>
          </w:pPr>
          <w:hyperlink w:anchor="_Toc2125466236">
            <w:r w:rsidRPr="2EF2B10E" w:rsidR="2EF2B10E">
              <w:rPr>
                <w:rStyle w:val="Hyperlink"/>
              </w:rPr>
              <w:t>10.0 Foundation Recommendations</w:t>
            </w:r>
            <w:r>
              <w:tab/>
            </w:r>
            <w:r>
              <w:fldChar w:fldCharType="begin"/>
            </w:r>
            <w:r>
              <w:instrText xml:space="preserve">PAGEREF _Toc2125466236 \h</w:instrText>
            </w:r>
            <w:r>
              <w:fldChar w:fldCharType="separate"/>
            </w:r>
            <w:r w:rsidRPr="2EF2B10E" w:rsidR="2EF2B10E">
              <w:rPr>
                <w:rStyle w:val="Hyperlink"/>
              </w:rPr>
              <w:t>9</w:t>
            </w:r>
            <w:r>
              <w:fldChar w:fldCharType="end"/>
            </w:r>
          </w:hyperlink>
        </w:p>
        <w:p w:rsidR="2EF2B10E" w:rsidP="2EF2B10E" w:rsidRDefault="2EF2B10E" w14:paraId="3BBA9C08" w14:textId="65D8B8AC">
          <w:pPr>
            <w:pStyle w:val="TOC2"/>
            <w:tabs>
              <w:tab w:val="right" w:leader="dot" w:pos="9015"/>
            </w:tabs>
            <w:bidi w:val="0"/>
          </w:pPr>
          <w:hyperlink w:anchor="_Toc1217880742">
            <w:r w:rsidRPr="2EF2B10E" w:rsidR="2EF2B10E">
              <w:rPr>
                <w:rStyle w:val="Hyperlink"/>
              </w:rPr>
              <w:t>10.1 Proposed Foundation Type</w:t>
            </w:r>
            <w:r>
              <w:tab/>
            </w:r>
            <w:r>
              <w:fldChar w:fldCharType="begin"/>
            </w:r>
            <w:r>
              <w:instrText xml:space="preserve">PAGEREF _Toc1217880742 \h</w:instrText>
            </w:r>
            <w:r>
              <w:fldChar w:fldCharType="separate"/>
            </w:r>
            <w:r w:rsidRPr="2EF2B10E" w:rsidR="2EF2B10E">
              <w:rPr>
                <w:rStyle w:val="Hyperlink"/>
              </w:rPr>
              <w:t>9</w:t>
            </w:r>
            <w:r>
              <w:fldChar w:fldCharType="end"/>
            </w:r>
          </w:hyperlink>
        </w:p>
        <w:p w:rsidR="2EF2B10E" w:rsidP="2EF2B10E" w:rsidRDefault="2EF2B10E" w14:paraId="1BE8A74C" w14:textId="72D3B1EA">
          <w:pPr>
            <w:pStyle w:val="TOC2"/>
            <w:tabs>
              <w:tab w:val="right" w:leader="dot" w:pos="9015"/>
            </w:tabs>
            <w:bidi w:val="0"/>
          </w:pPr>
          <w:hyperlink w:anchor="_Toc1092034373">
            <w:r w:rsidRPr="2EF2B10E" w:rsidR="2EF2B10E">
              <w:rPr>
                <w:rStyle w:val="Hyperlink"/>
              </w:rPr>
              <w:t>10.2 Justification</w:t>
            </w:r>
            <w:r>
              <w:tab/>
            </w:r>
            <w:r>
              <w:fldChar w:fldCharType="begin"/>
            </w:r>
            <w:r>
              <w:instrText xml:space="preserve">PAGEREF _Toc1092034373 \h</w:instrText>
            </w:r>
            <w:r>
              <w:fldChar w:fldCharType="separate"/>
            </w:r>
            <w:r w:rsidRPr="2EF2B10E" w:rsidR="2EF2B10E">
              <w:rPr>
                <w:rStyle w:val="Hyperlink"/>
              </w:rPr>
              <w:t>9</w:t>
            </w:r>
            <w:r>
              <w:fldChar w:fldCharType="end"/>
            </w:r>
          </w:hyperlink>
        </w:p>
        <w:p w:rsidR="2EF2B10E" w:rsidP="2EF2B10E" w:rsidRDefault="2EF2B10E" w14:paraId="6335E8B3" w14:textId="39A0CAE0">
          <w:pPr>
            <w:pStyle w:val="TOC1"/>
            <w:tabs>
              <w:tab w:val="right" w:leader="dot" w:pos="9015"/>
            </w:tabs>
            <w:bidi w:val="0"/>
          </w:pPr>
          <w:hyperlink w:anchor="_Toc1983825451">
            <w:r w:rsidRPr="2EF2B10E" w:rsidR="2EF2B10E">
              <w:rPr>
                <w:rStyle w:val="Hyperlink"/>
              </w:rPr>
              <w:t>Reference list</w:t>
            </w:r>
            <w:r>
              <w:tab/>
            </w:r>
            <w:r>
              <w:fldChar w:fldCharType="begin"/>
            </w:r>
            <w:r>
              <w:instrText xml:space="preserve">PAGEREF _Toc1983825451 \h</w:instrText>
            </w:r>
            <w:r>
              <w:fldChar w:fldCharType="separate"/>
            </w:r>
            <w:r w:rsidRPr="2EF2B10E" w:rsidR="2EF2B10E">
              <w:rPr>
                <w:rStyle w:val="Hyperlink"/>
              </w:rPr>
              <w:t>10</w:t>
            </w:r>
            <w:r>
              <w:fldChar w:fldCharType="end"/>
            </w:r>
          </w:hyperlink>
        </w:p>
        <w:p w:rsidR="2EF2B10E" w:rsidRDefault="2EF2B10E" w14:paraId="42694453" w14:textId="76F25296">
          <w:r>
            <w:fldChar w:fldCharType="end"/>
          </w:r>
        </w:p>
      </w:sdtContent>
    </w:sdt>
    <w:p w:rsidR="1F63DE97" w:rsidP="2EF2B10E" w:rsidRDefault="1F63DE97" w14:paraId="72F51743" w14:textId="042DCCB2">
      <w:pPr>
        <w:pStyle w:val="Heading1"/>
        <w:spacing w:before="240" w:beforeAutospacing="off" w:after="240" w:afterAutospacing="off"/>
        <w:jc w:val="left"/>
      </w:pPr>
      <w:bookmarkStart w:name="_Toc108096395" w:id="162111933"/>
      <w:bookmarkStart w:name="_Toc737252576" w:id="1000170955"/>
      <w:r w:rsidRPr="2EF2B10E" w:rsidR="1F63DE97">
        <w:rPr>
          <w:rFonts w:ascii="Aptos" w:hAnsi="Aptos" w:eastAsia="Aptos" w:cs="Aptos"/>
          <w:b w:val="1"/>
          <w:bCs w:val="1"/>
          <w:noProof w:val="0"/>
          <w:color w:val="0F58BD"/>
          <w:sz w:val="48"/>
          <w:szCs w:val="48"/>
          <w:lang w:val="en-GB"/>
        </w:rPr>
        <w:t>1.0 Introduction</w:t>
      </w:r>
      <w:bookmarkEnd w:id="162111933"/>
      <w:bookmarkEnd w:id="1000170955"/>
      <w:r w:rsidRPr="2EF2B10E" w:rsidR="1F63DE97">
        <w:rPr>
          <w:rFonts w:ascii="Aptos" w:hAnsi="Aptos" w:eastAsia="Aptos" w:cs="Aptos"/>
          <w:b w:val="1"/>
          <w:bCs w:val="1"/>
          <w:noProof w:val="0"/>
          <w:color w:val="0F58BD"/>
          <w:sz w:val="48"/>
          <w:szCs w:val="48"/>
          <w:lang w:val="en-GB"/>
        </w:rPr>
        <w:t xml:space="preserve"> </w:t>
      </w:r>
    </w:p>
    <w:p w:rsidR="1F63DE97" w:rsidP="2EF2B10E" w:rsidRDefault="1F63DE97" w14:paraId="5A1F4A18" w14:textId="78FF1ADC">
      <w:pPr>
        <w:spacing w:before="120" w:beforeAutospacing="off" w:after="120" w:afterAutospacing="off"/>
        <w:jc w:val="left"/>
      </w:pPr>
      <w:r w:rsidRPr="2EF2B10E" w:rsidR="1F63DE97">
        <w:rPr>
          <w:rFonts w:ascii="Aptos" w:hAnsi="Aptos" w:eastAsia="Aptos" w:cs="Aptos"/>
          <w:noProof w:val="0"/>
          <w:sz w:val="24"/>
          <w:szCs w:val="24"/>
          <w:lang w:val="en-GB"/>
        </w:rPr>
        <w:t xml:space="preserve">This report presents a preliminary desktop investigation and feasibility-stage site investigation proposal for a proposed restaurant and ice-cream parlor development located between County Hall and the Delta Hotels Swansea (formerly Swansea Marriott Hotel) within Swansea Maritime Quarter. </w:t>
      </w:r>
    </w:p>
    <w:p w:rsidR="1F63DE97" w:rsidP="2EF2B10E" w:rsidRDefault="1F63DE97" w14:paraId="729D7EBC" w14:textId="43D0C9E2">
      <w:pPr>
        <w:spacing w:before="120" w:beforeAutospacing="off" w:after="120" w:afterAutospacing="off"/>
        <w:jc w:val="left"/>
      </w:pPr>
      <w:r w:rsidRPr="2EF2B10E" w:rsidR="1F63DE97">
        <w:rPr>
          <w:rFonts w:ascii="Aptos" w:hAnsi="Aptos" w:eastAsia="Aptos" w:cs="Aptos"/>
          <w:noProof w:val="0"/>
          <w:sz w:val="24"/>
          <w:szCs w:val="24"/>
          <w:lang w:val="en-GB"/>
        </w:rPr>
        <w:t xml:space="preserve">The proposed building will include a restaurant, café bar, ice cream parlor, commercial kitchen, food storage facilities, meeting rooms, staff welfare facilities, and a manager’s apartment. The building will also include a glazed frontage overlooking the Swansea promenade. The proposed Gross Internal Area (GIA) is approximately 2,000 m². </w:t>
      </w:r>
    </w:p>
    <w:p w:rsidR="1F63DE97" w:rsidP="2EF2B10E" w:rsidRDefault="1F63DE97" w14:paraId="78076FF6" w14:textId="5F239561">
      <w:pPr>
        <w:spacing w:before="120" w:beforeAutospacing="off" w:after="120" w:afterAutospacing="off"/>
        <w:jc w:val="left"/>
      </w:pPr>
      <w:r w:rsidRPr="2EF2B10E" w:rsidR="1F63DE97">
        <w:rPr>
          <w:rFonts w:ascii="Aptos" w:hAnsi="Aptos" w:eastAsia="Aptos" w:cs="Aptos"/>
          <w:noProof w:val="0"/>
          <w:sz w:val="24"/>
          <w:szCs w:val="24"/>
          <w:lang w:val="en-GB"/>
        </w:rPr>
        <w:t xml:space="preserve">The purpose of this report is to examine the historical background of the site, identify significant geotechnical and environmental risks, recommend a suitable intrusive site investigation strategy, identify relevant regulations, and propose an appropriate foundation solution for the development. </w:t>
      </w:r>
    </w:p>
    <w:p w:rsidR="1F63DE97" w:rsidP="2EF2B10E" w:rsidRDefault="1F63DE97" w14:paraId="7F680370" w14:textId="33504FFB">
      <w:pPr>
        <w:spacing w:before="120" w:beforeAutospacing="off" w:after="120" w:afterAutospacing="off"/>
        <w:jc w:val="left"/>
      </w:pPr>
      <w:r w:rsidRPr="2EF2B10E" w:rsidR="1F63DE97">
        <w:rPr>
          <w:rFonts w:ascii="Aptos" w:hAnsi="Aptos" w:eastAsia="Aptos" w:cs="Aptos"/>
          <w:noProof w:val="0"/>
          <w:sz w:val="24"/>
          <w:szCs w:val="24"/>
          <w:lang w:val="en-GB"/>
        </w:rPr>
        <w:t xml:space="preserve">The report uses archival information, geological mapping, and representative borehole information obtained from the nearby Meridian Tower (The Tower at Meridian Quay) development, which is considered representative of the local ground conditions. </w:t>
      </w:r>
    </w:p>
    <w:p w:rsidR="1F63DE97" w:rsidP="2EF2B10E" w:rsidRDefault="1F63DE97" w14:paraId="5CAD94B4" w14:textId="42CEE5BF">
      <w:pPr>
        <w:pStyle w:val="Heading1"/>
        <w:spacing w:before="480" w:beforeAutospacing="off" w:after="240" w:afterAutospacing="off"/>
        <w:jc w:val="left"/>
      </w:pPr>
      <w:bookmarkStart w:name="_Toc396484653" w:id="2109247520"/>
      <w:bookmarkStart w:name="_Toc1436510860" w:id="1207343188"/>
      <w:r w:rsidRPr="2EF2B10E" w:rsidR="1F63DE97">
        <w:rPr>
          <w:rFonts w:ascii="Aptos" w:hAnsi="Aptos" w:eastAsia="Aptos" w:cs="Aptos"/>
          <w:b w:val="1"/>
          <w:bCs w:val="1"/>
          <w:noProof w:val="0"/>
          <w:color w:val="0F58BD"/>
          <w:sz w:val="48"/>
          <w:szCs w:val="48"/>
          <w:lang w:val="en-GB"/>
        </w:rPr>
        <w:t>2.0 Site Description</w:t>
      </w:r>
      <w:bookmarkEnd w:id="2109247520"/>
      <w:bookmarkEnd w:id="1207343188"/>
      <w:r w:rsidRPr="2EF2B10E" w:rsidR="1F63DE97">
        <w:rPr>
          <w:rFonts w:ascii="Aptos" w:hAnsi="Aptos" w:eastAsia="Aptos" w:cs="Aptos"/>
          <w:b w:val="1"/>
          <w:bCs w:val="1"/>
          <w:noProof w:val="0"/>
          <w:color w:val="0F58BD"/>
          <w:sz w:val="48"/>
          <w:szCs w:val="48"/>
          <w:lang w:val="en-GB"/>
        </w:rPr>
        <w:t xml:space="preserve"> </w:t>
      </w:r>
    </w:p>
    <w:p w:rsidR="1F63DE97" w:rsidP="2EF2B10E" w:rsidRDefault="1F63DE97" w14:paraId="73FA285B" w14:textId="4316E7BF">
      <w:pPr>
        <w:spacing w:before="120" w:beforeAutospacing="off" w:after="120" w:afterAutospacing="off"/>
        <w:jc w:val="left"/>
      </w:pPr>
      <w:r w:rsidRPr="2EF2B10E" w:rsidR="1F63DE97">
        <w:rPr>
          <w:rFonts w:ascii="Aptos" w:hAnsi="Aptos" w:eastAsia="Aptos" w:cs="Aptos"/>
          <w:noProof w:val="0"/>
          <w:sz w:val="24"/>
          <w:szCs w:val="24"/>
          <w:lang w:val="en-GB"/>
        </w:rPr>
        <w:t xml:space="preserve">The proposed site is located on Swansea foreshore within the Maritime Quarter redevelopment area. The site lies between County Hall and the Delta Hotels Swansea, adjacent to Swansea Marina and Swansea Bay. </w:t>
      </w:r>
    </w:p>
    <w:p w:rsidR="1F63DE97" w:rsidP="2EF2B10E" w:rsidRDefault="1F63DE97" w14:paraId="4C304029" w14:textId="3F2B64E2">
      <w:pPr>
        <w:spacing w:before="120" w:beforeAutospacing="off" w:after="120" w:afterAutospacing="off"/>
        <w:jc w:val="left"/>
      </w:pPr>
      <w:r w:rsidRPr="2EF2B10E" w:rsidR="1F63DE97">
        <w:rPr>
          <w:rFonts w:ascii="Aptos" w:hAnsi="Aptos" w:eastAsia="Aptos" w:cs="Aptos"/>
          <w:noProof w:val="0"/>
          <w:sz w:val="24"/>
          <w:szCs w:val="24"/>
          <w:lang w:val="en-GB"/>
        </w:rPr>
        <w:t xml:space="preserve">The area currently consists mainly of surface car parking, hardstanding, and paved areas, pedestrian access routes, and landscaped public waterfront areas. </w:t>
      </w:r>
    </w:p>
    <w:p w:rsidR="1F63DE97" w:rsidP="2EF2B10E" w:rsidRDefault="1F63DE97" w14:paraId="3B932BC8" w14:textId="7E5E5FE5">
      <w:pPr>
        <w:spacing w:before="120" w:beforeAutospacing="off" w:after="120" w:afterAutospacing="off"/>
        <w:jc w:val="left"/>
      </w:pPr>
      <w:r w:rsidRPr="2EF2B10E" w:rsidR="1F63DE97">
        <w:rPr>
          <w:rFonts w:ascii="Aptos" w:hAnsi="Aptos" w:eastAsia="Aptos" w:cs="Aptos"/>
          <w:noProof w:val="0"/>
          <w:sz w:val="24"/>
          <w:szCs w:val="24"/>
          <w:lang w:val="en-GB"/>
        </w:rPr>
        <w:t xml:space="preserve">The site is relatively flat and low-lying due to its coastal location. The surrounding area contains hotels, offices, residential developments, leisure facilities, and marina infrastructure. </w:t>
      </w:r>
    </w:p>
    <w:p w:rsidR="1F63DE97" w:rsidP="2EF2B10E" w:rsidRDefault="1F63DE97" w14:paraId="726DF3D2" w14:textId="78010FE7">
      <w:pPr>
        <w:spacing w:before="120" w:beforeAutospacing="off" w:after="120" w:afterAutospacing="off"/>
        <w:jc w:val="left"/>
      </w:pPr>
      <w:r w:rsidRPr="2EF2B10E" w:rsidR="1F63DE97">
        <w:rPr>
          <w:rFonts w:ascii="Aptos" w:hAnsi="Aptos" w:eastAsia="Aptos" w:cs="Aptos"/>
          <w:noProof w:val="0"/>
          <w:sz w:val="24"/>
          <w:szCs w:val="24"/>
          <w:lang w:val="en-GB"/>
        </w:rPr>
        <w:t xml:space="preserve">The site was once part of Swansea’s industrial dockland before regeneration transformed it in the late twentieth century. </w:t>
      </w:r>
    </w:p>
    <w:p w:rsidR="1F63DE97" w:rsidP="2EF2B10E" w:rsidRDefault="1F63DE97" w14:paraId="5016F992" w14:textId="5E8FE846">
      <w:pPr>
        <w:pStyle w:val="Heading1"/>
        <w:spacing w:before="480" w:beforeAutospacing="off" w:after="240" w:afterAutospacing="off"/>
        <w:jc w:val="left"/>
      </w:pPr>
      <w:bookmarkStart w:name="_Toc128545989" w:id="1398086765"/>
      <w:bookmarkStart w:name="_Toc1887340259" w:id="224332731"/>
      <w:r w:rsidRPr="2EF2B10E" w:rsidR="1F63DE97">
        <w:rPr>
          <w:rFonts w:ascii="Aptos" w:hAnsi="Aptos" w:eastAsia="Aptos" w:cs="Aptos"/>
          <w:b w:val="1"/>
          <w:bCs w:val="1"/>
          <w:noProof w:val="0"/>
          <w:color w:val="0F58BD"/>
          <w:sz w:val="48"/>
          <w:szCs w:val="48"/>
          <w:lang w:val="en-GB"/>
        </w:rPr>
        <w:t>3.0 Historical Background and Archival Study</w:t>
      </w:r>
      <w:bookmarkEnd w:id="1398086765"/>
      <w:bookmarkEnd w:id="224332731"/>
      <w:r w:rsidRPr="2EF2B10E" w:rsidR="1F63DE97">
        <w:rPr>
          <w:rFonts w:ascii="Aptos" w:hAnsi="Aptos" w:eastAsia="Aptos" w:cs="Aptos"/>
          <w:b w:val="1"/>
          <w:bCs w:val="1"/>
          <w:noProof w:val="0"/>
          <w:color w:val="0F58BD"/>
          <w:sz w:val="48"/>
          <w:szCs w:val="48"/>
          <w:lang w:val="en-GB"/>
        </w:rPr>
        <w:t xml:space="preserve"> </w:t>
      </w:r>
    </w:p>
    <w:p w:rsidR="1F63DE97" w:rsidP="2EF2B10E" w:rsidRDefault="1F63DE97" w14:paraId="399FCC05" w14:textId="7955DF59">
      <w:pPr>
        <w:pStyle w:val="Heading2"/>
        <w:spacing w:before="180" w:beforeAutospacing="off" w:after="180" w:afterAutospacing="off"/>
        <w:jc w:val="left"/>
      </w:pPr>
      <w:bookmarkStart w:name="_Toc1080237798" w:id="373083308"/>
      <w:bookmarkStart w:name="_Toc1150622929" w:id="295182167"/>
      <w:r w:rsidRPr="2EF2B10E" w:rsidR="1F63DE97">
        <w:rPr>
          <w:rFonts w:ascii="Aptos" w:hAnsi="Aptos" w:eastAsia="Aptos" w:cs="Aptos"/>
          <w:b w:val="1"/>
          <w:bCs w:val="1"/>
          <w:noProof w:val="0"/>
          <w:color w:val="0F58BD"/>
          <w:sz w:val="36"/>
          <w:szCs w:val="36"/>
          <w:lang w:val="en-GB"/>
        </w:rPr>
        <w:t>3.1 1850–1900: Industrial Expansion and Dockland Development</w:t>
      </w:r>
      <w:bookmarkEnd w:id="373083308"/>
      <w:bookmarkEnd w:id="295182167"/>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4523482D" w14:textId="621394FF">
      <w:pPr>
        <w:spacing w:before="120" w:beforeAutospacing="off" w:after="120" w:afterAutospacing="off"/>
        <w:jc w:val="left"/>
      </w:pPr>
      <w:r w:rsidRPr="2EF2B10E" w:rsidR="1F63DE97">
        <w:rPr>
          <w:rFonts w:ascii="Aptos" w:hAnsi="Aptos" w:eastAsia="Aptos" w:cs="Aptos"/>
          <w:noProof w:val="0"/>
          <w:sz w:val="24"/>
          <w:szCs w:val="24"/>
          <w:lang w:val="en-GB"/>
        </w:rPr>
        <w:t xml:space="preserve">During the nineteenth century, Swansea became one of the most important industrial and maritime towns in Britain. The docks played a major role in coal exportation and copper smelting industries. </w:t>
      </w:r>
    </w:p>
    <w:p w:rsidR="1F63DE97" w:rsidP="2EF2B10E" w:rsidRDefault="1F63DE97" w14:paraId="0BCD7D97" w14:textId="30E4617D">
      <w:pPr>
        <w:spacing w:before="120" w:beforeAutospacing="off" w:after="120" w:afterAutospacing="off"/>
        <w:jc w:val="left"/>
      </w:pPr>
      <w:r w:rsidRPr="2EF2B10E" w:rsidR="1F63DE97">
        <w:rPr>
          <w:rFonts w:ascii="Aptos" w:hAnsi="Aptos" w:eastAsia="Aptos" w:cs="Aptos"/>
          <w:noProof w:val="0"/>
          <w:sz w:val="24"/>
          <w:szCs w:val="24"/>
          <w:lang w:val="en-GB"/>
        </w:rPr>
        <w:t xml:space="preserve">Historical Ordnance Survey maps from the mid- to late 1800s show that the Maritime Quarter originally comprised dock basins, tidal foreshore, industrial yards, warehousing, and shipping infrastructure. </w:t>
      </w:r>
    </w:p>
    <w:p w:rsidR="1F63DE97" w:rsidP="2EF2B10E" w:rsidRDefault="1F63DE97" w14:paraId="2FA4F3AC" w14:textId="5D196B10">
      <w:pPr>
        <w:spacing w:before="120" w:beforeAutospacing="off" w:after="120" w:afterAutospacing="off"/>
        <w:jc w:val="left"/>
      </w:pPr>
      <w:r w:rsidRPr="2EF2B10E" w:rsidR="1F63DE97">
        <w:rPr>
          <w:rFonts w:ascii="Aptos" w:hAnsi="Aptos" w:eastAsia="Aptos" w:cs="Aptos"/>
          <w:noProof w:val="0"/>
          <w:sz w:val="24"/>
          <w:szCs w:val="24"/>
          <w:lang w:val="en-GB"/>
        </w:rPr>
        <w:t xml:space="preserve">Large sections of the waterfront were reclaimed to support industrial expansion. Reclamation works were commonly undertaken using imported fill and industrial waste materials such as ash, slag, and demolition debris. </w:t>
      </w:r>
    </w:p>
    <w:p w:rsidR="1F63DE97" w:rsidP="2EF2B10E" w:rsidRDefault="1F63DE97" w14:paraId="7770044B" w14:textId="6BDC9AD9">
      <w:pPr>
        <w:spacing w:before="120" w:beforeAutospacing="off" w:after="120" w:afterAutospacing="off"/>
        <w:jc w:val="left"/>
      </w:pPr>
      <w:r w:rsidRPr="2EF2B10E" w:rsidR="1F63DE97">
        <w:rPr>
          <w:rFonts w:ascii="Aptos" w:hAnsi="Aptos" w:eastAsia="Aptos" w:cs="Aptos"/>
          <w:noProof w:val="0"/>
          <w:sz w:val="24"/>
          <w:szCs w:val="24"/>
          <w:lang w:val="en-GB"/>
        </w:rPr>
        <w:t xml:space="preserve">This historical use is highly significant because reclaimed dockland often produces difficult ground conditions. Made ground can contain variable materials with inconsistent strength and compaction. Historical industrial activities may also have caused contamination. Potential contamination sources from this period included Coal ash, furnace slag, hydrocarbons, heavy metals, and industrial waste deposits. </w:t>
      </w:r>
    </w:p>
    <w:p w:rsidR="1F63DE97" w:rsidP="2EF2B10E" w:rsidRDefault="1F63DE97" w14:paraId="4E015332" w14:textId="54A0D920">
      <w:pPr>
        <w:spacing w:before="120" w:beforeAutospacing="off" w:after="120" w:afterAutospacing="off"/>
        <w:jc w:val="left"/>
      </w:pPr>
      <w:r w:rsidR="1F63DE97">
        <w:drawing>
          <wp:inline wp14:editId="2106901E" wp14:anchorId="66519D5C">
            <wp:extent cx="5943600" cy="3362325"/>
            <wp:effectExtent l="0" t="0" r="0" b="0"/>
            <wp:docPr id="1772544198" name="drawing" title="image.p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2544198" name="Picture 1772544198"/>
                    <pic:cNvPicPr/>
                  </pic:nvPicPr>
                  <pic:blipFill>
                    <a:blip xmlns:r="http://schemas.openxmlformats.org/officeDocument/2006/relationships" r:embed="rId531982201">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inline>
        </w:drawing>
      </w:r>
      <w:r w:rsidRPr="2EF2B10E" w:rsidR="1F63DE97">
        <w:rPr>
          <w:rFonts w:ascii="Aptos" w:hAnsi="Aptos" w:eastAsia="Aptos" w:cs="Aptos"/>
          <w:noProof w:val="0"/>
          <w:sz w:val="24"/>
          <w:szCs w:val="24"/>
          <w:lang w:val="en-GB"/>
        </w:rPr>
        <w:t xml:space="preserve">Swansea Marina – 1900s (National Library of Scotland) </w:t>
      </w:r>
    </w:p>
    <w:p w:rsidR="1F63DE97" w:rsidP="2EF2B10E" w:rsidRDefault="1F63DE97" w14:paraId="19A07CF0" w14:textId="38B8BE58">
      <w:pPr>
        <w:pStyle w:val="Heading2"/>
        <w:spacing w:before="360" w:beforeAutospacing="off" w:after="180" w:afterAutospacing="off"/>
        <w:jc w:val="left"/>
      </w:pPr>
      <w:bookmarkStart w:name="_Toc452018539" w:id="29781995"/>
      <w:bookmarkStart w:name="_Toc810211784" w:id="229719774"/>
      <w:r w:rsidRPr="2EF2B10E" w:rsidR="1F63DE97">
        <w:rPr>
          <w:rFonts w:ascii="Aptos" w:hAnsi="Aptos" w:eastAsia="Aptos" w:cs="Aptos"/>
          <w:b w:val="1"/>
          <w:bCs w:val="1"/>
          <w:noProof w:val="0"/>
          <w:color w:val="0F58BD"/>
          <w:sz w:val="36"/>
          <w:szCs w:val="36"/>
          <w:lang w:val="en-GB"/>
        </w:rPr>
        <w:t>3.2 1900–1950: Continued Industrial Activity</w:t>
      </w:r>
      <w:bookmarkEnd w:id="29781995"/>
      <w:bookmarkEnd w:id="229719774"/>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3FA9C549" w14:textId="7B6A1954">
      <w:pPr>
        <w:spacing w:before="120" w:beforeAutospacing="off" w:after="120" w:afterAutospacing="off"/>
        <w:jc w:val="left"/>
      </w:pPr>
      <w:r w:rsidRPr="2EF2B10E" w:rsidR="1F63DE97">
        <w:rPr>
          <w:rFonts w:ascii="Aptos" w:hAnsi="Aptos" w:eastAsia="Aptos" w:cs="Aptos"/>
          <w:noProof w:val="0"/>
          <w:sz w:val="24"/>
          <w:szCs w:val="24"/>
          <w:lang w:val="en-GB"/>
        </w:rPr>
        <w:t xml:space="preserve">Throughout the early twentieth century, the Swansea docklands remained heavily industrialized. Historical records and photographs show the continued presence of railway sidings, warehouses, fuel storage areas, engineering works, and maritime servicing facilities. The site and surrounding area would have experienced continuous modification during this period. Additional uncontrolled fill materials were likely deposited across the waterfront as redevelopment and dock maintenance continued. Ground conditions in former dockland areas are often highly variable because historical records rarely document the exact composition and placement of fill materials. </w:t>
      </w:r>
    </w:p>
    <w:p w:rsidR="1F63DE97" w:rsidP="2EF2B10E" w:rsidRDefault="1F63DE97" w14:paraId="22DCC60D" w14:textId="18B0A291">
      <w:pPr>
        <w:pStyle w:val="Heading2"/>
        <w:spacing w:before="360" w:beforeAutospacing="off" w:after="180" w:afterAutospacing="off"/>
        <w:jc w:val="left"/>
      </w:pPr>
      <w:bookmarkStart w:name="_Toc1495978269" w:id="1446732550"/>
      <w:bookmarkStart w:name="_Toc267399514" w:id="604591164"/>
      <w:r w:rsidRPr="2EF2B10E" w:rsidR="1F63DE97">
        <w:rPr>
          <w:rFonts w:ascii="Aptos" w:hAnsi="Aptos" w:eastAsia="Aptos" w:cs="Aptos"/>
          <w:b w:val="1"/>
          <w:bCs w:val="1"/>
          <w:noProof w:val="0"/>
          <w:color w:val="0F58BD"/>
          <w:sz w:val="36"/>
          <w:szCs w:val="36"/>
          <w:lang w:val="en-GB"/>
        </w:rPr>
        <w:t>3.3 1950–1980: Decline of Swansea Docklands</w:t>
      </w:r>
      <w:bookmarkEnd w:id="1446732550"/>
      <w:bookmarkEnd w:id="604591164"/>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4243825C" w14:textId="0E1B682B">
      <w:pPr>
        <w:spacing w:before="120" w:beforeAutospacing="off" w:after="120" w:afterAutospacing="off"/>
        <w:jc w:val="left"/>
      </w:pPr>
      <w:r w:rsidRPr="2EF2B10E" w:rsidR="1F63DE97">
        <w:rPr>
          <w:rFonts w:ascii="Aptos" w:hAnsi="Aptos" w:eastAsia="Aptos" w:cs="Aptos"/>
          <w:noProof w:val="0"/>
          <w:sz w:val="24"/>
          <w:szCs w:val="24"/>
          <w:lang w:val="en-GB"/>
        </w:rPr>
        <w:t xml:space="preserve">Following the decline of heavy industry after World War II, many dockland areas became derelict. Large industrial structures were demolished, and many waterfront areas became unused or abandoned. This period likely introduced further ground instability due to demolition, debris-buried foundations, redundant underground services, and uncontrolled infilling. The dockland decline significantly changed Swansea’s economy and eventually led to major regeneration projects. </w:t>
      </w:r>
    </w:p>
    <w:p w:rsidR="1F63DE97" w:rsidP="2EF2B10E" w:rsidRDefault="1F63DE97" w14:paraId="4F9D49BA" w14:textId="5CC3CB23">
      <w:pPr>
        <w:pStyle w:val="Heading2"/>
        <w:spacing w:before="360" w:beforeAutospacing="off" w:after="180" w:afterAutospacing="off"/>
        <w:jc w:val="left"/>
      </w:pPr>
      <w:bookmarkStart w:name="_Toc323026733" w:id="959259896"/>
      <w:bookmarkStart w:name="_Toc2132266777" w:id="1536751361"/>
      <w:r w:rsidRPr="2EF2B10E" w:rsidR="1F63DE97">
        <w:rPr>
          <w:rFonts w:ascii="Aptos" w:hAnsi="Aptos" w:eastAsia="Aptos" w:cs="Aptos"/>
          <w:b w:val="1"/>
          <w:bCs w:val="1"/>
          <w:noProof w:val="0"/>
          <w:color w:val="0F58BD"/>
          <w:sz w:val="36"/>
          <w:szCs w:val="36"/>
          <w:lang w:val="en-GB"/>
        </w:rPr>
        <w:t>3.4 1980–Present: Maritime Quarter Redevelopment</w:t>
      </w:r>
      <w:bookmarkEnd w:id="959259896"/>
      <w:bookmarkEnd w:id="1536751361"/>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629C4119" w14:textId="0E475102">
      <w:pPr>
        <w:spacing w:before="120" w:beforeAutospacing="off" w:after="120" w:afterAutospacing="off"/>
        <w:jc w:val="left"/>
      </w:pPr>
      <w:r w:rsidRPr="2EF2B10E" w:rsidR="1F63DE97">
        <w:rPr>
          <w:rFonts w:ascii="Aptos" w:hAnsi="Aptos" w:eastAsia="Aptos" w:cs="Aptos"/>
          <w:noProof w:val="0"/>
          <w:sz w:val="24"/>
          <w:szCs w:val="24"/>
          <w:lang w:val="en-GB"/>
        </w:rPr>
        <w:t>During the 1980s, Swansea Marina and the Maritime Quarter were redeveloped as a mixed-use waterfront area. This redevelopment included the construction of hotels, apartments, marina facilities, restaurants, and the County Hall office. The nearby Meridian Tower is particularly significant, as site investigations there identified poor ground conditions that required piled foundations. Borehole data from this location provide representative information regarding the local geology for the proposed development.</w:t>
      </w:r>
    </w:p>
    <w:p w:rsidR="1F63DE97" w:rsidP="2EF2B10E" w:rsidRDefault="1F63DE97" w14:paraId="23EDA36B" w14:textId="0CED7EA4">
      <w:pPr>
        <w:pStyle w:val="Heading1"/>
        <w:spacing w:before="480" w:beforeAutospacing="off" w:after="240" w:afterAutospacing="off"/>
        <w:jc w:val="left"/>
      </w:pPr>
      <w:bookmarkStart w:name="_Toc196866093" w:id="1651359904"/>
      <w:bookmarkStart w:name="_Toc1243464355" w:id="1684207571"/>
      <w:r w:rsidRPr="2EF2B10E" w:rsidR="1F63DE97">
        <w:rPr>
          <w:rFonts w:ascii="Aptos" w:hAnsi="Aptos" w:eastAsia="Aptos" w:cs="Aptos"/>
          <w:b w:val="1"/>
          <w:bCs w:val="1"/>
          <w:noProof w:val="0"/>
          <w:color w:val="0F58BD"/>
          <w:sz w:val="48"/>
          <w:szCs w:val="48"/>
          <w:lang w:val="en-GB"/>
        </w:rPr>
        <w:t>4.0 Geological and Ground Conditions</w:t>
      </w:r>
      <w:bookmarkEnd w:id="1651359904"/>
      <w:bookmarkEnd w:id="1684207571"/>
      <w:r w:rsidRPr="2EF2B10E" w:rsidR="1F63DE97">
        <w:rPr>
          <w:rFonts w:ascii="Aptos" w:hAnsi="Aptos" w:eastAsia="Aptos" w:cs="Aptos"/>
          <w:b w:val="1"/>
          <w:bCs w:val="1"/>
          <w:noProof w:val="0"/>
          <w:color w:val="0F58BD"/>
          <w:sz w:val="48"/>
          <w:szCs w:val="48"/>
          <w:lang w:val="en-GB"/>
        </w:rPr>
        <w:t xml:space="preserve"> </w:t>
      </w:r>
    </w:p>
    <w:p w:rsidR="1F63DE97" w:rsidP="2EF2B10E" w:rsidRDefault="1F63DE97" w14:paraId="29A91EE9" w14:textId="6871B6FB">
      <w:pPr>
        <w:pStyle w:val="Heading2"/>
        <w:spacing w:before="180" w:beforeAutospacing="off" w:after="180" w:afterAutospacing="off"/>
        <w:jc w:val="left"/>
      </w:pPr>
      <w:bookmarkStart w:name="_Toc134011414" w:id="1899211567"/>
      <w:bookmarkStart w:name="_Toc890508102" w:id="531425182"/>
      <w:r w:rsidRPr="2EF2B10E" w:rsidR="1F63DE97">
        <w:rPr>
          <w:rFonts w:ascii="Aptos" w:hAnsi="Aptos" w:eastAsia="Aptos" w:cs="Aptos"/>
          <w:b w:val="1"/>
          <w:bCs w:val="1"/>
          <w:noProof w:val="0"/>
          <w:color w:val="0F58BD"/>
          <w:sz w:val="36"/>
          <w:szCs w:val="36"/>
          <w:lang w:val="en-GB"/>
        </w:rPr>
        <w:t>4.1 Regional Geology</w:t>
      </w:r>
      <w:bookmarkEnd w:id="1899211567"/>
      <w:bookmarkEnd w:id="531425182"/>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6B948415" w14:textId="7E8CE7C1">
      <w:pPr>
        <w:spacing w:before="120" w:beforeAutospacing="off" w:after="120" w:afterAutospacing="off"/>
        <w:jc w:val="left"/>
      </w:pPr>
      <w:r w:rsidRPr="2EF2B10E" w:rsidR="1F63DE97">
        <w:rPr>
          <w:rFonts w:ascii="Aptos" w:hAnsi="Aptos" w:eastAsia="Aptos" w:cs="Aptos"/>
          <w:noProof w:val="0"/>
          <w:sz w:val="24"/>
          <w:szCs w:val="24"/>
          <w:lang w:val="en-GB"/>
        </w:rPr>
        <w:t xml:space="preserve">According to British Geological Survey information, the Swansea Maritime Quarter area is underlain by a combination of superficial deposits and bedrock geology. Using representative borehole data from the nearby Meridian Quay development, the likely ground profile beneath the site is 3m of made ground followed by 5m of soft alluvial clay and silt, then approximately 7m of dense sand and gravel, and beyond is made of sandstone bedrock. The made ground layer is likely to be highly variable in composition and density due to the site’s reclamation history. The alluvial deposits may possess low shear strength and high compressibility. This creates a risk of settlement if shallow foundations are used. </w:t>
      </w:r>
    </w:p>
    <w:p w:rsidR="1F63DE97" w:rsidP="2EF2B10E" w:rsidRDefault="1F63DE97" w14:paraId="243C897A" w14:textId="7F906B41">
      <w:pPr>
        <w:pStyle w:val="Heading2"/>
        <w:spacing w:before="360" w:beforeAutospacing="off" w:after="180" w:afterAutospacing="off"/>
        <w:jc w:val="left"/>
      </w:pPr>
      <w:bookmarkStart w:name="_Toc1341237585" w:id="1608502014"/>
      <w:bookmarkStart w:name="_Toc841701743" w:id="821336892"/>
      <w:r w:rsidRPr="2EF2B10E" w:rsidR="1F63DE97">
        <w:rPr>
          <w:rFonts w:ascii="Aptos" w:hAnsi="Aptos" w:eastAsia="Aptos" w:cs="Aptos"/>
          <w:b w:val="1"/>
          <w:bCs w:val="1"/>
          <w:noProof w:val="0"/>
          <w:color w:val="0F58BD"/>
          <w:sz w:val="36"/>
          <w:szCs w:val="36"/>
          <w:lang w:val="en-GB"/>
        </w:rPr>
        <w:t>4.2 Groundwater Conditions</w:t>
      </w:r>
      <w:bookmarkEnd w:id="1608502014"/>
      <w:bookmarkEnd w:id="821336892"/>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5D781B73" w14:textId="05F60886">
      <w:pPr>
        <w:spacing w:before="120" w:beforeAutospacing="off" w:after="120" w:afterAutospacing="off"/>
        <w:jc w:val="left"/>
      </w:pPr>
      <w:r w:rsidRPr="2EF2B10E" w:rsidR="1F63DE97">
        <w:rPr>
          <w:rFonts w:ascii="Aptos" w:hAnsi="Aptos" w:eastAsia="Aptos" w:cs="Aptos"/>
          <w:noProof w:val="0"/>
          <w:sz w:val="24"/>
          <w:szCs w:val="24"/>
          <w:lang w:val="en-GB"/>
        </w:rPr>
        <w:t xml:space="preserve">Due to the site’s proximity to Swansea Bay and Swansea Marina, groundwater levels are expected to be high and influenced by tidal movement. This is a significant consideration because groundwater conditions can directly affect excavation stability, foundation construction, and long-term structural durability. </w:t>
      </w:r>
    </w:p>
    <w:p w:rsidR="1F63DE97" w:rsidP="2EF2B10E" w:rsidRDefault="1F63DE97" w14:paraId="4438C46D" w14:textId="3285FF00">
      <w:pPr>
        <w:spacing w:before="120" w:beforeAutospacing="off" w:after="120" w:afterAutospacing="off"/>
        <w:jc w:val="left"/>
      </w:pPr>
      <w:r w:rsidRPr="2EF2B10E" w:rsidR="1F63DE97">
        <w:rPr>
          <w:rFonts w:ascii="Aptos" w:hAnsi="Aptos" w:eastAsia="Aptos" w:cs="Aptos"/>
          <w:noProof w:val="0"/>
          <w:sz w:val="24"/>
          <w:szCs w:val="24"/>
          <w:lang w:val="en-GB"/>
        </w:rPr>
        <w:t xml:space="preserve">High groundwater levels may increase the risk of flooding within excavations during construction and may reduce the stability of temporary works. In addition, saline groundwater associated with the marine environment may increase the risk of sulfate attack on concrete and chloride corrosion of steel reinforcement. These conditions must therefore be carefully considered during both the site investigation and foundation design stages. </w:t>
      </w:r>
    </w:p>
    <w:p w:rsidR="1F63DE97" w:rsidP="2EF2B10E" w:rsidRDefault="1F63DE97" w14:paraId="23C46F49" w14:textId="158A6EF2">
      <w:pPr>
        <w:pStyle w:val="Heading1"/>
        <w:spacing w:before="480" w:beforeAutospacing="off" w:after="240" w:afterAutospacing="off"/>
        <w:jc w:val="left"/>
      </w:pPr>
      <w:bookmarkStart w:name="_Toc1013809319" w:id="576454004"/>
      <w:bookmarkStart w:name="_Toc282074396" w:id="28442812"/>
      <w:r w:rsidRPr="2EF2B10E" w:rsidR="1F63DE97">
        <w:rPr>
          <w:rFonts w:ascii="Aptos" w:hAnsi="Aptos" w:eastAsia="Aptos" w:cs="Aptos"/>
          <w:b w:val="1"/>
          <w:bCs w:val="1"/>
          <w:noProof w:val="0"/>
          <w:color w:val="0F58BD"/>
          <w:sz w:val="48"/>
          <w:szCs w:val="48"/>
          <w:lang w:val="en-GB"/>
        </w:rPr>
        <w:t>5.0 Significant Site Risks</w:t>
      </w:r>
      <w:bookmarkEnd w:id="576454004"/>
      <w:bookmarkEnd w:id="28442812"/>
      <w:r w:rsidRPr="2EF2B10E" w:rsidR="1F63DE97">
        <w:rPr>
          <w:rFonts w:ascii="Aptos" w:hAnsi="Aptos" w:eastAsia="Aptos" w:cs="Aptos"/>
          <w:b w:val="1"/>
          <w:bCs w:val="1"/>
          <w:noProof w:val="0"/>
          <w:color w:val="0F58BD"/>
          <w:sz w:val="48"/>
          <w:szCs w:val="48"/>
          <w:lang w:val="en-GB"/>
        </w:rPr>
        <w:t xml:space="preserve"> </w:t>
      </w:r>
    </w:p>
    <w:p w:rsidR="1F63DE97" w:rsidP="2EF2B10E" w:rsidRDefault="1F63DE97" w14:paraId="386D8E3F" w14:textId="01E6D6F2">
      <w:pPr>
        <w:pStyle w:val="Heading2"/>
        <w:spacing w:before="180" w:beforeAutospacing="off" w:after="180" w:afterAutospacing="off"/>
        <w:jc w:val="left"/>
      </w:pPr>
      <w:bookmarkStart w:name="_Toc1469614436" w:id="1397476420"/>
      <w:bookmarkStart w:name="_Toc205775041" w:id="222094330"/>
      <w:r w:rsidRPr="2EF2B10E" w:rsidR="1F63DE97">
        <w:rPr>
          <w:rFonts w:ascii="Aptos" w:hAnsi="Aptos" w:eastAsia="Aptos" w:cs="Aptos"/>
          <w:b w:val="1"/>
          <w:bCs w:val="1"/>
          <w:noProof w:val="0"/>
          <w:color w:val="0F58BD"/>
          <w:sz w:val="36"/>
          <w:szCs w:val="36"/>
          <w:lang w:val="en-GB"/>
        </w:rPr>
        <w:t>5.1 Made Ground and Settlement</w:t>
      </w:r>
      <w:bookmarkEnd w:id="1397476420"/>
      <w:bookmarkEnd w:id="222094330"/>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7ECE2F96" w14:textId="6A6EF7FB">
      <w:pPr>
        <w:spacing w:before="120" w:beforeAutospacing="off" w:after="120" w:afterAutospacing="off"/>
        <w:jc w:val="left"/>
      </w:pPr>
      <w:r w:rsidRPr="2EF2B10E" w:rsidR="1F63DE97">
        <w:rPr>
          <w:rFonts w:ascii="Aptos" w:hAnsi="Aptos" w:eastAsia="Aptos" w:cs="Aptos"/>
          <w:noProof w:val="0"/>
          <w:sz w:val="24"/>
          <w:szCs w:val="24"/>
          <w:lang w:val="en-GB"/>
        </w:rPr>
        <w:t xml:space="preserve">The greatest geotechnical risk associated with the site is the presence of uncontrolled made ground resulting from historical dockland reclamation. Ground made within reclaimed dockland areas commonly contains demolition debris, variable fill materials, buried obstructions, and poorly compacted soils. These conditions may produce differential settlement, uneven foundation performance, structural cracking, and reduced bearing capacity. </w:t>
      </w:r>
    </w:p>
    <w:p w:rsidR="1F63DE97" w:rsidP="2EF2B10E" w:rsidRDefault="1F63DE97" w14:paraId="70B9E41D" w14:textId="01193D2C">
      <w:pPr>
        <w:spacing w:before="120" w:beforeAutospacing="off" w:after="120" w:afterAutospacing="off"/>
        <w:jc w:val="left"/>
      </w:pPr>
      <w:r w:rsidRPr="2EF2B10E" w:rsidR="1F63DE97">
        <w:rPr>
          <w:rFonts w:ascii="Aptos" w:hAnsi="Aptos" w:eastAsia="Aptos" w:cs="Aptos"/>
          <w:noProof w:val="0"/>
          <w:sz w:val="24"/>
          <w:szCs w:val="24"/>
          <w:lang w:val="en-GB"/>
        </w:rPr>
        <w:t xml:space="preserve">Because the proposed development includes large open restaurant areas and glazed façades, excessive settlement could cause damage to structural and architectural elements. This risk is therefore considered highly significant. </w:t>
      </w:r>
    </w:p>
    <w:p w:rsidR="1F63DE97" w:rsidP="2EF2B10E" w:rsidRDefault="1F63DE97" w14:paraId="4BFB8226" w14:textId="6D4C3908">
      <w:pPr>
        <w:pStyle w:val="Heading2"/>
        <w:spacing w:before="360" w:beforeAutospacing="off" w:after="180" w:afterAutospacing="off"/>
        <w:jc w:val="left"/>
      </w:pPr>
      <w:bookmarkStart w:name="_Toc776469130" w:id="707699871"/>
      <w:bookmarkStart w:name="_Toc1924011483" w:id="833443367"/>
      <w:r w:rsidRPr="2EF2B10E" w:rsidR="1F63DE97">
        <w:rPr>
          <w:rFonts w:ascii="Aptos" w:hAnsi="Aptos" w:eastAsia="Aptos" w:cs="Aptos"/>
          <w:b w:val="1"/>
          <w:bCs w:val="1"/>
          <w:noProof w:val="0"/>
          <w:color w:val="0F58BD"/>
          <w:sz w:val="36"/>
          <w:szCs w:val="36"/>
          <w:lang w:val="en-GB"/>
        </w:rPr>
        <w:t>5.2 Soft Alluvial Deposits</w:t>
      </w:r>
      <w:bookmarkEnd w:id="707699871"/>
      <w:bookmarkEnd w:id="833443367"/>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7FD2B2E1" w14:textId="4E7C0F99">
      <w:pPr>
        <w:spacing w:before="120" w:beforeAutospacing="off" w:after="120" w:afterAutospacing="off"/>
        <w:jc w:val="left"/>
      </w:pPr>
      <w:r w:rsidRPr="2EF2B10E" w:rsidR="1F63DE97">
        <w:rPr>
          <w:rFonts w:ascii="Aptos" w:hAnsi="Aptos" w:eastAsia="Aptos" w:cs="Aptos"/>
          <w:noProof w:val="0"/>
          <w:sz w:val="24"/>
          <w:szCs w:val="24"/>
          <w:lang w:val="en-GB"/>
        </w:rPr>
        <w:t xml:space="preserve">The anticipated alluvial clay and silt deposits beneath the made ground are likely to possess low shear strength and high compressibility. These soils may be unable to adequately support shallow foundations due to the risk of long-term settlement and foundation movement. </w:t>
      </w:r>
    </w:p>
    <w:p w:rsidR="1F63DE97" w:rsidP="2EF2B10E" w:rsidRDefault="1F63DE97" w14:paraId="6582F9B6" w14:textId="22EA0394">
      <w:pPr>
        <w:spacing w:before="120" w:beforeAutospacing="off" w:after="120" w:afterAutospacing="off"/>
        <w:jc w:val="left"/>
      </w:pPr>
      <w:r w:rsidRPr="2EF2B10E" w:rsidR="1F63DE97">
        <w:rPr>
          <w:rFonts w:ascii="Aptos" w:hAnsi="Aptos" w:eastAsia="Aptos" w:cs="Aptos"/>
          <w:noProof w:val="0"/>
          <w:sz w:val="24"/>
          <w:szCs w:val="24"/>
          <w:lang w:val="en-GB"/>
        </w:rPr>
        <w:t xml:space="preserve">Soft alluvial deposits can also create construction difficulties because excavations may become unstable in wet conditions. As a result, specialist foundation solutions are likely to be required. </w:t>
      </w:r>
    </w:p>
    <w:p w:rsidR="1F63DE97" w:rsidP="2EF2B10E" w:rsidRDefault="1F63DE97" w14:paraId="1063552C" w14:textId="621E4356">
      <w:pPr>
        <w:pStyle w:val="Heading2"/>
        <w:spacing w:before="360" w:beforeAutospacing="off" w:after="180" w:afterAutospacing="off"/>
        <w:jc w:val="left"/>
      </w:pPr>
      <w:bookmarkStart w:name="_Toc1727445942" w:id="881993713"/>
      <w:bookmarkStart w:name="_Toc916863503" w:id="1923535651"/>
      <w:r w:rsidRPr="2EF2B10E" w:rsidR="1F63DE97">
        <w:rPr>
          <w:rFonts w:ascii="Aptos" w:hAnsi="Aptos" w:eastAsia="Aptos" w:cs="Aptos"/>
          <w:b w:val="1"/>
          <w:bCs w:val="1"/>
          <w:noProof w:val="0"/>
          <w:color w:val="0F58BD"/>
          <w:sz w:val="36"/>
          <w:szCs w:val="36"/>
          <w:lang w:val="en-GB"/>
        </w:rPr>
        <w:t>5.3 Contamination Risk</w:t>
      </w:r>
      <w:bookmarkEnd w:id="881993713"/>
      <w:bookmarkEnd w:id="1923535651"/>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3C0394D5" w14:textId="25E2EE20">
      <w:pPr>
        <w:spacing w:before="120" w:beforeAutospacing="off" w:after="120" w:afterAutospacing="off"/>
        <w:jc w:val="left"/>
      </w:pPr>
      <w:r w:rsidRPr="2EF2B10E" w:rsidR="1F63DE97">
        <w:rPr>
          <w:rFonts w:ascii="Aptos" w:hAnsi="Aptos" w:eastAsia="Aptos" w:cs="Aptos"/>
          <w:noProof w:val="0"/>
          <w:sz w:val="24"/>
          <w:szCs w:val="24"/>
          <w:lang w:val="en-GB"/>
        </w:rPr>
        <w:t xml:space="preserve">The industrial history of the site creates the potential for ground contamination. Historical dockland and industrial activities may have introduced heavy metals, hydrocarbons, industrial ash, and asbestos-containing materials into the ground. </w:t>
      </w:r>
    </w:p>
    <w:p w:rsidR="1F63DE97" w:rsidP="2EF2B10E" w:rsidRDefault="1F63DE97" w14:paraId="2B7E1415" w14:textId="161512A2">
      <w:pPr>
        <w:spacing w:before="120" w:beforeAutospacing="off" w:after="120" w:afterAutospacing="off"/>
        <w:jc w:val="left"/>
      </w:pPr>
      <w:r w:rsidRPr="2EF2B10E" w:rsidR="1F63DE97">
        <w:rPr>
          <w:rFonts w:ascii="Aptos" w:hAnsi="Aptos" w:eastAsia="Aptos" w:cs="Aptos"/>
          <w:noProof w:val="0"/>
          <w:sz w:val="24"/>
          <w:szCs w:val="24"/>
          <w:lang w:val="en-GB"/>
        </w:rPr>
        <w:t xml:space="preserve">Contamination represents a potential risk to construction workers, future building users, and groundwater quality. An environmental investigation is therefore essential to identify contaminants and determine whether any remediation measures are required before development can proceed. </w:t>
      </w:r>
    </w:p>
    <w:p w:rsidR="1F63DE97" w:rsidP="2EF2B10E" w:rsidRDefault="1F63DE97" w14:paraId="7159F4F7" w14:textId="30AB123A">
      <w:pPr>
        <w:pStyle w:val="Heading2"/>
        <w:spacing w:before="360" w:beforeAutospacing="off" w:after="180" w:afterAutospacing="off"/>
        <w:jc w:val="left"/>
      </w:pPr>
      <w:bookmarkStart w:name="_Toc1405055217" w:id="1561405572"/>
      <w:bookmarkStart w:name="_Toc1607197895" w:id="621137808"/>
      <w:r w:rsidRPr="2EF2B10E" w:rsidR="1F63DE97">
        <w:rPr>
          <w:rFonts w:ascii="Aptos" w:hAnsi="Aptos" w:eastAsia="Aptos" w:cs="Aptos"/>
          <w:b w:val="1"/>
          <w:bCs w:val="1"/>
          <w:noProof w:val="0"/>
          <w:color w:val="0F58BD"/>
          <w:sz w:val="36"/>
          <w:szCs w:val="36"/>
          <w:lang w:val="en-GB"/>
        </w:rPr>
        <w:t>5.4 Groundwater and Marine Conditions</w:t>
      </w:r>
      <w:bookmarkEnd w:id="1561405572"/>
      <w:bookmarkEnd w:id="621137808"/>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4196B337" w14:textId="212FA0CB">
      <w:pPr>
        <w:spacing w:before="120" w:beforeAutospacing="off" w:after="120" w:afterAutospacing="off"/>
        <w:jc w:val="left"/>
      </w:pPr>
      <w:r w:rsidRPr="2EF2B10E" w:rsidR="1F63DE97">
        <w:rPr>
          <w:rFonts w:ascii="Aptos" w:hAnsi="Aptos" w:eastAsia="Aptos" w:cs="Aptos"/>
          <w:noProof w:val="0"/>
          <w:sz w:val="24"/>
          <w:szCs w:val="24"/>
          <w:lang w:val="en-GB"/>
        </w:rPr>
        <w:t xml:space="preserve">The coastal location of the site creates additional engineering risks associated with marine groundwater conditions. Tidal groundwater fluctuations may affect excavation stability and increase the likelihood of water ingress during construction. </w:t>
      </w:r>
    </w:p>
    <w:p w:rsidR="1F63DE97" w:rsidP="2EF2B10E" w:rsidRDefault="1F63DE97" w14:paraId="31F2DE5A" w14:textId="70511D9C">
      <w:pPr>
        <w:spacing w:before="120" w:beforeAutospacing="off" w:after="120" w:afterAutospacing="off"/>
        <w:jc w:val="left"/>
      </w:pPr>
      <w:r w:rsidRPr="2EF2B10E" w:rsidR="1F63DE97">
        <w:rPr>
          <w:rFonts w:ascii="Aptos" w:hAnsi="Aptos" w:eastAsia="Aptos" w:cs="Aptos"/>
          <w:noProof w:val="0"/>
          <w:sz w:val="24"/>
          <w:szCs w:val="24"/>
          <w:lang w:val="en-GB"/>
        </w:rPr>
        <w:t xml:space="preserve">Marine groundwater can also create aggressive chemical conditions that may cause deterioration of buried concrete and corrosion of reinforcement. Concrete specification and foundation design must therefore account for these environmental conditions. </w:t>
      </w:r>
    </w:p>
    <w:p w:rsidR="1F63DE97" w:rsidP="2EF2B10E" w:rsidRDefault="1F63DE97" w14:paraId="7B34B76C" w14:textId="63EEB489">
      <w:pPr>
        <w:pStyle w:val="Heading2"/>
        <w:spacing w:before="360" w:beforeAutospacing="off" w:after="180" w:afterAutospacing="off"/>
        <w:jc w:val="left"/>
      </w:pPr>
      <w:bookmarkStart w:name="_Toc1713069005" w:id="2052359642"/>
      <w:bookmarkStart w:name="_Toc747013678" w:id="1655189689"/>
      <w:r w:rsidRPr="2EF2B10E" w:rsidR="1F63DE97">
        <w:rPr>
          <w:rFonts w:ascii="Aptos" w:hAnsi="Aptos" w:eastAsia="Aptos" w:cs="Aptos"/>
          <w:b w:val="1"/>
          <w:bCs w:val="1"/>
          <w:noProof w:val="0"/>
          <w:color w:val="0F58BD"/>
          <w:sz w:val="36"/>
          <w:szCs w:val="36"/>
          <w:lang w:val="en-GB"/>
        </w:rPr>
        <w:t>6.0 Recommendations for Detailed Site Investigation</w:t>
      </w:r>
      <w:bookmarkEnd w:id="2052359642"/>
      <w:bookmarkEnd w:id="1655189689"/>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423C921B" w14:textId="2CD1222A">
      <w:pPr>
        <w:spacing w:before="120" w:beforeAutospacing="off" w:after="120" w:afterAutospacing="off"/>
        <w:jc w:val="left"/>
      </w:pPr>
      <w:r w:rsidRPr="2EF2B10E" w:rsidR="1F63DE97">
        <w:rPr>
          <w:rFonts w:ascii="Aptos" w:hAnsi="Aptos" w:eastAsia="Aptos" w:cs="Aptos"/>
          <w:noProof w:val="0"/>
          <w:sz w:val="24"/>
          <w:szCs w:val="24"/>
          <w:lang w:val="en-GB"/>
        </w:rPr>
        <w:t xml:space="preserve">A comprehensive intrusive site investigation should be undertaken by a specialist geotechnical contractor before any construction work begins on site. The purpose of the investigation is to establish the ground conditions beneath the proposed development and determine the engineering properties of the soils. The investigation should also identify groundwater levels, potential contamination risks, and the foundation design parameters required for safe construction. Due to the site’s location on reclaimed dockland, a detailed investigation is considered essential to reduce uncertainty and minimize construction risks. </w:t>
      </w:r>
    </w:p>
    <w:p w:rsidR="1F63DE97" w:rsidP="2EF2B10E" w:rsidRDefault="1F63DE97" w14:paraId="04CFFAD2" w14:textId="6F6F9D6E">
      <w:pPr>
        <w:pStyle w:val="Heading3"/>
        <w:spacing w:before="281" w:beforeAutospacing="off" w:after="140" w:afterAutospacing="off"/>
        <w:jc w:val="left"/>
      </w:pPr>
      <w:bookmarkStart w:name="_Toc757882810" w:id="260417866"/>
      <w:bookmarkStart w:name="_Toc317322969" w:id="1224364501"/>
      <w:r w:rsidRPr="2EF2B10E" w:rsidR="1F63DE97">
        <w:rPr>
          <w:rFonts w:ascii="Aptos" w:hAnsi="Aptos" w:eastAsia="Aptos" w:cs="Aptos"/>
          <w:b w:val="1"/>
          <w:bCs w:val="1"/>
          <w:noProof w:val="0"/>
          <w:color w:val="0F58BD"/>
          <w:sz w:val="28"/>
          <w:szCs w:val="28"/>
          <w:lang w:val="en-GB"/>
        </w:rPr>
        <w:t>6.1 Boreholes</w:t>
      </w:r>
      <w:bookmarkEnd w:id="260417866"/>
      <w:bookmarkEnd w:id="1224364501"/>
      <w:r w:rsidRPr="2EF2B10E" w:rsidR="1F63DE97">
        <w:rPr>
          <w:rFonts w:ascii="Aptos" w:hAnsi="Aptos" w:eastAsia="Aptos" w:cs="Aptos"/>
          <w:b w:val="1"/>
          <w:bCs w:val="1"/>
          <w:noProof w:val="0"/>
          <w:color w:val="0F58BD"/>
          <w:sz w:val="28"/>
          <w:szCs w:val="28"/>
          <w:lang w:val="en-GB"/>
        </w:rPr>
        <w:t xml:space="preserve"> </w:t>
      </w:r>
    </w:p>
    <w:p w:rsidR="1F63DE97" w:rsidP="2EF2B10E" w:rsidRDefault="1F63DE97" w14:paraId="7CC50794" w14:textId="7E8C8598">
      <w:pPr>
        <w:spacing w:before="120" w:beforeAutospacing="off" w:after="120" w:afterAutospacing="off"/>
        <w:jc w:val="left"/>
      </w:pPr>
      <w:r w:rsidRPr="2EF2B10E" w:rsidR="1F63DE97">
        <w:rPr>
          <w:rFonts w:ascii="Aptos" w:hAnsi="Aptos" w:eastAsia="Aptos" w:cs="Aptos"/>
          <w:noProof w:val="0"/>
          <w:sz w:val="24"/>
          <w:szCs w:val="24"/>
          <w:lang w:val="en-GB"/>
        </w:rPr>
        <w:t xml:space="preserve">Rotary and cable percussion boreholes should be drilled across the site to investigate the subsurface geology. The boreholes should extend to competent bearing strata or bedrock in order to determine the depth and condition of suitable founding material. Boreholes will help identify soil layers, determine rockhead depth, recover disturbed and undisturbed soil samples, and allow groundwater monitoring wells to be installed. </w:t>
      </w:r>
    </w:p>
    <w:p w:rsidR="1F63DE97" w:rsidP="2EF2B10E" w:rsidRDefault="1F63DE97" w14:paraId="7125236E" w14:textId="4236B58C">
      <w:pPr>
        <w:spacing w:before="120" w:beforeAutospacing="off" w:after="120" w:afterAutospacing="off"/>
        <w:jc w:val="left"/>
      </w:pPr>
      <w:r w:rsidRPr="2EF2B10E" w:rsidR="1F63DE97">
        <w:rPr>
          <w:rFonts w:ascii="Aptos" w:hAnsi="Aptos" w:eastAsia="Aptos" w:cs="Aptos"/>
          <w:noProof w:val="0"/>
          <w:sz w:val="24"/>
          <w:szCs w:val="24"/>
          <w:lang w:val="en-GB"/>
        </w:rPr>
        <w:t xml:space="preserve">Representative borehole information from the nearby Meridian Tower development suggests that deep investigations will be necessary because dockland geology is often highly variable. The boreholes will therefore provide essential information for the structural and foundation design process. </w:t>
      </w:r>
    </w:p>
    <w:p w:rsidR="1F63DE97" w:rsidP="2EF2B10E" w:rsidRDefault="1F63DE97" w14:paraId="2FAFD33C" w14:textId="3813F0EC">
      <w:pPr>
        <w:pStyle w:val="Heading3"/>
        <w:spacing w:before="281" w:beforeAutospacing="off" w:after="140" w:afterAutospacing="off"/>
        <w:jc w:val="left"/>
      </w:pPr>
      <w:bookmarkStart w:name="_Toc1354451165" w:id="118973290"/>
      <w:bookmarkStart w:name="_Toc1289723178" w:id="375173908"/>
      <w:r w:rsidRPr="2EF2B10E" w:rsidR="1F63DE97">
        <w:rPr>
          <w:rFonts w:ascii="Aptos" w:hAnsi="Aptos" w:eastAsia="Aptos" w:cs="Aptos"/>
          <w:b w:val="1"/>
          <w:bCs w:val="1"/>
          <w:noProof w:val="0"/>
          <w:color w:val="0F58BD"/>
          <w:sz w:val="28"/>
          <w:szCs w:val="28"/>
          <w:lang w:val="en-GB"/>
        </w:rPr>
        <w:t>6.2 Trial Pits</w:t>
      </w:r>
      <w:bookmarkEnd w:id="118973290"/>
      <w:bookmarkEnd w:id="375173908"/>
      <w:r w:rsidRPr="2EF2B10E" w:rsidR="1F63DE97">
        <w:rPr>
          <w:rFonts w:ascii="Aptos" w:hAnsi="Aptos" w:eastAsia="Aptos" w:cs="Aptos"/>
          <w:b w:val="1"/>
          <w:bCs w:val="1"/>
          <w:noProof w:val="0"/>
          <w:color w:val="0F58BD"/>
          <w:sz w:val="28"/>
          <w:szCs w:val="28"/>
          <w:lang w:val="en-GB"/>
        </w:rPr>
        <w:t xml:space="preserve"> </w:t>
      </w:r>
    </w:p>
    <w:p w:rsidR="1F63DE97" w:rsidP="2EF2B10E" w:rsidRDefault="1F63DE97" w14:paraId="256DBD23" w14:textId="39BFA77D">
      <w:pPr>
        <w:spacing w:before="120" w:beforeAutospacing="off" w:after="120" w:afterAutospacing="off"/>
        <w:jc w:val="left"/>
      </w:pPr>
      <w:r w:rsidRPr="2EF2B10E" w:rsidR="1F63DE97">
        <w:rPr>
          <w:rFonts w:ascii="Aptos" w:hAnsi="Aptos" w:eastAsia="Aptos" w:cs="Aptos"/>
          <w:noProof w:val="0"/>
          <w:sz w:val="24"/>
          <w:szCs w:val="24"/>
          <w:lang w:val="en-GB"/>
        </w:rPr>
        <w:t xml:space="preserve">Trial pits should be excavated to investigate shallow ground conditions across the site. Trial pits are particularly useful for identifying buried foundations, underground services, made ground composition, and any obstructions or demolition debris present within the upper soil layers. </w:t>
      </w:r>
    </w:p>
    <w:p w:rsidR="1F63DE97" w:rsidP="2EF2B10E" w:rsidRDefault="1F63DE97" w14:paraId="1D1F7130" w14:textId="24760A17">
      <w:pPr>
        <w:spacing w:before="120" w:beforeAutospacing="off" w:after="120" w:afterAutospacing="off"/>
        <w:jc w:val="left"/>
      </w:pPr>
      <w:r w:rsidRPr="2EF2B10E" w:rsidR="1F63DE97">
        <w:rPr>
          <w:rFonts w:ascii="Aptos" w:hAnsi="Aptos" w:eastAsia="Aptos" w:cs="Aptos"/>
          <w:noProof w:val="0"/>
          <w:sz w:val="24"/>
          <w:szCs w:val="24"/>
          <w:lang w:val="en-GB"/>
        </w:rPr>
        <w:t xml:space="preserve">In addition, trial pits allow visual inspection of the fill materials and help engineers assess the consistency and variability of the made ground. This information is important because reclaimed dockland often contains poorly compacted or uncontrolled fill materials. </w:t>
      </w:r>
    </w:p>
    <w:p w:rsidR="1F63DE97" w:rsidP="2EF2B10E" w:rsidRDefault="1F63DE97" w14:paraId="22C4A151" w14:textId="3E7D5911">
      <w:pPr>
        <w:pStyle w:val="Heading3"/>
        <w:spacing w:before="281" w:beforeAutospacing="off" w:after="140" w:afterAutospacing="off"/>
        <w:jc w:val="left"/>
      </w:pPr>
      <w:bookmarkStart w:name="_Toc1652874375" w:id="1411303190"/>
      <w:bookmarkStart w:name="_Toc1097602032" w:id="831118067"/>
      <w:r w:rsidRPr="2EF2B10E" w:rsidR="1F63DE97">
        <w:rPr>
          <w:rFonts w:ascii="Aptos" w:hAnsi="Aptos" w:eastAsia="Aptos" w:cs="Aptos"/>
          <w:b w:val="1"/>
          <w:bCs w:val="1"/>
          <w:noProof w:val="0"/>
          <w:color w:val="0F58BD"/>
          <w:sz w:val="28"/>
          <w:szCs w:val="28"/>
          <w:lang w:val="en-GB"/>
        </w:rPr>
        <w:t>6.3 In-Situ Testing</w:t>
      </w:r>
      <w:bookmarkEnd w:id="1411303190"/>
      <w:bookmarkEnd w:id="831118067"/>
      <w:r w:rsidRPr="2EF2B10E" w:rsidR="1F63DE97">
        <w:rPr>
          <w:rFonts w:ascii="Aptos" w:hAnsi="Aptos" w:eastAsia="Aptos" w:cs="Aptos"/>
          <w:b w:val="1"/>
          <w:bCs w:val="1"/>
          <w:noProof w:val="0"/>
          <w:color w:val="0F58BD"/>
          <w:sz w:val="28"/>
          <w:szCs w:val="28"/>
          <w:lang w:val="en-GB"/>
        </w:rPr>
        <w:t xml:space="preserve"> </w:t>
      </w:r>
    </w:p>
    <w:p w:rsidR="1F63DE97" w:rsidP="2EF2B10E" w:rsidRDefault="1F63DE97" w14:paraId="374421D1" w14:textId="63226315">
      <w:pPr>
        <w:spacing w:before="120" w:beforeAutospacing="off" w:after="120" w:afterAutospacing="off"/>
        <w:jc w:val="left"/>
      </w:pPr>
      <w:r w:rsidRPr="2EF2B10E" w:rsidR="1F63DE97">
        <w:rPr>
          <w:rFonts w:ascii="Aptos" w:hAnsi="Aptos" w:eastAsia="Aptos" w:cs="Aptos"/>
          <w:noProof w:val="0"/>
          <w:sz w:val="24"/>
          <w:szCs w:val="24"/>
          <w:lang w:val="en-GB"/>
        </w:rPr>
        <w:t xml:space="preserve">In-situ testing should be undertaken during the ground investigation to assess the engineering properties of the soils. Recommended tests include Standard Penetration Tests (SPT) and Cone Penetration Tests (CPT). </w:t>
      </w:r>
    </w:p>
    <w:p w:rsidR="1F63DE97" w:rsidP="2EF2B10E" w:rsidRDefault="1F63DE97" w14:paraId="71C3E069" w14:textId="6058DB55">
      <w:pPr>
        <w:spacing w:before="120" w:beforeAutospacing="off" w:after="120" w:afterAutospacing="off"/>
        <w:jc w:val="left"/>
      </w:pPr>
      <w:r w:rsidRPr="2EF2B10E" w:rsidR="1F63DE97">
        <w:rPr>
          <w:rFonts w:ascii="Aptos" w:hAnsi="Aptos" w:eastAsia="Aptos" w:cs="Aptos"/>
          <w:noProof w:val="0"/>
          <w:sz w:val="24"/>
          <w:szCs w:val="24"/>
          <w:lang w:val="en-GB"/>
        </w:rPr>
        <w:t xml:space="preserve">These tests provide valuable information regarding soil strength, relative density, bearing capacity, and settlement potential. The results can then be used to determine whether the ground is capable of supporting the proposed development and to assist with the design of suitable foundations. </w:t>
      </w:r>
    </w:p>
    <w:p w:rsidR="1F63DE97" w:rsidP="2EF2B10E" w:rsidRDefault="1F63DE97" w14:paraId="4070D6E8" w14:textId="6B4D1A7C">
      <w:pPr>
        <w:pStyle w:val="Heading3"/>
        <w:spacing w:before="281" w:beforeAutospacing="off" w:after="140" w:afterAutospacing="off"/>
        <w:jc w:val="left"/>
      </w:pPr>
      <w:bookmarkStart w:name="_Toc976457585" w:id="66521277"/>
      <w:bookmarkStart w:name="_Toc1841409282" w:id="1841468765"/>
      <w:r w:rsidRPr="2EF2B10E" w:rsidR="1F63DE97">
        <w:rPr>
          <w:rFonts w:ascii="Aptos" w:hAnsi="Aptos" w:eastAsia="Aptos" w:cs="Aptos"/>
          <w:b w:val="1"/>
          <w:bCs w:val="1"/>
          <w:noProof w:val="0"/>
          <w:color w:val="0F58BD"/>
          <w:sz w:val="28"/>
          <w:szCs w:val="28"/>
          <w:lang w:val="en-GB"/>
        </w:rPr>
        <w:t>6.4 Laboratory Testing</w:t>
      </w:r>
      <w:bookmarkEnd w:id="66521277"/>
      <w:bookmarkEnd w:id="1841468765"/>
      <w:r w:rsidRPr="2EF2B10E" w:rsidR="1F63DE97">
        <w:rPr>
          <w:rFonts w:ascii="Aptos" w:hAnsi="Aptos" w:eastAsia="Aptos" w:cs="Aptos"/>
          <w:b w:val="1"/>
          <w:bCs w:val="1"/>
          <w:noProof w:val="0"/>
          <w:color w:val="0F58BD"/>
          <w:sz w:val="28"/>
          <w:szCs w:val="28"/>
          <w:lang w:val="en-GB"/>
        </w:rPr>
        <w:t xml:space="preserve"> </w:t>
      </w:r>
    </w:p>
    <w:p w:rsidR="1F63DE97" w:rsidP="2EF2B10E" w:rsidRDefault="1F63DE97" w14:paraId="2539307B" w14:textId="4C55CFDB">
      <w:pPr>
        <w:spacing w:before="120" w:beforeAutospacing="off" w:after="120" w:afterAutospacing="off"/>
        <w:jc w:val="left"/>
      </w:pPr>
      <w:r w:rsidRPr="2EF2B10E" w:rsidR="1F63DE97">
        <w:rPr>
          <w:rFonts w:ascii="Aptos" w:hAnsi="Aptos" w:eastAsia="Aptos" w:cs="Aptos"/>
          <w:noProof w:val="0"/>
          <w:sz w:val="24"/>
          <w:szCs w:val="24"/>
          <w:lang w:val="en-GB"/>
        </w:rPr>
        <w:t xml:space="preserve">Laboratory testing should be performed on soil samples collected during the investigation. Recommended tests include moisture content testing, particle size distribution, Atterberg limits, sulfate testing, and contamination screening. </w:t>
      </w:r>
    </w:p>
    <w:p w:rsidR="1F63DE97" w:rsidP="2EF2B10E" w:rsidRDefault="1F63DE97" w14:paraId="54D4F4A8" w14:textId="6AEE6E83">
      <w:pPr>
        <w:spacing w:before="120" w:beforeAutospacing="off" w:after="120" w:afterAutospacing="off"/>
        <w:jc w:val="left"/>
      </w:pPr>
      <w:r w:rsidRPr="2EF2B10E" w:rsidR="1F63DE97">
        <w:rPr>
          <w:rFonts w:ascii="Aptos" w:hAnsi="Aptos" w:eastAsia="Aptos" w:cs="Aptos"/>
          <w:noProof w:val="0"/>
          <w:sz w:val="24"/>
          <w:szCs w:val="24"/>
          <w:lang w:val="en-GB"/>
        </w:rPr>
        <w:t xml:space="preserve">The results of these tests will help engineers classify the soils, assess their engineering behavior, and determine whether aggressive ground conditions are present. This information is particularly important for foundation design and concrete specification within a marine environment. </w:t>
      </w:r>
    </w:p>
    <w:p w:rsidR="1F63DE97" w:rsidP="2EF2B10E" w:rsidRDefault="1F63DE97" w14:paraId="58C558FE" w14:textId="6547855E">
      <w:pPr>
        <w:pStyle w:val="Heading3"/>
        <w:spacing w:before="281" w:beforeAutospacing="off" w:after="140" w:afterAutospacing="off"/>
        <w:jc w:val="left"/>
      </w:pPr>
      <w:bookmarkStart w:name="_Toc1742519796" w:id="1644739588"/>
      <w:bookmarkStart w:name="_Toc1225161838" w:id="1946488010"/>
      <w:r w:rsidRPr="2EF2B10E" w:rsidR="1F63DE97">
        <w:rPr>
          <w:rFonts w:ascii="Aptos" w:hAnsi="Aptos" w:eastAsia="Aptos" w:cs="Aptos"/>
          <w:b w:val="1"/>
          <w:bCs w:val="1"/>
          <w:noProof w:val="0"/>
          <w:color w:val="0F58BD"/>
          <w:sz w:val="28"/>
          <w:szCs w:val="28"/>
          <w:lang w:val="en-GB"/>
        </w:rPr>
        <w:t>6.5 Environmental Investigation</w:t>
      </w:r>
      <w:bookmarkEnd w:id="1644739588"/>
      <w:bookmarkEnd w:id="1946488010"/>
      <w:r w:rsidRPr="2EF2B10E" w:rsidR="1F63DE97">
        <w:rPr>
          <w:rFonts w:ascii="Aptos" w:hAnsi="Aptos" w:eastAsia="Aptos" w:cs="Aptos"/>
          <w:b w:val="1"/>
          <w:bCs w:val="1"/>
          <w:noProof w:val="0"/>
          <w:color w:val="0F58BD"/>
          <w:sz w:val="28"/>
          <w:szCs w:val="28"/>
          <w:lang w:val="en-GB"/>
        </w:rPr>
        <w:t xml:space="preserve"> </w:t>
      </w:r>
    </w:p>
    <w:p w:rsidR="1F63DE97" w:rsidP="2EF2B10E" w:rsidRDefault="1F63DE97" w14:paraId="6BE96BC4" w14:textId="2672FCF7">
      <w:pPr>
        <w:spacing w:before="120" w:beforeAutospacing="off" w:after="120" w:afterAutospacing="off"/>
        <w:jc w:val="left"/>
      </w:pPr>
      <w:r w:rsidRPr="2EF2B10E" w:rsidR="1F63DE97">
        <w:rPr>
          <w:rFonts w:ascii="Aptos" w:hAnsi="Aptos" w:eastAsia="Aptos" w:cs="Aptos"/>
          <w:noProof w:val="0"/>
          <w:sz w:val="24"/>
          <w:szCs w:val="24"/>
          <w:lang w:val="en-GB"/>
        </w:rPr>
        <w:t xml:space="preserve">An environmental investigation is considered essential given the site's industrial history. Historical dockland activities may have introduced contaminants into the ground, including heavy metals, hydrocarbons, asbestos-containing materials, and harmful ground gases. </w:t>
      </w:r>
    </w:p>
    <w:p w:rsidR="1F63DE97" w:rsidP="2EF2B10E" w:rsidRDefault="1F63DE97" w14:paraId="2EA6844E" w14:textId="07799F22">
      <w:pPr>
        <w:spacing w:before="120" w:beforeAutospacing="off" w:after="120" w:afterAutospacing="off"/>
        <w:jc w:val="left"/>
      </w:pPr>
      <w:r w:rsidRPr="2EF2B10E" w:rsidR="1F63DE97">
        <w:rPr>
          <w:rFonts w:ascii="Aptos" w:hAnsi="Aptos" w:eastAsia="Aptos" w:cs="Aptos"/>
          <w:noProof w:val="0"/>
          <w:sz w:val="24"/>
          <w:szCs w:val="24"/>
          <w:lang w:val="en-GB"/>
        </w:rPr>
        <w:t xml:space="preserve">The environmental assessment should therefore include contamination testing and gas monitoring where necessary. Additional gas monitoring may be required if organic fill materials are encountered during the investigation. Identifying contamination at an early stage is important to ensure the safety of construction workers, future building users, and the surrounding environment. </w:t>
      </w:r>
    </w:p>
    <w:p w:rsidR="1F63DE97" w:rsidP="2EF2B10E" w:rsidRDefault="1F63DE97" w14:paraId="1D9613DF" w14:textId="153B6CA1">
      <w:pPr>
        <w:pStyle w:val="Heading2"/>
        <w:spacing w:before="360" w:beforeAutospacing="off" w:after="180" w:afterAutospacing="off"/>
        <w:jc w:val="left"/>
      </w:pPr>
      <w:bookmarkStart w:name="_Toc59022566" w:id="580243200"/>
      <w:bookmarkStart w:name="_Toc735301375" w:id="1109798380"/>
      <w:r w:rsidRPr="2EF2B10E" w:rsidR="1F63DE97">
        <w:rPr>
          <w:rFonts w:ascii="Aptos" w:hAnsi="Aptos" w:eastAsia="Aptos" w:cs="Aptos"/>
          <w:b w:val="1"/>
          <w:bCs w:val="1"/>
          <w:noProof w:val="0"/>
          <w:color w:val="0F58BD"/>
          <w:sz w:val="36"/>
          <w:szCs w:val="36"/>
          <w:lang w:val="en-GB"/>
        </w:rPr>
        <w:t>8.0 Applicable Regulations and Codes of Practice</w:t>
      </w:r>
      <w:bookmarkEnd w:id="580243200"/>
      <w:bookmarkEnd w:id="1109798380"/>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506CA85A" w14:textId="785DAFE3">
      <w:pPr>
        <w:spacing w:before="120" w:beforeAutospacing="off" w:after="120" w:afterAutospacing="off"/>
        <w:jc w:val="left"/>
      </w:pPr>
      <w:r w:rsidRPr="2EF2B10E" w:rsidR="1F63DE97">
        <w:rPr>
          <w:rFonts w:ascii="Aptos" w:hAnsi="Aptos" w:eastAsia="Aptos" w:cs="Aptos"/>
          <w:noProof w:val="0"/>
          <w:sz w:val="24"/>
          <w:szCs w:val="24"/>
          <w:lang w:val="en-GB"/>
        </w:rPr>
        <w:t xml:space="preserve">The recommendations contained within this report are based on current Building Regulations, British Standards, and geotechnical guidance documents relevant to site investigation and foundation design. These regulations and standards provide guidance to ensure the proposed development is safe, structurally stable, and suitable for the site's environmental conditions. </w:t>
      </w:r>
    </w:p>
    <w:p w:rsidR="1F63DE97" w:rsidP="2EF2B10E" w:rsidRDefault="1F63DE97" w14:paraId="333EC094" w14:textId="2FFA6C06">
      <w:pPr>
        <w:pStyle w:val="Heading3"/>
        <w:spacing w:before="281" w:beforeAutospacing="off" w:after="140" w:afterAutospacing="off"/>
        <w:jc w:val="left"/>
      </w:pPr>
      <w:bookmarkStart w:name="_Toc1375791719" w:id="430885780"/>
      <w:bookmarkStart w:name="_Toc792174022" w:id="1390960755"/>
      <w:r w:rsidRPr="2EF2B10E" w:rsidR="1F63DE97">
        <w:rPr>
          <w:rFonts w:ascii="Aptos" w:hAnsi="Aptos" w:eastAsia="Aptos" w:cs="Aptos"/>
          <w:b w:val="1"/>
          <w:bCs w:val="1"/>
          <w:noProof w:val="0"/>
          <w:color w:val="0F58BD"/>
          <w:sz w:val="28"/>
          <w:szCs w:val="28"/>
          <w:lang w:val="en-GB"/>
        </w:rPr>
        <w:t>8.1 Building Regulations</w:t>
      </w:r>
      <w:bookmarkEnd w:id="430885780"/>
      <w:bookmarkEnd w:id="1390960755"/>
      <w:r w:rsidRPr="2EF2B10E" w:rsidR="1F63DE97">
        <w:rPr>
          <w:rFonts w:ascii="Aptos" w:hAnsi="Aptos" w:eastAsia="Aptos" w:cs="Aptos"/>
          <w:b w:val="1"/>
          <w:bCs w:val="1"/>
          <w:noProof w:val="0"/>
          <w:color w:val="0F58BD"/>
          <w:sz w:val="28"/>
          <w:szCs w:val="28"/>
          <w:lang w:val="en-GB"/>
        </w:rPr>
        <w:t xml:space="preserve"> </w:t>
      </w:r>
    </w:p>
    <w:p w:rsidR="1F63DE97" w:rsidP="2EF2B10E" w:rsidRDefault="1F63DE97" w14:paraId="696568A9" w14:textId="15A011C8">
      <w:pPr>
        <w:spacing w:before="120" w:beforeAutospacing="off" w:after="120" w:afterAutospacing="off"/>
        <w:jc w:val="left"/>
      </w:pPr>
      <w:r w:rsidRPr="2EF2B10E" w:rsidR="1F63DE97">
        <w:rPr>
          <w:rFonts w:ascii="Aptos" w:hAnsi="Aptos" w:eastAsia="Aptos" w:cs="Aptos"/>
          <w:noProof w:val="0"/>
          <w:sz w:val="24"/>
          <w:szCs w:val="24"/>
          <w:lang w:val="en-GB"/>
        </w:rPr>
        <w:t xml:space="preserve">The development must comply with the Building Regulations 2010. In particular, Approved Document A-Structure provides guidance relating to structural stability and foundation design. This document ensures that the building can safely support imposed loads without excessive settlement or structural failure. </w:t>
      </w:r>
    </w:p>
    <w:p w:rsidR="1F63DE97" w:rsidP="2EF2B10E" w:rsidRDefault="1F63DE97" w14:paraId="45B32E72" w14:textId="07C58845">
      <w:pPr>
        <w:spacing w:before="120" w:beforeAutospacing="off" w:after="120" w:afterAutospacing="off"/>
        <w:jc w:val="left"/>
      </w:pPr>
      <w:r w:rsidRPr="2EF2B10E" w:rsidR="1F63DE97">
        <w:rPr>
          <w:rFonts w:ascii="Aptos" w:hAnsi="Aptos" w:eastAsia="Aptos" w:cs="Aptos"/>
          <w:noProof w:val="0"/>
          <w:sz w:val="24"/>
          <w:szCs w:val="24"/>
          <w:lang w:val="en-GB"/>
        </w:rPr>
        <w:t xml:space="preserve">Approved Document C-Site Preparation and Resistance to Contaminants and Moisture is also highly relevant to this development because the site is located on reclaimed dockland with a history of industrial activity. This document provides guidance regarding contaminated land, groundwater protection, and resistance to moisture penetration. </w:t>
      </w:r>
    </w:p>
    <w:p w:rsidR="1F63DE97" w:rsidP="2EF2B10E" w:rsidRDefault="1F63DE97" w14:paraId="16EFF74D" w14:textId="2C6DBFFB">
      <w:pPr>
        <w:pStyle w:val="Heading1"/>
        <w:spacing w:before="480" w:beforeAutospacing="off" w:after="240" w:afterAutospacing="off"/>
        <w:jc w:val="left"/>
      </w:pPr>
      <w:bookmarkStart w:name="_Toc907612317" w:id="314398188"/>
      <w:bookmarkStart w:name="_Toc45717695" w:id="2106373413"/>
      <w:r w:rsidRPr="2EF2B10E" w:rsidR="1F63DE97">
        <w:rPr>
          <w:rFonts w:ascii="Aptos" w:hAnsi="Aptos" w:eastAsia="Aptos" w:cs="Aptos"/>
          <w:b w:val="1"/>
          <w:bCs w:val="1"/>
          <w:noProof w:val="0"/>
          <w:color w:val="0F58BD"/>
          <w:sz w:val="48"/>
          <w:szCs w:val="48"/>
          <w:lang w:val="en-GB"/>
        </w:rPr>
        <w:t>9.0 Local Authority and Regulatory Consultation</w:t>
      </w:r>
      <w:bookmarkEnd w:id="314398188"/>
      <w:bookmarkEnd w:id="2106373413"/>
      <w:r w:rsidRPr="2EF2B10E" w:rsidR="1F63DE97">
        <w:rPr>
          <w:rFonts w:ascii="Aptos" w:hAnsi="Aptos" w:eastAsia="Aptos" w:cs="Aptos"/>
          <w:b w:val="1"/>
          <w:bCs w:val="1"/>
          <w:noProof w:val="0"/>
          <w:color w:val="0F58BD"/>
          <w:sz w:val="48"/>
          <w:szCs w:val="48"/>
          <w:lang w:val="en-GB"/>
        </w:rPr>
        <w:t xml:space="preserve"> </w:t>
      </w:r>
    </w:p>
    <w:p w:rsidR="1F63DE97" w:rsidP="2EF2B10E" w:rsidRDefault="1F63DE97" w14:paraId="5067B9D3" w14:textId="6B259227">
      <w:pPr>
        <w:spacing w:before="120" w:beforeAutospacing="off" w:after="120" w:afterAutospacing="off"/>
        <w:jc w:val="left"/>
      </w:pPr>
      <w:r w:rsidRPr="2EF2B10E" w:rsidR="1F63DE97">
        <w:rPr>
          <w:rFonts w:ascii="Aptos" w:hAnsi="Aptos" w:eastAsia="Aptos" w:cs="Aptos"/>
          <w:noProof w:val="0"/>
          <w:sz w:val="24"/>
          <w:szCs w:val="24"/>
          <w:lang w:val="en-GB"/>
        </w:rPr>
        <w:t xml:space="preserve">Several organizations and regulatory bodies would need to be consulted during the planning, investigation, and construction stages of the project. </w:t>
      </w:r>
    </w:p>
    <w:p w:rsidR="1F63DE97" w:rsidP="2EF2B10E" w:rsidRDefault="1F63DE97" w14:paraId="7B05EE20" w14:textId="20382800">
      <w:pPr>
        <w:pStyle w:val="Heading3"/>
        <w:spacing w:before="281" w:beforeAutospacing="off" w:after="140" w:afterAutospacing="off"/>
        <w:jc w:val="left"/>
      </w:pPr>
      <w:bookmarkStart w:name="_Toc1718191635" w:id="1321420522"/>
      <w:bookmarkStart w:name="_Toc775931547" w:id="330532730"/>
      <w:r w:rsidRPr="2EF2B10E" w:rsidR="1F63DE97">
        <w:rPr>
          <w:rFonts w:ascii="Aptos" w:hAnsi="Aptos" w:eastAsia="Aptos" w:cs="Aptos"/>
          <w:b w:val="1"/>
          <w:bCs w:val="1"/>
          <w:noProof w:val="0"/>
          <w:color w:val="0F58BD"/>
          <w:sz w:val="28"/>
          <w:szCs w:val="28"/>
          <w:lang w:val="en-GB"/>
        </w:rPr>
        <w:t>9.1 Swansea Council</w:t>
      </w:r>
      <w:bookmarkEnd w:id="1321420522"/>
      <w:bookmarkEnd w:id="330532730"/>
      <w:r w:rsidRPr="2EF2B10E" w:rsidR="1F63DE97">
        <w:rPr>
          <w:rFonts w:ascii="Aptos" w:hAnsi="Aptos" w:eastAsia="Aptos" w:cs="Aptos"/>
          <w:b w:val="1"/>
          <w:bCs w:val="1"/>
          <w:noProof w:val="0"/>
          <w:color w:val="0F58BD"/>
          <w:sz w:val="28"/>
          <w:szCs w:val="28"/>
          <w:lang w:val="en-GB"/>
        </w:rPr>
        <w:t xml:space="preserve"> </w:t>
      </w:r>
    </w:p>
    <w:p w:rsidR="1F63DE97" w:rsidP="2EF2B10E" w:rsidRDefault="1F63DE97" w14:paraId="3F106A28" w14:textId="22B86464">
      <w:pPr>
        <w:spacing w:before="120" w:beforeAutospacing="off" w:after="120" w:afterAutospacing="off"/>
        <w:jc w:val="left"/>
      </w:pPr>
      <w:r w:rsidRPr="2EF2B10E" w:rsidR="1F63DE97">
        <w:rPr>
          <w:rFonts w:ascii="Aptos" w:hAnsi="Aptos" w:eastAsia="Aptos" w:cs="Aptos"/>
          <w:noProof w:val="0"/>
          <w:sz w:val="24"/>
          <w:szCs w:val="24"/>
          <w:lang w:val="en-GB"/>
        </w:rPr>
        <w:t xml:space="preserve">Consultation with Swansea Council will be required for both planning approval and Building Control approval. The council would review the proposed development to ensure compliance with planning policy, Building Regulations, and local development requirements. </w:t>
      </w:r>
    </w:p>
    <w:p w:rsidR="1F63DE97" w:rsidP="2EF2B10E" w:rsidRDefault="1F63DE97" w14:paraId="036CD8E4" w14:textId="3E3E529F">
      <w:pPr>
        <w:pStyle w:val="Heading3"/>
        <w:spacing w:before="281" w:beforeAutospacing="off" w:after="140" w:afterAutospacing="off"/>
        <w:jc w:val="left"/>
      </w:pPr>
      <w:bookmarkStart w:name="_Toc111655109" w:id="1456513726"/>
      <w:bookmarkStart w:name="_Toc1917970969" w:id="985202376"/>
      <w:r w:rsidRPr="2EF2B10E" w:rsidR="1F63DE97">
        <w:rPr>
          <w:rFonts w:ascii="Aptos" w:hAnsi="Aptos" w:eastAsia="Aptos" w:cs="Aptos"/>
          <w:b w:val="1"/>
          <w:bCs w:val="1"/>
          <w:noProof w:val="0"/>
          <w:color w:val="0F58BD"/>
          <w:sz w:val="28"/>
          <w:szCs w:val="28"/>
          <w:lang w:val="en-GB"/>
        </w:rPr>
        <w:t>9.2 Natural Resources Wales (NRW)</w:t>
      </w:r>
      <w:bookmarkEnd w:id="1456513726"/>
      <w:bookmarkEnd w:id="985202376"/>
      <w:r w:rsidRPr="2EF2B10E" w:rsidR="1F63DE97">
        <w:rPr>
          <w:rFonts w:ascii="Aptos" w:hAnsi="Aptos" w:eastAsia="Aptos" w:cs="Aptos"/>
          <w:b w:val="1"/>
          <w:bCs w:val="1"/>
          <w:noProof w:val="0"/>
          <w:color w:val="0F58BD"/>
          <w:sz w:val="28"/>
          <w:szCs w:val="28"/>
          <w:lang w:val="en-GB"/>
        </w:rPr>
        <w:t xml:space="preserve"> </w:t>
      </w:r>
    </w:p>
    <w:p w:rsidR="1F63DE97" w:rsidP="2EF2B10E" w:rsidRDefault="1F63DE97" w14:paraId="70BA62F5" w14:textId="3FA84B59">
      <w:pPr>
        <w:spacing w:before="120" w:beforeAutospacing="off" w:after="120" w:afterAutospacing="off"/>
        <w:jc w:val="left"/>
      </w:pPr>
      <w:r w:rsidRPr="2EF2B10E" w:rsidR="1F63DE97">
        <w:rPr>
          <w:rFonts w:ascii="Aptos" w:hAnsi="Aptos" w:eastAsia="Aptos" w:cs="Aptos"/>
          <w:noProof w:val="0"/>
          <w:sz w:val="24"/>
          <w:szCs w:val="24"/>
          <w:lang w:val="en-GB"/>
        </w:rPr>
        <w:t xml:space="preserve">Natural Resources Wales (NRW) should also be consulted, as the site is located close to Swansea Bay and may be affected by coastal and groundwater conditions. NRW would provide guidance regarding flood risk, coastal management, groundwater protection, and contamination control. </w:t>
      </w:r>
    </w:p>
    <w:p w:rsidR="1F63DE97" w:rsidP="2EF2B10E" w:rsidRDefault="1F63DE97" w14:paraId="2155A923" w14:textId="2CC7CE32">
      <w:pPr>
        <w:pStyle w:val="Heading1"/>
        <w:spacing w:before="480" w:beforeAutospacing="off" w:after="240" w:afterAutospacing="off"/>
        <w:jc w:val="left"/>
      </w:pPr>
      <w:bookmarkStart w:name="_Toc431385739" w:id="633519833"/>
      <w:bookmarkStart w:name="_Toc2125466236" w:id="1487766761"/>
      <w:r w:rsidRPr="2EF2B10E" w:rsidR="1F63DE97">
        <w:rPr>
          <w:rFonts w:ascii="Aptos" w:hAnsi="Aptos" w:eastAsia="Aptos" w:cs="Aptos"/>
          <w:b w:val="1"/>
          <w:bCs w:val="1"/>
          <w:noProof w:val="0"/>
          <w:color w:val="0F58BD"/>
          <w:sz w:val="48"/>
          <w:szCs w:val="48"/>
          <w:lang w:val="en-GB"/>
        </w:rPr>
        <w:t>10.0 Foundation Recommendations</w:t>
      </w:r>
      <w:bookmarkEnd w:id="633519833"/>
      <w:bookmarkEnd w:id="1487766761"/>
      <w:r w:rsidRPr="2EF2B10E" w:rsidR="1F63DE97">
        <w:rPr>
          <w:rFonts w:ascii="Aptos" w:hAnsi="Aptos" w:eastAsia="Aptos" w:cs="Aptos"/>
          <w:b w:val="1"/>
          <w:bCs w:val="1"/>
          <w:noProof w:val="0"/>
          <w:color w:val="0F58BD"/>
          <w:sz w:val="48"/>
          <w:szCs w:val="48"/>
          <w:lang w:val="en-GB"/>
        </w:rPr>
        <w:t xml:space="preserve"> </w:t>
      </w:r>
    </w:p>
    <w:p w:rsidR="1F63DE97" w:rsidP="2EF2B10E" w:rsidRDefault="1F63DE97" w14:paraId="4778A044" w14:textId="4CB0B118">
      <w:pPr>
        <w:pStyle w:val="Heading2"/>
        <w:spacing w:before="180" w:beforeAutospacing="off" w:after="180" w:afterAutospacing="off"/>
        <w:jc w:val="left"/>
      </w:pPr>
      <w:bookmarkStart w:name="_Toc448084322" w:id="1070461038"/>
      <w:bookmarkStart w:name="_Toc1217880742" w:id="1718578421"/>
      <w:r w:rsidRPr="2EF2B10E" w:rsidR="1F63DE97">
        <w:rPr>
          <w:rFonts w:ascii="Aptos" w:hAnsi="Aptos" w:eastAsia="Aptos" w:cs="Aptos"/>
          <w:b w:val="1"/>
          <w:bCs w:val="1"/>
          <w:noProof w:val="0"/>
          <w:color w:val="0F58BD"/>
          <w:sz w:val="36"/>
          <w:szCs w:val="36"/>
          <w:lang w:val="en-GB"/>
        </w:rPr>
        <w:t>10.1 Proposed Foundation Type</w:t>
      </w:r>
      <w:bookmarkEnd w:id="1070461038"/>
      <w:bookmarkEnd w:id="1718578421"/>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3E0BA3CF" w14:textId="37359B71">
      <w:pPr>
        <w:spacing w:before="120" w:beforeAutospacing="off" w:after="120" w:afterAutospacing="off"/>
        <w:jc w:val="left"/>
      </w:pPr>
      <w:r w:rsidRPr="2EF2B10E" w:rsidR="1F63DE97">
        <w:rPr>
          <w:rFonts w:ascii="Aptos" w:hAnsi="Aptos" w:eastAsia="Aptos" w:cs="Aptos"/>
          <w:noProof w:val="0"/>
          <w:sz w:val="24"/>
          <w:szCs w:val="24"/>
          <w:lang w:val="en-GB"/>
        </w:rPr>
        <w:t xml:space="preserve">Based upon the historical dockland reclamation of the site, representative borehole information from the nearby Meridian Tower development, the anticipated presence of soft alluvial deposits, and the structural loading associated with the proposed building, the recommended foundation solution is Continuous Flight Auger (CFA) piled foundations. </w:t>
      </w:r>
    </w:p>
    <w:p w:rsidR="1F63DE97" w:rsidP="2EF2B10E" w:rsidRDefault="1F63DE97" w14:paraId="53AFADE4" w14:textId="5AE77A36">
      <w:pPr>
        <w:spacing w:before="120" w:beforeAutospacing="off" w:after="120" w:afterAutospacing="off"/>
        <w:jc w:val="left"/>
      </w:pPr>
      <w:r w:rsidRPr="2EF2B10E" w:rsidR="1F63DE97">
        <w:rPr>
          <w:rFonts w:ascii="Aptos" w:hAnsi="Aptos" w:eastAsia="Aptos" w:cs="Aptos"/>
          <w:noProof w:val="0"/>
          <w:sz w:val="24"/>
          <w:szCs w:val="24"/>
          <w:lang w:val="en-GB"/>
        </w:rPr>
        <w:t xml:space="preserve">The proposed foundation system would likely consist of reinforced concrete piles combined with pile caps, ground beams, and a suspended floor slab. This type of foundation system is commonly used on reclaimed dockland and waterfront developments where shallow soils possess poor bearing capacity. </w:t>
      </w:r>
    </w:p>
    <w:p w:rsidR="1F63DE97" w:rsidP="2EF2B10E" w:rsidRDefault="1F63DE97" w14:paraId="4C2150F2" w14:textId="4615EB27">
      <w:pPr>
        <w:pStyle w:val="Heading2"/>
        <w:spacing w:before="360" w:beforeAutospacing="off" w:after="180" w:afterAutospacing="off"/>
        <w:jc w:val="left"/>
      </w:pPr>
      <w:bookmarkStart w:name="_Toc1345588650" w:id="2116028387"/>
      <w:bookmarkStart w:name="_Toc1092034373" w:id="858317139"/>
      <w:r w:rsidRPr="2EF2B10E" w:rsidR="1F63DE97">
        <w:rPr>
          <w:rFonts w:ascii="Aptos" w:hAnsi="Aptos" w:eastAsia="Aptos" w:cs="Aptos"/>
          <w:b w:val="1"/>
          <w:bCs w:val="1"/>
          <w:noProof w:val="0"/>
          <w:color w:val="0F58BD"/>
          <w:sz w:val="36"/>
          <w:szCs w:val="36"/>
          <w:lang w:val="en-GB"/>
        </w:rPr>
        <w:t>10.2 Justification</w:t>
      </w:r>
      <w:bookmarkEnd w:id="2116028387"/>
      <w:bookmarkEnd w:id="858317139"/>
      <w:r w:rsidRPr="2EF2B10E" w:rsidR="1F63DE97">
        <w:rPr>
          <w:rFonts w:ascii="Aptos" w:hAnsi="Aptos" w:eastAsia="Aptos" w:cs="Aptos"/>
          <w:b w:val="1"/>
          <w:bCs w:val="1"/>
          <w:noProof w:val="0"/>
          <w:color w:val="0F58BD"/>
          <w:sz w:val="36"/>
          <w:szCs w:val="36"/>
          <w:lang w:val="en-GB"/>
        </w:rPr>
        <w:t xml:space="preserve"> </w:t>
      </w:r>
    </w:p>
    <w:p w:rsidR="1F63DE97" w:rsidP="2EF2B10E" w:rsidRDefault="1F63DE97" w14:paraId="2F74C9FF" w14:textId="4AE2E328">
      <w:pPr>
        <w:spacing w:before="120" w:beforeAutospacing="off" w:after="120" w:afterAutospacing="off"/>
        <w:jc w:val="left"/>
      </w:pPr>
      <w:r w:rsidRPr="2EF2B10E" w:rsidR="1F63DE97">
        <w:rPr>
          <w:rFonts w:ascii="Aptos" w:hAnsi="Aptos" w:eastAsia="Aptos" w:cs="Aptos"/>
          <w:noProof w:val="0"/>
          <w:sz w:val="24"/>
          <w:szCs w:val="24"/>
          <w:lang w:val="en-GB"/>
        </w:rPr>
        <w:t xml:space="preserve">Continuous Flight Auger piling is considered suitable because the piles can transfer structural loads through weak-made ground and soft alluvial deposits into stronger bearing strata or bedrock. This significantly reduces the risk of differential settlement and structural movement. </w:t>
      </w:r>
    </w:p>
    <w:p w:rsidR="1F63DE97" w:rsidP="2EF2B10E" w:rsidRDefault="1F63DE97" w14:paraId="57CA0FEE" w14:textId="1E8F2BF7">
      <w:pPr>
        <w:spacing w:before="120" w:beforeAutospacing="off" w:after="120" w:afterAutospacing="off"/>
        <w:jc w:val="left"/>
      </w:pPr>
      <w:r w:rsidRPr="2EF2B10E" w:rsidR="1F63DE97">
        <w:rPr>
          <w:rFonts w:ascii="Aptos" w:hAnsi="Aptos" w:eastAsia="Aptos" w:cs="Aptos"/>
          <w:noProof w:val="0"/>
          <w:sz w:val="24"/>
          <w:szCs w:val="24"/>
          <w:lang w:val="en-GB"/>
        </w:rPr>
        <w:t>CFA piling is also highly suitable for waterfront developments because it performs effectively in high groundwater conditions and soft ground. Compared with driven piles, CFA piles generate lower levels of vibration and noise, which is important due to the close proximity of County Hall, the Delta Hotels Swansea building, and public promenade areas.</w:t>
      </w:r>
    </w:p>
    <w:p w:rsidR="1455B055" w:rsidP="2EF2B10E" w:rsidRDefault="1455B055" w14:paraId="1AE1660A" w14:textId="088E4939">
      <w:pPr>
        <w:pStyle w:val="Normal"/>
        <w:spacing w:before="120" w:beforeAutospacing="off" w:after="120" w:afterAutospacing="off"/>
        <w:jc w:val="left"/>
      </w:pPr>
      <w:r w:rsidR="1455B055">
        <w:drawing>
          <wp:inline wp14:editId="4DE65231" wp14:anchorId="1D7C2489">
            <wp:extent cx="6400800" cy="6800850"/>
            <wp:effectExtent l="0" t="0" r="0" b="0"/>
            <wp:docPr id="17672623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7262320" name="Picture 1767262320"/>
                    <pic:cNvPicPr/>
                  </pic:nvPicPr>
                  <pic:blipFill>
                    <a:blip xmlns:r="http://schemas.openxmlformats.org/officeDocument/2006/relationships" r:embed="rId697282279">
                      <a:extLst>
                        <a:ext uri="{28A0092B-C50C-407E-A947-70E740481C1C}">
                          <a14:useLocalDpi xmlns:a14="http://schemas.microsoft.com/office/drawing/2010/main"/>
                        </a:ext>
                      </a:extLst>
                    </a:blip>
                    <a:stretch>
                      <a:fillRect/>
                    </a:stretch>
                  </pic:blipFill>
                  <pic:spPr>
                    <a:xfrm rot="0">
                      <a:off x="0" y="0"/>
                      <a:ext cx="6400800" cy="6800850"/>
                    </a:xfrm>
                    <a:prstGeom prst="rect">
                      <a:avLst/>
                    </a:prstGeom>
                  </pic:spPr>
                </pic:pic>
              </a:graphicData>
            </a:graphic>
          </wp:inline>
        </w:drawing>
      </w:r>
    </w:p>
    <w:p w:rsidR="2EF2B10E" w:rsidP="2EF2B10E" w:rsidRDefault="2EF2B10E" w14:paraId="3C21204F" w14:textId="2A1E7B50">
      <w:pPr>
        <w:pStyle w:val="Heading1"/>
      </w:pPr>
    </w:p>
    <w:p w:rsidR="2EF2B10E" w:rsidP="2EF2B10E" w:rsidRDefault="2EF2B10E" w14:paraId="3497AE79" w14:textId="7A617006">
      <w:pPr>
        <w:pStyle w:val="Normal"/>
      </w:pPr>
    </w:p>
    <w:p w:rsidR="1455B055" w:rsidP="2EF2B10E" w:rsidRDefault="1455B055" w14:paraId="4C536FC3" w14:textId="5330152D">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308940855" w:id="1010216816"/>
      <w:bookmarkStart w:name="_Toc1983825451" w:id="186973840"/>
      <w:r w:rsidRPr="2EF2B10E" w:rsidR="1455B055">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Reference list</w:t>
      </w:r>
      <w:bookmarkEnd w:id="1010216816"/>
      <w:bookmarkEnd w:id="186973840"/>
    </w:p>
    <w:p w:rsidR="1455B055" w:rsidP="2EF2B10E" w:rsidRDefault="1455B055" w14:paraId="65DD472A" w14:textId="7433440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EF2B10E" w:rsidR="1455B05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BGS (2023). </w:t>
      </w:r>
      <w:r w:rsidRPr="2EF2B10E" w:rsidR="1455B055">
        <w:rPr>
          <w:rFonts w:ascii="Calibri" w:hAnsi="Calibri" w:eastAsia="Calibri" w:cs="Calibri"/>
          <w:b w:val="0"/>
          <w:bCs w:val="0"/>
          <w:i w:val="1"/>
          <w:iCs w:val="1"/>
          <w:caps w:val="0"/>
          <w:smallCaps w:val="0"/>
          <w:noProof w:val="0"/>
          <w:color w:val="000000" w:themeColor="text1" w:themeTint="FF" w:themeShade="FF"/>
          <w:sz w:val="27"/>
          <w:szCs w:val="27"/>
          <w:lang w:val="en-US"/>
        </w:rPr>
        <w:t>GeoIndex - British Geological Survey</w:t>
      </w:r>
      <w:r w:rsidRPr="2EF2B10E" w:rsidR="1455B05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Bgs.ac.uk. Available at: </w:t>
      </w:r>
      <w:hyperlink r:id="R408a1faef3184af6">
        <w:r w:rsidRPr="2EF2B10E" w:rsidR="1455B055">
          <w:rPr>
            <w:rStyle w:val="Hyperlink"/>
            <w:rFonts w:ascii="Calibri" w:hAnsi="Calibri" w:eastAsia="Calibri" w:cs="Calibri"/>
            <w:b w:val="0"/>
            <w:bCs w:val="0"/>
            <w:i w:val="0"/>
            <w:iCs w:val="0"/>
            <w:caps w:val="0"/>
            <w:smallCaps w:val="0"/>
            <w:strike w:val="0"/>
            <w:dstrike w:val="0"/>
            <w:noProof w:val="0"/>
            <w:sz w:val="27"/>
            <w:szCs w:val="27"/>
            <w:lang w:val="en-US"/>
          </w:rPr>
          <w:t>https://mapapps2.bgs.ac.uk/geoindex/home.html?layer=BGSBoreholes&amp;_ga=2.266402125.295908447.1777577744-570123935.1777577744</w:t>
        </w:r>
      </w:hyperlink>
      <w:r w:rsidRPr="2EF2B10E" w:rsidR="1455B05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p>
    <w:p w:rsidR="2EF2B10E" w:rsidP="2EF2B10E" w:rsidRDefault="2EF2B10E" w14:paraId="6E5A9033" w14:textId="1CC0DDE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455B055" w:rsidP="2EF2B10E" w:rsidRDefault="1455B055" w14:paraId="33A99A60" w14:textId="61775A8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EF2B10E" w:rsidR="1455B05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historypoints.org. (n.d.). </w:t>
      </w:r>
      <w:r w:rsidRPr="2EF2B10E" w:rsidR="1455B055">
        <w:rPr>
          <w:rFonts w:ascii="Calibri" w:hAnsi="Calibri" w:eastAsia="Calibri" w:cs="Calibri"/>
          <w:b w:val="0"/>
          <w:bCs w:val="0"/>
          <w:i w:val="1"/>
          <w:iCs w:val="1"/>
          <w:caps w:val="0"/>
          <w:smallCaps w:val="0"/>
          <w:noProof w:val="0"/>
          <w:color w:val="000000" w:themeColor="text1" w:themeTint="FF" w:themeShade="FF"/>
          <w:sz w:val="27"/>
          <w:szCs w:val="27"/>
          <w:lang w:val="en-US"/>
        </w:rPr>
        <w:t xml:space="preserve">History Points - Swansea </w:t>
      </w:r>
      <w:r w:rsidRPr="2EF2B10E" w:rsidR="1455B055">
        <w:rPr>
          <w:rFonts w:ascii="Calibri" w:hAnsi="Calibri" w:eastAsia="Calibri" w:cs="Calibri"/>
          <w:b w:val="0"/>
          <w:bCs w:val="0"/>
          <w:i w:val="1"/>
          <w:iCs w:val="1"/>
          <w:caps w:val="0"/>
          <w:smallCaps w:val="0"/>
          <w:noProof w:val="0"/>
          <w:color w:val="000000" w:themeColor="text1" w:themeTint="FF" w:themeShade="FF"/>
          <w:sz w:val="27"/>
          <w:szCs w:val="27"/>
          <w:lang w:val="en-US"/>
        </w:rPr>
        <w:t>marina</w:t>
      </w:r>
      <w:r w:rsidRPr="2EF2B10E" w:rsidR="1455B05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1e71760fb3434419">
        <w:r w:rsidRPr="2EF2B10E" w:rsidR="1455B055">
          <w:rPr>
            <w:rStyle w:val="Hyperlink"/>
            <w:rFonts w:ascii="Calibri" w:hAnsi="Calibri" w:eastAsia="Calibri" w:cs="Calibri"/>
            <w:b w:val="0"/>
            <w:bCs w:val="0"/>
            <w:i w:val="0"/>
            <w:iCs w:val="0"/>
            <w:caps w:val="0"/>
            <w:smallCaps w:val="0"/>
            <w:strike w:val="0"/>
            <w:dstrike w:val="0"/>
            <w:noProof w:val="0"/>
            <w:sz w:val="27"/>
            <w:szCs w:val="27"/>
            <w:lang w:val="en-US"/>
          </w:rPr>
          <w:t>https://historypoints.org/index.php?page=swansea-marina</w:t>
        </w:r>
      </w:hyperlink>
      <w:r w:rsidRPr="2EF2B10E" w:rsidR="1455B055">
        <w:rPr>
          <w:rFonts w:ascii="Calibri" w:hAnsi="Calibri" w:eastAsia="Calibri" w:cs="Calibri"/>
          <w:b w:val="0"/>
          <w:bCs w:val="0"/>
          <w:i w:val="0"/>
          <w:iCs w:val="0"/>
          <w:caps w:val="0"/>
          <w:smallCaps w:val="0"/>
          <w:noProof w:val="0"/>
          <w:color w:val="000000" w:themeColor="text1" w:themeTint="FF" w:themeShade="FF"/>
          <w:sz w:val="27"/>
          <w:szCs w:val="27"/>
          <w:lang w:val="en-US"/>
        </w:rPr>
        <w:t>.</w:t>
      </w:r>
      <w:r>
        <w:br/>
      </w:r>
      <w:r>
        <w:br/>
      </w:r>
      <w:r w:rsidRPr="2EF2B10E" w:rsidR="1455B05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Swansea. (2022). </w:t>
      </w:r>
      <w:r w:rsidRPr="2EF2B10E" w:rsidR="1455B055">
        <w:rPr>
          <w:rFonts w:ascii="Calibri" w:hAnsi="Calibri" w:eastAsia="Calibri" w:cs="Calibri"/>
          <w:b w:val="0"/>
          <w:bCs w:val="0"/>
          <w:i w:val="1"/>
          <w:iCs w:val="1"/>
          <w:caps w:val="0"/>
          <w:smallCaps w:val="0"/>
          <w:noProof w:val="0"/>
          <w:color w:val="000000" w:themeColor="text1" w:themeTint="FF" w:themeShade="FF"/>
          <w:sz w:val="27"/>
          <w:szCs w:val="27"/>
          <w:lang w:val="en-US"/>
        </w:rPr>
        <w:t>Maritime Swansea - Swansea</w:t>
      </w:r>
      <w:r w:rsidRPr="2EF2B10E" w:rsidR="1455B05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e3d2f8c9fd31494e">
        <w:r w:rsidRPr="2EF2B10E" w:rsidR="1455B055">
          <w:rPr>
            <w:rStyle w:val="Hyperlink"/>
            <w:rFonts w:ascii="Calibri" w:hAnsi="Calibri" w:eastAsia="Calibri" w:cs="Calibri"/>
            <w:b w:val="0"/>
            <w:bCs w:val="0"/>
            <w:i w:val="0"/>
            <w:iCs w:val="0"/>
            <w:caps w:val="0"/>
            <w:smallCaps w:val="0"/>
            <w:strike w:val="0"/>
            <w:dstrike w:val="0"/>
            <w:noProof w:val="0"/>
            <w:sz w:val="27"/>
            <w:szCs w:val="27"/>
            <w:lang w:val="en-US"/>
          </w:rPr>
          <w:t>https://www.swansea.gov.uk/ArchivesEdwardianMaritime?lang=en</w:t>
        </w:r>
      </w:hyperlink>
      <w:r w:rsidRPr="2EF2B10E" w:rsidR="1455B055">
        <w:rPr>
          <w:rFonts w:ascii="Calibri" w:hAnsi="Calibri" w:eastAsia="Calibri" w:cs="Calibri"/>
          <w:b w:val="0"/>
          <w:bCs w:val="0"/>
          <w:i w:val="0"/>
          <w:iCs w:val="0"/>
          <w:caps w:val="0"/>
          <w:smallCaps w:val="0"/>
          <w:noProof w:val="0"/>
          <w:color w:val="000000" w:themeColor="text1" w:themeTint="FF" w:themeShade="FF"/>
          <w:sz w:val="27"/>
          <w:szCs w:val="27"/>
          <w:lang w:val="en-US"/>
        </w:rPr>
        <w:t>.</w:t>
      </w:r>
      <w:r>
        <w:br/>
      </w:r>
      <w:r>
        <w:br/>
      </w:r>
      <w:r w:rsidRPr="2EF2B10E" w:rsidR="1455B05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Admin (n.d.). </w:t>
      </w:r>
      <w:r w:rsidRPr="2EF2B10E" w:rsidR="1455B055">
        <w:rPr>
          <w:rFonts w:ascii="Calibri" w:hAnsi="Calibri" w:eastAsia="Calibri" w:cs="Calibri"/>
          <w:b w:val="0"/>
          <w:bCs w:val="0"/>
          <w:i w:val="1"/>
          <w:iCs w:val="1"/>
          <w:caps w:val="0"/>
          <w:smallCaps w:val="0"/>
          <w:noProof w:val="0"/>
          <w:color w:val="000000" w:themeColor="text1" w:themeTint="FF" w:themeShade="FF"/>
          <w:sz w:val="27"/>
          <w:szCs w:val="27"/>
          <w:lang w:val="en-US"/>
        </w:rPr>
        <w:t>Maritime Quarter | Swansea | The Academy of Urbanism</w:t>
      </w:r>
      <w:r w:rsidRPr="2EF2B10E" w:rsidR="1455B05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bf39a777d36b47d0">
        <w:r w:rsidRPr="2EF2B10E" w:rsidR="1455B055">
          <w:rPr>
            <w:rStyle w:val="Hyperlink"/>
            <w:rFonts w:ascii="Calibri" w:hAnsi="Calibri" w:eastAsia="Calibri" w:cs="Calibri"/>
            <w:b w:val="0"/>
            <w:bCs w:val="0"/>
            <w:i w:val="0"/>
            <w:iCs w:val="0"/>
            <w:caps w:val="0"/>
            <w:smallCaps w:val="0"/>
            <w:strike w:val="0"/>
            <w:dstrike w:val="0"/>
            <w:noProof w:val="0"/>
            <w:sz w:val="27"/>
            <w:szCs w:val="27"/>
            <w:lang w:val="en-US"/>
          </w:rPr>
          <w:t>https://www.academyofurbanism.org.uk/maritime-quarter/</w:t>
        </w:r>
      </w:hyperlink>
      <w:r w:rsidRPr="2EF2B10E" w:rsidR="1455B055">
        <w:rPr>
          <w:rFonts w:ascii="Calibri" w:hAnsi="Calibri" w:eastAsia="Calibri" w:cs="Calibri"/>
          <w:b w:val="0"/>
          <w:bCs w:val="0"/>
          <w:i w:val="0"/>
          <w:iCs w:val="0"/>
          <w:caps w:val="0"/>
          <w:smallCaps w:val="0"/>
          <w:noProof w:val="0"/>
          <w:color w:val="000000" w:themeColor="text1" w:themeTint="FF" w:themeShade="FF"/>
          <w:sz w:val="27"/>
          <w:szCs w:val="27"/>
          <w:lang w:val="en-US"/>
        </w:rPr>
        <w:t>.</w:t>
      </w:r>
      <w:r>
        <w:br/>
      </w:r>
      <w:r>
        <w:br/>
      </w:r>
      <w:r w:rsidRPr="2EF2B10E" w:rsidR="779EF40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webapps.bgs.ac.uk. (n.d.). </w:t>
      </w:r>
      <w:r w:rsidRPr="2EF2B10E" w:rsidR="779EF40C">
        <w:rPr>
          <w:rFonts w:ascii="Calibri" w:hAnsi="Calibri" w:eastAsia="Calibri" w:cs="Calibri"/>
          <w:b w:val="0"/>
          <w:bCs w:val="0"/>
          <w:i w:val="1"/>
          <w:iCs w:val="1"/>
          <w:caps w:val="0"/>
          <w:smallCaps w:val="0"/>
          <w:noProof w:val="0"/>
          <w:color w:val="000000" w:themeColor="text1" w:themeTint="FF" w:themeShade="FF"/>
          <w:sz w:val="27"/>
          <w:szCs w:val="27"/>
          <w:lang w:val="en-US"/>
        </w:rPr>
        <w:t>Geology of the Swansea district: a brief explanation. Sheet 247</w:t>
      </w:r>
      <w:r w:rsidRPr="2EF2B10E" w:rsidR="779EF40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e72b68de525542af">
        <w:r w:rsidRPr="2EF2B10E" w:rsidR="779EF40C">
          <w:rPr>
            <w:rStyle w:val="Hyperlink"/>
            <w:rFonts w:ascii="Calibri" w:hAnsi="Calibri" w:eastAsia="Calibri" w:cs="Calibri"/>
            <w:b w:val="0"/>
            <w:bCs w:val="0"/>
            <w:i w:val="0"/>
            <w:iCs w:val="0"/>
            <w:caps w:val="0"/>
            <w:smallCaps w:val="0"/>
            <w:strike w:val="0"/>
            <w:dstrike w:val="0"/>
            <w:noProof w:val="0"/>
            <w:sz w:val="27"/>
            <w:szCs w:val="27"/>
            <w:lang w:val="en-US"/>
          </w:rPr>
          <w:t>https://webapps.bgs.ac.uk/memoirs/docs/B06123.html</w:t>
        </w:r>
      </w:hyperlink>
      <w:r w:rsidRPr="2EF2B10E" w:rsidR="779EF40C">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EF2B10E" w:rsidP="2EF2B10E" w:rsidRDefault="2EF2B10E" w14:paraId="44AF2D0C" w14:textId="07A064D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EF2B10E" w:rsidP="2EF2B10E" w:rsidRDefault="2EF2B10E" w14:paraId="55E3B52B" w14:textId="77E76517">
      <w:pPr>
        <w:pStyle w:val="Normal"/>
      </w:pPr>
    </w:p>
    <w:sectPr>
      <w:pgSz w:w="11906" w:h="16838" w:orient="portrait"/>
      <w:pgMar w:top="1440" w:right="1440" w:bottom="1440" w:left="1440" w:header="720" w:footer="720" w:gutter="0"/>
      <w:cols w:space="720"/>
      <w:docGrid w:linePitch="360"/>
      <w:headerReference w:type="default" r:id="R0956458359f2435d"/>
      <w:footerReference w:type="default" r:id="Ra03fd6f495d0407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EF2B10E" w:rsidTr="2EF2B10E" w14:paraId="0AFCCCB4">
      <w:trPr>
        <w:trHeight w:val="300"/>
      </w:trPr>
      <w:tc>
        <w:tcPr>
          <w:tcW w:w="3005" w:type="dxa"/>
          <w:tcMar/>
        </w:tcPr>
        <w:p w:rsidR="2EF2B10E" w:rsidP="2EF2B10E" w:rsidRDefault="2EF2B10E" w14:paraId="727EDB93" w14:textId="406B899A">
          <w:pPr>
            <w:pStyle w:val="Header"/>
            <w:bidi w:val="0"/>
            <w:ind w:left="-115"/>
            <w:jc w:val="left"/>
          </w:pPr>
        </w:p>
      </w:tc>
      <w:tc>
        <w:tcPr>
          <w:tcW w:w="3005" w:type="dxa"/>
          <w:tcMar/>
        </w:tcPr>
        <w:p w:rsidR="2EF2B10E" w:rsidP="2EF2B10E" w:rsidRDefault="2EF2B10E" w14:paraId="5BAF3B26" w14:textId="4ACE4E31">
          <w:pPr>
            <w:pStyle w:val="Header"/>
            <w:bidi w:val="0"/>
            <w:jc w:val="center"/>
          </w:pPr>
        </w:p>
      </w:tc>
      <w:tc>
        <w:tcPr>
          <w:tcW w:w="3005" w:type="dxa"/>
          <w:tcMar/>
        </w:tcPr>
        <w:p w:rsidR="2EF2B10E" w:rsidP="2EF2B10E" w:rsidRDefault="2EF2B10E" w14:paraId="48A38151" w14:textId="19333274">
          <w:pPr>
            <w:pStyle w:val="Header"/>
            <w:bidi w:val="0"/>
            <w:ind w:right="-115"/>
            <w:jc w:val="right"/>
          </w:pPr>
          <w:r>
            <w:fldChar w:fldCharType="begin"/>
          </w:r>
          <w:r>
            <w:instrText xml:space="preserve">PAGE</w:instrText>
          </w:r>
          <w:r>
            <w:fldChar w:fldCharType="separate"/>
          </w:r>
          <w:r>
            <w:fldChar w:fldCharType="end"/>
          </w:r>
        </w:p>
      </w:tc>
    </w:tr>
  </w:tbl>
  <w:p w:rsidR="2EF2B10E" w:rsidP="2EF2B10E" w:rsidRDefault="2EF2B10E" w14:paraId="4AC2356E" w14:textId="78C591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EF2B10E" w:rsidTr="2EF2B10E" w14:paraId="107F512D">
      <w:trPr>
        <w:trHeight w:val="300"/>
      </w:trPr>
      <w:tc>
        <w:tcPr>
          <w:tcW w:w="3005" w:type="dxa"/>
          <w:tcMar/>
        </w:tcPr>
        <w:p w:rsidR="2EF2B10E" w:rsidP="2EF2B10E" w:rsidRDefault="2EF2B10E" w14:paraId="5A278FB3" w14:textId="2B43DFC4">
          <w:pPr>
            <w:pStyle w:val="Header"/>
            <w:bidi w:val="0"/>
            <w:ind w:left="-115"/>
            <w:jc w:val="left"/>
          </w:pPr>
        </w:p>
      </w:tc>
      <w:tc>
        <w:tcPr>
          <w:tcW w:w="3005" w:type="dxa"/>
          <w:tcMar/>
        </w:tcPr>
        <w:p w:rsidR="2EF2B10E" w:rsidP="2EF2B10E" w:rsidRDefault="2EF2B10E" w14:paraId="28AA718D" w14:textId="6D4F51AE">
          <w:pPr>
            <w:pStyle w:val="Header"/>
            <w:bidi w:val="0"/>
            <w:jc w:val="center"/>
          </w:pPr>
        </w:p>
      </w:tc>
      <w:tc>
        <w:tcPr>
          <w:tcW w:w="3005" w:type="dxa"/>
          <w:tcMar/>
        </w:tcPr>
        <w:p w:rsidR="2EF2B10E" w:rsidP="2EF2B10E" w:rsidRDefault="2EF2B10E" w14:paraId="3ED7BB49" w14:textId="2720D510">
          <w:pPr>
            <w:pStyle w:val="Header"/>
            <w:bidi w:val="0"/>
            <w:ind w:right="-115"/>
            <w:jc w:val="right"/>
          </w:pPr>
        </w:p>
      </w:tc>
    </w:tr>
  </w:tbl>
  <w:p w:rsidR="2EF2B10E" w:rsidP="2EF2B10E" w:rsidRDefault="2EF2B10E" w14:paraId="7C8B1EC9" w14:textId="5C4EF23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195644"/>
    <w:rsid w:val="0A195644"/>
    <w:rsid w:val="0C482F08"/>
    <w:rsid w:val="0F70D564"/>
    <w:rsid w:val="10B0DB43"/>
    <w:rsid w:val="1455B055"/>
    <w:rsid w:val="161B7D05"/>
    <w:rsid w:val="1EA96608"/>
    <w:rsid w:val="1F63DE97"/>
    <w:rsid w:val="289A7629"/>
    <w:rsid w:val="2EF2B10E"/>
    <w:rsid w:val="40C6A3D7"/>
    <w:rsid w:val="45DCE15A"/>
    <w:rsid w:val="4E794C9D"/>
    <w:rsid w:val="53D45253"/>
    <w:rsid w:val="5967F61D"/>
    <w:rsid w:val="5B139D26"/>
    <w:rsid w:val="779EF40C"/>
    <w:rsid w:val="7827B413"/>
    <w:rsid w:val="78DE62DF"/>
    <w:rsid w:val="7A5E0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E81D0"/>
  <w15:chartTrackingRefBased/>
  <w15:docId w15:val="{E4A2F95F-64E3-43A5-A67F-A420DB16C0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EF2B10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EF2B10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EF2B10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EF2B10E"/>
    <w:rPr>
      <w:color w:val="467886"/>
      <w:u w:val="single"/>
    </w:rPr>
  </w:style>
  <w:style w:type="paragraph" w:styleId="Header">
    <w:uiPriority w:val="99"/>
    <w:name w:val="header"/>
    <w:basedOn w:val="Normal"/>
    <w:unhideWhenUsed/>
    <w:rsid w:val="2EF2B10E"/>
    <w:pPr>
      <w:tabs>
        <w:tab w:val="center" w:leader="none" w:pos="4680"/>
        <w:tab w:val="right" w:leader="none" w:pos="9360"/>
      </w:tabs>
      <w:spacing w:after="0" w:line="240" w:lineRule="auto"/>
    </w:pPr>
  </w:style>
  <w:style w:type="paragraph" w:styleId="Footer">
    <w:uiPriority w:val="99"/>
    <w:name w:val="footer"/>
    <w:basedOn w:val="Normal"/>
    <w:unhideWhenUsed/>
    <w:rsid w:val="2EF2B10E"/>
    <w:pPr>
      <w:tabs>
        <w:tab w:val="center" w:leader="none" w:pos="4680"/>
        <w:tab w:val="right" w:leader="none" w:pos="9360"/>
      </w:tabs>
      <w:spacing w:after="0" w:line="240" w:lineRule="auto"/>
    </w:pPr>
  </w:style>
  <w:style w:type="paragraph" w:styleId="TOC1">
    <w:uiPriority w:val="39"/>
    <w:name w:val="toc 1"/>
    <w:basedOn w:val="Normal"/>
    <w:next w:val="Normal"/>
    <w:unhideWhenUsed/>
    <w:rsid w:val="2EF2B10E"/>
    <w:pPr>
      <w:spacing w:after="100"/>
    </w:pPr>
  </w:style>
  <w:style w:type="paragraph" w:styleId="TOC2">
    <w:uiPriority w:val="39"/>
    <w:name w:val="toc 2"/>
    <w:basedOn w:val="Normal"/>
    <w:next w:val="Normal"/>
    <w:unhideWhenUsed/>
    <w:rsid w:val="2EF2B10E"/>
    <w:pPr>
      <w:spacing w:after="100"/>
      <w:ind w:left="220"/>
    </w:pPr>
  </w:style>
  <w:style w:type="paragraph" w:styleId="TOC3">
    <w:uiPriority w:val="39"/>
    <w:name w:val="toc 3"/>
    <w:basedOn w:val="Normal"/>
    <w:next w:val="Normal"/>
    <w:unhideWhenUsed/>
    <w:rsid w:val="2EF2B10E"/>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08787298" /><Relationship Type="http://schemas.openxmlformats.org/officeDocument/2006/relationships/image" Target="/media/image2.png" Id="rId531982201" /><Relationship Type="http://schemas.openxmlformats.org/officeDocument/2006/relationships/image" Target="/media/image3.png" Id="rId697282279" /><Relationship Type="http://schemas.openxmlformats.org/officeDocument/2006/relationships/hyperlink" Target="https://mapapps2.bgs.ac.uk/geoindex/home.html?layer=BGSBoreholes&amp;_ga=2.266402125.295908447.1777577744-570123935.1777577744" TargetMode="External" Id="R408a1faef3184af6" /><Relationship Type="http://schemas.openxmlformats.org/officeDocument/2006/relationships/hyperlink" Target="https://historypoints.org/index.php?page=swansea-marina" TargetMode="External" Id="R1e71760fb3434419" /><Relationship Type="http://schemas.openxmlformats.org/officeDocument/2006/relationships/hyperlink" Target="https://www.swansea.gov.uk/ArchivesEdwardianMaritime?lang=en" TargetMode="External" Id="Re3d2f8c9fd31494e" /><Relationship Type="http://schemas.openxmlformats.org/officeDocument/2006/relationships/hyperlink" Target="https://www.academyofurbanism.org.uk/maritime-quarter/" TargetMode="External" Id="Rbf39a777d36b47d0" /><Relationship Type="http://schemas.openxmlformats.org/officeDocument/2006/relationships/hyperlink" Target="https://webapps.bgs.ac.uk/memoirs/docs/B06123.html" TargetMode="External" Id="Re72b68de525542af" /><Relationship Type="http://schemas.openxmlformats.org/officeDocument/2006/relationships/header" Target="/word/header.xml" Id="R0956458359f2435d" /><Relationship Type="http://schemas.openxmlformats.org/officeDocument/2006/relationships/footer" Target="/word/footer.xml" Id="Ra03fd6f495d040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Rowan Francis-Jones (2516294)</dc:creator>
  <keywords/>
  <dc:description/>
  <lastModifiedBy>Rowan Francis-Jones (2516294)</lastModifiedBy>
  <revision>2</revision>
  <dcterms:created xsi:type="dcterms:W3CDTF">2026-04-30T21:02:28.2561626Z</dcterms:created>
  <dcterms:modified xsi:type="dcterms:W3CDTF">2026-04-30T21:10:15.7045434Z</dcterms:modified>
</coreProperties>
</file>