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A1C463" w14:textId="77777777" w:rsidR="00C558B0" w:rsidRDefault="00C558B0" w:rsidP="00C558B0">
      <w:pPr>
        <w:spacing w:line="360" w:lineRule="auto"/>
        <w:rPr>
          <w:rFonts w:ascii="Arial" w:hAnsi="Arial" w:cs="Arial"/>
          <w:szCs w:val="24"/>
        </w:rPr>
      </w:pPr>
      <w:r>
        <w:rPr>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Default="00C558B0" w:rsidP="00C558B0">
      <w:pPr>
        <w:spacing w:line="360" w:lineRule="auto"/>
        <w:rPr>
          <w:rFonts w:ascii="Arial" w:hAnsi="Arial" w:cs="Arial"/>
          <w:szCs w:val="24"/>
        </w:rPr>
      </w:pPr>
    </w:p>
    <w:p w14:paraId="554C8C17" w14:textId="77777777" w:rsidR="00C558B0" w:rsidRDefault="00C558B0" w:rsidP="00C558B0">
      <w:pPr>
        <w:spacing w:line="360" w:lineRule="auto"/>
        <w:rPr>
          <w:rFonts w:ascii="Arial" w:hAnsi="Arial" w:cs="Arial"/>
          <w:szCs w:val="24"/>
        </w:rPr>
      </w:pPr>
    </w:p>
    <w:p w14:paraId="74A7306F" w14:textId="77777777" w:rsidR="00C558B0" w:rsidRDefault="00C558B0" w:rsidP="00C558B0">
      <w:pPr>
        <w:spacing w:line="360" w:lineRule="auto"/>
        <w:rPr>
          <w:rFonts w:ascii="Arial" w:hAnsi="Arial" w:cs="Arial"/>
          <w:szCs w:val="24"/>
        </w:rPr>
      </w:pPr>
    </w:p>
    <w:p w14:paraId="4CFA099C" w14:textId="77777777" w:rsidR="00C558B0" w:rsidRDefault="00C558B0" w:rsidP="00C558B0">
      <w:pPr>
        <w:tabs>
          <w:tab w:val="left" w:pos="6540"/>
        </w:tabs>
        <w:spacing w:line="360" w:lineRule="auto"/>
        <w:rPr>
          <w:rFonts w:ascii="Arial" w:hAnsi="Arial" w:cs="Arial"/>
          <w:sz w:val="28"/>
          <w:szCs w:val="28"/>
        </w:rPr>
      </w:pPr>
    </w:p>
    <w:p w14:paraId="2F4F861B" w14:textId="325AD606" w:rsidR="00C558B0" w:rsidRPr="00287E13" w:rsidRDefault="00C558B0" w:rsidP="00C558B0">
      <w:pPr>
        <w:tabs>
          <w:tab w:val="left" w:pos="6540"/>
        </w:tabs>
        <w:spacing w:line="360" w:lineRule="auto"/>
        <w:rPr>
          <w:rFonts w:ascii="Arial" w:hAnsi="Arial" w:cs="Arial"/>
          <w:sz w:val="28"/>
          <w:szCs w:val="28"/>
          <w:lang w:val="nl-NL"/>
        </w:rPr>
      </w:pPr>
      <w:bookmarkStart w:id="0" w:name="OLE_LINK5"/>
      <w:r w:rsidRPr="006524ED">
        <w:rPr>
          <w:rFonts w:ascii="Arial" w:hAnsi="Arial" w:cs="Arial"/>
          <w:b/>
          <w:bCs/>
          <w:sz w:val="28"/>
          <w:szCs w:val="28"/>
          <w:lang w:val="nl-NL"/>
        </w:rPr>
        <w:t>Student name</w:t>
      </w:r>
      <w:r w:rsidRPr="006524ED">
        <w:rPr>
          <w:rFonts w:ascii="Arial" w:hAnsi="Arial" w:cs="Arial"/>
          <w:sz w:val="28"/>
          <w:szCs w:val="28"/>
          <w:lang w:val="nl-NL"/>
        </w:rPr>
        <w:t>:</w:t>
      </w:r>
      <w:r w:rsidR="00287E13">
        <w:rPr>
          <w:rFonts w:ascii="Arial" w:hAnsi="Arial" w:cs="Arial"/>
          <w:sz w:val="28"/>
          <w:szCs w:val="28"/>
          <w:lang w:val="nl-NL"/>
        </w:rPr>
        <w:t xml:space="preserve"> </w:t>
      </w:r>
      <w:r w:rsidR="00287E13" w:rsidRPr="00287E13">
        <w:rPr>
          <w:rFonts w:ascii="Arial" w:hAnsi="Arial" w:cs="Arial"/>
          <w:b/>
          <w:bCs/>
          <w:sz w:val="28"/>
          <w:szCs w:val="28"/>
          <w:lang w:val="nl-NL"/>
        </w:rPr>
        <w:t>Sabrina Lord</w:t>
      </w:r>
    </w:p>
    <w:p w14:paraId="4D515FAF" w14:textId="77777777" w:rsidR="00330FE0" w:rsidRDefault="00330FE0" w:rsidP="00C558B0">
      <w:pPr>
        <w:tabs>
          <w:tab w:val="left" w:pos="6540"/>
        </w:tabs>
        <w:spacing w:line="360" w:lineRule="auto"/>
        <w:rPr>
          <w:rFonts w:ascii="Arial" w:hAnsi="Arial" w:cs="Arial"/>
          <w:b/>
          <w:bCs/>
          <w:sz w:val="28"/>
          <w:szCs w:val="28"/>
          <w:lang w:val="nl-NL"/>
        </w:rPr>
      </w:pPr>
    </w:p>
    <w:p w14:paraId="18D88AE2" w14:textId="03076243" w:rsidR="00C558B0" w:rsidRPr="00287E13" w:rsidRDefault="00C558B0" w:rsidP="00C558B0">
      <w:pPr>
        <w:tabs>
          <w:tab w:val="left" w:pos="6540"/>
        </w:tabs>
        <w:spacing w:line="360" w:lineRule="auto"/>
        <w:rPr>
          <w:rFonts w:ascii="Arial" w:hAnsi="Arial" w:cs="Arial"/>
          <w:sz w:val="28"/>
          <w:szCs w:val="28"/>
          <w:lang w:val="nl-NL"/>
        </w:rPr>
      </w:pPr>
      <w:r w:rsidRPr="00287E13">
        <w:rPr>
          <w:rFonts w:ascii="Arial" w:hAnsi="Arial" w:cs="Arial"/>
          <w:b/>
          <w:bCs/>
          <w:sz w:val="28"/>
          <w:szCs w:val="28"/>
          <w:lang w:val="nl-NL"/>
        </w:rPr>
        <w:t>Student ID</w:t>
      </w:r>
      <w:r w:rsidRPr="00287E13">
        <w:rPr>
          <w:rFonts w:ascii="Arial" w:hAnsi="Arial" w:cs="Arial"/>
          <w:sz w:val="28"/>
          <w:szCs w:val="28"/>
          <w:lang w:val="nl-NL"/>
        </w:rPr>
        <w:t>:</w:t>
      </w:r>
      <w:r w:rsidR="00287E13" w:rsidRPr="00287E13">
        <w:rPr>
          <w:rFonts w:ascii="Arial" w:hAnsi="Arial" w:cs="Arial"/>
          <w:sz w:val="28"/>
          <w:szCs w:val="28"/>
          <w:lang w:val="nl-NL"/>
        </w:rPr>
        <w:t xml:space="preserve"> </w:t>
      </w:r>
      <w:r w:rsidR="00287E13" w:rsidRPr="00287E13">
        <w:rPr>
          <w:rFonts w:ascii="Arial" w:hAnsi="Arial" w:cs="Arial"/>
          <w:b/>
          <w:bCs/>
          <w:sz w:val="28"/>
          <w:szCs w:val="28"/>
          <w:lang w:val="nl-NL"/>
        </w:rPr>
        <w:t>2114956</w:t>
      </w:r>
    </w:p>
    <w:p w14:paraId="4654C81C" w14:textId="77777777" w:rsidR="00C558B0" w:rsidRPr="00287E13" w:rsidRDefault="00C558B0" w:rsidP="00C558B0">
      <w:pPr>
        <w:tabs>
          <w:tab w:val="left" w:pos="6540"/>
        </w:tabs>
        <w:spacing w:line="360" w:lineRule="auto"/>
        <w:rPr>
          <w:rFonts w:ascii="Arial" w:hAnsi="Arial" w:cs="Arial"/>
          <w:sz w:val="28"/>
          <w:szCs w:val="28"/>
          <w:lang w:val="nl-NL"/>
        </w:rPr>
      </w:pPr>
    </w:p>
    <w:p w14:paraId="4ADF1DEA" w14:textId="77777777" w:rsidR="00287E13" w:rsidRPr="00287E13" w:rsidRDefault="00C558B0" w:rsidP="00287E13">
      <w:pPr>
        <w:pStyle w:val="p1"/>
        <w:rPr>
          <w:sz w:val="28"/>
          <w:szCs w:val="28"/>
        </w:rPr>
      </w:pPr>
      <w:r w:rsidRPr="00287E13">
        <w:rPr>
          <w:rFonts w:ascii="Arial" w:hAnsi="Arial" w:cs="Arial"/>
          <w:b/>
          <w:bCs/>
          <w:sz w:val="28"/>
          <w:szCs w:val="28"/>
          <w:lang w:val="nl-NL"/>
        </w:rPr>
        <w:t>Module name</w:t>
      </w:r>
      <w:r w:rsidRPr="00287E13">
        <w:rPr>
          <w:rFonts w:ascii="Arial" w:hAnsi="Arial" w:cs="Arial"/>
          <w:sz w:val="28"/>
          <w:szCs w:val="28"/>
          <w:lang w:val="nl-NL"/>
        </w:rPr>
        <w:t xml:space="preserve">: </w:t>
      </w:r>
      <w:r w:rsidR="00287E13" w:rsidRPr="00287E13">
        <w:rPr>
          <w:rFonts w:ascii="Arial" w:hAnsi="Arial" w:cs="Arial"/>
          <w:b/>
          <w:bCs/>
          <w:sz w:val="28"/>
          <w:szCs w:val="28"/>
        </w:rPr>
        <w:t>Principles of Health and Social Care Practice</w:t>
      </w:r>
    </w:p>
    <w:p w14:paraId="3D8DA301" w14:textId="6C8B7A10" w:rsidR="00C558B0" w:rsidRPr="006524ED" w:rsidRDefault="00C558B0" w:rsidP="00C558B0">
      <w:pPr>
        <w:tabs>
          <w:tab w:val="left" w:pos="6540"/>
        </w:tabs>
        <w:spacing w:line="360" w:lineRule="auto"/>
        <w:rPr>
          <w:rFonts w:ascii="Arial" w:hAnsi="Arial" w:cs="Arial"/>
          <w:sz w:val="28"/>
          <w:szCs w:val="28"/>
          <w:lang w:val="nl-NL"/>
        </w:rPr>
      </w:pPr>
    </w:p>
    <w:p w14:paraId="1D5F3468" w14:textId="77777777" w:rsidR="002A1C0A" w:rsidRPr="002A1C0A" w:rsidRDefault="00C558B0" w:rsidP="002A1C0A">
      <w:pPr>
        <w:pStyle w:val="p1"/>
        <w:rPr>
          <w:b/>
          <w:bCs/>
          <w:sz w:val="28"/>
          <w:szCs w:val="28"/>
        </w:rPr>
      </w:pPr>
      <w:r>
        <w:rPr>
          <w:rFonts w:ascii="Arial" w:hAnsi="Arial" w:cs="Arial"/>
          <w:b/>
          <w:bCs/>
          <w:sz w:val="28"/>
          <w:szCs w:val="28"/>
        </w:rPr>
        <w:t>Module code</w:t>
      </w:r>
      <w:r>
        <w:rPr>
          <w:rFonts w:ascii="Arial" w:hAnsi="Arial" w:cs="Arial"/>
          <w:sz w:val="28"/>
          <w:szCs w:val="28"/>
        </w:rPr>
        <w:t>:</w:t>
      </w:r>
      <w:r w:rsidR="002A1C0A">
        <w:rPr>
          <w:rFonts w:ascii="Arial" w:hAnsi="Arial" w:cs="Arial"/>
          <w:sz w:val="28"/>
          <w:szCs w:val="28"/>
        </w:rPr>
        <w:t xml:space="preserve"> </w:t>
      </w:r>
      <w:r w:rsidR="002A1C0A" w:rsidRPr="002A1C0A">
        <w:rPr>
          <w:rFonts w:ascii="Arial" w:hAnsi="Arial" w:cs="Arial"/>
          <w:b/>
          <w:bCs/>
          <w:sz w:val="28"/>
          <w:szCs w:val="28"/>
        </w:rPr>
        <w:t>BMHP5016</w:t>
      </w:r>
    </w:p>
    <w:p w14:paraId="7DB3261D" w14:textId="686A4768" w:rsidR="00C558B0" w:rsidRDefault="00C558B0" w:rsidP="00C558B0">
      <w:pPr>
        <w:tabs>
          <w:tab w:val="left" w:pos="6540"/>
        </w:tabs>
        <w:spacing w:line="360" w:lineRule="auto"/>
        <w:rPr>
          <w:rFonts w:ascii="Arial" w:hAnsi="Arial" w:cs="Arial"/>
          <w:sz w:val="28"/>
          <w:szCs w:val="28"/>
        </w:rPr>
      </w:pPr>
    </w:p>
    <w:p w14:paraId="5CCA350C" w14:textId="43480508" w:rsidR="00C558B0" w:rsidRDefault="00C558B0" w:rsidP="00C558B0">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2A1C0A">
        <w:rPr>
          <w:rFonts w:ascii="Arial" w:hAnsi="Arial" w:cs="Arial"/>
          <w:sz w:val="28"/>
          <w:szCs w:val="28"/>
        </w:rPr>
        <w:t xml:space="preserve"> </w:t>
      </w:r>
      <w:r w:rsidR="002A1C0A" w:rsidRPr="002A1C0A">
        <w:rPr>
          <w:rFonts w:ascii="Arial" w:hAnsi="Arial" w:cs="Arial"/>
          <w:b/>
          <w:bCs/>
          <w:sz w:val="28"/>
          <w:szCs w:val="28"/>
        </w:rPr>
        <w:t>Sam Parker</w:t>
      </w:r>
    </w:p>
    <w:p w14:paraId="5461F9C8" w14:textId="77777777" w:rsidR="00C558B0" w:rsidRPr="002A1C0A" w:rsidRDefault="00C558B0" w:rsidP="00C558B0">
      <w:pPr>
        <w:tabs>
          <w:tab w:val="left" w:pos="6540"/>
        </w:tabs>
        <w:spacing w:line="360" w:lineRule="auto"/>
        <w:rPr>
          <w:rFonts w:ascii="Arial" w:hAnsi="Arial" w:cs="Arial"/>
          <w:sz w:val="28"/>
          <w:szCs w:val="28"/>
        </w:rPr>
      </w:pPr>
    </w:p>
    <w:p w14:paraId="7E9ED75A" w14:textId="06E9A022" w:rsidR="002A1C0A" w:rsidRPr="002A1C0A" w:rsidRDefault="002A1C0A" w:rsidP="002A1C0A">
      <w:pPr>
        <w:spacing w:line="360" w:lineRule="auto"/>
        <w:rPr>
          <w:rFonts w:ascii="Arial" w:hAnsi="Arial" w:cs="Arial"/>
          <w:sz w:val="28"/>
          <w:szCs w:val="28"/>
        </w:rPr>
      </w:pPr>
      <w:r w:rsidRPr="002A1C0A">
        <w:rPr>
          <w:rFonts w:ascii="Arial" w:eastAsia="Times New Roman" w:hAnsi="Arial" w:cs="Arial"/>
          <w:b/>
          <w:bCs/>
          <w:kern w:val="36"/>
          <w:sz w:val="28"/>
          <w:szCs w:val="28"/>
          <w:lang w:eastAsia="en-GB"/>
        </w:rPr>
        <w:t>Title</w:t>
      </w:r>
      <w:r w:rsidRPr="002A1C0A">
        <w:rPr>
          <w:rFonts w:ascii="Arial" w:hAnsi="Arial" w:cs="Arial"/>
          <w:sz w:val="28"/>
          <w:szCs w:val="28"/>
        </w:rPr>
        <w:t xml:space="preserve">: </w:t>
      </w:r>
      <w:r w:rsidRPr="002A1C0A">
        <w:rPr>
          <w:rFonts w:ascii="Arial" w:eastAsia="Times New Roman" w:hAnsi="Arial" w:cs="Arial"/>
          <w:b/>
          <w:bCs/>
          <w:sz w:val="28"/>
          <w:szCs w:val="28"/>
          <w:lang w:eastAsia="en-GB"/>
        </w:rPr>
        <w:t>A Critical Analysis of Person-Centred Care in Health and Social Care Policy and Practice</w:t>
      </w:r>
    </w:p>
    <w:p w14:paraId="16231C27" w14:textId="77777777" w:rsidR="002A1C0A" w:rsidRDefault="002A1C0A" w:rsidP="004A5A64">
      <w:pPr>
        <w:spacing w:line="360" w:lineRule="auto"/>
        <w:rPr>
          <w:rFonts w:ascii="Arial" w:hAnsi="Arial" w:cs="Arial"/>
          <w:b/>
          <w:bCs/>
          <w:sz w:val="23"/>
          <w:szCs w:val="23"/>
        </w:rPr>
      </w:pPr>
    </w:p>
    <w:p w14:paraId="6402F820" w14:textId="77777777" w:rsidR="002A1C0A" w:rsidRDefault="002A1C0A" w:rsidP="004A5A64">
      <w:pPr>
        <w:spacing w:line="360" w:lineRule="auto"/>
        <w:rPr>
          <w:rFonts w:ascii="Arial" w:hAnsi="Arial" w:cs="Arial"/>
          <w:b/>
          <w:bCs/>
          <w:sz w:val="23"/>
          <w:szCs w:val="23"/>
        </w:rPr>
      </w:pPr>
    </w:p>
    <w:p w14:paraId="53F2D088" w14:textId="77777777" w:rsidR="002A1C0A" w:rsidRDefault="002A1C0A" w:rsidP="004A5A64">
      <w:pPr>
        <w:spacing w:line="360" w:lineRule="auto"/>
        <w:rPr>
          <w:rFonts w:ascii="Arial" w:hAnsi="Arial" w:cs="Arial"/>
          <w:b/>
          <w:bCs/>
          <w:sz w:val="23"/>
          <w:szCs w:val="23"/>
        </w:rPr>
      </w:pPr>
    </w:p>
    <w:p w14:paraId="44256A48" w14:textId="77777777" w:rsidR="002A1C0A" w:rsidRDefault="002A1C0A" w:rsidP="004A5A64">
      <w:pPr>
        <w:spacing w:line="360" w:lineRule="auto"/>
        <w:rPr>
          <w:rFonts w:ascii="Arial" w:hAnsi="Arial" w:cs="Arial"/>
          <w:b/>
          <w:bCs/>
          <w:sz w:val="23"/>
          <w:szCs w:val="23"/>
        </w:rPr>
      </w:pPr>
    </w:p>
    <w:p w14:paraId="299DD055" w14:textId="77777777" w:rsidR="002A1C0A" w:rsidRDefault="002A1C0A" w:rsidP="004A5A64">
      <w:pPr>
        <w:spacing w:line="360" w:lineRule="auto"/>
        <w:rPr>
          <w:rFonts w:ascii="Arial" w:hAnsi="Arial" w:cs="Arial"/>
          <w:b/>
          <w:bCs/>
          <w:sz w:val="23"/>
          <w:szCs w:val="23"/>
        </w:rPr>
      </w:pPr>
    </w:p>
    <w:p w14:paraId="1A116D7E" w14:textId="409872A3" w:rsidR="002A1C0A" w:rsidRDefault="002A1C0A" w:rsidP="004A5A64">
      <w:pPr>
        <w:spacing w:line="360" w:lineRule="auto"/>
        <w:rPr>
          <w:rFonts w:ascii="Arial" w:hAnsi="Arial" w:cs="Arial"/>
          <w:b/>
          <w:bCs/>
          <w:sz w:val="23"/>
          <w:szCs w:val="23"/>
        </w:rPr>
      </w:pPr>
    </w:p>
    <w:p w14:paraId="4DACE0BB" w14:textId="77777777" w:rsidR="002A1C0A" w:rsidRPr="004B2EB9" w:rsidRDefault="002A1C0A" w:rsidP="004A5A64">
      <w:pPr>
        <w:spacing w:line="360" w:lineRule="auto"/>
        <w:rPr>
          <w:rFonts w:ascii="Arial" w:hAnsi="Arial" w:cs="Arial"/>
          <w:b/>
          <w:bCs/>
          <w:sz w:val="22"/>
        </w:rPr>
      </w:pPr>
    </w:p>
    <w:p w14:paraId="5F44B964" w14:textId="71800F14" w:rsidR="00317E3D" w:rsidRPr="004B2EB9" w:rsidRDefault="002A1C0A" w:rsidP="004A5A64">
      <w:pPr>
        <w:spacing w:line="360" w:lineRule="auto"/>
        <w:rPr>
          <w:rFonts w:ascii="Arial" w:hAnsi="Arial" w:cs="Arial"/>
          <w:b/>
          <w:bCs/>
          <w:sz w:val="22"/>
        </w:rPr>
      </w:pPr>
      <w:r w:rsidRPr="004B2EB9">
        <w:rPr>
          <w:rFonts w:ascii="Arial" w:hAnsi="Arial" w:cs="Arial"/>
          <w:b/>
          <w:bCs/>
          <w:sz w:val="22"/>
        </w:rPr>
        <w:t>Introduction</w:t>
      </w:r>
    </w:p>
    <w:p w14:paraId="03959BFB" w14:textId="54DD9CE6" w:rsidR="002A1C0A" w:rsidRPr="004B2EB9" w:rsidRDefault="002A1C0A" w:rsidP="002A1C0A">
      <w:pPr>
        <w:pStyle w:val="p1"/>
        <w:rPr>
          <w:rFonts w:ascii="Arial" w:hAnsi="Arial" w:cs="Arial"/>
          <w:sz w:val="22"/>
          <w:szCs w:val="22"/>
        </w:rPr>
      </w:pPr>
      <w:r w:rsidRPr="004B2EB9">
        <w:rPr>
          <w:rFonts w:ascii="Arial" w:hAnsi="Arial" w:cs="Arial"/>
          <w:sz w:val="22"/>
          <w:szCs w:val="22"/>
        </w:rPr>
        <w:t>Person-centred care is a fundamental concept in modern health and social care that places individuals at the centre of decisions about their own care and support. Rather than focusing solely on illness or disability, this approach recognises each person as a unique individual with their own values, preferences, experiences and goals. It aims to promote dignity, respect, independence and wellbeing by ensuring that care is tailored to the needs of the individual while encouraging active participation in decision-</w:t>
      </w:r>
      <w:proofErr w:type="gramStart"/>
      <w:r w:rsidRPr="004B2EB9">
        <w:rPr>
          <w:rFonts w:ascii="Arial" w:hAnsi="Arial" w:cs="Arial"/>
          <w:sz w:val="22"/>
          <w:szCs w:val="22"/>
        </w:rPr>
        <w:t>making ,McCormack</w:t>
      </w:r>
      <w:proofErr w:type="gramEnd"/>
      <w:r w:rsidRPr="004B2EB9">
        <w:rPr>
          <w:rFonts w:ascii="Arial" w:hAnsi="Arial" w:cs="Arial"/>
          <w:sz w:val="22"/>
          <w:szCs w:val="22"/>
        </w:rPr>
        <w:t xml:space="preserve"> and McCance, (2021). Person-centred care has become increasingly important within the United Kingdom as healthcare services respond to an ageing population, the growing prevalence of long-term conditions and the need to improve the quality and safety of care. It is embedded within key legislation and policy, including the Care Act 2014, the Health and Care Act 2022 and the NHS Long Term Plan, all of which emphasise collaboration, partnership working and personalised care.</w:t>
      </w:r>
    </w:p>
    <w:p w14:paraId="1D8D9386" w14:textId="77777777" w:rsidR="002A1C0A" w:rsidRPr="004B2EB9" w:rsidRDefault="002A1C0A" w:rsidP="002A1C0A">
      <w:pPr>
        <w:pStyle w:val="p2"/>
        <w:rPr>
          <w:rFonts w:ascii="Arial" w:hAnsi="Arial" w:cs="Arial"/>
          <w:sz w:val="22"/>
          <w:szCs w:val="22"/>
        </w:rPr>
      </w:pPr>
      <w:r w:rsidRPr="004B2EB9">
        <w:rPr>
          <w:rFonts w:ascii="Arial" w:hAnsi="Arial" w:cs="Arial"/>
          <w:sz w:val="22"/>
          <w:szCs w:val="22"/>
        </w:rPr>
        <w:t>This essay critically examines the development of person-centred care, including its theoretical foundations and the criticisms associated with its implementation. It also evaluates how the concept has been applied within health and social care policy and practice in the UK, considers the challenges that continue to affect its delivery, and provides evidence-based recommendations to strengthen person-centred approaches and improve outcomes for individuals using health and social care services.</w:t>
      </w:r>
    </w:p>
    <w:p w14:paraId="054DC1B5" w14:textId="77777777" w:rsidR="002A1C0A" w:rsidRPr="004B2EB9" w:rsidRDefault="002A1C0A" w:rsidP="004A5A64">
      <w:pPr>
        <w:spacing w:line="360" w:lineRule="auto"/>
        <w:rPr>
          <w:rFonts w:ascii="Arial" w:hAnsi="Arial" w:cs="Arial"/>
          <w:b/>
          <w:bCs/>
          <w:sz w:val="22"/>
        </w:rPr>
      </w:pPr>
    </w:p>
    <w:p w14:paraId="355CC21D" w14:textId="6C2441DE" w:rsidR="00A14675" w:rsidRPr="004B2EB9" w:rsidRDefault="003E4ED4" w:rsidP="002A1C0A">
      <w:pPr>
        <w:spacing w:line="360" w:lineRule="auto"/>
        <w:rPr>
          <w:rFonts w:ascii="Arial" w:hAnsi="Arial" w:cs="Arial"/>
          <w:color w:val="0070C0"/>
          <w:sz w:val="22"/>
        </w:rPr>
      </w:pPr>
      <w:bookmarkStart w:id="1" w:name="OLE_LINK1"/>
      <w:r w:rsidRPr="004B2EB9">
        <w:rPr>
          <w:rFonts w:ascii="Arial" w:hAnsi="Arial" w:cs="Arial"/>
          <w:b/>
          <w:bCs/>
          <w:sz w:val="22"/>
        </w:rPr>
        <w:t>T</w:t>
      </w:r>
      <w:r w:rsidR="006D2F2D" w:rsidRPr="004B2EB9">
        <w:rPr>
          <w:rFonts w:ascii="Arial" w:hAnsi="Arial" w:cs="Arial"/>
          <w:b/>
          <w:bCs/>
          <w:sz w:val="22"/>
        </w:rPr>
        <w:t xml:space="preserve">he </w:t>
      </w:r>
      <w:r w:rsidRPr="004B2EB9">
        <w:rPr>
          <w:rFonts w:ascii="Arial" w:hAnsi="Arial" w:cs="Arial"/>
          <w:b/>
          <w:bCs/>
          <w:sz w:val="22"/>
        </w:rPr>
        <w:t xml:space="preserve">development of the </w:t>
      </w:r>
      <w:r w:rsidR="006D2F2D" w:rsidRPr="004B2EB9">
        <w:rPr>
          <w:rFonts w:ascii="Arial" w:hAnsi="Arial" w:cs="Arial"/>
          <w:b/>
          <w:bCs/>
          <w:sz w:val="22"/>
        </w:rPr>
        <w:t xml:space="preserve">chosen </w:t>
      </w:r>
      <w:r w:rsidR="00A14675" w:rsidRPr="004B2EB9">
        <w:rPr>
          <w:rFonts w:ascii="Arial" w:hAnsi="Arial" w:cs="Arial"/>
          <w:b/>
          <w:bCs/>
          <w:sz w:val="22"/>
        </w:rPr>
        <w:t>concept</w:t>
      </w:r>
      <w:bookmarkEnd w:id="1"/>
    </w:p>
    <w:p w14:paraId="3973CAE6" w14:textId="77777777" w:rsidR="00E24C77" w:rsidRPr="004B2EB9" w:rsidRDefault="00E24C77" w:rsidP="00E24C77">
      <w:pPr>
        <w:pStyle w:val="p1"/>
        <w:rPr>
          <w:rStyle w:val="s1"/>
          <w:rFonts w:ascii="Arial" w:hAnsi="Arial" w:cs="Arial"/>
          <w:sz w:val="22"/>
          <w:szCs w:val="22"/>
        </w:rPr>
      </w:pPr>
      <w:r w:rsidRPr="004B2EB9">
        <w:rPr>
          <w:rFonts w:ascii="Arial" w:hAnsi="Arial" w:cs="Arial"/>
          <w:sz w:val="22"/>
          <w:szCs w:val="22"/>
        </w:rPr>
        <w:t xml:space="preserve">Person-centred care emerged from a growing recognition that health and social care should focus not only on treating illness but also on understanding the </w:t>
      </w:r>
      <w:proofErr w:type="gramStart"/>
      <w:r w:rsidRPr="004B2EB9">
        <w:rPr>
          <w:rFonts w:ascii="Arial" w:hAnsi="Arial" w:cs="Arial"/>
          <w:sz w:val="22"/>
          <w:szCs w:val="22"/>
        </w:rPr>
        <w:t>individual as a whole</w:t>
      </w:r>
      <w:proofErr w:type="gramEnd"/>
      <w:r w:rsidRPr="004B2EB9">
        <w:rPr>
          <w:rFonts w:ascii="Arial" w:hAnsi="Arial" w:cs="Arial"/>
          <w:sz w:val="22"/>
          <w:szCs w:val="22"/>
        </w:rPr>
        <w:t xml:space="preserve">. Its origins can be traced to the work of psychologist </w:t>
      </w:r>
      <w:r w:rsidRPr="004B2EB9">
        <w:rPr>
          <w:rStyle w:val="s2"/>
          <w:rFonts w:ascii="Arial" w:hAnsi="Arial" w:cs="Arial"/>
          <w:b/>
          <w:bCs/>
          <w:sz w:val="22"/>
          <w:szCs w:val="22"/>
        </w:rPr>
        <w:t>Carl Rogers</w:t>
      </w:r>
      <w:r w:rsidRPr="004B2EB9">
        <w:rPr>
          <w:rStyle w:val="s1"/>
          <w:rFonts w:ascii="Arial" w:hAnsi="Arial" w:cs="Arial"/>
          <w:sz w:val="22"/>
          <w:szCs w:val="22"/>
        </w:rPr>
        <w:t xml:space="preserve"> (1951; 1961), whose person-centred theory emphasised empathy, respect, genuineness and unconditional positive regard within therapeutic relationships. Rogers argued that individuals should be actively involved in decisions affecting their lives rather than being passive recipients of professional expertise. Although initially developed in psychology, these principles were gradually adopted within health and social care as professionals recognised the importance of respecting people’s preferences, values and experiences.</w:t>
      </w:r>
    </w:p>
    <w:p w14:paraId="2A3BAFA6" w14:textId="77777777" w:rsidR="00E24C77" w:rsidRPr="004B2EB9" w:rsidRDefault="00E24C77" w:rsidP="00E24C77">
      <w:pPr>
        <w:pStyle w:val="p1"/>
        <w:rPr>
          <w:rStyle w:val="s1"/>
          <w:rFonts w:ascii="Arial" w:hAnsi="Arial" w:cs="Arial"/>
          <w:sz w:val="22"/>
          <w:szCs w:val="22"/>
        </w:rPr>
      </w:pPr>
      <w:r w:rsidRPr="004B2EB9">
        <w:rPr>
          <w:rFonts w:ascii="Arial" w:hAnsi="Arial" w:cs="Arial"/>
          <w:sz w:val="22"/>
          <w:szCs w:val="22"/>
        </w:rPr>
        <w:t xml:space="preserve">Historically, health care was dominated by the </w:t>
      </w:r>
      <w:r w:rsidRPr="004B2EB9">
        <w:rPr>
          <w:rStyle w:val="s2"/>
          <w:rFonts w:ascii="Arial" w:hAnsi="Arial" w:cs="Arial"/>
          <w:b/>
          <w:bCs/>
          <w:sz w:val="22"/>
          <w:szCs w:val="22"/>
        </w:rPr>
        <w:t>medical model</w:t>
      </w:r>
      <w:r w:rsidRPr="004B2EB9">
        <w:rPr>
          <w:rStyle w:val="s1"/>
          <w:rFonts w:ascii="Arial" w:hAnsi="Arial" w:cs="Arial"/>
          <w:sz w:val="22"/>
          <w:szCs w:val="22"/>
        </w:rPr>
        <w:t>, in which professionals made most decisions and patients had limited involvement in planning their own care. While this approach contributed to advances in diagnosis and treatment, it was criticised for overlooking the emotional, social and psychological needs of individuals. In response, person-centred care developed as a more holistic approach that acknowledges people as partners in their own care rather than simply focusing on disease or disability (McCormack and McCance, 2021).</w:t>
      </w:r>
    </w:p>
    <w:p w14:paraId="4ECE41D4" w14:textId="77777777" w:rsidR="00E24C77" w:rsidRPr="004B2EB9" w:rsidRDefault="00E24C77" w:rsidP="00E24C77">
      <w:pPr>
        <w:pStyle w:val="p1"/>
        <w:rPr>
          <w:rStyle w:val="s1"/>
          <w:rFonts w:ascii="Arial" w:hAnsi="Arial" w:cs="Arial"/>
          <w:sz w:val="22"/>
          <w:szCs w:val="22"/>
        </w:rPr>
      </w:pPr>
      <w:r w:rsidRPr="004B2EB9">
        <w:rPr>
          <w:rFonts w:ascii="Arial" w:hAnsi="Arial" w:cs="Arial"/>
          <w:sz w:val="22"/>
          <w:szCs w:val="22"/>
        </w:rPr>
        <w:t xml:space="preserve">Over time, person-centred care became increasingly embedded within health and social care policy in the United Kingdom. Key legislation, including the </w:t>
      </w:r>
      <w:r w:rsidRPr="004B2EB9">
        <w:rPr>
          <w:rStyle w:val="s2"/>
          <w:rFonts w:ascii="Arial" w:hAnsi="Arial" w:cs="Arial"/>
          <w:b/>
          <w:bCs/>
          <w:sz w:val="22"/>
          <w:szCs w:val="22"/>
        </w:rPr>
        <w:t>Care Act 2014</w:t>
      </w:r>
      <w:r w:rsidRPr="004B2EB9">
        <w:rPr>
          <w:rStyle w:val="s1"/>
          <w:rFonts w:ascii="Arial" w:hAnsi="Arial" w:cs="Arial"/>
          <w:sz w:val="22"/>
          <w:szCs w:val="22"/>
        </w:rPr>
        <w:t xml:space="preserve">, strengthened the principle that individuals should be involved in decisions about their care and support while promoting wellbeing, independence and choice. Similarly, the </w:t>
      </w:r>
      <w:r w:rsidRPr="004B2EB9">
        <w:rPr>
          <w:rStyle w:val="s2"/>
          <w:rFonts w:ascii="Arial" w:hAnsi="Arial" w:cs="Arial"/>
          <w:b/>
          <w:bCs/>
          <w:sz w:val="22"/>
          <w:szCs w:val="22"/>
        </w:rPr>
        <w:t>Health and Care Act 2022</w:t>
      </w:r>
      <w:r w:rsidRPr="004B2EB9">
        <w:rPr>
          <w:rStyle w:val="s1"/>
          <w:rFonts w:ascii="Arial" w:hAnsi="Arial" w:cs="Arial"/>
          <w:sz w:val="22"/>
          <w:szCs w:val="22"/>
        </w:rPr>
        <w:t xml:space="preserve"> and the </w:t>
      </w:r>
      <w:r w:rsidRPr="004B2EB9">
        <w:rPr>
          <w:rStyle w:val="s2"/>
          <w:rFonts w:ascii="Arial" w:hAnsi="Arial" w:cs="Arial"/>
          <w:b/>
          <w:bCs/>
          <w:sz w:val="22"/>
          <w:szCs w:val="22"/>
        </w:rPr>
        <w:t>NHS Long Term Plan</w:t>
      </w:r>
      <w:r w:rsidRPr="004B2EB9">
        <w:rPr>
          <w:rStyle w:val="s1"/>
          <w:rFonts w:ascii="Arial" w:hAnsi="Arial" w:cs="Arial"/>
          <w:sz w:val="22"/>
          <w:szCs w:val="22"/>
        </w:rPr>
        <w:t xml:space="preserve"> emphasise personalised care, integrated services and collaboration between professionals, service users and carers. These </w:t>
      </w:r>
      <w:r w:rsidRPr="004B2EB9">
        <w:rPr>
          <w:rStyle w:val="s1"/>
          <w:rFonts w:ascii="Arial" w:hAnsi="Arial" w:cs="Arial"/>
          <w:sz w:val="22"/>
          <w:szCs w:val="22"/>
        </w:rPr>
        <w:lastRenderedPageBreak/>
        <w:t>developments reflect a broader shift towards recognising the rights of individuals to participate actively in decisions affecting their health and wellbeing.</w:t>
      </w:r>
    </w:p>
    <w:p w14:paraId="59C049A4" w14:textId="77777777" w:rsidR="00E24C77" w:rsidRPr="004B2EB9" w:rsidRDefault="00E24C77" w:rsidP="00E24C77">
      <w:pPr>
        <w:pStyle w:val="p1"/>
        <w:rPr>
          <w:rFonts w:ascii="Arial" w:hAnsi="Arial" w:cs="Arial"/>
          <w:sz w:val="22"/>
          <w:szCs w:val="22"/>
        </w:rPr>
      </w:pPr>
      <w:r w:rsidRPr="004B2EB9">
        <w:rPr>
          <w:rFonts w:ascii="Arial" w:hAnsi="Arial" w:cs="Arial"/>
          <w:sz w:val="22"/>
          <w:szCs w:val="22"/>
        </w:rPr>
        <w:t>Despite its widespread acceptance, person-centred care has been subject to several criticisms. One of the main challenges is the gap between policy and practice. Although organisations promote person-centred care as a core principle, professionals often face heavy workloads, staffing shortages and limited resources, making it difficult to provide truly individualised care. Time pressures may reduce opportunities for meaningful communication, shared decision-making and relationship building. Furthermore, differences in culture, language and health literacy can create additional barriers to implementing person-centred approaches effectively.</w:t>
      </w:r>
    </w:p>
    <w:p w14:paraId="40D5FA6F" w14:textId="77777777" w:rsidR="00E24C77" w:rsidRPr="004B2EB9" w:rsidRDefault="00E24C77" w:rsidP="00E24C77">
      <w:pPr>
        <w:pStyle w:val="p2"/>
        <w:rPr>
          <w:rFonts w:ascii="Arial" w:hAnsi="Arial" w:cs="Arial"/>
          <w:sz w:val="22"/>
          <w:szCs w:val="22"/>
        </w:rPr>
      </w:pPr>
      <w:r w:rsidRPr="004B2EB9">
        <w:rPr>
          <w:rFonts w:ascii="Arial" w:hAnsi="Arial" w:cs="Arial"/>
          <w:sz w:val="22"/>
          <w:szCs w:val="22"/>
        </w:rPr>
        <w:t>Supporters of person-centred care argue that these challenges reflect problems within healthcare systems rather than weaknesses in the concept itself. They suggest that improved workforce planning, ongoing professional education, stronger leadership and better multidisciplinary collaboration can help overcome implementation barriers. Advances in digital health records and integrated care systems may also improve communication and continuity of care, enabling professionals to better understand and respond to individuals’ needs. Consequently, although implementation remains challenging, person-centred care continues to evolve as a central principle of high-quality health and social care, supported by research, legislation and policy aimed at improving outcomes for service users.</w:t>
      </w:r>
    </w:p>
    <w:p w14:paraId="5143F998" w14:textId="77777777" w:rsidR="002A1C0A" w:rsidRPr="004B2EB9" w:rsidRDefault="002A1C0A" w:rsidP="002A1C0A">
      <w:pPr>
        <w:spacing w:line="360" w:lineRule="auto"/>
        <w:rPr>
          <w:rFonts w:ascii="Arial" w:hAnsi="Arial" w:cs="Arial"/>
          <w:color w:val="FF0000"/>
          <w:sz w:val="22"/>
        </w:rPr>
      </w:pPr>
    </w:p>
    <w:p w14:paraId="6D46818E" w14:textId="3B0CDC22" w:rsidR="006D2F2D" w:rsidRPr="004B2EB9" w:rsidRDefault="006D2F2D" w:rsidP="004A5A64">
      <w:pPr>
        <w:spacing w:line="360" w:lineRule="auto"/>
        <w:rPr>
          <w:rFonts w:ascii="Arial" w:hAnsi="Arial" w:cs="Arial"/>
          <w:b/>
          <w:bCs/>
          <w:sz w:val="22"/>
        </w:rPr>
      </w:pPr>
      <w:bookmarkStart w:id="2" w:name="OLE_LINK2"/>
      <w:r w:rsidRPr="004B2EB9">
        <w:rPr>
          <w:rFonts w:ascii="Arial" w:hAnsi="Arial" w:cs="Arial"/>
          <w:b/>
          <w:bCs/>
          <w:sz w:val="22"/>
        </w:rPr>
        <w:t xml:space="preserve">Application of the </w:t>
      </w:r>
      <w:r w:rsidR="00A14675" w:rsidRPr="004B2EB9">
        <w:rPr>
          <w:rFonts w:ascii="Arial" w:hAnsi="Arial" w:cs="Arial"/>
          <w:b/>
          <w:bCs/>
          <w:sz w:val="22"/>
        </w:rPr>
        <w:t>concept</w:t>
      </w:r>
      <w:r w:rsidRPr="004B2EB9">
        <w:rPr>
          <w:rFonts w:ascii="Arial" w:hAnsi="Arial" w:cs="Arial"/>
          <w:b/>
          <w:bCs/>
          <w:sz w:val="22"/>
        </w:rPr>
        <w:t xml:space="preserve"> in practice</w:t>
      </w:r>
    </w:p>
    <w:bookmarkEnd w:id="2"/>
    <w:p w14:paraId="68AC243E"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Person-centred care is a core principle of health and social care practice in the United Kingdom and is embedded in legislation, national policy and professional standards. It aims to ensure that individuals are actively involved in decisions about their care while recognising their unique needs, preferences and values. Rather than adopting a one-size-fits-all approach, person-centred care encourages professionals to work collaboratively with service users, their families and multidisciplinary teams to deliver personalised and holistic care (McCormack and McCance, 2021).</w:t>
      </w:r>
    </w:p>
    <w:p w14:paraId="2EF75F07" w14:textId="77777777" w:rsidR="00E24C77" w:rsidRPr="004B2EB9" w:rsidRDefault="00E24C77" w:rsidP="00E24C77">
      <w:pPr>
        <w:spacing w:line="360" w:lineRule="auto"/>
        <w:rPr>
          <w:rFonts w:ascii="Arial" w:hAnsi="Arial" w:cs="Arial"/>
          <w:color w:val="000000" w:themeColor="text1"/>
          <w:sz w:val="22"/>
        </w:rPr>
      </w:pPr>
    </w:p>
    <w:p w14:paraId="630556B9"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The Care Act 2014 places person-centred care at the heart of adult social care by requiring local authorities to promote individual wellbeing, independence and choice. The Act emphasises that people should be involved in assessing their needs, planning their care and making decisions about the support they receive (HM Government, 2014). This legal framework recognises that individuals are experts in their own lives and that care should reflect their personal goals rather than focusing solely on their medical condition.</w:t>
      </w:r>
    </w:p>
    <w:p w14:paraId="5EDCE679" w14:textId="77777777" w:rsidR="00E24C77" w:rsidRPr="004B2EB9" w:rsidRDefault="00E24C77" w:rsidP="00E24C77">
      <w:pPr>
        <w:spacing w:line="360" w:lineRule="auto"/>
        <w:rPr>
          <w:rFonts w:ascii="Arial" w:hAnsi="Arial" w:cs="Arial"/>
          <w:color w:val="000000" w:themeColor="text1"/>
          <w:sz w:val="22"/>
        </w:rPr>
      </w:pPr>
    </w:p>
    <w:p w14:paraId="5B82A60B"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 xml:space="preserve">Similarly, the NHS Long Term Plan identifies personalised care as a key priority for improving healthcare quality and patient outcomes. It promotes shared decision-making, </w:t>
      </w:r>
      <w:r w:rsidRPr="004B2EB9">
        <w:rPr>
          <w:rFonts w:ascii="Arial" w:hAnsi="Arial" w:cs="Arial"/>
          <w:color w:val="000000" w:themeColor="text1"/>
          <w:sz w:val="22"/>
        </w:rPr>
        <w:lastRenderedPageBreak/>
        <w:t>personalised care planning and greater coordination between health and social care services (NHS England, 2019). In practice, this means that patients are encouraged to discuss treatment options with healthcare professionals, enabling decisions to be made collaboratively rather than being determined solely by clinicians. Research suggests that involving patients in decisions can improve treatment adherence, increase satisfaction and enhance overall health outcomes (Coulter et al., 2015).</w:t>
      </w:r>
    </w:p>
    <w:p w14:paraId="3E28D807" w14:textId="77777777" w:rsidR="00E24C77" w:rsidRPr="004B2EB9" w:rsidRDefault="00E24C77" w:rsidP="00E24C77">
      <w:pPr>
        <w:spacing w:line="360" w:lineRule="auto"/>
        <w:rPr>
          <w:rFonts w:ascii="Arial" w:hAnsi="Arial" w:cs="Arial"/>
          <w:color w:val="000000" w:themeColor="text1"/>
          <w:sz w:val="22"/>
        </w:rPr>
      </w:pPr>
    </w:p>
    <w:p w14:paraId="3FF44AD3"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Person-centred care is also reflected in the Health and Care Act 2022, which encourages integrated care systems to improve collaboration between NHS organisations, local authorities and voluntary services. Effective partnership working enables professionals from different disciplines, including doctors, nurses, social workers, occupational therapists and mental health practitioners, to coordinate services more effectively and provide holistic care that addresses physical, psychological and social needs (HM Government, 2022).</w:t>
      </w:r>
    </w:p>
    <w:p w14:paraId="19E76908" w14:textId="77777777" w:rsidR="00E24C77" w:rsidRPr="004B2EB9" w:rsidRDefault="00E24C77" w:rsidP="00E24C77">
      <w:pPr>
        <w:spacing w:line="360" w:lineRule="auto"/>
        <w:rPr>
          <w:rFonts w:ascii="Arial" w:hAnsi="Arial" w:cs="Arial"/>
          <w:color w:val="000000" w:themeColor="text1"/>
          <w:sz w:val="22"/>
        </w:rPr>
      </w:pPr>
    </w:p>
    <w:p w14:paraId="5DB50C5B"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Within social care, person-centred approaches are evident through personalised care plans, personal budgets and direct payments, allowing individuals greater control over the support they receive. These approaches promote independence and empower people to make informed choices about their care. In mental health services, recovery-oriented practice similarly reflects person-centred principles by focusing on individuals’ strengths, aspirations and personal recovery goals rather than concentrating solely on diagnosis or symptoms (NICE, 2022).</w:t>
      </w:r>
    </w:p>
    <w:p w14:paraId="05A7DE99" w14:textId="77777777" w:rsidR="00E24C77" w:rsidRPr="004B2EB9" w:rsidRDefault="00E24C77" w:rsidP="00E24C77">
      <w:pPr>
        <w:spacing w:line="360" w:lineRule="auto"/>
        <w:rPr>
          <w:rFonts w:ascii="Arial" w:hAnsi="Arial" w:cs="Arial"/>
          <w:color w:val="000000" w:themeColor="text1"/>
          <w:sz w:val="22"/>
        </w:rPr>
      </w:pPr>
    </w:p>
    <w:p w14:paraId="14133767"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Despite these developments, implementing person-centred care consistently remains challenging. One significant barrier is workforce pressure. Staff shortages, increasing demand for services and limited financial resources often reduce the time available for professionals to build meaningful relationships with service users and involve them fully in decision-making (The King’s Fund, 2023). As a result, care may become task-focused rather than genuinely person-centred, reducing opportunities to understand individual preferences and experiences.</w:t>
      </w:r>
    </w:p>
    <w:p w14:paraId="40411727" w14:textId="77777777" w:rsidR="00E24C77" w:rsidRPr="004B2EB9" w:rsidRDefault="00E24C77" w:rsidP="00E24C77">
      <w:pPr>
        <w:spacing w:line="360" w:lineRule="auto"/>
        <w:rPr>
          <w:rFonts w:ascii="Arial" w:hAnsi="Arial" w:cs="Arial"/>
          <w:color w:val="000000" w:themeColor="text1"/>
          <w:sz w:val="22"/>
        </w:rPr>
      </w:pPr>
    </w:p>
    <w:p w14:paraId="1C21F781"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 xml:space="preserve">Communication barriers may also affect implementation. Differences in language, culture, health literacy or cognitive ability can make it difficult for some individuals to participate fully in decisions regarding their care. Although interpreters, advocates and accessible </w:t>
      </w:r>
      <w:r w:rsidRPr="004B2EB9">
        <w:rPr>
          <w:rFonts w:ascii="Arial" w:hAnsi="Arial" w:cs="Arial"/>
          <w:color w:val="000000" w:themeColor="text1"/>
          <w:sz w:val="22"/>
        </w:rPr>
        <w:lastRenderedPageBreak/>
        <w:t>communication methods can help overcome these barriers, access to such resources is not always consistent across health and social care settings (NICE, 2021).</w:t>
      </w:r>
    </w:p>
    <w:p w14:paraId="5E20DC83" w14:textId="77777777" w:rsidR="00E24C77" w:rsidRPr="004B2EB9" w:rsidRDefault="00E24C77" w:rsidP="00E24C77">
      <w:pPr>
        <w:spacing w:line="360" w:lineRule="auto"/>
        <w:rPr>
          <w:rFonts w:ascii="Arial" w:hAnsi="Arial" w:cs="Arial"/>
          <w:color w:val="000000" w:themeColor="text1"/>
          <w:sz w:val="22"/>
        </w:rPr>
      </w:pPr>
    </w:p>
    <w:p w14:paraId="2DB886D3"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 xml:space="preserve">Furthermore, balancing individual choice with professional responsibilities can create ethical challenges. Healthcare professionals have a duty to respect autonomy while also ensuring patient safety and complying with legal and professional standards. Situations involving mental capacity, safeguarding concerns or significant risks may require professionals to make decisions that limit individual choice </w:t>
      </w:r>
      <w:proofErr w:type="gramStart"/>
      <w:r w:rsidRPr="004B2EB9">
        <w:rPr>
          <w:rFonts w:ascii="Arial" w:hAnsi="Arial" w:cs="Arial"/>
          <w:color w:val="000000" w:themeColor="text1"/>
          <w:sz w:val="22"/>
        </w:rPr>
        <w:t>in order to</w:t>
      </w:r>
      <w:proofErr w:type="gramEnd"/>
      <w:r w:rsidRPr="004B2EB9">
        <w:rPr>
          <w:rFonts w:ascii="Arial" w:hAnsi="Arial" w:cs="Arial"/>
          <w:color w:val="000000" w:themeColor="text1"/>
          <w:sz w:val="22"/>
        </w:rPr>
        <w:t xml:space="preserve"> protect the person or others. Consequently, delivering person-centred care often requires careful professional judgement and effective multidisciplinary collaboration.</w:t>
      </w:r>
    </w:p>
    <w:p w14:paraId="1B192273" w14:textId="77777777" w:rsidR="00E24C77" w:rsidRPr="004B2EB9" w:rsidRDefault="00E24C77" w:rsidP="00E24C77">
      <w:pPr>
        <w:spacing w:line="360" w:lineRule="auto"/>
        <w:rPr>
          <w:rFonts w:ascii="Arial" w:hAnsi="Arial" w:cs="Arial"/>
          <w:color w:val="000000" w:themeColor="text1"/>
          <w:sz w:val="22"/>
        </w:rPr>
      </w:pPr>
    </w:p>
    <w:p w14:paraId="7A81E1FB" w14:textId="2E4B486E" w:rsidR="006D2F2D"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Overall, person-centred care has transformed health and social care practice by promoting dignity, respect, partnership working and shared decision-making. However, achieving these principles consistently requires adequate staffing, effective leadership, sufficient resources and continued professional development. Although implementation remains variable, person-centred care continues to provide an essential framework for improving the quality, safety and effectiveness of health and social care services.</w:t>
      </w:r>
    </w:p>
    <w:p w14:paraId="60B04C4D" w14:textId="77777777" w:rsidR="00205874" w:rsidRPr="004B2EB9" w:rsidRDefault="00205874" w:rsidP="00E24C77">
      <w:pPr>
        <w:spacing w:line="360" w:lineRule="auto"/>
        <w:rPr>
          <w:rFonts w:ascii="Arial" w:hAnsi="Arial" w:cs="Arial"/>
          <w:color w:val="000000" w:themeColor="text1"/>
          <w:sz w:val="22"/>
        </w:rPr>
      </w:pPr>
    </w:p>
    <w:p w14:paraId="6A0B6C4E" w14:textId="77777777" w:rsidR="00E24C77" w:rsidRPr="004B2EB9" w:rsidRDefault="006D2F2D" w:rsidP="00E24C77">
      <w:pPr>
        <w:spacing w:line="360" w:lineRule="auto"/>
        <w:rPr>
          <w:rFonts w:ascii="Arial" w:hAnsi="Arial" w:cs="Arial"/>
          <w:color w:val="000000" w:themeColor="text1"/>
          <w:sz w:val="22"/>
        </w:rPr>
      </w:pPr>
      <w:bookmarkStart w:id="3" w:name="OLE_LINK3"/>
      <w:r w:rsidRPr="004B2EB9">
        <w:rPr>
          <w:rFonts w:ascii="Arial" w:hAnsi="Arial" w:cs="Arial"/>
          <w:b/>
          <w:bCs/>
          <w:sz w:val="22"/>
        </w:rPr>
        <w:t>Recommendations for</w:t>
      </w:r>
      <w:r w:rsidR="003E4ED4" w:rsidRPr="004B2EB9">
        <w:rPr>
          <w:rFonts w:ascii="Arial" w:hAnsi="Arial" w:cs="Arial"/>
          <w:b/>
          <w:bCs/>
          <w:sz w:val="22"/>
        </w:rPr>
        <w:t xml:space="preserve"> policy</w:t>
      </w:r>
      <w:r w:rsidRPr="004B2EB9">
        <w:rPr>
          <w:rFonts w:ascii="Arial" w:hAnsi="Arial" w:cs="Arial"/>
          <w:b/>
          <w:bCs/>
          <w:sz w:val="22"/>
        </w:rPr>
        <w:t xml:space="preserve"> and practice</w:t>
      </w:r>
      <w:bookmarkEnd w:id="3"/>
    </w:p>
    <w:p w14:paraId="6991F2D9" w14:textId="0DC21384" w:rsidR="00E24C77" w:rsidRPr="004B2EB9" w:rsidRDefault="00E24C77" w:rsidP="004B2EB9">
      <w:pPr>
        <w:pStyle w:val="p1"/>
        <w:rPr>
          <w:rFonts w:ascii="Arial" w:hAnsi="Arial" w:cs="Arial"/>
          <w:sz w:val="22"/>
          <w:szCs w:val="22"/>
        </w:rPr>
      </w:pPr>
      <w:r w:rsidRPr="004B2EB9">
        <w:rPr>
          <w:rFonts w:ascii="Arial" w:hAnsi="Arial" w:cs="Arial"/>
          <w:color w:val="000000" w:themeColor="text1"/>
          <w:sz w:val="22"/>
          <w:szCs w:val="22"/>
        </w:rPr>
        <w:t xml:space="preserve">Person-centred care is a core principle of health and social care practice in the United Kingdom and is embedded in legislation, national policy and professional standards. It aims to ensure that individuals are actively involved in decisions about their care while recognising their unique needs, preferences and values. Rather than adopting a one-size-fits-all approach, person-centred care encourages professionals to work collaboratively with service users, their families and multidisciplinary teams to deliver personalised and holistic care </w:t>
      </w:r>
      <w:r w:rsidR="0002406E" w:rsidRPr="004B2EB9">
        <w:rPr>
          <w:rFonts w:ascii="Arial" w:hAnsi="Arial" w:cs="Arial"/>
          <w:sz w:val="22"/>
          <w:szCs w:val="22"/>
        </w:rPr>
        <w:t>decision-</w:t>
      </w:r>
      <w:proofErr w:type="gramStart"/>
      <w:r w:rsidR="0002406E" w:rsidRPr="004B2EB9">
        <w:rPr>
          <w:rFonts w:ascii="Arial" w:hAnsi="Arial" w:cs="Arial"/>
          <w:sz w:val="22"/>
          <w:szCs w:val="22"/>
        </w:rPr>
        <w:t>making</w:t>
      </w:r>
      <w:r w:rsidRPr="004B2EB9">
        <w:rPr>
          <w:rFonts w:ascii="Arial" w:hAnsi="Arial" w:cs="Arial"/>
          <w:color w:val="000000" w:themeColor="text1"/>
          <w:sz w:val="22"/>
          <w:szCs w:val="22"/>
        </w:rPr>
        <w:t>(</w:t>
      </w:r>
      <w:proofErr w:type="gramEnd"/>
      <w:r w:rsidRPr="004B2EB9">
        <w:rPr>
          <w:rFonts w:ascii="Arial" w:hAnsi="Arial" w:cs="Arial"/>
          <w:color w:val="000000" w:themeColor="text1"/>
          <w:sz w:val="22"/>
          <w:szCs w:val="22"/>
        </w:rPr>
        <w:t>McCormack and McCance, 2021).</w:t>
      </w:r>
    </w:p>
    <w:p w14:paraId="1F1E502B" w14:textId="77777777" w:rsidR="00E24C77" w:rsidRPr="004B2EB9" w:rsidRDefault="00E24C77" w:rsidP="00E24C77">
      <w:pPr>
        <w:spacing w:line="360" w:lineRule="auto"/>
        <w:rPr>
          <w:rFonts w:ascii="Arial" w:hAnsi="Arial" w:cs="Arial"/>
          <w:color w:val="000000" w:themeColor="text1"/>
          <w:sz w:val="22"/>
        </w:rPr>
      </w:pPr>
    </w:p>
    <w:p w14:paraId="68F63339"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The Care Act 2014 places person-centred care at the heart of adult social care by requiring local authorities to promote individual wellbeing, independence and choice. The Act emphasises that people should be involved in assessing their needs, planning their care and making decisions about the support they receive (HM Government, 2014). This legal framework recognises that individuals are experts in their own lives and that care should reflect their personal goals rather than focusing solely on their medical condition.</w:t>
      </w:r>
    </w:p>
    <w:p w14:paraId="4817F4FD" w14:textId="77777777" w:rsidR="00E24C77" w:rsidRPr="004B2EB9" w:rsidRDefault="00E24C77" w:rsidP="00E24C77">
      <w:pPr>
        <w:spacing w:line="360" w:lineRule="auto"/>
        <w:rPr>
          <w:rFonts w:ascii="Arial" w:hAnsi="Arial" w:cs="Arial"/>
          <w:color w:val="000000" w:themeColor="text1"/>
          <w:sz w:val="22"/>
        </w:rPr>
      </w:pPr>
    </w:p>
    <w:p w14:paraId="5A1E5B3C"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lastRenderedPageBreak/>
        <w:t>Similarly, the NHS Long Term Plan identifies personalised care as a key priority for improving healthcare quality and patient outcomes. It promotes shared decision-making, personalised care planning and greater coordination between health and social care services (NHS England, 2019). In practice, this means that patients are encouraged to discuss treatment options with healthcare professionals, enabling decisions to be made collaboratively rather than being determined solely by clinicians. Research suggests that involving patients in decisions can improve treatment adherence, increase satisfaction and enhance overall health outcomes (Coulter et al., 2015).</w:t>
      </w:r>
    </w:p>
    <w:p w14:paraId="599EF805" w14:textId="77777777" w:rsidR="00E24C77" w:rsidRPr="004B2EB9" w:rsidRDefault="00E24C77" w:rsidP="00E24C77">
      <w:pPr>
        <w:spacing w:line="360" w:lineRule="auto"/>
        <w:rPr>
          <w:rFonts w:ascii="Arial" w:hAnsi="Arial" w:cs="Arial"/>
          <w:color w:val="000000" w:themeColor="text1"/>
          <w:sz w:val="22"/>
        </w:rPr>
      </w:pPr>
    </w:p>
    <w:p w14:paraId="429DAEE2"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Person-centred care is also reflected in the Health and Care Act 2022, which encourages integrated care systems to improve collaboration between NHS organisations, local authorities and voluntary services. Effective partnership working enables professionals from different disciplines, including doctors, nurses, social workers, occupational therapists and mental health practitioners, to coordinate services more effectively and provide holistic care that addresses physical, psychological and social needs (HM Government, 2022).</w:t>
      </w:r>
    </w:p>
    <w:p w14:paraId="364AF07D" w14:textId="77777777" w:rsidR="00E24C77" w:rsidRPr="004B2EB9" w:rsidRDefault="00E24C77" w:rsidP="00E24C77">
      <w:pPr>
        <w:spacing w:line="360" w:lineRule="auto"/>
        <w:rPr>
          <w:rFonts w:ascii="Arial" w:hAnsi="Arial" w:cs="Arial"/>
          <w:color w:val="000000" w:themeColor="text1"/>
          <w:sz w:val="22"/>
        </w:rPr>
      </w:pPr>
    </w:p>
    <w:p w14:paraId="73F8C3D3"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Within social care, person-centred approaches are evident through personalised care plans, personal budgets and direct payments, allowing individuals greater control over the support they receive. These approaches promote independence and empower people to make informed choices about their care. In mental health services, recovery-oriented practice similarly reflects person-centred principles by focusing on individuals’ strengths, aspirations and personal recovery goals rather than concentrating solely on diagnosis or symptoms (NICE, 2022).</w:t>
      </w:r>
    </w:p>
    <w:p w14:paraId="297D5C61" w14:textId="77777777" w:rsidR="00E24C77" w:rsidRPr="004B2EB9" w:rsidRDefault="00E24C77" w:rsidP="00E24C77">
      <w:pPr>
        <w:spacing w:line="360" w:lineRule="auto"/>
        <w:rPr>
          <w:rFonts w:ascii="Arial" w:hAnsi="Arial" w:cs="Arial"/>
          <w:color w:val="000000" w:themeColor="text1"/>
          <w:sz w:val="22"/>
        </w:rPr>
      </w:pPr>
    </w:p>
    <w:p w14:paraId="494DD047"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Despite these developments, implementing person-centred care consistently remains challenging. One significant barrier is workforce pressure. Staff shortages, increasing demand for services and limited financial resources often reduce the time available for professionals to build meaningful relationships with service users and involve them fully in decision-making (The King’s Fund, 2023). As a result, care may become task-focused rather than genuinely person-centred, reducing opportunities to understand individual preferences and experiences.</w:t>
      </w:r>
    </w:p>
    <w:p w14:paraId="493C01DE" w14:textId="77777777" w:rsidR="00E24C77" w:rsidRPr="004B2EB9" w:rsidRDefault="00E24C77" w:rsidP="00E24C77">
      <w:pPr>
        <w:spacing w:line="360" w:lineRule="auto"/>
        <w:rPr>
          <w:rFonts w:ascii="Arial" w:hAnsi="Arial" w:cs="Arial"/>
          <w:color w:val="000000" w:themeColor="text1"/>
          <w:sz w:val="22"/>
        </w:rPr>
      </w:pPr>
    </w:p>
    <w:p w14:paraId="1E2085D4" w14:textId="77777777"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lastRenderedPageBreak/>
        <w:t>Communication barriers may also affect implementation. Differences in language, culture, health literacy or cognitive ability can make it difficult for some individuals to participate fully in decisions regarding their care. Although interpreters, advocates and accessible communication methods can help overcome these barriers, access to such resources is not always consistent across health and social care settings (NICE, 2021).</w:t>
      </w:r>
    </w:p>
    <w:p w14:paraId="60BAEA3C" w14:textId="77777777" w:rsidR="00E24C77" w:rsidRPr="004B2EB9" w:rsidRDefault="00E24C77" w:rsidP="00E24C77">
      <w:pPr>
        <w:spacing w:line="360" w:lineRule="auto"/>
        <w:rPr>
          <w:rFonts w:ascii="Arial" w:hAnsi="Arial" w:cs="Arial"/>
          <w:color w:val="000000" w:themeColor="text1"/>
          <w:sz w:val="22"/>
        </w:rPr>
      </w:pPr>
    </w:p>
    <w:p w14:paraId="7DB8DFED" w14:textId="5457FCBA" w:rsidR="00E24C77"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 xml:space="preserve">Furthermore, balancing individual choice with professional responsibilities can create ethical challenges. Healthcare professionals have a duty to respect autonomy while also ensuring patient safety and complying with legal and professional standards. Situations involving mental capacity, safeguarding concerns or significant risks may require professionals to make decisions that limit individual choice </w:t>
      </w:r>
      <w:r w:rsidR="00C20EE6" w:rsidRPr="004B2EB9">
        <w:rPr>
          <w:rFonts w:ascii="Arial" w:hAnsi="Arial" w:cs="Arial"/>
          <w:color w:val="000000" w:themeColor="text1"/>
          <w:sz w:val="22"/>
        </w:rPr>
        <w:t>to</w:t>
      </w:r>
      <w:r w:rsidRPr="004B2EB9">
        <w:rPr>
          <w:rFonts w:ascii="Arial" w:hAnsi="Arial" w:cs="Arial"/>
          <w:color w:val="000000" w:themeColor="text1"/>
          <w:sz w:val="22"/>
        </w:rPr>
        <w:t xml:space="preserve"> protect the person or others. Consequently, delivering person-centred care often requires careful professional judgement and effective multidisciplinary collaboration.</w:t>
      </w:r>
    </w:p>
    <w:p w14:paraId="38738906" w14:textId="77777777" w:rsidR="00E24C77" w:rsidRPr="004B2EB9" w:rsidRDefault="00E24C77" w:rsidP="00E24C77">
      <w:pPr>
        <w:spacing w:line="360" w:lineRule="auto"/>
        <w:rPr>
          <w:rFonts w:ascii="Arial" w:hAnsi="Arial" w:cs="Arial"/>
          <w:color w:val="000000" w:themeColor="text1"/>
          <w:sz w:val="22"/>
        </w:rPr>
      </w:pPr>
    </w:p>
    <w:p w14:paraId="5AFE373E" w14:textId="435C83AC" w:rsidR="00A14675" w:rsidRPr="004B2EB9" w:rsidRDefault="00E24C77" w:rsidP="00E24C77">
      <w:pPr>
        <w:spacing w:line="360" w:lineRule="auto"/>
        <w:rPr>
          <w:rFonts w:ascii="Arial" w:hAnsi="Arial" w:cs="Arial"/>
          <w:color w:val="000000" w:themeColor="text1"/>
          <w:sz w:val="22"/>
        </w:rPr>
      </w:pPr>
      <w:r w:rsidRPr="004B2EB9">
        <w:rPr>
          <w:rFonts w:ascii="Arial" w:hAnsi="Arial" w:cs="Arial"/>
          <w:color w:val="000000" w:themeColor="text1"/>
          <w:sz w:val="22"/>
        </w:rPr>
        <w:t>Overall, person-centred care has transformed health and social care practice by promoting dignity, respect, partnership working and shared decision-making. However, achieving these principles consistently requires adequate staffing, effective leadership, sufficient resources and continued professional development. Although implementation remains variable, person-centred care continues to provide an essential framework for improving the quality, safety and effectiveness of health and social care services.</w:t>
      </w:r>
    </w:p>
    <w:p w14:paraId="2825CE00" w14:textId="77777777" w:rsidR="00F318BE" w:rsidRPr="004B2EB9" w:rsidRDefault="00F318BE" w:rsidP="00E24C77">
      <w:pPr>
        <w:spacing w:line="360" w:lineRule="auto"/>
        <w:rPr>
          <w:rFonts w:ascii="Arial" w:hAnsi="Arial" w:cs="Arial"/>
          <w:color w:val="000000" w:themeColor="text1"/>
          <w:sz w:val="22"/>
        </w:rPr>
      </w:pPr>
    </w:p>
    <w:p w14:paraId="5A4D465C" w14:textId="77777777" w:rsidR="006524ED" w:rsidRPr="004B2EB9" w:rsidRDefault="006D2F2D" w:rsidP="004A5A64">
      <w:pPr>
        <w:spacing w:line="360" w:lineRule="auto"/>
        <w:rPr>
          <w:rFonts w:ascii="Arial" w:hAnsi="Arial" w:cs="Arial"/>
          <w:b/>
          <w:bCs/>
          <w:sz w:val="22"/>
        </w:rPr>
      </w:pPr>
      <w:r w:rsidRPr="004B2EB9">
        <w:rPr>
          <w:rFonts w:ascii="Arial" w:hAnsi="Arial" w:cs="Arial"/>
          <w:b/>
          <w:bCs/>
          <w:sz w:val="22"/>
        </w:rPr>
        <w:t>Conclusion</w:t>
      </w:r>
    </w:p>
    <w:p w14:paraId="054030D6" w14:textId="77777777" w:rsidR="002E03D7" w:rsidRPr="004B2EB9" w:rsidRDefault="002E03D7" w:rsidP="002E03D7">
      <w:pPr>
        <w:spacing w:line="360" w:lineRule="auto"/>
        <w:rPr>
          <w:rFonts w:ascii="Arial" w:hAnsi="Arial" w:cs="Arial"/>
          <w:sz w:val="22"/>
        </w:rPr>
      </w:pPr>
      <w:r w:rsidRPr="004B2EB9">
        <w:rPr>
          <w:rFonts w:ascii="Arial" w:hAnsi="Arial" w:cs="Arial"/>
          <w:sz w:val="22"/>
        </w:rPr>
        <w:t>Person-centred care has become a fundamental principle of contemporary health and social care practice, promoting dignity, respect, autonomy and active involvement in decision-making. This essay has demonstrated that the concept has evolved from Carl Rogers’ person-centred theory into a key component of UK health and social care policy and legislation. Its principles are reflected in important frameworks, including the Care Act 2014, the Health and Care Act 2022 and the NHS Long Term Plan, all of which emphasise personalised care, partnership working and improved outcomes for individuals (HM Government, 2014; NHS England, 2019).</w:t>
      </w:r>
    </w:p>
    <w:p w14:paraId="0A9E27BC" w14:textId="77777777" w:rsidR="002E03D7" w:rsidRPr="004B2EB9" w:rsidRDefault="002E03D7" w:rsidP="002E03D7">
      <w:pPr>
        <w:pStyle w:val="ListParagraph"/>
        <w:spacing w:line="360" w:lineRule="auto"/>
        <w:rPr>
          <w:rFonts w:ascii="Arial" w:hAnsi="Arial" w:cs="Arial"/>
          <w:sz w:val="22"/>
        </w:rPr>
      </w:pPr>
    </w:p>
    <w:p w14:paraId="70670E4B" w14:textId="77777777" w:rsidR="002E03D7" w:rsidRPr="004B2EB9" w:rsidRDefault="002E03D7" w:rsidP="002E03D7">
      <w:pPr>
        <w:spacing w:line="360" w:lineRule="auto"/>
        <w:rPr>
          <w:rFonts w:ascii="Arial" w:hAnsi="Arial" w:cs="Arial"/>
          <w:sz w:val="22"/>
        </w:rPr>
      </w:pPr>
      <w:r w:rsidRPr="004B2EB9">
        <w:rPr>
          <w:rFonts w:ascii="Arial" w:hAnsi="Arial" w:cs="Arial"/>
          <w:sz w:val="22"/>
        </w:rPr>
        <w:t xml:space="preserve">The discussion has also shown that, although person-centred care offers significant benefits, including improved patient satisfaction, enhanced communication and greater </w:t>
      </w:r>
      <w:r w:rsidRPr="004B2EB9">
        <w:rPr>
          <w:rFonts w:ascii="Arial" w:hAnsi="Arial" w:cs="Arial"/>
          <w:sz w:val="22"/>
        </w:rPr>
        <w:lastRenderedPageBreak/>
        <w:t>independence, its implementation continues to face challenges. Workforce shortages, financial pressures, increasing demand for services and communication barriers can prevent professionals from consistently delivering truly personalised care. Addressing these challenges requires continued investment in the workforce, effective leadership, ongoing professional development and stronger collaboration across health and social care organisations.</w:t>
      </w:r>
    </w:p>
    <w:p w14:paraId="3C9C3986" w14:textId="77777777" w:rsidR="002E03D7" w:rsidRPr="004B2EB9" w:rsidRDefault="002E03D7" w:rsidP="002E03D7">
      <w:pPr>
        <w:pStyle w:val="ListParagraph"/>
        <w:spacing w:line="360" w:lineRule="auto"/>
        <w:rPr>
          <w:rFonts w:ascii="Arial" w:hAnsi="Arial" w:cs="Arial"/>
          <w:sz w:val="22"/>
        </w:rPr>
      </w:pPr>
    </w:p>
    <w:p w14:paraId="6191299C" w14:textId="5057A145" w:rsidR="006524ED" w:rsidRPr="004B2EB9" w:rsidRDefault="002E03D7" w:rsidP="002E03D7">
      <w:pPr>
        <w:pStyle w:val="ListParagraph"/>
        <w:spacing w:line="360" w:lineRule="auto"/>
        <w:ind w:left="0"/>
        <w:rPr>
          <w:rFonts w:ascii="Arial" w:hAnsi="Arial" w:cs="Arial"/>
          <w:sz w:val="22"/>
        </w:rPr>
      </w:pPr>
      <w:r w:rsidRPr="004B2EB9">
        <w:rPr>
          <w:rFonts w:ascii="Arial" w:hAnsi="Arial" w:cs="Arial"/>
          <w:sz w:val="22"/>
        </w:rPr>
        <w:t>Overall, person-centred care remains essential for delivering high-quality, compassionate and effective services. By continuing to strengthen policies, professional practice and partnership working, health and social care organisations can better meet the diverse needs of individuals while improving both the quality of care and long-term health outcomes.</w:t>
      </w:r>
    </w:p>
    <w:p w14:paraId="3C5AC4C5" w14:textId="77777777" w:rsidR="003E4ED4" w:rsidRPr="004B2EB9" w:rsidRDefault="003E4ED4" w:rsidP="004A5A64">
      <w:pPr>
        <w:spacing w:line="360" w:lineRule="auto"/>
        <w:rPr>
          <w:rFonts w:ascii="Arial" w:hAnsi="Arial" w:cs="Arial"/>
          <w:b/>
          <w:bCs/>
          <w:sz w:val="22"/>
        </w:rPr>
      </w:pPr>
    </w:p>
    <w:p w14:paraId="62A1B056" w14:textId="77777777" w:rsidR="003E4ED4" w:rsidRPr="004B2EB9" w:rsidRDefault="003E4ED4" w:rsidP="004A5A64">
      <w:pPr>
        <w:spacing w:line="360" w:lineRule="auto"/>
        <w:rPr>
          <w:rFonts w:ascii="Arial" w:hAnsi="Arial" w:cs="Arial"/>
          <w:b/>
          <w:bCs/>
          <w:sz w:val="22"/>
        </w:rPr>
      </w:pPr>
    </w:p>
    <w:p w14:paraId="5B855950" w14:textId="77777777" w:rsidR="003E4ED4" w:rsidRPr="004B2EB9" w:rsidRDefault="003E4ED4" w:rsidP="004A5A64">
      <w:pPr>
        <w:spacing w:line="360" w:lineRule="auto"/>
        <w:rPr>
          <w:rFonts w:ascii="Arial" w:hAnsi="Arial" w:cs="Arial"/>
          <w:b/>
          <w:bCs/>
          <w:sz w:val="22"/>
        </w:rPr>
      </w:pPr>
    </w:p>
    <w:p w14:paraId="256E1915" w14:textId="77777777" w:rsidR="00454C3C" w:rsidRPr="004B2EB9" w:rsidRDefault="00454C3C" w:rsidP="004A5A64">
      <w:pPr>
        <w:spacing w:line="360" w:lineRule="auto"/>
        <w:rPr>
          <w:rFonts w:ascii="Arial" w:hAnsi="Arial" w:cs="Arial"/>
          <w:b/>
          <w:bCs/>
          <w:sz w:val="22"/>
        </w:rPr>
      </w:pPr>
      <w:bookmarkStart w:id="4" w:name="OLE_LINK4"/>
    </w:p>
    <w:p w14:paraId="214D812D" w14:textId="77777777" w:rsidR="00454C3C" w:rsidRPr="004B2EB9" w:rsidRDefault="00454C3C" w:rsidP="004A5A64">
      <w:pPr>
        <w:spacing w:line="360" w:lineRule="auto"/>
        <w:rPr>
          <w:rFonts w:ascii="Arial" w:hAnsi="Arial" w:cs="Arial"/>
          <w:b/>
          <w:bCs/>
          <w:sz w:val="22"/>
        </w:rPr>
      </w:pPr>
    </w:p>
    <w:p w14:paraId="7241D900" w14:textId="77777777" w:rsidR="00454C3C" w:rsidRPr="004B2EB9" w:rsidRDefault="00454C3C" w:rsidP="004A5A64">
      <w:pPr>
        <w:spacing w:line="360" w:lineRule="auto"/>
        <w:rPr>
          <w:rFonts w:ascii="Arial" w:hAnsi="Arial" w:cs="Arial"/>
          <w:b/>
          <w:bCs/>
          <w:sz w:val="22"/>
        </w:rPr>
      </w:pPr>
    </w:p>
    <w:p w14:paraId="1645E29C" w14:textId="77777777" w:rsidR="00454C3C" w:rsidRPr="004B2EB9" w:rsidRDefault="00454C3C" w:rsidP="004A5A64">
      <w:pPr>
        <w:spacing w:line="360" w:lineRule="auto"/>
        <w:rPr>
          <w:rFonts w:ascii="Arial" w:hAnsi="Arial" w:cs="Arial"/>
          <w:b/>
          <w:bCs/>
          <w:sz w:val="22"/>
        </w:rPr>
      </w:pPr>
    </w:p>
    <w:p w14:paraId="05E3CDB6" w14:textId="77777777" w:rsidR="00454C3C" w:rsidRPr="004B2EB9" w:rsidRDefault="00454C3C" w:rsidP="004A5A64">
      <w:pPr>
        <w:spacing w:line="360" w:lineRule="auto"/>
        <w:rPr>
          <w:rFonts w:ascii="Arial" w:hAnsi="Arial" w:cs="Arial"/>
          <w:b/>
          <w:bCs/>
          <w:sz w:val="22"/>
        </w:rPr>
      </w:pPr>
    </w:p>
    <w:p w14:paraId="2A0D54CC" w14:textId="77777777" w:rsidR="00454C3C" w:rsidRPr="004B2EB9" w:rsidRDefault="00454C3C" w:rsidP="004A5A64">
      <w:pPr>
        <w:spacing w:line="360" w:lineRule="auto"/>
        <w:rPr>
          <w:rFonts w:ascii="Arial" w:hAnsi="Arial" w:cs="Arial"/>
          <w:b/>
          <w:bCs/>
          <w:sz w:val="22"/>
        </w:rPr>
      </w:pPr>
    </w:p>
    <w:p w14:paraId="6F2F5EAB" w14:textId="77777777" w:rsidR="00454C3C" w:rsidRPr="004B2EB9" w:rsidRDefault="00454C3C" w:rsidP="004A5A64">
      <w:pPr>
        <w:spacing w:line="360" w:lineRule="auto"/>
        <w:rPr>
          <w:rFonts w:ascii="Arial" w:hAnsi="Arial" w:cs="Arial"/>
          <w:b/>
          <w:bCs/>
          <w:sz w:val="22"/>
        </w:rPr>
      </w:pPr>
    </w:p>
    <w:p w14:paraId="18532887" w14:textId="77777777" w:rsidR="00454C3C" w:rsidRPr="004B2EB9" w:rsidRDefault="00454C3C" w:rsidP="004A5A64">
      <w:pPr>
        <w:spacing w:line="360" w:lineRule="auto"/>
        <w:rPr>
          <w:rFonts w:ascii="Arial" w:hAnsi="Arial" w:cs="Arial"/>
          <w:b/>
          <w:bCs/>
          <w:sz w:val="22"/>
        </w:rPr>
      </w:pPr>
    </w:p>
    <w:p w14:paraId="32261C7E" w14:textId="77777777" w:rsidR="00454C3C" w:rsidRPr="004B2EB9" w:rsidRDefault="00454C3C" w:rsidP="004A5A64">
      <w:pPr>
        <w:spacing w:line="360" w:lineRule="auto"/>
        <w:rPr>
          <w:rFonts w:ascii="Arial" w:hAnsi="Arial" w:cs="Arial"/>
          <w:b/>
          <w:bCs/>
          <w:sz w:val="22"/>
        </w:rPr>
      </w:pPr>
    </w:p>
    <w:p w14:paraId="12F998B8" w14:textId="77777777" w:rsidR="00454C3C" w:rsidRPr="004B2EB9" w:rsidRDefault="00454C3C" w:rsidP="004A5A64">
      <w:pPr>
        <w:spacing w:line="360" w:lineRule="auto"/>
        <w:rPr>
          <w:rFonts w:ascii="Arial" w:hAnsi="Arial" w:cs="Arial"/>
          <w:b/>
          <w:bCs/>
          <w:sz w:val="22"/>
        </w:rPr>
      </w:pPr>
    </w:p>
    <w:p w14:paraId="057FEAC7" w14:textId="77777777" w:rsidR="00454C3C" w:rsidRPr="004B2EB9" w:rsidRDefault="00454C3C" w:rsidP="004A5A64">
      <w:pPr>
        <w:spacing w:line="360" w:lineRule="auto"/>
        <w:rPr>
          <w:rFonts w:ascii="Arial" w:hAnsi="Arial" w:cs="Arial"/>
          <w:b/>
          <w:bCs/>
          <w:sz w:val="22"/>
        </w:rPr>
      </w:pPr>
    </w:p>
    <w:p w14:paraId="1EF3349B" w14:textId="77777777" w:rsidR="00454C3C" w:rsidRPr="004B2EB9" w:rsidRDefault="00454C3C" w:rsidP="004A5A64">
      <w:pPr>
        <w:spacing w:line="360" w:lineRule="auto"/>
        <w:rPr>
          <w:rFonts w:ascii="Arial" w:hAnsi="Arial" w:cs="Arial"/>
          <w:b/>
          <w:bCs/>
          <w:sz w:val="22"/>
        </w:rPr>
      </w:pPr>
    </w:p>
    <w:p w14:paraId="74224DA7" w14:textId="77777777" w:rsidR="00454C3C" w:rsidRPr="004B2EB9" w:rsidRDefault="00454C3C" w:rsidP="004A5A64">
      <w:pPr>
        <w:spacing w:line="360" w:lineRule="auto"/>
        <w:rPr>
          <w:rFonts w:ascii="Arial" w:hAnsi="Arial" w:cs="Arial"/>
          <w:b/>
          <w:bCs/>
          <w:sz w:val="22"/>
        </w:rPr>
      </w:pPr>
    </w:p>
    <w:p w14:paraId="0FC135BF" w14:textId="77777777" w:rsidR="00454C3C" w:rsidRPr="004B2EB9" w:rsidRDefault="00454C3C" w:rsidP="004A5A64">
      <w:pPr>
        <w:spacing w:line="360" w:lineRule="auto"/>
        <w:rPr>
          <w:rFonts w:ascii="Arial" w:hAnsi="Arial" w:cs="Arial"/>
          <w:b/>
          <w:bCs/>
          <w:sz w:val="22"/>
        </w:rPr>
      </w:pPr>
    </w:p>
    <w:p w14:paraId="2BAB9A61" w14:textId="77777777" w:rsidR="00454C3C" w:rsidRPr="004B2EB9" w:rsidRDefault="00454C3C" w:rsidP="004A5A64">
      <w:pPr>
        <w:spacing w:line="360" w:lineRule="auto"/>
        <w:rPr>
          <w:rFonts w:ascii="Arial" w:hAnsi="Arial" w:cs="Arial"/>
          <w:b/>
          <w:bCs/>
          <w:sz w:val="22"/>
        </w:rPr>
      </w:pPr>
    </w:p>
    <w:p w14:paraId="60D01ABB" w14:textId="77777777" w:rsidR="00454C3C" w:rsidRPr="004B2EB9" w:rsidRDefault="00454C3C" w:rsidP="004A5A64">
      <w:pPr>
        <w:spacing w:line="360" w:lineRule="auto"/>
        <w:rPr>
          <w:rFonts w:ascii="Arial" w:hAnsi="Arial" w:cs="Arial"/>
          <w:b/>
          <w:bCs/>
          <w:sz w:val="22"/>
        </w:rPr>
      </w:pPr>
    </w:p>
    <w:p w14:paraId="1754E35D" w14:textId="77777777" w:rsidR="00454C3C" w:rsidRPr="004B2EB9" w:rsidRDefault="00454C3C" w:rsidP="004A5A64">
      <w:pPr>
        <w:spacing w:line="360" w:lineRule="auto"/>
        <w:rPr>
          <w:rFonts w:ascii="Arial" w:hAnsi="Arial" w:cs="Arial"/>
          <w:b/>
          <w:bCs/>
          <w:sz w:val="22"/>
        </w:rPr>
      </w:pPr>
    </w:p>
    <w:p w14:paraId="0EE0A555" w14:textId="68BB80C3" w:rsidR="000346B4" w:rsidRPr="004B2EB9" w:rsidRDefault="006D2F2D" w:rsidP="000346B4">
      <w:pPr>
        <w:spacing w:line="360" w:lineRule="auto"/>
        <w:rPr>
          <w:rFonts w:ascii="Arial" w:hAnsi="Arial" w:cs="Arial"/>
          <w:b/>
          <w:bCs/>
          <w:sz w:val="22"/>
        </w:rPr>
      </w:pPr>
      <w:r w:rsidRPr="004B2EB9">
        <w:rPr>
          <w:rFonts w:ascii="Arial" w:hAnsi="Arial" w:cs="Arial"/>
          <w:b/>
          <w:bCs/>
          <w:sz w:val="22"/>
        </w:rPr>
        <w:t>Reference</w:t>
      </w:r>
      <w:bookmarkEnd w:id="4"/>
    </w:p>
    <w:p w14:paraId="10E4552C" w14:textId="77777777" w:rsidR="00330FE0" w:rsidRDefault="00330FE0" w:rsidP="00330FE0">
      <w:pPr>
        <w:pStyle w:val="p1"/>
        <w:rPr>
          <w:rStyle w:val="s1"/>
        </w:rPr>
      </w:pPr>
      <w:r>
        <w:t xml:space="preserve">Care Quality Commission (CQC) (2023) </w:t>
      </w:r>
      <w:r>
        <w:rPr>
          <w:rStyle w:val="s2"/>
          <w:i/>
          <w:iCs/>
        </w:rPr>
        <w:t>The State of Health Care and Adult Social Care in England 2022/23</w:t>
      </w:r>
      <w:r>
        <w:rPr>
          <w:rStyle w:val="s1"/>
        </w:rPr>
        <w:t xml:space="preserve">. Newcastle upon Tyne: Care Quality Commission. Available at: </w:t>
      </w:r>
      <w:hyperlink r:id="rId10" w:history="1">
        <w:r>
          <w:rPr>
            <w:rStyle w:val="Hyperlink"/>
          </w:rPr>
          <w:t>https://www.cqc.org.uk</w:t>
        </w:r>
      </w:hyperlink>
      <w:r>
        <w:rPr>
          <w:rStyle w:val="s1"/>
        </w:rPr>
        <w:t xml:space="preserve"> (Accessed: 21 July 2026).</w:t>
      </w:r>
    </w:p>
    <w:p w14:paraId="22A431DB" w14:textId="77777777" w:rsidR="00330FE0" w:rsidRDefault="00330FE0" w:rsidP="00330FE0">
      <w:pPr>
        <w:pStyle w:val="p1"/>
        <w:rPr>
          <w:rStyle w:val="s1"/>
        </w:rPr>
      </w:pPr>
      <w:r>
        <w:t xml:space="preserve">Coulter, A., Entwistle, V.A., Eccles, A., Ryan, S., Shepperd, S. and Perera, R. (2015) ‘Personalised care planning for adults with chronic or long-term health conditions’, </w:t>
      </w:r>
      <w:r>
        <w:rPr>
          <w:rStyle w:val="s2"/>
          <w:i/>
          <w:iCs/>
        </w:rPr>
        <w:t>Cochrane Database of Systematic Reviews</w:t>
      </w:r>
      <w:r>
        <w:rPr>
          <w:rStyle w:val="s1"/>
        </w:rPr>
        <w:t xml:space="preserve">, (3), CD010523. </w:t>
      </w:r>
      <w:hyperlink r:id="rId11" w:history="1">
        <w:r>
          <w:rPr>
            <w:rStyle w:val="Hyperlink"/>
          </w:rPr>
          <w:t>https://doi.org/10.1002/14651858.CD010523.pub2</w:t>
        </w:r>
      </w:hyperlink>
    </w:p>
    <w:p w14:paraId="1019733B" w14:textId="77777777" w:rsidR="00330FE0" w:rsidRDefault="00330FE0" w:rsidP="00330FE0">
      <w:pPr>
        <w:pStyle w:val="p1"/>
        <w:rPr>
          <w:rStyle w:val="s1"/>
        </w:rPr>
      </w:pPr>
      <w:r>
        <w:t xml:space="preserve">Department of Health and Social Care (2021) </w:t>
      </w:r>
      <w:r>
        <w:rPr>
          <w:rStyle w:val="s2"/>
          <w:i/>
          <w:iCs/>
        </w:rPr>
        <w:t>People at the Heart of Care: Adult Social Care Reform White Paper</w:t>
      </w:r>
      <w:r>
        <w:rPr>
          <w:rStyle w:val="s1"/>
        </w:rPr>
        <w:t xml:space="preserve">. London: DHSC. Available at: </w:t>
      </w:r>
      <w:hyperlink r:id="rId12" w:history="1">
        <w:r>
          <w:rPr>
            <w:rStyle w:val="Hyperlink"/>
          </w:rPr>
          <w:t>https://www.gov.uk/government/publications/people-at-the-heart-of-care-adult-social-care-reform-white-paper</w:t>
        </w:r>
      </w:hyperlink>
      <w:r>
        <w:rPr>
          <w:rStyle w:val="s1"/>
        </w:rPr>
        <w:t xml:space="preserve"> (Accessed: 21 July 2026).</w:t>
      </w:r>
    </w:p>
    <w:p w14:paraId="3B665BA7" w14:textId="77777777" w:rsidR="00330FE0" w:rsidRDefault="00330FE0" w:rsidP="00330FE0">
      <w:pPr>
        <w:pStyle w:val="p1"/>
      </w:pPr>
      <w:r>
        <w:t xml:space="preserve">Equality Act 2010. (c.15). London: The Stationery Office. Available at: </w:t>
      </w:r>
      <w:hyperlink r:id="rId13" w:history="1">
        <w:r>
          <w:rPr>
            <w:rStyle w:val="Hyperlink"/>
          </w:rPr>
          <w:t>https://www.legislation.gov.uk/ukpga/2010/15</w:t>
        </w:r>
      </w:hyperlink>
      <w:r>
        <w:t xml:space="preserve"> (Accessed: 21 July 2026).</w:t>
      </w:r>
    </w:p>
    <w:p w14:paraId="60D6D881" w14:textId="77777777" w:rsidR="00330FE0" w:rsidRDefault="00330FE0" w:rsidP="00330FE0">
      <w:pPr>
        <w:pStyle w:val="p1"/>
        <w:rPr>
          <w:rStyle w:val="s1"/>
        </w:rPr>
      </w:pPr>
      <w:r>
        <w:t xml:space="preserve">Health Foundation (2021) </w:t>
      </w:r>
      <w:r>
        <w:rPr>
          <w:rStyle w:val="s2"/>
          <w:i/>
          <w:iCs/>
        </w:rPr>
        <w:t>Person-Centred Care Made Simple</w:t>
      </w:r>
      <w:r>
        <w:rPr>
          <w:rStyle w:val="s1"/>
        </w:rPr>
        <w:t xml:space="preserve">. London: Health Foundation. Available at: </w:t>
      </w:r>
      <w:hyperlink r:id="rId14" w:history="1">
        <w:r>
          <w:rPr>
            <w:rStyle w:val="Hyperlink"/>
          </w:rPr>
          <w:t>https://www.health.org.uk</w:t>
        </w:r>
      </w:hyperlink>
      <w:r>
        <w:rPr>
          <w:rStyle w:val="s1"/>
        </w:rPr>
        <w:t xml:space="preserve"> (Accessed: 21 July 2026).</w:t>
      </w:r>
    </w:p>
    <w:p w14:paraId="2D3CA79A" w14:textId="77777777" w:rsidR="00330FE0" w:rsidRDefault="00330FE0" w:rsidP="00330FE0">
      <w:pPr>
        <w:pStyle w:val="p1"/>
        <w:rPr>
          <w:rStyle w:val="s1"/>
        </w:rPr>
      </w:pPr>
      <w:r>
        <w:t xml:space="preserve">HM Government (2014) </w:t>
      </w:r>
      <w:r>
        <w:rPr>
          <w:rStyle w:val="s2"/>
          <w:i/>
          <w:iCs/>
        </w:rPr>
        <w:t>Care Act 2014</w:t>
      </w:r>
      <w:r>
        <w:rPr>
          <w:rStyle w:val="s1"/>
        </w:rPr>
        <w:t xml:space="preserve">. London: The Stationery Office. Available at: </w:t>
      </w:r>
      <w:hyperlink r:id="rId15" w:history="1">
        <w:r>
          <w:rPr>
            <w:rStyle w:val="Hyperlink"/>
          </w:rPr>
          <w:t>https://www.legislation.gov.uk/ukpga/2014/23</w:t>
        </w:r>
      </w:hyperlink>
      <w:r>
        <w:rPr>
          <w:rStyle w:val="s1"/>
        </w:rPr>
        <w:t xml:space="preserve"> (Accessed: 21 July 2026).</w:t>
      </w:r>
    </w:p>
    <w:p w14:paraId="0AF69784" w14:textId="77777777" w:rsidR="00330FE0" w:rsidRDefault="00330FE0" w:rsidP="00330FE0">
      <w:pPr>
        <w:pStyle w:val="p1"/>
        <w:rPr>
          <w:rStyle w:val="s1"/>
        </w:rPr>
      </w:pPr>
      <w:r>
        <w:t xml:space="preserve">HM Government (2022) </w:t>
      </w:r>
      <w:r>
        <w:rPr>
          <w:rStyle w:val="s2"/>
          <w:i/>
          <w:iCs/>
        </w:rPr>
        <w:t>Health and Care Act 2022</w:t>
      </w:r>
      <w:r>
        <w:rPr>
          <w:rStyle w:val="s1"/>
        </w:rPr>
        <w:t xml:space="preserve">. London: The Stationery Office. Available at: </w:t>
      </w:r>
      <w:hyperlink r:id="rId16" w:history="1">
        <w:r>
          <w:rPr>
            <w:rStyle w:val="Hyperlink"/>
          </w:rPr>
          <w:t>https://www.legislation.gov.uk/ukpga/2022/31</w:t>
        </w:r>
      </w:hyperlink>
      <w:r>
        <w:rPr>
          <w:rStyle w:val="s1"/>
        </w:rPr>
        <w:t xml:space="preserve"> (Accessed: 21 July 2026).</w:t>
      </w:r>
    </w:p>
    <w:p w14:paraId="311F4AE4" w14:textId="77777777" w:rsidR="00330FE0" w:rsidRDefault="00330FE0" w:rsidP="00330FE0">
      <w:pPr>
        <w:pStyle w:val="p1"/>
      </w:pPr>
      <w:r>
        <w:t xml:space="preserve">Human Rights Act 1998. (c.42). London: The Stationery Office. Available at: </w:t>
      </w:r>
      <w:hyperlink r:id="rId17" w:history="1">
        <w:r>
          <w:rPr>
            <w:rStyle w:val="Hyperlink"/>
          </w:rPr>
          <w:t>https://www.legislation.gov.uk/ukpga/1998/42</w:t>
        </w:r>
      </w:hyperlink>
      <w:r>
        <w:t xml:space="preserve"> (Accessed: 21 July 2026).</w:t>
      </w:r>
    </w:p>
    <w:p w14:paraId="1888DF8D" w14:textId="77777777" w:rsidR="00330FE0" w:rsidRDefault="00330FE0" w:rsidP="00330FE0">
      <w:pPr>
        <w:pStyle w:val="p1"/>
        <w:rPr>
          <w:rStyle w:val="s1"/>
        </w:rPr>
      </w:pPr>
      <w:r>
        <w:t xml:space="preserve">McCormack, B. and McCance, T. (2021) </w:t>
      </w:r>
      <w:r>
        <w:rPr>
          <w:rStyle w:val="s2"/>
          <w:i/>
          <w:iCs/>
        </w:rPr>
        <w:t>Person-Centred Practice in Nursing and Health Care: Theory and Practice</w:t>
      </w:r>
      <w:r>
        <w:rPr>
          <w:rStyle w:val="s1"/>
        </w:rPr>
        <w:t xml:space="preserve">. 3rd </w:t>
      </w:r>
      <w:proofErr w:type="spellStart"/>
      <w:r>
        <w:rPr>
          <w:rStyle w:val="s1"/>
        </w:rPr>
        <w:t>edn</w:t>
      </w:r>
      <w:proofErr w:type="spellEnd"/>
      <w:r>
        <w:rPr>
          <w:rStyle w:val="s1"/>
        </w:rPr>
        <w:t>. Oxford: Wiley-Blackwell.</w:t>
      </w:r>
    </w:p>
    <w:p w14:paraId="55F4EC14" w14:textId="77777777" w:rsidR="00330FE0" w:rsidRDefault="00330FE0" w:rsidP="00330FE0">
      <w:pPr>
        <w:pStyle w:val="p1"/>
      </w:pPr>
      <w:r>
        <w:t xml:space="preserve">Mental Capacity Act 2005. (c.9). London: The Stationery Office. Available at: </w:t>
      </w:r>
      <w:hyperlink r:id="rId18" w:history="1">
        <w:r>
          <w:rPr>
            <w:rStyle w:val="Hyperlink"/>
          </w:rPr>
          <w:t>https://www.legislation.gov.uk/ukpga/2005/9</w:t>
        </w:r>
      </w:hyperlink>
      <w:r>
        <w:t xml:space="preserve"> (Accessed: 21 July 2026).</w:t>
      </w:r>
    </w:p>
    <w:p w14:paraId="30119C86" w14:textId="77777777" w:rsidR="00330FE0" w:rsidRDefault="00330FE0" w:rsidP="00330FE0">
      <w:pPr>
        <w:pStyle w:val="p1"/>
        <w:rPr>
          <w:rStyle w:val="s1"/>
        </w:rPr>
      </w:pPr>
      <w:r>
        <w:t xml:space="preserve">NHS England (2019) </w:t>
      </w:r>
      <w:r>
        <w:rPr>
          <w:rStyle w:val="s2"/>
          <w:i/>
          <w:iCs/>
        </w:rPr>
        <w:t>The NHS Long Term Plan</w:t>
      </w:r>
      <w:r>
        <w:rPr>
          <w:rStyle w:val="s1"/>
        </w:rPr>
        <w:t xml:space="preserve">. London: NHS England. Available at: </w:t>
      </w:r>
      <w:hyperlink r:id="rId19" w:history="1">
        <w:r>
          <w:rPr>
            <w:rStyle w:val="Hyperlink"/>
          </w:rPr>
          <w:t>https://www.longtermplan.nhs.uk/</w:t>
        </w:r>
      </w:hyperlink>
      <w:r>
        <w:rPr>
          <w:rStyle w:val="s1"/>
        </w:rPr>
        <w:t xml:space="preserve"> (Accessed: 21 July 2026).</w:t>
      </w:r>
    </w:p>
    <w:p w14:paraId="2EAE91AE" w14:textId="77777777" w:rsidR="00330FE0" w:rsidRDefault="00330FE0" w:rsidP="00330FE0">
      <w:pPr>
        <w:pStyle w:val="p1"/>
        <w:rPr>
          <w:rStyle w:val="s1"/>
        </w:rPr>
      </w:pPr>
      <w:r>
        <w:t xml:space="preserve">National Institute for Health and Care Excellence (NICE) (2021) </w:t>
      </w:r>
      <w:r>
        <w:rPr>
          <w:rStyle w:val="s2"/>
          <w:i/>
          <w:iCs/>
        </w:rPr>
        <w:t>Shared Decision Making (NG197)</w:t>
      </w:r>
      <w:r>
        <w:rPr>
          <w:rStyle w:val="s1"/>
        </w:rPr>
        <w:t xml:space="preserve">. London: NICE. Available at: </w:t>
      </w:r>
      <w:hyperlink r:id="rId20" w:history="1">
        <w:r>
          <w:rPr>
            <w:rStyle w:val="Hyperlink"/>
          </w:rPr>
          <w:t>https://www.nice.org.uk/guidance/ng197</w:t>
        </w:r>
      </w:hyperlink>
      <w:r>
        <w:rPr>
          <w:rStyle w:val="s1"/>
        </w:rPr>
        <w:t xml:space="preserve"> (Accessed: 21 July 2026).</w:t>
      </w:r>
    </w:p>
    <w:p w14:paraId="7A17813F" w14:textId="77777777" w:rsidR="00330FE0" w:rsidRDefault="00330FE0" w:rsidP="00330FE0">
      <w:pPr>
        <w:pStyle w:val="p1"/>
        <w:rPr>
          <w:rStyle w:val="s1"/>
        </w:rPr>
      </w:pPr>
      <w:r>
        <w:t xml:space="preserve">National Institute for Health and Care Excellence (NICE) (2022) </w:t>
      </w:r>
      <w:r>
        <w:rPr>
          <w:rStyle w:val="s2"/>
          <w:i/>
          <w:iCs/>
        </w:rPr>
        <w:t xml:space="preserve">People’s Experience in Adult NHS Services: Improving the Experience of Care for People Using Adult NHS Services </w:t>
      </w:r>
      <w:r>
        <w:rPr>
          <w:rStyle w:val="s2"/>
          <w:i/>
          <w:iCs/>
        </w:rPr>
        <w:lastRenderedPageBreak/>
        <w:t>(CG138)</w:t>
      </w:r>
      <w:r>
        <w:rPr>
          <w:rStyle w:val="s1"/>
        </w:rPr>
        <w:t xml:space="preserve">. London: NICE. Available at: </w:t>
      </w:r>
      <w:hyperlink r:id="rId21" w:history="1">
        <w:r>
          <w:rPr>
            <w:rStyle w:val="Hyperlink"/>
          </w:rPr>
          <w:t>https://www.nice.org.uk/guidance/cg138</w:t>
        </w:r>
      </w:hyperlink>
      <w:r>
        <w:rPr>
          <w:rStyle w:val="s1"/>
        </w:rPr>
        <w:t xml:space="preserve"> (Accessed: 21 July 2026).</w:t>
      </w:r>
    </w:p>
    <w:p w14:paraId="72C64133" w14:textId="77777777" w:rsidR="00330FE0" w:rsidRDefault="00330FE0" w:rsidP="00330FE0">
      <w:pPr>
        <w:pStyle w:val="p1"/>
        <w:rPr>
          <w:rStyle w:val="s1"/>
        </w:rPr>
      </w:pPr>
      <w:r>
        <w:t xml:space="preserve">Rogers, C.R. (1951) </w:t>
      </w:r>
      <w:r>
        <w:rPr>
          <w:rStyle w:val="s2"/>
          <w:i/>
          <w:iCs/>
        </w:rPr>
        <w:t>Client-</w:t>
      </w:r>
      <w:proofErr w:type="spellStart"/>
      <w:r>
        <w:rPr>
          <w:rStyle w:val="s2"/>
          <w:i/>
          <w:iCs/>
        </w:rPr>
        <w:t>Centered</w:t>
      </w:r>
      <w:proofErr w:type="spellEnd"/>
      <w:r>
        <w:rPr>
          <w:rStyle w:val="s2"/>
          <w:i/>
          <w:iCs/>
        </w:rPr>
        <w:t xml:space="preserve"> Therapy: Its Current Practice, Implications and Theory</w:t>
      </w:r>
      <w:r>
        <w:rPr>
          <w:rStyle w:val="s1"/>
        </w:rPr>
        <w:t>. Boston: Houghton Mifflin.</w:t>
      </w:r>
    </w:p>
    <w:p w14:paraId="3AC03059" w14:textId="77777777" w:rsidR="00330FE0" w:rsidRDefault="00330FE0" w:rsidP="00330FE0">
      <w:pPr>
        <w:pStyle w:val="p1"/>
        <w:rPr>
          <w:rStyle w:val="s1"/>
        </w:rPr>
      </w:pPr>
      <w:r>
        <w:t xml:space="preserve">Rogers, C.R. (1961) </w:t>
      </w:r>
      <w:r>
        <w:rPr>
          <w:rStyle w:val="s2"/>
          <w:i/>
          <w:iCs/>
        </w:rPr>
        <w:t>On Becoming a Person: A Therapist’s View of Psychotherapy</w:t>
      </w:r>
      <w:r>
        <w:rPr>
          <w:rStyle w:val="s1"/>
        </w:rPr>
        <w:t>. Boston: Houghton Mifflin.</w:t>
      </w:r>
    </w:p>
    <w:p w14:paraId="7A0B92AE" w14:textId="77777777" w:rsidR="00330FE0" w:rsidRDefault="00330FE0" w:rsidP="00330FE0">
      <w:pPr>
        <w:pStyle w:val="p2"/>
        <w:rPr>
          <w:rStyle w:val="s1"/>
        </w:rPr>
      </w:pPr>
      <w:r>
        <w:t xml:space="preserve">The King’s Fund (2023) </w:t>
      </w:r>
      <w:r>
        <w:rPr>
          <w:rStyle w:val="s2"/>
          <w:i/>
          <w:iCs/>
        </w:rPr>
        <w:t>Delivering Person-Centred Care: Supporting Better Care for Patients</w:t>
      </w:r>
      <w:r>
        <w:rPr>
          <w:rStyle w:val="s1"/>
        </w:rPr>
        <w:t xml:space="preserve">. London: The King’s Fund. Available at: </w:t>
      </w:r>
      <w:hyperlink r:id="rId22" w:history="1">
        <w:r>
          <w:rPr>
            <w:rStyle w:val="Hyperlink"/>
          </w:rPr>
          <w:t>https://www.kingsfund.org.uk</w:t>
        </w:r>
      </w:hyperlink>
      <w:r>
        <w:rPr>
          <w:rStyle w:val="s1"/>
        </w:rPr>
        <w:t xml:space="preserve"> (Accessed: 21 July 2026).</w:t>
      </w:r>
    </w:p>
    <w:bookmarkEnd w:id="0"/>
    <w:p w14:paraId="3F1FD9A8" w14:textId="4104DBB1" w:rsidR="004A5A64" w:rsidRPr="000346B4" w:rsidRDefault="004A5A64" w:rsidP="00330FE0">
      <w:pPr>
        <w:spacing w:line="360" w:lineRule="auto"/>
        <w:rPr>
          <w:rFonts w:ascii="Arial" w:hAnsi="Arial" w:cs="Arial"/>
          <w:sz w:val="21"/>
          <w:szCs w:val="21"/>
        </w:rPr>
      </w:pPr>
    </w:p>
    <w:sectPr w:rsidR="004A5A64" w:rsidRPr="000346B4">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AAA8AC" w14:textId="77777777" w:rsidR="00427B1B" w:rsidRDefault="00427B1B" w:rsidP="00032A5B">
      <w:pPr>
        <w:spacing w:after="0" w:line="240" w:lineRule="auto"/>
      </w:pPr>
      <w:r>
        <w:separator/>
      </w:r>
    </w:p>
  </w:endnote>
  <w:endnote w:type="continuationSeparator" w:id="0">
    <w:p w14:paraId="299D3B3A" w14:textId="77777777" w:rsidR="00427B1B" w:rsidRDefault="00427B1B" w:rsidP="0003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32206"/>
      <w:docPartObj>
        <w:docPartGallery w:val="Page Numbers (Bottom of Page)"/>
        <w:docPartUnique/>
      </w:docPartObj>
    </w:sdtPr>
    <w:sdtContent>
      <w:p w14:paraId="6744C471" w14:textId="76FDC183" w:rsidR="00330FE0" w:rsidRDefault="00330FE0" w:rsidP="00C705B9">
        <w:pPr>
          <w:pStyle w:val="Footer"/>
          <w:framePr w:wrap="none" w:vAnchor="text" w:hAnchor="margin" w:xAlign="in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A18DF8C" w14:textId="77777777" w:rsidR="00330FE0" w:rsidRDefault="00330FE0" w:rsidP="00330FE0">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7928129"/>
      <w:docPartObj>
        <w:docPartGallery w:val="Page Numbers (Bottom of Page)"/>
        <w:docPartUnique/>
      </w:docPartObj>
    </w:sdtPr>
    <w:sdtContent>
      <w:p w14:paraId="2C7C3CF2" w14:textId="66374628" w:rsidR="00330FE0" w:rsidRDefault="00330FE0" w:rsidP="00C705B9">
        <w:pPr>
          <w:pStyle w:val="Footer"/>
          <w:framePr w:wrap="none" w:vAnchor="text" w:hAnchor="margin" w:xAlign="in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40EACB" w14:textId="77777777" w:rsidR="00330FE0" w:rsidRDefault="00330FE0" w:rsidP="00330FE0">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063AEC" w14:textId="77777777" w:rsidR="00427B1B" w:rsidRDefault="00427B1B" w:rsidP="00032A5B">
      <w:pPr>
        <w:spacing w:after="0" w:line="240" w:lineRule="auto"/>
      </w:pPr>
      <w:r>
        <w:separator/>
      </w:r>
    </w:p>
  </w:footnote>
  <w:footnote w:type="continuationSeparator" w:id="0">
    <w:p w14:paraId="2544C395" w14:textId="77777777" w:rsidR="00427B1B" w:rsidRDefault="00427B1B" w:rsidP="00032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9E56A1B"/>
    <w:multiLevelType w:val="hybridMultilevel"/>
    <w:tmpl w:val="D8827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
  </w:num>
  <w:num w:numId="2" w16cid:durableId="201140407">
    <w:abstractNumId w:val="1"/>
  </w:num>
  <w:num w:numId="3" w16cid:durableId="490028398">
    <w:abstractNumId w:val="0"/>
  </w:num>
  <w:num w:numId="4" w16cid:durableId="171665860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2406E"/>
    <w:rsid w:val="000320FD"/>
    <w:rsid w:val="00032A5B"/>
    <w:rsid w:val="000346B4"/>
    <w:rsid w:val="001333C2"/>
    <w:rsid w:val="00205874"/>
    <w:rsid w:val="00287E13"/>
    <w:rsid w:val="002A1C0A"/>
    <w:rsid w:val="002E03D7"/>
    <w:rsid w:val="00317E3D"/>
    <w:rsid w:val="0032791E"/>
    <w:rsid w:val="00330FE0"/>
    <w:rsid w:val="003E4ED4"/>
    <w:rsid w:val="00427B1B"/>
    <w:rsid w:val="00454C3C"/>
    <w:rsid w:val="004A5A64"/>
    <w:rsid w:val="004B2EB9"/>
    <w:rsid w:val="0058206A"/>
    <w:rsid w:val="0058218C"/>
    <w:rsid w:val="005B66E0"/>
    <w:rsid w:val="006524ED"/>
    <w:rsid w:val="006674DE"/>
    <w:rsid w:val="006A3E63"/>
    <w:rsid w:val="006D2F2D"/>
    <w:rsid w:val="006E1FF9"/>
    <w:rsid w:val="00743111"/>
    <w:rsid w:val="00785886"/>
    <w:rsid w:val="007F3A6A"/>
    <w:rsid w:val="0090423C"/>
    <w:rsid w:val="009E71F3"/>
    <w:rsid w:val="00A14675"/>
    <w:rsid w:val="00BC79FE"/>
    <w:rsid w:val="00C0272D"/>
    <w:rsid w:val="00C20EE6"/>
    <w:rsid w:val="00C558B0"/>
    <w:rsid w:val="00D545BA"/>
    <w:rsid w:val="00E24C77"/>
    <w:rsid w:val="00E81204"/>
    <w:rsid w:val="00E9668F"/>
    <w:rsid w:val="00F318BE"/>
    <w:rsid w:val="00F81510"/>
    <w:rsid w:val="00FA1054"/>
    <w:rsid w:val="00FA2DAE"/>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link w:val="Heading1Char"/>
    <w:uiPriority w:val="9"/>
    <w:qFormat/>
    <w:rsid w:val="002A1C0A"/>
    <w:pPr>
      <w:spacing w:before="100" w:beforeAutospacing="1" w:after="100" w:afterAutospacing="1" w:line="240" w:lineRule="auto"/>
      <w:outlineLvl w:val="0"/>
    </w:pPr>
    <w:rPr>
      <w:rFonts w:eastAsia="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032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A5B"/>
    <w:rPr>
      <w:rFonts w:ascii="Times New Roman" w:hAnsi="Times New Roman"/>
      <w:sz w:val="24"/>
    </w:rPr>
  </w:style>
  <w:style w:type="paragraph" w:styleId="Footer">
    <w:name w:val="footer"/>
    <w:basedOn w:val="Normal"/>
    <w:link w:val="FooterChar"/>
    <w:uiPriority w:val="99"/>
    <w:unhideWhenUsed/>
    <w:rsid w:val="00032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A5B"/>
    <w:rPr>
      <w:rFonts w:ascii="Times New Roman" w:hAnsi="Times New Roman"/>
      <w:sz w:val="24"/>
    </w:rPr>
  </w:style>
  <w:style w:type="paragraph" w:customStyle="1" w:styleId="p1">
    <w:name w:val="p1"/>
    <w:basedOn w:val="Normal"/>
    <w:rsid w:val="00287E13"/>
    <w:pPr>
      <w:spacing w:before="100" w:beforeAutospacing="1" w:after="100" w:afterAutospacing="1" w:line="240" w:lineRule="auto"/>
    </w:pPr>
    <w:rPr>
      <w:rFonts w:eastAsia="Times New Roman" w:cs="Times New Roman"/>
      <w:szCs w:val="24"/>
      <w:lang w:eastAsia="en-GB"/>
    </w:rPr>
  </w:style>
  <w:style w:type="character" w:customStyle="1" w:styleId="Heading1Char">
    <w:name w:val="Heading 1 Char"/>
    <w:basedOn w:val="DefaultParagraphFont"/>
    <w:link w:val="Heading1"/>
    <w:uiPriority w:val="9"/>
    <w:rsid w:val="002A1C0A"/>
    <w:rPr>
      <w:rFonts w:ascii="Times New Roman" w:eastAsia="Times New Roman" w:hAnsi="Times New Roman" w:cs="Times New Roman"/>
      <w:b/>
      <w:bCs/>
      <w:kern w:val="36"/>
      <w:sz w:val="48"/>
      <w:szCs w:val="48"/>
      <w:lang w:eastAsia="en-GB"/>
    </w:rPr>
  </w:style>
  <w:style w:type="character" w:customStyle="1" w:styleId="s1">
    <w:name w:val="s1"/>
    <w:basedOn w:val="DefaultParagraphFont"/>
    <w:rsid w:val="002A1C0A"/>
  </w:style>
  <w:style w:type="paragraph" w:customStyle="1" w:styleId="p2">
    <w:name w:val="p2"/>
    <w:basedOn w:val="Normal"/>
    <w:rsid w:val="002A1C0A"/>
    <w:pPr>
      <w:spacing w:before="100" w:beforeAutospacing="1" w:after="100" w:afterAutospacing="1" w:line="240" w:lineRule="auto"/>
    </w:pPr>
    <w:rPr>
      <w:rFonts w:eastAsia="Times New Roman" w:cs="Times New Roman"/>
      <w:szCs w:val="24"/>
      <w:lang w:eastAsia="en-GB"/>
    </w:rPr>
  </w:style>
  <w:style w:type="character" w:customStyle="1" w:styleId="s2">
    <w:name w:val="s2"/>
    <w:basedOn w:val="DefaultParagraphFont"/>
    <w:rsid w:val="00E24C77"/>
  </w:style>
  <w:style w:type="character" w:styleId="Hyperlink">
    <w:name w:val="Hyperlink"/>
    <w:basedOn w:val="DefaultParagraphFont"/>
    <w:uiPriority w:val="99"/>
    <w:semiHidden/>
    <w:unhideWhenUsed/>
    <w:rsid w:val="00330FE0"/>
    <w:rPr>
      <w:color w:val="0000FF"/>
      <w:u w:val="single"/>
    </w:rPr>
  </w:style>
  <w:style w:type="character" w:styleId="PageNumber">
    <w:name w:val="page number"/>
    <w:basedOn w:val="DefaultParagraphFont"/>
    <w:uiPriority w:val="99"/>
    <w:semiHidden/>
    <w:unhideWhenUsed/>
    <w:rsid w:val="00330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99873128">
      <w:bodyDiv w:val="1"/>
      <w:marLeft w:val="0"/>
      <w:marRight w:val="0"/>
      <w:marTop w:val="0"/>
      <w:marBottom w:val="0"/>
      <w:divBdr>
        <w:top w:val="none" w:sz="0" w:space="0" w:color="auto"/>
        <w:left w:val="none" w:sz="0" w:space="0" w:color="auto"/>
        <w:bottom w:val="none" w:sz="0" w:space="0" w:color="auto"/>
        <w:right w:val="none" w:sz="0" w:space="0" w:color="auto"/>
      </w:divBdr>
    </w:div>
    <w:div w:id="1804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0/15" TargetMode="External"/><Relationship Id="rId18" Type="http://schemas.openxmlformats.org/officeDocument/2006/relationships/hyperlink" Target="https://www.legislation.gov.uk/ukpga/2005/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nice.org.uk/guidance/cg138" TargetMode="External"/><Relationship Id="rId7" Type="http://schemas.openxmlformats.org/officeDocument/2006/relationships/endnotes" Target="endnotes.xml"/><Relationship Id="rId12" Type="http://schemas.openxmlformats.org/officeDocument/2006/relationships/hyperlink" Target="https://www.gov.uk/government/publications/people-at-the-heart-of-care-adult-social-care-reform-white-paper" TargetMode="External"/><Relationship Id="rId17" Type="http://schemas.openxmlformats.org/officeDocument/2006/relationships/hyperlink" Target="https://www.legislation.gov.uk/ukpga/1998/4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ukpga/2022/31" TargetMode="External"/><Relationship Id="rId20" Type="http://schemas.openxmlformats.org/officeDocument/2006/relationships/hyperlink" Target="https://www.nice.org.uk/guidance/ng1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14651858.CD010523.pub2"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legislation.gov.uk/ukpga/2014/23" TargetMode="External"/><Relationship Id="rId23" Type="http://schemas.openxmlformats.org/officeDocument/2006/relationships/footer" Target="footer1.xml"/><Relationship Id="rId10" Type="http://schemas.openxmlformats.org/officeDocument/2006/relationships/hyperlink" Target="https://www.cqc.org.uk" TargetMode="External"/><Relationship Id="rId19" Type="http://schemas.openxmlformats.org/officeDocument/2006/relationships/hyperlink" Target="https://www.longtermplan.nhs.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health.org.uk" TargetMode="External"/><Relationship Id="rId22" Type="http://schemas.openxmlformats.org/officeDocument/2006/relationships/hyperlink" Target="https://www.kingsfu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Cou</b:Tag>
    <b:SourceType>Book</b:SourceType>
    <b:Guid>{B7945212-28C3-384D-A1B3-D76DCFC82647}</b:Guid>
    <b:Title>Coulter, A., Entwistle, V.A., Eccles, A., Ryan, S., Shepperd, S. and Perera, R. (2015) ‘Personalised care planning for adults with chronic or long-term health conditions’, Cochrane Database of Systematic Reviews, 3, CD010523. https://doi.org/10.1002/14651</b:Title>
    <b:RefOrder>2</b:RefOrder>
  </b:Source>
  <b:Source>
    <b:Tag>htt</b:Tag>
    <b:SourceType>Book</b:SourceType>
    <b:Guid>{6CC77BA7-C9D0-EC47-8003-FA2197AE36CC}</b:Guid>
    <b:Author>
      <b:Author>
        <b:NameList>
          <b:Person>
            <b:Last>https://doi.org/10.1002/14651858.CD010523.pub2</b:Last>
          </b:Person>
        </b:NameList>
      </b:Author>
    </b:Author>
    <b:Title>Coulter, A., Entwistle, V.A., Eccles, A., Ryan, S., Shepperd, S. and Perera,</b:Title>
    <b:RefOrder>1</b:RefOrder>
  </b:Source>
</b:Sources>
</file>

<file path=customXml/itemProps1.xml><?xml version="1.0" encoding="utf-8"?>
<ds:datastoreItem xmlns:ds="http://schemas.openxmlformats.org/officeDocument/2006/customXml" ds:itemID="{628202C3-0B22-B040-9FF0-BA8CCC1EF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3051</Words>
  <Characters>17392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Sabrina Lord (2114956)</cp:lastModifiedBy>
  <cp:revision>8</cp:revision>
  <dcterms:created xsi:type="dcterms:W3CDTF">2026-07-21T18:41:00Z</dcterms:created>
  <dcterms:modified xsi:type="dcterms:W3CDTF">2026-07-21T18:58:00Z</dcterms:modified>
</cp:coreProperties>
</file>