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3DE89344" w:rsidR="00DD5969" w:rsidRPr="0000375B" w:rsidRDefault="00DD5969" w:rsidP="00DD5969">
      <w:pPr>
        <w:spacing w:before="212"/>
        <w:rPr>
          <w:rFonts w:ascii="Arial"/>
          <w:b/>
          <w:sz w:val="48"/>
          <w:szCs w:val="48"/>
          <w:lang w:val="fr-FR"/>
        </w:rPr>
      </w:pPr>
      <w:r w:rsidRPr="0000375B">
        <w:rPr>
          <w:rFonts w:ascii="Arial"/>
          <w:b/>
          <w:sz w:val="48"/>
          <w:szCs w:val="48"/>
          <w:lang w:val="fr-FR"/>
        </w:rPr>
        <w:t xml:space="preserve">MODULE </w:t>
      </w:r>
      <w:proofErr w:type="gramStart"/>
      <w:r w:rsidRPr="0000375B">
        <w:rPr>
          <w:rFonts w:ascii="Arial"/>
          <w:b/>
          <w:sz w:val="48"/>
          <w:szCs w:val="48"/>
          <w:lang w:val="fr-FR"/>
        </w:rPr>
        <w:t>CODE:</w:t>
      </w:r>
      <w:proofErr w:type="gramEnd"/>
      <w:r w:rsidR="0007198D">
        <w:rPr>
          <w:rFonts w:ascii="Arial"/>
          <w:b/>
          <w:sz w:val="48"/>
          <w:szCs w:val="48"/>
          <w:lang w:val="fr-FR"/>
        </w:rPr>
        <w:t xml:space="preserve"> </w:t>
      </w:r>
      <w:r w:rsidR="0000375B" w:rsidRPr="0000375B">
        <w:rPr>
          <w:rFonts w:ascii="Arial"/>
          <w:b/>
          <w:sz w:val="48"/>
          <w:szCs w:val="48"/>
          <w:lang w:val="fr-FR"/>
        </w:rPr>
        <w:t>EC</w:t>
      </w:r>
      <w:r w:rsidR="0000375B">
        <w:rPr>
          <w:rFonts w:ascii="Arial"/>
          <w:b/>
          <w:sz w:val="48"/>
          <w:szCs w:val="48"/>
          <w:lang w:val="fr-FR"/>
        </w:rPr>
        <w:t>AD</w:t>
      </w:r>
      <w:r w:rsidR="0007198D">
        <w:rPr>
          <w:rFonts w:ascii="Arial"/>
          <w:b/>
          <w:sz w:val="48"/>
          <w:szCs w:val="48"/>
          <w:lang w:val="fr-FR"/>
        </w:rPr>
        <w:t>5</w:t>
      </w:r>
      <w:r w:rsidR="0000375B">
        <w:rPr>
          <w:rFonts w:ascii="Arial"/>
          <w:b/>
          <w:sz w:val="48"/>
          <w:szCs w:val="48"/>
          <w:lang w:val="fr-FR"/>
        </w:rPr>
        <w:t>01</w:t>
      </w:r>
      <w:r w:rsidR="007D3844">
        <w:rPr>
          <w:rFonts w:ascii="Arial"/>
          <w:b/>
          <w:sz w:val="48"/>
          <w:szCs w:val="48"/>
          <w:lang w:val="fr-FR"/>
        </w:rPr>
        <w:t>7</w:t>
      </w:r>
    </w:p>
    <w:p w14:paraId="5051A2D5" w14:textId="77777777" w:rsidR="00347EA1" w:rsidRPr="0000375B" w:rsidRDefault="00347EA1" w:rsidP="00DD5969">
      <w:pPr>
        <w:spacing w:before="212"/>
        <w:rPr>
          <w:rFonts w:ascii="Arial"/>
          <w:b/>
          <w:sz w:val="48"/>
          <w:szCs w:val="48"/>
          <w:lang w:val="fr-FR"/>
        </w:rPr>
      </w:pPr>
    </w:p>
    <w:p w14:paraId="7681432B" w14:textId="57D73A0F" w:rsidR="00DD5969" w:rsidRPr="00DD5969" w:rsidRDefault="00DD5969" w:rsidP="00DD5969">
      <w:pPr>
        <w:spacing w:before="3"/>
        <w:rPr>
          <w:rFonts w:ascii="Arial"/>
          <w:b/>
          <w:sz w:val="48"/>
          <w:szCs w:val="48"/>
        </w:rPr>
      </w:pPr>
      <w:r w:rsidRPr="00DD5969">
        <w:rPr>
          <w:rFonts w:ascii="Arial"/>
          <w:b/>
          <w:sz w:val="48"/>
          <w:szCs w:val="48"/>
        </w:rPr>
        <w:t>STUDENT NAME:</w:t>
      </w:r>
      <w:r w:rsidR="007D3844">
        <w:rPr>
          <w:rFonts w:ascii="Arial"/>
          <w:b/>
          <w:sz w:val="48"/>
          <w:szCs w:val="48"/>
        </w:rPr>
        <w:t xml:space="preserve"> Alex Jenkins</w:t>
      </w:r>
    </w:p>
    <w:p w14:paraId="0D16D138" w14:textId="77777777" w:rsidR="00DD5969" w:rsidRPr="00DD5969" w:rsidRDefault="00DD5969" w:rsidP="00DD5969">
      <w:pPr>
        <w:spacing w:before="3"/>
        <w:rPr>
          <w:rFonts w:ascii="Arial"/>
          <w:b/>
          <w:sz w:val="48"/>
          <w:szCs w:val="48"/>
        </w:rPr>
      </w:pPr>
    </w:p>
    <w:p w14:paraId="18107AFF" w14:textId="41A46B8D"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7D3844">
        <w:rPr>
          <w:rFonts w:ascii="Arial"/>
          <w:b/>
          <w:sz w:val="48"/>
          <w:szCs w:val="48"/>
        </w:rPr>
        <w:t xml:space="preserve"> 2205212</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0CFCB643" w14:textId="106974C0" w:rsidR="007D3844" w:rsidRDefault="00DD5969" w:rsidP="00DD5969">
      <w:r w:rsidRPr="00DD5969">
        <w:t xml:space="preserve">I acknowledge the use of </w:t>
      </w:r>
      <w:proofErr w:type="spellStart"/>
      <w:r w:rsidR="007D3844">
        <w:t>Chatgpt</w:t>
      </w:r>
      <w:proofErr w:type="spellEnd"/>
      <w:r w:rsidRPr="00DD5969">
        <w:t>.</w:t>
      </w:r>
    </w:p>
    <w:p w14:paraId="44C358F6" w14:textId="0F60BB43" w:rsidR="00DD5969" w:rsidRPr="00DD5969" w:rsidRDefault="00DD5969" w:rsidP="00DD5969">
      <w:r w:rsidRPr="00DD5969">
        <w:t xml:space="preserve"> I used the prompt(s): </w:t>
      </w:r>
    </w:p>
    <w:p w14:paraId="15389F66" w14:textId="7DA416F4" w:rsidR="00DD5969" w:rsidRPr="00DD5969" w:rsidRDefault="00DD5969" w:rsidP="00DD5969">
      <w:r w:rsidRPr="00DD5969">
        <w:t xml:space="preserve">1. </w:t>
      </w:r>
      <w:r w:rsidR="007D3844">
        <w:t>Can you put these references in alphabetical order.</w:t>
      </w:r>
    </w:p>
    <w:p w14:paraId="4008D193" w14:textId="77777777" w:rsidR="00E243A8" w:rsidRDefault="00DD5969" w:rsidP="00DD5969">
      <w:r w:rsidRPr="00DD5969">
        <w:t xml:space="preserve">I confirm that I have not presented any AI generated text as my own work. </w:t>
      </w:r>
    </w:p>
    <w:p w14:paraId="44A8291C" w14:textId="080D3142" w:rsidR="00DD5969" w:rsidRDefault="00DD5969" w:rsidP="00DD5969">
      <w:r w:rsidRPr="00DD5969">
        <w:t xml:space="preserve">I confirm </w:t>
      </w:r>
      <w:r w:rsidR="00E243A8">
        <w:t xml:space="preserve">that </w:t>
      </w:r>
      <w:r w:rsidRPr="00DD5969">
        <w:t xml:space="preserve">I have copies of my drafts, notes, and other resources I used before and after the use of AI tools which I may be asked to provide in evidence. </w:t>
      </w:r>
    </w:p>
    <w:p w14:paraId="0ADC06E9" w14:textId="77777777" w:rsidR="00E10797" w:rsidRPr="00DD5969" w:rsidRDefault="00E10797" w:rsidP="00DD5969">
      <w:pPr>
        <w:rPr>
          <w:sz w:val="16"/>
          <w:szCs w:val="16"/>
        </w:rPr>
      </w:pP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01F80E5E" w:rsidR="0000375B" w:rsidRPr="007D3844" w:rsidRDefault="007D3844" w:rsidP="00DD5969">
            <w:r w:rsidRPr="007D3844">
              <w:rPr>
                <w:color w:val="283041"/>
                <w:shd w:val="clear" w:color="auto" w:fill="FFFFFF"/>
              </w:rPr>
              <w:t>Endeavour to select a greater depth of appropriate peer reviewed sources of research for your writing to aid academic support of your key points.</w:t>
            </w:r>
          </w:p>
          <w:p w14:paraId="0EDC9850" w14:textId="77777777" w:rsidR="0000375B" w:rsidRDefault="0000375B" w:rsidP="00DD5969">
            <w:pPr>
              <w:rPr>
                <w:sz w:val="16"/>
                <w:szCs w:val="16"/>
              </w:rPr>
            </w:pPr>
          </w:p>
        </w:tc>
        <w:tc>
          <w:tcPr>
            <w:tcW w:w="4508" w:type="dxa"/>
          </w:tcPr>
          <w:p w14:paraId="3FCBF01B" w14:textId="23771923" w:rsidR="0000375B" w:rsidRDefault="007D3844" w:rsidP="00DD5969">
            <w:pPr>
              <w:rPr>
                <w:sz w:val="16"/>
                <w:szCs w:val="16"/>
              </w:rPr>
            </w:pPr>
            <w:r>
              <w:rPr>
                <w:sz w:val="16"/>
                <w:szCs w:val="16"/>
              </w:rPr>
              <w:t>I have used a wide range of sources outside of the essential readings</w:t>
            </w:r>
          </w:p>
        </w:tc>
      </w:tr>
      <w:tr w:rsidR="0000375B" w14:paraId="2411A5A2" w14:textId="77777777" w:rsidTr="0000375B">
        <w:tc>
          <w:tcPr>
            <w:tcW w:w="4508" w:type="dxa"/>
          </w:tcPr>
          <w:p w14:paraId="4A120529" w14:textId="77777777" w:rsidR="0000375B" w:rsidRDefault="0000375B" w:rsidP="00DD5969">
            <w:pPr>
              <w:rPr>
                <w:sz w:val="16"/>
                <w:szCs w:val="16"/>
              </w:rPr>
            </w:pPr>
          </w:p>
          <w:p w14:paraId="73ED8D37" w14:textId="77777777" w:rsidR="0000375B" w:rsidRDefault="0000375B" w:rsidP="00DD5969">
            <w:pPr>
              <w:rPr>
                <w:sz w:val="16"/>
                <w:szCs w:val="16"/>
              </w:rPr>
            </w:pPr>
          </w:p>
          <w:p w14:paraId="5C313336" w14:textId="77777777" w:rsidR="007D3844" w:rsidRPr="007D3844" w:rsidRDefault="007D3844" w:rsidP="007D3844">
            <w:pPr>
              <w:pStyle w:val="NormalWeb"/>
              <w:shd w:val="clear" w:color="auto" w:fill="FFFFFF"/>
              <w:spacing w:before="0" w:beforeAutospacing="0" w:after="0" w:afterAutospacing="0"/>
              <w:rPr>
                <w:rFonts w:asciiTheme="minorHAnsi" w:hAnsiTheme="minorHAnsi"/>
                <w:color w:val="283041"/>
              </w:rPr>
            </w:pPr>
            <w:r w:rsidRPr="007D3844">
              <w:rPr>
                <w:rFonts w:asciiTheme="minorHAnsi" w:hAnsiTheme="minorHAnsi"/>
                <w:color w:val="283041"/>
              </w:rPr>
              <w:t>Continue to develop a critical approach throughout, offering the opposing view/ aspects to be cautious with and limitations whenever possible. Try to avoid the large descriptive summaries where possible. </w:t>
            </w:r>
          </w:p>
          <w:p w14:paraId="66869108" w14:textId="77777777" w:rsidR="007D3844" w:rsidRDefault="007D3844" w:rsidP="007D3844">
            <w:pPr>
              <w:rPr>
                <w:rFonts w:ascii="Times New Roman" w:hAnsi="Times New Roman"/>
              </w:rPr>
            </w:pPr>
          </w:p>
          <w:p w14:paraId="2A59CA2F" w14:textId="77777777" w:rsidR="0000375B" w:rsidRDefault="0000375B" w:rsidP="00DD5969">
            <w:pPr>
              <w:rPr>
                <w:sz w:val="16"/>
                <w:szCs w:val="16"/>
              </w:rPr>
            </w:pPr>
          </w:p>
        </w:tc>
        <w:tc>
          <w:tcPr>
            <w:tcW w:w="4508" w:type="dxa"/>
          </w:tcPr>
          <w:p w14:paraId="51AE3AC6" w14:textId="7140DB6B" w:rsidR="0000375B" w:rsidRDefault="007D3844" w:rsidP="00DD5969">
            <w:pPr>
              <w:rPr>
                <w:sz w:val="16"/>
                <w:szCs w:val="16"/>
              </w:rPr>
            </w:pPr>
            <w:r>
              <w:rPr>
                <w:sz w:val="16"/>
                <w:szCs w:val="16"/>
              </w:rPr>
              <w:t xml:space="preserve">I have avoided overly descriptive summaries by linking theory to practise </w:t>
            </w: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2F9F5607" w:rsidR="0000375B" w:rsidRPr="007D3844" w:rsidRDefault="007D3844" w:rsidP="007D3844">
            <w:pPr>
              <w:jc w:val="center"/>
              <w:rPr>
                <w:sz w:val="20"/>
                <w:szCs w:val="20"/>
              </w:rPr>
            </w:pPr>
            <w:r w:rsidRPr="007D3844">
              <w:rPr>
                <w:color w:val="283041"/>
                <w:shd w:val="clear" w:color="auto" w:fill="FFFFFF"/>
              </w:rPr>
              <w:t>Further elaborate on the very good points identified with even greater critical reflection.</w:t>
            </w:r>
          </w:p>
          <w:p w14:paraId="540BFA50" w14:textId="77777777" w:rsidR="0000375B" w:rsidRDefault="0000375B" w:rsidP="00DD5969">
            <w:pPr>
              <w:rPr>
                <w:sz w:val="16"/>
                <w:szCs w:val="16"/>
              </w:rPr>
            </w:pPr>
          </w:p>
        </w:tc>
        <w:tc>
          <w:tcPr>
            <w:tcW w:w="4508" w:type="dxa"/>
          </w:tcPr>
          <w:p w14:paraId="6A8EAD52" w14:textId="0E0D1F9A" w:rsidR="0000375B" w:rsidRDefault="007D3844" w:rsidP="00DD5969">
            <w:pPr>
              <w:rPr>
                <w:sz w:val="16"/>
                <w:szCs w:val="16"/>
              </w:rPr>
            </w:pPr>
            <w:r>
              <w:rPr>
                <w:sz w:val="16"/>
                <w:szCs w:val="16"/>
              </w:rPr>
              <w:t xml:space="preserve">My reflections go beyond surface level commentary. </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6C6F16C6" w14:textId="77777777" w:rsidR="0000375B" w:rsidRDefault="0000375B" w:rsidP="0000375B">
      <w:pPr>
        <w:rPr>
          <w:b/>
          <w:bCs/>
        </w:rPr>
      </w:pPr>
    </w:p>
    <w:p w14:paraId="3EEC068A" w14:textId="2F10F349" w:rsidR="007D3844" w:rsidRDefault="007D3844" w:rsidP="007D3844">
      <w:r>
        <w:t xml:space="preserve">The Recycled Boat Challenge was designed as a creative, inquiry-based stem activity for learners aged 7-11, aligned with the principles of the Curriculum for Wales. Pupils worked collaboratively to design and construct small sail boats using only recycled materials, applying their understanding of buoyancy, forces, and sustainable design. The challenge encouraged scientific thinking, creativity, problem-solving, and teamwork which are all integral skills in the Curriculum for Wales. </w:t>
      </w:r>
    </w:p>
    <w:p w14:paraId="7FC3BBBD" w14:textId="77777777" w:rsidR="007D3844" w:rsidRDefault="007D3844" w:rsidP="007D3844">
      <w:r>
        <w:t xml:space="preserve">This Journal will examine the theoretical foundations that guided the design of the activity, critically reviewed relevant literature and reflect on how this project contributes to professional learning and the development of transformative practise in science and technology teaching. </w:t>
      </w:r>
    </w:p>
    <w:p w14:paraId="1306392D" w14:textId="77777777" w:rsidR="007D3844" w:rsidRDefault="007D3844" w:rsidP="007D3844"/>
    <w:p w14:paraId="615C50F2" w14:textId="27E99ADD" w:rsidR="007D3844" w:rsidRPr="007D3844" w:rsidRDefault="007D3844" w:rsidP="007D3844">
      <w:pPr>
        <w:rPr>
          <w:u w:val="single"/>
        </w:rPr>
      </w:pPr>
      <w:r w:rsidRPr="00E95D10">
        <w:rPr>
          <w:u w:val="single"/>
        </w:rPr>
        <w:t xml:space="preserve">Theoretical Foundations. </w:t>
      </w:r>
    </w:p>
    <w:p w14:paraId="117AB887" w14:textId="47E6D093" w:rsidR="007D3844" w:rsidRDefault="007D3844" w:rsidP="007D3844">
      <w:r>
        <w:t xml:space="preserve">The Recycled boat Challenge was informed by several well-established theories in science and technology education, particularly constructivism, inquiry based learning, and socio-cultural theory. These frameworks underpinned the activity’s design to ensure it supported deep, active learning for the learners. </w:t>
      </w:r>
    </w:p>
    <w:p w14:paraId="73C337D0" w14:textId="7CDC6B65" w:rsidR="007D3844" w:rsidRDefault="007D3844" w:rsidP="007D3844">
      <w:r>
        <w:t xml:space="preserve">Constructivist theory, particularly the work of Piaget (1950) and Vygotsky (1978), emphasises that children construct knowledge through active engagement with their environment. This aligns closely with the aims of the challenge, where learners engaged with hands-on building, testing, and evaluating their boats. According to Harlen and </w:t>
      </w:r>
      <w:proofErr w:type="spellStart"/>
      <w:r>
        <w:t>Qualter</w:t>
      </w:r>
      <w:proofErr w:type="spellEnd"/>
      <w:r>
        <w:t xml:space="preserve"> (2018), active involvement in practical science supports the development of conceptual understanding more effectively than passive instruction. The trial-and-error approach inherent in the challenge mirrors the stages of assimilation and accommodation described by Piaget, where learners adapt their ideas based on new experiences. </w:t>
      </w:r>
    </w:p>
    <w:p w14:paraId="165934DE" w14:textId="3851F915" w:rsidR="007D3844" w:rsidRDefault="007D3844" w:rsidP="007D3844">
      <w:r>
        <w:t xml:space="preserve">Inquiry based learning (IBL) was central to the project’s structure. This pedagogical approach encourages learners to formulate questions, carry out investigations, and draw evidence-based conclusions (National Research Council, 2000). The challenges different stages- research, design, testing, reflection – reflect the key phases of the scientific methods and engineering design cycle. As </w:t>
      </w:r>
      <w:proofErr w:type="spellStart"/>
      <w:r>
        <w:t>Loxely</w:t>
      </w:r>
      <w:proofErr w:type="spellEnd"/>
      <w:r>
        <w:t xml:space="preserve"> et al. (2017) accentuate, IBL in primary science not only enhances engagement but also nurture skills such as prediction, observation, and evaluation. Pupils were given ownership of their designs and encouraged to problem solve collaboratively, which aligns with Bruner’s (1961) spiral curriculum model which is based on revisiting ideas at increasing levels of complexity. </w:t>
      </w:r>
    </w:p>
    <w:p w14:paraId="7FCEF722" w14:textId="3BCD71FF" w:rsidR="007D3844" w:rsidRDefault="007D3844" w:rsidP="007D3844">
      <w:r>
        <w:lastRenderedPageBreak/>
        <w:t xml:space="preserve">In addition, Vygotsky’s concept of the Zone of Proximal Development (ZPD) was reflected in the structured support provided by peers and the teacher, enabling learners to move beyond their individual capability through collaboration and guided discovery. Scaffolding during the planning and testing phases enabled differentiated support, particularly when addressing misconceptions about buoyancy and balance which are common challenges at key stage 2 (Naylor and Keogh, 200). </w:t>
      </w:r>
    </w:p>
    <w:p w14:paraId="0C28E27A" w14:textId="539B1588" w:rsidR="007D3844" w:rsidRDefault="007D3844" w:rsidP="007D3844">
      <w:r>
        <w:t>Finally, the project was underpinned by principles of science capital, recognising the importance of building connections between learners’ experiences and scientific practices (Archer et al., 2015). By using recycled materials and encouraging real-world applications, the challenge promoted inclusive and authentic science learning experiences.</w:t>
      </w:r>
    </w:p>
    <w:p w14:paraId="6AAD01BB" w14:textId="7F95F0B2" w:rsidR="007D3844" w:rsidRDefault="007D3844" w:rsidP="007D3844">
      <w:r>
        <w:t xml:space="preserve">These theoretical perspectives provided a robust foundation, for designing a learner centred, inquiry-led STEM activity that supports the development of both scientific understanding and transferable skills.   </w:t>
      </w:r>
    </w:p>
    <w:p w14:paraId="49BAEF89" w14:textId="363FEB41" w:rsidR="007D3844" w:rsidRPr="007D3844" w:rsidRDefault="007D3844" w:rsidP="007D3844">
      <w:pPr>
        <w:rPr>
          <w:u w:val="single"/>
        </w:rPr>
      </w:pPr>
      <w:r w:rsidRPr="00E95D10">
        <w:rPr>
          <w:u w:val="single"/>
        </w:rPr>
        <w:t xml:space="preserve">Literature Review </w:t>
      </w:r>
    </w:p>
    <w:p w14:paraId="207BC683" w14:textId="4D30E990" w:rsidR="007D3844" w:rsidRDefault="007D3844" w:rsidP="007D3844">
      <w:r>
        <w:t xml:space="preserve">The design of the Recycled Boat Challenge was guided by a body of research that advocates for enquiry led, hands on STEM education in primary schools. This review highlights key literature that influenced the activity, particularly in relation to enquiry-based learning, scientific misconceptions, sustainability, and interdisciplinary pedagogy. </w:t>
      </w:r>
    </w:p>
    <w:p w14:paraId="612CF94D" w14:textId="687D280E" w:rsidR="007D3844" w:rsidRDefault="007D3844" w:rsidP="007D3844">
      <w:r>
        <w:t xml:space="preserve">Loxley et al. (2017) argue that creative and practical experiences in science are essential for fostering curiosity and deep understanding. Their work reinforces the importance of offering open ended challenges that allow pupils to test ideas through experimentation, an approach central to the boat challenge. Harlen and </w:t>
      </w:r>
      <w:proofErr w:type="spellStart"/>
      <w:r>
        <w:t>Qualter</w:t>
      </w:r>
      <w:proofErr w:type="spellEnd"/>
      <w:r>
        <w:t xml:space="preserve"> (2018) also emphasise that effective science teaching should focus on process rather than just content. This project allowed learners to predict, observe, and revise their ideas that is seen as crucial by Harlen for developing scientific literacy. </w:t>
      </w:r>
    </w:p>
    <w:p w14:paraId="597C8E1F" w14:textId="24768CC3" w:rsidR="007D3844" w:rsidRDefault="007D3844" w:rsidP="007D3844">
      <w:r>
        <w:t xml:space="preserve">Misconceptions about scientific phenomena, particularly in relation to floating and sinking, are common at KS2 (Naylor and Keogh, 2000). By including structured opportunities for prediction, discussion and testing the activity was designed to expose and address these misconceptions. Concept cartoons will be used during the planning stage to prompt dialogue, an approach supported by research showing their effectiveness in formative assessment (Keogh and Naylor, 2004). </w:t>
      </w:r>
    </w:p>
    <w:p w14:paraId="335D32D1" w14:textId="7302C8FD" w:rsidR="007D3844" w:rsidRDefault="007D3844" w:rsidP="007D3844">
      <w:r>
        <w:t xml:space="preserve">Research into sustainability and science capital also informed the choice of materials and context. Archer et al. (2015) stresses the need for science learning to feel relevant and authentic. Using recycled materials not only linked to global citizenship education but also promoted ethical reflection, aligning with Curriculum for Wales priorities and </w:t>
      </w:r>
      <w:r>
        <w:lastRenderedPageBreak/>
        <w:t xml:space="preserve">the wellbeing of Future Generations Act (Welsh Government, 2015).  Integrating sustainability into the design process helped pupils consider real world problems and solutions, which, as Allen and Williams (2011) suggest, is an effective way to embed responsible citizenship in science education. </w:t>
      </w:r>
    </w:p>
    <w:p w14:paraId="7649CD6B" w14:textId="4CE57BEF" w:rsidR="007D3844" w:rsidRDefault="007D3844" w:rsidP="007D3844">
      <w:r>
        <w:t xml:space="preserve">Finally, the collaborative, cross-curricular nature of the project reflects Turvey et al.’s (2018) advocacy for embedding digital and design technologies across learning. The project’s use of digital tools (e.g., J2E and QR codes for tracking results) also supported the development of Digital Competence Framework (DCF) skills. </w:t>
      </w:r>
    </w:p>
    <w:p w14:paraId="085A7D0F" w14:textId="77777777" w:rsidR="007D3844" w:rsidRDefault="007D3844" w:rsidP="007D3844">
      <w:r>
        <w:t>This literature base underpinned the design of an inclusive, purposeful STEM project that connects theory with classroom practise.</w:t>
      </w:r>
    </w:p>
    <w:p w14:paraId="127C4D3E" w14:textId="77777777" w:rsidR="007D3844" w:rsidRDefault="007D3844" w:rsidP="007D3844"/>
    <w:p w14:paraId="45ABFE1E" w14:textId="77777777" w:rsidR="007D3844" w:rsidRDefault="007D3844" w:rsidP="007D3844">
      <w:pPr>
        <w:rPr>
          <w:u w:val="single"/>
        </w:rPr>
      </w:pPr>
      <w:r w:rsidRPr="00E95D10">
        <w:rPr>
          <w:u w:val="single"/>
        </w:rPr>
        <w:t xml:space="preserve"> Links to teaching Standards and professional reflection. </w:t>
      </w:r>
    </w:p>
    <w:p w14:paraId="7240A062" w14:textId="77777777" w:rsidR="007D3844" w:rsidRPr="00E95D10" w:rsidRDefault="007D3844" w:rsidP="007D3844"/>
    <w:p w14:paraId="3455C77D" w14:textId="77777777" w:rsidR="007D3844" w:rsidRDefault="007D3844" w:rsidP="007D3844">
      <w:r>
        <w:t xml:space="preserve">The Recycled Boat challenge aligns closely with the Curriculum for Wales and the professional Standards for Teaching and Leadership. It provided an opportunity to apply innovative pedagogy while nurturing skills and attitudes central to developing learners as capable, creating learners. Within the Science and Technology Area of Learning and Experience (AoLE), the challenge supported learners in exploring key concepts such as forces, buoyancy, materials, and energy transfer through wind. It also encouraged pupils to think critically and systematically about testing variables such as sail shape or weight placement. Reflecting the curriculums emphasis on authentic, learner led enquiry (Welsh Government, 2020). </w:t>
      </w:r>
    </w:p>
    <w:p w14:paraId="59D2D1DD" w14:textId="77777777" w:rsidR="007D3844" w:rsidRDefault="007D3844" w:rsidP="007D3844"/>
    <w:p w14:paraId="07C9E1C2" w14:textId="77777777" w:rsidR="007D3844" w:rsidRDefault="007D3844" w:rsidP="007D3844">
      <w:r>
        <w:t xml:space="preserve">The project also developed pupils’ integral skills, including creativity, collaboration, and problem-solving. These skills are not taught in isolation but are embedded within rich, cross-curricular experiences. By integrating elements of Mathematics (Data handling), design technology (prototyping), and digital competence (Graphing and recording using J2E), the project modelled how one activity can provide holistic, interdisciplinary learning. This reflects the curriculum for Wales’s ambition to move away from siloed knowledge and promote meaningful progression across learning areas. </w:t>
      </w:r>
    </w:p>
    <w:p w14:paraId="66E6741D" w14:textId="77777777" w:rsidR="007D3844" w:rsidRDefault="007D3844" w:rsidP="007D3844"/>
    <w:p w14:paraId="320175EC" w14:textId="77777777" w:rsidR="007D3844" w:rsidRDefault="007D3844" w:rsidP="007D3844">
      <w:r>
        <w:t xml:space="preserve">In terms of professional standards, the challenge met multiple key descriptors. Firstly, under the “pedagogy” strand, it demonstrated the use of creative, learner-centred approaches that encouraged high engagement and built on prior knowledge. Pupils were scaffolded through open-ended questioning, group discussions, and guided experimentation by promoting cognitive challenge while supporting diverse learning </w:t>
      </w:r>
      <w:r>
        <w:lastRenderedPageBreak/>
        <w:t xml:space="preserve">needs. Secondly, it fulfilled the “innovation” standard by integrating sustainability, outdoor learning, and digital skills in a cohesive way. Research informed decisions underpinned the lesson design, demonstrating an evidence-based approach to planning and evaluation (Orchard and Winch, 2015). </w:t>
      </w:r>
    </w:p>
    <w:p w14:paraId="7D159C19" w14:textId="77777777" w:rsidR="007D3844" w:rsidRDefault="007D3844" w:rsidP="007D3844"/>
    <w:p w14:paraId="794ED0D6" w14:textId="1AD05A91" w:rsidR="007D3844" w:rsidRDefault="007D3844" w:rsidP="007D3844">
      <w:r>
        <w:t xml:space="preserve">Critically, the challenge required me to reflect on how to structure practical learning experiences that go beyond superficial engagement. I had to consider the sequencing of the activity to allow for meaningful progression for learners to fail safely and iterate their designs encouraged resilience, an increasingly valued educational outcome. I also reflected on the importance of differentiation; for example, using bar graphs instead of line graphs for less confident learners, and assigning and scaffolded roles during team work to ensure equitable participation. </w:t>
      </w:r>
    </w:p>
    <w:p w14:paraId="5FAEA16B" w14:textId="77777777" w:rsidR="007D3844" w:rsidRDefault="007D3844" w:rsidP="007D3844">
      <w:r>
        <w:t xml:space="preserve">Overall, this project deepened my understanding of how high-quality STEM activities can be used not only to teach science content but to develop their wider competencies and values outlined in the Welsh professional and curricular frameworks. It has shaped my thinking about how to embed inquiry, relevance, and pupil voice in future practise. </w:t>
      </w:r>
    </w:p>
    <w:p w14:paraId="4973737E" w14:textId="77777777" w:rsidR="007D3844" w:rsidRDefault="007D3844" w:rsidP="007D3844"/>
    <w:p w14:paraId="6D2278A5" w14:textId="77777777" w:rsidR="007D3844" w:rsidRPr="00E95D10" w:rsidRDefault="007D3844" w:rsidP="007D3844">
      <w:pPr>
        <w:rPr>
          <w:u w:val="single"/>
        </w:rPr>
      </w:pPr>
      <w:r w:rsidRPr="00E95D10">
        <w:rPr>
          <w:u w:val="single"/>
        </w:rPr>
        <w:t>Conclusion</w:t>
      </w:r>
    </w:p>
    <w:p w14:paraId="5E7B43E8" w14:textId="77777777" w:rsidR="007D3844" w:rsidRPr="00E95D10" w:rsidRDefault="007D3844" w:rsidP="007D3844">
      <w:r>
        <w:t xml:space="preserve">The Recycled boat challenge provided an effective, engaging way to deliver key scientific and technological concepts through inquiry-based, collaborative learning. Grounded in constructivist theory and supported by current educational research, the project encouraged pupils to explore, test, and reflect in a meaningful context. It also offered valuable insight into how theory translates into practise and highlighted the importance of creativity, sustainability, and importance in STEM education. This experience has strengthened my understanding of effective pedagogy and furthered my development as a reflective and evidence-informed practitioner. </w:t>
      </w:r>
    </w:p>
    <w:p w14:paraId="39E8FFC3" w14:textId="77777777" w:rsidR="007D3844" w:rsidRDefault="007D3844" w:rsidP="007D3844"/>
    <w:p w14:paraId="3AA8A592" w14:textId="77777777" w:rsidR="007D3844" w:rsidRDefault="007D3844" w:rsidP="007D3844"/>
    <w:p w14:paraId="72E4A1AF" w14:textId="77777777" w:rsidR="007D3844" w:rsidRDefault="007D3844" w:rsidP="007D3844"/>
    <w:p w14:paraId="18C06C0B" w14:textId="77777777" w:rsidR="007D3844" w:rsidRDefault="007D3844" w:rsidP="007D3844">
      <w:pPr>
        <w:rPr>
          <w:u w:val="single"/>
        </w:rPr>
      </w:pPr>
    </w:p>
    <w:p w14:paraId="224B00EB" w14:textId="77777777" w:rsidR="007D3844" w:rsidRDefault="007D3844" w:rsidP="007D3844">
      <w:pPr>
        <w:rPr>
          <w:u w:val="single"/>
        </w:rPr>
      </w:pPr>
    </w:p>
    <w:p w14:paraId="6550EBB3" w14:textId="77777777" w:rsidR="007D3844" w:rsidRDefault="007D3844" w:rsidP="007D3844">
      <w:pPr>
        <w:rPr>
          <w:u w:val="single"/>
        </w:rPr>
      </w:pPr>
    </w:p>
    <w:p w14:paraId="7D2F5DE9" w14:textId="77777777" w:rsidR="007D3844" w:rsidRDefault="007D3844" w:rsidP="007D3844">
      <w:pPr>
        <w:rPr>
          <w:u w:val="single"/>
        </w:rPr>
      </w:pPr>
    </w:p>
    <w:p w14:paraId="3A8F7B95" w14:textId="77777777" w:rsidR="007D3844" w:rsidRDefault="007D3844" w:rsidP="007D3844">
      <w:pPr>
        <w:rPr>
          <w:u w:val="single"/>
        </w:rPr>
      </w:pPr>
    </w:p>
    <w:p w14:paraId="481BBA00" w14:textId="1D32A277" w:rsidR="007D3844" w:rsidRDefault="007D3844" w:rsidP="007D3844">
      <w:pPr>
        <w:rPr>
          <w:u w:val="single"/>
        </w:rPr>
      </w:pPr>
      <w:r w:rsidRPr="00E95D10">
        <w:rPr>
          <w:u w:val="single"/>
        </w:rPr>
        <w:lastRenderedPageBreak/>
        <w:t xml:space="preserve">References </w:t>
      </w:r>
    </w:p>
    <w:p w14:paraId="30D4C36B" w14:textId="1C2A902C"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Allen, M. and Williams, J. (2011). </w:t>
      </w:r>
      <w:r w:rsidRPr="00E95D10">
        <w:rPr>
          <w:rFonts w:eastAsia="Times New Roman" w:cs="Times New Roman"/>
          <w:i/>
          <w:iCs/>
          <w:color w:val="0E0E0E"/>
          <w:kern w:val="0"/>
          <w:lang w:eastAsia="en-GB"/>
          <w14:ligatures w14:val="none"/>
        </w:rPr>
        <w:t>Children’s understanding of sustainability issues: Implications for science education</w:t>
      </w:r>
      <w:r w:rsidRPr="00E95D10">
        <w:rPr>
          <w:rFonts w:eastAsia="Times New Roman" w:cs="Times New Roman"/>
          <w:color w:val="0E0E0E"/>
          <w:kern w:val="0"/>
          <w:lang w:eastAsia="en-GB"/>
          <w14:ligatures w14:val="none"/>
        </w:rPr>
        <w:t xml:space="preserve">. </w:t>
      </w:r>
      <w:r w:rsidRPr="00E95D10">
        <w:rPr>
          <w:rFonts w:eastAsia="Times New Roman" w:cs="Times New Roman"/>
          <w:i/>
          <w:iCs/>
          <w:color w:val="0E0E0E"/>
          <w:kern w:val="0"/>
          <w:lang w:eastAsia="en-GB"/>
          <w14:ligatures w14:val="none"/>
        </w:rPr>
        <w:t>Education 3–13</w:t>
      </w:r>
      <w:r w:rsidRPr="00E95D10">
        <w:rPr>
          <w:rFonts w:eastAsia="Times New Roman" w:cs="Times New Roman"/>
          <w:color w:val="0E0E0E"/>
          <w:kern w:val="0"/>
          <w:lang w:eastAsia="en-GB"/>
          <w14:ligatures w14:val="none"/>
        </w:rPr>
        <w:t>, 39(2), pp.135–149.</w:t>
      </w:r>
    </w:p>
    <w:p w14:paraId="26E2C508" w14:textId="700C1FBD"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Archer, L., Dawson, E., DeWitt, J., </w:t>
      </w:r>
      <w:proofErr w:type="spellStart"/>
      <w:r w:rsidRPr="00E95D10">
        <w:rPr>
          <w:rFonts w:eastAsia="Times New Roman" w:cs="Times New Roman"/>
          <w:color w:val="0E0E0E"/>
          <w:kern w:val="0"/>
          <w:lang w:eastAsia="en-GB"/>
          <w14:ligatures w14:val="none"/>
        </w:rPr>
        <w:t>Seakins</w:t>
      </w:r>
      <w:proofErr w:type="spellEnd"/>
      <w:r w:rsidRPr="00E95D10">
        <w:rPr>
          <w:rFonts w:eastAsia="Times New Roman" w:cs="Times New Roman"/>
          <w:color w:val="0E0E0E"/>
          <w:kern w:val="0"/>
          <w:lang w:eastAsia="en-GB"/>
          <w14:ligatures w14:val="none"/>
        </w:rPr>
        <w:t xml:space="preserve">, A. and Wong, B. (2015). </w:t>
      </w:r>
      <w:r w:rsidRPr="00E95D10">
        <w:rPr>
          <w:rFonts w:eastAsia="Times New Roman" w:cs="Times New Roman"/>
          <w:i/>
          <w:iCs/>
          <w:color w:val="0E0E0E"/>
          <w:kern w:val="0"/>
          <w:lang w:eastAsia="en-GB"/>
          <w14:ligatures w14:val="none"/>
        </w:rPr>
        <w:t>Science Capital: A Conceptual, Methodological, and Empirical Argument for Extending Theory and Practice in Science Education</w:t>
      </w:r>
      <w:r w:rsidRPr="00E95D10">
        <w:rPr>
          <w:rFonts w:eastAsia="Times New Roman" w:cs="Times New Roman"/>
          <w:color w:val="0E0E0E"/>
          <w:kern w:val="0"/>
          <w:lang w:eastAsia="en-GB"/>
          <w14:ligatures w14:val="none"/>
        </w:rPr>
        <w:t xml:space="preserve">. </w:t>
      </w:r>
      <w:r w:rsidRPr="00E95D10">
        <w:rPr>
          <w:rFonts w:eastAsia="Times New Roman" w:cs="Times New Roman"/>
          <w:i/>
          <w:iCs/>
          <w:color w:val="0E0E0E"/>
          <w:kern w:val="0"/>
          <w:lang w:eastAsia="en-GB"/>
          <w14:ligatures w14:val="none"/>
        </w:rPr>
        <w:t>International Journal of Science Education</w:t>
      </w:r>
      <w:r w:rsidRPr="00E95D10">
        <w:rPr>
          <w:rFonts w:eastAsia="Times New Roman" w:cs="Times New Roman"/>
          <w:color w:val="0E0E0E"/>
          <w:kern w:val="0"/>
          <w:lang w:eastAsia="en-GB"/>
          <w14:ligatures w14:val="none"/>
        </w:rPr>
        <w:t>, 37(1), pp.97–120.</w:t>
      </w:r>
    </w:p>
    <w:p w14:paraId="70E8D851" w14:textId="71EB6EF2"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Bruner, J.S. (1961). </w:t>
      </w:r>
      <w:r w:rsidRPr="00E95D10">
        <w:rPr>
          <w:rFonts w:eastAsia="Times New Roman" w:cs="Times New Roman"/>
          <w:i/>
          <w:iCs/>
          <w:color w:val="0E0E0E"/>
          <w:kern w:val="0"/>
          <w:lang w:eastAsia="en-GB"/>
          <w14:ligatures w14:val="none"/>
        </w:rPr>
        <w:t>The act of discovery</w:t>
      </w:r>
      <w:r w:rsidRPr="00E95D10">
        <w:rPr>
          <w:rFonts w:eastAsia="Times New Roman" w:cs="Times New Roman"/>
          <w:color w:val="0E0E0E"/>
          <w:kern w:val="0"/>
          <w:lang w:eastAsia="en-GB"/>
          <w14:ligatures w14:val="none"/>
        </w:rPr>
        <w:t xml:space="preserve">. </w:t>
      </w:r>
      <w:r w:rsidRPr="00E95D10">
        <w:rPr>
          <w:rFonts w:eastAsia="Times New Roman" w:cs="Times New Roman"/>
          <w:i/>
          <w:iCs/>
          <w:color w:val="0E0E0E"/>
          <w:kern w:val="0"/>
          <w:lang w:eastAsia="en-GB"/>
          <w14:ligatures w14:val="none"/>
        </w:rPr>
        <w:t>Harvard Educational Review</w:t>
      </w:r>
      <w:r w:rsidRPr="00E95D10">
        <w:rPr>
          <w:rFonts w:eastAsia="Times New Roman" w:cs="Times New Roman"/>
          <w:color w:val="0E0E0E"/>
          <w:kern w:val="0"/>
          <w:lang w:eastAsia="en-GB"/>
          <w14:ligatures w14:val="none"/>
        </w:rPr>
        <w:t>, 31(1), pp.21–32.</w:t>
      </w:r>
    </w:p>
    <w:p w14:paraId="657A38F5" w14:textId="0A8A2CF5"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Harlen, W. and </w:t>
      </w:r>
      <w:proofErr w:type="spellStart"/>
      <w:r w:rsidRPr="00E95D10">
        <w:rPr>
          <w:rFonts w:eastAsia="Times New Roman" w:cs="Times New Roman"/>
          <w:color w:val="0E0E0E"/>
          <w:kern w:val="0"/>
          <w:lang w:eastAsia="en-GB"/>
          <w14:ligatures w14:val="none"/>
        </w:rPr>
        <w:t>Qualter</w:t>
      </w:r>
      <w:proofErr w:type="spellEnd"/>
      <w:r w:rsidRPr="00E95D10">
        <w:rPr>
          <w:rFonts w:eastAsia="Times New Roman" w:cs="Times New Roman"/>
          <w:color w:val="0E0E0E"/>
          <w:kern w:val="0"/>
          <w:lang w:eastAsia="en-GB"/>
          <w14:ligatures w14:val="none"/>
        </w:rPr>
        <w:t xml:space="preserve">, A. (2018). </w:t>
      </w:r>
      <w:r w:rsidRPr="00E95D10">
        <w:rPr>
          <w:rFonts w:eastAsia="Times New Roman" w:cs="Times New Roman"/>
          <w:i/>
          <w:iCs/>
          <w:color w:val="0E0E0E"/>
          <w:kern w:val="0"/>
          <w:lang w:eastAsia="en-GB"/>
          <w14:ligatures w14:val="none"/>
        </w:rPr>
        <w:t>The Teaching of Science in Primary Schools</w:t>
      </w:r>
      <w:r w:rsidRPr="00E95D10">
        <w:rPr>
          <w:rFonts w:eastAsia="Times New Roman" w:cs="Times New Roman"/>
          <w:color w:val="0E0E0E"/>
          <w:kern w:val="0"/>
          <w:lang w:eastAsia="en-GB"/>
          <w14:ligatures w14:val="none"/>
        </w:rPr>
        <w:t>. 7th ed. Abingdon: Routledge.</w:t>
      </w:r>
    </w:p>
    <w:p w14:paraId="098E849E" w14:textId="558C82FE"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Keogh, B. and Naylor, S. (2004). </w:t>
      </w:r>
      <w:r w:rsidRPr="00E95D10">
        <w:rPr>
          <w:rFonts w:eastAsia="Times New Roman" w:cs="Times New Roman"/>
          <w:i/>
          <w:iCs/>
          <w:color w:val="0E0E0E"/>
          <w:kern w:val="0"/>
          <w:lang w:eastAsia="en-GB"/>
          <w14:ligatures w14:val="none"/>
        </w:rPr>
        <w:t>Pupils’ explanations for ‘floating and sinking’: Developing understanding through discussion</w:t>
      </w:r>
      <w:r w:rsidRPr="00E95D10">
        <w:rPr>
          <w:rFonts w:eastAsia="Times New Roman" w:cs="Times New Roman"/>
          <w:color w:val="0E0E0E"/>
          <w:kern w:val="0"/>
          <w:lang w:eastAsia="en-GB"/>
          <w14:ligatures w14:val="none"/>
        </w:rPr>
        <w:t xml:space="preserve">. </w:t>
      </w:r>
      <w:r w:rsidRPr="00E95D10">
        <w:rPr>
          <w:rFonts w:eastAsia="Times New Roman" w:cs="Times New Roman"/>
          <w:i/>
          <w:iCs/>
          <w:color w:val="0E0E0E"/>
          <w:kern w:val="0"/>
          <w:lang w:eastAsia="en-GB"/>
          <w14:ligatures w14:val="none"/>
        </w:rPr>
        <w:t>School Science Review</w:t>
      </w:r>
      <w:r w:rsidRPr="00E95D10">
        <w:rPr>
          <w:rFonts w:eastAsia="Times New Roman" w:cs="Times New Roman"/>
          <w:color w:val="0E0E0E"/>
          <w:kern w:val="0"/>
          <w:lang w:eastAsia="en-GB"/>
          <w14:ligatures w14:val="none"/>
        </w:rPr>
        <w:t>, 86(314), pp.105–111.</w:t>
      </w:r>
    </w:p>
    <w:p w14:paraId="10A8D671" w14:textId="2FAB313B"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Loxley, P., Dawes, L., Nicholls, L. and Dore, B. (2017). </w:t>
      </w:r>
      <w:r w:rsidRPr="00E95D10">
        <w:rPr>
          <w:rFonts w:eastAsia="Times New Roman" w:cs="Times New Roman"/>
          <w:i/>
          <w:iCs/>
          <w:color w:val="0E0E0E"/>
          <w:kern w:val="0"/>
          <w:lang w:eastAsia="en-GB"/>
          <w14:ligatures w14:val="none"/>
        </w:rPr>
        <w:t>Teaching Primary Science: Promoting Enjoyment and Developing Understanding</w:t>
      </w:r>
      <w:r w:rsidRPr="00E95D10">
        <w:rPr>
          <w:rFonts w:eastAsia="Times New Roman" w:cs="Times New Roman"/>
          <w:color w:val="0E0E0E"/>
          <w:kern w:val="0"/>
          <w:lang w:eastAsia="en-GB"/>
          <w14:ligatures w14:val="none"/>
        </w:rPr>
        <w:t>. 3rd ed. Abingdon: Routledge.</w:t>
      </w:r>
    </w:p>
    <w:p w14:paraId="3E2E9BD9" w14:textId="480CD744"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National Research Council (2000). </w:t>
      </w:r>
      <w:r w:rsidRPr="00E95D10">
        <w:rPr>
          <w:rFonts w:eastAsia="Times New Roman" w:cs="Times New Roman"/>
          <w:i/>
          <w:iCs/>
          <w:color w:val="0E0E0E"/>
          <w:kern w:val="0"/>
          <w:lang w:eastAsia="en-GB"/>
          <w14:ligatures w14:val="none"/>
        </w:rPr>
        <w:t>Inquiry and the National Science Education Standards: A Guide for Teaching and Learning</w:t>
      </w:r>
      <w:r w:rsidRPr="00E95D10">
        <w:rPr>
          <w:rFonts w:eastAsia="Times New Roman" w:cs="Times New Roman"/>
          <w:color w:val="0E0E0E"/>
          <w:kern w:val="0"/>
          <w:lang w:eastAsia="en-GB"/>
          <w14:ligatures w14:val="none"/>
        </w:rPr>
        <w:t>. Washington, DC: National Academy Press.</w:t>
      </w:r>
    </w:p>
    <w:p w14:paraId="140FEE84" w14:textId="08FC09B3"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Naylor, S. and Keogh, B. (2000). </w:t>
      </w:r>
      <w:r w:rsidRPr="00E95D10">
        <w:rPr>
          <w:rFonts w:eastAsia="Times New Roman" w:cs="Times New Roman"/>
          <w:i/>
          <w:iCs/>
          <w:color w:val="0E0E0E"/>
          <w:kern w:val="0"/>
          <w:lang w:eastAsia="en-GB"/>
          <w14:ligatures w14:val="none"/>
        </w:rPr>
        <w:t>Concept Cartoons in Science Education</w:t>
      </w:r>
      <w:r w:rsidRPr="00E95D10">
        <w:rPr>
          <w:rFonts w:eastAsia="Times New Roman" w:cs="Times New Roman"/>
          <w:color w:val="0E0E0E"/>
          <w:kern w:val="0"/>
          <w:lang w:eastAsia="en-GB"/>
          <w14:ligatures w14:val="none"/>
        </w:rPr>
        <w:t>. Sandbach: Millgate House Publishers.</w:t>
      </w:r>
    </w:p>
    <w:p w14:paraId="5F88E1EE" w14:textId="4C4833E7"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Orchard, J. and Winch, C. (2015). </w:t>
      </w:r>
      <w:r w:rsidRPr="00E95D10">
        <w:rPr>
          <w:rFonts w:eastAsia="Times New Roman" w:cs="Times New Roman"/>
          <w:i/>
          <w:iCs/>
          <w:color w:val="0E0E0E"/>
          <w:kern w:val="0"/>
          <w:lang w:eastAsia="en-GB"/>
          <w14:ligatures w14:val="none"/>
        </w:rPr>
        <w:t>Philosophical Perspectives on Education Policy: What training do teachers need? Why theory is necessary to good teaching</w:t>
      </w:r>
      <w:r w:rsidRPr="00E95D10">
        <w:rPr>
          <w:rFonts w:eastAsia="Times New Roman" w:cs="Times New Roman"/>
          <w:color w:val="0E0E0E"/>
          <w:kern w:val="0"/>
          <w:lang w:eastAsia="en-GB"/>
          <w14:ligatures w14:val="none"/>
        </w:rPr>
        <w:t xml:space="preserve">. </w:t>
      </w:r>
      <w:r w:rsidRPr="00E95D10">
        <w:rPr>
          <w:rFonts w:eastAsia="Times New Roman" w:cs="Times New Roman"/>
          <w:i/>
          <w:iCs/>
          <w:color w:val="0E0E0E"/>
          <w:kern w:val="0"/>
          <w:lang w:eastAsia="en-GB"/>
          <w14:ligatures w14:val="none"/>
        </w:rPr>
        <w:t>IMPACT</w:t>
      </w:r>
      <w:r w:rsidRPr="00E95D10">
        <w:rPr>
          <w:rFonts w:eastAsia="Times New Roman" w:cs="Times New Roman"/>
          <w:color w:val="0E0E0E"/>
          <w:kern w:val="0"/>
          <w:lang w:eastAsia="en-GB"/>
          <w14:ligatures w14:val="none"/>
        </w:rPr>
        <w:t xml:space="preserve"> no. 22. Philosophy of Education Society of Great Britain.</w:t>
      </w:r>
    </w:p>
    <w:p w14:paraId="219AB97B" w14:textId="3963FF5C"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Piaget, J. (1950). </w:t>
      </w:r>
      <w:r w:rsidRPr="00E95D10">
        <w:rPr>
          <w:rFonts w:eastAsia="Times New Roman" w:cs="Times New Roman"/>
          <w:i/>
          <w:iCs/>
          <w:color w:val="0E0E0E"/>
          <w:kern w:val="0"/>
          <w:lang w:eastAsia="en-GB"/>
          <w14:ligatures w14:val="none"/>
        </w:rPr>
        <w:t>The Psychology of Intelligence</w:t>
      </w:r>
      <w:r w:rsidRPr="00E95D10">
        <w:rPr>
          <w:rFonts w:eastAsia="Times New Roman" w:cs="Times New Roman"/>
          <w:color w:val="0E0E0E"/>
          <w:kern w:val="0"/>
          <w:lang w:eastAsia="en-GB"/>
          <w14:ligatures w14:val="none"/>
        </w:rPr>
        <w:t>. London: Routledge.</w:t>
      </w:r>
    </w:p>
    <w:p w14:paraId="39112AF9" w14:textId="2F67BA54"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Turvey, K., Potter, J. and Burton, D. (2018). </w:t>
      </w:r>
      <w:r w:rsidRPr="00E95D10">
        <w:rPr>
          <w:rFonts w:eastAsia="Times New Roman" w:cs="Times New Roman"/>
          <w:i/>
          <w:iCs/>
          <w:color w:val="0E0E0E"/>
          <w:kern w:val="0"/>
          <w:lang w:eastAsia="en-GB"/>
          <w14:ligatures w14:val="none"/>
        </w:rPr>
        <w:t>Primary Computing and Digital Technologies: Knowledge, Understanding and Practice</w:t>
      </w:r>
      <w:r w:rsidRPr="00E95D10">
        <w:rPr>
          <w:rFonts w:eastAsia="Times New Roman" w:cs="Times New Roman"/>
          <w:color w:val="0E0E0E"/>
          <w:kern w:val="0"/>
          <w:lang w:eastAsia="en-GB"/>
          <w14:ligatures w14:val="none"/>
        </w:rPr>
        <w:t>. 7th ed. London: Learning Matters.</w:t>
      </w:r>
    </w:p>
    <w:p w14:paraId="3C37F1BE" w14:textId="3DEFB10B"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Vygotsky, L.S. (1978). </w:t>
      </w:r>
      <w:r w:rsidRPr="00E95D10">
        <w:rPr>
          <w:rFonts w:eastAsia="Times New Roman" w:cs="Times New Roman"/>
          <w:i/>
          <w:iCs/>
          <w:color w:val="0E0E0E"/>
          <w:kern w:val="0"/>
          <w:lang w:eastAsia="en-GB"/>
          <w14:ligatures w14:val="none"/>
        </w:rPr>
        <w:t>Mind in Society: The Development of Higher Psychological Processes</w:t>
      </w:r>
      <w:r w:rsidRPr="00E95D10">
        <w:rPr>
          <w:rFonts w:eastAsia="Times New Roman" w:cs="Times New Roman"/>
          <w:color w:val="0E0E0E"/>
          <w:kern w:val="0"/>
          <w:lang w:eastAsia="en-GB"/>
          <w14:ligatures w14:val="none"/>
        </w:rPr>
        <w:t>. Cambridge, MA: Harvard University Press.</w:t>
      </w:r>
    </w:p>
    <w:p w14:paraId="7EEE1630" w14:textId="42F7F7F1"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Welsh Government (2015). </w:t>
      </w:r>
      <w:r w:rsidRPr="00E95D10">
        <w:rPr>
          <w:rFonts w:eastAsia="Times New Roman" w:cs="Times New Roman"/>
          <w:i/>
          <w:iCs/>
          <w:color w:val="0E0E0E"/>
          <w:kern w:val="0"/>
          <w:lang w:eastAsia="en-GB"/>
          <w14:ligatures w14:val="none"/>
        </w:rPr>
        <w:t>Well-being of Future Generations (Wales) Act 2015</w:t>
      </w:r>
      <w:r w:rsidRPr="00E95D10">
        <w:rPr>
          <w:rFonts w:eastAsia="Times New Roman" w:cs="Times New Roman"/>
          <w:color w:val="0E0E0E"/>
          <w:kern w:val="0"/>
          <w:lang w:eastAsia="en-GB"/>
          <w14:ligatures w14:val="none"/>
        </w:rPr>
        <w:t>. [online] Available at: https://www.legislation.gov.uk/anaw/2015/2/contents/enacted [Accessed 18 May 2025].</w:t>
      </w:r>
    </w:p>
    <w:p w14:paraId="0ED62321" w14:textId="77777777" w:rsidR="007D3844" w:rsidRPr="00E95D10" w:rsidRDefault="007D3844" w:rsidP="007D3844">
      <w:pPr>
        <w:rPr>
          <w:rFonts w:eastAsia="Times New Roman" w:cs="Times New Roman"/>
          <w:color w:val="0E0E0E"/>
          <w:kern w:val="0"/>
          <w:lang w:eastAsia="en-GB"/>
          <w14:ligatures w14:val="none"/>
        </w:rPr>
      </w:pPr>
      <w:r w:rsidRPr="00E95D10">
        <w:rPr>
          <w:rFonts w:eastAsia="Times New Roman" w:cs="Times New Roman"/>
          <w:color w:val="0E0E0E"/>
          <w:kern w:val="0"/>
          <w:lang w:eastAsia="en-GB"/>
          <w14:ligatures w14:val="none"/>
        </w:rPr>
        <w:t xml:space="preserve">Welsh Government (2020). </w:t>
      </w:r>
      <w:r w:rsidRPr="00E95D10">
        <w:rPr>
          <w:rFonts w:eastAsia="Times New Roman" w:cs="Times New Roman"/>
          <w:i/>
          <w:iCs/>
          <w:color w:val="0E0E0E"/>
          <w:kern w:val="0"/>
          <w:lang w:eastAsia="en-GB"/>
          <w14:ligatures w14:val="none"/>
        </w:rPr>
        <w:t>Curriculum for Wales Guidance</w:t>
      </w:r>
      <w:r w:rsidRPr="00E95D10">
        <w:rPr>
          <w:rFonts w:eastAsia="Times New Roman" w:cs="Times New Roman"/>
          <w:color w:val="0E0E0E"/>
          <w:kern w:val="0"/>
          <w:lang w:eastAsia="en-GB"/>
          <w14:ligatures w14:val="none"/>
        </w:rPr>
        <w:t>. [online] Available at: https://hwb.gov.wales/curriculum-for-wales/ [Accessed 18 May 2025].</w:t>
      </w:r>
    </w:p>
    <w:p w14:paraId="5D1288CF" w14:textId="77777777" w:rsidR="0000375B" w:rsidRDefault="0000375B" w:rsidP="0000375B">
      <w:pPr>
        <w:rPr>
          <w:b/>
          <w:bCs/>
        </w:rPr>
      </w:pPr>
    </w:p>
    <w:p w14:paraId="3729DB03" w14:textId="77777777" w:rsidR="0000375B" w:rsidRPr="0000375B" w:rsidRDefault="0000375B" w:rsidP="0000375B"/>
    <w:p w14:paraId="00FCD18B" w14:textId="77777777" w:rsidR="000C541C" w:rsidRDefault="000C541C" w:rsidP="00DD5969">
      <w:pPr>
        <w:rPr>
          <w:sz w:val="16"/>
          <w:szCs w:val="16"/>
        </w:rPr>
      </w:pPr>
    </w:p>
    <w:p w14:paraId="6EA9A853" w14:textId="77777777" w:rsidR="0000375B" w:rsidRDefault="0000375B" w:rsidP="00DD5969">
      <w:pPr>
        <w:rPr>
          <w:sz w:val="16"/>
          <w:szCs w:val="16"/>
        </w:rPr>
      </w:pPr>
    </w:p>
    <w:p w14:paraId="32F37250" w14:textId="77777777"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7198D"/>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17AB6"/>
    <w:rsid w:val="004D474C"/>
    <w:rsid w:val="00536CFB"/>
    <w:rsid w:val="00543F5E"/>
    <w:rsid w:val="00584970"/>
    <w:rsid w:val="005B783A"/>
    <w:rsid w:val="005F42D0"/>
    <w:rsid w:val="005F7C42"/>
    <w:rsid w:val="0062310A"/>
    <w:rsid w:val="00664B16"/>
    <w:rsid w:val="00693FD1"/>
    <w:rsid w:val="006B52C3"/>
    <w:rsid w:val="007203C3"/>
    <w:rsid w:val="007352C0"/>
    <w:rsid w:val="00743752"/>
    <w:rsid w:val="007D3844"/>
    <w:rsid w:val="007D3AE1"/>
    <w:rsid w:val="007E01E0"/>
    <w:rsid w:val="00803155"/>
    <w:rsid w:val="00840BEE"/>
    <w:rsid w:val="00851EDB"/>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24ADF"/>
    <w:rsid w:val="00D26517"/>
    <w:rsid w:val="00DC55F3"/>
    <w:rsid w:val="00DD5969"/>
    <w:rsid w:val="00E10797"/>
    <w:rsid w:val="00E243A8"/>
    <w:rsid w:val="00E6747C"/>
    <w:rsid w:val="00EA0B9A"/>
    <w:rsid w:val="00EA15D1"/>
    <w:rsid w:val="00EA6220"/>
    <w:rsid w:val="00EC1771"/>
    <w:rsid w:val="00EF21E1"/>
    <w:rsid w:val="00F8089C"/>
    <w:rsid w:val="00F93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D38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8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1961</Words>
  <Characters>11180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Alex Jenkins (2205212)</cp:lastModifiedBy>
  <cp:revision>2</cp:revision>
  <dcterms:created xsi:type="dcterms:W3CDTF">2025-05-19T18:10:00Z</dcterms:created>
  <dcterms:modified xsi:type="dcterms:W3CDTF">2025-05-19T18:10:00Z</dcterms:modified>
</cp:coreProperties>
</file>