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22217" w14:textId="77777777" w:rsidR="00954581" w:rsidRPr="00954581" w:rsidRDefault="00954581" w:rsidP="00954581">
      <w:pPr>
        <w:rPr>
          <w:rFonts w:cstheme="minorHAnsi"/>
          <w:sz w:val="28"/>
          <w:szCs w:val="28"/>
        </w:rPr>
      </w:pPr>
      <w:r w:rsidRPr="00954581">
        <w:rPr>
          <w:rFonts w:cstheme="minorHAnsi"/>
          <w:b/>
          <w:bCs/>
          <w:sz w:val="28"/>
          <w:szCs w:val="28"/>
        </w:rPr>
        <w:t>Ratio Summary:</w:t>
      </w:r>
    </w:p>
    <w:p w14:paraId="74D2A943" w14:textId="77777777" w:rsidR="00954581" w:rsidRPr="00954581" w:rsidRDefault="00954581" w:rsidP="00954581">
      <w:pPr>
        <w:numPr>
          <w:ilvl w:val="0"/>
          <w:numId w:val="1"/>
        </w:numPr>
        <w:rPr>
          <w:rFonts w:cstheme="minorHAnsi"/>
          <w:sz w:val="28"/>
          <w:szCs w:val="28"/>
        </w:rPr>
      </w:pPr>
      <w:r w:rsidRPr="00954581">
        <w:rPr>
          <w:rFonts w:cstheme="minorHAnsi"/>
          <w:b/>
          <w:bCs/>
          <w:sz w:val="28"/>
          <w:szCs w:val="28"/>
        </w:rPr>
        <w:t>Profitability:</w:t>
      </w:r>
      <w:r w:rsidRPr="00954581">
        <w:rPr>
          <w:rFonts w:cstheme="minorHAnsi"/>
          <w:sz w:val="28"/>
          <w:szCs w:val="28"/>
        </w:rPr>
        <w:t> All 3 margins up. Gross 83.3%→85.3%, Operating 17%→23.1%, Net 9.1%→14.6%</w:t>
      </w:r>
    </w:p>
    <w:p w14:paraId="50B47888" w14:textId="77777777" w:rsidR="00954581" w:rsidRPr="00954581" w:rsidRDefault="00954581" w:rsidP="00954581">
      <w:pPr>
        <w:numPr>
          <w:ilvl w:val="0"/>
          <w:numId w:val="1"/>
        </w:numPr>
        <w:rPr>
          <w:rFonts w:cstheme="minorHAnsi"/>
          <w:sz w:val="28"/>
          <w:szCs w:val="28"/>
        </w:rPr>
      </w:pPr>
      <w:r w:rsidRPr="00954581">
        <w:rPr>
          <w:rFonts w:cstheme="minorHAnsi"/>
          <w:b/>
          <w:bCs/>
          <w:sz w:val="28"/>
          <w:szCs w:val="28"/>
        </w:rPr>
        <w:t>Liquidity:</w:t>
      </w:r>
      <w:r w:rsidRPr="00954581">
        <w:rPr>
          <w:rFonts w:cstheme="minorHAnsi"/>
          <w:sz w:val="28"/>
          <w:szCs w:val="28"/>
        </w:rPr>
        <w:t> All 3 ratios down. Current 1.27→0.98, Quick 1.25→0.93, Cash 0.89→0.54</w:t>
      </w:r>
    </w:p>
    <w:p w14:paraId="3680E9BA" w14:textId="77777777" w:rsidR="00954581" w:rsidRPr="00954581" w:rsidRDefault="00954581" w:rsidP="00954581">
      <w:pPr>
        <w:numPr>
          <w:ilvl w:val="0"/>
          <w:numId w:val="1"/>
        </w:numPr>
        <w:rPr>
          <w:rFonts w:cstheme="minorHAnsi"/>
          <w:sz w:val="28"/>
          <w:szCs w:val="28"/>
        </w:rPr>
      </w:pPr>
      <w:r w:rsidRPr="00954581">
        <w:rPr>
          <w:rFonts w:cstheme="minorHAnsi"/>
          <w:b/>
          <w:bCs/>
          <w:sz w:val="28"/>
          <w:szCs w:val="28"/>
        </w:rPr>
        <w:t>Efficiency:</w:t>
      </w:r>
      <w:r w:rsidRPr="00954581">
        <w:rPr>
          <w:rFonts w:cstheme="minorHAnsi"/>
          <w:sz w:val="28"/>
          <w:szCs w:val="28"/>
        </w:rPr>
        <w:t> Both up sharply. Asset Turnover 0.62→0.97x, Fixed Turnover 1.81→3.30x</w:t>
      </w:r>
    </w:p>
    <w:p w14:paraId="4E750389" w14:textId="10423317" w:rsidR="00954581" w:rsidRPr="00954581" w:rsidRDefault="00954581" w:rsidP="00954581">
      <w:pPr>
        <w:numPr>
          <w:ilvl w:val="0"/>
          <w:numId w:val="1"/>
        </w:numPr>
        <w:rPr>
          <w:rFonts w:cstheme="minorHAnsi"/>
          <w:sz w:val="28"/>
          <w:szCs w:val="28"/>
        </w:rPr>
      </w:pPr>
      <w:r w:rsidRPr="00954581">
        <w:rPr>
          <w:rFonts w:cstheme="minorHAnsi"/>
          <w:b/>
          <w:bCs/>
          <w:sz w:val="28"/>
          <w:szCs w:val="28"/>
        </w:rPr>
        <w:t>Leverage:</w:t>
      </w:r>
      <w:r w:rsidRPr="00954581">
        <w:rPr>
          <w:rFonts w:cstheme="minorHAnsi"/>
          <w:sz w:val="28"/>
          <w:szCs w:val="28"/>
        </w:rPr>
        <w:t> Debt-to-Assets 131%→151%, Interest Coverage 3.7x→5.9x (peak 9.0x in 2023)</w:t>
      </w:r>
    </w:p>
    <w:p w14:paraId="05D5DCCE" w14:textId="77777777" w:rsidR="00954581" w:rsidRPr="00954581" w:rsidRDefault="00954581" w:rsidP="00954581">
      <w:pPr>
        <w:ind w:left="720"/>
        <w:rPr>
          <w:rFonts w:cstheme="minorHAnsi"/>
          <w:sz w:val="28"/>
          <w:szCs w:val="28"/>
        </w:rPr>
      </w:pPr>
    </w:p>
    <w:p w14:paraId="7A1590A8" w14:textId="77777777" w:rsidR="00954581" w:rsidRPr="00954581" w:rsidRDefault="00954581" w:rsidP="00954581">
      <w:pPr>
        <w:rPr>
          <w:rFonts w:cstheme="minorHAnsi"/>
          <w:b/>
          <w:bCs/>
          <w:sz w:val="28"/>
          <w:szCs w:val="28"/>
        </w:rPr>
      </w:pPr>
      <w:r w:rsidRPr="00954581">
        <w:rPr>
          <w:rFonts w:cstheme="minorHAnsi"/>
          <w:b/>
          <w:bCs/>
          <w:sz w:val="28"/>
          <w:szCs w:val="28"/>
        </w:rPr>
        <w:t>CONCLUSION</w:t>
      </w:r>
    </w:p>
    <w:p w14:paraId="285B80D5" w14:textId="77777777" w:rsidR="00954581" w:rsidRPr="00954581" w:rsidRDefault="00954581" w:rsidP="00954581">
      <w:pPr>
        <w:rPr>
          <w:rFonts w:cstheme="minorHAnsi"/>
          <w:sz w:val="28"/>
          <w:szCs w:val="28"/>
        </w:rPr>
      </w:pPr>
      <w:r w:rsidRPr="00954581">
        <w:rPr>
          <w:rFonts w:cstheme="minorHAnsi"/>
          <w:b/>
          <w:bCs/>
          <w:sz w:val="28"/>
          <w:szCs w:val="28"/>
        </w:rPr>
        <w:t>1. Financial Health is STRONG, despite negative equity.</w:t>
      </w:r>
      <w:r w:rsidRPr="00954581">
        <w:rPr>
          <w:rFonts w:cstheme="minorHAnsi"/>
          <w:sz w:val="28"/>
          <w:szCs w:val="28"/>
        </w:rPr>
        <w:br/>
        <w:t>Negative equity of -$2.7bn would mean bankruptcy for a manufacturer, but for IHG it is a sign of capital efficiency. IHG has no factories. Its value is in 20 brands (Holiday Inn, Crowne Plaza, InterContinental) which are not on the balance sheet at fair value. It uses debt to fund buybacks because its operating cash flow ($898m in 2025) is predictable and high.</w:t>
      </w:r>
    </w:p>
    <w:p w14:paraId="596A3256" w14:textId="77777777" w:rsidR="00954581" w:rsidRPr="00954581" w:rsidRDefault="00954581" w:rsidP="00954581">
      <w:pPr>
        <w:rPr>
          <w:rFonts w:cstheme="minorHAnsi"/>
          <w:sz w:val="28"/>
          <w:szCs w:val="28"/>
        </w:rPr>
      </w:pPr>
      <w:r w:rsidRPr="00954581">
        <w:rPr>
          <w:rFonts w:cstheme="minorHAnsi"/>
          <w:b/>
          <w:bCs/>
          <w:sz w:val="28"/>
          <w:szCs w:val="28"/>
        </w:rPr>
        <w:t>2. The Business Model Transition is Complete.</w:t>
      </w:r>
      <w:r w:rsidRPr="00954581">
        <w:rPr>
          <w:rFonts w:cstheme="minorHAnsi"/>
          <w:sz w:val="28"/>
          <w:szCs w:val="28"/>
        </w:rPr>
        <w:br/>
        <w:t>In 2021, IHG still had owned-hotel risk. By 2025, 85% of gross profit comes from fees with almost zero incremental assets. Fixed asset turnover doubling to 3.30x proves this.</w:t>
      </w:r>
    </w:p>
    <w:p w14:paraId="5A19E79B" w14:textId="77777777" w:rsidR="00954581" w:rsidRPr="00954581" w:rsidRDefault="00954581" w:rsidP="00954581">
      <w:pPr>
        <w:rPr>
          <w:rFonts w:cstheme="minorHAnsi"/>
          <w:sz w:val="28"/>
          <w:szCs w:val="28"/>
        </w:rPr>
      </w:pPr>
      <w:r w:rsidRPr="00954581">
        <w:rPr>
          <w:rFonts w:cstheme="minorHAnsi"/>
          <w:b/>
          <w:bCs/>
          <w:sz w:val="28"/>
          <w:szCs w:val="28"/>
        </w:rPr>
        <w:t>3. The Main Risk Has Shifted.</w:t>
      </w:r>
    </w:p>
    <w:p w14:paraId="2ED70166" w14:textId="77777777" w:rsidR="00954581" w:rsidRPr="00954581" w:rsidRDefault="00954581" w:rsidP="00954581">
      <w:pPr>
        <w:numPr>
          <w:ilvl w:val="0"/>
          <w:numId w:val="2"/>
        </w:numPr>
        <w:rPr>
          <w:rFonts w:cstheme="minorHAnsi"/>
          <w:sz w:val="28"/>
          <w:szCs w:val="28"/>
        </w:rPr>
      </w:pPr>
      <w:r w:rsidRPr="00954581">
        <w:rPr>
          <w:rFonts w:cstheme="minorHAnsi"/>
          <w:b/>
          <w:bCs/>
          <w:sz w:val="28"/>
          <w:szCs w:val="28"/>
        </w:rPr>
        <w:t>2021 Risk:</w:t>
      </w:r>
      <w:r w:rsidRPr="00954581">
        <w:rPr>
          <w:rFonts w:cstheme="minorHAnsi"/>
          <w:sz w:val="28"/>
          <w:szCs w:val="28"/>
        </w:rPr>
        <w:t> RevPAR collapse (Covid)</w:t>
      </w:r>
    </w:p>
    <w:p w14:paraId="095D629A" w14:textId="77777777" w:rsidR="00954581" w:rsidRPr="00954581" w:rsidRDefault="00954581" w:rsidP="00954581">
      <w:pPr>
        <w:numPr>
          <w:ilvl w:val="0"/>
          <w:numId w:val="2"/>
        </w:numPr>
        <w:rPr>
          <w:rFonts w:cstheme="minorHAnsi"/>
          <w:sz w:val="28"/>
          <w:szCs w:val="28"/>
        </w:rPr>
      </w:pPr>
      <w:r w:rsidRPr="00954581">
        <w:rPr>
          <w:rFonts w:cstheme="minorHAnsi"/>
          <w:b/>
          <w:bCs/>
          <w:sz w:val="28"/>
          <w:szCs w:val="28"/>
        </w:rPr>
        <w:t>2025 Risk:</w:t>
      </w:r>
      <w:r w:rsidRPr="00954581">
        <w:rPr>
          <w:rFonts w:cstheme="minorHAnsi"/>
          <w:sz w:val="28"/>
          <w:szCs w:val="28"/>
        </w:rPr>
        <w:t> Financial risk. With $4.2bn of total loans (vs $2.8bn in 2021) and $202m interest paid, IHG is sensitive to interest rate rises. If travel demand drops, leverage of 151% gives little buffer. However, 5.9x interest coverage still provides a large safety margin.</w:t>
      </w:r>
    </w:p>
    <w:p w14:paraId="5E9C586E" w14:textId="77777777" w:rsidR="00954581" w:rsidRPr="00954581" w:rsidRDefault="00954581" w:rsidP="00954581">
      <w:r w:rsidRPr="00954581">
        <w:rPr>
          <w:rFonts w:cstheme="minorHAnsi"/>
          <w:b/>
          <w:bCs/>
          <w:sz w:val="28"/>
          <w:szCs w:val="28"/>
        </w:rPr>
        <w:t>4. Valuation Implication.</w:t>
      </w:r>
      <w:r w:rsidRPr="00954581">
        <w:rPr>
          <w:rFonts w:cstheme="minorHAnsi"/>
          <w:sz w:val="28"/>
          <w:szCs w:val="28"/>
        </w:rPr>
        <w:br/>
        <w:t>An investor should not value IHG on book value (negative) or current ratio</w:t>
      </w:r>
      <w:r w:rsidRPr="00954581">
        <w:t xml:space="preserve"> (&lt;1.0). Correct metrics are: Operating Margin, Free Cash Flow Conversion (Operating Cash $898m vs Net Income $759m = 118% — excellent), and Net Debt / EBITDA (IHG target 2.5-3.0x)</w:t>
      </w:r>
    </w:p>
    <w:p w14:paraId="743E0465" w14:textId="77777777" w:rsidR="00FF6B69" w:rsidRDefault="00FF6B69"/>
    <w:sectPr w:rsidR="00FF6B69" w:rsidSect="00E96335">
      <w:type w:val="continuous"/>
      <w:pgSz w:w="11900" w:h="16840"/>
      <w:pgMar w:top="1020" w:right="1400" w:bottom="280" w:left="13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76A3"/>
    <w:multiLevelType w:val="multilevel"/>
    <w:tmpl w:val="5F12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A25AE"/>
    <w:multiLevelType w:val="multilevel"/>
    <w:tmpl w:val="9E12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9292809">
    <w:abstractNumId w:val="0"/>
  </w:num>
  <w:num w:numId="2" w16cid:durableId="1526406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2"/>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581"/>
    <w:rsid w:val="000F133F"/>
    <w:rsid w:val="001C673E"/>
    <w:rsid w:val="004316A7"/>
    <w:rsid w:val="00463536"/>
    <w:rsid w:val="00621818"/>
    <w:rsid w:val="00801752"/>
    <w:rsid w:val="00954581"/>
    <w:rsid w:val="00E96335"/>
    <w:rsid w:val="00FF6B6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7D5D2"/>
  <w15:chartTrackingRefBased/>
  <w15:docId w15:val="{C7E64910-0F15-49B5-9696-34D27F8A8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6A7"/>
  </w:style>
  <w:style w:type="paragraph" w:styleId="Heading1">
    <w:name w:val="heading 1"/>
    <w:basedOn w:val="Normal"/>
    <w:next w:val="Normal"/>
    <w:link w:val="Heading1Char"/>
    <w:uiPriority w:val="9"/>
    <w:qFormat/>
    <w:rsid w:val="009545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545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45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45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45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45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5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5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5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5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45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45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45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45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45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5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5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581"/>
    <w:rPr>
      <w:rFonts w:eastAsiaTheme="majorEastAsia" w:cstheme="majorBidi"/>
      <w:color w:val="272727" w:themeColor="text1" w:themeTint="D8"/>
    </w:rPr>
  </w:style>
  <w:style w:type="paragraph" w:styleId="Title">
    <w:name w:val="Title"/>
    <w:basedOn w:val="Normal"/>
    <w:next w:val="Normal"/>
    <w:link w:val="TitleChar"/>
    <w:uiPriority w:val="10"/>
    <w:qFormat/>
    <w:rsid w:val="009545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5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5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5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581"/>
    <w:pPr>
      <w:spacing w:before="160"/>
      <w:jc w:val="center"/>
    </w:pPr>
    <w:rPr>
      <w:i/>
      <w:iCs/>
      <w:color w:val="404040" w:themeColor="text1" w:themeTint="BF"/>
    </w:rPr>
  </w:style>
  <w:style w:type="character" w:customStyle="1" w:styleId="QuoteChar">
    <w:name w:val="Quote Char"/>
    <w:basedOn w:val="DefaultParagraphFont"/>
    <w:link w:val="Quote"/>
    <w:uiPriority w:val="29"/>
    <w:rsid w:val="00954581"/>
    <w:rPr>
      <w:i/>
      <w:iCs/>
      <w:color w:val="404040" w:themeColor="text1" w:themeTint="BF"/>
    </w:rPr>
  </w:style>
  <w:style w:type="paragraph" w:styleId="ListParagraph">
    <w:name w:val="List Paragraph"/>
    <w:basedOn w:val="Normal"/>
    <w:uiPriority w:val="34"/>
    <w:qFormat/>
    <w:rsid w:val="00954581"/>
    <w:pPr>
      <w:ind w:left="720"/>
      <w:contextualSpacing/>
    </w:pPr>
  </w:style>
  <w:style w:type="character" w:styleId="IntenseEmphasis">
    <w:name w:val="Intense Emphasis"/>
    <w:basedOn w:val="DefaultParagraphFont"/>
    <w:uiPriority w:val="21"/>
    <w:qFormat/>
    <w:rsid w:val="00954581"/>
    <w:rPr>
      <w:i/>
      <w:iCs/>
      <w:color w:val="2F5496" w:themeColor="accent1" w:themeShade="BF"/>
    </w:rPr>
  </w:style>
  <w:style w:type="paragraph" w:styleId="IntenseQuote">
    <w:name w:val="Intense Quote"/>
    <w:basedOn w:val="Normal"/>
    <w:next w:val="Normal"/>
    <w:link w:val="IntenseQuoteChar"/>
    <w:uiPriority w:val="30"/>
    <w:qFormat/>
    <w:rsid w:val="009545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4581"/>
    <w:rPr>
      <w:i/>
      <w:iCs/>
      <w:color w:val="2F5496" w:themeColor="accent1" w:themeShade="BF"/>
    </w:rPr>
  </w:style>
  <w:style w:type="character" w:styleId="IntenseReference">
    <w:name w:val="Intense Reference"/>
    <w:basedOn w:val="DefaultParagraphFont"/>
    <w:uiPriority w:val="32"/>
    <w:qFormat/>
    <w:rsid w:val="0095458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242</Words>
  <Characters>1380</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 patel</dc:creator>
  <cp:keywords/>
  <dc:description/>
  <cp:lastModifiedBy>meet patel</cp:lastModifiedBy>
  <cp:revision>1</cp:revision>
  <dcterms:created xsi:type="dcterms:W3CDTF">2026-07-24T13:38:00Z</dcterms:created>
  <dcterms:modified xsi:type="dcterms:W3CDTF">2026-07-24T13:42:00Z</dcterms:modified>
</cp:coreProperties>
</file>