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B0781EB" w14:textId="1D0054B0" w:rsidR="001D01C7" w:rsidRDefault="001D01C7">
      <w:pPr>
        <w:rPr>
          <w:rFonts w:cstheme="minorHAnsi"/>
        </w:rPr>
      </w:pPr>
      <w:r w:rsidRPr="00975C5A">
        <w:rPr>
          <w:rFonts w:cstheme="minorHAnsi"/>
        </w:rPr>
        <w:t>The following is an encyclopaedia entry in the style of the Oxford Islamic Studies online.</w:t>
      </w:r>
    </w:p>
    <w:p w14:paraId="30BD947E" w14:textId="77777777" w:rsidR="001D01C7" w:rsidRPr="001D01C7" w:rsidRDefault="001D01C7">
      <w:pPr>
        <w:rPr>
          <w:rFonts w:cstheme="minorHAnsi"/>
        </w:rPr>
      </w:pPr>
    </w:p>
    <w:p w14:paraId="4964B9EA" w14:textId="6C9AD5C3" w:rsidR="005C3B27" w:rsidRDefault="005F5ACC">
      <w:r>
        <w:t xml:space="preserve">Istishab </w:t>
      </w:r>
    </w:p>
    <w:p w14:paraId="574FC736" w14:textId="77777777" w:rsidR="00863065" w:rsidRDefault="007626F1" w:rsidP="00E01632">
      <w:pPr>
        <w:spacing w:line="360" w:lineRule="auto"/>
        <w:jc w:val="both"/>
      </w:pPr>
      <w:r w:rsidRPr="00BE0188">
        <w:rPr>
          <w:i/>
        </w:rPr>
        <w:t>Istishab</w:t>
      </w:r>
      <w:r>
        <w:t xml:space="preserve"> is defined within Islamic law as the presumption of continuity</w:t>
      </w:r>
      <w:r w:rsidR="006B02B7">
        <w:t xml:space="preserve"> and representative of a situation </w:t>
      </w:r>
      <w:r w:rsidR="00D56826">
        <w:t xml:space="preserve">that </w:t>
      </w:r>
      <w:r w:rsidR="006B02B7">
        <w:t>continues to exist until it is proven to the contrary</w:t>
      </w:r>
      <w:r w:rsidR="00802A97">
        <w:rPr>
          <w:rStyle w:val="FootnoteReference"/>
        </w:rPr>
        <w:footnoteReference w:id="1"/>
      </w:r>
      <w:r w:rsidR="00347C6C">
        <w:t>.</w:t>
      </w:r>
      <w:r w:rsidR="00C36A66">
        <w:t xml:space="preserve"> </w:t>
      </w:r>
      <w:r w:rsidR="00BE0188">
        <w:t>Deriving</w:t>
      </w:r>
      <w:r w:rsidR="000B3842">
        <w:t xml:space="preserve"> from the same origin as the word </w:t>
      </w:r>
      <w:r w:rsidR="000B3842" w:rsidRPr="00BE0188">
        <w:rPr>
          <w:i/>
        </w:rPr>
        <w:t>sahib</w:t>
      </w:r>
      <w:r w:rsidR="000B3842">
        <w:t xml:space="preserve"> which means companionship, </w:t>
      </w:r>
      <w:r w:rsidR="00E87521" w:rsidRPr="00BE0188">
        <w:rPr>
          <w:i/>
        </w:rPr>
        <w:t>istishab</w:t>
      </w:r>
      <w:r w:rsidR="003C06C8">
        <w:t xml:space="preserve"> can be literally translated as </w:t>
      </w:r>
      <w:r w:rsidR="00BE0188">
        <w:t>‘</w:t>
      </w:r>
      <w:r w:rsidR="003C06C8">
        <w:t>seeking companionship</w:t>
      </w:r>
      <w:r w:rsidR="00BE0188">
        <w:t>’</w:t>
      </w:r>
      <w:r w:rsidR="003C06C8">
        <w:rPr>
          <w:rStyle w:val="FootnoteReference"/>
        </w:rPr>
        <w:footnoteReference w:id="2"/>
      </w:r>
      <w:r w:rsidR="00863065">
        <w:t>.</w:t>
      </w:r>
    </w:p>
    <w:p w14:paraId="383D1A87" w14:textId="61D221B8" w:rsidR="007626F1" w:rsidRDefault="005C12C0" w:rsidP="00E01632">
      <w:pPr>
        <w:spacing w:line="360" w:lineRule="auto"/>
        <w:jc w:val="both"/>
      </w:pPr>
      <w:r w:rsidRPr="00863065">
        <w:rPr>
          <w:i/>
        </w:rPr>
        <w:t>Istishab</w:t>
      </w:r>
      <w:r>
        <w:t xml:space="preserve"> cannot </w:t>
      </w:r>
      <w:r w:rsidR="002E4768">
        <w:t xml:space="preserve">strictly </w:t>
      </w:r>
      <w:r>
        <w:t xml:space="preserve">be </w:t>
      </w:r>
      <w:r w:rsidR="00965076">
        <w:t xml:space="preserve">qualified as a method in legal </w:t>
      </w:r>
      <w:r w:rsidR="000543D5">
        <w:t>reasoning but</w:t>
      </w:r>
      <w:r w:rsidR="00965076">
        <w:t xml:space="preserve"> </w:t>
      </w:r>
      <w:r w:rsidR="009F5D13">
        <w:t>was</w:t>
      </w:r>
      <w:r w:rsidR="00965076">
        <w:t xml:space="preserve"> included within the framework of </w:t>
      </w:r>
      <w:r w:rsidR="00965076" w:rsidRPr="00863065">
        <w:rPr>
          <w:i/>
        </w:rPr>
        <w:t>istid</w:t>
      </w:r>
      <w:r w:rsidR="00A65372">
        <w:rPr>
          <w:i/>
        </w:rPr>
        <w:t>l</w:t>
      </w:r>
      <w:r w:rsidR="00965076" w:rsidRPr="00863065">
        <w:rPr>
          <w:i/>
        </w:rPr>
        <w:t>al</w:t>
      </w:r>
      <w:r w:rsidR="00965076">
        <w:t xml:space="preserve"> </w:t>
      </w:r>
      <w:r w:rsidR="009F5D13">
        <w:t>(a principle that avoids strict analogy) by later theorists</w:t>
      </w:r>
      <w:r w:rsidR="000543D5">
        <w:t>. I</w:t>
      </w:r>
      <w:r w:rsidR="00965076">
        <w:t xml:space="preserve">t </w:t>
      </w:r>
      <w:r w:rsidR="000543D5">
        <w:t>wa</w:t>
      </w:r>
      <w:r w:rsidR="00965076">
        <w:t xml:space="preserve">s often discussed </w:t>
      </w:r>
      <w:r w:rsidR="008E54EB">
        <w:t>under the umbrella of juristic preference</w:t>
      </w:r>
      <w:r w:rsidR="002E4768">
        <w:t xml:space="preserve"> and</w:t>
      </w:r>
      <w:r w:rsidR="008E54EB">
        <w:t xml:space="preserve"> the textually unregulated </w:t>
      </w:r>
      <w:r w:rsidR="007F000A">
        <w:t>advantages</w:t>
      </w:r>
      <w:r w:rsidR="002E4768">
        <w:t xml:space="preserve"> it permits</w:t>
      </w:r>
      <w:r w:rsidR="007F000A">
        <w:t xml:space="preserve">. This principle allows for </w:t>
      </w:r>
      <w:r w:rsidR="00965604">
        <w:t xml:space="preserve">the validity in </w:t>
      </w:r>
      <w:r w:rsidR="007F000A">
        <w:t xml:space="preserve">a continuance of a legal </w:t>
      </w:r>
      <w:r w:rsidR="00965604">
        <w:t>position until there is a requirement to alter that presumption</w:t>
      </w:r>
      <w:r w:rsidR="00F77CB1">
        <w:rPr>
          <w:rStyle w:val="FootnoteReference"/>
        </w:rPr>
        <w:footnoteReference w:id="3"/>
      </w:r>
      <w:r w:rsidR="00965604">
        <w:t>.</w:t>
      </w:r>
      <w:r w:rsidR="00C749AB">
        <w:t xml:space="preserve"> </w:t>
      </w:r>
      <w:r w:rsidR="00C749AB" w:rsidRPr="000543D5">
        <w:rPr>
          <w:i/>
        </w:rPr>
        <w:t>Istishab</w:t>
      </w:r>
      <w:r w:rsidR="00C749AB">
        <w:t xml:space="preserve"> is an important and </w:t>
      </w:r>
      <w:r w:rsidR="00C433D7">
        <w:t>frequently</w:t>
      </w:r>
      <w:r w:rsidR="00C749AB">
        <w:t xml:space="preserve"> employed principle in </w:t>
      </w:r>
      <w:r w:rsidR="00C749AB" w:rsidRPr="00C433D7">
        <w:rPr>
          <w:i/>
        </w:rPr>
        <w:t>usul al-fiqh</w:t>
      </w:r>
      <w:r w:rsidR="00C749AB">
        <w:t xml:space="preserve"> and one of the four main procedural </w:t>
      </w:r>
      <w:r w:rsidR="00C7714E">
        <w:t>principles</w:t>
      </w:r>
      <w:r w:rsidR="00C749AB">
        <w:t xml:space="preserve"> known as </w:t>
      </w:r>
      <w:r w:rsidR="00C749AB" w:rsidRPr="00C7714E">
        <w:rPr>
          <w:rFonts w:cstheme="minorHAnsi"/>
          <w:i/>
        </w:rPr>
        <w:t>al-usul</w:t>
      </w:r>
      <w:r w:rsidR="00C7714E" w:rsidRPr="00C7714E">
        <w:rPr>
          <w:rFonts w:cstheme="minorHAnsi"/>
          <w:i/>
        </w:rPr>
        <w:t xml:space="preserve"> al-</w:t>
      </w:r>
      <w:r w:rsidR="00C7714E" w:rsidRPr="00C7714E">
        <w:rPr>
          <w:rStyle w:val="Emphasis"/>
          <w:rFonts w:cstheme="minorHAnsi"/>
          <w:i w:val="0"/>
          <w:shd w:val="clear" w:color="auto" w:fill="FFFFFF"/>
        </w:rPr>
        <w:t xml:space="preserve"> </w:t>
      </w:r>
      <w:r w:rsidR="00C7714E" w:rsidRPr="00C7714E">
        <w:rPr>
          <w:rStyle w:val="Emphasis"/>
          <w:rFonts w:cstheme="minorHAnsi"/>
          <w:shd w:val="clear" w:color="auto" w:fill="FFFFFF"/>
        </w:rPr>
        <w:t>amaliyyah</w:t>
      </w:r>
      <w:r w:rsidR="008C1EAA">
        <w:rPr>
          <w:rStyle w:val="Emphasis"/>
          <w:rFonts w:cstheme="minorHAnsi"/>
          <w:shd w:val="clear" w:color="auto" w:fill="FFFFFF"/>
        </w:rPr>
        <w:t xml:space="preserve"> </w:t>
      </w:r>
      <w:r w:rsidR="008C1EAA">
        <w:rPr>
          <w:rStyle w:val="Emphasis"/>
          <w:rFonts w:cstheme="minorHAnsi"/>
          <w:i w:val="0"/>
          <w:shd w:val="clear" w:color="auto" w:fill="FFFFFF"/>
        </w:rPr>
        <w:t>selected by jur</w:t>
      </w:r>
      <w:r w:rsidR="00D47AA0">
        <w:rPr>
          <w:rStyle w:val="Emphasis"/>
          <w:rFonts w:cstheme="minorHAnsi"/>
          <w:i w:val="0"/>
          <w:shd w:val="clear" w:color="auto" w:fill="FFFFFF"/>
        </w:rPr>
        <w:t>i</w:t>
      </w:r>
      <w:r w:rsidR="008C1EAA">
        <w:rPr>
          <w:rStyle w:val="Emphasis"/>
          <w:rFonts w:cstheme="minorHAnsi"/>
          <w:i w:val="0"/>
          <w:shd w:val="clear" w:color="auto" w:fill="FFFFFF"/>
        </w:rPr>
        <w:t>sts</w:t>
      </w:r>
      <w:r w:rsidR="00D47AA0">
        <w:rPr>
          <w:rStyle w:val="Emphasis"/>
          <w:rFonts w:cstheme="minorHAnsi"/>
          <w:i w:val="0"/>
          <w:shd w:val="clear" w:color="auto" w:fill="FFFFFF"/>
        </w:rPr>
        <w:t xml:space="preserve"> in the determination of personal obligations in cases of doubt</w:t>
      </w:r>
      <w:r w:rsidR="00080C88">
        <w:rPr>
          <w:rStyle w:val="FootnoteReference"/>
          <w:rFonts w:cstheme="minorHAnsi"/>
          <w:i/>
          <w:iCs/>
          <w:shd w:val="clear" w:color="auto" w:fill="FFFFFF"/>
        </w:rPr>
        <w:footnoteReference w:id="4"/>
      </w:r>
      <w:r w:rsidR="00D47AA0">
        <w:rPr>
          <w:rStyle w:val="Emphasis"/>
          <w:rFonts w:cstheme="minorHAnsi"/>
          <w:i w:val="0"/>
          <w:shd w:val="clear" w:color="auto" w:fill="FFFFFF"/>
        </w:rPr>
        <w:t>.</w:t>
      </w:r>
    </w:p>
    <w:p w14:paraId="157F02B3" w14:textId="4718FC0A" w:rsidR="00FA5A1E" w:rsidRDefault="00FA5A1E" w:rsidP="00E01632">
      <w:pPr>
        <w:spacing w:line="360" w:lineRule="auto"/>
        <w:jc w:val="both"/>
      </w:pPr>
      <w:r w:rsidRPr="00C433D7">
        <w:rPr>
          <w:i/>
        </w:rPr>
        <w:t>Istishab</w:t>
      </w:r>
      <w:r>
        <w:t xml:space="preserve"> can be viewed from two positions</w:t>
      </w:r>
      <w:r w:rsidR="00DC256C">
        <w:t xml:space="preserve"> in its application, one concerning a presumption to continuity of a ruling underpinned by consensus known as </w:t>
      </w:r>
      <w:r w:rsidR="00DC256C" w:rsidRPr="00C433D7">
        <w:rPr>
          <w:i/>
        </w:rPr>
        <w:t xml:space="preserve">istishab </w:t>
      </w:r>
      <w:r w:rsidR="0083061F" w:rsidRPr="00C433D7">
        <w:rPr>
          <w:i/>
        </w:rPr>
        <w:t>hal al ijma</w:t>
      </w:r>
      <w:r w:rsidR="0083061F">
        <w:t xml:space="preserve"> and secondly</w:t>
      </w:r>
      <w:r w:rsidR="00244A41">
        <w:t xml:space="preserve"> </w:t>
      </w:r>
      <w:r w:rsidR="00244A41" w:rsidRPr="00244A41">
        <w:rPr>
          <w:i/>
        </w:rPr>
        <w:t>istishab hal al-aql</w:t>
      </w:r>
      <w:r w:rsidR="00244A41">
        <w:t>,</w:t>
      </w:r>
      <w:r w:rsidR="0083061F">
        <w:t xml:space="preserve"> con</w:t>
      </w:r>
      <w:r w:rsidR="00231A1E">
        <w:t>tinuity based within rational presumption</w:t>
      </w:r>
      <w:r w:rsidR="00231A1E">
        <w:rPr>
          <w:rStyle w:val="FootnoteReference"/>
        </w:rPr>
        <w:footnoteReference w:id="5"/>
      </w:r>
      <w:r w:rsidR="00CE0208">
        <w:t>.</w:t>
      </w:r>
    </w:p>
    <w:p w14:paraId="1B2F82B0" w14:textId="4C081E09" w:rsidR="00347C6C" w:rsidRDefault="004E6418" w:rsidP="00E01632">
      <w:pPr>
        <w:spacing w:line="360" w:lineRule="auto"/>
        <w:jc w:val="both"/>
      </w:pPr>
      <w:r>
        <w:t xml:space="preserve">Some authors </w:t>
      </w:r>
      <w:r w:rsidR="00244A41">
        <w:t xml:space="preserve">have </w:t>
      </w:r>
      <w:r>
        <w:t>opine</w:t>
      </w:r>
      <w:r w:rsidR="00244A41">
        <w:t>d</w:t>
      </w:r>
      <w:r>
        <w:t xml:space="preserve"> that </w:t>
      </w:r>
      <w:r w:rsidRPr="00244A41">
        <w:rPr>
          <w:i/>
        </w:rPr>
        <w:t>istishab</w:t>
      </w:r>
      <w:r>
        <w:t xml:space="preserve"> as accepted by the </w:t>
      </w:r>
      <w:r w:rsidR="00E87521">
        <w:t>Shafi’i</w:t>
      </w:r>
      <w:r>
        <w:t xml:space="preserve"> school </w:t>
      </w:r>
      <w:r w:rsidR="00171289">
        <w:t xml:space="preserve">should be interpreted alongside the Hanafi and Maliki </w:t>
      </w:r>
      <w:r w:rsidR="00244A41">
        <w:t>principles of</w:t>
      </w:r>
      <w:r w:rsidR="00244A41" w:rsidRPr="007471ED">
        <w:rPr>
          <w:i/>
        </w:rPr>
        <w:t xml:space="preserve"> </w:t>
      </w:r>
      <w:r w:rsidR="00E87521" w:rsidRPr="007471ED">
        <w:rPr>
          <w:i/>
        </w:rPr>
        <w:t>istihsan</w:t>
      </w:r>
      <w:r w:rsidR="00171289">
        <w:t xml:space="preserve"> and </w:t>
      </w:r>
      <w:r w:rsidR="00171289" w:rsidRPr="007471ED">
        <w:rPr>
          <w:i/>
        </w:rPr>
        <w:t>istislah</w:t>
      </w:r>
      <w:r w:rsidR="005A27F3">
        <w:t xml:space="preserve">. The principle of </w:t>
      </w:r>
      <w:r w:rsidR="005A27F3" w:rsidRPr="007471ED">
        <w:rPr>
          <w:i/>
        </w:rPr>
        <w:t>istishab</w:t>
      </w:r>
      <w:r w:rsidR="005A27F3">
        <w:t xml:space="preserve"> however</w:t>
      </w:r>
      <w:r w:rsidR="00171653">
        <w:t xml:space="preserve"> is a natural principle of legal evidence and is applied by Islamic </w:t>
      </w:r>
      <w:r w:rsidR="00E87521">
        <w:t>jurisprudence</w:t>
      </w:r>
      <w:r w:rsidR="00171653">
        <w:t xml:space="preserve"> in its </w:t>
      </w:r>
      <w:r w:rsidR="00E87521">
        <w:t>entirety</w:t>
      </w:r>
      <w:r w:rsidR="00171653">
        <w:rPr>
          <w:rStyle w:val="FootnoteReference"/>
        </w:rPr>
        <w:footnoteReference w:id="6"/>
      </w:r>
      <w:r w:rsidR="00E87521">
        <w:t>.</w:t>
      </w:r>
    </w:p>
    <w:p w14:paraId="2AD2A70C" w14:textId="51C26A2A" w:rsidR="007D1F16" w:rsidRDefault="007D1F16" w:rsidP="00E01632">
      <w:pPr>
        <w:spacing w:line="360" w:lineRule="auto"/>
        <w:jc w:val="both"/>
      </w:pPr>
      <w:r>
        <w:t xml:space="preserve">A typical example given in the application of </w:t>
      </w:r>
      <w:r w:rsidRPr="007471ED">
        <w:rPr>
          <w:i/>
        </w:rPr>
        <w:t>istishab</w:t>
      </w:r>
      <w:r>
        <w:t xml:space="preserve"> relates to the disposal of a missing persons </w:t>
      </w:r>
      <w:r w:rsidR="009C74FA">
        <w:t>(</w:t>
      </w:r>
      <w:r w:rsidR="009C74FA" w:rsidRPr="009C74FA">
        <w:rPr>
          <w:i/>
        </w:rPr>
        <w:t>mafqud</w:t>
      </w:r>
      <w:r w:rsidR="009C74FA">
        <w:t xml:space="preserve">) </w:t>
      </w:r>
      <w:r>
        <w:t xml:space="preserve">property and the rights </w:t>
      </w:r>
      <w:r w:rsidR="006B4C9F">
        <w:t>or claims made by</w:t>
      </w:r>
      <w:r>
        <w:t xml:space="preserve"> </w:t>
      </w:r>
      <w:r w:rsidR="006B4C9F">
        <w:t>a relative.</w:t>
      </w:r>
      <w:r>
        <w:t xml:space="preserve"> </w:t>
      </w:r>
      <w:r w:rsidR="006B4C9F">
        <w:t xml:space="preserve">The principle of </w:t>
      </w:r>
      <w:r w:rsidR="006B4C9F" w:rsidRPr="007471ED">
        <w:rPr>
          <w:i/>
        </w:rPr>
        <w:t>istishab</w:t>
      </w:r>
      <w:r w:rsidR="006B4C9F">
        <w:t xml:space="preserve"> provides that the person remains alive </w:t>
      </w:r>
      <w:r w:rsidR="003F3396">
        <w:t xml:space="preserve">and not to be inherited </w:t>
      </w:r>
      <w:r w:rsidR="006B4C9F">
        <w:t>until evidence</w:t>
      </w:r>
      <w:r w:rsidR="003731A8">
        <w:t xml:space="preserve"> is proffered to the contrary</w:t>
      </w:r>
      <w:r w:rsidR="009C74FA">
        <w:rPr>
          <w:rStyle w:val="FootnoteReference"/>
        </w:rPr>
        <w:footnoteReference w:id="7"/>
      </w:r>
      <w:r w:rsidR="007471ED">
        <w:t xml:space="preserve">, </w:t>
      </w:r>
      <w:r w:rsidR="008D3EBB">
        <w:t>his putative death</w:t>
      </w:r>
      <w:r w:rsidR="00621413">
        <w:t xml:space="preserve"> or that death</w:t>
      </w:r>
      <w:r w:rsidR="008D3EBB">
        <w:t xml:space="preserve"> is acknowledged by </w:t>
      </w:r>
      <w:r w:rsidR="0036265D">
        <w:t xml:space="preserve">judicial </w:t>
      </w:r>
      <w:r w:rsidR="008D3EBB">
        <w:t>decree</w:t>
      </w:r>
      <w:r w:rsidR="0036265D">
        <w:rPr>
          <w:rStyle w:val="FootnoteReference"/>
        </w:rPr>
        <w:footnoteReference w:id="8"/>
      </w:r>
      <w:r w:rsidR="00A1605E">
        <w:t xml:space="preserve">. The </w:t>
      </w:r>
      <w:r w:rsidR="00896AE4">
        <w:t>Hanbali</w:t>
      </w:r>
      <w:r w:rsidR="00896AE4">
        <w:rPr>
          <w:rStyle w:val="FootnoteReference"/>
        </w:rPr>
        <w:footnoteReference w:id="9"/>
      </w:r>
      <w:r w:rsidR="00896AE4">
        <w:t xml:space="preserve"> and </w:t>
      </w:r>
      <w:r w:rsidR="00A1605E">
        <w:t>Shafi’</w:t>
      </w:r>
      <w:r w:rsidR="00896AE4">
        <w:t>i</w:t>
      </w:r>
      <w:r w:rsidR="00A1605E">
        <w:t xml:space="preserve"> school also recognise</w:t>
      </w:r>
      <w:r w:rsidR="009F505A">
        <w:t>d</w:t>
      </w:r>
      <w:r w:rsidR="00A1605E">
        <w:t xml:space="preserve"> the </w:t>
      </w:r>
      <w:r w:rsidR="00A1605E" w:rsidRPr="00E12870">
        <w:rPr>
          <w:i/>
        </w:rPr>
        <w:t>mafqud’s</w:t>
      </w:r>
      <w:r w:rsidR="00A1605E">
        <w:t xml:space="preserve"> rights to </w:t>
      </w:r>
      <w:r w:rsidR="00AB6CE4">
        <w:t>succeed a relative’s estate who dies during their absence</w:t>
      </w:r>
      <w:r w:rsidR="00355B41">
        <w:t>.</w:t>
      </w:r>
      <w:r w:rsidR="00055BF4">
        <w:t xml:space="preserve"> In such circumstances,</w:t>
      </w:r>
      <w:r w:rsidR="00355B41">
        <w:t xml:space="preserve"> </w:t>
      </w:r>
      <w:r w:rsidR="00055BF4">
        <w:t>o</w:t>
      </w:r>
      <w:r w:rsidR="00355B41">
        <w:t xml:space="preserve">ther Islamic schools however have accounted for the death of the missing person </w:t>
      </w:r>
      <w:r w:rsidR="00355B41">
        <w:lastRenderedPageBreak/>
        <w:t xml:space="preserve">from the time of their disappearance as </w:t>
      </w:r>
      <w:r w:rsidR="00355B41" w:rsidRPr="00621413">
        <w:rPr>
          <w:i/>
        </w:rPr>
        <w:t>istishab</w:t>
      </w:r>
      <w:r w:rsidR="00355B41">
        <w:t xml:space="preserve"> s</w:t>
      </w:r>
      <w:r w:rsidR="00055BF4">
        <w:t>h</w:t>
      </w:r>
      <w:r w:rsidR="00355B41">
        <w:t>ould operate as a shield</w:t>
      </w:r>
      <w:r w:rsidR="00055BF4">
        <w:t xml:space="preserve"> of protection</w:t>
      </w:r>
      <w:r w:rsidR="001E05AF">
        <w:t xml:space="preserve"> from the claims of their heirs but not as a sword in the claim against others’ estates</w:t>
      </w:r>
      <w:r w:rsidR="005D1ADD">
        <w:rPr>
          <w:rStyle w:val="FootnoteReference"/>
        </w:rPr>
        <w:footnoteReference w:id="10"/>
      </w:r>
      <w:r w:rsidR="005D1ADD">
        <w:t>.</w:t>
      </w:r>
      <w:r w:rsidR="00896AE4">
        <w:t xml:space="preserve"> </w:t>
      </w:r>
      <w:r w:rsidR="005E0B04">
        <w:t xml:space="preserve">The Maliki and </w:t>
      </w:r>
      <w:r w:rsidR="00BF3DBB">
        <w:t>Hanafi</w:t>
      </w:r>
      <w:r w:rsidR="005E0B04">
        <w:t xml:space="preserve"> schools proclaimed the opposite, </w:t>
      </w:r>
      <w:r w:rsidR="00D176A8">
        <w:t>disallowing</w:t>
      </w:r>
      <w:r w:rsidR="005E0B04">
        <w:t xml:space="preserve"> the addition of </w:t>
      </w:r>
      <w:r w:rsidR="005C4C11">
        <w:t xml:space="preserve">the missing persons inheritance to their estate until that person is declared </w:t>
      </w:r>
      <w:r w:rsidR="009F505A">
        <w:t>deceased</w:t>
      </w:r>
      <w:r w:rsidR="005C4C11">
        <w:rPr>
          <w:rStyle w:val="FootnoteReference"/>
        </w:rPr>
        <w:footnoteReference w:id="11"/>
      </w:r>
      <w:r w:rsidR="00D176A8">
        <w:t>.</w:t>
      </w:r>
    </w:p>
    <w:p w14:paraId="08B56505" w14:textId="2ABADC49" w:rsidR="00347C6C" w:rsidRDefault="008069D9" w:rsidP="00604244">
      <w:pPr>
        <w:spacing w:line="360" w:lineRule="auto"/>
        <w:jc w:val="both"/>
      </w:pPr>
      <w:r>
        <w:t xml:space="preserve">Traditionally, </w:t>
      </w:r>
      <w:r w:rsidR="009C1345" w:rsidRPr="009C1345">
        <w:t xml:space="preserve">the </w:t>
      </w:r>
      <w:r w:rsidRPr="009C1345">
        <w:t>role</w:t>
      </w:r>
      <w:r w:rsidR="009C1345">
        <w:t xml:space="preserve"> of istishab</w:t>
      </w:r>
      <w:r>
        <w:t xml:space="preserve"> was brought to bear in </w:t>
      </w:r>
      <w:r w:rsidR="0015177C">
        <w:t>specific cases</w:t>
      </w:r>
      <w:r w:rsidR="00A67CE1">
        <w:t>.</w:t>
      </w:r>
      <w:r w:rsidR="0015177C">
        <w:t xml:space="preserve"> </w:t>
      </w:r>
      <w:r w:rsidR="001A667B">
        <w:t xml:space="preserve">For Sharia to operate within a contemporary society, </w:t>
      </w:r>
      <w:r w:rsidR="0015177C">
        <w:t>Sudanese politician and intellectual Hasan Turabi p</w:t>
      </w:r>
      <w:r w:rsidR="00A67CE1">
        <w:t>roposed ‘</w:t>
      </w:r>
      <w:r w:rsidR="00A67CE1" w:rsidRPr="00A67CE1">
        <w:rPr>
          <w:i/>
        </w:rPr>
        <w:t>expansive istishab’</w:t>
      </w:r>
      <w:r w:rsidR="007370D6">
        <w:t xml:space="preserve">, his </w:t>
      </w:r>
      <w:r w:rsidR="00A67CE1">
        <w:t xml:space="preserve">intention </w:t>
      </w:r>
      <w:r w:rsidR="007370D6">
        <w:t>was the</w:t>
      </w:r>
      <w:r w:rsidR="00A67CE1">
        <w:t xml:space="preserve"> raising </w:t>
      </w:r>
      <w:r w:rsidR="007370D6">
        <w:t xml:space="preserve">of </w:t>
      </w:r>
      <w:r w:rsidR="007370D6" w:rsidRPr="000239DC">
        <w:rPr>
          <w:i/>
        </w:rPr>
        <w:t>istishab</w:t>
      </w:r>
      <w:r w:rsidR="007E0979">
        <w:t xml:space="preserve"> into a more generalised principle within legal methodology</w:t>
      </w:r>
      <w:r w:rsidR="00325844">
        <w:t>.</w:t>
      </w:r>
      <w:r w:rsidR="007370D6">
        <w:t xml:space="preserve"> A suggestion of this</w:t>
      </w:r>
      <w:r w:rsidR="00F252FC">
        <w:t xml:space="preserve"> change is problematic given that </w:t>
      </w:r>
      <w:r w:rsidR="00945D06">
        <w:t xml:space="preserve">past legal decisions based within </w:t>
      </w:r>
      <w:r w:rsidR="00F252FC" w:rsidRPr="000239DC">
        <w:rPr>
          <w:i/>
        </w:rPr>
        <w:t>istishab</w:t>
      </w:r>
      <w:r w:rsidR="00F252FC">
        <w:t xml:space="preserve"> </w:t>
      </w:r>
      <w:r w:rsidR="00945D06">
        <w:t>remain valid until</w:t>
      </w:r>
      <w:r w:rsidR="00C72AAE">
        <w:t xml:space="preserve"> a change in evidence is establish contrary to circumstances that gave rise to the former presumption</w:t>
      </w:r>
      <w:r w:rsidR="00604244">
        <w:rPr>
          <w:rStyle w:val="FootnoteReference"/>
        </w:rPr>
        <w:footnoteReference w:id="12"/>
      </w:r>
      <w:r w:rsidR="00604244">
        <w:t>.</w:t>
      </w:r>
    </w:p>
    <w:p w14:paraId="0B0FE2AA" w14:textId="77777777" w:rsidR="00347C6C" w:rsidRDefault="00347C6C"/>
    <w:p w14:paraId="2FEECBD1" w14:textId="77777777" w:rsidR="00E12EAA" w:rsidRDefault="00E12EAA"/>
    <w:p w14:paraId="45618AFC" w14:textId="77777777" w:rsidR="00025F34" w:rsidRDefault="00025F34">
      <w:pPr>
        <w:rPr>
          <w:b/>
        </w:rPr>
      </w:pPr>
    </w:p>
    <w:p w14:paraId="70F0D9E5" w14:textId="77777777" w:rsidR="00025F34" w:rsidRDefault="00025F34">
      <w:pPr>
        <w:rPr>
          <w:b/>
        </w:rPr>
      </w:pPr>
    </w:p>
    <w:p w14:paraId="63B358AE" w14:textId="77777777" w:rsidR="00025F34" w:rsidRDefault="00025F34">
      <w:pPr>
        <w:rPr>
          <w:b/>
        </w:rPr>
      </w:pPr>
    </w:p>
    <w:p w14:paraId="1AE06A97" w14:textId="77777777" w:rsidR="00025F34" w:rsidRDefault="00025F34">
      <w:pPr>
        <w:rPr>
          <w:b/>
        </w:rPr>
      </w:pPr>
    </w:p>
    <w:p w14:paraId="165A6FD8" w14:textId="77777777" w:rsidR="00025F34" w:rsidRDefault="00025F34">
      <w:pPr>
        <w:rPr>
          <w:b/>
        </w:rPr>
      </w:pPr>
    </w:p>
    <w:p w14:paraId="4DD96046" w14:textId="77777777" w:rsidR="00025F34" w:rsidRDefault="00025F34">
      <w:pPr>
        <w:rPr>
          <w:b/>
        </w:rPr>
      </w:pPr>
    </w:p>
    <w:p w14:paraId="267DD2EE" w14:textId="77777777" w:rsidR="00025F34" w:rsidRDefault="00025F34">
      <w:pPr>
        <w:rPr>
          <w:b/>
        </w:rPr>
      </w:pPr>
    </w:p>
    <w:p w14:paraId="7486F24E" w14:textId="77777777" w:rsidR="00025F34" w:rsidRDefault="00025F34">
      <w:pPr>
        <w:rPr>
          <w:b/>
        </w:rPr>
      </w:pPr>
    </w:p>
    <w:p w14:paraId="481CC5CC" w14:textId="77777777" w:rsidR="00025F34" w:rsidRDefault="00025F34">
      <w:pPr>
        <w:rPr>
          <w:b/>
        </w:rPr>
      </w:pPr>
    </w:p>
    <w:p w14:paraId="413D1AD5" w14:textId="77777777" w:rsidR="00025F34" w:rsidRDefault="00025F34">
      <w:pPr>
        <w:rPr>
          <w:b/>
        </w:rPr>
      </w:pPr>
    </w:p>
    <w:p w14:paraId="58DF46BE" w14:textId="77777777" w:rsidR="00025F34" w:rsidRDefault="00025F34">
      <w:pPr>
        <w:rPr>
          <w:b/>
        </w:rPr>
      </w:pPr>
    </w:p>
    <w:p w14:paraId="738C6DA0" w14:textId="77777777" w:rsidR="00025F34" w:rsidRDefault="00025F34">
      <w:pPr>
        <w:rPr>
          <w:b/>
        </w:rPr>
      </w:pPr>
    </w:p>
    <w:p w14:paraId="2DAF4BA5" w14:textId="77777777" w:rsidR="00025F34" w:rsidRDefault="00025F34">
      <w:pPr>
        <w:rPr>
          <w:b/>
        </w:rPr>
      </w:pPr>
    </w:p>
    <w:p w14:paraId="44D5CBAE" w14:textId="77777777" w:rsidR="00025F34" w:rsidRDefault="00025F34">
      <w:pPr>
        <w:rPr>
          <w:b/>
        </w:rPr>
      </w:pPr>
    </w:p>
    <w:p w14:paraId="16E882BA" w14:textId="77777777" w:rsidR="00025F34" w:rsidRDefault="00025F34">
      <w:pPr>
        <w:rPr>
          <w:b/>
        </w:rPr>
      </w:pPr>
    </w:p>
    <w:p w14:paraId="20B31C35" w14:textId="77777777" w:rsidR="00025F34" w:rsidRDefault="00025F34">
      <w:pPr>
        <w:rPr>
          <w:b/>
        </w:rPr>
      </w:pPr>
    </w:p>
    <w:p w14:paraId="4FF6D477" w14:textId="77777777" w:rsidR="00025F34" w:rsidRDefault="00025F34">
      <w:pPr>
        <w:rPr>
          <w:b/>
        </w:rPr>
      </w:pPr>
    </w:p>
    <w:p w14:paraId="770DE7FD" w14:textId="1CEEB569" w:rsidR="00E12EAA" w:rsidRDefault="00A466C0">
      <w:pPr>
        <w:rPr>
          <w:rFonts w:cstheme="minorHAnsi"/>
        </w:rPr>
      </w:pPr>
      <w:r w:rsidRPr="007103A3">
        <w:rPr>
          <w:rFonts w:cstheme="minorHAnsi"/>
        </w:rPr>
        <w:lastRenderedPageBreak/>
        <w:t>References</w:t>
      </w:r>
    </w:p>
    <w:p w14:paraId="0CB2327F" w14:textId="77777777" w:rsidR="007103A3" w:rsidRPr="007103A3" w:rsidRDefault="007103A3">
      <w:pPr>
        <w:rPr>
          <w:rFonts w:cstheme="minorHAnsi"/>
        </w:rPr>
      </w:pPr>
    </w:p>
    <w:p w14:paraId="62B05B06" w14:textId="30207EDA" w:rsidR="00C57ACA" w:rsidRPr="007103A3" w:rsidRDefault="00A466C0" w:rsidP="003D5FB8">
      <w:pPr>
        <w:spacing w:line="276" w:lineRule="auto"/>
        <w:rPr>
          <w:rFonts w:cstheme="minorHAnsi"/>
          <w:shd w:val="clear" w:color="auto" w:fill="FFFFFF"/>
        </w:rPr>
      </w:pPr>
      <w:r w:rsidRPr="007103A3">
        <w:rPr>
          <w:rFonts w:cstheme="minorHAnsi"/>
          <w:shd w:val="clear" w:color="auto" w:fill="FFFFFF"/>
        </w:rPr>
        <w:t>Abdeljaber, M</w:t>
      </w:r>
      <w:r w:rsidR="003D5FB8" w:rsidRPr="007103A3">
        <w:rPr>
          <w:rFonts w:cstheme="minorHAnsi"/>
          <w:shd w:val="clear" w:color="auto" w:fill="FFFFFF"/>
        </w:rPr>
        <w:t xml:space="preserve">., </w:t>
      </w:r>
      <w:r w:rsidRPr="007103A3">
        <w:rPr>
          <w:rFonts w:cstheme="minorHAnsi"/>
          <w:shd w:val="clear" w:color="auto" w:fill="FFFFFF"/>
        </w:rPr>
        <w:t>"Istiṣḥāb al-ḥāl." In The [Oxford] Encyclopedia of Islam and Law. Oxford Islamic Studies Online,</w:t>
      </w:r>
      <w:r w:rsidR="00C57ACA" w:rsidRPr="007103A3">
        <w:rPr>
          <w:rFonts w:cstheme="minorHAnsi"/>
          <w:shd w:val="clear" w:color="auto" w:fill="FFFFFF"/>
        </w:rPr>
        <w:t xml:space="preserve"> date unknown, [last accessed 13</w:t>
      </w:r>
      <w:r w:rsidR="00C57ACA" w:rsidRPr="007103A3">
        <w:rPr>
          <w:rFonts w:cstheme="minorHAnsi"/>
          <w:shd w:val="clear" w:color="auto" w:fill="FFFFFF"/>
          <w:vertAlign w:val="superscript"/>
        </w:rPr>
        <w:t>th</w:t>
      </w:r>
      <w:r w:rsidR="00C57ACA" w:rsidRPr="007103A3">
        <w:rPr>
          <w:rFonts w:cstheme="minorHAnsi"/>
          <w:shd w:val="clear" w:color="auto" w:fill="FFFFFF"/>
        </w:rPr>
        <w:t xml:space="preserve"> May 2019] available at</w:t>
      </w:r>
      <w:r w:rsidRPr="007103A3">
        <w:rPr>
          <w:rFonts w:cstheme="minorHAnsi"/>
          <w:shd w:val="clear" w:color="auto" w:fill="FFFFFF"/>
        </w:rPr>
        <w:t xml:space="preserve"> </w:t>
      </w:r>
      <w:hyperlink r:id="rId7" w:history="1">
        <w:r w:rsidR="007103A3" w:rsidRPr="007103A3">
          <w:rPr>
            <w:rStyle w:val="Hyperlink"/>
            <w:rFonts w:cstheme="minorHAnsi"/>
            <w:shd w:val="clear" w:color="auto" w:fill="FFFFFF"/>
          </w:rPr>
          <w:t>http://www.oxfordislamicstudies.com.ezproxy.uwtsd.ac.uk/article/opr/t349/e0093</w:t>
        </w:r>
      </w:hyperlink>
    </w:p>
    <w:p w14:paraId="2815EBB0" w14:textId="69AF2B7D" w:rsidR="003D5FB8" w:rsidRPr="007103A3" w:rsidRDefault="003D5FB8" w:rsidP="003D5FB8">
      <w:pPr>
        <w:spacing w:line="276" w:lineRule="auto"/>
        <w:rPr>
          <w:rFonts w:cstheme="minorHAnsi"/>
        </w:rPr>
      </w:pPr>
    </w:p>
    <w:p w14:paraId="222346E3" w14:textId="12CFD059" w:rsidR="005F5ACC" w:rsidRPr="007103A3" w:rsidRDefault="00467E8A" w:rsidP="003D5FB8">
      <w:pPr>
        <w:spacing w:line="276" w:lineRule="auto"/>
        <w:rPr>
          <w:rFonts w:cstheme="minorHAnsi"/>
        </w:rPr>
      </w:pPr>
      <w:r w:rsidRPr="007103A3">
        <w:rPr>
          <w:rFonts w:cstheme="minorHAnsi"/>
        </w:rPr>
        <w:t xml:space="preserve">Al-Hakeem Carney, S.A., ‘Principle of istishab and its types’, online, date unknown </w:t>
      </w:r>
      <w:r w:rsidR="00C57ACA" w:rsidRPr="007103A3">
        <w:rPr>
          <w:rFonts w:cstheme="minorHAnsi"/>
        </w:rPr>
        <w:t>[last accessed 13</w:t>
      </w:r>
      <w:r w:rsidR="00C57ACA" w:rsidRPr="007103A3">
        <w:rPr>
          <w:rFonts w:cstheme="minorHAnsi"/>
          <w:vertAlign w:val="superscript"/>
        </w:rPr>
        <w:t>th</w:t>
      </w:r>
      <w:r w:rsidR="00C57ACA" w:rsidRPr="007103A3">
        <w:rPr>
          <w:rFonts w:cstheme="minorHAnsi"/>
        </w:rPr>
        <w:t xml:space="preserve"> may 2019] </w:t>
      </w:r>
      <w:hyperlink r:id="rId8" w:history="1">
        <w:r w:rsidR="00C57ACA" w:rsidRPr="007103A3">
          <w:rPr>
            <w:rStyle w:val="Hyperlink"/>
            <w:rFonts w:cstheme="minorHAnsi"/>
          </w:rPr>
          <w:t>https://www.iqraonline.net/principle-of-istishab-and-its-types/</w:t>
        </w:r>
      </w:hyperlink>
      <w:r w:rsidR="003D5FB8" w:rsidRPr="007103A3">
        <w:rPr>
          <w:rFonts w:cstheme="minorHAnsi"/>
        </w:rPr>
        <w:t xml:space="preserve"> </w:t>
      </w:r>
    </w:p>
    <w:p w14:paraId="0A21E50D" w14:textId="233AAE40" w:rsidR="00467E8A" w:rsidRPr="007103A3" w:rsidRDefault="00467E8A" w:rsidP="003D5FB8">
      <w:pPr>
        <w:pStyle w:val="FootnoteText"/>
        <w:spacing w:line="276" w:lineRule="auto"/>
        <w:rPr>
          <w:rFonts w:cstheme="minorHAnsi"/>
          <w:sz w:val="22"/>
          <w:szCs w:val="22"/>
        </w:rPr>
      </w:pPr>
      <w:r w:rsidRPr="007103A3">
        <w:rPr>
          <w:rFonts w:cstheme="minorHAnsi"/>
          <w:sz w:val="22"/>
          <w:szCs w:val="22"/>
        </w:rPr>
        <w:t>Coulson, N. J. ‘A History of Islamic Law’, Edinburgh University Press, 1964 (repr. 1990)</w:t>
      </w:r>
    </w:p>
    <w:p w14:paraId="34BDCFDD" w14:textId="77777777" w:rsidR="00025F34" w:rsidRPr="007103A3" w:rsidRDefault="00025F34" w:rsidP="003D5FB8">
      <w:pPr>
        <w:pStyle w:val="FootnoteText"/>
        <w:spacing w:line="276" w:lineRule="auto"/>
        <w:rPr>
          <w:rFonts w:cstheme="minorHAnsi"/>
          <w:sz w:val="22"/>
          <w:szCs w:val="22"/>
        </w:rPr>
      </w:pPr>
    </w:p>
    <w:p w14:paraId="35D29BDD" w14:textId="6ABB767F" w:rsidR="00467E8A" w:rsidRPr="007103A3" w:rsidRDefault="00467E8A" w:rsidP="003D5FB8">
      <w:pPr>
        <w:pStyle w:val="FootnoteText"/>
        <w:spacing w:line="276" w:lineRule="auto"/>
        <w:rPr>
          <w:rFonts w:cstheme="minorHAnsi"/>
          <w:sz w:val="22"/>
          <w:szCs w:val="22"/>
        </w:rPr>
      </w:pPr>
      <w:proofErr w:type="gramStart"/>
      <w:r w:rsidRPr="007103A3">
        <w:rPr>
          <w:rFonts w:cstheme="minorHAnsi"/>
          <w:sz w:val="22"/>
          <w:szCs w:val="22"/>
        </w:rPr>
        <w:t>Doi,A.R.</w:t>
      </w:r>
      <w:proofErr w:type="gramEnd"/>
      <w:r w:rsidRPr="007103A3">
        <w:rPr>
          <w:rFonts w:cstheme="minorHAnsi"/>
          <w:sz w:val="22"/>
          <w:szCs w:val="22"/>
        </w:rPr>
        <w:t>, ‘Shari’ah:The Islamic Law’, TaHa Publishers, London, England, 1984, (repr.1997)</w:t>
      </w:r>
    </w:p>
    <w:p w14:paraId="3E981070" w14:textId="77777777" w:rsidR="00025F34" w:rsidRPr="007103A3" w:rsidRDefault="00025F34" w:rsidP="003D5FB8">
      <w:pPr>
        <w:spacing w:line="276" w:lineRule="auto"/>
        <w:rPr>
          <w:rFonts w:cstheme="minorHAnsi"/>
        </w:rPr>
      </w:pPr>
    </w:p>
    <w:p w14:paraId="3BBC0390" w14:textId="455D12A2" w:rsidR="00467E8A" w:rsidRPr="007103A3" w:rsidRDefault="00467E8A" w:rsidP="003D5FB8">
      <w:pPr>
        <w:spacing w:line="276" w:lineRule="auto"/>
        <w:rPr>
          <w:rFonts w:cstheme="minorHAnsi"/>
          <w:u w:val="single"/>
        </w:rPr>
      </w:pPr>
      <w:r w:rsidRPr="007103A3">
        <w:rPr>
          <w:rFonts w:cstheme="minorHAnsi"/>
        </w:rPr>
        <w:t>Esposito, J.L. "Istishab." In The Oxford Dictionary of Islam, edited by John L. Esposito. Oxford Islamic Studies Online,</w:t>
      </w:r>
      <w:r w:rsidR="001057F7">
        <w:rPr>
          <w:rFonts w:cstheme="minorHAnsi"/>
        </w:rPr>
        <w:t xml:space="preserve"> date unknown,</w:t>
      </w:r>
      <w:r w:rsidR="007103A3" w:rsidRPr="007103A3">
        <w:rPr>
          <w:rFonts w:cstheme="minorHAnsi"/>
        </w:rPr>
        <w:t xml:space="preserve"> [last accessed 13</w:t>
      </w:r>
      <w:r w:rsidR="007103A3" w:rsidRPr="007103A3">
        <w:rPr>
          <w:rFonts w:cstheme="minorHAnsi"/>
          <w:vertAlign w:val="superscript"/>
        </w:rPr>
        <w:t>th</w:t>
      </w:r>
      <w:r w:rsidR="007103A3" w:rsidRPr="007103A3">
        <w:rPr>
          <w:rFonts w:cstheme="minorHAnsi"/>
        </w:rPr>
        <w:t xml:space="preserve"> May 2019]</w:t>
      </w:r>
      <w:r w:rsidRPr="007103A3">
        <w:rPr>
          <w:rFonts w:cstheme="minorHAnsi"/>
        </w:rPr>
        <w:t xml:space="preserve"> </w:t>
      </w:r>
      <w:hyperlink r:id="rId9" w:history="1">
        <w:r w:rsidR="003D5FB8" w:rsidRPr="007103A3">
          <w:rPr>
            <w:rStyle w:val="Hyperlink"/>
            <w:rFonts w:cstheme="minorHAnsi"/>
            <w:color w:val="auto"/>
          </w:rPr>
          <w:t>http://www.oxfordislamicstudies.com.ezproxy.uwtsd.ac.uk/article/opr/t125/e1138</w:t>
        </w:r>
      </w:hyperlink>
      <w:r w:rsidR="003D5FB8" w:rsidRPr="007103A3">
        <w:rPr>
          <w:rFonts w:cstheme="minorHAnsi"/>
        </w:rPr>
        <w:t xml:space="preserve"> </w:t>
      </w:r>
    </w:p>
    <w:p w14:paraId="237C6E11" w14:textId="77777777" w:rsidR="007103A3" w:rsidRPr="007103A3" w:rsidRDefault="007103A3" w:rsidP="003D5FB8">
      <w:pPr>
        <w:spacing w:line="276" w:lineRule="auto"/>
        <w:rPr>
          <w:rFonts w:cstheme="minorHAnsi"/>
        </w:rPr>
      </w:pPr>
    </w:p>
    <w:p w14:paraId="15BEC5BB" w14:textId="5C2C1DB4" w:rsidR="00467E8A" w:rsidRPr="007103A3" w:rsidRDefault="00467E8A" w:rsidP="003D5FB8">
      <w:pPr>
        <w:spacing w:line="276" w:lineRule="auto"/>
        <w:rPr>
          <w:rFonts w:cstheme="minorHAnsi"/>
        </w:rPr>
      </w:pPr>
      <w:r w:rsidRPr="007103A3">
        <w:rPr>
          <w:rFonts w:cstheme="minorHAnsi"/>
        </w:rPr>
        <w:t>Hallaq, W. B, ‘Islamic Legal Theories’ An Introduction to Sunni usul al-fiqh, Cambridge University Press, United King</w:t>
      </w:r>
      <w:r w:rsidR="007103A3" w:rsidRPr="007103A3">
        <w:rPr>
          <w:rFonts w:cstheme="minorHAnsi"/>
        </w:rPr>
        <w:t>d</w:t>
      </w:r>
      <w:r w:rsidRPr="007103A3">
        <w:rPr>
          <w:rFonts w:cstheme="minorHAnsi"/>
        </w:rPr>
        <w:t>om, 1997</w:t>
      </w:r>
    </w:p>
    <w:p w14:paraId="325EB622" w14:textId="77777777" w:rsidR="00467E8A" w:rsidRDefault="00467E8A"/>
    <w:sectPr w:rsidR="00467E8A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67B7818" w14:textId="77777777" w:rsidR="008B692E" w:rsidRDefault="008B692E" w:rsidP="00802A97">
      <w:pPr>
        <w:spacing w:after="0" w:line="240" w:lineRule="auto"/>
      </w:pPr>
      <w:r>
        <w:separator/>
      </w:r>
    </w:p>
  </w:endnote>
  <w:endnote w:type="continuationSeparator" w:id="0">
    <w:p w14:paraId="1A14C4BB" w14:textId="77777777" w:rsidR="008B692E" w:rsidRDefault="008B692E" w:rsidP="00802A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024E5D9" w14:textId="77777777" w:rsidR="001D01C7" w:rsidRDefault="001D01C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5315734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F7F71A" w14:textId="4D45A331" w:rsidR="001D01C7" w:rsidRDefault="001D01C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F6FADFF" w14:textId="77777777" w:rsidR="001D01C7" w:rsidRDefault="001D01C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88200C7" w14:textId="77777777" w:rsidR="001D01C7" w:rsidRDefault="001D01C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8C46061" w14:textId="77777777" w:rsidR="008B692E" w:rsidRDefault="008B692E" w:rsidP="00802A97">
      <w:pPr>
        <w:spacing w:after="0" w:line="240" w:lineRule="auto"/>
      </w:pPr>
      <w:r>
        <w:separator/>
      </w:r>
    </w:p>
  </w:footnote>
  <w:footnote w:type="continuationSeparator" w:id="0">
    <w:p w14:paraId="52BE3CAF" w14:textId="77777777" w:rsidR="008B692E" w:rsidRDefault="008B692E" w:rsidP="00802A97">
      <w:pPr>
        <w:spacing w:after="0" w:line="240" w:lineRule="auto"/>
      </w:pPr>
      <w:r>
        <w:continuationSeparator/>
      </w:r>
    </w:p>
  </w:footnote>
  <w:footnote w:id="1">
    <w:p w14:paraId="742B17F4" w14:textId="09179946" w:rsidR="00802A97" w:rsidRDefault="00802A97">
      <w:pPr>
        <w:pStyle w:val="FootnoteText"/>
      </w:pPr>
      <w:r>
        <w:rPr>
          <w:rStyle w:val="FootnoteReference"/>
        </w:rPr>
        <w:footnoteRef/>
      </w:r>
      <w:r w:rsidR="00A466C0">
        <w:t xml:space="preserve"> Esposito, J.L.</w:t>
      </w:r>
      <w:r>
        <w:t xml:space="preserve"> </w:t>
      </w:r>
      <w:r w:rsidR="00586604" w:rsidRPr="00586604">
        <w:t>"Istishab.</w:t>
      </w:r>
      <w:r w:rsidR="006D629C">
        <w:t xml:space="preserve"> In </w:t>
      </w:r>
      <w:r w:rsidR="00586604" w:rsidRPr="00586604">
        <w:t>The Oxford Dictionary of Islam</w:t>
      </w:r>
      <w:r w:rsidR="006D629C">
        <w:t>”</w:t>
      </w:r>
      <w:r w:rsidR="00586604" w:rsidRPr="00586604">
        <w:t>, edited by John L. Esposito. Oxford Islamic Studies Online.</w:t>
      </w:r>
    </w:p>
  </w:footnote>
  <w:footnote w:id="2">
    <w:p w14:paraId="06AF109C" w14:textId="3DA6C00E" w:rsidR="003C06C8" w:rsidRDefault="003C06C8">
      <w:pPr>
        <w:pStyle w:val="FootnoteText"/>
      </w:pPr>
      <w:r>
        <w:rPr>
          <w:rStyle w:val="FootnoteReference"/>
        </w:rPr>
        <w:footnoteRef/>
      </w:r>
      <w:r>
        <w:t xml:space="preserve"> Al-Hakeem Carney</w:t>
      </w:r>
      <w:r w:rsidR="003E0D5B">
        <w:t xml:space="preserve">, </w:t>
      </w:r>
      <w:r w:rsidR="00FA3471">
        <w:t xml:space="preserve">S.A., </w:t>
      </w:r>
      <w:r w:rsidR="00D65EB1">
        <w:t>‘</w:t>
      </w:r>
      <w:r w:rsidR="00FA3471">
        <w:t>Principle of istishab</w:t>
      </w:r>
      <w:r w:rsidR="00D65EB1">
        <w:t xml:space="preserve"> and its types’, online</w:t>
      </w:r>
      <w:r w:rsidR="00886292">
        <w:t xml:space="preserve"> </w:t>
      </w:r>
    </w:p>
  </w:footnote>
  <w:footnote w:id="3">
    <w:p w14:paraId="731993E8" w14:textId="0FD8B762" w:rsidR="00F77CB1" w:rsidRDefault="00F77CB1">
      <w:pPr>
        <w:pStyle w:val="FootnoteText"/>
      </w:pPr>
      <w:r>
        <w:rPr>
          <w:rStyle w:val="FootnoteReference"/>
        </w:rPr>
        <w:footnoteRef/>
      </w:r>
      <w:r>
        <w:t xml:space="preserve"> Hallaq</w:t>
      </w:r>
      <w:r w:rsidR="00C05BFF">
        <w:t>, W. B, ‘Islamic Legal Theories’ An Introduction to Sunni usul al-fiq</w:t>
      </w:r>
      <w:r w:rsidR="00531F64">
        <w:t xml:space="preserve">h, Cambridge University Press, United </w:t>
      </w:r>
      <w:r w:rsidR="001D01C7">
        <w:t>Kingdom</w:t>
      </w:r>
      <w:r w:rsidR="00531F64">
        <w:t>, 1997</w:t>
      </w:r>
      <w:r>
        <w:t xml:space="preserve"> p, 113</w:t>
      </w:r>
    </w:p>
  </w:footnote>
  <w:footnote w:id="4">
    <w:p w14:paraId="0743B4F2" w14:textId="3895A1D2" w:rsidR="00080C88" w:rsidRDefault="00080C88">
      <w:pPr>
        <w:pStyle w:val="FootnoteText"/>
      </w:pPr>
      <w:r>
        <w:rPr>
          <w:rStyle w:val="FootnoteReference"/>
        </w:rPr>
        <w:footnoteRef/>
      </w:r>
      <w:r>
        <w:t xml:space="preserve"> Al-</w:t>
      </w:r>
      <w:r w:rsidR="001D01C7">
        <w:t>Hakeem Carney</w:t>
      </w:r>
      <w:r>
        <w:t xml:space="preserve">, </w:t>
      </w:r>
    </w:p>
  </w:footnote>
  <w:footnote w:id="5">
    <w:p w14:paraId="66BC35E8" w14:textId="21152061" w:rsidR="00231A1E" w:rsidRDefault="00231A1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77CB1">
        <w:t>Hallaq, p.113</w:t>
      </w:r>
    </w:p>
  </w:footnote>
  <w:footnote w:id="6">
    <w:p w14:paraId="0D9AF50B" w14:textId="718F61C8" w:rsidR="00171653" w:rsidRDefault="00171653">
      <w:pPr>
        <w:pStyle w:val="FootnoteText"/>
      </w:pPr>
      <w:r>
        <w:rPr>
          <w:rStyle w:val="FootnoteReference"/>
        </w:rPr>
        <w:footnoteRef/>
      </w:r>
      <w:r>
        <w:t xml:space="preserve"> Coulson</w:t>
      </w:r>
      <w:r w:rsidR="00B21EEA">
        <w:t xml:space="preserve">, N. J. ‘A History of Islamic Law’, Edinburgh University Press, </w:t>
      </w:r>
      <w:r w:rsidR="003E595B">
        <w:t>1964 (repr. 1990)</w:t>
      </w:r>
      <w:r>
        <w:t>, p.92</w:t>
      </w:r>
    </w:p>
  </w:footnote>
  <w:footnote w:id="7">
    <w:p w14:paraId="7DE45EC0" w14:textId="767ED35F" w:rsidR="009C74FA" w:rsidRDefault="009C74F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D01C7">
        <w:t>Doi, A.R.</w:t>
      </w:r>
      <w:r w:rsidR="00F61F45">
        <w:t>, ‘</w:t>
      </w:r>
      <w:proofErr w:type="gramStart"/>
      <w:r w:rsidR="00F61F45">
        <w:t>Shari’ah:The</w:t>
      </w:r>
      <w:proofErr w:type="gramEnd"/>
      <w:r w:rsidR="00F61F45">
        <w:t xml:space="preserve"> Islamic Law’, TaHa Publishers, London, England, </w:t>
      </w:r>
      <w:r w:rsidR="00A466C0">
        <w:t>1984, (repr.1997),</w:t>
      </w:r>
      <w:r>
        <w:t xml:space="preserve"> p.325</w:t>
      </w:r>
    </w:p>
  </w:footnote>
  <w:footnote w:id="8">
    <w:p w14:paraId="2501DE78" w14:textId="3F659894" w:rsidR="0036265D" w:rsidRDefault="0036265D">
      <w:pPr>
        <w:pStyle w:val="FootnoteText"/>
      </w:pPr>
      <w:r>
        <w:rPr>
          <w:rStyle w:val="FootnoteReference"/>
        </w:rPr>
        <w:footnoteRef/>
      </w:r>
      <w:r>
        <w:t xml:space="preserve"> Coulson, p.92</w:t>
      </w:r>
    </w:p>
  </w:footnote>
  <w:footnote w:id="9">
    <w:p w14:paraId="10C516AC" w14:textId="222FC097" w:rsidR="00896AE4" w:rsidRDefault="00896AE4">
      <w:pPr>
        <w:pStyle w:val="FootnoteText"/>
      </w:pPr>
      <w:r>
        <w:rPr>
          <w:rStyle w:val="FootnoteReference"/>
        </w:rPr>
        <w:footnoteRef/>
      </w:r>
      <w:r>
        <w:t xml:space="preserve"> Doi, p.325</w:t>
      </w:r>
    </w:p>
  </w:footnote>
  <w:footnote w:id="10">
    <w:p w14:paraId="1D8BC7D1" w14:textId="790AB94A" w:rsidR="005D1ADD" w:rsidRPr="008536B9" w:rsidRDefault="005D1ADD" w:rsidP="005D1ADD">
      <w:pPr>
        <w:pStyle w:val="FootnoteText"/>
        <w:rPr>
          <w:rFonts w:cstheme="minorHAnsi"/>
          <w:sz w:val="18"/>
          <w:szCs w:val="18"/>
        </w:rPr>
      </w:pPr>
      <w:r w:rsidRPr="008536B9">
        <w:rPr>
          <w:rStyle w:val="FootnoteReference"/>
          <w:rFonts w:cstheme="minorHAnsi"/>
          <w:sz w:val="18"/>
          <w:szCs w:val="18"/>
        </w:rPr>
        <w:footnoteRef/>
      </w:r>
      <w:r w:rsidRPr="008536B9">
        <w:rPr>
          <w:rFonts w:cstheme="minorHAnsi"/>
          <w:sz w:val="18"/>
          <w:szCs w:val="18"/>
        </w:rPr>
        <w:t xml:space="preserve"> Coulson, p.92</w:t>
      </w:r>
    </w:p>
  </w:footnote>
  <w:footnote w:id="11">
    <w:p w14:paraId="06825ADB" w14:textId="671A7762" w:rsidR="005C4C11" w:rsidRPr="008536B9" w:rsidRDefault="005C4C11">
      <w:pPr>
        <w:pStyle w:val="FootnoteText"/>
        <w:rPr>
          <w:rFonts w:cstheme="minorHAnsi"/>
          <w:sz w:val="18"/>
          <w:szCs w:val="18"/>
        </w:rPr>
      </w:pPr>
      <w:r w:rsidRPr="008536B9">
        <w:rPr>
          <w:rStyle w:val="FootnoteReference"/>
          <w:rFonts w:cstheme="minorHAnsi"/>
          <w:sz w:val="18"/>
          <w:szCs w:val="18"/>
        </w:rPr>
        <w:footnoteRef/>
      </w:r>
      <w:r w:rsidRPr="008536B9">
        <w:rPr>
          <w:rFonts w:cstheme="minorHAnsi"/>
          <w:sz w:val="18"/>
          <w:szCs w:val="18"/>
        </w:rPr>
        <w:t xml:space="preserve"> Doi, p.325</w:t>
      </w:r>
    </w:p>
  </w:footnote>
  <w:footnote w:id="12">
    <w:p w14:paraId="345BFF49" w14:textId="32012114" w:rsidR="00604244" w:rsidRDefault="00604244">
      <w:pPr>
        <w:pStyle w:val="FootnoteText"/>
      </w:pPr>
      <w:r w:rsidRPr="008536B9">
        <w:rPr>
          <w:rStyle w:val="FootnoteReference"/>
          <w:rFonts w:cstheme="minorHAnsi"/>
          <w:sz w:val="18"/>
          <w:szCs w:val="18"/>
        </w:rPr>
        <w:footnoteRef/>
      </w:r>
      <w:r w:rsidRPr="008536B9">
        <w:rPr>
          <w:rFonts w:cstheme="minorHAnsi"/>
          <w:sz w:val="18"/>
          <w:szCs w:val="18"/>
        </w:rPr>
        <w:t xml:space="preserve"> </w:t>
      </w:r>
      <w:r w:rsidRPr="008536B9">
        <w:rPr>
          <w:rFonts w:cstheme="minorHAnsi"/>
          <w:color w:val="000000"/>
          <w:sz w:val="18"/>
          <w:szCs w:val="18"/>
          <w:shd w:val="clear" w:color="auto" w:fill="FFFFFF"/>
        </w:rPr>
        <w:t>Abdeljaber, Mohammad "Istiṣḥāb</w:t>
      </w:r>
      <w:bookmarkStart w:id="0" w:name="_GoBack"/>
      <w:bookmarkEnd w:id="0"/>
      <w:r w:rsidRPr="008536B9">
        <w:rPr>
          <w:rFonts w:cstheme="minorHAnsi"/>
          <w:color w:val="000000"/>
          <w:sz w:val="18"/>
          <w:szCs w:val="18"/>
          <w:shd w:val="clear" w:color="auto" w:fill="FFFFFF"/>
        </w:rPr>
        <w:t xml:space="preserve"> al-ḥāl." The Oxford Encyclopedia of Islam and Law. Oxford Islamic Studies Online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C877F5C" w14:textId="77777777" w:rsidR="001D01C7" w:rsidRDefault="001D01C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D3D85FC" w14:textId="5AAF094C" w:rsidR="001D01C7" w:rsidRDefault="001D01C7">
    <w:pPr>
      <w:pStyle w:val="Header"/>
    </w:pPr>
    <w:r>
      <w:t>Graham Lowe 1807689</w:t>
    </w:r>
    <w:r>
      <w:ptab w:relativeTo="margin" w:alignment="center" w:leader="none"/>
    </w:r>
    <w:r w:rsidR="00577835">
      <w:t>TRDL7064 - Encyclopaedia entry part 3</w:t>
    </w:r>
    <w:r>
      <w:ptab w:relativeTo="margin" w:alignment="right" w:leader="none"/>
    </w:r>
    <w:r w:rsidR="00577835">
      <w:t>24</w:t>
    </w:r>
    <w:r w:rsidR="00577835" w:rsidRPr="00577835">
      <w:rPr>
        <w:vertAlign w:val="superscript"/>
      </w:rPr>
      <w:t>th</w:t>
    </w:r>
    <w:r w:rsidR="00577835">
      <w:t xml:space="preserve"> May 2019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482FD05" w14:textId="77777777" w:rsidR="001D01C7" w:rsidRDefault="001D01C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421A"/>
    <w:rsid w:val="00015E22"/>
    <w:rsid w:val="000239DC"/>
    <w:rsid w:val="00025F34"/>
    <w:rsid w:val="000543D5"/>
    <w:rsid w:val="00055BF4"/>
    <w:rsid w:val="00064806"/>
    <w:rsid w:val="00080C88"/>
    <w:rsid w:val="000B3842"/>
    <w:rsid w:val="000D2AAD"/>
    <w:rsid w:val="000E1C76"/>
    <w:rsid w:val="001057F7"/>
    <w:rsid w:val="0011103F"/>
    <w:rsid w:val="0015177C"/>
    <w:rsid w:val="00171289"/>
    <w:rsid w:val="00171653"/>
    <w:rsid w:val="001A667B"/>
    <w:rsid w:val="001D01C7"/>
    <w:rsid w:val="001E05AF"/>
    <w:rsid w:val="00231A1E"/>
    <w:rsid w:val="00244A41"/>
    <w:rsid w:val="002E4768"/>
    <w:rsid w:val="002F41F2"/>
    <w:rsid w:val="00325844"/>
    <w:rsid w:val="00347C6C"/>
    <w:rsid w:val="00355B41"/>
    <w:rsid w:val="0036265D"/>
    <w:rsid w:val="00372607"/>
    <w:rsid w:val="003731A8"/>
    <w:rsid w:val="003960D9"/>
    <w:rsid w:val="003C06C8"/>
    <w:rsid w:val="003D40BC"/>
    <w:rsid w:val="003D5FB8"/>
    <w:rsid w:val="003E0D5B"/>
    <w:rsid w:val="003E595B"/>
    <w:rsid w:val="003F3396"/>
    <w:rsid w:val="00467E8A"/>
    <w:rsid w:val="004876B0"/>
    <w:rsid w:val="004E6418"/>
    <w:rsid w:val="00510634"/>
    <w:rsid w:val="0052214A"/>
    <w:rsid w:val="00531F64"/>
    <w:rsid w:val="00535E85"/>
    <w:rsid w:val="00577835"/>
    <w:rsid w:val="00586604"/>
    <w:rsid w:val="005A27F3"/>
    <w:rsid w:val="005C0CEF"/>
    <w:rsid w:val="005C12C0"/>
    <w:rsid w:val="005C3B27"/>
    <w:rsid w:val="005C4C11"/>
    <w:rsid w:val="005D1ADD"/>
    <w:rsid w:val="005E0B04"/>
    <w:rsid w:val="005F5ACC"/>
    <w:rsid w:val="00604244"/>
    <w:rsid w:val="00604DAF"/>
    <w:rsid w:val="00621413"/>
    <w:rsid w:val="006B02B7"/>
    <w:rsid w:val="006B4C9F"/>
    <w:rsid w:val="006C7C51"/>
    <w:rsid w:val="006D629C"/>
    <w:rsid w:val="006E4C58"/>
    <w:rsid w:val="007103A3"/>
    <w:rsid w:val="0071421A"/>
    <w:rsid w:val="007370D6"/>
    <w:rsid w:val="007471ED"/>
    <w:rsid w:val="007626F1"/>
    <w:rsid w:val="007723D7"/>
    <w:rsid w:val="007A1F65"/>
    <w:rsid w:val="007D1F16"/>
    <w:rsid w:val="007E0979"/>
    <w:rsid w:val="007E73EA"/>
    <w:rsid w:val="007F000A"/>
    <w:rsid w:val="00802A97"/>
    <w:rsid w:val="008069D9"/>
    <w:rsid w:val="0083061F"/>
    <w:rsid w:val="008536B9"/>
    <w:rsid w:val="00863065"/>
    <w:rsid w:val="00886292"/>
    <w:rsid w:val="00896AE4"/>
    <w:rsid w:val="008B692E"/>
    <w:rsid w:val="008C1EAA"/>
    <w:rsid w:val="008D3EBB"/>
    <w:rsid w:val="008D464C"/>
    <w:rsid w:val="008E54EB"/>
    <w:rsid w:val="008F65D6"/>
    <w:rsid w:val="00927C14"/>
    <w:rsid w:val="00945D06"/>
    <w:rsid w:val="00965076"/>
    <w:rsid w:val="00965604"/>
    <w:rsid w:val="009C1345"/>
    <w:rsid w:val="009C74FA"/>
    <w:rsid w:val="009E079E"/>
    <w:rsid w:val="009F505A"/>
    <w:rsid w:val="009F5D13"/>
    <w:rsid w:val="00A1605E"/>
    <w:rsid w:val="00A33B72"/>
    <w:rsid w:val="00A466C0"/>
    <w:rsid w:val="00A65372"/>
    <w:rsid w:val="00A67CE1"/>
    <w:rsid w:val="00A8031A"/>
    <w:rsid w:val="00AB6CE4"/>
    <w:rsid w:val="00AB7288"/>
    <w:rsid w:val="00B001C2"/>
    <w:rsid w:val="00B21EEA"/>
    <w:rsid w:val="00B315C2"/>
    <w:rsid w:val="00BE0188"/>
    <w:rsid w:val="00BF3DBB"/>
    <w:rsid w:val="00C05BFF"/>
    <w:rsid w:val="00C36A66"/>
    <w:rsid w:val="00C433D7"/>
    <w:rsid w:val="00C57ACA"/>
    <w:rsid w:val="00C72AAE"/>
    <w:rsid w:val="00C749AB"/>
    <w:rsid w:val="00C7714E"/>
    <w:rsid w:val="00C77272"/>
    <w:rsid w:val="00CD6A34"/>
    <w:rsid w:val="00CE0208"/>
    <w:rsid w:val="00D03C32"/>
    <w:rsid w:val="00D176A8"/>
    <w:rsid w:val="00D341DE"/>
    <w:rsid w:val="00D47AA0"/>
    <w:rsid w:val="00D56826"/>
    <w:rsid w:val="00D65EB1"/>
    <w:rsid w:val="00D848ED"/>
    <w:rsid w:val="00DC256C"/>
    <w:rsid w:val="00E01632"/>
    <w:rsid w:val="00E12870"/>
    <w:rsid w:val="00E12EAA"/>
    <w:rsid w:val="00E14348"/>
    <w:rsid w:val="00E32180"/>
    <w:rsid w:val="00E87521"/>
    <w:rsid w:val="00F133FB"/>
    <w:rsid w:val="00F23A4C"/>
    <w:rsid w:val="00F252FC"/>
    <w:rsid w:val="00F61F45"/>
    <w:rsid w:val="00F77CB1"/>
    <w:rsid w:val="00FA3471"/>
    <w:rsid w:val="00FA5A1E"/>
    <w:rsid w:val="00FE3F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4D5E2E"/>
  <w15:chartTrackingRefBased/>
  <w15:docId w15:val="{8259E3B9-4934-4720-BB9A-1B4F5D3EFE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802A9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02A9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02A97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2E4768"/>
    <w:rPr>
      <w:i/>
      <w:iCs/>
    </w:rPr>
  </w:style>
  <w:style w:type="character" w:styleId="Strong">
    <w:name w:val="Strong"/>
    <w:basedOn w:val="DefaultParagraphFont"/>
    <w:uiPriority w:val="22"/>
    <w:qFormat/>
    <w:rsid w:val="002E4768"/>
    <w:rPr>
      <w:b/>
      <w:bCs/>
    </w:rPr>
  </w:style>
  <w:style w:type="character" w:styleId="Hyperlink">
    <w:name w:val="Hyperlink"/>
    <w:basedOn w:val="DefaultParagraphFont"/>
    <w:uiPriority w:val="99"/>
    <w:unhideWhenUsed/>
    <w:rsid w:val="002E4768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E0D5B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5FB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D01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01C7"/>
  </w:style>
  <w:style w:type="paragraph" w:styleId="Footer">
    <w:name w:val="footer"/>
    <w:basedOn w:val="Normal"/>
    <w:link w:val="FooterChar"/>
    <w:uiPriority w:val="99"/>
    <w:unhideWhenUsed/>
    <w:rsid w:val="001D01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01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qraonline.net/principle-of-istishab-and-its-types/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://www.oxfordislamicstudies.com.ezproxy.uwtsd.ac.uk/article/opr/t349/e0093" TargetMode="Externa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www.oxfordislamicstudies.com.ezproxy.uwtsd.ac.uk/article/opr/t125/e1138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08E0527-265C-444E-B740-DF5462E959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656</Words>
  <Characters>3741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Lowe</dc:creator>
  <cp:keywords/>
  <dc:description/>
  <cp:lastModifiedBy>Graham Lowe</cp:lastModifiedBy>
  <cp:revision>2</cp:revision>
  <dcterms:created xsi:type="dcterms:W3CDTF">2019-05-19T16:17:00Z</dcterms:created>
  <dcterms:modified xsi:type="dcterms:W3CDTF">2019-05-19T16:17:00Z</dcterms:modified>
</cp:coreProperties>
</file>