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0000" w:themeColor="text1"/>
  <w:body>
    <w:p w14:paraId="4BA52CE3" w14:textId="240113BE" w:rsidR="00EA1A15" w:rsidRPr="00CD33A8" w:rsidRDefault="00074402" w:rsidP="005618EB">
      <w:r w:rsidRPr="00CD33A8">
        <w:rPr>
          <w:noProof/>
        </w:rPr>
        <w:drawing>
          <wp:anchor distT="0" distB="0" distL="114300" distR="114300" simplePos="0" relativeHeight="251659264"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rPr>
      </w:pPr>
    </w:p>
    <w:p w14:paraId="4E267F2C" w14:textId="35E99859" w:rsidR="00074402" w:rsidRPr="00CD33A8" w:rsidRDefault="00074402" w:rsidP="00CD33A8">
      <w:pPr>
        <w:spacing w:line="360" w:lineRule="auto"/>
        <w:rPr>
          <w:rFonts w:asciiTheme="minorBidi" w:hAnsiTheme="minorBidi"/>
        </w:rPr>
      </w:pPr>
    </w:p>
    <w:p w14:paraId="5D864E3F" w14:textId="04749E68" w:rsidR="00074402" w:rsidRPr="00CD33A8" w:rsidRDefault="00074402" w:rsidP="00CD33A8">
      <w:pPr>
        <w:spacing w:line="360" w:lineRule="auto"/>
        <w:rPr>
          <w:rFonts w:asciiTheme="minorBidi" w:hAnsiTheme="minorBidi"/>
        </w:rPr>
      </w:pPr>
    </w:p>
    <w:p w14:paraId="22F2817A" w14:textId="77777777" w:rsidR="00074402" w:rsidRPr="00CD33A8" w:rsidRDefault="00074402" w:rsidP="00CD33A8">
      <w:pPr>
        <w:tabs>
          <w:tab w:val="left" w:pos="6540"/>
        </w:tabs>
        <w:spacing w:line="360" w:lineRule="auto"/>
        <w:rPr>
          <w:rFonts w:asciiTheme="minorBidi" w:hAnsiTheme="minorBidi"/>
        </w:rPr>
      </w:pPr>
    </w:p>
    <w:p w14:paraId="7D557BA5" w14:textId="48A2C15A" w:rsidR="00CD33A8" w:rsidRPr="00CD33A8" w:rsidRDefault="00CD33A8"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Module name</w:t>
      </w:r>
      <w:r w:rsidRPr="00CD33A8">
        <w:rPr>
          <w:rFonts w:ascii="Arial" w:hAnsi="Arial" w:cs="Arial"/>
          <w:sz w:val="28"/>
          <w:szCs w:val="28"/>
          <w:lang w:val="nl-NL"/>
        </w:rPr>
        <w:t xml:space="preserve">: </w:t>
      </w:r>
      <w:r w:rsidR="00E2342A" w:rsidRPr="00E2342A">
        <w:rPr>
          <w:rFonts w:ascii="Arial" w:hAnsi="Arial" w:cs="Arial"/>
          <w:sz w:val="28"/>
          <w:szCs w:val="28"/>
          <w:lang w:val="nl-NL"/>
        </w:rPr>
        <w:t>Introduction to Health and Social Care</w:t>
      </w:r>
    </w:p>
    <w:p w14:paraId="537571AF" w14:textId="58E24FD9" w:rsidR="00CD33A8" w:rsidRPr="00CD33A8" w:rsidRDefault="00CD33A8" w:rsidP="00CD33A8">
      <w:pPr>
        <w:tabs>
          <w:tab w:val="left" w:pos="6540"/>
        </w:tabs>
        <w:spacing w:line="360" w:lineRule="auto"/>
        <w:rPr>
          <w:rFonts w:ascii="Arial" w:hAnsi="Arial" w:cs="Arial"/>
          <w:sz w:val="28"/>
          <w:szCs w:val="28"/>
        </w:rPr>
      </w:pPr>
      <w:r w:rsidRPr="00CD33A8">
        <w:rPr>
          <w:rFonts w:ascii="Arial" w:hAnsi="Arial" w:cs="Arial"/>
          <w:b/>
          <w:bCs/>
          <w:sz w:val="28"/>
          <w:szCs w:val="28"/>
        </w:rPr>
        <w:t>Module code</w:t>
      </w:r>
      <w:r w:rsidRPr="00CD33A8">
        <w:rPr>
          <w:rFonts w:ascii="Arial" w:hAnsi="Arial" w:cs="Arial"/>
          <w:sz w:val="28"/>
          <w:szCs w:val="28"/>
        </w:rPr>
        <w:t>:</w:t>
      </w:r>
      <w:r w:rsidR="00DA46BE" w:rsidRPr="00DA46BE">
        <w:t xml:space="preserve"> </w:t>
      </w:r>
      <w:r w:rsidR="00DA46BE" w:rsidRPr="00DA46BE">
        <w:rPr>
          <w:rFonts w:ascii="Arial" w:hAnsi="Arial" w:cs="Arial"/>
          <w:sz w:val="28"/>
          <w:szCs w:val="28"/>
        </w:rPr>
        <w:t>LCHS4003</w:t>
      </w:r>
    </w:p>
    <w:p w14:paraId="0A48766D" w14:textId="5517FF54"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name</w:t>
      </w:r>
      <w:r w:rsidRPr="00CD33A8">
        <w:rPr>
          <w:rFonts w:ascii="Arial" w:hAnsi="Arial" w:cs="Arial"/>
          <w:sz w:val="28"/>
          <w:szCs w:val="28"/>
          <w:lang w:val="nl-NL"/>
        </w:rPr>
        <w:t>:</w:t>
      </w:r>
      <w:r w:rsidR="00DA46BE">
        <w:rPr>
          <w:rFonts w:ascii="Arial" w:hAnsi="Arial" w:cs="Arial"/>
          <w:sz w:val="28"/>
          <w:szCs w:val="28"/>
          <w:lang w:val="nl-NL"/>
        </w:rPr>
        <w:t xml:space="preserve"> Alketa Lata</w:t>
      </w:r>
    </w:p>
    <w:p w14:paraId="39AA4413" w14:textId="34692307" w:rsidR="00074402" w:rsidRPr="00CD33A8" w:rsidRDefault="00074402" w:rsidP="00CD33A8">
      <w:pPr>
        <w:tabs>
          <w:tab w:val="left" w:pos="6540"/>
        </w:tabs>
        <w:spacing w:line="360" w:lineRule="auto"/>
        <w:rPr>
          <w:rFonts w:ascii="Arial" w:hAnsi="Arial" w:cs="Arial"/>
          <w:sz w:val="28"/>
          <w:szCs w:val="28"/>
          <w:lang w:val="nl-NL"/>
        </w:rPr>
      </w:pPr>
      <w:r w:rsidRPr="00CD33A8">
        <w:rPr>
          <w:rFonts w:ascii="Arial" w:hAnsi="Arial" w:cs="Arial"/>
          <w:b/>
          <w:bCs/>
          <w:sz w:val="28"/>
          <w:szCs w:val="28"/>
          <w:lang w:val="nl-NL"/>
        </w:rPr>
        <w:t>Student ID</w:t>
      </w:r>
      <w:r w:rsidRPr="00CD33A8">
        <w:rPr>
          <w:rFonts w:ascii="Arial" w:hAnsi="Arial" w:cs="Arial"/>
          <w:sz w:val="28"/>
          <w:szCs w:val="28"/>
          <w:lang w:val="nl-NL"/>
        </w:rPr>
        <w:t>:</w:t>
      </w:r>
      <w:r w:rsidR="006E4531">
        <w:rPr>
          <w:rFonts w:ascii="Arial" w:hAnsi="Arial" w:cs="Arial"/>
          <w:sz w:val="28"/>
          <w:szCs w:val="28"/>
          <w:lang w:val="nl-NL"/>
        </w:rPr>
        <w:t xml:space="preserve"> 2510172</w:t>
      </w:r>
    </w:p>
    <w:p w14:paraId="1A0B2D2B" w14:textId="3BEAB12B" w:rsidR="00074402" w:rsidRPr="00CD33A8" w:rsidRDefault="008E3943" w:rsidP="00CD33A8">
      <w:pPr>
        <w:tabs>
          <w:tab w:val="left" w:pos="6540"/>
        </w:tabs>
        <w:spacing w:line="360" w:lineRule="auto"/>
        <w:rPr>
          <w:rFonts w:ascii="Arial" w:hAnsi="Arial" w:cs="Arial"/>
          <w:sz w:val="28"/>
          <w:szCs w:val="28"/>
        </w:rPr>
      </w:pPr>
      <w:r>
        <w:rPr>
          <w:rFonts w:ascii="Arial" w:hAnsi="Arial" w:cs="Arial"/>
          <w:b/>
          <w:bCs/>
          <w:sz w:val="28"/>
          <w:szCs w:val="28"/>
        </w:rPr>
        <w:t>Lecturer’s name</w:t>
      </w:r>
      <w:r w:rsidR="00074402" w:rsidRPr="00CD33A8">
        <w:rPr>
          <w:rFonts w:ascii="Arial" w:hAnsi="Arial" w:cs="Arial"/>
          <w:sz w:val="28"/>
          <w:szCs w:val="28"/>
        </w:rPr>
        <w:t>:</w:t>
      </w:r>
      <w:r w:rsidR="006E4531">
        <w:rPr>
          <w:rFonts w:ascii="Arial" w:hAnsi="Arial" w:cs="Arial"/>
          <w:sz w:val="28"/>
          <w:szCs w:val="28"/>
        </w:rPr>
        <w:t xml:space="preserve"> Mark Kane </w:t>
      </w:r>
    </w:p>
    <w:p w14:paraId="39D08584" w14:textId="77777777" w:rsidR="00074402" w:rsidRPr="00CD33A8" w:rsidRDefault="00074402" w:rsidP="00CD33A8">
      <w:pPr>
        <w:tabs>
          <w:tab w:val="left" w:pos="6540"/>
        </w:tabs>
        <w:spacing w:line="360" w:lineRule="auto"/>
        <w:rPr>
          <w:rFonts w:asciiTheme="minorBidi" w:hAnsiTheme="minorBidi"/>
        </w:rPr>
      </w:pPr>
    </w:p>
    <w:p w14:paraId="5B66D125" w14:textId="77777777" w:rsidR="00074402" w:rsidRPr="00CD33A8" w:rsidRDefault="00074402" w:rsidP="00CD33A8">
      <w:pPr>
        <w:tabs>
          <w:tab w:val="left" w:pos="6540"/>
        </w:tabs>
        <w:spacing w:line="360" w:lineRule="auto"/>
        <w:rPr>
          <w:rFonts w:asciiTheme="minorBidi" w:hAnsiTheme="minorBidi"/>
        </w:rPr>
      </w:pPr>
    </w:p>
    <w:p w14:paraId="291524A2" w14:textId="2CBFF360" w:rsidR="00074402" w:rsidRPr="00CD33A8" w:rsidRDefault="00074402" w:rsidP="00CD33A8">
      <w:pPr>
        <w:tabs>
          <w:tab w:val="left" w:pos="6540"/>
        </w:tabs>
        <w:spacing w:line="360" w:lineRule="auto"/>
        <w:rPr>
          <w:rFonts w:asciiTheme="minorBidi" w:hAnsiTheme="minorBidi"/>
        </w:rPr>
      </w:pPr>
    </w:p>
    <w:p w14:paraId="5AE88297" w14:textId="24E6B718" w:rsidR="00B87E75" w:rsidRPr="00CD33A8" w:rsidRDefault="00B87E75" w:rsidP="00CD33A8">
      <w:pPr>
        <w:tabs>
          <w:tab w:val="left" w:pos="6540"/>
        </w:tabs>
        <w:spacing w:line="360" w:lineRule="auto"/>
        <w:rPr>
          <w:rFonts w:asciiTheme="minorBidi" w:hAnsiTheme="minorBidi"/>
        </w:rPr>
      </w:pPr>
    </w:p>
    <w:p w14:paraId="420ADE33" w14:textId="35FB1322" w:rsidR="00B87E75" w:rsidRPr="00CD33A8" w:rsidRDefault="00B87E75" w:rsidP="00CD33A8">
      <w:pPr>
        <w:spacing w:line="360" w:lineRule="auto"/>
        <w:rPr>
          <w:rFonts w:asciiTheme="minorBidi" w:hAnsiTheme="minorBidi"/>
        </w:rPr>
      </w:pPr>
      <w:r w:rsidRPr="00CD33A8">
        <w:rPr>
          <w:rFonts w:asciiTheme="minorBidi" w:hAnsiTheme="minorBidi"/>
        </w:rPr>
        <w:br w:type="page"/>
      </w:r>
    </w:p>
    <w:p w14:paraId="43BEBDCC" w14:textId="77777777" w:rsidR="00C50909" w:rsidRDefault="00C50909" w:rsidP="0048635B">
      <w:pPr>
        <w:pStyle w:val="Heading1"/>
        <w:rPr>
          <w:rFonts w:ascii="Arial" w:hAnsi="Arial" w:cs="Arial"/>
          <w:b/>
          <w:bCs/>
          <w:sz w:val="24"/>
          <w:szCs w:val="24"/>
        </w:rPr>
      </w:pPr>
    </w:p>
    <w:p w14:paraId="58751F8D" w14:textId="463A403A" w:rsidR="0048635B" w:rsidRPr="00523320" w:rsidRDefault="0048635B" w:rsidP="0048635B">
      <w:pPr>
        <w:pStyle w:val="Heading1"/>
        <w:rPr>
          <w:rFonts w:ascii="Arial" w:hAnsi="Arial" w:cs="Arial"/>
          <w:b/>
          <w:bCs/>
          <w:sz w:val="24"/>
          <w:szCs w:val="24"/>
        </w:rPr>
      </w:pPr>
      <w:r w:rsidRPr="00523320">
        <w:rPr>
          <w:rFonts w:ascii="Arial" w:hAnsi="Arial" w:cs="Arial"/>
          <w:b/>
          <w:bCs/>
          <w:sz w:val="24"/>
          <w:szCs w:val="24"/>
        </w:rPr>
        <w:t>Table of contents</w:t>
      </w:r>
      <w:r>
        <w:rPr>
          <w:rFonts w:ascii="Arial" w:hAnsi="Arial" w:cs="Arial"/>
          <w:b/>
          <w:bCs/>
          <w:sz w:val="24"/>
          <w:szCs w:val="24"/>
        </w:rPr>
        <w:t xml:space="preserve"> </w:t>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r>
      <w:r>
        <w:rPr>
          <w:rFonts w:ascii="Arial" w:hAnsi="Arial" w:cs="Arial"/>
          <w:b/>
          <w:bCs/>
          <w:sz w:val="24"/>
          <w:szCs w:val="24"/>
        </w:rPr>
        <w:tab/>
        <w:t>page/s</w:t>
      </w:r>
    </w:p>
    <w:p w14:paraId="204839B8" w14:textId="77777777" w:rsidR="0048635B" w:rsidRDefault="0048635B" w:rsidP="0048635B">
      <w:pPr>
        <w:spacing w:line="360" w:lineRule="auto"/>
        <w:rPr>
          <w:rFonts w:asciiTheme="minorBidi" w:hAnsiTheme="minorBidi"/>
        </w:rPr>
      </w:pPr>
    </w:p>
    <w:p w14:paraId="0DDB04FD" w14:textId="691B00FC" w:rsidR="0048635B" w:rsidRPr="0071503B" w:rsidRDefault="0048635B" w:rsidP="00423F48">
      <w:pPr>
        <w:spacing w:line="360" w:lineRule="auto"/>
        <w:rPr>
          <w:rFonts w:ascii="Arial" w:hAnsi="Arial" w:cs="Arial"/>
          <w:b/>
          <w:bCs/>
          <w:sz w:val="24"/>
          <w:szCs w:val="24"/>
        </w:rPr>
      </w:pPr>
      <w:r w:rsidRPr="0071503B">
        <w:rPr>
          <w:rFonts w:ascii="Arial" w:hAnsi="Arial" w:cs="Arial"/>
          <w:b/>
          <w:bCs/>
          <w:sz w:val="24"/>
          <w:szCs w:val="24"/>
        </w:rPr>
        <w:t>1. Introduction……………………………………………………………………</w:t>
      </w:r>
      <w:r w:rsidR="0050296F" w:rsidRPr="0071503B">
        <w:rPr>
          <w:rFonts w:ascii="Arial" w:hAnsi="Arial" w:cs="Arial"/>
          <w:b/>
          <w:bCs/>
          <w:sz w:val="24"/>
          <w:szCs w:val="24"/>
        </w:rPr>
        <w:t>…</w:t>
      </w:r>
      <w:r w:rsidR="00AC609F">
        <w:rPr>
          <w:rFonts w:ascii="Arial" w:hAnsi="Arial" w:cs="Arial"/>
          <w:b/>
          <w:bCs/>
          <w:sz w:val="24"/>
          <w:szCs w:val="24"/>
        </w:rPr>
        <w:t>.</w:t>
      </w:r>
      <w:r w:rsidRPr="0071503B">
        <w:rPr>
          <w:rFonts w:ascii="Arial" w:hAnsi="Arial" w:cs="Arial"/>
          <w:b/>
          <w:bCs/>
          <w:sz w:val="24"/>
          <w:szCs w:val="24"/>
        </w:rPr>
        <w:t>3</w:t>
      </w:r>
    </w:p>
    <w:p w14:paraId="3CF9B269" w14:textId="4374F78C" w:rsidR="00477019" w:rsidRDefault="0048635B" w:rsidP="00477019">
      <w:pPr>
        <w:spacing w:line="360" w:lineRule="auto"/>
        <w:rPr>
          <w:rFonts w:ascii="Arial" w:hAnsi="Arial" w:cs="Arial"/>
          <w:b/>
          <w:bCs/>
          <w:sz w:val="24"/>
          <w:szCs w:val="24"/>
        </w:rPr>
      </w:pPr>
      <w:r w:rsidRPr="0071503B">
        <w:rPr>
          <w:rFonts w:ascii="Arial" w:hAnsi="Arial" w:cs="Arial"/>
          <w:b/>
          <w:bCs/>
          <w:sz w:val="24"/>
          <w:szCs w:val="24"/>
        </w:rPr>
        <w:t>2. Importance of effective communication…………………………………</w:t>
      </w:r>
      <w:r w:rsidR="0050296F" w:rsidRPr="0071503B">
        <w:rPr>
          <w:rFonts w:ascii="Arial" w:hAnsi="Arial" w:cs="Arial"/>
          <w:b/>
          <w:bCs/>
          <w:sz w:val="24"/>
          <w:szCs w:val="24"/>
        </w:rPr>
        <w:t>….</w:t>
      </w:r>
      <w:r w:rsidR="0064626D">
        <w:rPr>
          <w:rFonts w:ascii="Arial" w:hAnsi="Arial" w:cs="Arial"/>
          <w:b/>
          <w:bCs/>
          <w:sz w:val="24"/>
          <w:szCs w:val="24"/>
        </w:rPr>
        <w:t>3/4</w:t>
      </w:r>
    </w:p>
    <w:p w14:paraId="21CAD12F" w14:textId="6561843D" w:rsidR="006D20C8" w:rsidRPr="00477019" w:rsidRDefault="006D20C8" w:rsidP="00477019">
      <w:pPr>
        <w:spacing w:line="360" w:lineRule="auto"/>
        <w:rPr>
          <w:rFonts w:ascii="Arial" w:hAnsi="Arial" w:cs="Arial"/>
          <w:b/>
          <w:bCs/>
          <w:sz w:val="24"/>
          <w:szCs w:val="24"/>
        </w:rPr>
      </w:pPr>
      <w:r w:rsidRPr="0071503B">
        <w:rPr>
          <w:rFonts w:ascii="Arial" w:hAnsi="Arial" w:cs="Arial"/>
          <w:b/>
          <w:bCs/>
          <w:sz w:val="24"/>
          <w:szCs w:val="24"/>
        </w:rPr>
        <w:t>3.</w:t>
      </w:r>
      <w:r w:rsidR="002125BA" w:rsidRPr="0071503B">
        <w:rPr>
          <w:rFonts w:ascii="Arial" w:hAnsi="Arial" w:cs="Arial"/>
          <w:b/>
          <w:bCs/>
          <w:sz w:val="24"/>
          <w:szCs w:val="24"/>
        </w:rPr>
        <w:t xml:space="preserve"> </w:t>
      </w:r>
      <w:r w:rsidRPr="0071503B">
        <w:rPr>
          <w:rFonts w:ascii="Arial" w:eastAsia="Times New Roman" w:hAnsi="Arial" w:cs="Arial"/>
          <w:b/>
          <w:bCs/>
          <w:sz w:val="24"/>
          <w:szCs w:val="24"/>
          <w:lang w:eastAsia="en-GB"/>
        </w:rPr>
        <w:t>Importance of Good Administrative Skills in Mr Ahmed’s Care……</w:t>
      </w:r>
      <w:r w:rsidR="009B1335">
        <w:rPr>
          <w:rFonts w:ascii="Arial" w:eastAsia="Times New Roman" w:hAnsi="Arial" w:cs="Arial"/>
          <w:b/>
          <w:bCs/>
          <w:sz w:val="24"/>
          <w:szCs w:val="24"/>
          <w:lang w:eastAsia="en-GB"/>
        </w:rPr>
        <w:t>…</w:t>
      </w:r>
      <w:r w:rsidR="00AC609F">
        <w:rPr>
          <w:rFonts w:ascii="Arial" w:eastAsia="Times New Roman" w:hAnsi="Arial" w:cs="Arial"/>
          <w:b/>
          <w:bCs/>
          <w:sz w:val="24"/>
          <w:szCs w:val="24"/>
          <w:lang w:eastAsia="en-GB"/>
        </w:rPr>
        <w:t>…</w:t>
      </w:r>
      <w:r w:rsidR="002153F5">
        <w:rPr>
          <w:rFonts w:ascii="Arial" w:eastAsia="Times New Roman" w:hAnsi="Arial" w:cs="Arial"/>
          <w:b/>
          <w:bCs/>
          <w:sz w:val="24"/>
          <w:szCs w:val="24"/>
          <w:lang w:eastAsia="en-GB"/>
        </w:rPr>
        <w:t>4/</w:t>
      </w:r>
      <w:r w:rsidR="0064626D">
        <w:rPr>
          <w:rFonts w:ascii="Arial" w:eastAsia="Times New Roman" w:hAnsi="Arial" w:cs="Arial"/>
          <w:b/>
          <w:bCs/>
          <w:sz w:val="24"/>
          <w:szCs w:val="24"/>
          <w:lang w:eastAsia="en-GB"/>
        </w:rPr>
        <w:t>5</w:t>
      </w:r>
    </w:p>
    <w:p w14:paraId="14A5E023" w14:textId="3A7D11A6" w:rsidR="0071503B" w:rsidRPr="0071503B" w:rsidRDefault="0071503B" w:rsidP="00423F48">
      <w:pPr>
        <w:tabs>
          <w:tab w:val="left" w:pos="6540"/>
        </w:tabs>
        <w:spacing w:line="360" w:lineRule="auto"/>
        <w:rPr>
          <w:rFonts w:ascii="Arial" w:hAnsi="Arial" w:cs="Arial"/>
          <w:b/>
          <w:bCs/>
          <w:sz w:val="24"/>
          <w:szCs w:val="24"/>
        </w:rPr>
      </w:pPr>
      <w:r w:rsidRPr="0071503B">
        <w:rPr>
          <w:rFonts w:ascii="Arial" w:eastAsia="Times New Roman" w:hAnsi="Arial" w:cs="Arial"/>
          <w:b/>
          <w:bCs/>
          <w:sz w:val="24"/>
          <w:szCs w:val="24"/>
          <w:lang w:eastAsia="en-GB"/>
        </w:rPr>
        <w:t>4.</w:t>
      </w:r>
      <w:r w:rsidR="00477019">
        <w:rPr>
          <w:rFonts w:ascii="Arial" w:eastAsia="Times New Roman" w:hAnsi="Arial" w:cs="Arial"/>
          <w:b/>
          <w:bCs/>
          <w:sz w:val="24"/>
          <w:szCs w:val="24"/>
          <w:lang w:eastAsia="en-GB"/>
        </w:rPr>
        <w:t xml:space="preserve"> </w:t>
      </w:r>
      <w:r w:rsidRPr="0071503B">
        <w:rPr>
          <w:rFonts w:ascii="Arial" w:hAnsi="Arial" w:cs="Arial"/>
          <w:b/>
          <w:bCs/>
          <w:sz w:val="24"/>
          <w:szCs w:val="24"/>
        </w:rPr>
        <w:t>Importance of Collaborative Working in Mr Ahmed’s Care…………</w:t>
      </w:r>
      <w:r w:rsidR="009B1335">
        <w:rPr>
          <w:rFonts w:ascii="Arial" w:hAnsi="Arial" w:cs="Arial"/>
          <w:b/>
          <w:bCs/>
          <w:sz w:val="24"/>
          <w:szCs w:val="24"/>
        </w:rPr>
        <w:t>…</w:t>
      </w:r>
      <w:r w:rsidR="00AC609F">
        <w:rPr>
          <w:rFonts w:ascii="Arial" w:hAnsi="Arial" w:cs="Arial"/>
          <w:b/>
          <w:bCs/>
          <w:sz w:val="24"/>
          <w:szCs w:val="24"/>
        </w:rPr>
        <w:t>…</w:t>
      </w:r>
      <w:r w:rsidR="007B7AC7">
        <w:rPr>
          <w:rFonts w:ascii="Arial" w:hAnsi="Arial" w:cs="Arial"/>
          <w:b/>
          <w:bCs/>
          <w:sz w:val="24"/>
          <w:szCs w:val="24"/>
        </w:rPr>
        <w:t>5/6</w:t>
      </w:r>
    </w:p>
    <w:p w14:paraId="7C6EA5B2" w14:textId="77611537" w:rsidR="00A00035" w:rsidRDefault="00A00035" w:rsidP="00A00035">
      <w:pPr>
        <w:tabs>
          <w:tab w:val="left" w:pos="6540"/>
        </w:tabs>
        <w:spacing w:line="360" w:lineRule="auto"/>
        <w:rPr>
          <w:rFonts w:ascii="Arial" w:hAnsi="Arial" w:cs="Arial"/>
          <w:b/>
          <w:bCs/>
          <w:sz w:val="24"/>
          <w:szCs w:val="24"/>
        </w:rPr>
      </w:pPr>
      <w:r>
        <w:rPr>
          <w:rFonts w:ascii="Arial" w:hAnsi="Arial" w:cs="Arial"/>
          <w:b/>
          <w:bCs/>
          <w:sz w:val="24"/>
          <w:szCs w:val="24"/>
        </w:rPr>
        <w:t>5</w:t>
      </w:r>
      <w:r w:rsidR="005F0C76">
        <w:rPr>
          <w:rFonts w:ascii="Arial" w:hAnsi="Arial" w:cs="Arial"/>
          <w:b/>
          <w:bCs/>
          <w:sz w:val="24"/>
          <w:szCs w:val="24"/>
        </w:rPr>
        <w:t>. Conclusion</w:t>
      </w:r>
      <w:r w:rsidR="0016649B">
        <w:rPr>
          <w:rFonts w:ascii="Arial" w:hAnsi="Arial" w:cs="Arial"/>
          <w:b/>
          <w:bCs/>
          <w:sz w:val="24"/>
          <w:szCs w:val="24"/>
        </w:rPr>
        <w:t>…………………………………………………………………………</w:t>
      </w:r>
      <w:r w:rsidR="00AC609F">
        <w:rPr>
          <w:rFonts w:ascii="Arial" w:hAnsi="Arial" w:cs="Arial"/>
          <w:b/>
          <w:bCs/>
          <w:sz w:val="24"/>
          <w:szCs w:val="24"/>
        </w:rPr>
        <w:t>6</w:t>
      </w:r>
    </w:p>
    <w:p w14:paraId="25EF34B8" w14:textId="2CF61199" w:rsidR="005F0C76" w:rsidRPr="00A10F06" w:rsidRDefault="005F0C76" w:rsidP="00A00035">
      <w:pPr>
        <w:tabs>
          <w:tab w:val="left" w:pos="6540"/>
        </w:tabs>
        <w:spacing w:line="360" w:lineRule="auto"/>
        <w:rPr>
          <w:rFonts w:ascii="Arial" w:hAnsi="Arial" w:cs="Arial"/>
          <w:sz w:val="28"/>
          <w:szCs w:val="28"/>
        </w:rPr>
      </w:pPr>
      <w:r>
        <w:rPr>
          <w:rFonts w:ascii="Arial" w:hAnsi="Arial" w:cs="Arial"/>
          <w:b/>
          <w:bCs/>
          <w:sz w:val="24"/>
          <w:szCs w:val="24"/>
        </w:rPr>
        <w:t>6</w:t>
      </w:r>
      <w:r w:rsidR="00477019">
        <w:rPr>
          <w:rFonts w:ascii="Arial" w:hAnsi="Arial" w:cs="Arial"/>
          <w:b/>
          <w:bCs/>
          <w:sz w:val="24"/>
          <w:szCs w:val="24"/>
        </w:rPr>
        <w:t>. References</w:t>
      </w:r>
      <w:r w:rsidR="00B76BEA">
        <w:rPr>
          <w:rFonts w:ascii="Arial" w:hAnsi="Arial" w:cs="Arial"/>
          <w:b/>
          <w:bCs/>
          <w:sz w:val="24"/>
          <w:szCs w:val="24"/>
        </w:rPr>
        <w:t>……</w:t>
      </w:r>
      <w:r w:rsidR="003A7FB9">
        <w:rPr>
          <w:rFonts w:ascii="Arial" w:hAnsi="Arial" w:cs="Arial"/>
          <w:b/>
          <w:bCs/>
          <w:sz w:val="24"/>
          <w:szCs w:val="24"/>
        </w:rPr>
        <w:t>……………………………………………………………………</w:t>
      </w:r>
      <w:r w:rsidR="00AC609F">
        <w:rPr>
          <w:rFonts w:ascii="Arial" w:hAnsi="Arial" w:cs="Arial"/>
          <w:b/>
          <w:bCs/>
          <w:sz w:val="24"/>
          <w:szCs w:val="24"/>
        </w:rPr>
        <w:t>7</w:t>
      </w:r>
    </w:p>
    <w:p w14:paraId="2586013F" w14:textId="79A62A0C" w:rsidR="0048635B" w:rsidRPr="001A5333" w:rsidRDefault="0048635B" w:rsidP="0048635B">
      <w:pPr>
        <w:spacing w:after="0" w:line="360" w:lineRule="auto"/>
        <w:rPr>
          <w:rFonts w:ascii="Arial" w:eastAsia="Times New Roman" w:hAnsi="Arial" w:cs="Arial"/>
          <w:b/>
          <w:bCs/>
          <w:lang w:eastAsia="en-GB"/>
        </w:rPr>
      </w:pPr>
    </w:p>
    <w:p w14:paraId="305C21C8" w14:textId="77777777" w:rsidR="00BB3423" w:rsidRDefault="00BB3423" w:rsidP="0048635B">
      <w:pPr>
        <w:spacing w:after="0" w:line="360" w:lineRule="auto"/>
        <w:rPr>
          <w:rFonts w:ascii="Arial" w:eastAsia="Times New Roman" w:hAnsi="Arial" w:cs="Arial"/>
          <w:b/>
          <w:bCs/>
          <w:sz w:val="24"/>
          <w:szCs w:val="24"/>
          <w:lang w:eastAsia="en-GB"/>
        </w:rPr>
      </w:pPr>
    </w:p>
    <w:p w14:paraId="70CF29D5" w14:textId="77777777" w:rsidR="00BB3423" w:rsidRDefault="00BB3423" w:rsidP="0048635B">
      <w:pPr>
        <w:spacing w:after="0" w:line="360" w:lineRule="auto"/>
        <w:rPr>
          <w:rFonts w:ascii="Arial" w:eastAsia="Times New Roman" w:hAnsi="Arial" w:cs="Arial"/>
          <w:b/>
          <w:bCs/>
          <w:sz w:val="24"/>
          <w:szCs w:val="24"/>
          <w:lang w:eastAsia="en-GB"/>
        </w:rPr>
      </w:pPr>
    </w:p>
    <w:p w14:paraId="3D7CB5BF" w14:textId="77777777" w:rsidR="00BB3423" w:rsidRDefault="00BB3423" w:rsidP="0048635B">
      <w:pPr>
        <w:spacing w:after="0" w:line="360" w:lineRule="auto"/>
        <w:rPr>
          <w:rFonts w:ascii="Arial" w:eastAsia="Times New Roman" w:hAnsi="Arial" w:cs="Arial"/>
          <w:b/>
          <w:bCs/>
          <w:sz w:val="24"/>
          <w:szCs w:val="24"/>
          <w:lang w:eastAsia="en-GB"/>
        </w:rPr>
      </w:pPr>
    </w:p>
    <w:p w14:paraId="01E7546E" w14:textId="77777777" w:rsidR="00BB3423" w:rsidRDefault="00BB3423" w:rsidP="0048635B">
      <w:pPr>
        <w:spacing w:after="0" w:line="360" w:lineRule="auto"/>
        <w:rPr>
          <w:rFonts w:ascii="Arial" w:eastAsia="Times New Roman" w:hAnsi="Arial" w:cs="Arial"/>
          <w:b/>
          <w:bCs/>
          <w:sz w:val="24"/>
          <w:szCs w:val="24"/>
          <w:lang w:eastAsia="en-GB"/>
        </w:rPr>
      </w:pPr>
    </w:p>
    <w:p w14:paraId="3F1CCCEE" w14:textId="77777777" w:rsidR="00BB3423" w:rsidRDefault="00BB3423" w:rsidP="0048635B">
      <w:pPr>
        <w:spacing w:after="0" w:line="360" w:lineRule="auto"/>
        <w:rPr>
          <w:rFonts w:ascii="Arial" w:eastAsia="Times New Roman" w:hAnsi="Arial" w:cs="Arial"/>
          <w:b/>
          <w:bCs/>
          <w:sz w:val="24"/>
          <w:szCs w:val="24"/>
          <w:lang w:eastAsia="en-GB"/>
        </w:rPr>
      </w:pPr>
    </w:p>
    <w:p w14:paraId="3152351F" w14:textId="77777777" w:rsidR="00BB3423" w:rsidRDefault="00BB3423" w:rsidP="0048635B">
      <w:pPr>
        <w:spacing w:after="0" w:line="360" w:lineRule="auto"/>
        <w:rPr>
          <w:rFonts w:ascii="Arial" w:eastAsia="Times New Roman" w:hAnsi="Arial" w:cs="Arial"/>
          <w:b/>
          <w:bCs/>
          <w:sz w:val="24"/>
          <w:szCs w:val="24"/>
          <w:lang w:eastAsia="en-GB"/>
        </w:rPr>
      </w:pPr>
    </w:p>
    <w:p w14:paraId="7FCFCD28" w14:textId="77777777" w:rsidR="00BB3423" w:rsidRDefault="00BB3423" w:rsidP="0048635B">
      <w:pPr>
        <w:spacing w:after="0" w:line="360" w:lineRule="auto"/>
        <w:rPr>
          <w:rFonts w:ascii="Arial" w:eastAsia="Times New Roman" w:hAnsi="Arial" w:cs="Arial"/>
          <w:b/>
          <w:bCs/>
          <w:sz w:val="24"/>
          <w:szCs w:val="24"/>
          <w:lang w:eastAsia="en-GB"/>
        </w:rPr>
      </w:pPr>
    </w:p>
    <w:p w14:paraId="78A36BDE" w14:textId="77777777" w:rsidR="00BB3423" w:rsidRDefault="00BB3423" w:rsidP="0048635B">
      <w:pPr>
        <w:spacing w:after="0" w:line="360" w:lineRule="auto"/>
        <w:rPr>
          <w:rFonts w:ascii="Arial" w:eastAsia="Times New Roman" w:hAnsi="Arial" w:cs="Arial"/>
          <w:b/>
          <w:bCs/>
          <w:sz w:val="24"/>
          <w:szCs w:val="24"/>
          <w:lang w:eastAsia="en-GB"/>
        </w:rPr>
      </w:pPr>
    </w:p>
    <w:p w14:paraId="0BF7D8CE" w14:textId="77777777" w:rsidR="00BB3423" w:rsidRDefault="00BB3423" w:rsidP="0048635B">
      <w:pPr>
        <w:spacing w:after="0" w:line="360" w:lineRule="auto"/>
        <w:rPr>
          <w:rFonts w:ascii="Arial" w:eastAsia="Times New Roman" w:hAnsi="Arial" w:cs="Arial"/>
          <w:b/>
          <w:bCs/>
          <w:sz w:val="24"/>
          <w:szCs w:val="24"/>
          <w:lang w:eastAsia="en-GB"/>
        </w:rPr>
      </w:pPr>
    </w:p>
    <w:p w14:paraId="7B897B22" w14:textId="77777777" w:rsidR="00BB3423" w:rsidRDefault="00BB3423" w:rsidP="0048635B">
      <w:pPr>
        <w:spacing w:after="0" w:line="360" w:lineRule="auto"/>
        <w:rPr>
          <w:rFonts w:ascii="Arial" w:eastAsia="Times New Roman" w:hAnsi="Arial" w:cs="Arial"/>
          <w:b/>
          <w:bCs/>
          <w:sz w:val="24"/>
          <w:szCs w:val="24"/>
          <w:lang w:eastAsia="en-GB"/>
        </w:rPr>
      </w:pPr>
    </w:p>
    <w:p w14:paraId="644D4106" w14:textId="77777777" w:rsidR="00BB3423" w:rsidRDefault="00BB3423" w:rsidP="0048635B">
      <w:pPr>
        <w:spacing w:after="0" w:line="360" w:lineRule="auto"/>
        <w:rPr>
          <w:rFonts w:ascii="Arial" w:eastAsia="Times New Roman" w:hAnsi="Arial" w:cs="Arial"/>
          <w:b/>
          <w:bCs/>
          <w:sz w:val="24"/>
          <w:szCs w:val="24"/>
          <w:lang w:eastAsia="en-GB"/>
        </w:rPr>
      </w:pPr>
    </w:p>
    <w:p w14:paraId="43EEE671" w14:textId="77777777" w:rsidR="00BB3423" w:rsidRDefault="00BB3423" w:rsidP="0048635B">
      <w:pPr>
        <w:spacing w:after="0" w:line="360" w:lineRule="auto"/>
        <w:rPr>
          <w:rFonts w:ascii="Arial" w:eastAsia="Times New Roman" w:hAnsi="Arial" w:cs="Arial"/>
          <w:b/>
          <w:bCs/>
          <w:sz w:val="24"/>
          <w:szCs w:val="24"/>
          <w:lang w:eastAsia="en-GB"/>
        </w:rPr>
      </w:pPr>
    </w:p>
    <w:p w14:paraId="33029B21" w14:textId="77777777" w:rsidR="00BB3423" w:rsidRDefault="00BB3423" w:rsidP="0048635B">
      <w:pPr>
        <w:spacing w:after="0" w:line="360" w:lineRule="auto"/>
        <w:rPr>
          <w:rFonts w:ascii="Arial" w:eastAsia="Times New Roman" w:hAnsi="Arial" w:cs="Arial"/>
          <w:b/>
          <w:bCs/>
          <w:sz w:val="24"/>
          <w:szCs w:val="24"/>
          <w:lang w:eastAsia="en-GB"/>
        </w:rPr>
      </w:pPr>
    </w:p>
    <w:p w14:paraId="34373D91" w14:textId="77777777" w:rsidR="00BB3423" w:rsidRDefault="00BB3423" w:rsidP="0048635B">
      <w:pPr>
        <w:spacing w:after="0" w:line="360" w:lineRule="auto"/>
        <w:rPr>
          <w:rFonts w:ascii="Arial" w:eastAsia="Times New Roman" w:hAnsi="Arial" w:cs="Arial"/>
          <w:b/>
          <w:bCs/>
          <w:sz w:val="24"/>
          <w:szCs w:val="24"/>
          <w:lang w:eastAsia="en-GB"/>
        </w:rPr>
      </w:pPr>
    </w:p>
    <w:p w14:paraId="61A0532D" w14:textId="77777777" w:rsidR="00BB3423" w:rsidRDefault="00BB3423" w:rsidP="0048635B">
      <w:pPr>
        <w:spacing w:after="0" w:line="360" w:lineRule="auto"/>
        <w:rPr>
          <w:rFonts w:ascii="Arial" w:eastAsia="Times New Roman" w:hAnsi="Arial" w:cs="Arial"/>
          <w:b/>
          <w:bCs/>
          <w:sz w:val="24"/>
          <w:szCs w:val="24"/>
          <w:lang w:eastAsia="en-GB"/>
        </w:rPr>
      </w:pPr>
    </w:p>
    <w:p w14:paraId="4F28F539" w14:textId="77777777" w:rsidR="00BB3423" w:rsidRDefault="00BB3423" w:rsidP="0048635B">
      <w:pPr>
        <w:spacing w:after="0" w:line="360" w:lineRule="auto"/>
        <w:rPr>
          <w:rFonts w:ascii="Arial" w:eastAsia="Times New Roman" w:hAnsi="Arial" w:cs="Arial"/>
          <w:b/>
          <w:bCs/>
          <w:sz w:val="24"/>
          <w:szCs w:val="24"/>
          <w:lang w:eastAsia="en-GB"/>
        </w:rPr>
      </w:pPr>
    </w:p>
    <w:p w14:paraId="4FFBE42F" w14:textId="77777777" w:rsidR="00BB3423" w:rsidRDefault="00BB3423" w:rsidP="0048635B">
      <w:pPr>
        <w:spacing w:after="0" w:line="360" w:lineRule="auto"/>
        <w:rPr>
          <w:rFonts w:ascii="Arial" w:eastAsia="Times New Roman" w:hAnsi="Arial" w:cs="Arial"/>
          <w:b/>
          <w:bCs/>
          <w:sz w:val="24"/>
          <w:szCs w:val="24"/>
          <w:lang w:eastAsia="en-GB"/>
        </w:rPr>
      </w:pPr>
    </w:p>
    <w:p w14:paraId="44FFBED1" w14:textId="77777777" w:rsidR="00BB3423" w:rsidRDefault="00BB3423" w:rsidP="0048635B">
      <w:pPr>
        <w:spacing w:after="0" w:line="360" w:lineRule="auto"/>
        <w:rPr>
          <w:rFonts w:ascii="Arial" w:eastAsia="Times New Roman" w:hAnsi="Arial" w:cs="Arial"/>
          <w:b/>
          <w:bCs/>
          <w:sz w:val="24"/>
          <w:szCs w:val="24"/>
          <w:lang w:eastAsia="en-GB"/>
        </w:rPr>
      </w:pPr>
    </w:p>
    <w:p w14:paraId="491CA1AF" w14:textId="77777777" w:rsidR="00BB3423" w:rsidRDefault="00BB3423" w:rsidP="0048635B">
      <w:pPr>
        <w:spacing w:after="0" w:line="360" w:lineRule="auto"/>
        <w:rPr>
          <w:rFonts w:ascii="Arial" w:eastAsia="Times New Roman" w:hAnsi="Arial" w:cs="Arial"/>
          <w:b/>
          <w:bCs/>
          <w:sz w:val="24"/>
          <w:szCs w:val="24"/>
          <w:lang w:eastAsia="en-GB"/>
        </w:rPr>
      </w:pPr>
    </w:p>
    <w:p w14:paraId="6BFFA0A1" w14:textId="77777777" w:rsidR="00BB3423" w:rsidRDefault="00BB3423" w:rsidP="0048635B">
      <w:pPr>
        <w:spacing w:after="0" w:line="360" w:lineRule="auto"/>
        <w:rPr>
          <w:rFonts w:ascii="Arial" w:eastAsia="Times New Roman" w:hAnsi="Arial" w:cs="Arial"/>
          <w:b/>
          <w:bCs/>
          <w:sz w:val="24"/>
          <w:szCs w:val="24"/>
          <w:lang w:eastAsia="en-GB"/>
        </w:rPr>
      </w:pPr>
    </w:p>
    <w:p w14:paraId="476AD14D" w14:textId="77777777" w:rsidR="0037161C" w:rsidRDefault="0037161C" w:rsidP="00B018F3">
      <w:pPr>
        <w:tabs>
          <w:tab w:val="left" w:pos="6540"/>
        </w:tabs>
        <w:spacing w:line="360" w:lineRule="auto"/>
        <w:rPr>
          <w:rFonts w:ascii="Arial" w:eastAsia="Times New Roman" w:hAnsi="Arial" w:cs="Arial"/>
          <w:b/>
          <w:bCs/>
          <w:sz w:val="24"/>
          <w:szCs w:val="24"/>
          <w:lang w:eastAsia="en-GB"/>
        </w:rPr>
      </w:pPr>
    </w:p>
    <w:p w14:paraId="6E4BD634" w14:textId="7CAE57CA" w:rsidR="00AF2ED3" w:rsidRDefault="00AF2ED3" w:rsidP="00B018F3">
      <w:pPr>
        <w:tabs>
          <w:tab w:val="left" w:pos="6540"/>
        </w:tabs>
        <w:spacing w:line="360" w:lineRule="auto"/>
        <w:rPr>
          <w:rFonts w:ascii="Arial" w:hAnsi="Arial" w:cs="Arial"/>
          <w:b/>
          <w:bCs/>
          <w:sz w:val="28"/>
          <w:szCs w:val="28"/>
        </w:rPr>
      </w:pPr>
      <w:r w:rsidRPr="00B018F3">
        <w:rPr>
          <w:rFonts w:ascii="Arial" w:hAnsi="Arial" w:cs="Arial"/>
          <w:b/>
          <w:bCs/>
          <w:sz w:val="28"/>
          <w:szCs w:val="28"/>
        </w:rPr>
        <w:lastRenderedPageBreak/>
        <w:t>Mr Ahmed Care Framework</w:t>
      </w:r>
    </w:p>
    <w:p w14:paraId="690CCADD" w14:textId="69BD1184" w:rsidR="0014759C" w:rsidRPr="00C20A46" w:rsidRDefault="00C20A46" w:rsidP="00C20A46">
      <w:pPr>
        <w:tabs>
          <w:tab w:val="left" w:pos="6540"/>
        </w:tabs>
        <w:spacing w:line="360" w:lineRule="auto"/>
        <w:rPr>
          <w:rFonts w:ascii="Arial" w:hAnsi="Arial" w:cs="Arial"/>
          <w:b/>
          <w:bCs/>
          <w:sz w:val="28"/>
          <w:szCs w:val="28"/>
        </w:rPr>
      </w:pPr>
      <w:r>
        <w:rPr>
          <w:rFonts w:ascii="Arial" w:hAnsi="Arial" w:cs="Arial"/>
          <w:b/>
          <w:bCs/>
          <w:sz w:val="28"/>
          <w:szCs w:val="28"/>
        </w:rPr>
        <w:t>1</w:t>
      </w:r>
      <w:r w:rsidR="0037161C">
        <w:rPr>
          <w:rFonts w:ascii="Arial" w:hAnsi="Arial" w:cs="Arial"/>
          <w:b/>
          <w:bCs/>
          <w:sz w:val="28"/>
          <w:szCs w:val="28"/>
        </w:rPr>
        <w:t>)</w:t>
      </w:r>
      <w:r>
        <w:rPr>
          <w:rFonts w:ascii="Arial" w:hAnsi="Arial" w:cs="Arial"/>
          <w:b/>
          <w:bCs/>
          <w:sz w:val="28"/>
          <w:szCs w:val="28"/>
        </w:rPr>
        <w:t xml:space="preserve">  Introduction</w:t>
      </w:r>
    </w:p>
    <w:p w14:paraId="6E6575AF" w14:textId="6A7F71F7" w:rsidR="00AF2ED3" w:rsidRPr="00AF2ED3" w:rsidRDefault="00A45898" w:rsidP="00902377">
      <w:pPr>
        <w:tabs>
          <w:tab w:val="left" w:pos="6540"/>
        </w:tabs>
        <w:spacing w:line="360" w:lineRule="auto"/>
        <w:rPr>
          <w:rFonts w:asciiTheme="minorBidi" w:hAnsiTheme="minorBidi"/>
        </w:rPr>
      </w:pPr>
      <w:r>
        <w:rPr>
          <w:rFonts w:asciiTheme="minorBidi" w:hAnsiTheme="minorBidi"/>
        </w:rPr>
        <w:t xml:space="preserve">This report investigates the delivery of integrated health and social care for Mr Ahmed, a 68-year-old man from </w:t>
      </w:r>
      <w:r w:rsidR="00602FF5">
        <w:rPr>
          <w:rFonts w:asciiTheme="minorBidi" w:hAnsiTheme="minorBidi"/>
        </w:rPr>
        <w:t>Bengal</w:t>
      </w:r>
      <w:r>
        <w:rPr>
          <w:rFonts w:asciiTheme="minorBidi" w:hAnsiTheme="minorBidi"/>
        </w:rPr>
        <w:t xml:space="preserve">, who was recently discharged from </w:t>
      </w:r>
      <w:r w:rsidR="009B54D6">
        <w:rPr>
          <w:rFonts w:asciiTheme="minorBidi" w:hAnsiTheme="minorBidi"/>
        </w:rPr>
        <w:t xml:space="preserve">the </w:t>
      </w:r>
      <w:r>
        <w:rPr>
          <w:rFonts w:asciiTheme="minorBidi" w:hAnsiTheme="minorBidi"/>
        </w:rPr>
        <w:t>hospital after a stroke. His complex needs require input from a multidisciplinary team and support from both his family and professionals</w:t>
      </w:r>
      <w:r w:rsidR="00272207">
        <w:rPr>
          <w:rFonts w:asciiTheme="minorBidi" w:hAnsiTheme="minorBidi"/>
        </w:rPr>
        <w:t xml:space="preserve"> </w:t>
      </w:r>
      <w:r w:rsidR="00434E6B">
        <w:rPr>
          <w:rFonts w:asciiTheme="minorBidi" w:hAnsiTheme="minorBidi"/>
        </w:rPr>
        <w:t>without mistakes.</w:t>
      </w:r>
      <w:r>
        <w:rPr>
          <w:rFonts w:asciiTheme="minorBidi" w:hAnsiTheme="minorBidi"/>
        </w:rPr>
        <w:t xml:space="preserve"> The report critically examines three key elements essential to effective care in such circumstances: clear communication, sound administrative and record-keeping practices, and collaborative working among healthcare professionals. Drawing on relevant legislation—including the Equality Act 2010 and the Data Protection Act 2018—and professional guidelines and best-practice models, the report assesses how these components contribute to safe, person-centred, and appropriate care. Throughout</w:t>
      </w:r>
      <w:r w:rsidR="009B54D6">
        <w:rPr>
          <w:rFonts w:asciiTheme="minorBidi" w:hAnsiTheme="minorBidi"/>
        </w:rPr>
        <w:t xml:space="preserve"> the discussion, attention is paid to Mr Ahmed’s personal experience, as well as</w:t>
      </w:r>
      <w:r>
        <w:rPr>
          <w:rFonts w:asciiTheme="minorBidi" w:hAnsiTheme="minorBidi"/>
        </w:rPr>
        <w:t xml:space="preserve"> to cultural, linguistic, and ethical factors that influence the quality and continuity of his care. To illustrate how these principles apply in real-world situations, the report presents practical examples, including communicating with Mr Ahmed despite language barriers, documenting a missed medication incident, and organising a multidisciplinary team meeting to address his ongoing care needs.</w:t>
      </w:r>
    </w:p>
    <w:p w14:paraId="4560B0E3" w14:textId="77777777" w:rsidR="00AF2ED3" w:rsidRPr="00A10F06" w:rsidRDefault="00AF2ED3" w:rsidP="00902377">
      <w:pPr>
        <w:tabs>
          <w:tab w:val="left" w:pos="6540"/>
        </w:tabs>
        <w:spacing w:line="360" w:lineRule="auto"/>
        <w:rPr>
          <w:rFonts w:ascii="Arial" w:hAnsi="Arial" w:cs="Arial"/>
          <w:sz w:val="28"/>
          <w:szCs w:val="28"/>
        </w:rPr>
      </w:pPr>
      <w:r w:rsidRPr="00A10F06">
        <w:rPr>
          <w:rFonts w:ascii="Arial" w:hAnsi="Arial" w:cs="Arial"/>
          <w:b/>
          <w:bCs/>
          <w:sz w:val="28"/>
          <w:szCs w:val="28"/>
        </w:rPr>
        <w:t>2) Importance of effective communication</w:t>
      </w:r>
      <w:r w:rsidRPr="00A10F06">
        <w:rPr>
          <w:rFonts w:ascii="Arial" w:hAnsi="Arial" w:cs="Arial"/>
          <w:sz w:val="28"/>
          <w:szCs w:val="28"/>
        </w:rPr>
        <w:t>.</w:t>
      </w:r>
    </w:p>
    <w:p w14:paraId="55D6566E" w14:textId="77777777" w:rsidR="00E07992" w:rsidRPr="00AF2ED3" w:rsidRDefault="00AF2ED3" w:rsidP="00E07992">
      <w:pPr>
        <w:tabs>
          <w:tab w:val="left" w:pos="6540"/>
        </w:tabs>
        <w:spacing w:line="360" w:lineRule="auto"/>
        <w:rPr>
          <w:rFonts w:asciiTheme="minorBidi" w:hAnsiTheme="minorBidi"/>
        </w:rPr>
      </w:pPr>
      <w:r w:rsidRPr="00AF2ED3">
        <w:rPr>
          <w:rFonts w:asciiTheme="minorBidi" w:hAnsiTheme="minorBidi"/>
        </w:rPr>
        <w:t xml:space="preserve">Effective communication is vital for Mr Ahmed’s safety and autonomy, particularly given his language needs and post-stroke complex needs. </w:t>
      </w:r>
      <w:r w:rsidR="00E07992" w:rsidRPr="00AF2ED3">
        <w:rPr>
          <w:rFonts w:asciiTheme="minorBidi" w:hAnsiTheme="minorBidi"/>
        </w:rPr>
        <w:t>A widely recognised communication model that can guide interactions is the SOLER model. (From SOLER to SURETY for effective non-verbal communication, 2011, pp. 395-398) This model, explored in the teaching sessions, emphasises:</w:t>
      </w:r>
    </w:p>
    <w:p w14:paraId="1ABEAC27" w14:textId="77777777" w:rsidR="00E07992" w:rsidRPr="00AF2ED3" w:rsidRDefault="00E07992" w:rsidP="00E07992">
      <w:pPr>
        <w:numPr>
          <w:ilvl w:val="0"/>
          <w:numId w:val="13"/>
        </w:numPr>
        <w:tabs>
          <w:tab w:val="left" w:pos="6540"/>
        </w:tabs>
        <w:spacing w:line="360" w:lineRule="auto"/>
        <w:rPr>
          <w:rFonts w:asciiTheme="minorBidi" w:hAnsiTheme="minorBidi"/>
        </w:rPr>
      </w:pPr>
      <w:r w:rsidRPr="00AF2ED3">
        <w:rPr>
          <w:rFonts w:asciiTheme="minorBidi" w:hAnsiTheme="minorBidi"/>
        </w:rPr>
        <w:t>S</w:t>
      </w:r>
      <w:r w:rsidRPr="00AF2ED3">
        <w:rPr>
          <w:rFonts w:asciiTheme="minorBidi" w:hAnsiTheme="minorBidi"/>
          <w:b/>
          <w:bCs/>
        </w:rPr>
        <w:t xml:space="preserve">: </w:t>
      </w:r>
      <w:r w:rsidRPr="00AF2ED3">
        <w:rPr>
          <w:rFonts w:asciiTheme="minorBidi" w:hAnsiTheme="minorBidi"/>
        </w:rPr>
        <w:t>Sit squarely facing the person, indicating attentiveness</w:t>
      </w:r>
      <w:r w:rsidRPr="00AF2ED3">
        <w:rPr>
          <w:rFonts w:asciiTheme="minorBidi" w:hAnsiTheme="minorBidi"/>
          <w:b/>
          <w:bCs/>
        </w:rPr>
        <w:t>.</w:t>
      </w:r>
    </w:p>
    <w:p w14:paraId="1FDF271E" w14:textId="77777777" w:rsidR="00E07992" w:rsidRPr="00AF2ED3" w:rsidRDefault="00E07992" w:rsidP="00E07992">
      <w:pPr>
        <w:numPr>
          <w:ilvl w:val="0"/>
          <w:numId w:val="13"/>
        </w:numPr>
        <w:tabs>
          <w:tab w:val="left" w:pos="6540"/>
        </w:tabs>
        <w:spacing w:line="360" w:lineRule="auto"/>
        <w:rPr>
          <w:rFonts w:asciiTheme="minorBidi" w:hAnsiTheme="minorBidi"/>
        </w:rPr>
      </w:pPr>
      <w:r w:rsidRPr="00AF2ED3">
        <w:rPr>
          <w:rFonts w:asciiTheme="minorBidi" w:hAnsiTheme="minorBidi"/>
        </w:rPr>
        <w:t>O: Open posture, showing you are approachable.</w:t>
      </w:r>
    </w:p>
    <w:p w14:paraId="4EEC604C" w14:textId="77777777" w:rsidR="00E07992" w:rsidRPr="00AF2ED3" w:rsidRDefault="00E07992" w:rsidP="00E07992">
      <w:pPr>
        <w:numPr>
          <w:ilvl w:val="0"/>
          <w:numId w:val="13"/>
        </w:numPr>
        <w:tabs>
          <w:tab w:val="left" w:pos="6540"/>
        </w:tabs>
        <w:spacing w:line="360" w:lineRule="auto"/>
        <w:rPr>
          <w:rFonts w:asciiTheme="minorBidi" w:hAnsiTheme="minorBidi"/>
        </w:rPr>
      </w:pPr>
      <w:r w:rsidRPr="00AF2ED3">
        <w:rPr>
          <w:rFonts w:asciiTheme="minorBidi" w:hAnsiTheme="minorBidi"/>
        </w:rPr>
        <w:t>L: Lean forward slightly, indicating interest.</w:t>
      </w:r>
    </w:p>
    <w:p w14:paraId="5D371880" w14:textId="77777777" w:rsidR="00E07992" w:rsidRPr="00AF2ED3" w:rsidRDefault="00E07992" w:rsidP="00E07992">
      <w:pPr>
        <w:numPr>
          <w:ilvl w:val="0"/>
          <w:numId w:val="13"/>
        </w:numPr>
        <w:tabs>
          <w:tab w:val="left" w:pos="6540"/>
        </w:tabs>
        <w:spacing w:line="360" w:lineRule="auto"/>
        <w:rPr>
          <w:rFonts w:asciiTheme="minorBidi" w:hAnsiTheme="minorBidi"/>
        </w:rPr>
      </w:pPr>
      <w:r w:rsidRPr="00AF2ED3">
        <w:rPr>
          <w:rFonts w:asciiTheme="minorBidi" w:hAnsiTheme="minorBidi"/>
        </w:rPr>
        <w:t>E: Eye contact (within cultural comfort), to demonstrate engagement.</w:t>
      </w:r>
    </w:p>
    <w:p w14:paraId="25B3DEFD" w14:textId="77777777" w:rsidR="00E07992" w:rsidRPr="00AF2ED3" w:rsidRDefault="00E07992" w:rsidP="00E07992">
      <w:pPr>
        <w:numPr>
          <w:ilvl w:val="0"/>
          <w:numId w:val="13"/>
        </w:numPr>
        <w:tabs>
          <w:tab w:val="left" w:pos="6540"/>
        </w:tabs>
        <w:spacing w:line="360" w:lineRule="auto"/>
        <w:rPr>
          <w:rFonts w:asciiTheme="minorBidi" w:hAnsiTheme="minorBidi"/>
        </w:rPr>
      </w:pPr>
      <w:r w:rsidRPr="00AF2ED3">
        <w:rPr>
          <w:rFonts w:asciiTheme="minorBidi" w:hAnsiTheme="minorBidi"/>
        </w:rPr>
        <w:t>R: Relax, to put the person at ease.</w:t>
      </w:r>
    </w:p>
    <w:p w14:paraId="25A3EEF3" w14:textId="77777777" w:rsidR="00C83940" w:rsidRDefault="00AF2ED3" w:rsidP="00902377">
      <w:pPr>
        <w:tabs>
          <w:tab w:val="left" w:pos="6540"/>
        </w:tabs>
        <w:spacing w:line="360" w:lineRule="auto"/>
        <w:rPr>
          <w:rFonts w:asciiTheme="minorBidi" w:hAnsiTheme="minorBidi"/>
        </w:rPr>
      </w:pPr>
      <w:r w:rsidRPr="00AF2ED3">
        <w:rPr>
          <w:rFonts w:asciiTheme="minorBidi" w:hAnsiTheme="minorBidi"/>
        </w:rPr>
        <w:t>The SOLER model (</w:t>
      </w:r>
      <w:r w:rsidR="00BE6203">
        <w:rPr>
          <w:rFonts w:asciiTheme="minorBidi" w:hAnsiTheme="minorBidi"/>
        </w:rPr>
        <w:t>Egan</w:t>
      </w:r>
      <w:r w:rsidRPr="00AF2ED3">
        <w:rPr>
          <w:rFonts w:asciiTheme="minorBidi" w:hAnsiTheme="minorBidi"/>
        </w:rPr>
        <w:t>, G.</w:t>
      </w:r>
      <w:r w:rsidR="00710AD8">
        <w:rPr>
          <w:rFonts w:asciiTheme="minorBidi" w:hAnsiTheme="minorBidi"/>
        </w:rPr>
        <w:t>,</w:t>
      </w:r>
      <w:r w:rsidRPr="00AF2ED3">
        <w:rPr>
          <w:rFonts w:asciiTheme="minorBidi" w:hAnsiTheme="minorBidi"/>
        </w:rPr>
        <w:t xml:space="preserve"> 2025) provides a useful structure for active listening, but its practical application must be </w:t>
      </w:r>
      <w:r w:rsidR="00EC3BBB">
        <w:rPr>
          <w:rFonts w:asciiTheme="minorBidi" w:hAnsiTheme="minorBidi"/>
        </w:rPr>
        <w:t>focused</w:t>
      </w:r>
      <w:r w:rsidRPr="00AF2ED3">
        <w:rPr>
          <w:rFonts w:asciiTheme="minorBidi" w:hAnsiTheme="minorBidi"/>
        </w:rPr>
        <w:t xml:space="preserve"> </w:t>
      </w:r>
      <w:r w:rsidR="00EC3BBB">
        <w:rPr>
          <w:rFonts w:asciiTheme="minorBidi" w:hAnsiTheme="minorBidi"/>
        </w:rPr>
        <w:t>on</w:t>
      </w:r>
      <w:r w:rsidRPr="00AF2ED3">
        <w:rPr>
          <w:rFonts w:asciiTheme="minorBidi" w:hAnsiTheme="minorBidi"/>
        </w:rPr>
        <w:t xml:space="preserve"> the specific context. For example, eye contact and body language may vary in significance across cultures (Silverman et al., 2016), so staff should seek feedback from Mr Ahmed and his wife to ensure comfort and clarity. </w:t>
      </w:r>
    </w:p>
    <w:p w14:paraId="296EC71D" w14:textId="0D16255C"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lastRenderedPageBreak/>
        <w:t xml:space="preserve">The Equality Act 2010 requires such flexibility, mandating reasonable adjustments to prevent discrimination </w:t>
      </w:r>
      <w:r w:rsidR="006D5064">
        <w:rPr>
          <w:rFonts w:asciiTheme="minorBidi" w:hAnsiTheme="minorBidi"/>
        </w:rPr>
        <w:t xml:space="preserve">(Department of Health and Social Care, </w:t>
      </w:r>
      <w:r w:rsidRPr="00AF2ED3">
        <w:rPr>
          <w:rFonts w:asciiTheme="minorBidi" w:hAnsiTheme="minorBidi"/>
        </w:rPr>
        <w:t xml:space="preserve">DHSC, 2018). Evidence suggests that involving family members as advocates can improve outcomes, but professionals must ensure that Mr Ahmed’s own preferences remain central (Papadopoulos, 2021). For instance, after Mr Ahmed’s discharge, a district nurse noticed that he was struggling to follow verbal instructions regarding his medication. The nurse arranged for a Bengali-speaking interpreter to join their </w:t>
      </w:r>
      <w:r w:rsidR="0023410F" w:rsidRPr="00AF2ED3">
        <w:rPr>
          <w:rFonts w:asciiTheme="minorBidi" w:hAnsiTheme="minorBidi"/>
        </w:rPr>
        <w:t xml:space="preserve">visit </w:t>
      </w:r>
      <w:r w:rsidR="00B5331B" w:rsidRPr="00AF2ED3">
        <w:rPr>
          <w:rFonts w:asciiTheme="minorBidi" w:hAnsiTheme="minorBidi"/>
        </w:rPr>
        <w:t>and</w:t>
      </w:r>
      <w:r w:rsidRPr="00AF2ED3">
        <w:rPr>
          <w:rFonts w:asciiTheme="minorBidi" w:hAnsiTheme="minorBidi"/>
        </w:rPr>
        <w:t xml:space="preserve"> used illustrated medication charts so Mr Ahmed could match his tablets with the correct times, despite his limited English</w:t>
      </w:r>
      <w:r w:rsidR="00E0232A">
        <w:rPr>
          <w:rFonts w:asciiTheme="minorBidi" w:hAnsiTheme="minorBidi"/>
        </w:rPr>
        <w:t>. She also</w:t>
      </w:r>
      <w:r w:rsidRPr="00AF2ED3">
        <w:rPr>
          <w:rFonts w:asciiTheme="minorBidi" w:hAnsiTheme="minorBidi"/>
        </w:rPr>
        <w:t xml:space="preserve"> used open gestures to demonstrate active </w:t>
      </w:r>
      <w:r w:rsidR="00A53817" w:rsidRPr="00AF2ED3">
        <w:rPr>
          <w:rFonts w:asciiTheme="minorBidi" w:hAnsiTheme="minorBidi"/>
        </w:rPr>
        <w:t>listening</w:t>
      </w:r>
      <w:r w:rsidR="00E91A01">
        <w:rPr>
          <w:rFonts w:asciiTheme="minorBidi" w:hAnsiTheme="minorBidi"/>
        </w:rPr>
        <w:t>. She</w:t>
      </w:r>
      <w:r w:rsidR="00BE6203">
        <w:rPr>
          <w:rFonts w:asciiTheme="minorBidi" w:hAnsiTheme="minorBidi"/>
        </w:rPr>
        <w:t xml:space="preserve"> </w:t>
      </w:r>
      <w:r w:rsidRPr="00AF2ED3">
        <w:rPr>
          <w:rFonts w:asciiTheme="minorBidi" w:hAnsiTheme="minorBidi"/>
        </w:rPr>
        <w:t xml:space="preserve">was careful to adjust the amount of eye contact and physical proximity after consulting with Mr Ahmed’s wife about his cultural comfort. This helped Mr Ahmed feel respected and </w:t>
      </w:r>
      <w:r w:rsidR="0023410F" w:rsidRPr="00AF2ED3">
        <w:rPr>
          <w:rFonts w:asciiTheme="minorBidi" w:hAnsiTheme="minorBidi"/>
        </w:rPr>
        <w:t>understood and</w:t>
      </w:r>
      <w:r w:rsidRPr="00AF2ED3">
        <w:rPr>
          <w:rFonts w:asciiTheme="minorBidi" w:hAnsiTheme="minorBidi"/>
        </w:rPr>
        <w:t xml:space="preserve"> allowed him to participate more actively in his care decisions.</w:t>
      </w:r>
    </w:p>
    <w:p w14:paraId="19D9646D" w14:textId="433B03AD"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t xml:space="preserve">The Equality Act 2010 </w:t>
      </w:r>
      <w:r w:rsidR="00EF5CD6">
        <w:rPr>
          <w:rFonts w:asciiTheme="minorBidi" w:hAnsiTheme="minorBidi"/>
        </w:rPr>
        <w:t xml:space="preserve">also </w:t>
      </w:r>
      <w:r w:rsidRPr="00AF2ED3">
        <w:rPr>
          <w:rFonts w:asciiTheme="minorBidi" w:hAnsiTheme="minorBidi"/>
        </w:rPr>
        <w:t>provides a legal framework to protect individuals from discrimination and promote equality, including access to communication support. This Act requires care providers to make reasonable adjustments to remove barriers for people with disabilities and for those whose first language is not English. For Mr Ahmed, this may involve using interpreters, translated materials, or visual aids, and ensuring that communication is tailored to his cognitive and linguistic abilities.</w:t>
      </w:r>
    </w:p>
    <w:p w14:paraId="0F1ABB2C" w14:textId="0EC1A0C0" w:rsidR="00644E66" w:rsidRPr="00644E66" w:rsidRDefault="00A67167" w:rsidP="00644E66">
      <w:pPr>
        <w:tabs>
          <w:tab w:val="left" w:pos="6540"/>
        </w:tabs>
        <w:spacing w:line="360" w:lineRule="auto"/>
        <w:rPr>
          <w:rFonts w:ascii="Arial" w:hAnsi="Arial" w:cs="Arial"/>
          <w:b/>
          <w:bCs/>
          <w:sz w:val="28"/>
          <w:szCs w:val="28"/>
        </w:rPr>
      </w:pPr>
      <w:r>
        <w:rPr>
          <w:rFonts w:ascii="Arial" w:hAnsi="Arial" w:cs="Arial"/>
          <w:b/>
          <w:bCs/>
          <w:sz w:val="28"/>
          <w:szCs w:val="28"/>
        </w:rPr>
        <w:t>3</w:t>
      </w:r>
      <w:r w:rsidR="00A10F06" w:rsidRPr="00A10F06">
        <w:rPr>
          <w:rFonts w:ascii="Arial" w:hAnsi="Arial" w:cs="Arial"/>
          <w:b/>
          <w:bCs/>
          <w:sz w:val="28"/>
          <w:szCs w:val="28"/>
        </w:rPr>
        <w:t>)</w:t>
      </w:r>
      <w:r w:rsidR="00B044A1">
        <w:rPr>
          <w:rFonts w:ascii="Arial" w:hAnsi="Arial" w:cs="Arial"/>
          <w:b/>
          <w:bCs/>
          <w:sz w:val="24"/>
          <w:szCs w:val="24"/>
        </w:rPr>
        <w:t xml:space="preserve"> </w:t>
      </w:r>
      <w:r w:rsidR="00644E66" w:rsidRPr="00A441E2">
        <w:rPr>
          <w:rFonts w:ascii="Arial" w:hAnsi="Arial" w:cs="Arial"/>
          <w:b/>
          <w:bCs/>
          <w:sz w:val="28"/>
          <w:szCs w:val="28"/>
        </w:rPr>
        <w:t>Importance of Good Administrative Skills in Mr Ahmed’s Care</w:t>
      </w:r>
    </w:p>
    <w:p w14:paraId="06F78CF8" w14:textId="678AC037"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t>Record keeping is the systematic documentation of all aspects of a service user’s care, including assessments, care plans, interventions, and outcomes. For Mr Ahmed, comprehensive records ensure that all members of his multidisciplinary team—the GP, district nurse, speech and language therapist, and care agency—have access to up-to-date information about his health status, medication, and support needs. Accurate records help track his progress, facilitate seamless handovers between professionals, and provide continuity of care, which is especially important given the recent incident involving a missed medication dose. To maintain high standards in documentation, best practices in record keeping should be followed. These include writing entries promptly after care is delivered, ensuring details are factual and objective, and using clear, concise language and avoiding ambiguous terms. Entries should be dated, timed, and signed by the person making the record, with their name and role. Common pitfalls to avoid include leaving gaps or blank spaces in records, using abbreviations that are not universally understood, and failing to document changes or escalations in a service user's condition. Regularly reviewing and updating records helps reduce errors and ensures that care is accurately reflected, benefiting both the individual and the whole care team.</w:t>
      </w:r>
    </w:p>
    <w:p w14:paraId="61E7C57C" w14:textId="0468B4E6"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lastRenderedPageBreak/>
        <w:t>Good record-keeping also supports accountability and transparency. In the event of incidents or complaints, such as the missed home visit, detailed records provide an audit trail that can be reviewed during investigations, supporting learning and service improvement.</w:t>
      </w:r>
      <w:r w:rsidRPr="00AF2ED3">
        <w:rPr>
          <w:rFonts w:asciiTheme="minorBidi" w:hAnsiTheme="minorBidi"/>
        </w:rPr>
        <w:br/>
        <w:t>The Data Protection Act 2018 governs the processing of personal and sensitive data, including health records. In Mr Ahmed’s care, this means that all records must be:</w:t>
      </w:r>
    </w:p>
    <w:p w14:paraId="235F80DE" w14:textId="77777777" w:rsidR="008607AB" w:rsidRDefault="00A53817" w:rsidP="00902377">
      <w:pPr>
        <w:tabs>
          <w:tab w:val="left" w:pos="6540"/>
        </w:tabs>
        <w:spacing w:line="360" w:lineRule="auto"/>
        <w:rPr>
          <w:rFonts w:asciiTheme="minorBidi" w:hAnsiTheme="minorBidi"/>
        </w:rPr>
      </w:pPr>
      <w:r>
        <w:rPr>
          <w:rFonts w:asciiTheme="minorBidi" w:hAnsiTheme="minorBidi"/>
        </w:rPr>
        <w:t>Information should be accurate, up to date, relevant, and not excessive. It should be kept securely, retained only as long as necessary, and made accessible to Mr Ahmed upon request. Staff must ensure that information is shared only with those involved in Mr Ahmed’s care and with appropriate consent, except where disclosure is required by law or in the individual’s vital interests. Digital and paper records should be stored securely to prevent unauthorised access, loss, or breaches.</w:t>
      </w:r>
      <w:r>
        <w:rPr>
          <w:rFonts w:asciiTheme="minorBidi" w:hAnsiTheme="minorBidi"/>
        </w:rPr>
        <w:br/>
        <w:t>In addition to legal requirements, health and social care organisations follow policies such as the Caldicott Principles, which guide the handling of patient-identifiable information (The Eight Caldicott Principles, n.d.). These principles emphasise the need to justify the use of patient data and to limit access to those who need it to perform their duties. The Care Quality Commission (CQC) also sets standards for record keeping, confidentiality, and data security that care providers must meet (Healthcare Record Keeping Policy, 2025).</w:t>
      </w:r>
      <w:r>
        <w:rPr>
          <w:rFonts w:asciiTheme="minorBidi" w:hAnsiTheme="minorBidi"/>
        </w:rPr>
        <w:br/>
        <w:t>In the context of Mr Ahmed’s care, effective administrative skills ensure that his needs are met safely and efficiently, in compliance with legal and ethical standards. Accurate record keeping and adherence to the Data Protection Act 2018 and relevant policy frameworks not only support high-quality care but also protect Mr Ahmed’s rights and dignity.</w:t>
      </w:r>
    </w:p>
    <w:p w14:paraId="7513E4B0" w14:textId="7B7DC79B" w:rsidR="00AF2ED3" w:rsidRPr="008607AB" w:rsidRDefault="00A10F06" w:rsidP="00902377">
      <w:pPr>
        <w:tabs>
          <w:tab w:val="left" w:pos="6540"/>
        </w:tabs>
        <w:spacing w:line="360" w:lineRule="auto"/>
        <w:rPr>
          <w:rFonts w:asciiTheme="minorBidi" w:hAnsiTheme="minorBidi"/>
        </w:rPr>
      </w:pPr>
      <w:r w:rsidRPr="00A10F06">
        <w:rPr>
          <w:rFonts w:ascii="Arial" w:hAnsi="Arial" w:cs="Arial"/>
          <w:b/>
          <w:bCs/>
          <w:sz w:val="28"/>
          <w:szCs w:val="28"/>
        </w:rPr>
        <w:t xml:space="preserve">4) </w:t>
      </w:r>
      <w:r w:rsidR="00AF2ED3" w:rsidRPr="00A10F06">
        <w:rPr>
          <w:rFonts w:ascii="Arial" w:hAnsi="Arial" w:cs="Arial"/>
          <w:b/>
          <w:bCs/>
          <w:sz w:val="28"/>
          <w:szCs w:val="28"/>
        </w:rPr>
        <w:t>Importance of Collaborative Working in Mr Ahmed’s Care</w:t>
      </w:r>
    </w:p>
    <w:p w14:paraId="21B20D01" w14:textId="3ED2C4A0"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t>In the context of Mr Ahmed’s care, collaborative working is essential to delivering coordinated, safe, and holistic support. His needs span the medical, personal, and social domains and require input from various professionals, including his GP, district nurse, domiciliary care workers, and speech and language therapist. Effective collaboration ensures seamless care, reduces the risk of errors, and addresses all aspects of Mr Ahmed’s well-being.</w:t>
      </w:r>
      <w:r w:rsidRPr="00AF2ED3">
        <w:rPr>
          <w:rFonts w:asciiTheme="minorBidi" w:hAnsiTheme="minorBidi"/>
        </w:rPr>
        <w:br/>
        <w:t xml:space="preserve">A person-centred approach underpins collaborative practice, ensuring that Mr Ahmed’s preferences, cultural background, and communication needs are central to care planning. Regular multidisciplinary team (MDT) meetings, both formal and informal, facilitate information sharing and joint decision-making. Tools such as shared care plans, standardised documentation, and secure digital records enhance continuity and transparency. The use of clear communication channels, including Mr Ahmed’s wife as a key advocate, helps bridge language barriers and ensures that all team members are informed </w:t>
      </w:r>
      <w:r w:rsidRPr="00AF2ED3">
        <w:rPr>
          <w:rFonts w:asciiTheme="minorBidi" w:hAnsiTheme="minorBidi"/>
        </w:rPr>
        <w:lastRenderedPageBreak/>
        <w:t xml:space="preserve">of his needs and progress. </w:t>
      </w:r>
      <w:r w:rsidRPr="00AF2ED3">
        <w:rPr>
          <w:rFonts w:asciiTheme="minorBidi" w:hAnsiTheme="minorBidi"/>
        </w:rPr>
        <w:br/>
        <w:t>Familiar challenges in multi-agency working include miscommunication, unclear roles, and conflicting priorities. Addressing these requires establishing clear lines of accountability and defining each professional’s responsibilities from the outset. Using structured communication frameworks, such as SBAR (Situation-Background-Assessment-Recommendation), supports concise and effective information exchange, especially during handovers or incident reporting. (Müller et al., 2018) Building mutual trust and respect among professionals and promoting a culture of openness and learning further enhances collaboration. When issues arise, such as the recent missed medication incident, transparent investigation and shared reflection help identify root causes and prevent recurrence, improving outcomes for Mr Ahmed.</w:t>
      </w:r>
    </w:p>
    <w:p w14:paraId="4DE6E4C7" w14:textId="2B50E08A" w:rsidR="001B1017" w:rsidRPr="00A62847" w:rsidRDefault="000C40E1" w:rsidP="00902377">
      <w:pPr>
        <w:tabs>
          <w:tab w:val="left" w:pos="6540"/>
        </w:tabs>
        <w:spacing w:line="360" w:lineRule="auto"/>
        <w:rPr>
          <w:rFonts w:ascii="Arial" w:hAnsi="Arial" w:cs="Arial"/>
          <w:sz w:val="28"/>
          <w:szCs w:val="28"/>
        </w:rPr>
      </w:pPr>
      <w:r>
        <w:rPr>
          <w:rFonts w:ascii="Arial" w:hAnsi="Arial" w:cs="Arial"/>
          <w:b/>
          <w:bCs/>
          <w:sz w:val="28"/>
          <w:szCs w:val="28"/>
        </w:rPr>
        <w:t>5</w:t>
      </w:r>
      <w:r w:rsidR="00A62847">
        <w:rPr>
          <w:rFonts w:ascii="Arial" w:hAnsi="Arial" w:cs="Arial"/>
          <w:sz w:val="28"/>
          <w:szCs w:val="28"/>
        </w:rPr>
        <w:t xml:space="preserve">. </w:t>
      </w:r>
      <w:r w:rsidR="00A62847">
        <w:rPr>
          <w:rFonts w:ascii="Arial" w:hAnsi="Arial" w:cs="Arial"/>
          <w:b/>
          <w:bCs/>
          <w:sz w:val="28"/>
          <w:szCs w:val="28"/>
        </w:rPr>
        <w:t>Conclusion</w:t>
      </w:r>
    </w:p>
    <w:p w14:paraId="147199A8" w14:textId="77777777"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t>In summary, the provision of high-quality care for Mr Ahmed relies on effective communication, strong administrative practices, and strong collaborative working among all involved professionals and agencies. By applying relevant legal frameworks, communication models, and best practice principles, the multidisciplinary team can ensure Mr Ahmed’s safety, dignity, and well-being. Overcoming barriers to collaboration and maintaining person-centred, culturally sensitive care are fundamental to supporting his recovery and quality of life. These principles not only benefit Mr Ahmed but also contribute to the ongoing improvement of health and social care services.</w:t>
      </w:r>
    </w:p>
    <w:p w14:paraId="65207B33" w14:textId="77777777" w:rsidR="00AF2ED3" w:rsidRPr="00AF2ED3" w:rsidRDefault="00AF2ED3" w:rsidP="00902377">
      <w:pPr>
        <w:tabs>
          <w:tab w:val="left" w:pos="6540"/>
        </w:tabs>
        <w:spacing w:line="360" w:lineRule="auto"/>
        <w:rPr>
          <w:rFonts w:asciiTheme="minorBidi" w:hAnsiTheme="minorBidi"/>
        </w:rPr>
      </w:pPr>
      <w:r w:rsidRPr="00AF2ED3">
        <w:rPr>
          <w:rFonts w:asciiTheme="minorBidi" w:hAnsiTheme="minorBidi"/>
        </w:rPr>
        <w:t xml:space="preserve">While the SOLER model (Egan, 2014) encourages active listening and engagement, its effectiveness may be limited by language barriers and Mr Ahmed’s post-stroke communication difficulties. For instance, maintaining eye contact or leaning forward, though intended to show interest, </w:t>
      </w:r>
      <w:r w:rsidRPr="00AF2ED3">
        <w:rPr>
          <w:rFonts w:ascii="Arial" w:hAnsi="Arial" w:cs="Arial"/>
        </w:rPr>
        <w:t>might</w:t>
      </w:r>
      <w:r w:rsidRPr="00AF2ED3">
        <w:rPr>
          <w:rFonts w:asciiTheme="minorBidi" w:hAnsiTheme="minorBidi"/>
        </w:rPr>
        <w:t xml:space="preserve"> be misinterpreted across cultures or cause discomfort (Silverman et al., 2016). Therefore, staff must adapt the model flexibly, prioritising gestures, visual aids, or interpreter involvement to ensure communication remains person-centred and respectful. This approach aligns with the Equality Act 2010, which mandates reasonable adjustments to address individual needs and prevent discrimination (DHSC, 2018).</w:t>
      </w:r>
    </w:p>
    <w:p w14:paraId="6812580D" w14:textId="47452A39" w:rsidR="0090040D" w:rsidRPr="00CD33A8" w:rsidRDefault="0090040D" w:rsidP="00902377">
      <w:pPr>
        <w:tabs>
          <w:tab w:val="left" w:pos="6540"/>
        </w:tabs>
        <w:spacing w:line="360" w:lineRule="auto"/>
        <w:rPr>
          <w:rFonts w:asciiTheme="minorBidi" w:hAnsiTheme="minorBidi"/>
        </w:rPr>
      </w:pPr>
    </w:p>
    <w:p w14:paraId="444BAD02" w14:textId="77777777" w:rsidR="00814A9E" w:rsidRPr="00CD33A8" w:rsidRDefault="00814A9E" w:rsidP="00CD33A8">
      <w:pPr>
        <w:tabs>
          <w:tab w:val="left" w:pos="6540"/>
        </w:tabs>
        <w:spacing w:line="360" w:lineRule="auto"/>
        <w:rPr>
          <w:rFonts w:asciiTheme="minorBidi" w:hAnsiTheme="minorBidi"/>
        </w:rPr>
      </w:pPr>
    </w:p>
    <w:p w14:paraId="71022E41" w14:textId="77777777" w:rsidR="00814A9E" w:rsidRPr="00CD33A8" w:rsidRDefault="00814A9E" w:rsidP="00CD33A8">
      <w:pPr>
        <w:tabs>
          <w:tab w:val="left" w:pos="6540"/>
        </w:tabs>
        <w:spacing w:line="360" w:lineRule="auto"/>
        <w:rPr>
          <w:rFonts w:asciiTheme="minorBidi" w:hAnsiTheme="minorBidi"/>
        </w:rPr>
      </w:pPr>
    </w:p>
    <w:p w14:paraId="3EA3C7DD" w14:textId="2C373198" w:rsidR="00F66E1B" w:rsidRPr="00CD33A8" w:rsidRDefault="00F66E1B" w:rsidP="00CD33A8">
      <w:pPr>
        <w:tabs>
          <w:tab w:val="left" w:pos="6540"/>
        </w:tabs>
        <w:spacing w:line="360" w:lineRule="auto"/>
        <w:rPr>
          <w:rFonts w:asciiTheme="minorBidi" w:hAnsiTheme="minorBidi"/>
        </w:rPr>
      </w:pPr>
    </w:p>
    <w:p w14:paraId="5C76528F" w14:textId="77777777" w:rsidR="00F66E1B" w:rsidRPr="00CD33A8" w:rsidRDefault="00F66E1B" w:rsidP="00CD33A8">
      <w:pPr>
        <w:tabs>
          <w:tab w:val="left" w:pos="6540"/>
        </w:tabs>
        <w:spacing w:line="360" w:lineRule="auto"/>
        <w:rPr>
          <w:rFonts w:asciiTheme="minorBidi" w:hAnsiTheme="minorBidi"/>
        </w:rPr>
      </w:pPr>
    </w:p>
    <w:p w14:paraId="33F8F0BD" w14:textId="00C647F1" w:rsidR="00B87E75" w:rsidRPr="006B728D" w:rsidRDefault="00CD33A8" w:rsidP="00AC609F">
      <w:pPr>
        <w:rPr>
          <w:rFonts w:ascii="Arial" w:eastAsiaTheme="majorEastAsia" w:hAnsi="Arial" w:cs="Arial"/>
          <w:b/>
          <w:bCs/>
          <w:sz w:val="28"/>
          <w:szCs w:val="28"/>
        </w:rPr>
      </w:pPr>
      <w:r>
        <w:br w:type="page"/>
      </w:r>
      <w:r w:rsidR="00B87E75" w:rsidRPr="006B728D">
        <w:rPr>
          <w:rFonts w:ascii="Arial" w:hAnsi="Arial" w:cs="Arial"/>
          <w:b/>
          <w:bCs/>
          <w:sz w:val="28"/>
          <w:szCs w:val="28"/>
        </w:rPr>
        <w:lastRenderedPageBreak/>
        <w:t>References</w:t>
      </w:r>
    </w:p>
    <w:p w14:paraId="6390368E" w14:textId="77777777" w:rsidR="006B728D" w:rsidRDefault="006B728D" w:rsidP="00637267"/>
    <w:p w14:paraId="24DE1C6F" w14:textId="3E80858D" w:rsidR="00637267" w:rsidRPr="00B022FE" w:rsidRDefault="00B022FE" w:rsidP="00637267">
      <w:pPr>
        <w:rPr>
          <w:rFonts w:ascii="Arial" w:hAnsi="Arial" w:cs="Arial"/>
        </w:rPr>
      </w:pPr>
      <w:r w:rsidRPr="00B022FE">
        <w:rPr>
          <w:rFonts w:ascii="Arial" w:hAnsi="Arial" w:cs="Arial"/>
        </w:rPr>
        <w:t xml:space="preserve">AHRQ (2020). </w:t>
      </w:r>
      <w:r w:rsidRPr="00B022FE">
        <w:rPr>
          <w:rFonts w:ascii="Arial" w:hAnsi="Arial" w:cs="Arial"/>
          <w:i/>
          <w:iCs/>
        </w:rPr>
        <w:t>Tool: SBAR</w:t>
      </w:r>
      <w:r w:rsidRPr="00B022FE">
        <w:rPr>
          <w:rFonts w:ascii="Arial" w:hAnsi="Arial" w:cs="Arial"/>
        </w:rPr>
        <w:t xml:space="preserve">. [online] www.ahrq.gov. Available at: </w:t>
      </w:r>
      <w:hyperlink r:id="rId9" w:history="1">
        <w:r w:rsidRPr="00B022FE">
          <w:rPr>
            <w:rStyle w:val="Hyperlink"/>
            <w:rFonts w:ascii="Arial" w:hAnsi="Arial" w:cs="Arial"/>
          </w:rPr>
          <w:t>https://www.ahrq.gov/teamstepps-program/curriculum/communication/tools/sbar.html</w:t>
        </w:r>
      </w:hyperlink>
      <w:r w:rsidRPr="00B022FE">
        <w:rPr>
          <w:rFonts w:ascii="Arial" w:hAnsi="Arial" w:cs="Arial"/>
        </w:rPr>
        <w:t>.</w:t>
      </w:r>
      <w:r w:rsidR="00637267" w:rsidRPr="00637267">
        <w:rPr>
          <w:rFonts w:ascii="Arial" w:hAnsi="Arial" w:cs="Arial"/>
        </w:rPr>
        <w:t xml:space="preserve"> </w:t>
      </w:r>
      <w:r w:rsidR="00637267" w:rsidRPr="00B022FE">
        <w:rPr>
          <w:rFonts w:ascii="Arial" w:hAnsi="Arial" w:cs="Arial"/>
        </w:rPr>
        <w:t>[Assessed 5</w:t>
      </w:r>
      <w:r w:rsidR="00637267" w:rsidRPr="00B022FE">
        <w:rPr>
          <w:rFonts w:ascii="Arial" w:hAnsi="Arial" w:cs="Arial"/>
          <w:vertAlign w:val="superscript"/>
        </w:rPr>
        <w:t>th</w:t>
      </w:r>
      <w:r w:rsidR="00637267" w:rsidRPr="00B022FE">
        <w:rPr>
          <w:rFonts w:ascii="Arial" w:hAnsi="Arial" w:cs="Arial"/>
        </w:rPr>
        <w:t xml:space="preserve"> of Feb 2026]</w:t>
      </w:r>
    </w:p>
    <w:p w14:paraId="07932122" w14:textId="392F1CE1" w:rsidR="00B022FE" w:rsidRPr="00B022FE" w:rsidRDefault="00B022FE" w:rsidP="00E3688D">
      <w:pPr>
        <w:rPr>
          <w:rFonts w:ascii="Arial" w:hAnsi="Arial" w:cs="Arial"/>
        </w:rPr>
      </w:pPr>
      <w:r w:rsidRPr="00E3688D">
        <w:rPr>
          <w:rFonts w:ascii="Arial" w:hAnsi="Arial" w:cs="Arial"/>
        </w:rPr>
        <w:t xml:space="preserve">CQC (2022). </w:t>
      </w:r>
      <w:r w:rsidRPr="00E3688D">
        <w:rPr>
          <w:rFonts w:ascii="Arial" w:hAnsi="Arial" w:cs="Arial"/>
          <w:i/>
          <w:iCs/>
        </w:rPr>
        <w:t>Care Quality Commission</w:t>
      </w:r>
      <w:r w:rsidRPr="00E3688D">
        <w:rPr>
          <w:rFonts w:ascii="Arial" w:hAnsi="Arial" w:cs="Arial"/>
        </w:rPr>
        <w:t xml:space="preserve">. [online] https://www.cqc.org.uk/. Available at: </w:t>
      </w:r>
      <w:hyperlink r:id="rId10" w:history="1">
        <w:r w:rsidRPr="00E3688D">
          <w:rPr>
            <w:rStyle w:val="Hyperlink"/>
            <w:rFonts w:ascii="Arial" w:hAnsi="Arial" w:cs="Arial"/>
          </w:rPr>
          <w:t>https://www.cqc.org.uk/</w:t>
        </w:r>
      </w:hyperlink>
      <w:r w:rsidRPr="00E3688D">
        <w:rPr>
          <w:rFonts w:ascii="Arial" w:hAnsi="Arial" w:cs="Arial"/>
        </w:rPr>
        <w:t>.</w:t>
      </w:r>
      <w:r w:rsidR="001E4774">
        <w:rPr>
          <w:rFonts w:ascii="Arial" w:hAnsi="Arial" w:cs="Arial"/>
        </w:rPr>
        <w:t xml:space="preserve"> </w:t>
      </w:r>
      <w:r w:rsidR="001E4774">
        <w:rPr>
          <w:rFonts w:ascii="Times New Roman" w:hAnsi="Times New Roman" w:cs="Times New Roman"/>
        </w:rPr>
        <w:t>[</w:t>
      </w:r>
      <w:r w:rsidR="0077174E">
        <w:rPr>
          <w:rFonts w:ascii="Arial" w:hAnsi="Arial" w:cs="Arial"/>
        </w:rPr>
        <w:t>Assessed 5</w:t>
      </w:r>
      <w:r w:rsidR="0077174E" w:rsidRPr="0077174E">
        <w:rPr>
          <w:rFonts w:ascii="Arial" w:hAnsi="Arial" w:cs="Arial"/>
          <w:vertAlign w:val="superscript"/>
        </w:rPr>
        <w:t>th</w:t>
      </w:r>
      <w:r w:rsidR="0077174E">
        <w:rPr>
          <w:rFonts w:ascii="Arial" w:hAnsi="Arial" w:cs="Arial"/>
        </w:rPr>
        <w:t xml:space="preserve"> of Feb 2026</w:t>
      </w:r>
      <w:r w:rsidR="00EE3E64">
        <w:rPr>
          <w:rFonts w:ascii="Times New Roman" w:hAnsi="Times New Roman" w:cs="Times New Roman"/>
        </w:rPr>
        <w:t>]</w:t>
      </w:r>
    </w:p>
    <w:p w14:paraId="326AC622" w14:textId="50E0A8E2" w:rsidR="00B022FE" w:rsidRPr="00B022FE" w:rsidRDefault="00B022FE" w:rsidP="0030323D">
      <w:pPr>
        <w:rPr>
          <w:rFonts w:ascii="Arial" w:hAnsi="Arial" w:cs="Arial"/>
        </w:rPr>
      </w:pPr>
      <w:r w:rsidRPr="009C5E98">
        <w:rPr>
          <w:rFonts w:ascii="Arial" w:hAnsi="Arial" w:cs="Arial"/>
        </w:rPr>
        <w:t xml:space="preserve">Egan`s, G. (2025). </w:t>
      </w:r>
      <w:r w:rsidRPr="009C5E98">
        <w:rPr>
          <w:rFonts w:ascii="Arial" w:hAnsi="Arial" w:cs="Arial"/>
          <w:i/>
          <w:iCs/>
        </w:rPr>
        <w:t>Mastering Active Listening in Counselling: Gerard Egan’s SOLER Model • Counselling Tutor</w:t>
      </w:r>
      <w:r w:rsidRPr="009C5E98">
        <w:rPr>
          <w:rFonts w:ascii="Arial" w:hAnsi="Arial" w:cs="Arial"/>
        </w:rPr>
        <w:t xml:space="preserve">. [online] Counselling Tutor. Available at: </w:t>
      </w:r>
      <w:hyperlink r:id="rId11" w:history="1">
        <w:r w:rsidRPr="009C5E98">
          <w:rPr>
            <w:rStyle w:val="Hyperlink"/>
            <w:rFonts w:ascii="Arial" w:hAnsi="Arial" w:cs="Arial"/>
          </w:rPr>
          <w:t>https://counsellingtutor.com/active-listening-in-counselling-egan-soler-model/</w:t>
        </w:r>
      </w:hyperlink>
      <w:r w:rsidRPr="009C5E98">
        <w:rPr>
          <w:rFonts w:ascii="Arial" w:hAnsi="Arial" w:cs="Arial"/>
        </w:rPr>
        <w:t>.</w:t>
      </w:r>
      <w:r w:rsidR="00EE3E64">
        <w:rPr>
          <w:rFonts w:ascii="Arial" w:hAnsi="Arial" w:cs="Arial"/>
        </w:rPr>
        <w:t xml:space="preserve"> </w:t>
      </w:r>
      <w:r w:rsidR="00EE3E64">
        <w:rPr>
          <w:rFonts w:ascii="Times New Roman" w:hAnsi="Times New Roman" w:cs="Times New Roman"/>
        </w:rPr>
        <w:t>[</w:t>
      </w:r>
      <w:r w:rsidR="00EE3E64">
        <w:rPr>
          <w:rFonts w:ascii="Arial" w:hAnsi="Arial" w:cs="Arial"/>
        </w:rPr>
        <w:t>Assessed 10</w:t>
      </w:r>
      <w:r w:rsidR="000F44A8" w:rsidRPr="000F44A8">
        <w:rPr>
          <w:rFonts w:ascii="Arial" w:hAnsi="Arial" w:cs="Arial"/>
          <w:vertAlign w:val="superscript"/>
        </w:rPr>
        <w:t>th</w:t>
      </w:r>
      <w:r w:rsidR="000F44A8">
        <w:rPr>
          <w:rFonts w:ascii="Arial" w:hAnsi="Arial" w:cs="Arial"/>
        </w:rPr>
        <w:t xml:space="preserve"> of Feb 2026</w:t>
      </w:r>
      <w:r w:rsidR="000F44A8">
        <w:rPr>
          <w:rFonts w:ascii="Times New Roman" w:hAnsi="Times New Roman" w:cs="Times New Roman"/>
        </w:rPr>
        <w:t>]</w:t>
      </w:r>
    </w:p>
    <w:p w14:paraId="453FC358" w14:textId="7DFDBFF5" w:rsidR="00B022FE" w:rsidRPr="00B022FE" w:rsidRDefault="00B022FE" w:rsidP="00082C85">
      <w:pPr>
        <w:rPr>
          <w:rFonts w:ascii="Arial" w:hAnsi="Arial" w:cs="Arial"/>
        </w:rPr>
      </w:pPr>
      <w:r w:rsidRPr="00082C85">
        <w:rPr>
          <w:rFonts w:ascii="Arial" w:hAnsi="Arial" w:cs="Arial"/>
        </w:rPr>
        <w:t xml:space="preserve">England, N. (2025). </w:t>
      </w:r>
      <w:r w:rsidRPr="00082C85">
        <w:rPr>
          <w:rFonts w:ascii="Arial" w:hAnsi="Arial" w:cs="Arial"/>
          <w:i/>
          <w:iCs/>
        </w:rPr>
        <w:t>NHS England» Records management policy</w:t>
      </w:r>
      <w:r w:rsidRPr="00082C85">
        <w:rPr>
          <w:rFonts w:ascii="Arial" w:hAnsi="Arial" w:cs="Arial"/>
        </w:rPr>
        <w:t xml:space="preserve">. [online] England.nhs.uk. Available at: </w:t>
      </w:r>
      <w:hyperlink r:id="rId12" w:history="1">
        <w:r w:rsidRPr="00082C85">
          <w:rPr>
            <w:rStyle w:val="Hyperlink"/>
            <w:rFonts w:ascii="Arial" w:hAnsi="Arial" w:cs="Arial"/>
          </w:rPr>
          <w:t>https://www.england.nhs.uk/long-read/records-management-policy/</w:t>
        </w:r>
      </w:hyperlink>
      <w:r w:rsidRPr="00082C85">
        <w:rPr>
          <w:rFonts w:ascii="Arial" w:hAnsi="Arial" w:cs="Arial"/>
        </w:rPr>
        <w:t>.</w:t>
      </w:r>
      <w:r w:rsidR="0030323D">
        <w:rPr>
          <w:rFonts w:ascii="Arial" w:hAnsi="Arial" w:cs="Arial"/>
        </w:rPr>
        <w:t xml:space="preserve"> </w:t>
      </w:r>
      <w:r w:rsidR="0030323D">
        <w:rPr>
          <w:rFonts w:ascii="Times New Roman" w:hAnsi="Times New Roman" w:cs="Times New Roman"/>
        </w:rPr>
        <w:t>[</w:t>
      </w:r>
      <w:r w:rsidR="0030323D">
        <w:rPr>
          <w:rFonts w:ascii="Arial" w:hAnsi="Arial" w:cs="Arial"/>
        </w:rPr>
        <w:t xml:space="preserve">Assessed </w:t>
      </w:r>
      <w:r w:rsidR="00642DE9">
        <w:rPr>
          <w:rFonts w:ascii="Arial" w:hAnsi="Arial" w:cs="Arial"/>
        </w:rPr>
        <w:t>1</w:t>
      </w:r>
      <w:r w:rsidR="00EB3961">
        <w:rPr>
          <w:rFonts w:ascii="Arial" w:hAnsi="Arial" w:cs="Arial"/>
        </w:rPr>
        <w:t>0</w:t>
      </w:r>
      <w:r w:rsidR="00EB3961" w:rsidRPr="00EB3961">
        <w:rPr>
          <w:rFonts w:ascii="Arial" w:hAnsi="Arial" w:cs="Arial"/>
          <w:vertAlign w:val="superscript"/>
        </w:rPr>
        <w:t>th</w:t>
      </w:r>
      <w:r w:rsidR="00642DE9">
        <w:rPr>
          <w:rFonts w:ascii="Arial" w:hAnsi="Arial" w:cs="Arial"/>
        </w:rPr>
        <w:t xml:space="preserve"> of Feb 2026</w:t>
      </w:r>
      <w:r w:rsidR="00642DE9">
        <w:rPr>
          <w:rFonts w:ascii="Times New Roman" w:hAnsi="Times New Roman" w:cs="Times New Roman"/>
        </w:rPr>
        <w:t>]</w:t>
      </w:r>
      <w:r w:rsidR="00642DE9">
        <w:rPr>
          <w:rFonts w:ascii="Arial" w:hAnsi="Arial" w:cs="Arial"/>
        </w:rPr>
        <w:t xml:space="preserve"> </w:t>
      </w:r>
    </w:p>
    <w:p w14:paraId="3A35DB44" w14:textId="273897D8" w:rsidR="00B022FE" w:rsidRPr="00B022FE" w:rsidRDefault="00B022FE" w:rsidP="00263BE2">
      <w:pPr>
        <w:rPr>
          <w:rFonts w:ascii="Arial" w:hAnsi="Arial" w:cs="Arial"/>
        </w:rPr>
      </w:pPr>
      <w:r w:rsidRPr="00263BE2">
        <w:rPr>
          <w:rFonts w:ascii="Arial" w:hAnsi="Arial" w:cs="Arial"/>
        </w:rPr>
        <w:t xml:space="preserve">GOV.UK (2013). </w:t>
      </w:r>
      <w:r w:rsidRPr="00263BE2">
        <w:rPr>
          <w:rFonts w:ascii="Arial" w:hAnsi="Arial" w:cs="Arial"/>
          <w:i/>
          <w:iCs/>
        </w:rPr>
        <w:t>Equality Act 2010</w:t>
      </w:r>
      <w:r w:rsidRPr="00263BE2">
        <w:rPr>
          <w:rFonts w:ascii="Arial" w:hAnsi="Arial" w:cs="Arial"/>
        </w:rPr>
        <w:t xml:space="preserve">. [online] GOV.UK. Available at: </w:t>
      </w:r>
      <w:hyperlink r:id="rId13" w:history="1">
        <w:r w:rsidRPr="00263BE2">
          <w:rPr>
            <w:rStyle w:val="Hyperlink"/>
            <w:rFonts w:ascii="Arial" w:hAnsi="Arial" w:cs="Arial"/>
          </w:rPr>
          <w:t>https://www.gov.uk/guidance/equality-act-2010-guidance</w:t>
        </w:r>
      </w:hyperlink>
      <w:r w:rsidRPr="00263BE2">
        <w:rPr>
          <w:rFonts w:ascii="Arial" w:hAnsi="Arial" w:cs="Arial"/>
        </w:rPr>
        <w:t>.</w:t>
      </w:r>
      <w:r w:rsidR="0099090B">
        <w:rPr>
          <w:rFonts w:ascii="Arial" w:hAnsi="Arial" w:cs="Arial"/>
        </w:rPr>
        <w:t xml:space="preserve"> </w:t>
      </w:r>
      <w:r w:rsidR="0099090B">
        <w:rPr>
          <w:rFonts w:ascii="Times New Roman" w:hAnsi="Times New Roman" w:cs="Times New Roman"/>
        </w:rPr>
        <w:t>[</w:t>
      </w:r>
      <w:r w:rsidR="0099090B">
        <w:rPr>
          <w:rFonts w:ascii="Arial" w:hAnsi="Arial" w:cs="Arial"/>
        </w:rPr>
        <w:t xml:space="preserve">Assessed </w:t>
      </w:r>
      <w:r w:rsidR="00837D33">
        <w:rPr>
          <w:rFonts w:ascii="Arial" w:hAnsi="Arial" w:cs="Arial"/>
        </w:rPr>
        <w:t>16</w:t>
      </w:r>
      <w:r w:rsidR="00837D33" w:rsidRPr="00837D33">
        <w:rPr>
          <w:rFonts w:ascii="Arial" w:hAnsi="Arial" w:cs="Arial"/>
          <w:vertAlign w:val="superscript"/>
        </w:rPr>
        <w:t>th</w:t>
      </w:r>
      <w:r w:rsidR="00837D33">
        <w:rPr>
          <w:rFonts w:ascii="Arial" w:hAnsi="Arial" w:cs="Arial"/>
        </w:rPr>
        <w:t xml:space="preserve"> of Feb 2026</w:t>
      </w:r>
      <w:r w:rsidR="00837D33">
        <w:rPr>
          <w:rFonts w:ascii="Times New Roman" w:hAnsi="Times New Roman" w:cs="Times New Roman"/>
        </w:rPr>
        <w:t>]</w:t>
      </w:r>
    </w:p>
    <w:p w14:paraId="3F298071" w14:textId="1409F30F" w:rsidR="00B022FE" w:rsidRPr="00B022FE" w:rsidRDefault="00B022FE" w:rsidP="009412CC">
      <w:pPr>
        <w:rPr>
          <w:rFonts w:ascii="Arial" w:hAnsi="Arial" w:cs="Arial"/>
        </w:rPr>
      </w:pPr>
      <w:r w:rsidRPr="009412CC">
        <w:rPr>
          <w:rFonts w:ascii="Arial" w:hAnsi="Arial" w:cs="Arial"/>
        </w:rPr>
        <w:t xml:space="preserve">GOV.UK (2018). </w:t>
      </w:r>
      <w:r w:rsidRPr="009412CC">
        <w:rPr>
          <w:rFonts w:ascii="Arial" w:hAnsi="Arial" w:cs="Arial"/>
          <w:i/>
          <w:iCs/>
        </w:rPr>
        <w:t>Data Protection Act 2018</w:t>
      </w:r>
      <w:r w:rsidRPr="009412CC">
        <w:rPr>
          <w:rFonts w:ascii="Arial" w:hAnsi="Arial" w:cs="Arial"/>
        </w:rPr>
        <w:t xml:space="preserve">. [online] legislation.gov.uk. Available at: </w:t>
      </w:r>
      <w:hyperlink r:id="rId14" w:history="1">
        <w:r w:rsidRPr="009412CC">
          <w:rPr>
            <w:rStyle w:val="Hyperlink"/>
            <w:rFonts w:ascii="Arial" w:hAnsi="Arial" w:cs="Arial"/>
          </w:rPr>
          <w:t>https://www.legislation.gov.uk/ukpga/2018/12/contents</w:t>
        </w:r>
      </w:hyperlink>
      <w:r w:rsidRPr="009412CC">
        <w:rPr>
          <w:rFonts w:ascii="Arial" w:hAnsi="Arial" w:cs="Arial"/>
        </w:rPr>
        <w:t>.</w:t>
      </w:r>
      <w:r w:rsidRPr="00B022FE">
        <w:rPr>
          <w:rFonts w:ascii="Arial" w:hAnsi="Arial" w:cs="Arial"/>
        </w:rPr>
        <w:t xml:space="preserve"> [Assessed </w:t>
      </w:r>
      <w:r w:rsidR="0099090B">
        <w:rPr>
          <w:rFonts w:ascii="Arial" w:hAnsi="Arial" w:cs="Arial"/>
        </w:rPr>
        <w:t>1</w:t>
      </w:r>
      <w:r w:rsidRPr="00B022FE">
        <w:rPr>
          <w:rFonts w:ascii="Arial" w:hAnsi="Arial" w:cs="Arial"/>
        </w:rPr>
        <w:t>6</w:t>
      </w:r>
      <w:r w:rsidRPr="00B022FE">
        <w:rPr>
          <w:rFonts w:ascii="Arial" w:hAnsi="Arial" w:cs="Arial"/>
          <w:vertAlign w:val="superscript"/>
        </w:rPr>
        <w:t>th</w:t>
      </w:r>
      <w:r w:rsidRPr="00B022FE">
        <w:rPr>
          <w:rFonts w:ascii="Arial" w:hAnsi="Arial" w:cs="Arial"/>
        </w:rPr>
        <w:t xml:space="preserve"> of Feb 2026]</w:t>
      </w:r>
    </w:p>
    <w:p w14:paraId="3631467E" w14:textId="26D2E980" w:rsidR="00B022FE" w:rsidRDefault="00B022FE" w:rsidP="004A2F84">
      <w:pPr>
        <w:rPr>
          <w:rFonts w:ascii="Times New Roman" w:hAnsi="Times New Roman" w:cs="Times New Roman"/>
        </w:rPr>
      </w:pPr>
      <w:r w:rsidRPr="00B022FE">
        <w:rPr>
          <w:rFonts w:ascii="Arial" w:hAnsi="Arial" w:cs="Arial"/>
        </w:rPr>
        <w:t xml:space="preserve">NHS Foundation Trust (2024). </w:t>
      </w:r>
      <w:r w:rsidRPr="00B022FE">
        <w:rPr>
          <w:rFonts w:ascii="Arial" w:hAnsi="Arial" w:cs="Arial"/>
          <w:i/>
          <w:iCs/>
        </w:rPr>
        <w:t xml:space="preserve">Equality Act 2010: Central and </w:t>
      </w:r>
      <w:proofErr w:type="gramStart"/>
      <w:r w:rsidRPr="00B022FE">
        <w:rPr>
          <w:rFonts w:ascii="Arial" w:hAnsi="Arial" w:cs="Arial"/>
          <w:i/>
          <w:iCs/>
        </w:rPr>
        <w:t>North West</w:t>
      </w:r>
      <w:proofErr w:type="gramEnd"/>
      <w:r w:rsidRPr="00B022FE">
        <w:rPr>
          <w:rFonts w:ascii="Arial" w:hAnsi="Arial" w:cs="Arial"/>
          <w:i/>
          <w:iCs/>
        </w:rPr>
        <w:t xml:space="preserve"> London NHS Foundation Trust</w:t>
      </w:r>
      <w:r w:rsidRPr="00B022FE">
        <w:rPr>
          <w:rFonts w:ascii="Arial" w:hAnsi="Arial" w:cs="Arial"/>
        </w:rPr>
        <w:t xml:space="preserve">. [online] www.cnwl.nhs.uk. Available at: </w:t>
      </w:r>
      <w:hyperlink r:id="rId15" w:history="1">
        <w:r w:rsidRPr="00B022FE">
          <w:rPr>
            <w:rStyle w:val="Hyperlink"/>
            <w:rFonts w:ascii="Arial" w:hAnsi="Arial" w:cs="Arial"/>
          </w:rPr>
          <w:t>https://www.cnwl.nhs.uk/about/equality-diversity-and-inclusion</w:t>
        </w:r>
        <w:r w:rsidR="00500B80" w:rsidRPr="00500B80">
          <w:rPr>
            <w:rStyle w:val="Hyperlink"/>
            <w:rFonts w:ascii="Arial" w:hAnsi="Arial" w:cs="Arial"/>
          </w:rPr>
          <w:t>Health</w:t>
        </w:r>
        <w:r w:rsidRPr="00B022FE">
          <w:rPr>
            <w:rStyle w:val="Hyperlink"/>
            <w:rFonts w:ascii="Arial" w:hAnsi="Arial" w:cs="Arial"/>
          </w:rPr>
          <w:t>/equality-act-2010</w:t>
        </w:r>
      </w:hyperlink>
      <w:r w:rsidRPr="00B022FE">
        <w:rPr>
          <w:rFonts w:ascii="Arial" w:hAnsi="Arial" w:cs="Arial"/>
        </w:rPr>
        <w:t>.</w:t>
      </w:r>
      <w:r w:rsidR="00EB3961">
        <w:rPr>
          <w:rFonts w:ascii="Arial" w:hAnsi="Arial" w:cs="Arial"/>
        </w:rPr>
        <w:t xml:space="preserve"> </w:t>
      </w:r>
      <w:r w:rsidR="00EB3961">
        <w:rPr>
          <w:rFonts w:ascii="Times New Roman" w:hAnsi="Times New Roman" w:cs="Times New Roman"/>
        </w:rPr>
        <w:t>[</w:t>
      </w:r>
      <w:r w:rsidR="00EB3961">
        <w:rPr>
          <w:rFonts w:ascii="Arial" w:hAnsi="Arial" w:cs="Arial"/>
        </w:rPr>
        <w:t xml:space="preserve">Assessed </w:t>
      </w:r>
      <w:r w:rsidR="00755604">
        <w:rPr>
          <w:rFonts w:ascii="Arial" w:hAnsi="Arial" w:cs="Arial"/>
        </w:rPr>
        <w:t>5</w:t>
      </w:r>
      <w:r w:rsidR="00755604" w:rsidRPr="00755604">
        <w:rPr>
          <w:rFonts w:ascii="Arial" w:hAnsi="Arial" w:cs="Arial"/>
          <w:vertAlign w:val="superscript"/>
        </w:rPr>
        <w:t>th</w:t>
      </w:r>
      <w:r w:rsidR="00755604">
        <w:rPr>
          <w:rFonts w:ascii="Arial" w:hAnsi="Arial" w:cs="Arial"/>
        </w:rPr>
        <w:t xml:space="preserve"> of April 2026</w:t>
      </w:r>
      <w:r w:rsidR="00755604">
        <w:rPr>
          <w:rFonts w:ascii="Times New Roman" w:hAnsi="Times New Roman" w:cs="Times New Roman"/>
        </w:rPr>
        <w:t>]</w:t>
      </w:r>
    </w:p>
    <w:p w14:paraId="706FB7A0" w14:textId="4489550D" w:rsidR="0005682F" w:rsidRDefault="0005682F" w:rsidP="0005682F">
      <w:pPr>
        <w:rPr>
          <w:rFonts w:ascii="Arial" w:hAnsi="Arial" w:cs="Arial"/>
        </w:rPr>
      </w:pPr>
      <w:r w:rsidRPr="0005682F">
        <w:rPr>
          <w:rFonts w:ascii="Arial" w:hAnsi="Arial" w:cs="Arial"/>
        </w:rPr>
        <w:t xml:space="preserve">NHS England (2017). </w:t>
      </w:r>
      <w:r w:rsidRPr="0005682F">
        <w:rPr>
          <w:rFonts w:ascii="Arial" w:hAnsi="Arial" w:cs="Arial"/>
          <w:i/>
          <w:iCs/>
        </w:rPr>
        <w:t>Safer Care SBAR Situation • Background • Assessment • Recommendation Implementation and Training Guide</w:t>
      </w:r>
      <w:r w:rsidRPr="0005682F">
        <w:rPr>
          <w:rFonts w:ascii="Arial" w:hAnsi="Arial" w:cs="Arial"/>
        </w:rPr>
        <w:t xml:space="preserve">. [online] </w:t>
      </w:r>
      <w:r w:rsidRPr="0005682F">
        <w:rPr>
          <w:rFonts w:ascii="Arial" w:hAnsi="Arial" w:cs="Arial"/>
          <w:i/>
          <w:iCs/>
        </w:rPr>
        <w:t>NHS England</w:t>
      </w:r>
      <w:r w:rsidRPr="0005682F">
        <w:rPr>
          <w:rFonts w:ascii="Arial" w:hAnsi="Arial" w:cs="Arial"/>
        </w:rPr>
        <w:t xml:space="preserve">. NHS England. Available at: </w:t>
      </w:r>
      <w:hyperlink r:id="rId16" w:history="1">
        <w:r w:rsidRPr="0005682F">
          <w:rPr>
            <w:rStyle w:val="Hyperlink"/>
            <w:rFonts w:ascii="Arial" w:hAnsi="Arial" w:cs="Arial"/>
          </w:rPr>
          <w:t>https://www.england.nhs.uk/improvement-hub/wp-content/uploads/sites/44/2017/11/SBAR-Implementation-and-Training-Guide.pdf</w:t>
        </w:r>
      </w:hyperlink>
      <w:r w:rsidRPr="0005682F">
        <w:rPr>
          <w:rFonts w:ascii="Arial" w:hAnsi="Arial" w:cs="Arial"/>
        </w:rPr>
        <w:t>.</w:t>
      </w:r>
      <w:r w:rsidR="008E1749">
        <w:rPr>
          <w:rFonts w:ascii="Arial" w:hAnsi="Arial" w:cs="Arial"/>
        </w:rPr>
        <w:t xml:space="preserve"> </w:t>
      </w:r>
      <w:r w:rsidR="008E1749">
        <w:rPr>
          <w:rFonts w:ascii="Times New Roman" w:hAnsi="Times New Roman" w:cs="Times New Roman"/>
        </w:rPr>
        <w:t>[</w:t>
      </w:r>
      <w:r w:rsidR="00417BA4">
        <w:rPr>
          <w:rFonts w:ascii="Arial" w:hAnsi="Arial" w:cs="Arial"/>
        </w:rPr>
        <w:t>Assessed 5</w:t>
      </w:r>
      <w:r w:rsidR="00417BA4" w:rsidRPr="00417BA4">
        <w:rPr>
          <w:rFonts w:ascii="Arial" w:hAnsi="Arial" w:cs="Arial"/>
          <w:vertAlign w:val="superscript"/>
        </w:rPr>
        <w:t>th</w:t>
      </w:r>
      <w:r w:rsidR="00417BA4">
        <w:rPr>
          <w:rFonts w:ascii="Arial" w:hAnsi="Arial" w:cs="Arial"/>
        </w:rPr>
        <w:t xml:space="preserve"> of April 2026</w:t>
      </w:r>
      <w:r w:rsidR="00417BA4">
        <w:rPr>
          <w:rFonts w:ascii="Times New Roman" w:hAnsi="Times New Roman" w:cs="Times New Roman"/>
        </w:rPr>
        <w:t>]</w:t>
      </w:r>
    </w:p>
    <w:p w14:paraId="1B6A28A4" w14:textId="3E12B95D" w:rsidR="00B022FE" w:rsidRPr="00B022FE" w:rsidRDefault="00B022FE" w:rsidP="00E4300F">
      <w:pPr>
        <w:rPr>
          <w:rFonts w:ascii="Arial" w:hAnsi="Arial" w:cs="Arial"/>
        </w:rPr>
      </w:pPr>
      <w:r w:rsidRPr="00E4300F">
        <w:rPr>
          <w:rFonts w:ascii="Arial" w:hAnsi="Arial" w:cs="Arial"/>
        </w:rPr>
        <w:t xml:space="preserve">Silverman, J. (2016). </w:t>
      </w:r>
      <w:r w:rsidRPr="00E4300F">
        <w:rPr>
          <w:rFonts w:ascii="Arial" w:hAnsi="Arial" w:cs="Arial"/>
          <w:i/>
          <w:iCs/>
        </w:rPr>
        <w:t>Skills for Communicating with Patients, 3rd Edition</w:t>
      </w:r>
      <w:r w:rsidRPr="00E4300F">
        <w:rPr>
          <w:rFonts w:ascii="Arial" w:hAnsi="Arial" w:cs="Arial"/>
        </w:rPr>
        <w:t xml:space="preserve">. [online] CRC Press. </w:t>
      </w:r>
      <w:r w:rsidRPr="00B022FE">
        <w:rPr>
          <w:rFonts w:ascii="Arial" w:hAnsi="Arial" w:cs="Arial"/>
        </w:rPr>
        <w:t xml:space="preserve">Doi: </w:t>
      </w:r>
      <w:hyperlink r:id="rId17" w:history="1">
        <w:r w:rsidRPr="00B022FE">
          <w:rPr>
            <w:rStyle w:val="Hyperlink"/>
            <w:rFonts w:ascii="Arial" w:hAnsi="Arial" w:cs="Arial"/>
          </w:rPr>
          <w:t>https://doi.org/10.1201/9781910227268</w:t>
        </w:r>
      </w:hyperlink>
      <w:r w:rsidRPr="00E4300F">
        <w:rPr>
          <w:rFonts w:ascii="Arial" w:hAnsi="Arial" w:cs="Arial"/>
        </w:rPr>
        <w:t>.</w:t>
      </w:r>
      <w:r w:rsidR="00755604">
        <w:rPr>
          <w:rFonts w:ascii="Arial" w:hAnsi="Arial" w:cs="Arial"/>
        </w:rPr>
        <w:t xml:space="preserve"> </w:t>
      </w:r>
      <w:r w:rsidR="00755604">
        <w:rPr>
          <w:rFonts w:ascii="Times New Roman" w:hAnsi="Times New Roman" w:cs="Times New Roman"/>
        </w:rPr>
        <w:t>[</w:t>
      </w:r>
      <w:r w:rsidR="00755604">
        <w:rPr>
          <w:rFonts w:ascii="Arial" w:hAnsi="Arial" w:cs="Arial"/>
        </w:rPr>
        <w:t xml:space="preserve">Assessed </w:t>
      </w:r>
      <w:r w:rsidR="005940EA">
        <w:rPr>
          <w:rFonts w:ascii="Arial" w:hAnsi="Arial" w:cs="Arial"/>
        </w:rPr>
        <w:t>5</w:t>
      </w:r>
      <w:r w:rsidR="005940EA" w:rsidRPr="005940EA">
        <w:rPr>
          <w:rFonts w:ascii="Arial" w:hAnsi="Arial" w:cs="Arial"/>
          <w:vertAlign w:val="superscript"/>
        </w:rPr>
        <w:t>th</w:t>
      </w:r>
      <w:r w:rsidR="005940EA">
        <w:rPr>
          <w:rFonts w:ascii="Arial" w:hAnsi="Arial" w:cs="Arial"/>
        </w:rPr>
        <w:t xml:space="preserve"> of April 2026</w:t>
      </w:r>
      <w:r w:rsidR="005940EA">
        <w:rPr>
          <w:rFonts w:ascii="Times New Roman" w:hAnsi="Times New Roman" w:cs="Times New Roman"/>
        </w:rPr>
        <w:t>]</w:t>
      </w:r>
    </w:p>
    <w:p w14:paraId="52A5DF63" w14:textId="096969CF" w:rsidR="00B022FE" w:rsidRPr="00B022FE" w:rsidRDefault="00B022FE" w:rsidP="008315DF">
      <w:pPr>
        <w:rPr>
          <w:rFonts w:ascii="Arial" w:hAnsi="Arial" w:cs="Arial"/>
        </w:rPr>
      </w:pPr>
      <w:r w:rsidRPr="008315DF">
        <w:rPr>
          <w:rFonts w:ascii="Arial" w:hAnsi="Arial" w:cs="Arial"/>
        </w:rPr>
        <w:t xml:space="preserve">Trust, W.H. and C.N. (2022). </w:t>
      </w:r>
      <w:r w:rsidRPr="008315DF">
        <w:rPr>
          <w:rFonts w:ascii="Arial" w:hAnsi="Arial" w:cs="Arial"/>
          <w:i/>
          <w:iCs/>
        </w:rPr>
        <w:t>Caldicott Principles | Our quality and safety standards</w:t>
      </w:r>
      <w:r w:rsidRPr="008315DF">
        <w:rPr>
          <w:rFonts w:ascii="Arial" w:hAnsi="Arial" w:cs="Arial"/>
        </w:rPr>
        <w:t xml:space="preserve">. [online] Worcestershire Health and Care NHS Trust. Available at: </w:t>
      </w:r>
      <w:hyperlink r:id="rId18" w:history="1">
        <w:r w:rsidRPr="008315DF">
          <w:rPr>
            <w:rStyle w:val="Hyperlink"/>
            <w:rFonts w:ascii="Arial" w:hAnsi="Arial" w:cs="Arial"/>
          </w:rPr>
          <w:t>https://www.hacw.nhs.uk/quality-and-safety/caldicott-principles-943/</w:t>
        </w:r>
      </w:hyperlink>
      <w:r w:rsidRPr="008315DF">
        <w:rPr>
          <w:rFonts w:ascii="Arial" w:hAnsi="Arial" w:cs="Arial"/>
        </w:rPr>
        <w:t>.</w:t>
      </w:r>
      <w:r w:rsidR="005940EA">
        <w:rPr>
          <w:rFonts w:ascii="Arial" w:hAnsi="Arial" w:cs="Arial"/>
        </w:rPr>
        <w:t xml:space="preserve"> </w:t>
      </w:r>
      <w:r w:rsidR="005940EA">
        <w:rPr>
          <w:rFonts w:ascii="Times New Roman" w:hAnsi="Times New Roman" w:cs="Times New Roman"/>
        </w:rPr>
        <w:t>[</w:t>
      </w:r>
      <w:r w:rsidR="005940EA">
        <w:rPr>
          <w:rFonts w:ascii="Arial" w:hAnsi="Arial" w:cs="Arial"/>
        </w:rPr>
        <w:t xml:space="preserve">Assessed </w:t>
      </w:r>
      <w:r w:rsidR="00E814F3">
        <w:rPr>
          <w:rFonts w:ascii="Arial" w:hAnsi="Arial" w:cs="Arial"/>
        </w:rPr>
        <w:t>12</w:t>
      </w:r>
      <w:r w:rsidR="00E814F3" w:rsidRPr="00E814F3">
        <w:rPr>
          <w:rFonts w:ascii="Arial" w:hAnsi="Arial" w:cs="Arial"/>
          <w:vertAlign w:val="superscript"/>
        </w:rPr>
        <w:t>th</w:t>
      </w:r>
      <w:r w:rsidR="00E814F3">
        <w:rPr>
          <w:rFonts w:ascii="Arial" w:hAnsi="Arial" w:cs="Arial"/>
        </w:rPr>
        <w:t xml:space="preserve"> of April 2026</w:t>
      </w:r>
      <w:r w:rsidR="00E814F3">
        <w:rPr>
          <w:rFonts w:ascii="Times New Roman" w:hAnsi="Times New Roman" w:cs="Times New Roman"/>
        </w:rPr>
        <w:t>]</w:t>
      </w:r>
    </w:p>
    <w:p w14:paraId="302DF1C1" w14:textId="77777777" w:rsidR="00A90DE0" w:rsidRPr="00865E98" w:rsidRDefault="00A90DE0" w:rsidP="00865E98">
      <w:pPr>
        <w:rPr>
          <w:rFonts w:ascii="Arial" w:hAnsi="Arial" w:cs="Arial"/>
        </w:rPr>
      </w:pPr>
    </w:p>
    <w:p w14:paraId="0C0ABED1" w14:textId="185A51EB" w:rsidR="00D31616" w:rsidRPr="00D31616" w:rsidRDefault="00D31616" w:rsidP="00D31616">
      <w:pPr>
        <w:rPr>
          <w:rFonts w:ascii="Arial" w:hAnsi="Arial" w:cs="Arial"/>
        </w:rPr>
      </w:pPr>
    </w:p>
    <w:p w14:paraId="110513A3" w14:textId="77777777" w:rsidR="00D31616" w:rsidRDefault="00D31616" w:rsidP="00082C85">
      <w:pPr>
        <w:rPr>
          <w:rFonts w:ascii="Arial" w:hAnsi="Arial" w:cs="Arial"/>
        </w:rPr>
      </w:pPr>
    </w:p>
    <w:p w14:paraId="18004C11" w14:textId="77777777" w:rsidR="00082C85" w:rsidRPr="00082C85" w:rsidRDefault="00082C85" w:rsidP="00082C85">
      <w:pPr>
        <w:rPr>
          <w:rFonts w:ascii="Arial" w:hAnsi="Arial" w:cs="Arial"/>
        </w:rPr>
      </w:pPr>
    </w:p>
    <w:p w14:paraId="55658755" w14:textId="77777777" w:rsidR="006618F4" w:rsidRPr="006618F4" w:rsidRDefault="006618F4" w:rsidP="006618F4">
      <w:pPr>
        <w:rPr>
          <w:rFonts w:ascii="Arial" w:hAnsi="Arial" w:cs="Arial"/>
        </w:rPr>
      </w:pPr>
    </w:p>
    <w:p w14:paraId="46359516" w14:textId="77777777" w:rsidR="00F5619D" w:rsidRDefault="00F5619D" w:rsidP="00F81D1D">
      <w:pPr>
        <w:rPr>
          <w:rFonts w:ascii="Arial" w:hAnsi="Arial" w:cs="Arial"/>
        </w:rPr>
      </w:pPr>
    </w:p>
    <w:p w14:paraId="0D724B1E" w14:textId="77777777" w:rsidR="00D270A4" w:rsidRPr="00F81D1D" w:rsidRDefault="00D270A4" w:rsidP="00F81D1D">
      <w:pPr>
        <w:rPr>
          <w:rFonts w:ascii="Arial" w:hAnsi="Arial" w:cs="Arial"/>
        </w:rPr>
      </w:pPr>
    </w:p>
    <w:p w14:paraId="79110B2A" w14:textId="77777777" w:rsidR="00F81D1D" w:rsidRDefault="00F81D1D" w:rsidP="00E3688D">
      <w:pPr>
        <w:rPr>
          <w:rFonts w:ascii="Arial" w:hAnsi="Arial" w:cs="Arial"/>
        </w:rPr>
      </w:pPr>
    </w:p>
    <w:p w14:paraId="4C50AE39" w14:textId="77777777" w:rsidR="00E3688D" w:rsidRPr="00E3688D" w:rsidRDefault="00E3688D" w:rsidP="00E3688D">
      <w:pPr>
        <w:rPr>
          <w:rFonts w:ascii="Arial" w:hAnsi="Arial" w:cs="Arial"/>
        </w:rPr>
      </w:pPr>
    </w:p>
    <w:p w14:paraId="1FEF2BF0" w14:textId="77777777" w:rsidR="00E3688D" w:rsidRDefault="00E3688D" w:rsidP="008315DF">
      <w:pPr>
        <w:rPr>
          <w:rFonts w:ascii="Arial" w:hAnsi="Arial" w:cs="Arial"/>
        </w:rPr>
      </w:pPr>
    </w:p>
    <w:p w14:paraId="17E71F41" w14:textId="77777777" w:rsidR="008315DF" w:rsidRPr="008315DF" w:rsidRDefault="008315DF" w:rsidP="008315DF">
      <w:pPr>
        <w:rPr>
          <w:rFonts w:ascii="Arial" w:hAnsi="Arial" w:cs="Arial"/>
        </w:rPr>
      </w:pPr>
    </w:p>
    <w:p w14:paraId="55470D6D" w14:textId="77777777" w:rsidR="00E148FB" w:rsidRDefault="00E148FB" w:rsidP="00263BE2">
      <w:pPr>
        <w:rPr>
          <w:rFonts w:ascii="Arial" w:hAnsi="Arial" w:cs="Arial"/>
        </w:rPr>
      </w:pPr>
    </w:p>
    <w:p w14:paraId="3F09520A" w14:textId="77777777" w:rsidR="00B6495A" w:rsidRPr="00263BE2" w:rsidRDefault="00B6495A" w:rsidP="00263BE2">
      <w:pPr>
        <w:rPr>
          <w:rFonts w:ascii="Arial" w:hAnsi="Arial" w:cs="Arial"/>
        </w:rPr>
      </w:pPr>
    </w:p>
    <w:p w14:paraId="18099E03" w14:textId="77777777" w:rsidR="00263BE2" w:rsidRDefault="00263BE2" w:rsidP="00E4300F">
      <w:pPr>
        <w:rPr>
          <w:rFonts w:ascii="Arial" w:hAnsi="Arial" w:cs="Arial"/>
        </w:rPr>
      </w:pPr>
    </w:p>
    <w:p w14:paraId="3A30900F" w14:textId="77777777" w:rsidR="00AA1729" w:rsidRDefault="00AA1729" w:rsidP="00E4300F">
      <w:pPr>
        <w:rPr>
          <w:rFonts w:ascii="Arial" w:hAnsi="Arial" w:cs="Arial"/>
        </w:rPr>
      </w:pPr>
    </w:p>
    <w:p w14:paraId="017740F7" w14:textId="77777777" w:rsidR="00E4300F" w:rsidRPr="00E4300F" w:rsidRDefault="00E4300F" w:rsidP="00E4300F">
      <w:pPr>
        <w:rPr>
          <w:rFonts w:ascii="Arial" w:hAnsi="Arial" w:cs="Arial"/>
        </w:rPr>
      </w:pPr>
    </w:p>
    <w:p w14:paraId="71A50CB1" w14:textId="77777777" w:rsidR="00E4300F" w:rsidRDefault="00E4300F" w:rsidP="009C5E98">
      <w:pPr>
        <w:rPr>
          <w:rFonts w:ascii="Arial" w:hAnsi="Arial" w:cs="Arial"/>
        </w:rPr>
      </w:pPr>
    </w:p>
    <w:p w14:paraId="1637271A" w14:textId="77777777" w:rsidR="009C5E98" w:rsidRPr="009C5E98" w:rsidRDefault="009C5E98" w:rsidP="009C5E98">
      <w:pPr>
        <w:rPr>
          <w:rFonts w:ascii="Arial" w:hAnsi="Arial" w:cs="Arial"/>
        </w:rPr>
      </w:pPr>
    </w:p>
    <w:p w14:paraId="6588B206" w14:textId="77777777" w:rsidR="00427969" w:rsidRDefault="00427969" w:rsidP="009412CC">
      <w:pPr>
        <w:rPr>
          <w:rFonts w:ascii="Arial" w:hAnsi="Arial" w:cs="Arial"/>
        </w:rPr>
      </w:pPr>
    </w:p>
    <w:p w14:paraId="2F3A6571" w14:textId="77777777" w:rsidR="009412CC" w:rsidRPr="009412CC" w:rsidRDefault="009412CC" w:rsidP="009412CC">
      <w:pPr>
        <w:rPr>
          <w:rFonts w:ascii="Arial" w:hAnsi="Arial" w:cs="Arial"/>
        </w:rPr>
      </w:pPr>
    </w:p>
    <w:p w14:paraId="5647EED6" w14:textId="77777777" w:rsidR="009412CC" w:rsidRDefault="009412CC" w:rsidP="004A2F84">
      <w:pPr>
        <w:rPr>
          <w:rFonts w:ascii="Arial" w:hAnsi="Arial" w:cs="Arial"/>
        </w:rPr>
      </w:pPr>
    </w:p>
    <w:p w14:paraId="3315A5C5" w14:textId="77777777" w:rsidR="00484A5E" w:rsidRDefault="00484A5E" w:rsidP="004A2F84">
      <w:pPr>
        <w:rPr>
          <w:rFonts w:ascii="Arial" w:hAnsi="Arial" w:cs="Arial"/>
        </w:rPr>
      </w:pPr>
    </w:p>
    <w:p w14:paraId="7619CF90" w14:textId="77777777" w:rsidR="00484A5E" w:rsidRPr="00484A5E" w:rsidRDefault="00484A5E" w:rsidP="004A2F84">
      <w:pPr>
        <w:rPr>
          <w:rFonts w:ascii="Arial" w:hAnsi="Arial" w:cs="Arial"/>
        </w:rPr>
      </w:pPr>
    </w:p>
    <w:p w14:paraId="77EBFE1F" w14:textId="77777777" w:rsidR="00484A5E" w:rsidRPr="004A2F84" w:rsidRDefault="00484A5E" w:rsidP="004A2F84">
      <w:pPr>
        <w:rPr>
          <w:rFonts w:ascii="Arial" w:hAnsi="Arial" w:cs="Arial"/>
        </w:rPr>
      </w:pPr>
    </w:p>
    <w:p w14:paraId="4D8FA41A" w14:textId="77777777" w:rsidR="007457F6" w:rsidRPr="007457F6" w:rsidRDefault="007457F6" w:rsidP="007457F6"/>
    <w:p w14:paraId="19198BA6" w14:textId="5E333EB4" w:rsidR="00CF030A" w:rsidRPr="00CF030A" w:rsidRDefault="00CF030A" w:rsidP="00CF030A"/>
    <w:p w14:paraId="1425F4AC" w14:textId="6695D929" w:rsidR="001D7C03" w:rsidRPr="00CD33A8" w:rsidRDefault="001D7C03" w:rsidP="00CD33A8">
      <w:pPr>
        <w:tabs>
          <w:tab w:val="left" w:pos="6540"/>
        </w:tabs>
        <w:spacing w:line="360" w:lineRule="auto"/>
        <w:rPr>
          <w:rFonts w:asciiTheme="minorBidi" w:hAnsiTheme="minorBidi"/>
        </w:rPr>
      </w:pPr>
    </w:p>
    <w:sectPr w:rsidR="001D7C03" w:rsidRPr="00CD33A8" w:rsidSect="00E620E7">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37F39B" w14:textId="77777777" w:rsidR="00BC39AA" w:rsidRDefault="00BC39AA" w:rsidP="003E4ECF">
      <w:pPr>
        <w:spacing w:after="0" w:line="240" w:lineRule="auto"/>
      </w:pPr>
      <w:r>
        <w:separator/>
      </w:r>
    </w:p>
  </w:endnote>
  <w:endnote w:type="continuationSeparator" w:id="0">
    <w:p w14:paraId="6C68D0B8" w14:textId="77777777" w:rsidR="00BC39AA" w:rsidRDefault="00BC39AA"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67988516"/>
      <w:docPartObj>
        <w:docPartGallery w:val="Page Numbers (Bottom of Page)"/>
        <w:docPartUnique/>
      </w:docPartObj>
    </w:sdtPr>
    <w:sdtEndPr>
      <w:rPr>
        <w:rFonts w:asciiTheme="minorBidi" w:hAnsiTheme="minorBidi"/>
        <w:noProof/>
      </w:rPr>
    </w:sdtEndPr>
    <w:sdtContent>
      <w:p w14:paraId="22F0D82E" w14:textId="45C034A5" w:rsidR="003E4ECF" w:rsidRPr="00E620E7" w:rsidRDefault="003E4ECF">
        <w:pPr>
          <w:pStyle w:val="Footer"/>
          <w:jc w:val="center"/>
          <w:rPr>
            <w:rFonts w:asciiTheme="minorBidi" w:hAnsiTheme="minorBidi"/>
          </w:rPr>
        </w:pPr>
        <w:r w:rsidRPr="00E620E7">
          <w:rPr>
            <w:rFonts w:asciiTheme="minorBidi" w:hAnsiTheme="minorBidi"/>
          </w:rPr>
          <w:fldChar w:fldCharType="begin"/>
        </w:r>
        <w:r w:rsidRPr="00E620E7">
          <w:rPr>
            <w:rFonts w:asciiTheme="minorBidi" w:hAnsiTheme="minorBidi"/>
          </w:rPr>
          <w:instrText xml:space="preserve"> PAGE   \* MERGEFORMAT </w:instrText>
        </w:r>
        <w:r w:rsidRPr="00E620E7">
          <w:rPr>
            <w:rFonts w:asciiTheme="minorBidi" w:hAnsiTheme="minorBidi"/>
          </w:rPr>
          <w:fldChar w:fldCharType="separate"/>
        </w:r>
        <w:r w:rsidRPr="00E620E7">
          <w:rPr>
            <w:rFonts w:asciiTheme="minorBidi" w:hAnsiTheme="minorBidi"/>
            <w:noProof/>
          </w:rPr>
          <w:t>2</w:t>
        </w:r>
        <w:r w:rsidRPr="00E620E7">
          <w:rPr>
            <w:rFonts w:asciiTheme="minorBidi" w:hAnsiTheme="minorBidi"/>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2FEB32" w14:textId="77777777" w:rsidR="00BC39AA" w:rsidRDefault="00BC39AA" w:rsidP="003E4ECF">
      <w:pPr>
        <w:spacing w:after="0" w:line="240" w:lineRule="auto"/>
      </w:pPr>
      <w:r>
        <w:separator/>
      </w:r>
    </w:p>
  </w:footnote>
  <w:footnote w:type="continuationSeparator" w:id="0">
    <w:p w14:paraId="6973D285" w14:textId="77777777" w:rsidR="00BC39AA" w:rsidRDefault="00BC39AA" w:rsidP="003E4EC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C961E9"/>
    <w:multiLevelType w:val="multilevel"/>
    <w:tmpl w:val="FC3895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82775B"/>
    <w:multiLevelType w:val="multilevel"/>
    <w:tmpl w:val="0EBA3C4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30660866"/>
    <w:multiLevelType w:val="hybridMultilevel"/>
    <w:tmpl w:val="58A4DF60"/>
    <w:lvl w:ilvl="0" w:tplc="C6D8F826">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192A10"/>
    <w:multiLevelType w:val="multilevel"/>
    <w:tmpl w:val="BBA8C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2631CC3"/>
    <w:multiLevelType w:val="multilevel"/>
    <w:tmpl w:val="2DC66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F797876"/>
    <w:multiLevelType w:val="hybridMultilevel"/>
    <w:tmpl w:val="02DE5A86"/>
    <w:lvl w:ilvl="0" w:tplc="9E2C812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91B014E"/>
    <w:multiLevelType w:val="multilevel"/>
    <w:tmpl w:val="5C824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16F0077"/>
    <w:multiLevelType w:val="hybridMultilevel"/>
    <w:tmpl w:val="FDBEF0F2"/>
    <w:lvl w:ilvl="0" w:tplc="EC24C562">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00478220">
    <w:abstractNumId w:val="0"/>
  </w:num>
  <w:num w:numId="2" w16cid:durableId="164630384">
    <w:abstractNumId w:val="6"/>
  </w:num>
  <w:num w:numId="3" w16cid:durableId="1446121529">
    <w:abstractNumId w:val="1"/>
  </w:num>
  <w:num w:numId="4" w16cid:durableId="120732991">
    <w:abstractNumId w:val="1"/>
  </w:num>
  <w:num w:numId="5" w16cid:durableId="1704474998">
    <w:abstractNumId w:val="1"/>
  </w:num>
  <w:num w:numId="6" w16cid:durableId="800344190">
    <w:abstractNumId w:val="1"/>
  </w:num>
  <w:num w:numId="7" w16cid:durableId="1451391464">
    <w:abstractNumId w:val="1"/>
  </w:num>
  <w:num w:numId="8" w16cid:durableId="464589432">
    <w:abstractNumId w:val="1"/>
  </w:num>
  <w:num w:numId="9" w16cid:durableId="689915747">
    <w:abstractNumId w:val="1"/>
  </w:num>
  <w:num w:numId="10" w16cid:durableId="1518428310">
    <w:abstractNumId w:val="1"/>
  </w:num>
  <w:num w:numId="11" w16cid:durableId="644892316">
    <w:abstractNumId w:val="1"/>
  </w:num>
  <w:num w:numId="12" w16cid:durableId="279726392">
    <w:abstractNumId w:val="1"/>
  </w:num>
  <w:num w:numId="13" w16cid:durableId="848449719">
    <w:abstractNumId w:val="4"/>
  </w:num>
  <w:num w:numId="14" w16cid:durableId="1013150932">
    <w:abstractNumId w:val="3"/>
  </w:num>
  <w:num w:numId="15" w16cid:durableId="472479454">
    <w:abstractNumId w:val="2"/>
  </w:num>
  <w:num w:numId="16" w16cid:durableId="1880387016">
    <w:abstractNumId w:val="5"/>
  </w:num>
  <w:num w:numId="17" w16cid:durableId="1894048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496"/>
    <w:rsid w:val="00030480"/>
    <w:rsid w:val="000336A5"/>
    <w:rsid w:val="00047734"/>
    <w:rsid w:val="0005682F"/>
    <w:rsid w:val="000572BF"/>
    <w:rsid w:val="00060470"/>
    <w:rsid w:val="000604C3"/>
    <w:rsid w:val="00074402"/>
    <w:rsid w:val="00082C85"/>
    <w:rsid w:val="000C40E1"/>
    <w:rsid w:val="000D6242"/>
    <w:rsid w:val="000F44A8"/>
    <w:rsid w:val="001123AE"/>
    <w:rsid w:val="0014759C"/>
    <w:rsid w:val="00153E23"/>
    <w:rsid w:val="0016649B"/>
    <w:rsid w:val="00170AD0"/>
    <w:rsid w:val="00173A6F"/>
    <w:rsid w:val="001A5333"/>
    <w:rsid w:val="001B1017"/>
    <w:rsid w:val="001B21EB"/>
    <w:rsid w:val="001B7B7F"/>
    <w:rsid w:val="001D7C03"/>
    <w:rsid w:val="001E4774"/>
    <w:rsid w:val="001F1706"/>
    <w:rsid w:val="002125BA"/>
    <w:rsid w:val="002153F5"/>
    <w:rsid w:val="00216851"/>
    <w:rsid w:val="00216C85"/>
    <w:rsid w:val="00220FD4"/>
    <w:rsid w:val="0023410F"/>
    <w:rsid w:val="0026393A"/>
    <w:rsid w:val="00263BE2"/>
    <w:rsid w:val="00265B9A"/>
    <w:rsid w:val="00270E32"/>
    <w:rsid w:val="00272207"/>
    <w:rsid w:val="00273EDD"/>
    <w:rsid w:val="002A5A3F"/>
    <w:rsid w:val="002B3D6F"/>
    <w:rsid w:val="002C0F9F"/>
    <w:rsid w:val="002C3965"/>
    <w:rsid w:val="002F3D29"/>
    <w:rsid w:val="002F7667"/>
    <w:rsid w:val="0030323D"/>
    <w:rsid w:val="003136B2"/>
    <w:rsid w:val="00321C4C"/>
    <w:rsid w:val="00337C41"/>
    <w:rsid w:val="00347B85"/>
    <w:rsid w:val="0037090B"/>
    <w:rsid w:val="0037161C"/>
    <w:rsid w:val="00392BBC"/>
    <w:rsid w:val="003A7FB9"/>
    <w:rsid w:val="003C35DE"/>
    <w:rsid w:val="003D213B"/>
    <w:rsid w:val="003D300D"/>
    <w:rsid w:val="003D58FA"/>
    <w:rsid w:val="003D6E58"/>
    <w:rsid w:val="003E4ECF"/>
    <w:rsid w:val="00413663"/>
    <w:rsid w:val="00414C9F"/>
    <w:rsid w:val="00417A59"/>
    <w:rsid w:val="00417BA4"/>
    <w:rsid w:val="00423F48"/>
    <w:rsid w:val="0042622D"/>
    <w:rsid w:val="00427969"/>
    <w:rsid w:val="00434E6B"/>
    <w:rsid w:val="00435E4E"/>
    <w:rsid w:val="00442BB6"/>
    <w:rsid w:val="004517E8"/>
    <w:rsid w:val="00477019"/>
    <w:rsid w:val="00484003"/>
    <w:rsid w:val="00484A5E"/>
    <w:rsid w:val="0048635B"/>
    <w:rsid w:val="00494EA8"/>
    <w:rsid w:val="004A2F84"/>
    <w:rsid w:val="004A736E"/>
    <w:rsid w:val="004D3044"/>
    <w:rsid w:val="0050002B"/>
    <w:rsid w:val="00500B80"/>
    <w:rsid w:val="0050296F"/>
    <w:rsid w:val="00515653"/>
    <w:rsid w:val="00521C30"/>
    <w:rsid w:val="005252A7"/>
    <w:rsid w:val="0053592B"/>
    <w:rsid w:val="00557B0E"/>
    <w:rsid w:val="005618EB"/>
    <w:rsid w:val="005745B4"/>
    <w:rsid w:val="005940EA"/>
    <w:rsid w:val="005A1D01"/>
    <w:rsid w:val="005C2A01"/>
    <w:rsid w:val="005D70BD"/>
    <w:rsid w:val="005D7C04"/>
    <w:rsid w:val="005F0C76"/>
    <w:rsid w:val="006024AF"/>
    <w:rsid w:val="00602FF5"/>
    <w:rsid w:val="00604C27"/>
    <w:rsid w:val="006061C7"/>
    <w:rsid w:val="00624695"/>
    <w:rsid w:val="00637267"/>
    <w:rsid w:val="00642DE9"/>
    <w:rsid w:val="00644E66"/>
    <w:rsid w:val="0064626D"/>
    <w:rsid w:val="00652451"/>
    <w:rsid w:val="006618F4"/>
    <w:rsid w:val="00686CE3"/>
    <w:rsid w:val="00690565"/>
    <w:rsid w:val="006925AA"/>
    <w:rsid w:val="006A5257"/>
    <w:rsid w:val="006A5BBC"/>
    <w:rsid w:val="006B728D"/>
    <w:rsid w:val="006D20C8"/>
    <w:rsid w:val="006D5064"/>
    <w:rsid w:val="006E2BF1"/>
    <w:rsid w:val="006E4531"/>
    <w:rsid w:val="006E67CE"/>
    <w:rsid w:val="006F2BFF"/>
    <w:rsid w:val="00700D01"/>
    <w:rsid w:val="00710AD8"/>
    <w:rsid w:val="007117A2"/>
    <w:rsid w:val="00712973"/>
    <w:rsid w:val="00713E67"/>
    <w:rsid w:val="0071503B"/>
    <w:rsid w:val="00725177"/>
    <w:rsid w:val="007457F6"/>
    <w:rsid w:val="00755604"/>
    <w:rsid w:val="007575E6"/>
    <w:rsid w:val="007655E9"/>
    <w:rsid w:val="0077174E"/>
    <w:rsid w:val="00781C6E"/>
    <w:rsid w:val="0078762C"/>
    <w:rsid w:val="007877C9"/>
    <w:rsid w:val="007A1B8D"/>
    <w:rsid w:val="007B0A97"/>
    <w:rsid w:val="007B2D05"/>
    <w:rsid w:val="007B7AC7"/>
    <w:rsid w:val="007D1B22"/>
    <w:rsid w:val="007E3E7C"/>
    <w:rsid w:val="007E46DF"/>
    <w:rsid w:val="00814A9E"/>
    <w:rsid w:val="008315DF"/>
    <w:rsid w:val="00837D33"/>
    <w:rsid w:val="0085076B"/>
    <w:rsid w:val="00855207"/>
    <w:rsid w:val="00856F78"/>
    <w:rsid w:val="0085751A"/>
    <w:rsid w:val="008607AB"/>
    <w:rsid w:val="00865E98"/>
    <w:rsid w:val="00871B25"/>
    <w:rsid w:val="008720E7"/>
    <w:rsid w:val="008D3FA0"/>
    <w:rsid w:val="008E1749"/>
    <w:rsid w:val="008E3943"/>
    <w:rsid w:val="008E4260"/>
    <w:rsid w:val="008F24E3"/>
    <w:rsid w:val="0090040D"/>
    <w:rsid w:val="00902377"/>
    <w:rsid w:val="00904226"/>
    <w:rsid w:val="0090755F"/>
    <w:rsid w:val="009154D1"/>
    <w:rsid w:val="0092443C"/>
    <w:rsid w:val="009361BB"/>
    <w:rsid w:val="009412CC"/>
    <w:rsid w:val="00952745"/>
    <w:rsid w:val="00976795"/>
    <w:rsid w:val="0099090B"/>
    <w:rsid w:val="00992FA1"/>
    <w:rsid w:val="009B1335"/>
    <w:rsid w:val="009B54D6"/>
    <w:rsid w:val="009C0C2E"/>
    <w:rsid w:val="009C542E"/>
    <w:rsid w:val="009C5E98"/>
    <w:rsid w:val="009D052C"/>
    <w:rsid w:val="009D1D1E"/>
    <w:rsid w:val="009E6E5C"/>
    <w:rsid w:val="009F7D9B"/>
    <w:rsid w:val="00A00035"/>
    <w:rsid w:val="00A0239D"/>
    <w:rsid w:val="00A035FD"/>
    <w:rsid w:val="00A10F06"/>
    <w:rsid w:val="00A13D47"/>
    <w:rsid w:val="00A23E8A"/>
    <w:rsid w:val="00A441E2"/>
    <w:rsid w:val="00A45898"/>
    <w:rsid w:val="00A4660C"/>
    <w:rsid w:val="00A47510"/>
    <w:rsid w:val="00A526F7"/>
    <w:rsid w:val="00A53817"/>
    <w:rsid w:val="00A53915"/>
    <w:rsid w:val="00A62847"/>
    <w:rsid w:val="00A67167"/>
    <w:rsid w:val="00A67576"/>
    <w:rsid w:val="00A763AB"/>
    <w:rsid w:val="00A82243"/>
    <w:rsid w:val="00A90D6F"/>
    <w:rsid w:val="00A90DE0"/>
    <w:rsid w:val="00A9670B"/>
    <w:rsid w:val="00AA1729"/>
    <w:rsid w:val="00AA4A14"/>
    <w:rsid w:val="00AC609F"/>
    <w:rsid w:val="00AC709E"/>
    <w:rsid w:val="00AD23A0"/>
    <w:rsid w:val="00AD5FC2"/>
    <w:rsid w:val="00AF2ED3"/>
    <w:rsid w:val="00B018F3"/>
    <w:rsid w:val="00B022FE"/>
    <w:rsid w:val="00B044A1"/>
    <w:rsid w:val="00B10DB1"/>
    <w:rsid w:val="00B16BE7"/>
    <w:rsid w:val="00B21EEA"/>
    <w:rsid w:val="00B52B6F"/>
    <w:rsid w:val="00B5331B"/>
    <w:rsid w:val="00B6495A"/>
    <w:rsid w:val="00B64A53"/>
    <w:rsid w:val="00B70834"/>
    <w:rsid w:val="00B76BEA"/>
    <w:rsid w:val="00B803F7"/>
    <w:rsid w:val="00B80843"/>
    <w:rsid w:val="00B87645"/>
    <w:rsid w:val="00B87E75"/>
    <w:rsid w:val="00B91DA8"/>
    <w:rsid w:val="00B96802"/>
    <w:rsid w:val="00BB0815"/>
    <w:rsid w:val="00BB3423"/>
    <w:rsid w:val="00BC20D6"/>
    <w:rsid w:val="00BC27AC"/>
    <w:rsid w:val="00BC39AA"/>
    <w:rsid w:val="00BC595B"/>
    <w:rsid w:val="00BD7547"/>
    <w:rsid w:val="00BE58B7"/>
    <w:rsid w:val="00BE6203"/>
    <w:rsid w:val="00BF2CFA"/>
    <w:rsid w:val="00BF37CE"/>
    <w:rsid w:val="00C06D27"/>
    <w:rsid w:val="00C20A46"/>
    <w:rsid w:val="00C21EFC"/>
    <w:rsid w:val="00C26129"/>
    <w:rsid w:val="00C50909"/>
    <w:rsid w:val="00C51180"/>
    <w:rsid w:val="00C53C3D"/>
    <w:rsid w:val="00C57585"/>
    <w:rsid w:val="00C57EE6"/>
    <w:rsid w:val="00C72D79"/>
    <w:rsid w:val="00C83940"/>
    <w:rsid w:val="00C94424"/>
    <w:rsid w:val="00CB3231"/>
    <w:rsid w:val="00CB76D1"/>
    <w:rsid w:val="00CD33A8"/>
    <w:rsid w:val="00CF030A"/>
    <w:rsid w:val="00CF3FCF"/>
    <w:rsid w:val="00CF7B3E"/>
    <w:rsid w:val="00D0309E"/>
    <w:rsid w:val="00D270A4"/>
    <w:rsid w:val="00D31616"/>
    <w:rsid w:val="00D34A3E"/>
    <w:rsid w:val="00D4191A"/>
    <w:rsid w:val="00D5048B"/>
    <w:rsid w:val="00D57DCE"/>
    <w:rsid w:val="00D64149"/>
    <w:rsid w:val="00D93E74"/>
    <w:rsid w:val="00DA0726"/>
    <w:rsid w:val="00DA46BE"/>
    <w:rsid w:val="00DA7065"/>
    <w:rsid w:val="00DD06F9"/>
    <w:rsid w:val="00E016D0"/>
    <w:rsid w:val="00E0232A"/>
    <w:rsid w:val="00E07992"/>
    <w:rsid w:val="00E13376"/>
    <w:rsid w:val="00E13F02"/>
    <w:rsid w:val="00E148FB"/>
    <w:rsid w:val="00E2342A"/>
    <w:rsid w:val="00E24E8A"/>
    <w:rsid w:val="00E3688D"/>
    <w:rsid w:val="00E4300F"/>
    <w:rsid w:val="00E569FD"/>
    <w:rsid w:val="00E620E7"/>
    <w:rsid w:val="00E7760D"/>
    <w:rsid w:val="00E814F3"/>
    <w:rsid w:val="00E91A01"/>
    <w:rsid w:val="00E94458"/>
    <w:rsid w:val="00EA0882"/>
    <w:rsid w:val="00EA1A15"/>
    <w:rsid w:val="00EA583B"/>
    <w:rsid w:val="00EB3961"/>
    <w:rsid w:val="00EC3BBB"/>
    <w:rsid w:val="00EE3E64"/>
    <w:rsid w:val="00EE45AA"/>
    <w:rsid w:val="00EF5CD6"/>
    <w:rsid w:val="00F02D9A"/>
    <w:rsid w:val="00F5619D"/>
    <w:rsid w:val="00F61DB6"/>
    <w:rsid w:val="00F66E1B"/>
    <w:rsid w:val="00F81D1D"/>
    <w:rsid w:val="00FC0C67"/>
    <w:rsid w:val="00FC2C4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180"/>
  </w:style>
  <w:style w:type="paragraph" w:styleId="Heading1">
    <w:name w:val="heading 1"/>
    <w:basedOn w:val="Normal"/>
    <w:next w:val="Normal"/>
    <w:link w:val="Heading1Char"/>
    <w:uiPriority w:val="9"/>
    <w:qFormat/>
    <w:rsid w:val="00C51180"/>
    <w:pPr>
      <w:keepNext/>
      <w:keepLines/>
      <w:spacing w:before="400" w:after="40" w:line="240" w:lineRule="auto"/>
      <w:outlineLvl w:val="0"/>
    </w:pPr>
    <w:rPr>
      <w:rFonts w:asciiTheme="majorHAnsi" w:eastAsiaTheme="majorEastAsia" w:hAnsiTheme="majorHAnsi" w:cstheme="majorBidi"/>
      <w:caps/>
      <w:sz w:val="36"/>
      <w:szCs w:val="36"/>
    </w:rPr>
  </w:style>
  <w:style w:type="paragraph" w:styleId="Heading2">
    <w:name w:val="heading 2"/>
    <w:basedOn w:val="Normal"/>
    <w:next w:val="Normal"/>
    <w:link w:val="Heading2Char"/>
    <w:uiPriority w:val="9"/>
    <w:unhideWhenUsed/>
    <w:qFormat/>
    <w:rsid w:val="00C51180"/>
    <w:pPr>
      <w:keepNext/>
      <w:keepLines/>
      <w:spacing w:before="120" w:after="0" w:line="240" w:lineRule="auto"/>
      <w:outlineLvl w:val="1"/>
    </w:pPr>
    <w:rPr>
      <w:rFonts w:asciiTheme="majorHAnsi" w:eastAsiaTheme="majorEastAsia" w:hAnsiTheme="majorHAnsi" w:cstheme="majorBidi"/>
      <w:caps/>
      <w:sz w:val="28"/>
      <w:szCs w:val="28"/>
    </w:rPr>
  </w:style>
  <w:style w:type="paragraph" w:styleId="Heading3">
    <w:name w:val="heading 3"/>
    <w:basedOn w:val="Normal"/>
    <w:next w:val="Normal"/>
    <w:link w:val="Heading3Char"/>
    <w:uiPriority w:val="9"/>
    <w:unhideWhenUsed/>
    <w:qFormat/>
    <w:rsid w:val="00C51180"/>
    <w:pPr>
      <w:keepNext/>
      <w:keepLines/>
      <w:spacing w:before="120" w:after="0" w:line="240" w:lineRule="auto"/>
      <w:outlineLvl w:val="2"/>
    </w:pPr>
    <w:rPr>
      <w:rFonts w:asciiTheme="majorHAnsi" w:eastAsiaTheme="majorEastAsia" w:hAnsiTheme="majorHAnsi" w:cstheme="majorBidi"/>
      <w:smallCaps/>
      <w:sz w:val="28"/>
      <w:szCs w:val="28"/>
    </w:rPr>
  </w:style>
  <w:style w:type="paragraph" w:styleId="Heading4">
    <w:name w:val="heading 4"/>
    <w:basedOn w:val="Normal"/>
    <w:next w:val="Normal"/>
    <w:link w:val="Heading4Char"/>
    <w:uiPriority w:val="9"/>
    <w:semiHidden/>
    <w:unhideWhenUsed/>
    <w:qFormat/>
    <w:rsid w:val="00C51180"/>
    <w:pPr>
      <w:keepNext/>
      <w:keepLines/>
      <w:spacing w:before="120" w:after="0"/>
      <w:outlineLvl w:val="3"/>
    </w:pPr>
    <w:rPr>
      <w:rFonts w:asciiTheme="majorHAnsi" w:eastAsiaTheme="majorEastAsia" w:hAnsiTheme="majorHAnsi" w:cstheme="majorBidi"/>
      <w:caps/>
    </w:rPr>
  </w:style>
  <w:style w:type="paragraph" w:styleId="Heading5">
    <w:name w:val="heading 5"/>
    <w:basedOn w:val="Normal"/>
    <w:next w:val="Normal"/>
    <w:link w:val="Heading5Char"/>
    <w:uiPriority w:val="9"/>
    <w:semiHidden/>
    <w:unhideWhenUsed/>
    <w:qFormat/>
    <w:rsid w:val="00C51180"/>
    <w:pPr>
      <w:keepNext/>
      <w:keepLines/>
      <w:spacing w:before="120" w:after="0"/>
      <w:outlineLvl w:val="4"/>
    </w:pPr>
    <w:rPr>
      <w:rFonts w:asciiTheme="majorHAnsi" w:eastAsiaTheme="majorEastAsia" w:hAnsiTheme="majorHAnsi" w:cstheme="majorBidi"/>
      <w:i/>
      <w:iCs/>
      <w:caps/>
    </w:rPr>
  </w:style>
  <w:style w:type="paragraph" w:styleId="Heading6">
    <w:name w:val="heading 6"/>
    <w:basedOn w:val="Normal"/>
    <w:next w:val="Normal"/>
    <w:link w:val="Heading6Char"/>
    <w:uiPriority w:val="9"/>
    <w:semiHidden/>
    <w:unhideWhenUsed/>
    <w:qFormat/>
    <w:rsid w:val="00C51180"/>
    <w:pPr>
      <w:keepNext/>
      <w:keepLines/>
      <w:spacing w:before="120" w:after="0"/>
      <w:outlineLvl w:val="5"/>
    </w:pPr>
    <w:rPr>
      <w:rFonts w:asciiTheme="majorHAnsi" w:eastAsiaTheme="majorEastAsia" w:hAnsiTheme="majorHAnsi" w:cstheme="majorBidi"/>
      <w:b/>
      <w:bCs/>
      <w:caps/>
      <w:color w:val="262626" w:themeColor="text1" w:themeTint="D9"/>
      <w:sz w:val="20"/>
      <w:szCs w:val="20"/>
    </w:rPr>
  </w:style>
  <w:style w:type="paragraph" w:styleId="Heading7">
    <w:name w:val="heading 7"/>
    <w:basedOn w:val="Normal"/>
    <w:next w:val="Normal"/>
    <w:link w:val="Heading7Char"/>
    <w:uiPriority w:val="9"/>
    <w:semiHidden/>
    <w:unhideWhenUsed/>
    <w:qFormat/>
    <w:rsid w:val="00C51180"/>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C51180"/>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C51180"/>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1180"/>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C51180"/>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rsid w:val="00C51180"/>
    <w:rPr>
      <w:rFonts w:asciiTheme="majorHAnsi" w:eastAsiaTheme="majorEastAsia" w:hAnsiTheme="majorHAnsi" w:cstheme="majorBidi"/>
      <w:smallCaps/>
      <w:sz w:val="28"/>
      <w:szCs w:val="28"/>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styleId="NoSpacing">
    <w:name w:val="No Spacing"/>
    <w:uiPriority w:val="1"/>
    <w:qFormat/>
    <w:rsid w:val="00C51180"/>
    <w:pPr>
      <w:spacing w:after="0" w:line="240" w:lineRule="auto"/>
    </w:pPr>
  </w:style>
  <w:style w:type="character" w:customStyle="1" w:styleId="Heading4Char">
    <w:name w:val="Heading 4 Char"/>
    <w:basedOn w:val="DefaultParagraphFont"/>
    <w:link w:val="Heading4"/>
    <w:uiPriority w:val="9"/>
    <w:semiHidden/>
    <w:rsid w:val="00C51180"/>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C51180"/>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C51180"/>
    <w:rPr>
      <w:rFonts w:asciiTheme="majorHAnsi" w:eastAsiaTheme="majorEastAsia" w:hAnsiTheme="majorHAnsi" w:cstheme="majorBidi"/>
      <w:b/>
      <w:bCs/>
      <w:caps/>
      <w:color w:val="262626" w:themeColor="text1" w:themeTint="D9"/>
      <w:sz w:val="20"/>
      <w:szCs w:val="20"/>
    </w:rPr>
  </w:style>
  <w:style w:type="character" w:customStyle="1" w:styleId="Heading7Char">
    <w:name w:val="Heading 7 Char"/>
    <w:basedOn w:val="DefaultParagraphFont"/>
    <w:link w:val="Heading7"/>
    <w:uiPriority w:val="9"/>
    <w:semiHidden/>
    <w:rsid w:val="00C51180"/>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C51180"/>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C51180"/>
    <w:rPr>
      <w:rFonts w:asciiTheme="majorHAnsi" w:eastAsiaTheme="majorEastAsia" w:hAnsiTheme="majorHAnsi" w:cstheme="majorBidi"/>
      <w:b/>
      <w:bCs/>
      <w:i/>
      <w:iCs/>
      <w:caps/>
      <w:color w:val="7F7F7F" w:themeColor="text1" w:themeTint="80"/>
      <w:sz w:val="20"/>
      <w:szCs w:val="20"/>
    </w:rPr>
  </w:style>
  <w:style w:type="paragraph" w:styleId="Caption">
    <w:name w:val="caption"/>
    <w:basedOn w:val="Normal"/>
    <w:next w:val="Normal"/>
    <w:uiPriority w:val="35"/>
    <w:semiHidden/>
    <w:unhideWhenUsed/>
    <w:qFormat/>
    <w:rsid w:val="00C51180"/>
    <w:pPr>
      <w:spacing w:line="240" w:lineRule="auto"/>
    </w:pPr>
    <w:rPr>
      <w:b/>
      <w:bCs/>
      <w:smallCaps/>
      <w:color w:val="595959" w:themeColor="text1" w:themeTint="A6"/>
    </w:rPr>
  </w:style>
  <w:style w:type="paragraph" w:styleId="Title">
    <w:name w:val="Title"/>
    <w:basedOn w:val="Normal"/>
    <w:next w:val="Normal"/>
    <w:link w:val="TitleChar"/>
    <w:uiPriority w:val="10"/>
    <w:qFormat/>
    <w:rsid w:val="00C51180"/>
    <w:pPr>
      <w:spacing w:after="0" w:line="240" w:lineRule="auto"/>
      <w:contextualSpacing/>
    </w:pPr>
    <w:rPr>
      <w:rFonts w:asciiTheme="majorHAnsi" w:eastAsiaTheme="majorEastAsia" w:hAnsiTheme="majorHAnsi" w:cstheme="majorBidi"/>
      <w:caps/>
      <w:color w:val="404040" w:themeColor="text1" w:themeTint="BF"/>
      <w:spacing w:val="-10"/>
      <w:sz w:val="72"/>
      <w:szCs w:val="72"/>
    </w:rPr>
  </w:style>
  <w:style w:type="character" w:customStyle="1" w:styleId="TitleChar">
    <w:name w:val="Title Char"/>
    <w:basedOn w:val="DefaultParagraphFont"/>
    <w:link w:val="Title"/>
    <w:uiPriority w:val="10"/>
    <w:rsid w:val="00C51180"/>
    <w:rPr>
      <w:rFonts w:asciiTheme="majorHAnsi" w:eastAsiaTheme="majorEastAsia" w:hAnsiTheme="majorHAnsi" w:cstheme="majorBidi"/>
      <w:caps/>
      <w:color w:val="404040" w:themeColor="text1" w:themeTint="BF"/>
      <w:spacing w:val="-10"/>
      <w:sz w:val="72"/>
      <w:szCs w:val="72"/>
    </w:rPr>
  </w:style>
  <w:style w:type="paragraph" w:styleId="Subtitle">
    <w:name w:val="Subtitle"/>
    <w:basedOn w:val="Normal"/>
    <w:next w:val="Normal"/>
    <w:link w:val="SubtitleChar"/>
    <w:uiPriority w:val="11"/>
    <w:qFormat/>
    <w:rsid w:val="00C51180"/>
    <w:pPr>
      <w:numPr>
        <w:ilvl w:val="1"/>
      </w:numPr>
    </w:pPr>
    <w:rPr>
      <w:rFonts w:asciiTheme="majorHAnsi" w:eastAsiaTheme="majorEastAsia" w:hAnsiTheme="majorHAnsi" w:cstheme="majorBidi"/>
      <w:smallCaps/>
      <w:color w:val="595959" w:themeColor="text1" w:themeTint="A6"/>
      <w:sz w:val="28"/>
      <w:szCs w:val="28"/>
    </w:rPr>
  </w:style>
  <w:style w:type="character" w:customStyle="1" w:styleId="SubtitleChar">
    <w:name w:val="Subtitle Char"/>
    <w:basedOn w:val="DefaultParagraphFont"/>
    <w:link w:val="Subtitle"/>
    <w:uiPriority w:val="11"/>
    <w:rsid w:val="00C51180"/>
    <w:rPr>
      <w:rFonts w:asciiTheme="majorHAnsi" w:eastAsiaTheme="majorEastAsia" w:hAnsiTheme="majorHAnsi" w:cstheme="majorBidi"/>
      <w:smallCaps/>
      <w:color w:val="595959" w:themeColor="text1" w:themeTint="A6"/>
      <w:sz w:val="28"/>
      <w:szCs w:val="28"/>
    </w:rPr>
  </w:style>
  <w:style w:type="character" w:styleId="Strong">
    <w:name w:val="Strong"/>
    <w:basedOn w:val="DefaultParagraphFont"/>
    <w:uiPriority w:val="22"/>
    <w:qFormat/>
    <w:rsid w:val="00C51180"/>
    <w:rPr>
      <w:b/>
      <w:bCs/>
    </w:rPr>
  </w:style>
  <w:style w:type="character" w:styleId="Emphasis">
    <w:name w:val="Emphasis"/>
    <w:basedOn w:val="DefaultParagraphFont"/>
    <w:uiPriority w:val="20"/>
    <w:qFormat/>
    <w:rsid w:val="00C51180"/>
    <w:rPr>
      <w:i/>
      <w:iCs/>
    </w:rPr>
  </w:style>
  <w:style w:type="paragraph" w:styleId="Quote">
    <w:name w:val="Quote"/>
    <w:basedOn w:val="Normal"/>
    <w:next w:val="Normal"/>
    <w:link w:val="QuoteChar"/>
    <w:uiPriority w:val="29"/>
    <w:qFormat/>
    <w:rsid w:val="00C51180"/>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C51180"/>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C51180"/>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C51180"/>
    <w:rPr>
      <w:color w:val="404040" w:themeColor="text1" w:themeTint="BF"/>
      <w:sz w:val="32"/>
      <w:szCs w:val="32"/>
    </w:rPr>
  </w:style>
  <w:style w:type="character" w:styleId="SubtleEmphasis">
    <w:name w:val="Subtle Emphasis"/>
    <w:basedOn w:val="DefaultParagraphFont"/>
    <w:uiPriority w:val="19"/>
    <w:qFormat/>
    <w:rsid w:val="00C51180"/>
    <w:rPr>
      <w:i/>
      <w:iCs/>
      <w:color w:val="595959" w:themeColor="text1" w:themeTint="A6"/>
    </w:rPr>
  </w:style>
  <w:style w:type="character" w:styleId="IntenseEmphasis">
    <w:name w:val="Intense Emphasis"/>
    <w:basedOn w:val="DefaultParagraphFont"/>
    <w:uiPriority w:val="21"/>
    <w:qFormat/>
    <w:rsid w:val="00C51180"/>
    <w:rPr>
      <w:b/>
      <w:bCs/>
      <w:i/>
      <w:iCs/>
    </w:rPr>
  </w:style>
  <w:style w:type="character" w:styleId="SubtleReference">
    <w:name w:val="Subtle Reference"/>
    <w:basedOn w:val="DefaultParagraphFont"/>
    <w:uiPriority w:val="31"/>
    <w:qFormat/>
    <w:rsid w:val="00C51180"/>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C51180"/>
    <w:rPr>
      <w:b/>
      <w:bCs/>
      <w:caps w:val="0"/>
      <w:smallCaps/>
      <w:color w:val="auto"/>
      <w:spacing w:val="3"/>
      <w:u w:val="single"/>
    </w:rPr>
  </w:style>
  <w:style w:type="character" w:styleId="BookTitle">
    <w:name w:val="Book Title"/>
    <w:basedOn w:val="DefaultParagraphFont"/>
    <w:uiPriority w:val="33"/>
    <w:qFormat/>
    <w:rsid w:val="00C51180"/>
    <w:rPr>
      <w:b/>
      <w:bCs/>
      <w:smallCaps/>
      <w:spacing w:val="7"/>
    </w:rPr>
  </w:style>
  <w:style w:type="paragraph" w:styleId="TOCHeading">
    <w:name w:val="TOC Heading"/>
    <w:basedOn w:val="Heading1"/>
    <w:next w:val="Normal"/>
    <w:uiPriority w:val="39"/>
    <w:semiHidden/>
    <w:unhideWhenUsed/>
    <w:qFormat/>
    <w:rsid w:val="00C51180"/>
    <w:pPr>
      <w:outlineLvl w:val="9"/>
    </w:pPr>
  </w:style>
  <w:style w:type="character" w:styleId="Hyperlink">
    <w:name w:val="Hyperlink"/>
    <w:basedOn w:val="DefaultParagraphFont"/>
    <w:uiPriority w:val="99"/>
    <w:unhideWhenUsed/>
    <w:rsid w:val="00484A5E"/>
    <w:rPr>
      <w:color w:val="0563C1" w:themeColor="hyperlink"/>
      <w:u w:val="single"/>
    </w:rPr>
  </w:style>
  <w:style w:type="character" w:styleId="UnresolvedMention">
    <w:name w:val="Unresolved Mention"/>
    <w:basedOn w:val="DefaultParagraphFont"/>
    <w:uiPriority w:val="99"/>
    <w:semiHidden/>
    <w:unhideWhenUsed/>
    <w:rsid w:val="00484A5E"/>
    <w:rPr>
      <w:color w:val="605E5C"/>
      <w:shd w:val="clear" w:color="auto" w:fill="E1DFDD"/>
    </w:rPr>
  </w:style>
  <w:style w:type="paragraph" w:styleId="NormalWeb">
    <w:name w:val="Normal (Web)"/>
    <w:basedOn w:val="Normal"/>
    <w:uiPriority w:val="99"/>
    <w:semiHidden/>
    <w:unhideWhenUsed/>
    <w:rsid w:val="00865E98"/>
    <w:rPr>
      <w:rFonts w:ascii="Times New Roman" w:hAnsi="Times New Roman" w:cs="Times New Roman"/>
      <w:sz w:val="24"/>
      <w:szCs w:val="24"/>
    </w:rPr>
  </w:style>
  <w:style w:type="paragraph" w:styleId="ListParagraph">
    <w:name w:val="List Paragraph"/>
    <w:basedOn w:val="Normal"/>
    <w:uiPriority w:val="34"/>
    <w:qFormat/>
    <w:rsid w:val="00604C27"/>
    <w:pPr>
      <w:ind w:left="720"/>
      <w:contextualSpacing/>
    </w:pPr>
  </w:style>
  <w:style w:type="character" w:styleId="FollowedHyperlink">
    <w:name w:val="FollowedHyperlink"/>
    <w:basedOn w:val="DefaultParagraphFont"/>
    <w:uiPriority w:val="99"/>
    <w:semiHidden/>
    <w:unhideWhenUsed/>
    <w:rsid w:val="002153F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ov.uk/guidance/equality-act-2010-guidance" TargetMode="External"/><Relationship Id="rId18" Type="http://schemas.openxmlformats.org/officeDocument/2006/relationships/hyperlink" Target="https://www.hacw.nhs.uk/quality-and-safety/caldicott-principles-943/"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www.england.nhs.uk/long-read/records-management-policy/" TargetMode="External"/><Relationship Id="rId17" Type="http://schemas.openxmlformats.org/officeDocument/2006/relationships/hyperlink" Target="https://doi.org/10.1201/9781910227268" TargetMode="External"/><Relationship Id="rId2" Type="http://schemas.openxmlformats.org/officeDocument/2006/relationships/styles" Target="styles.xml"/><Relationship Id="rId16" Type="http://schemas.openxmlformats.org/officeDocument/2006/relationships/hyperlink" Target="https://www.england.nhs.uk/improvement-hub/wp-content/uploads/sites/44/2017/11/SBAR-Implementation-and-Training-Guide.pdf"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unsellingtutor.com/active-listening-in-counselling-egan-soler-model/" TargetMode="External"/><Relationship Id="rId5" Type="http://schemas.openxmlformats.org/officeDocument/2006/relationships/footnotes" Target="footnotes.xml"/><Relationship Id="rId15" Type="http://schemas.openxmlformats.org/officeDocument/2006/relationships/hyperlink" Target="https://www.cnwl.nhs.uk/about/equality-diversity-and-inclusion/equality-act-2010" TargetMode="External"/><Relationship Id="rId10" Type="http://schemas.openxmlformats.org/officeDocument/2006/relationships/hyperlink" Target="https://www.cqc.org.uk/"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ahrq.gov/teamstepps-program/curriculum/communication/tools/sbar.html" TargetMode="External"/><Relationship Id="rId14" Type="http://schemas.openxmlformats.org/officeDocument/2006/relationships/hyperlink" Target="https://www.legislation.gov.uk/ukpga/2018/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2075</Words>
  <Characters>11833</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Alket Lata</cp:lastModifiedBy>
  <cp:revision>2</cp:revision>
  <dcterms:created xsi:type="dcterms:W3CDTF">2026-04-19T14:40:00Z</dcterms:created>
  <dcterms:modified xsi:type="dcterms:W3CDTF">2026-04-19T14:40:00Z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b17987c2-3ac1-4649-b8fb-96b18247c936</vt:lpwstr>
  </property>
</Properties>
</file>