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08D80" w14:textId="77777777" w:rsidR="001C3DC2" w:rsidRDefault="001C3DC2" w:rsidP="001C3DC2">
      <w:pPr>
        <w:pStyle w:val="NoSpacing"/>
        <w:rPr>
          <w:rFonts w:ascii="Arial" w:hAnsi="Arial" w:cs="Arial"/>
          <w:b/>
          <w:bCs/>
          <w:sz w:val="20"/>
        </w:rPr>
      </w:pPr>
      <w:r w:rsidRPr="00E705B0">
        <w:rPr>
          <w:rFonts w:ascii="Arial" w:hAnsi="Arial" w:cs="Arial"/>
          <w:b/>
          <w:bCs/>
          <w:noProof/>
          <w:sz w:val="20"/>
          <w:lang w:bidi="ar-SA"/>
        </w:rPr>
        <w:drawing>
          <wp:inline distT="0" distB="0" distL="0" distR="0" wp14:anchorId="14C4D9B8" wp14:editId="5EE12881">
            <wp:extent cx="6457950" cy="1905000"/>
            <wp:effectExtent l="0" t="0" r="0" b="0"/>
            <wp:docPr id="10"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459970" cy="1905596"/>
                    </a:xfrm>
                    <a:prstGeom prst="rect">
                      <a:avLst/>
                    </a:prstGeom>
                    <a:ln>
                      <a:noFill/>
                    </a:ln>
                    <a:effectLst>
                      <a:softEdge rad="112500"/>
                    </a:effectLst>
                  </pic:spPr>
                </pic:pic>
              </a:graphicData>
            </a:graphic>
          </wp:inline>
        </w:drawing>
      </w:r>
    </w:p>
    <w:p w14:paraId="19B117E8" w14:textId="77777777" w:rsidR="001C3DC2" w:rsidRDefault="001C3DC2" w:rsidP="001C3DC2">
      <w:pPr>
        <w:rPr>
          <w:rFonts w:ascii="Arial" w:hAnsi="Arial" w:cs="Arial"/>
          <w:b/>
          <w:bCs/>
          <w:sz w:val="28"/>
          <w:szCs w:val="28"/>
        </w:rPr>
      </w:pPr>
    </w:p>
    <w:p w14:paraId="39EEDFCC" w14:textId="77777777" w:rsidR="001C3DC2" w:rsidRDefault="001C3DC2" w:rsidP="001C3DC2">
      <w:pPr>
        <w:rPr>
          <w:rFonts w:ascii="Arial" w:hAnsi="Arial" w:cs="Arial"/>
          <w:b/>
          <w:bCs/>
          <w:sz w:val="28"/>
          <w:szCs w:val="28"/>
        </w:rPr>
      </w:pPr>
    </w:p>
    <w:tbl>
      <w:tblPr>
        <w:tblStyle w:val="TableGrid"/>
        <w:tblW w:w="10984" w:type="dxa"/>
        <w:tblLook w:val="04A0" w:firstRow="1" w:lastRow="0" w:firstColumn="1" w:lastColumn="0" w:noHBand="0" w:noVBand="1"/>
      </w:tblPr>
      <w:tblGrid>
        <w:gridCol w:w="5492"/>
        <w:gridCol w:w="5492"/>
      </w:tblGrid>
      <w:tr w:rsidR="001C3DC2" w:rsidRPr="00E705B0" w14:paraId="18436CAC" w14:textId="77777777" w:rsidTr="008A1731">
        <w:trPr>
          <w:trHeight w:val="866"/>
        </w:trPr>
        <w:tc>
          <w:tcPr>
            <w:tcW w:w="5492" w:type="dxa"/>
          </w:tcPr>
          <w:p w14:paraId="1C0C57A6" w14:textId="77777777" w:rsidR="001C3DC2" w:rsidRPr="00E705B0" w:rsidRDefault="001C3DC2" w:rsidP="008A1731">
            <w:pPr>
              <w:rPr>
                <w:rFonts w:cs="Arial"/>
                <w:sz w:val="28"/>
                <w:szCs w:val="28"/>
              </w:rPr>
            </w:pPr>
            <w:r w:rsidRPr="00E705B0">
              <w:rPr>
                <w:rFonts w:cs="Arial"/>
                <w:b/>
                <w:bCs/>
                <w:sz w:val="28"/>
                <w:szCs w:val="28"/>
              </w:rPr>
              <w:t xml:space="preserve">STUDENT NAME </w:t>
            </w:r>
            <w:r w:rsidRPr="00E705B0">
              <w:rPr>
                <w:rFonts w:cs="Arial"/>
                <w:sz w:val="28"/>
                <w:szCs w:val="28"/>
              </w:rPr>
              <w:t>(Student Id)</w:t>
            </w:r>
          </w:p>
        </w:tc>
        <w:tc>
          <w:tcPr>
            <w:tcW w:w="5492" w:type="dxa"/>
          </w:tcPr>
          <w:p w14:paraId="208B3A2C" w14:textId="77777777" w:rsidR="001C3DC2" w:rsidRPr="00E705B0" w:rsidRDefault="001C3DC2" w:rsidP="008A1731">
            <w:pPr>
              <w:rPr>
                <w:rFonts w:cs="Arial"/>
                <w:sz w:val="28"/>
                <w:szCs w:val="28"/>
              </w:rPr>
            </w:pPr>
            <w:r w:rsidRPr="00E705B0">
              <w:rPr>
                <w:rFonts w:cs="Arial"/>
                <w:sz w:val="28"/>
                <w:szCs w:val="28"/>
              </w:rPr>
              <w:t xml:space="preserve"> </w:t>
            </w:r>
            <w:r w:rsidRPr="00E705B0">
              <w:rPr>
                <w:rFonts w:cs="Arial"/>
                <w:b/>
                <w:bCs/>
                <w:sz w:val="28"/>
                <w:szCs w:val="28"/>
              </w:rPr>
              <w:t>Simranpreet Kaur</w:t>
            </w:r>
            <w:r w:rsidRPr="00E705B0">
              <w:rPr>
                <w:rFonts w:cs="Arial"/>
                <w:sz w:val="28"/>
                <w:szCs w:val="28"/>
              </w:rPr>
              <w:t xml:space="preserve"> (2226227)</w:t>
            </w:r>
          </w:p>
        </w:tc>
      </w:tr>
      <w:tr w:rsidR="001C3DC2" w:rsidRPr="00E705B0" w14:paraId="1E47D812" w14:textId="77777777" w:rsidTr="008A1731">
        <w:trPr>
          <w:trHeight w:val="907"/>
        </w:trPr>
        <w:tc>
          <w:tcPr>
            <w:tcW w:w="5492" w:type="dxa"/>
          </w:tcPr>
          <w:p w14:paraId="6DACCF49" w14:textId="77777777" w:rsidR="001C3DC2" w:rsidRPr="00E705B0" w:rsidRDefault="001C3DC2" w:rsidP="008A1731">
            <w:pPr>
              <w:rPr>
                <w:rFonts w:cs="Arial"/>
                <w:b/>
                <w:bCs/>
                <w:sz w:val="28"/>
                <w:szCs w:val="28"/>
              </w:rPr>
            </w:pPr>
            <w:r w:rsidRPr="00E705B0">
              <w:rPr>
                <w:rFonts w:cs="Arial"/>
                <w:b/>
                <w:bCs/>
                <w:sz w:val="28"/>
                <w:szCs w:val="28"/>
              </w:rPr>
              <w:t>Lecturer NAME</w:t>
            </w:r>
          </w:p>
        </w:tc>
        <w:tc>
          <w:tcPr>
            <w:tcW w:w="5492" w:type="dxa"/>
          </w:tcPr>
          <w:p w14:paraId="19990454" w14:textId="77777777" w:rsidR="001C3DC2" w:rsidRPr="00E705B0" w:rsidRDefault="001C3DC2" w:rsidP="008A1731">
            <w:pPr>
              <w:rPr>
                <w:rFonts w:cs="Arial"/>
                <w:b/>
                <w:bCs/>
                <w:sz w:val="28"/>
                <w:szCs w:val="28"/>
              </w:rPr>
            </w:pPr>
            <w:r w:rsidRPr="00E705B0">
              <w:rPr>
                <w:rFonts w:cs="Arial"/>
                <w:sz w:val="28"/>
                <w:szCs w:val="28"/>
              </w:rPr>
              <w:t xml:space="preserve"> </w:t>
            </w:r>
            <w:r w:rsidRPr="00E705B0">
              <w:rPr>
                <w:rFonts w:cs="Arial"/>
                <w:b/>
                <w:bCs/>
                <w:sz w:val="28"/>
                <w:szCs w:val="28"/>
              </w:rPr>
              <w:t>Dr. Gladius Kulothungan</w:t>
            </w:r>
          </w:p>
        </w:tc>
      </w:tr>
      <w:tr w:rsidR="001C3DC2" w:rsidRPr="00E705B0" w14:paraId="7619681F" w14:textId="77777777" w:rsidTr="008A1731">
        <w:trPr>
          <w:trHeight w:val="866"/>
        </w:trPr>
        <w:tc>
          <w:tcPr>
            <w:tcW w:w="5492" w:type="dxa"/>
          </w:tcPr>
          <w:p w14:paraId="4538DDF1" w14:textId="77777777" w:rsidR="001C3DC2" w:rsidRPr="00E705B0" w:rsidRDefault="001C3DC2" w:rsidP="008A1731">
            <w:pPr>
              <w:rPr>
                <w:rFonts w:cs="Arial"/>
                <w:b/>
                <w:bCs/>
                <w:sz w:val="28"/>
                <w:szCs w:val="28"/>
              </w:rPr>
            </w:pPr>
            <w:r w:rsidRPr="00E705B0">
              <w:rPr>
                <w:rFonts w:cs="Arial"/>
                <w:b/>
                <w:bCs/>
                <w:sz w:val="28"/>
                <w:szCs w:val="28"/>
              </w:rPr>
              <w:t>MODULE NAME</w:t>
            </w:r>
          </w:p>
        </w:tc>
        <w:tc>
          <w:tcPr>
            <w:tcW w:w="5492" w:type="dxa"/>
          </w:tcPr>
          <w:p w14:paraId="31A73141" w14:textId="77777777" w:rsidR="001C3DC2" w:rsidRPr="00E705B0" w:rsidRDefault="001C3DC2" w:rsidP="008A1731">
            <w:pPr>
              <w:rPr>
                <w:rFonts w:cs="Arial"/>
                <w:b/>
                <w:bCs/>
                <w:sz w:val="28"/>
                <w:szCs w:val="28"/>
              </w:rPr>
            </w:pPr>
            <w:r w:rsidRPr="00E705B0">
              <w:rPr>
                <w:rFonts w:cs="Arial"/>
                <w:b/>
                <w:bCs/>
                <w:sz w:val="28"/>
                <w:szCs w:val="28"/>
              </w:rPr>
              <w:t xml:space="preserve"> Human Resource Management</w:t>
            </w:r>
          </w:p>
        </w:tc>
      </w:tr>
      <w:tr w:rsidR="001C3DC2" w:rsidRPr="00E705B0" w14:paraId="58610BAC" w14:textId="77777777" w:rsidTr="008A1731">
        <w:trPr>
          <w:trHeight w:val="907"/>
        </w:trPr>
        <w:tc>
          <w:tcPr>
            <w:tcW w:w="5492" w:type="dxa"/>
          </w:tcPr>
          <w:p w14:paraId="47BC617A" w14:textId="77777777" w:rsidR="001C3DC2" w:rsidRPr="00E705B0" w:rsidRDefault="001C3DC2" w:rsidP="008A1731">
            <w:pPr>
              <w:rPr>
                <w:rFonts w:cs="Arial"/>
                <w:b/>
                <w:bCs/>
                <w:sz w:val="28"/>
                <w:szCs w:val="28"/>
              </w:rPr>
            </w:pPr>
            <w:r w:rsidRPr="00E705B0">
              <w:rPr>
                <w:rFonts w:cs="Arial"/>
                <w:b/>
                <w:bCs/>
                <w:sz w:val="28"/>
                <w:szCs w:val="28"/>
              </w:rPr>
              <w:t>MODULE CODE</w:t>
            </w:r>
          </w:p>
        </w:tc>
        <w:tc>
          <w:tcPr>
            <w:tcW w:w="5492" w:type="dxa"/>
          </w:tcPr>
          <w:p w14:paraId="20F454AC" w14:textId="77777777" w:rsidR="001C3DC2" w:rsidRPr="00E705B0" w:rsidRDefault="001C3DC2" w:rsidP="008A1731">
            <w:pPr>
              <w:rPr>
                <w:rFonts w:cs="Arial"/>
                <w:b/>
                <w:bCs/>
                <w:sz w:val="28"/>
                <w:szCs w:val="28"/>
              </w:rPr>
            </w:pPr>
            <w:r w:rsidRPr="00E705B0">
              <w:rPr>
                <w:rFonts w:cs="Arial"/>
                <w:b/>
                <w:bCs/>
                <w:sz w:val="28"/>
                <w:szCs w:val="28"/>
              </w:rPr>
              <w:t>LCMB7000</w:t>
            </w:r>
          </w:p>
        </w:tc>
      </w:tr>
      <w:tr w:rsidR="001C3DC2" w:rsidRPr="00E705B0" w14:paraId="0BC9B684" w14:textId="77777777" w:rsidTr="008A1731">
        <w:trPr>
          <w:trHeight w:val="1774"/>
        </w:trPr>
        <w:tc>
          <w:tcPr>
            <w:tcW w:w="5492" w:type="dxa"/>
          </w:tcPr>
          <w:p w14:paraId="1E09A060" w14:textId="77777777" w:rsidR="001C3DC2" w:rsidRPr="00E705B0" w:rsidRDefault="001C3DC2" w:rsidP="008A1731">
            <w:pPr>
              <w:rPr>
                <w:rFonts w:cs="Arial"/>
                <w:b/>
                <w:bCs/>
                <w:sz w:val="28"/>
                <w:szCs w:val="28"/>
              </w:rPr>
            </w:pPr>
            <w:r w:rsidRPr="00E705B0">
              <w:rPr>
                <w:rFonts w:cs="Arial"/>
                <w:b/>
                <w:bCs/>
                <w:sz w:val="28"/>
                <w:szCs w:val="28"/>
              </w:rPr>
              <w:t>ASIGNMENT TITLE</w:t>
            </w:r>
          </w:p>
        </w:tc>
        <w:tc>
          <w:tcPr>
            <w:tcW w:w="5492" w:type="dxa"/>
          </w:tcPr>
          <w:p w14:paraId="725A4303" w14:textId="61EF68B4" w:rsidR="001C3DC2" w:rsidRPr="00E705B0" w:rsidRDefault="001C3DC2" w:rsidP="008A1731">
            <w:pPr>
              <w:rPr>
                <w:rFonts w:cs="Arial"/>
                <w:b/>
                <w:bCs/>
                <w:sz w:val="28"/>
                <w:szCs w:val="28"/>
              </w:rPr>
            </w:pPr>
            <w:r>
              <w:rPr>
                <w:rFonts w:cs="Arial"/>
                <w:b/>
                <w:bCs/>
                <w:sz w:val="28"/>
                <w:szCs w:val="28"/>
              </w:rPr>
              <w:t>Assessment I</w:t>
            </w:r>
            <w:r w:rsidR="001A5F17">
              <w:rPr>
                <w:rFonts w:cs="Arial"/>
                <w:b/>
                <w:bCs/>
                <w:sz w:val="28"/>
                <w:szCs w:val="28"/>
              </w:rPr>
              <w:t>-Labor Market</w:t>
            </w:r>
          </w:p>
        </w:tc>
      </w:tr>
      <w:tr w:rsidR="001C3DC2" w:rsidRPr="00E705B0" w14:paraId="7E8D7B6C" w14:textId="77777777" w:rsidTr="008A1731">
        <w:trPr>
          <w:trHeight w:val="866"/>
        </w:trPr>
        <w:tc>
          <w:tcPr>
            <w:tcW w:w="5492" w:type="dxa"/>
          </w:tcPr>
          <w:p w14:paraId="546B9322" w14:textId="77777777" w:rsidR="001C3DC2" w:rsidRPr="00E705B0" w:rsidRDefault="001C3DC2" w:rsidP="008A1731">
            <w:pPr>
              <w:rPr>
                <w:rFonts w:cs="Arial"/>
                <w:b/>
                <w:bCs/>
                <w:sz w:val="28"/>
                <w:szCs w:val="28"/>
              </w:rPr>
            </w:pPr>
            <w:r w:rsidRPr="00E705B0">
              <w:rPr>
                <w:rFonts w:cs="Arial"/>
                <w:b/>
                <w:bCs/>
                <w:sz w:val="28"/>
                <w:szCs w:val="28"/>
              </w:rPr>
              <w:t>SUBMISSION DATE</w:t>
            </w:r>
          </w:p>
        </w:tc>
        <w:tc>
          <w:tcPr>
            <w:tcW w:w="5492" w:type="dxa"/>
          </w:tcPr>
          <w:p w14:paraId="3DF86D7F" w14:textId="77777777" w:rsidR="001C3DC2" w:rsidRPr="00E705B0" w:rsidRDefault="001C3DC2" w:rsidP="008A1731">
            <w:pPr>
              <w:rPr>
                <w:rFonts w:cs="Arial"/>
                <w:b/>
                <w:bCs/>
                <w:sz w:val="28"/>
                <w:szCs w:val="28"/>
              </w:rPr>
            </w:pPr>
            <w:r w:rsidRPr="00E705B0">
              <w:rPr>
                <w:rFonts w:cs="Arial"/>
                <w:b/>
                <w:bCs/>
                <w:sz w:val="28"/>
                <w:szCs w:val="28"/>
              </w:rPr>
              <w:t xml:space="preserve"> 25 APRIL 2023</w:t>
            </w:r>
          </w:p>
        </w:tc>
      </w:tr>
    </w:tbl>
    <w:p w14:paraId="63BA0DAE" w14:textId="77777777" w:rsidR="001C3DC2" w:rsidRDefault="001C3DC2" w:rsidP="008A62B9">
      <w:pPr>
        <w:spacing w:after="0" w:line="240" w:lineRule="auto"/>
        <w:jc w:val="center"/>
        <w:rPr>
          <w:rFonts w:ascii="Times New Roman" w:hAnsi="Times New Roman" w:cs="Times New Roman"/>
          <w:b/>
          <w:bCs/>
          <w:sz w:val="32"/>
          <w:szCs w:val="32"/>
        </w:rPr>
      </w:pPr>
    </w:p>
    <w:p w14:paraId="1F5DE0BC" w14:textId="77777777" w:rsidR="001C3DC2" w:rsidRDefault="001C3DC2">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Theme="minorEastAsia" w:hAnsi="Arial" w:cs="Arial"/>
          <w:b/>
          <w:bCs/>
          <w:color w:val="auto"/>
          <w:sz w:val="20"/>
          <w:szCs w:val="20"/>
        </w:rPr>
        <w:id w:val="903110090"/>
        <w:docPartObj>
          <w:docPartGallery w:val="Table of Contents"/>
          <w:docPartUnique/>
        </w:docPartObj>
      </w:sdtPr>
      <w:sdtContent>
        <w:p w14:paraId="0FA541B8" w14:textId="0FD5DF76" w:rsidR="001C3DC2" w:rsidRPr="00141924" w:rsidRDefault="001C3DC2" w:rsidP="00141924">
          <w:pPr>
            <w:pStyle w:val="TOCHeading"/>
            <w:jc w:val="center"/>
            <w:rPr>
              <w:b/>
              <w:bCs/>
              <w:color w:val="auto"/>
              <w:sz w:val="24"/>
              <w:szCs w:val="24"/>
            </w:rPr>
          </w:pPr>
          <w:r w:rsidRPr="00141924">
            <w:rPr>
              <w:b/>
              <w:bCs/>
              <w:color w:val="auto"/>
              <w:sz w:val="24"/>
              <w:szCs w:val="24"/>
            </w:rPr>
            <w:t>Table of Contents</w:t>
          </w:r>
        </w:p>
        <w:p w14:paraId="51D6EEEF" w14:textId="4C5C181C" w:rsidR="001C3DC2" w:rsidRPr="00141924" w:rsidRDefault="001C3DC2" w:rsidP="00CD135F">
          <w:pPr>
            <w:pStyle w:val="TOC3"/>
            <w:rPr>
              <w:sz w:val="24"/>
              <w:szCs w:val="24"/>
            </w:rPr>
          </w:pPr>
          <w:r w:rsidRPr="00141924">
            <w:rPr>
              <w:sz w:val="24"/>
              <w:szCs w:val="24"/>
            </w:rPr>
            <w:t>Introduction</w:t>
          </w:r>
          <w:r w:rsidR="00141924" w:rsidRPr="00141924">
            <w:rPr>
              <w:sz w:val="24"/>
              <w:szCs w:val="24"/>
            </w:rPr>
            <w:t>………………………………………………………………………………………………</w:t>
          </w:r>
          <w:r w:rsidR="00CD135F" w:rsidRPr="00141924">
            <w:rPr>
              <w:sz w:val="24"/>
              <w:szCs w:val="24"/>
            </w:rPr>
            <w:t>3</w:t>
          </w:r>
        </w:p>
        <w:p w14:paraId="3630AF4F" w14:textId="5A533B36" w:rsidR="001C3DC2" w:rsidRPr="00141924" w:rsidRDefault="001C3DC2" w:rsidP="00CD135F">
          <w:pPr>
            <w:pStyle w:val="TOC3"/>
            <w:rPr>
              <w:sz w:val="24"/>
              <w:szCs w:val="24"/>
            </w:rPr>
          </w:pPr>
          <w:r w:rsidRPr="00141924">
            <w:rPr>
              <w:sz w:val="24"/>
              <w:szCs w:val="24"/>
            </w:rPr>
            <w:t>Labor Market</w:t>
          </w:r>
          <w:r w:rsidR="00141924" w:rsidRPr="00141924">
            <w:rPr>
              <w:sz w:val="24"/>
              <w:szCs w:val="24"/>
            </w:rPr>
            <w:t>………………………………………………………………………………………………………</w:t>
          </w:r>
          <w:r w:rsidRPr="00141924">
            <w:rPr>
              <w:sz w:val="24"/>
              <w:szCs w:val="24"/>
            </w:rPr>
            <w:t>3</w:t>
          </w:r>
        </w:p>
        <w:p w14:paraId="04C24BA2" w14:textId="771662C5" w:rsidR="001C3DC2" w:rsidRPr="00141924" w:rsidRDefault="00CD135F" w:rsidP="00CD135F">
          <w:pPr>
            <w:pStyle w:val="TOC1"/>
            <w:rPr>
              <w:sz w:val="24"/>
              <w:szCs w:val="24"/>
            </w:rPr>
          </w:pPr>
          <w:r w:rsidRPr="00141924">
            <w:rPr>
              <w:b w:val="0"/>
              <w:bCs w:val="0"/>
              <w:sz w:val="24"/>
              <w:szCs w:val="24"/>
            </w:rPr>
            <w:t xml:space="preserve">          2</w:t>
          </w:r>
          <w:r w:rsidR="001C3DC2" w:rsidRPr="00141924">
            <w:rPr>
              <w:b w:val="0"/>
              <w:bCs w:val="0"/>
              <w:sz w:val="24"/>
              <w:szCs w:val="24"/>
            </w:rPr>
            <w:t>.1</w:t>
          </w:r>
          <w:r w:rsidRPr="00141924">
            <w:rPr>
              <w:b w:val="0"/>
              <w:bCs w:val="0"/>
              <w:sz w:val="24"/>
              <w:szCs w:val="24"/>
            </w:rPr>
            <w:t xml:space="preserve"> </w:t>
          </w:r>
          <w:r w:rsidR="001C3DC2" w:rsidRPr="00141924">
            <w:rPr>
              <w:b w:val="0"/>
              <w:bCs w:val="0"/>
              <w:sz w:val="24"/>
              <w:szCs w:val="24"/>
            </w:rPr>
            <w:t>Employability &amp; Unemployment</w:t>
          </w:r>
          <w:r w:rsidR="00141924" w:rsidRPr="00141924">
            <w:rPr>
              <w:sz w:val="24"/>
              <w:szCs w:val="24"/>
            </w:rPr>
            <w:t>………………………………………………………………</w:t>
          </w:r>
          <w:proofErr w:type="gramStart"/>
          <w:r w:rsidR="00141924">
            <w:rPr>
              <w:sz w:val="24"/>
              <w:szCs w:val="24"/>
            </w:rPr>
            <w:t>…..</w:t>
          </w:r>
          <w:proofErr w:type="gramEnd"/>
          <w:r w:rsidRPr="00141924">
            <w:rPr>
              <w:sz w:val="24"/>
              <w:szCs w:val="24"/>
            </w:rPr>
            <w:t>3</w:t>
          </w:r>
        </w:p>
        <w:p w14:paraId="2CDC48D7" w14:textId="36B794CB" w:rsidR="001C3DC2" w:rsidRPr="00141924" w:rsidRDefault="001C3DC2" w:rsidP="00CD135F">
          <w:pPr>
            <w:pStyle w:val="TOC2"/>
            <w:numPr>
              <w:ilvl w:val="1"/>
              <w:numId w:val="4"/>
            </w:numPr>
            <w:rPr>
              <w:sz w:val="24"/>
              <w:szCs w:val="24"/>
            </w:rPr>
          </w:pPr>
          <w:r w:rsidRPr="00141924">
            <w:rPr>
              <w:sz w:val="24"/>
              <w:szCs w:val="24"/>
            </w:rPr>
            <w:t>UK Labor market</w:t>
          </w:r>
          <w:r w:rsidR="00141924" w:rsidRPr="00141924">
            <w:rPr>
              <w:sz w:val="24"/>
              <w:szCs w:val="24"/>
            </w:rPr>
            <w:t>………………………………………………………………………………………………………………</w:t>
          </w:r>
          <w:r w:rsidR="00141924">
            <w:rPr>
              <w:sz w:val="24"/>
              <w:szCs w:val="24"/>
            </w:rPr>
            <w:t>.</w:t>
          </w:r>
          <w:r w:rsidR="00141924" w:rsidRPr="00141924">
            <w:rPr>
              <w:sz w:val="24"/>
              <w:szCs w:val="24"/>
            </w:rPr>
            <w:t>…………</w:t>
          </w:r>
          <w:proofErr w:type="gramStart"/>
          <w:r w:rsidR="00141924" w:rsidRPr="00141924">
            <w:rPr>
              <w:sz w:val="24"/>
              <w:szCs w:val="24"/>
            </w:rPr>
            <w:t>…..</w:t>
          </w:r>
          <w:proofErr w:type="gramEnd"/>
          <w:r w:rsidR="00CD135F" w:rsidRPr="00141924">
            <w:rPr>
              <w:sz w:val="24"/>
              <w:szCs w:val="24"/>
            </w:rPr>
            <w:t>4</w:t>
          </w:r>
        </w:p>
        <w:p w14:paraId="4974AA7A" w14:textId="779950C7" w:rsidR="001C3DC2" w:rsidRPr="00141924" w:rsidRDefault="00CD135F" w:rsidP="00CD135F">
          <w:pPr>
            <w:pStyle w:val="TOC3"/>
            <w:numPr>
              <w:ilvl w:val="0"/>
              <w:numId w:val="0"/>
            </w:numPr>
            <w:ind w:left="360" w:hanging="360"/>
            <w:rPr>
              <w:sz w:val="24"/>
              <w:szCs w:val="24"/>
            </w:rPr>
          </w:pPr>
          <w:r w:rsidRPr="00141924">
            <w:rPr>
              <w:sz w:val="24"/>
              <w:szCs w:val="24"/>
            </w:rPr>
            <w:t xml:space="preserve">3. </w:t>
          </w:r>
          <w:r w:rsidR="001C3DC2" w:rsidRPr="00141924">
            <w:rPr>
              <w:sz w:val="24"/>
              <w:szCs w:val="24"/>
            </w:rPr>
            <w:t>SWOT Analysis</w:t>
          </w:r>
          <w:r w:rsidR="00141924" w:rsidRPr="00141924">
            <w:rPr>
              <w:sz w:val="24"/>
              <w:szCs w:val="24"/>
            </w:rPr>
            <w:t>…………………………………………………………………………………………………….</w:t>
          </w:r>
          <w:r w:rsidRPr="00141924">
            <w:rPr>
              <w:sz w:val="24"/>
              <w:szCs w:val="24"/>
            </w:rPr>
            <w:t>5</w:t>
          </w:r>
        </w:p>
        <w:p w14:paraId="72791262" w14:textId="134934CB" w:rsidR="00CD135F" w:rsidRPr="00141924" w:rsidRDefault="00CD135F" w:rsidP="00CD135F">
          <w:pPr>
            <w:pStyle w:val="TOC3"/>
            <w:numPr>
              <w:ilvl w:val="0"/>
              <w:numId w:val="0"/>
            </w:numPr>
            <w:ind w:left="360" w:hanging="360"/>
            <w:rPr>
              <w:sz w:val="24"/>
              <w:szCs w:val="24"/>
            </w:rPr>
          </w:pPr>
          <w:r w:rsidRPr="00141924">
            <w:rPr>
              <w:sz w:val="24"/>
              <w:szCs w:val="24"/>
            </w:rPr>
            <w:t>4. Emerging Changes in HR Strategies…………………………………………………………….…….5</w:t>
          </w:r>
        </w:p>
        <w:p w14:paraId="415921E5" w14:textId="292FFBEB" w:rsidR="00CD135F" w:rsidRPr="00141924" w:rsidRDefault="00CD135F" w:rsidP="00CD135F">
          <w:pPr>
            <w:rPr>
              <w:sz w:val="24"/>
              <w:szCs w:val="24"/>
              <w:lang w:bidi="ar-SA"/>
            </w:rPr>
          </w:pPr>
          <w:r w:rsidRPr="00141924">
            <w:rPr>
              <w:sz w:val="24"/>
              <w:szCs w:val="24"/>
              <w:lang w:bidi="ar-SA"/>
            </w:rPr>
            <w:t xml:space="preserve">           4.1 post-Brexit………………………………………………………………………………………………………</w:t>
          </w:r>
          <w:r w:rsidR="00141924">
            <w:rPr>
              <w:sz w:val="24"/>
              <w:szCs w:val="24"/>
              <w:lang w:bidi="ar-SA"/>
            </w:rPr>
            <w:t>………</w:t>
          </w:r>
          <w:r w:rsidRPr="00141924">
            <w:rPr>
              <w:sz w:val="24"/>
              <w:szCs w:val="24"/>
              <w:lang w:bidi="ar-SA"/>
            </w:rPr>
            <w:t>…….……………</w:t>
          </w:r>
          <w:proofErr w:type="gramStart"/>
          <w:r w:rsidRPr="00141924">
            <w:rPr>
              <w:sz w:val="24"/>
              <w:szCs w:val="24"/>
              <w:lang w:bidi="ar-SA"/>
            </w:rPr>
            <w:t>…</w:t>
          </w:r>
          <w:r w:rsidR="00141924" w:rsidRPr="00141924">
            <w:rPr>
              <w:sz w:val="24"/>
              <w:szCs w:val="24"/>
              <w:lang w:bidi="ar-SA"/>
            </w:rPr>
            <w:t>.</w:t>
          </w:r>
          <w:r w:rsidRPr="00141924">
            <w:rPr>
              <w:sz w:val="24"/>
              <w:szCs w:val="24"/>
              <w:lang w:bidi="ar-SA"/>
            </w:rPr>
            <w:t>.</w:t>
          </w:r>
          <w:proofErr w:type="gramEnd"/>
          <w:r w:rsidRPr="00141924">
            <w:rPr>
              <w:sz w:val="24"/>
              <w:szCs w:val="24"/>
              <w:lang w:bidi="ar-SA"/>
            </w:rPr>
            <w:t>5</w:t>
          </w:r>
        </w:p>
        <w:p w14:paraId="23928AB1" w14:textId="24544B17" w:rsidR="00CD135F" w:rsidRPr="00141924" w:rsidRDefault="00CD135F" w:rsidP="00CD135F">
          <w:pPr>
            <w:rPr>
              <w:sz w:val="24"/>
              <w:szCs w:val="24"/>
              <w:lang w:bidi="ar-SA"/>
            </w:rPr>
          </w:pPr>
          <w:r w:rsidRPr="00141924">
            <w:rPr>
              <w:sz w:val="24"/>
              <w:szCs w:val="24"/>
              <w:lang w:bidi="ar-SA"/>
            </w:rPr>
            <w:t xml:space="preserve">           4.2 post-COVID…………………………………………………………………………………………………………………………………</w:t>
          </w:r>
          <w:proofErr w:type="gramStart"/>
          <w:r w:rsidRPr="00141924">
            <w:rPr>
              <w:sz w:val="24"/>
              <w:szCs w:val="24"/>
              <w:lang w:bidi="ar-SA"/>
            </w:rPr>
            <w:t>….</w:t>
          </w:r>
          <w:r w:rsidR="00141924">
            <w:rPr>
              <w:sz w:val="24"/>
              <w:szCs w:val="24"/>
              <w:lang w:bidi="ar-SA"/>
            </w:rPr>
            <w:t>.</w:t>
          </w:r>
          <w:proofErr w:type="gramEnd"/>
          <w:r w:rsidRPr="00141924">
            <w:rPr>
              <w:sz w:val="24"/>
              <w:szCs w:val="24"/>
              <w:lang w:bidi="ar-SA"/>
            </w:rPr>
            <w:t>5</w:t>
          </w:r>
        </w:p>
        <w:p w14:paraId="45AC4149" w14:textId="2932FE58" w:rsidR="00CD135F" w:rsidRPr="00141924" w:rsidRDefault="00CD135F" w:rsidP="00CD135F">
          <w:pPr>
            <w:rPr>
              <w:sz w:val="24"/>
              <w:szCs w:val="24"/>
              <w:lang w:bidi="ar-SA"/>
            </w:rPr>
          </w:pPr>
          <w:r w:rsidRPr="00141924">
            <w:rPr>
              <w:sz w:val="24"/>
              <w:szCs w:val="24"/>
              <w:lang w:bidi="ar-SA"/>
            </w:rPr>
            <w:t xml:space="preserve">           4.2 Cost-of-living Crisis/Recession…………………………………………………………………………………………………………</w:t>
          </w:r>
          <w:proofErr w:type="gramStart"/>
          <w:r w:rsidRPr="00141924">
            <w:rPr>
              <w:sz w:val="24"/>
              <w:szCs w:val="24"/>
              <w:lang w:bidi="ar-SA"/>
            </w:rPr>
            <w:t>6</w:t>
          </w:r>
          <w:proofErr w:type="gramEnd"/>
        </w:p>
        <w:p w14:paraId="3EBEA7A4" w14:textId="0E0FFA4B" w:rsidR="00CD135F" w:rsidRPr="00141924" w:rsidRDefault="00CD135F" w:rsidP="00CD135F">
          <w:pPr>
            <w:rPr>
              <w:b/>
              <w:bCs/>
              <w:sz w:val="24"/>
              <w:szCs w:val="24"/>
              <w:lang w:bidi="ar-SA"/>
            </w:rPr>
          </w:pPr>
          <w:r w:rsidRPr="00141924">
            <w:rPr>
              <w:b/>
              <w:bCs/>
              <w:sz w:val="24"/>
              <w:szCs w:val="24"/>
              <w:lang w:bidi="ar-SA"/>
            </w:rPr>
            <w:t>5. Recommendations</w:t>
          </w:r>
          <w:r w:rsidRPr="00141924">
            <w:rPr>
              <w:sz w:val="24"/>
              <w:szCs w:val="24"/>
              <w:lang w:bidi="ar-SA"/>
            </w:rPr>
            <w:t>…………………………………………………………………………………………………………………………………….6</w:t>
          </w:r>
        </w:p>
        <w:p w14:paraId="1A5B0742" w14:textId="244BD945" w:rsidR="00CD135F" w:rsidRPr="00141924" w:rsidRDefault="00CD135F" w:rsidP="00CD135F">
          <w:pPr>
            <w:rPr>
              <w:b/>
              <w:bCs/>
              <w:sz w:val="24"/>
              <w:szCs w:val="24"/>
              <w:lang w:bidi="ar-SA"/>
            </w:rPr>
          </w:pPr>
          <w:r w:rsidRPr="00141924">
            <w:rPr>
              <w:b/>
              <w:bCs/>
              <w:sz w:val="24"/>
              <w:szCs w:val="24"/>
              <w:lang w:bidi="ar-SA"/>
            </w:rPr>
            <w:t xml:space="preserve">6. </w:t>
          </w:r>
          <w:r w:rsidR="00141924">
            <w:rPr>
              <w:b/>
              <w:bCs/>
              <w:sz w:val="24"/>
              <w:szCs w:val="24"/>
              <w:lang w:bidi="ar-SA"/>
            </w:rPr>
            <w:t>C</w:t>
          </w:r>
          <w:r w:rsidRPr="00141924">
            <w:rPr>
              <w:b/>
              <w:bCs/>
              <w:sz w:val="24"/>
              <w:szCs w:val="24"/>
              <w:lang w:bidi="ar-SA"/>
            </w:rPr>
            <w:t>onclusion</w:t>
          </w:r>
          <w:r w:rsidRPr="00141924">
            <w:rPr>
              <w:sz w:val="24"/>
              <w:szCs w:val="24"/>
              <w:lang w:bidi="ar-SA"/>
            </w:rPr>
            <w:t>…………………………………………………………………………………………………………………………………………………7</w:t>
          </w:r>
        </w:p>
        <w:p w14:paraId="02B8D3FE" w14:textId="6F8D62C0" w:rsidR="00CD135F" w:rsidRPr="00141924" w:rsidRDefault="00CD135F" w:rsidP="00CD135F">
          <w:pPr>
            <w:rPr>
              <w:b/>
              <w:bCs/>
              <w:sz w:val="24"/>
              <w:szCs w:val="24"/>
              <w:lang w:bidi="ar-SA"/>
            </w:rPr>
          </w:pPr>
          <w:r w:rsidRPr="00141924">
            <w:rPr>
              <w:b/>
              <w:bCs/>
              <w:sz w:val="24"/>
              <w:szCs w:val="24"/>
              <w:lang w:bidi="ar-SA"/>
            </w:rPr>
            <w:t>7. Future predictions for Labor market</w:t>
          </w:r>
          <w:r w:rsidRPr="00141924">
            <w:rPr>
              <w:sz w:val="24"/>
              <w:szCs w:val="24"/>
              <w:lang w:bidi="ar-SA"/>
            </w:rPr>
            <w:t>…………………………………………………………………………………………………………7</w:t>
          </w:r>
        </w:p>
        <w:p w14:paraId="2636F39A" w14:textId="7C185404" w:rsidR="00CD135F" w:rsidRPr="00141924" w:rsidRDefault="00CD135F" w:rsidP="00CD135F">
          <w:pPr>
            <w:rPr>
              <w:b/>
              <w:bCs/>
              <w:sz w:val="24"/>
              <w:szCs w:val="24"/>
              <w:lang w:bidi="ar-SA"/>
            </w:rPr>
          </w:pPr>
          <w:r w:rsidRPr="00141924">
            <w:rPr>
              <w:b/>
              <w:bCs/>
              <w:sz w:val="24"/>
              <w:szCs w:val="24"/>
              <w:lang w:bidi="ar-SA"/>
            </w:rPr>
            <w:t>8. References</w:t>
          </w:r>
          <w:r w:rsidRPr="00141924">
            <w:rPr>
              <w:sz w:val="24"/>
              <w:szCs w:val="24"/>
              <w:lang w:bidi="ar-SA"/>
            </w:rPr>
            <w:t>…………………………………………………………………………………………………………………………………………………9</w:t>
          </w:r>
        </w:p>
        <w:p w14:paraId="23A3FC08" w14:textId="3C9179EF" w:rsidR="001C3DC2" w:rsidRPr="001C3DC2" w:rsidRDefault="00000000" w:rsidP="00CD135F">
          <w:pPr>
            <w:pStyle w:val="TOC3"/>
            <w:numPr>
              <w:ilvl w:val="0"/>
              <w:numId w:val="0"/>
            </w:numPr>
            <w:ind w:left="360" w:hanging="360"/>
          </w:pPr>
        </w:p>
      </w:sdtContent>
    </w:sdt>
    <w:p w14:paraId="1D76AF76" w14:textId="77777777" w:rsidR="001C3DC2" w:rsidRDefault="001C3DC2" w:rsidP="008A62B9">
      <w:pPr>
        <w:spacing w:after="0" w:line="240" w:lineRule="auto"/>
        <w:jc w:val="center"/>
        <w:rPr>
          <w:rFonts w:ascii="Times New Roman" w:hAnsi="Times New Roman" w:cs="Times New Roman"/>
          <w:b/>
          <w:bCs/>
          <w:sz w:val="32"/>
          <w:szCs w:val="32"/>
        </w:rPr>
      </w:pPr>
    </w:p>
    <w:p w14:paraId="4B0EF742" w14:textId="77777777" w:rsidR="001C3DC2" w:rsidRDefault="001C3DC2">
      <w:pPr>
        <w:rPr>
          <w:rFonts w:ascii="Times New Roman" w:hAnsi="Times New Roman" w:cs="Times New Roman"/>
          <w:b/>
          <w:bCs/>
          <w:sz w:val="32"/>
          <w:szCs w:val="32"/>
        </w:rPr>
      </w:pPr>
      <w:r>
        <w:rPr>
          <w:rFonts w:ascii="Times New Roman" w:hAnsi="Times New Roman" w:cs="Times New Roman"/>
          <w:b/>
          <w:bCs/>
          <w:sz w:val="32"/>
          <w:szCs w:val="32"/>
        </w:rPr>
        <w:br w:type="page"/>
      </w:r>
    </w:p>
    <w:p w14:paraId="4318CE8F" w14:textId="6D35FBEF" w:rsidR="008A62B9" w:rsidRPr="008A62B9" w:rsidRDefault="008A62B9" w:rsidP="008A62B9">
      <w:pPr>
        <w:spacing w:after="0" w:line="240" w:lineRule="auto"/>
        <w:jc w:val="center"/>
        <w:rPr>
          <w:rFonts w:ascii="Times New Roman" w:hAnsi="Times New Roman" w:cs="Times New Roman"/>
          <w:b/>
          <w:bCs/>
          <w:sz w:val="32"/>
          <w:szCs w:val="32"/>
        </w:rPr>
      </w:pPr>
      <w:r w:rsidRPr="008A62B9">
        <w:rPr>
          <w:rFonts w:ascii="Times New Roman" w:hAnsi="Times New Roman" w:cs="Times New Roman"/>
          <w:b/>
          <w:bCs/>
          <w:sz w:val="32"/>
          <w:szCs w:val="32"/>
        </w:rPr>
        <w:lastRenderedPageBreak/>
        <w:t>INTRODUCTION</w:t>
      </w:r>
    </w:p>
    <w:p w14:paraId="3D17A74C" w14:textId="77777777" w:rsidR="008A62B9" w:rsidRDefault="008A62B9" w:rsidP="008A62B9">
      <w:pPr>
        <w:spacing w:after="0" w:line="240" w:lineRule="auto"/>
        <w:rPr>
          <w:rFonts w:cstheme="minorHAnsi"/>
          <w:sz w:val="20"/>
        </w:rPr>
      </w:pPr>
    </w:p>
    <w:p w14:paraId="51FF8640" w14:textId="29B91998" w:rsidR="008A62B9" w:rsidRPr="008A62B9" w:rsidRDefault="008A62B9" w:rsidP="000F7D37">
      <w:pPr>
        <w:spacing w:after="0" w:line="240" w:lineRule="auto"/>
        <w:jc w:val="both"/>
        <w:rPr>
          <w:rFonts w:cstheme="minorHAnsi"/>
          <w:sz w:val="20"/>
        </w:rPr>
      </w:pPr>
      <w:r w:rsidRPr="008A62B9">
        <w:rPr>
          <w:rFonts w:cstheme="minorHAnsi"/>
          <w:sz w:val="20"/>
        </w:rPr>
        <w:t>The labor market is a crucial aspect of any economy as it affects the overall economic growth and development. It is the mechanism through which the supply and demand of labor are balanced, and wages are determined. In recent times, the labor market in the UK has been subjected to a myriad of challenges ranging from political changes such as Brexit to the ongoing COVID-19 pandemic.</w:t>
      </w:r>
    </w:p>
    <w:p w14:paraId="52CE2BC0" w14:textId="77777777" w:rsidR="008A62B9" w:rsidRPr="008A62B9" w:rsidRDefault="008A62B9" w:rsidP="000F7D37">
      <w:pPr>
        <w:spacing w:after="0" w:line="240" w:lineRule="auto"/>
        <w:jc w:val="both"/>
        <w:rPr>
          <w:rFonts w:cstheme="minorHAnsi"/>
          <w:sz w:val="20"/>
        </w:rPr>
      </w:pPr>
    </w:p>
    <w:p w14:paraId="4A71512C" w14:textId="77777777" w:rsidR="008A62B9" w:rsidRPr="008A62B9" w:rsidRDefault="008A62B9" w:rsidP="000F7D37">
      <w:pPr>
        <w:spacing w:after="0" w:line="240" w:lineRule="auto"/>
        <w:jc w:val="both"/>
        <w:rPr>
          <w:rFonts w:cstheme="minorHAnsi"/>
          <w:sz w:val="20"/>
        </w:rPr>
      </w:pPr>
      <w:r w:rsidRPr="008A62B9">
        <w:rPr>
          <w:rFonts w:cstheme="minorHAnsi"/>
          <w:sz w:val="20"/>
        </w:rPr>
        <w:t>This report aims to provide an in-depth analysis of the current state of the labor market in the UK. The report will begin by defining the labor market and its importance to the UK economy. The report will then examine the global labor market by comparing the labor markets in developed and developing countries. The report will then delve into the specifics of the UK labor market, analyzing the current trends and developments in employment and unemployment.</w:t>
      </w:r>
    </w:p>
    <w:p w14:paraId="7843D874" w14:textId="77777777" w:rsidR="008A62B9" w:rsidRPr="008A62B9" w:rsidRDefault="008A62B9" w:rsidP="000F7D37">
      <w:pPr>
        <w:spacing w:after="0" w:line="240" w:lineRule="auto"/>
        <w:jc w:val="both"/>
        <w:rPr>
          <w:rFonts w:cstheme="minorHAnsi"/>
          <w:sz w:val="20"/>
        </w:rPr>
      </w:pPr>
    </w:p>
    <w:p w14:paraId="5DD3C151" w14:textId="6E0A8FFE" w:rsidR="008A62B9" w:rsidRPr="008A62B9" w:rsidRDefault="008A62B9" w:rsidP="000F7D37">
      <w:pPr>
        <w:spacing w:after="0" w:line="240" w:lineRule="auto"/>
        <w:jc w:val="both"/>
        <w:rPr>
          <w:rFonts w:cstheme="minorHAnsi"/>
          <w:sz w:val="20"/>
        </w:rPr>
      </w:pPr>
      <w:r w:rsidRPr="008A62B9">
        <w:rPr>
          <w:rFonts w:cstheme="minorHAnsi"/>
          <w:sz w:val="20"/>
        </w:rPr>
        <w:t xml:space="preserve">Furthermore, this report will undertake </w:t>
      </w:r>
      <w:proofErr w:type="gramStart"/>
      <w:r w:rsidRPr="008A62B9">
        <w:rPr>
          <w:rFonts w:cstheme="minorHAnsi"/>
          <w:sz w:val="20"/>
        </w:rPr>
        <w:t>a</w:t>
      </w:r>
      <w:proofErr w:type="gramEnd"/>
      <w:r w:rsidRPr="008A62B9">
        <w:rPr>
          <w:rFonts w:cstheme="minorHAnsi"/>
          <w:sz w:val="20"/>
        </w:rPr>
        <w:t xml:space="preserve"> analysis to determine the strengths, weaknesses, opportunities, and threats of the UK labor market.</w:t>
      </w:r>
      <w:r w:rsidR="00C83667">
        <w:rPr>
          <w:rFonts w:cstheme="minorHAnsi"/>
          <w:sz w:val="20"/>
        </w:rPr>
        <w:t xml:space="preserve"> </w:t>
      </w:r>
      <w:r w:rsidRPr="008A62B9">
        <w:rPr>
          <w:rFonts w:cstheme="minorHAnsi"/>
          <w:sz w:val="20"/>
        </w:rPr>
        <w:t xml:space="preserve">Based on the </w:t>
      </w:r>
      <w:r w:rsidR="00C83667">
        <w:rPr>
          <w:rFonts w:cstheme="minorHAnsi"/>
          <w:sz w:val="20"/>
        </w:rPr>
        <w:t>research</w:t>
      </w:r>
      <w:r w:rsidRPr="008A62B9">
        <w:rPr>
          <w:rFonts w:cstheme="minorHAnsi"/>
          <w:sz w:val="20"/>
        </w:rPr>
        <w:t xml:space="preserve"> of the analysis, the report will provide recommendations for policymakers and stakeholders on how to improve the state of the labor market in the UK. Finally, the report will conclude with a prediction of the future trends of the UK labor market.</w:t>
      </w:r>
    </w:p>
    <w:p w14:paraId="1FAC1EEA" w14:textId="77777777" w:rsidR="008A62B9" w:rsidRPr="008A62B9" w:rsidRDefault="008A62B9" w:rsidP="000F7D37">
      <w:pPr>
        <w:spacing w:after="0" w:line="240" w:lineRule="auto"/>
        <w:jc w:val="both"/>
        <w:rPr>
          <w:rFonts w:cstheme="minorHAnsi"/>
          <w:sz w:val="20"/>
        </w:rPr>
      </w:pPr>
    </w:p>
    <w:p w14:paraId="6798ABA2" w14:textId="292AAC5C" w:rsidR="008A62B9" w:rsidRPr="008A62B9" w:rsidRDefault="008A62B9" w:rsidP="000F7D37">
      <w:pPr>
        <w:spacing w:after="0" w:line="240" w:lineRule="auto"/>
        <w:jc w:val="both"/>
        <w:rPr>
          <w:rFonts w:cstheme="minorHAnsi"/>
          <w:sz w:val="20"/>
        </w:rPr>
      </w:pPr>
      <w:r w:rsidRPr="008A62B9">
        <w:rPr>
          <w:rFonts w:cstheme="minorHAnsi"/>
          <w:sz w:val="20"/>
        </w:rPr>
        <w:t>The report will rely on a variety of sources, including academic research, government reports, and industry data. The findings of the report will be presented in a clear and concise manner, using appropriate charts and graphs to aid in the visualization of data. The aim of this report is to provide a comprehensive analysis of the current state of the labor market in the UK and provide insights into its future direction.</w:t>
      </w:r>
    </w:p>
    <w:p w14:paraId="3E76E433" w14:textId="751F4134" w:rsidR="004F371B" w:rsidRPr="004F371B" w:rsidRDefault="00D42BFB" w:rsidP="004F371B">
      <w:pPr>
        <w:spacing w:after="0" w:line="240" w:lineRule="auto"/>
        <w:jc w:val="center"/>
        <w:rPr>
          <w:rFonts w:ascii="Times New Roman" w:hAnsi="Times New Roman" w:cs="Times New Roman"/>
          <w:b/>
          <w:bCs/>
          <w:sz w:val="32"/>
          <w:szCs w:val="32"/>
        </w:rPr>
      </w:pPr>
      <w:r w:rsidRPr="004F371B">
        <w:rPr>
          <w:rFonts w:ascii="Times New Roman" w:hAnsi="Times New Roman" w:cs="Times New Roman"/>
          <w:b/>
          <w:bCs/>
          <w:sz w:val="32"/>
          <w:szCs w:val="32"/>
        </w:rPr>
        <w:t>L</w:t>
      </w:r>
      <w:r w:rsidR="00C9313F">
        <w:rPr>
          <w:rFonts w:ascii="Times New Roman" w:hAnsi="Times New Roman" w:cs="Times New Roman"/>
          <w:b/>
          <w:bCs/>
          <w:sz w:val="32"/>
          <w:szCs w:val="32"/>
        </w:rPr>
        <w:t>ABOR</w:t>
      </w:r>
      <w:r w:rsidRPr="004F371B">
        <w:rPr>
          <w:rFonts w:ascii="Times New Roman" w:hAnsi="Times New Roman" w:cs="Times New Roman"/>
          <w:b/>
          <w:bCs/>
          <w:sz w:val="32"/>
          <w:szCs w:val="32"/>
        </w:rPr>
        <w:t xml:space="preserve"> M</w:t>
      </w:r>
      <w:r w:rsidR="00C9313F">
        <w:rPr>
          <w:rFonts w:ascii="Times New Roman" w:hAnsi="Times New Roman" w:cs="Times New Roman"/>
          <w:b/>
          <w:bCs/>
          <w:sz w:val="32"/>
          <w:szCs w:val="32"/>
        </w:rPr>
        <w:t>ARKET</w:t>
      </w:r>
    </w:p>
    <w:p w14:paraId="580F66CD" w14:textId="77777777" w:rsidR="004F371B" w:rsidRDefault="004F371B" w:rsidP="004F371B">
      <w:pPr>
        <w:spacing w:after="0" w:line="240" w:lineRule="auto"/>
        <w:rPr>
          <w:rFonts w:cstheme="minorHAnsi"/>
          <w:sz w:val="20"/>
        </w:rPr>
      </w:pPr>
    </w:p>
    <w:p w14:paraId="4E8ED1E9" w14:textId="563205A5" w:rsidR="00D42BFB" w:rsidRPr="004F371B" w:rsidRDefault="008A62B9" w:rsidP="000F7D37">
      <w:pPr>
        <w:spacing w:after="0" w:line="240" w:lineRule="auto"/>
        <w:jc w:val="both"/>
        <w:rPr>
          <w:rFonts w:cstheme="minorHAnsi"/>
          <w:sz w:val="20"/>
        </w:rPr>
      </w:pPr>
      <w:r w:rsidRPr="004F371B">
        <w:rPr>
          <w:rFonts w:cstheme="minorHAnsi"/>
          <w:sz w:val="20"/>
        </w:rPr>
        <w:t>The labor market is a fundamental concept that characterizes the employment opportunities and labor force dynamics in an economy. It involves the interaction between job seekers, who provide the supply of labor, and employers, who provide the demand for labor. The availability of jobs, wages, and working conditions in the labor market have a significant impact on the economy and people's lives. The labor market is not only influenced by economic factors but also by political, social, and technological changes. Thus, it is important to analyze the labor market regularly to understand its strengths, weaknesses, opportunities, and threats.</w:t>
      </w:r>
    </w:p>
    <w:p w14:paraId="7093B34D" w14:textId="60962652" w:rsidR="004F371B" w:rsidRDefault="004F371B" w:rsidP="004F371B">
      <w:pPr>
        <w:spacing w:after="0" w:line="240" w:lineRule="auto"/>
        <w:rPr>
          <w:rFonts w:cstheme="minorHAnsi"/>
          <w:sz w:val="20"/>
        </w:rPr>
      </w:pPr>
    </w:p>
    <w:p w14:paraId="5817C20B" w14:textId="6E3E5C95" w:rsidR="00D42BFB" w:rsidRPr="004F371B" w:rsidRDefault="00D42BFB" w:rsidP="004F371B">
      <w:pPr>
        <w:spacing w:after="0" w:line="240" w:lineRule="auto"/>
        <w:rPr>
          <w:rFonts w:cstheme="minorHAnsi"/>
          <w:b/>
          <w:bCs/>
          <w:sz w:val="20"/>
        </w:rPr>
      </w:pPr>
      <w:r w:rsidRPr="004F371B">
        <w:rPr>
          <w:rFonts w:cstheme="minorHAnsi"/>
          <w:b/>
          <w:bCs/>
          <w:sz w:val="20"/>
        </w:rPr>
        <w:t>2.1) Employability and Unemployment:</w:t>
      </w:r>
      <w:r w:rsidR="004F371B">
        <w:rPr>
          <w:rFonts w:cstheme="minorHAnsi"/>
          <w:b/>
          <w:bCs/>
          <w:sz w:val="20"/>
        </w:rPr>
        <w:br/>
      </w:r>
    </w:p>
    <w:p w14:paraId="227BF724" w14:textId="706C10E3" w:rsidR="00D42BFB" w:rsidRDefault="00D42BFB" w:rsidP="000F7D37">
      <w:pPr>
        <w:spacing w:after="0" w:line="240" w:lineRule="auto"/>
        <w:jc w:val="both"/>
        <w:rPr>
          <w:rFonts w:cstheme="minorHAnsi"/>
          <w:sz w:val="20"/>
        </w:rPr>
      </w:pPr>
      <w:r w:rsidRPr="004F371B">
        <w:rPr>
          <w:rFonts w:cstheme="minorHAnsi"/>
          <w:sz w:val="20"/>
        </w:rPr>
        <w:t xml:space="preserve">Employability refers to the ability of an individual to gain and maintain employment, while unemployment refers to the state of being without a job but actively seeking work. The International </w:t>
      </w:r>
      <w:r w:rsidR="004F371B" w:rsidRPr="004F371B">
        <w:rPr>
          <w:rFonts w:cstheme="minorHAnsi"/>
          <w:sz w:val="20"/>
        </w:rPr>
        <w:t>Labor</w:t>
      </w:r>
      <w:r w:rsidRPr="004F371B">
        <w:rPr>
          <w:rFonts w:cstheme="minorHAnsi"/>
          <w:sz w:val="20"/>
        </w:rPr>
        <w:t xml:space="preserve"> Organization (ILO) </w:t>
      </w:r>
      <w:r w:rsidR="00C83667">
        <w:rPr>
          <w:rFonts w:cstheme="minorHAnsi"/>
          <w:sz w:val="20"/>
        </w:rPr>
        <w:t>shows</w:t>
      </w:r>
      <w:r w:rsidRPr="004F371B">
        <w:rPr>
          <w:rFonts w:cstheme="minorHAnsi"/>
          <w:sz w:val="20"/>
        </w:rPr>
        <w:t xml:space="preserve"> that the global unemployment rate was 5.7% in 2021, with developing countries experiencing higher rates of unemployment than developed countries. In developed countries, the rate of unemployment was 5.3% in 2021, while in developing countries, it was 6.7%.</w:t>
      </w:r>
    </w:p>
    <w:p w14:paraId="58B631DF" w14:textId="4A19D87F" w:rsidR="00B253F5" w:rsidRPr="004F371B" w:rsidRDefault="009F69F7" w:rsidP="000F7D37">
      <w:pPr>
        <w:spacing w:after="0" w:line="240" w:lineRule="auto"/>
        <w:jc w:val="both"/>
        <w:rPr>
          <w:rFonts w:cstheme="minorHAnsi"/>
          <w:sz w:val="20"/>
        </w:rPr>
      </w:pPr>
      <w:r>
        <w:rPr>
          <w:rFonts w:cstheme="minorHAnsi"/>
          <w:noProof/>
          <w:sz w:val="20"/>
        </w:rPr>
        <w:drawing>
          <wp:anchor distT="0" distB="0" distL="114300" distR="114300" simplePos="0" relativeHeight="251658240" behindDoc="0" locked="0" layoutInCell="1" allowOverlap="1" wp14:anchorId="79F08B75" wp14:editId="619A7FF6">
            <wp:simplePos x="0" y="0"/>
            <wp:positionH relativeFrom="page">
              <wp:posOffset>622300</wp:posOffset>
            </wp:positionH>
            <wp:positionV relativeFrom="paragraph">
              <wp:posOffset>233045</wp:posOffset>
            </wp:positionV>
            <wp:extent cx="6007100" cy="1454150"/>
            <wp:effectExtent l="0" t="0" r="12700" b="1270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p>
    <w:p w14:paraId="1336817F" w14:textId="61678A08" w:rsidR="004F371B" w:rsidRPr="004F371B" w:rsidRDefault="004F371B" w:rsidP="000F7D37">
      <w:pPr>
        <w:spacing w:after="0" w:line="240" w:lineRule="auto"/>
        <w:jc w:val="both"/>
        <w:rPr>
          <w:rFonts w:cstheme="minorHAnsi"/>
          <w:sz w:val="20"/>
        </w:rPr>
      </w:pPr>
    </w:p>
    <w:p w14:paraId="16FFFB16" w14:textId="6E35F866" w:rsidR="00D42BFB" w:rsidRDefault="00D42BFB" w:rsidP="000F7D37">
      <w:pPr>
        <w:spacing w:after="0" w:line="240" w:lineRule="auto"/>
        <w:jc w:val="both"/>
        <w:rPr>
          <w:rFonts w:cstheme="minorHAnsi"/>
          <w:sz w:val="20"/>
        </w:rPr>
      </w:pPr>
      <w:r w:rsidRPr="004F371B">
        <w:rPr>
          <w:rFonts w:cstheme="minorHAnsi"/>
          <w:sz w:val="20"/>
        </w:rPr>
        <w:t xml:space="preserve">The UK's </w:t>
      </w:r>
      <w:r w:rsidR="004F371B" w:rsidRPr="004F371B">
        <w:rPr>
          <w:rFonts w:cstheme="minorHAnsi"/>
          <w:sz w:val="20"/>
        </w:rPr>
        <w:t>labor</w:t>
      </w:r>
      <w:r w:rsidRPr="004F371B">
        <w:rPr>
          <w:rFonts w:cstheme="minorHAnsi"/>
          <w:sz w:val="20"/>
        </w:rPr>
        <w:t xml:space="preserve"> force is counted as part of the </w:t>
      </w:r>
      <w:r w:rsidR="004F371B" w:rsidRPr="004F371B">
        <w:rPr>
          <w:rFonts w:cstheme="minorHAnsi"/>
          <w:sz w:val="20"/>
        </w:rPr>
        <w:t>Labor</w:t>
      </w:r>
      <w:r w:rsidRPr="004F371B">
        <w:rPr>
          <w:rFonts w:cstheme="minorHAnsi"/>
          <w:sz w:val="20"/>
        </w:rPr>
        <w:t xml:space="preserve"> Force Survey (LFS). Over 99% of all people in employment fall into the major two categories: employees and self-employed people. Additionally, there are two minor categories: those enrolled in government-sponsored training </w:t>
      </w:r>
      <w:r w:rsidR="004F371B" w:rsidRPr="004F371B">
        <w:rPr>
          <w:rFonts w:cstheme="minorHAnsi"/>
          <w:sz w:val="20"/>
        </w:rPr>
        <w:t>programs</w:t>
      </w:r>
      <w:r w:rsidRPr="004F371B">
        <w:rPr>
          <w:rFonts w:cstheme="minorHAnsi"/>
          <w:sz w:val="20"/>
        </w:rPr>
        <w:t xml:space="preserve"> and unpaid family workers. Jobs and employment are two distinct yet related ideas. The </w:t>
      </w:r>
      <w:r w:rsidR="004F371B" w:rsidRPr="004F371B">
        <w:rPr>
          <w:rFonts w:cstheme="minorHAnsi"/>
          <w:sz w:val="20"/>
        </w:rPr>
        <w:t>Labor</w:t>
      </w:r>
      <w:r w:rsidRPr="004F371B">
        <w:rPr>
          <w:rFonts w:cstheme="minorHAnsi"/>
          <w:sz w:val="20"/>
        </w:rPr>
        <w:t xml:space="preserve"> Force Survey (LFS) is a thorough indicator of employment across the whole economy.</w:t>
      </w:r>
    </w:p>
    <w:p w14:paraId="75990ED7" w14:textId="77777777" w:rsidR="004F371B" w:rsidRPr="004F371B" w:rsidRDefault="004F371B" w:rsidP="000F7D37">
      <w:pPr>
        <w:spacing w:after="0" w:line="240" w:lineRule="auto"/>
        <w:jc w:val="both"/>
        <w:rPr>
          <w:rFonts w:cstheme="minorHAnsi"/>
          <w:sz w:val="20"/>
        </w:rPr>
      </w:pPr>
    </w:p>
    <w:p w14:paraId="059CD1A1" w14:textId="77777777" w:rsidR="009F69F7" w:rsidRDefault="009F69F7" w:rsidP="0019125B">
      <w:pPr>
        <w:spacing w:after="0" w:line="240" w:lineRule="auto"/>
        <w:jc w:val="both"/>
        <w:rPr>
          <w:rFonts w:cstheme="minorHAnsi"/>
          <w:sz w:val="20"/>
        </w:rPr>
      </w:pPr>
    </w:p>
    <w:p w14:paraId="0B7FBED9" w14:textId="77777777" w:rsidR="009F69F7" w:rsidRDefault="009F69F7" w:rsidP="0019125B">
      <w:pPr>
        <w:spacing w:after="0" w:line="240" w:lineRule="auto"/>
        <w:jc w:val="both"/>
        <w:rPr>
          <w:rFonts w:cstheme="minorHAnsi"/>
          <w:sz w:val="20"/>
        </w:rPr>
      </w:pPr>
    </w:p>
    <w:p w14:paraId="4870F97E" w14:textId="77777777" w:rsidR="009F69F7" w:rsidRDefault="009F69F7" w:rsidP="0019125B">
      <w:pPr>
        <w:spacing w:after="0" w:line="240" w:lineRule="auto"/>
        <w:jc w:val="both"/>
        <w:rPr>
          <w:rFonts w:cstheme="minorHAnsi"/>
          <w:sz w:val="20"/>
        </w:rPr>
      </w:pPr>
    </w:p>
    <w:p w14:paraId="3C4339B5" w14:textId="77777777" w:rsidR="009F69F7" w:rsidRDefault="009F69F7" w:rsidP="0019125B">
      <w:pPr>
        <w:spacing w:after="0" w:line="240" w:lineRule="auto"/>
        <w:jc w:val="both"/>
        <w:rPr>
          <w:rFonts w:cstheme="minorHAnsi"/>
          <w:sz w:val="20"/>
        </w:rPr>
      </w:pPr>
    </w:p>
    <w:p w14:paraId="1828F9CC" w14:textId="762A7504" w:rsidR="006025A4" w:rsidRDefault="00D42BFB" w:rsidP="0019125B">
      <w:pPr>
        <w:spacing w:after="0" w:line="240" w:lineRule="auto"/>
        <w:jc w:val="both"/>
        <w:rPr>
          <w:rFonts w:cstheme="minorHAnsi"/>
          <w:sz w:val="20"/>
        </w:rPr>
      </w:pPr>
      <w:r w:rsidRPr="004F371B">
        <w:rPr>
          <w:rFonts w:cstheme="minorHAnsi"/>
          <w:sz w:val="20"/>
        </w:rPr>
        <w:lastRenderedPageBreak/>
        <w:t>The</w:t>
      </w:r>
      <w:r w:rsidR="00C83667">
        <w:rPr>
          <w:rFonts w:cstheme="minorHAnsi"/>
          <w:sz w:val="20"/>
        </w:rPr>
        <w:t xml:space="preserve"> approximate</w:t>
      </w:r>
      <w:r w:rsidRPr="004F371B">
        <w:rPr>
          <w:rFonts w:cstheme="minorHAnsi"/>
          <w:sz w:val="20"/>
        </w:rPr>
        <w:t xml:space="preserve"> UK employment rate was 75.6% in October to December 2022</w:t>
      </w:r>
      <w:r w:rsidR="00C83667">
        <w:rPr>
          <w:rFonts w:cstheme="minorHAnsi"/>
          <w:sz w:val="20"/>
        </w:rPr>
        <w:t xml:space="preserve"> which was</w:t>
      </w:r>
      <w:r w:rsidRPr="004F371B">
        <w:rPr>
          <w:rFonts w:cstheme="minorHAnsi"/>
          <w:sz w:val="20"/>
        </w:rPr>
        <w:t xml:space="preserve"> 0.2 percentage points higher than the previous three-month period. The unemployment rate increased by 0.1 percentage points to 3.7%, </w:t>
      </w:r>
      <w:r w:rsidR="00C83667">
        <w:rPr>
          <w:rFonts w:cstheme="minorHAnsi"/>
          <w:sz w:val="20"/>
        </w:rPr>
        <w:t>with a decrease in</w:t>
      </w:r>
      <w:r w:rsidRPr="004F371B">
        <w:rPr>
          <w:rFonts w:cstheme="minorHAnsi"/>
          <w:sz w:val="20"/>
        </w:rPr>
        <w:t xml:space="preserve"> the economic inactivity rate</w:t>
      </w:r>
      <w:r w:rsidR="00C83667">
        <w:rPr>
          <w:rFonts w:cstheme="minorHAnsi"/>
          <w:sz w:val="20"/>
        </w:rPr>
        <w:t xml:space="preserve"> </w:t>
      </w:r>
      <w:r w:rsidRPr="004F371B">
        <w:rPr>
          <w:rFonts w:cstheme="minorHAnsi"/>
          <w:sz w:val="20"/>
        </w:rPr>
        <w:t xml:space="preserve">by 0.3 percentage points to 21.4%. Vacancies fell by 76,000 </w:t>
      </w:r>
      <w:proofErr w:type="gramStart"/>
      <w:r w:rsidRPr="004F371B">
        <w:rPr>
          <w:rFonts w:cstheme="minorHAnsi"/>
          <w:sz w:val="20"/>
        </w:rPr>
        <w:t>on</w:t>
      </w:r>
      <w:proofErr w:type="gramEnd"/>
      <w:r w:rsidRPr="004F371B">
        <w:rPr>
          <w:rFonts w:cstheme="minorHAnsi"/>
          <w:sz w:val="20"/>
        </w:rPr>
        <w:t xml:space="preserve"> the quarter to 1,134,000, the seventh consecutive quarterly fall since May to July 2022. The fall in the number of vacancies in October to December 2022 was due to economic pressures. Growth in total and regular pay fell on the year, with 3.1% for total pay and 2.5 for regular pay. There were 843,000 working days lost due to </w:t>
      </w:r>
      <w:r w:rsidR="004F371B" w:rsidRPr="004F371B">
        <w:rPr>
          <w:rFonts w:cstheme="minorHAnsi"/>
          <w:sz w:val="20"/>
        </w:rPr>
        <w:t>labor</w:t>
      </w:r>
      <w:r w:rsidRPr="004F371B">
        <w:rPr>
          <w:rFonts w:cstheme="minorHAnsi"/>
          <w:sz w:val="20"/>
        </w:rPr>
        <w:t xml:space="preserve"> disputes, the highest since November 2011.</w:t>
      </w:r>
    </w:p>
    <w:p w14:paraId="4B77545A" w14:textId="1035ED40" w:rsidR="00DB4C31" w:rsidRDefault="00DB4C31" w:rsidP="0019125B">
      <w:pPr>
        <w:spacing w:after="0" w:line="240" w:lineRule="auto"/>
        <w:jc w:val="both"/>
        <w:rPr>
          <w:rFonts w:cstheme="minorHAnsi"/>
          <w:sz w:val="20"/>
        </w:rPr>
      </w:pPr>
    </w:p>
    <w:p w14:paraId="0FE156EC" w14:textId="230898BB" w:rsidR="0019125B" w:rsidRPr="001C3DC2" w:rsidRDefault="00DB4C31" w:rsidP="006025A4">
      <w:pPr>
        <w:spacing w:after="0" w:line="240" w:lineRule="auto"/>
        <w:jc w:val="center"/>
        <w:rPr>
          <w:rFonts w:ascii="Times New Roman" w:hAnsi="Times New Roman" w:cs="Times New Roman"/>
          <w:sz w:val="20"/>
        </w:rPr>
      </w:pPr>
      <w:r w:rsidRPr="001C3DC2">
        <w:rPr>
          <w:noProof/>
          <w:sz w:val="20"/>
        </w:rPr>
        <w:drawing>
          <wp:inline distT="0" distB="0" distL="0" distR="0" wp14:anchorId="1BD80E42" wp14:editId="5A69B54C">
            <wp:extent cx="5562600" cy="2381250"/>
            <wp:effectExtent l="0" t="0" r="0" b="0"/>
            <wp:docPr id="1" name="Chart 1">
              <a:extLst xmlns:a="http://schemas.openxmlformats.org/drawingml/2006/main">
                <a:ext uri="{FF2B5EF4-FFF2-40B4-BE49-F238E27FC236}">
                  <a16:creationId xmlns:a16="http://schemas.microsoft.com/office/drawing/2014/main" id="{861A8B08-8430-4BA7-9EB0-3173297D8A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F566B7" w14:textId="5013D552" w:rsidR="001C3DC2" w:rsidRPr="001C3DC2" w:rsidRDefault="001C3DC2" w:rsidP="006025A4">
      <w:pPr>
        <w:spacing w:after="0" w:line="240" w:lineRule="auto"/>
        <w:jc w:val="center"/>
        <w:rPr>
          <w:rFonts w:ascii="Times New Roman" w:hAnsi="Times New Roman" w:cs="Times New Roman"/>
          <w:color w:val="767171" w:themeColor="background2" w:themeShade="80"/>
          <w:sz w:val="20"/>
        </w:rPr>
      </w:pPr>
      <w:r w:rsidRPr="001C3DC2">
        <w:rPr>
          <w:rFonts w:ascii="Times New Roman" w:hAnsi="Times New Roman" w:cs="Times New Roman"/>
          <w:color w:val="767171" w:themeColor="background2" w:themeShade="80"/>
          <w:sz w:val="20"/>
        </w:rPr>
        <w:t>Author of the report</w:t>
      </w:r>
    </w:p>
    <w:p w14:paraId="1F75EFCD" w14:textId="0503DE00" w:rsidR="001C3DC2" w:rsidRDefault="001C3DC2" w:rsidP="001C3DC2">
      <w:pPr>
        <w:spacing w:after="0" w:line="240" w:lineRule="auto"/>
        <w:rPr>
          <w:rFonts w:ascii="Times New Roman" w:hAnsi="Times New Roman" w:cs="Times New Roman"/>
          <w:b/>
          <w:bCs/>
          <w:sz w:val="32"/>
          <w:szCs w:val="32"/>
        </w:rPr>
      </w:pPr>
    </w:p>
    <w:p w14:paraId="0361CFD6" w14:textId="5442BDBD" w:rsidR="00D42BFB" w:rsidRPr="006025A4" w:rsidRDefault="00D42BFB" w:rsidP="006025A4">
      <w:pPr>
        <w:spacing w:after="0" w:line="240" w:lineRule="auto"/>
        <w:jc w:val="center"/>
        <w:rPr>
          <w:rFonts w:ascii="Times New Roman" w:hAnsi="Times New Roman" w:cs="Times New Roman"/>
          <w:b/>
          <w:bCs/>
          <w:sz w:val="32"/>
          <w:szCs w:val="32"/>
        </w:rPr>
      </w:pPr>
      <w:r w:rsidRPr="006025A4">
        <w:rPr>
          <w:rFonts w:ascii="Times New Roman" w:hAnsi="Times New Roman" w:cs="Times New Roman"/>
          <w:b/>
          <w:bCs/>
          <w:sz w:val="32"/>
          <w:szCs w:val="32"/>
        </w:rPr>
        <w:t xml:space="preserve">UK </w:t>
      </w:r>
      <w:r w:rsidR="006025A4">
        <w:rPr>
          <w:rFonts w:ascii="Times New Roman" w:hAnsi="Times New Roman" w:cs="Times New Roman"/>
          <w:b/>
          <w:bCs/>
          <w:sz w:val="32"/>
          <w:szCs w:val="32"/>
        </w:rPr>
        <w:t>LABOR MARKET</w:t>
      </w:r>
    </w:p>
    <w:p w14:paraId="48AFA11E" w14:textId="77777777" w:rsidR="00D42BFB" w:rsidRPr="00D42BFB" w:rsidRDefault="00D42BFB" w:rsidP="00D42BFB">
      <w:pPr>
        <w:spacing w:after="0" w:line="240" w:lineRule="auto"/>
        <w:rPr>
          <w:rFonts w:ascii="Arial" w:hAnsi="Arial" w:cs="Arial"/>
          <w:b/>
          <w:bCs/>
          <w:sz w:val="20"/>
        </w:rPr>
      </w:pPr>
      <w:r w:rsidRPr="00D42BFB">
        <w:rPr>
          <w:rFonts w:ascii="Arial" w:hAnsi="Arial" w:cs="Arial"/>
          <w:b/>
          <w:bCs/>
          <w:sz w:val="20"/>
        </w:rPr>
        <w:t xml:space="preserve"> </w:t>
      </w:r>
    </w:p>
    <w:p w14:paraId="3022C8C7" w14:textId="329C313E" w:rsidR="004F371B" w:rsidRPr="00B54053" w:rsidRDefault="00B54053" w:rsidP="00B54053">
      <w:pPr>
        <w:spacing w:after="0" w:line="240" w:lineRule="auto"/>
        <w:jc w:val="both"/>
        <w:rPr>
          <w:rFonts w:cstheme="minorHAnsi"/>
          <w:sz w:val="20"/>
        </w:rPr>
      </w:pPr>
      <w:r w:rsidRPr="00B54053">
        <w:rPr>
          <w:rFonts w:cstheme="minorHAnsi"/>
          <w:sz w:val="20"/>
        </w:rPr>
        <w:t>The UK labor market showed a slight increase in employment in the last quarter of 2022, with part-time workers driving the growth. However, the unemployment rate also increased slightly, with more young people aged 16 to 24 becoming unemployed for up to six months. On a positive note, the economic inactivity rate decreased, mainly due to fewer students, retirees, and long-term sick individuals. The UK experienced a record-high net flow out of economic inactivity, with more people moving from inactivity to employment. However, the number of vacancies fell for the seventh consecutive quarter, reflecting uncertainty across industries. Despite strong growth in average total and regular pay, the growth in real terms adjusted for inflation fell, resulting in one of the largest falls since 2001. The UK also experienced a high number of working days lost due to labor disputes in December 2022.</w:t>
      </w:r>
    </w:p>
    <w:p w14:paraId="7DC9E846" w14:textId="77777777" w:rsidR="004F371B" w:rsidRDefault="004F371B" w:rsidP="00D42BFB">
      <w:pPr>
        <w:spacing w:after="0" w:line="240" w:lineRule="auto"/>
        <w:rPr>
          <w:rFonts w:ascii="Arial" w:hAnsi="Arial" w:cs="Arial"/>
          <w:b/>
          <w:bCs/>
          <w:sz w:val="20"/>
        </w:rPr>
      </w:pPr>
    </w:p>
    <w:p w14:paraId="7AE13AE0" w14:textId="0CB3EFA4" w:rsidR="000E009A" w:rsidRDefault="00D42BFB" w:rsidP="00B54053">
      <w:pPr>
        <w:spacing w:after="0" w:line="240" w:lineRule="auto"/>
        <w:jc w:val="center"/>
        <w:rPr>
          <w:rFonts w:ascii="Times New Roman" w:hAnsi="Times New Roman" w:cs="Times New Roman"/>
          <w:b/>
          <w:bCs/>
          <w:sz w:val="32"/>
          <w:szCs w:val="32"/>
        </w:rPr>
      </w:pPr>
      <w:r w:rsidRPr="000E009A">
        <w:rPr>
          <w:rFonts w:ascii="Times New Roman" w:hAnsi="Times New Roman" w:cs="Times New Roman"/>
          <w:b/>
          <w:bCs/>
          <w:sz w:val="32"/>
          <w:szCs w:val="32"/>
        </w:rPr>
        <w:t>SWOT</w:t>
      </w:r>
    </w:p>
    <w:p w14:paraId="2577D359" w14:textId="77777777" w:rsidR="00B54053" w:rsidRDefault="00B54053" w:rsidP="000F7D37">
      <w:pPr>
        <w:spacing w:after="0" w:line="240" w:lineRule="auto"/>
        <w:jc w:val="both"/>
        <w:rPr>
          <w:rFonts w:ascii="Times New Roman" w:hAnsi="Times New Roman" w:cs="Times New Roman"/>
          <w:b/>
          <w:bCs/>
          <w:sz w:val="32"/>
          <w:szCs w:val="32"/>
        </w:rPr>
      </w:pPr>
    </w:p>
    <w:p w14:paraId="5A6F057B" w14:textId="0789DE75" w:rsidR="00D42BFB" w:rsidRDefault="000F7D37" w:rsidP="000F7D37">
      <w:pPr>
        <w:spacing w:after="0" w:line="240" w:lineRule="auto"/>
        <w:jc w:val="both"/>
        <w:rPr>
          <w:rFonts w:cstheme="minorHAnsi"/>
          <w:sz w:val="20"/>
        </w:rPr>
      </w:pPr>
      <w:r w:rsidRPr="000F7D37">
        <w:rPr>
          <w:rFonts w:cstheme="minorHAnsi"/>
          <w:sz w:val="20"/>
        </w:rPr>
        <w:t>SWOT</w:t>
      </w:r>
      <w:r>
        <w:rPr>
          <w:rFonts w:ascii="Arial" w:hAnsi="Arial" w:cs="Arial"/>
          <w:sz w:val="20"/>
        </w:rPr>
        <w:t xml:space="preserve"> </w:t>
      </w:r>
      <w:r w:rsidRPr="000F7D37">
        <w:rPr>
          <w:rFonts w:cstheme="minorHAnsi"/>
          <w:sz w:val="20"/>
        </w:rPr>
        <w:t>(Strengths, Weaknesses, Opportunities, and Threats)</w:t>
      </w:r>
      <w:r>
        <w:rPr>
          <w:rFonts w:ascii="Arial" w:hAnsi="Arial" w:cs="Arial"/>
          <w:sz w:val="20"/>
        </w:rPr>
        <w:t xml:space="preserve"> </w:t>
      </w:r>
      <w:r w:rsidR="000E009A" w:rsidRPr="000E009A">
        <w:rPr>
          <w:rFonts w:cstheme="minorHAnsi"/>
          <w:sz w:val="20"/>
        </w:rPr>
        <w:t xml:space="preserve">are two widely used strategic frameworks designed to evaluate a company's financial status and competitive strengths or weaknesses. These tools were developed to examine both internal and external factors influencing a company or an industry. By analyzing a company's capabilities (using SWOT), it is possible to create strategies that can effectively address organizational issues. This guide provides a comprehensive overview of </w:t>
      </w:r>
      <w:r w:rsidR="00C83667">
        <w:rPr>
          <w:rFonts w:cstheme="minorHAnsi"/>
          <w:sz w:val="20"/>
        </w:rPr>
        <w:t>SWOT.</w:t>
      </w:r>
    </w:p>
    <w:p w14:paraId="02260474" w14:textId="078575FD" w:rsidR="006025A4" w:rsidRDefault="006025A4" w:rsidP="000F7D37">
      <w:pPr>
        <w:spacing w:after="0" w:line="240" w:lineRule="auto"/>
        <w:jc w:val="both"/>
        <w:rPr>
          <w:rFonts w:cstheme="minorHAnsi"/>
          <w:sz w:val="20"/>
        </w:rPr>
      </w:pPr>
    </w:p>
    <w:p w14:paraId="3B18F792" w14:textId="77777777" w:rsidR="006025A4" w:rsidRPr="006025A4" w:rsidRDefault="006025A4" w:rsidP="006025A4">
      <w:pPr>
        <w:rPr>
          <w:rFonts w:ascii="Times New Roman" w:hAnsi="Times New Roman" w:cs="Times New Roman"/>
          <w:b/>
          <w:bCs/>
          <w:sz w:val="32"/>
          <w:szCs w:val="28"/>
        </w:rPr>
      </w:pPr>
      <w:r w:rsidRPr="006025A4">
        <w:rPr>
          <w:rFonts w:ascii="Times New Roman" w:hAnsi="Times New Roman" w:cs="Times New Roman"/>
          <w:b/>
          <w:bCs/>
          <w:sz w:val="32"/>
          <w:szCs w:val="28"/>
        </w:rPr>
        <w:t>SWOT Analysis:</w:t>
      </w:r>
    </w:p>
    <w:p w14:paraId="47DE62E2" w14:textId="77777777" w:rsidR="006025A4" w:rsidRPr="006025A4" w:rsidRDefault="006025A4" w:rsidP="006025A4">
      <w:pPr>
        <w:jc w:val="both"/>
        <w:rPr>
          <w:sz w:val="20"/>
          <w:szCs w:val="18"/>
        </w:rPr>
      </w:pPr>
      <w:r w:rsidRPr="006025A4">
        <w:rPr>
          <w:b/>
          <w:bCs/>
          <w:sz w:val="20"/>
          <w:szCs w:val="18"/>
        </w:rPr>
        <w:t>Strengths:</w:t>
      </w:r>
      <w:r w:rsidRPr="006025A4">
        <w:rPr>
          <w:sz w:val="20"/>
          <w:szCs w:val="18"/>
        </w:rPr>
        <w:t xml:space="preserve"> The UK has a diverse workforce with a range of skills and expertise. Additionally, the country has a relatively low unemployment rate, indicating a healthy labor market.</w:t>
      </w:r>
    </w:p>
    <w:p w14:paraId="25A9EC51" w14:textId="77777777" w:rsidR="006025A4" w:rsidRPr="006025A4" w:rsidRDefault="006025A4" w:rsidP="006025A4">
      <w:pPr>
        <w:jc w:val="both"/>
        <w:rPr>
          <w:sz w:val="20"/>
          <w:szCs w:val="18"/>
        </w:rPr>
      </w:pPr>
      <w:r w:rsidRPr="006025A4">
        <w:rPr>
          <w:b/>
          <w:bCs/>
          <w:sz w:val="20"/>
          <w:szCs w:val="18"/>
        </w:rPr>
        <w:t>Weaknesses:</w:t>
      </w:r>
      <w:r w:rsidRPr="006025A4">
        <w:rPr>
          <w:sz w:val="20"/>
          <w:szCs w:val="18"/>
        </w:rPr>
        <w:t xml:space="preserve"> The UK is facing a significant skills shortage in some industries, particularly healthcare and technology. This shortage has led to increased demand for workers in these fields, which can lead to wage inflation and recruitment challenges.</w:t>
      </w:r>
    </w:p>
    <w:p w14:paraId="4114A63F" w14:textId="77777777" w:rsidR="006025A4" w:rsidRPr="006025A4" w:rsidRDefault="006025A4" w:rsidP="006025A4">
      <w:pPr>
        <w:jc w:val="both"/>
        <w:rPr>
          <w:sz w:val="20"/>
          <w:szCs w:val="18"/>
        </w:rPr>
      </w:pPr>
      <w:r w:rsidRPr="006025A4">
        <w:rPr>
          <w:b/>
          <w:bCs/>
          <w:sz w:val="20"/>
          <w:szCs w:val="18"/>
        </w:rPr>
        <w:t>Opportunities:</w:t>
      </w:r>
      <w:r w:rsidRPr="006025A4">
        <w:rPr>
          <w:sz w:val="20"/>
          <w:szCs w:val="18"/>
        </w:rPr>
        <w:t xml:space="preserve"> The rise of new technologies and industries presents an opportunity for the UK to create new jobs and attract talent. The country also has a strong higher education system, which can provide the necessary skills and training for workers in emerging fields.</w:t>
      </w:r>
    </w:p>
    <w:p w14:paraId="05EE1307" w14:textId="7057231D" w:rsidR="00693DF6" w:rsidRPr="00FC75BC" w:rsidRDefault="006025A4" w:rsidP="00FC75BC">
      <w:pPr>
        <w:jc w:val="both"/>
        <w:rPr>
          <w:sz w:val="20"/>
          <w:szCs w:val="18"/>
        </w:rPr>
      </w:pPr>
      <w:r w:rsidRPr="006025A4">
        <w:rPr>
          <w:b/>
          <w:bCs/>
          <w:sz w:val="20"/>
          <w:szCs w:val="18"/>
        </w:rPr>
        <w:lastRenderedPageBreak/>
        <w:t>Threats:</w:t>
      </w:r>
      <w:r w:rsidRPr="006025A4">
        <w:rPr>
          <w:sz w:val="20"/>
          <w:szCs w:val="18"/>
        </w:rPr>
        <w:t xml:space="preserve"> Brexit has created uncertainty in the UK labor market, particularly for industries that rely on foreign workers. Additionally, the rise of automation and artificial intelligence may displace some workers and change the nature of work in the UK.</w:t>
      </w:r>
      <w:r w:rsidR="00693DF6">
        <w:rPr>
          <w:sz w:val="20"/>
          <w:szCs w:val="18"/>
        </w:rPr>
        <w:br/>
      </w:r>
    </w:p>
    <w:p w14:paraId="063E21A9" w14:textId="3CD30185" w:rsidR="00D42BFB" w:rsidRDefault="00D42BFB" w:rsidP="00693DF6">
      <w:pPr>
        <w:spacing w:after="0" w:line="240" w:lineRule="auto"/>
        <w:jc w:val="center"/>
        <w:rPr>
          <w:rFonts w:ascii="Times New Roman" w:hAnsi="Times New Roman" w:cs="Times New Roman"/>
          <w:b/>
          <w:bCs/>
          <w:sz w:val="32"/>
          <w:szCs w:val="32"/>
        </w:rPr>
      </w:pPr>
      <w:r w:rsidRPr="000F7D37">
        <w:rPr>
          <w:rFonts w:ascii="Times New Roman" w:hAnsi="Times New Roman" w:cs="Times New Roman"/>
          <w:b/>
          <w:bCs/>
          <w:sz w:val="32"/>
          <w:szCs w:val="32"/>
        </w:rPr>
        <w:t>E</w:t>
      </w:r>
      <w:r w:rsidR="00B54053">
        <w:rPr>
          <w:rFonts w:ascii="Times New Roman" w:hAnsi="Times New Roman" w:cs="Times New Roman"/>
          <w:b/>
          <w:bCs/>
          <w:sz w:val="32"/>
          <w:szCs w:val="32"/>
        </w:rPr>
        <w:t>MERGING CHANGES IN</w:t>
      </w:r>
      <w:r w:rsidRPr="000F7D37">
        <w:rPr>
          <w:rFonts w:ascii="Times New Roman" w:hAnsi="Times New Roman" w:cs="Times New Roman"/>
          <w:b/>
          <w:bCs/>
          <w:sz w:val="32"/>
          <w:szCs w:val="32"/>
        </w:rPr>
        <w:t xml:space="preserve"> HR </w:t>
      </w:r>
      <w:r w:rsidR="00B54053">
        <w:rPr>
          <w:rFonts w:ascii="Times New Roman" w:hAnsi="Times New Roman" w:cs="Times New Roman"/>
          <w:b/>
          <w:bCs/>
          <w:sz w:val="32"/>
          <w:szCs w:val="32"/>
        </w:rPr>
        <w:t>STRATEGIES</w:t>
      </w:r>
    </w:p>
    <w:p w14:paraId="485F8320" w14:textId="77777777" w:rsidR="00B54053" w:rsidRPr="000F7D37" w:rsidRDefault="00B54053" w:rsidP="00B54053">
      <w:pPr>
        <w:spacing w:after="0" w:line="240" w:lineRule="auto"/>
        <w:jc w:val="center"/>
        <w:rPr>
          <w:rFonts w:ascii="Times New Roman" w:hAnsi="Times New Roman" w:cs="Times New Roman"/>
          <w:b/>
          <w:bCs/>
          <w:sz w:val="32"/>
          <w:szCs w:val="32"/>
        </w:rPr>
      </w:pPr>
    </w:p>
    <w:p w14:paraId="6BD55293" w14:textId="21FE42CB" w:rsidR="00693DF6" w:rsidRPr="00693DF6" w:rsidRDefault="00D42BFB" w:rsidP="00693DF6">
      <w:pPr>
        <w:pStyle w:val="NoSpacing"/>
        <w:jc w:val="both"/>
        <w:rPr>
          <w:rFonts w:cstheme="minorHAnsi"/>
          <w:sz w:val="20"/>
        </w:rPr>
      </w:pPr>
      <w:r w:rsidRPr="000F7D37">
        <w:rPr>
          <w:rFonts w:cstheme="minorHAnsi"/>
          <w:sz w:val="20"/>
        </w:rPr>
        <w:t xml:space="preserve">This section discusses the emerging changes in human resourcing strategies that organizations are adopting to adapt to the evolving external environment. The focus is on the impact of various factors on HR strategies, including post-Brexit and post-COVID external environments, as well as the </w:t>
      </w:r>
      <w:r w:rsidR="001C3DC2" w:rsidRPr="000F7D37">
        <w:rPr>
          <w:rFonts w:cstheme="minorHAnsi"/>
          <w:sz w:val="20"/>
        </w:rPr>
        <w:t>cost-of-living</w:t>
      </w:r>
      <w:r w:rsidRPr="000F7D37">
        <w:rPr>
          <w:rFonts w:cstheme="minorHAnsi"/>
          <w:sz w:val="20"/>
        </w:rPr>
        <w:t xml:space="preserve"> crisis in 2022. The section aims to provide a comprehensive overview of the various changes that are taking place and their implications for HR professionals and organizations.</w:t>
      </w:r>
    </w:p>
    <w:p w14:paraId="7FE37992" w14:textId="77777777" w:rsidR="00693DF6" w:rsidRDefault="00693DF6" w:rsidP="00D42BFB">
      <w:pPr>
        <w:pStyle w:val="NoSpacing"/>
        <w:rPr>
          <w:rFonts w:cstheme="minorHAnsi"/>
          <w:b/>
          <w:bCs/>
          <w:sz w:val="20"/>
        </w:rPr>
      </w:pPr>
    </w:p>
    <w:p w14:paraId="6371EAC8" w14:textId="0927E9AE" w:rsidR="00D42BFB" w:rsidRPr="000F7D37" w:rsidRDefault="00D42BFB" w:rsidP="00D42BFB">
      <w:pPr>
        <w:pStyle w:val="NoSpacing"/>
        <w:rPr>
          <w:rFonts w:cstheme="minorHAnsi"/>
          <w:b/>
          <w:bCs/>
          <w:color w:val="C45911" w:themeColor="accent2" w:themeShade="BF"/>
          <w:sz w:val="20"/>
        </w:rPr>
      </w:pPr>
      <w:r w:rsidRPr="000F7D37">
        <w:rPr>
          <w:rFonts w:cstheme="minorHAnsi"/>
          <w:b/>
          <w:bCs/>
          <w:sz w:val="20"/>
        </w:rPr>
        <w:t xml:space="preserve">4.1 </w:t>
      </w:r>
      <w:r w:rsidR="001C3DC2" w:rsidRPr="000F7D37">
        <w:rPr>
          <w:rFonts w:cstheme="minorHAnsi"/>
          <w:b/>
          <w:bCs/>
          <w:sz w:val="20"/>
        </w:rPr>
        <w:t>post-Brexit</w:t>
      </w:r>
      <w:r w:rsidRPr="000F7D37">
        <w:rPr>
          <w:rFonts w:cstheme="minorHAnsi"/>
          <w:b/>
          <w:bCs/>
          <w:sz w:val="20"/>
        </w:rPr>
        <w:t>:</w:t>
      </w:r>
      <w:r w:rsidR="005F62D6" w:rsidRPr="000F7D37">
        <w:rPr>
          <w:rFonts w:cstheme="minorHAnsi"/>
          <w:b/>
          <w:bCs/>
          <w:sz w:val="20"/>
        </w:rPr>
        <w:t xml:space="preserve"> </w:t>
      </w:r>
    </w:p>
    <w:p w14:paraId="1D768AFC" w14:textId="6C4C76A4" w:rsidR="00D42BFB" w:rsidRDefault="00D42BFB" w:rsidP="00D42BFB">
      <w:pPr>
        <w:pStyle w:val="NoSpacing"/>
        <w:rPr>
          <w:rFonts w:cstheme="minorHAnsi"/>
          <w:b/>
          <w:bCs/>
          <w:color w:val="C45911" w:themeColor="accent2" w:themeShade="BF"/>
          <w:sz w:val="20"/>
        </w:rPr>
      </w:pPr>
      <w:r w:rsidRPr="000F7D37">
        <w:rPr>
          <w:rFonts w:cstheme="minorHAnsi"/>
          <w:sz w:val="20"/>
        </w:rPr>
        <w:t>This subsection discusses the changes in HR strategies that have emerged in response to the United Kingdom's departure from the European Union. It covers changes in recruitment and hiring practices, including sourcing talent from outside the UK and developing new talent locally. It also covers changes in employment regulations and policies, such as changes to immigration laws, employee benefits, and labor laws.</w:t>
      </w:r>
      <w:r w:rsidR="005F62D6" w:rsidRPr="000F7D37">
        <w:rPr>
          <w:rFonts w:cstheme="minorHAnsi"/>
          <w:sz w:val="20"/>
        </w:rPr>
        <w:t xml:space="preserve"> </w:t>
      </w:r>
      <w:r w:rsidR="002B6B69">
        <w:rPr>
          <w:rFonts w:cstheme="minorHAnsi"/>
          <w:sz w:val="20"/>
        </w:rPr>
        <w:t xml:space="preserve">Some of the post Brexit changes are: </w:t>
      </w:r>
    </w:p>
    <w:p w14:paraId="49060CC8" w14:textId="08253D1C" w:rsidR="004C52F0" w:rsidRDefault="004C52F0" w:rsidP="00D42BFB">
      <w:pPr>
        <w:pStyle w:val="NoSpacing"/>
        <w:rPr>
          <w:rFonts w:cstheme="minorHAnsi"/>
          <w:b/>
          <w:bCs/>
          <w:color w:val="C45911" w:themeColor="accent2" w:themeShade="BF"/>
          <w:sz w:val="20"/>
        </w:rPr>
      </w:pPr>
    </w:p>
    <w:p w14:paraId="140026A3" w14:textId="77777777" w:rsidR="004C52F0" w:rsidRPr="004C52F0" w:rsidRDefault="004C52F0" w:rsidP="004C52F0">
      <w:pPr>
        <w:pStyle w:val="NoSpacing"/>
        <w:jc w:val="both"/>
        <w:rPr>
          <w:rFonts w:cstheme="minorHAnsi"/>
          <w:sz w:val="20"/>
        </w:rPr>
      </w:pPr>
      <w:r w:rsidRPr="004C52F0">
        <w:rPr>
          <w:rFonts w:cstheme="minorHAnsi"/>
          <w:b/>
          <w:bCs/>
          <w:sz w:val="20"/>
        </w:rPr>
        <w:t>Right to Work Checks:</w:t>
      </w:r>
      <w:r w:rsidRPr="004C52F0">
        <w:rPr>
          <w:rFonts w:cstheme="minorHAnsi"/>
          <w:sz w:val="20"/>
        </w:rPr>
        <w:t xml:space="preserve"> Employers now need to ensure that any new employees have the right to work in the UK. This includes verifying that EU citizens have the right to work in the UK under the EU Settlement Scheme or have a visa.</w:t>
      </w:r>
    </w:p>
    <w:p w14:paraId="64D6E805" w14:textId="77777777" w:rsidR="004C52F0" w:rsidRPr="004C52F0" w:rsidRDefault="004C52F0" w:rsidP="004C52F0">
      <w:pPr>
        <w:pStyle w:val="NoSpacing"/>
        <w:jc w:val="both"/>
        <w:rPr>
          <w:rFonts w:cstheme="minorHAnsi"/>
          <w:sz w:val="20"/>
        </w:rPr>
      </w:pPr>
    </w:p>
    <w:p w14:paraId="238FF97C" w14:textId="77777777" w:rsidR="004C52F0" w:rsidRPr="004C52F0" w:rsidRDefault="004C52F0" w:rsidP="004C52F0">
      <w:pPr>
        <w:pStyle w:val="NoSpacing"/>
        <w:jc w:val="both"/>
        <w:rPr>
          <w:rFonts w:cstheme="minorHAnsi"/>
          <w:sz w:val="20"/>
        </w:rPr>
      </w:pPr>
      <w:r w:rsidRPr="004C52F0">
        <w:rPr>
          <w:rFonts w:cstheme="minorHAnsi"/>
          <w:b/>
          <w:bCs/>
          <w:sz w:val="20"/>
        </w:rPr>
        <w:t>Immigration:</w:t>
      </w:r>
      <w:r w:rsidRPr="004C52F0">
        <w:rPr>
          <w:rFonts w:cstheme="minorHAnsi"/>
          <w:sz w:val="20"/>
        </w:rPr>
        <w:t xml:space="preserve"> The UK has introduced a new points-based immigration system for non-UK workers. This system applies to both EU and non-EU citizens, and employers must comply with the new rules for recruiting workers from outside the UK.</w:t>
      </w:r>
    </w:p>
    <w:p w14:paraId="6562D293" w14:textId="77777777" w:rsidR="004C52F0" w:rsidRPr="004C52F0" w:rsidRDefault="004C52F0" w:rsidP="004C52F0">
      <w:pPr>
        <w:pStyle w:val="NoSpacing"/>
        <w:jc w:val="both"/>
        <w:rPr>
          <w:rFonts w:cstheme="minorHAnsi"/>
          <w:sz w:val="20"/>
        </w:rPr>
      </w:pPr>
    </w:p>
    <w:p w14:paraId="1B354B03" w14:textId="77777777" w:rsidR="004C52F0" w:rsidRPr="004C52F0" w:rsidRDefault="004C52F0" w:rsidP="004C52F0">
      <w:pPr>
        <w:pStyle w:val="NoSpacing"/>
        <w:jc w:val="both"/>
        <w:rPr>
          <w:rFonts w:cstheme="minorHAnsi"/>
          <w:sz w:val="20"/>
        </w:rPr>
      </w:pPr>
      <w:r w:rsidRPr="004C52F0">
        <w:rPr>
          <w:rFonts w:cstheme="minorHAnsi"/>
          <w:b/>
          <w:bCs/>
          <w:sz w:val="20"/>
        </w:rPr>
        <w:t>Employment Law:</w:t>
      </w:r>
      <w:r w:rsidRPr="004C52F0">
        <w:rPr>
          <w:rFonts w:cstheme="minorHAnsi"/>
          <w:sz w:val="20"/>
        </w:rPr>
        <w:t xml:space="preserve"> The UK has left the jurisdiction of the European Court of Justice, which means that UK employment law is no longer bound by EU regulations. However, many of the EU employment laws have been adopted into UK law, so the impact on HR practices may be minimal.</w:t>
      </w:r>
    </w:p>
    <w:p w14:paraId="668B845C" w14:textId="77777777" w:rsidR="004C52F0" w:rsidRPr="004C52F0" w:rsidRDefault="004C52F0" w:rsidP="004C52F0">
      <w:pPr>
        <w:pStyle w:val="NoSpacing"/>
        <w:jc w:val="both"/>
        <w:rPr>
          <w:rFonts w:cstheme="minorHAnsi"/>
          <w:sz w:val="20"/>
        </w:rPr>
      </w:pPr>
    </w:p>
    <w:p w14:paraId="1161A833" w14:textId="77777777" w:rsidR="004C52F0" w:rsidRPr="004C52F0" w:rsidRDefault="004C52F0" w:rsidP="004C52F0">
      <w:pPr>
        <w:pStyle w:val="NoSpacing"/>
        <w:jc w:val="both"/>
        <w:rPr>
          <w:rFonts w:cstheme="minorHAnsi"/>
          <w:sz w:val="20"/>
        </w:rPr>
      </w:pPr>
      <w:r w:rsidRPr="004C52F0">
        <w:rPr>
          <w:rFonts w:cstheme="minorHAnsi"/>
          <w:b/>
          <w:bCs/>
          <w:sz w:val="20"/>
        </w:rPr>
        <w:t>Data Protection:</w:t>
      </w:r>
      <w:r w:rsidRPr="004C52F0">
        <w:rPr>
          <w:rFonts w:cstheme="minorHAnsi"/>
          <w:sz w:val="20"/>
        </w:rPr>
        <w:t xml:space="preserve"> The UK now has its own data protection laws that differ from the EU's General Data Protection Regulation (GDPR). Employers must comply with the new UK data protection laws when handling employee data.</w:t>
      </w:r>
    </w:p>
    <w:p w14:paraId="6A7E59C8" w14:textId="77777777" w:rsidR="004C52F0" w:rsidRPr="004C52F0" w:rsidRDefault="004C52F0" w:rsidP="004C52F0">
      <w:pPr>
        <w:pStyle w:val="NoSpacing"/>
        <w:jc w:val="both"/>
        <w:rPr>
          <w:rFonts w:cstheme="minorHAnsi"/>
          <w:sz w:val="20"/>
        </w:rPr>
      </w:pPr>
    </w:p>
    <w:p w14:paraId="0C4742C6" w14:textId="77777777" w:rsidR="004C52F0" w:rsidRPr="004C52F0" w:rsidRDefault="004C52F0" w:rsidP="004C52F0">
      <w:pPr>
        <w:pStyle w:val="NoSpacing"/>
        <w:jc w:val="both"/>
        <w:rPr>
          <w:rFonts w:cstheme="minorHAnsi"/>
          <w:sz w:val="20"/>
        </w:rPr>
      </w:pPr>
      <w:r w:rsidRPr="004C52F0">
        <w:rPr>
          <w:rFonts w:cstheme="minorHAnsi"/>
          <w:b/>
          <w:bCs/>
          <w:sz w:val="20"/>
        </w:rPr>
        <w:t>Social Security:</w:t>
      </w:r>
      <w:r w:rsidRPr="004C52F0">
        <w:rPr>
          <w:rFonts w:cstheme="minorHAnsi"/>
          <w:sz w:val="20"/>
        </w:rPr>
        <w:t xml:space="preserve"> UK employees who work in the EU or EEA are now subject to the social security laws of the country they work in, rather than UK social security laws.</w:t>
      </w:r>
    </w:p>
    <w:p w14:paraId="24D955BC" w14:textId="77777777" w:rsidR="004C52F0" w:rsidRPr="004C52F0" w:rsidRDefault="004C52F0" w:rsidP="004C52F0">
      <w:pPr>
        <w:pStyle w:val="NoSpacing"/>
        <w:jc w:val="both"/>
        <w:rPr>
          <w:rFonts w:cstheme="minorHAnsi"/>
          <w:sz w:val="20"/>
        </w:rPr>
      </w:pPr>
    </w:p>
    <w:p w14:paraId="40BAE2CA" w14:textId="77777777" w:rsidR="004C52F0" w:rsidRPr="004C52F0" w:rsidRDefault="004C52F0" w:rsidP="004C52F0">
      <w:pPr>
        <w:pStyle w:val="NoSpacing"/>
        <w:jc w:val="both"/>
        <w:rPr>
          <w:rFonts w:cstheme="minorHAnsi"/>
          <w:sz w:val="20"/>
        </w:rPr>
      </w:pPr>
      <w:r w:rsidRPr="004C52F0">
        <w:rPr>
          <w:rFonts w:cstheme="minorHAnsi"/>
          <w:b/>
          <w:bCs/>
          <w:sz w:val="20"/>
        </w:rPr>
        <w:t>Recruitment and Retention:</w:t>
      </w:r>
      <w:r w:rsidRPr="004C52F0">
        <w:rPr>
          <w:rFonts w:cstheme="minorHAnsi"/>
          <w:sz w:val="20"/>
        </w:rPr>
        <w:t xml:space="preserve"> Brexit has had an impact on the recruitment and retention of employees in the UK. There is increased competition for talent, and employers may need to adjust their recruitment strategies to attract and retain workers.</w:t>
      </w:r>
    </w:p>
    <w:p w14:paraId="5C9B42E3" w14:textId="77777777" w:rsidR="004C52F0" w:rsidRPr="004C52F0" w:rsidRDefault="004C52F0" w:rsidP="004C52F0">
      <w:pPr>
        <w:pStyle w:val="NoSpacing"/>
        <w:jc w:val="both"/>
        <w:rPr>
          <w:rFonts w:cstheme="minorHAnsi"/>
          <w:sz w:val="20"/>
        </w:rPr>
      </w:pPr>
    </w:p>
    <w:p w14:paraId="4B61E0B2" w14:textId="77777777" w:rsidR="004C52F0" w:rsidRPr="004C52F0" w:rsidRDefault="004C52F0" w:rsidP="004C52F0">
      <w:pPr>
        <w:pStyle w:val="NoSpacing"/>
        <w:jc w:val="both"/>
        <w:rPr>
          <w:rFonts w:cstheme="minorHAnsi"/>
          <w:sz w:val="20"/>
        </w:rPr>
      </w:pPr>
      <w:r w:rsidRPr="004C52F0">
        <w:rPr>
          <w:rFonts w:cstheme="minorHAnsi"/>
          <w:b/>
          <w:bCs/>
          <w:sz w:val="20"/>
        </w:rPr>
        <w:t>Remote Working:</w:t>
      </w:r>
      <w:r w:rsidRPr="004C52F0">
        <w:rPr>
          <w:rFonts w:cstheme="minorHAnsi"/>
          <w:sz w:val="20"/>
        </w:rPr>
        <w:t xml:space="preserve"> The pandemic has accelerated the trend towards remote working, and Brexit may have further encouraged this. Remote working allows UK </w:t>
      </w:r>
      <w:proofErr w:type="gramStart"/>
      <w:r w:rsidRPr="004C52F0">
        <w:rPr>
          <w:rFonts w:cstheme="minorHAnsi"/>
          <w:sz w:val="20"/>
        </w:rPr>
        <w:t>employers</w:t>
      </w:r>
      <w:proofErr w:type="gramEnd"/>
      <w:r w:rsidRPr="004C52F0">
        <w:rPr>
          <w:rFonts w:cstheme="minorHAnsi"/>
          <w:sz w:val="20"/>
        </w:rPr>
        <w:t xml:space="preserve"> to recruit talent from anywhere in the world, not just the EU.</w:t>
      </w:r>
    </w:p>
    <w:p w14:paraId="04F5EB87" w14:textId="77777777" w:rsidR="004C52F0" w:rsidRPr="004C52F0" w:rsidRDefault="004C52F0" w:rsidP="004C52F0">
      <w:pPr>
        <w:pStyle w:val="NoSpacing"/>
        <w:jc w:val="both"/>
        <w:rPr>
          <w:rFonts w:cstheme="minorHAnsi"/>
          <w:sz w:val="20"/>
        </w:rPr>
      </w:pPr>
    </w:p>
    <w:p w14:paraId="17A61698" w14:textId="7F1597A4" w:rsidR="004C52F0" w:rsidRDefault="004C52F0" w:rsidP="004C52F0">
      <w:pPr>
        <w:pStyle w:val="NoSpacing"/>
        <w:jc w:val="both"/>
        <w:rPr>
          <w:rFonts w:cstheme="minorHAnsi"/>
          <w:sz w:val="20"/>
        </w:rPr>
      </w:pPr>
      <w:r w:rsidRPr="004C52F0">
        <w:rPr>
          <w:rFonts w:cstheme="minorHAnsi"/>
          <w:sz w:val="20"/>
        </w:rPr>
        <w:t>Overall, post-Brexit changes have had an impact on HR strategies, particularly in areas such as right to work checks, immigration, and data protection. Employers must ensure that they comply with the new regulations to avoid potential legal and financial penalties.</w:t>
      </w:r>
    </w:p>
    <w:p w14:paraId="7A6760D7" w14:textId="77777777" w:rsidR="004C52F0" w:rsidRPr="000F7D37" w:rsidRDefault="004C52F0" w:rsidP="004C52F0">
      <w:pPr>
        <w:pStyle w:val="NoSpacing"/>
        <w:jc w:val="both"/>
        <w:rPr>
          <w:rFonts w:cstheme="minorHAnsi"/>
          <w:sz w:val="20"/>
        </w:rPr>
      </w:pPr>
    </w:p>
    <w:p w14:paraId="67BEB69E" w14:textId="77777777" w:rsidR="00D42BFB" w:rsidRPr="000F7D37" w:rsidRDefault="00D42BFB" w:rsidP="00D42BFB">
      <w:pPr>
        <w:pStyle w:val="NoSpacing"/>
        <w:rPr>
          <w:rFonts w:cstheme="minorHAnsi"/>
          <w:b/>
          <w:bCs/>
          <w:sz w:val="20"/>
        </w:rPr>
      </w:pPr>
      <w:r w:rsidRPr="000F7D37">
        <w:rPr>
          <w:rFonts w:cstheme="minorHAnsi"/>
          <w:b/>
          <w:bCs/>
          <w:sz w:val="20"/>
        </w:rPr>
        <w:t xml:space="preserve">4.2 </w:t>
      </w:r>
      <w:proofErr w:type="gramStart"/>
      <w:r w:rsidRPr="000F7D37">
        <w:rPr>
          <w:rFonts w:cstheme="minorHAnsi"/>
          <w:b/>
          <w:bCs/>
          <w:sz w:val="20"/>
        </w:rPr>
        <w:t>Post-COVID</w:t>
      </w:r>
      <w:proofErr w:type="gramEnd"/>
      <w:r w:rsidRPr="000F7D37">
        <w:rPr>
          <w:rFonts w:cstheme="minorHAnsi"/>
          <w:b/>
          <w:bCs/>
          <w:sz w:val="20"/>
        </w:rPr>
        <w:t>:</w:t>
      </w:r>
    </w:p>
    <w:p w14:paraId="706CF56C" w14:textId="7563300E" w:rsidR="00D42BFB" w:rsidRDefault="00D42BFB" w:rsidP="002B6B69">
      <w:pPr>
        <w:pStyle w:val="NoSpacing"/>
        <w:jc w:val="both"/>
        <w:rPr>
          <w:rFonts w:cstheme="minorHAnsi"/>
          <w:b/>
          <w:bCs/>
          <w:color w:val="C45911" w:themeColor="accent2" w:themeShade="BF"/>
          <w:sz w:val="20"/>
        </w:rPr>
      </w:pPr>
      <w:r w:rsidRPr="000F7D37">
        <w:rPr>
          <w:rFonts w:cstheme="minorHAnsi"/>
          <w:sz w:val="20"/>
        </w:rPr>
        <w:t>This subsection focuses on the changes in HR strategies that have emerged in response to the COVID-19 pandemic and its aftermath. It covers the widespread adoption of remote work, hybrid work models, and flexible work arrangements. It also discusses changes in employee well-being, including mental health support, work-life balance, and social support. Additionally, it addresses the use of technology in recruitment, training, and employee engagement.</w:t>
      </w:r>
      <w:r w:rsidR="005F62D6" w:rsidRPr="000F7D37">
        <w:rPr>
          <w:rFonts w:cstheme="minorHAnsi"/>
          <w:sz w:val="20"/>
        </w:rPr>
        <w:t xml:space="preserve"> </w:t>
      </w:r>
      <w:r w:rsidR="002B6B69">
        <w:rPr>
          <w:rFonts w:cstheme="minorHAnsi"/>
          <w:sz w:val="20"/>
        </w:rPr>
        <w:t xml:space="preserve">Major changes that </w:t>
      </w:r>
      <w:proofErr w:type="gramStart"/>
      <w:r w:rsidR="002B6B69">
        <w:rPr>
          <w:rFonts w:cstheme="minorHAnsi"/>
          <w:sz w:val="20"/>
        </w:rPr>
        <w:t>has</w:t>
      </w:r>
      <w:proofErr w:type="gramEnd"/>
      <w:r w:rsidR="002B6B69">
        <w:rPr>
          <w:rFonts w:cstheme="minorHAnsi"/>
          <w:sz w:val="20"/>
        </w:rPr>
        <w:t xml:space="preserve"> happened post Covid are as follows:</w:t>
      </w:r>
    </w:p>
    <w:p w14:paraId="29F9886B" w14:textId="64F3368D" w:rsidR="002B6B69" w:rsidRDefault="002B6B69" w:rsidP="002B6B69">
      <w:pPr>
        <w:pStyle w:val="NoSpacing"/>
        <w:jc w:val="both"/>
        <w:rPr>
          <w:rFonts w:cstheme="minorHAnsi"/>
          <w:b/>
          <w:bCs/>
          <w:color w:val="C45911" w:themeColor="accent2" w:themeShade="BF"/>
          <w:sz w:val="20"/>
        </w:rPr>
      </w:pPr>
    </w:p>
    <w:p w14:paraId="7D0ED634" w14:textId="77777777" w:rsidR="002B6B69" w:rsidRPr="002B6B69" w:rsidRDefault="002B6B69" w:rsidP="002B6B69">
      <w:pPr>
        <w:pStyle w:val="NoSpacing"/>
        <w:jc w:val="both"/>
        <w:rPr>
          <w:rFonts w:cstheme="minorHAnsi"/>
          <w:sz w:val="20"/>
        </w:rPr>
      </w:pPr>
      <w:r w:rsidRPr="002B6B69">
        <w:rPr>
          <w:rFonts w:cstheme="minorHAnsi"/>
          <w:b/>
          <w:bCs/>
          <w:sz w:val="20"/>
        </w:rPr>
        <w:t>Hybrid work models:</w:t>
      </w:r>
      <w:r w:rsidRPr="002B6B69">
        <w:rPr>
          <w:rFonts w:cstheme="minorHAnsi"/>
          <w:sz w:val="20"/>
        </w:rPr>
        <w:t xml:space="preserve"> Many companies are adopting hybrid work models, which allow employees to work from home and the office on a flexible schedule. HR policies need to adapt to support this new way of working, including policies around remote work, communication, and performance management.</w:t>
      </w:r>
    </w:p>
    <w:p w14:paraId="3D3C7144" w14:textId="77777777" w:rsidR="002B6B69" w:rsidRPr="002B6B69" w:rsidRDefault="002B6B69" w:rsidP="002B6B69">
      <w:pPr>
        <w:pStyle w:val="NoSpacing"/>
        <w:jc w:val="both"/>
        <w:rPr>
          <w:rFonts w:cstheme="minorHAnsi"/>
          <w:sz w:val="20"/>
        </w:rPr>
      </w:pPr>
    </w:p>
    <w:p w14:paraId="52D21897" w14:textId="77777777" w:rsidR="002B6B69" w:rsidRPr="002B6B69" w:rsidRDefault="002B6B69" w:rsidP="002B6B69">
      <w:pPr>
        <w:pStyle w:val="NoSpacing"/>
        <w:jc w:val="both"/>
        <w:rPr>
          <w:rFonts w:cstheme="minorHAnsi"/>
          <w:sz w:val="20"/>
        </w:rPr>
      </w:pPr>
      <w:r w:rsidRPr="002B6B69">
        <w:rPr>
          <w:rFonts w:cstheme="minorHAnsi"/>
          <w:b/>
          <w:bCs/>
          <w:sz w:val="20"/>
        </w:rPr>
        <w:t>Mental health support:</w:t>
      </w:r>
      <w:r w:rsidRPr="002B6B69">
        <w:rPr>
          <w:rFonts w:cstheme="minorHAnsi"/>
          <w:sz w:val="20"/>
        </w:rPr>
        <w:t xml:space="preserve"> The pandemic has had a significant impact on mental health, and many companies are recognizing the need to support employees' mental health and wellbeing. HR policies may include resources for mental health support, such as counseling services or mental health days.</w:t>
      </w:r>
    </w:p>
    <w:p w14:paraId="61063F5B" w14:textId="77777777" w:rsidR="002B6B69" w:rsidRPr="002B6B69" w:rsidRDefault="002B6B69" w:rsidP="002B6B69">
      <w:pPr>
        <w:pStyle w:val="NoSpacing"/>
        <w:jc w:val="both"/>
        <w:rPr>
          <w:rFonts w:cstheme="minorHAnsi"/>
          <w:sz w:val="20"/>
        </w:rPr>
      </w:pPr>
    </w:p>
    <w:p w14:paraId="47B9727B" w14:textId="77777777" w:rsidR="002B6B69" w:rsidRPr="002B6B69" w:rsidRDefault="002B6B69" w:rsidP="002B6B69">
      <w:pPr>
        <w:pStyle w:val="NoSpacing"/>
        <w:jc w:val="both"/>
        <w:rPr>
          <w:rFonts w:cstheme="minorHAnsi"/>
          <w:sz w:val="20"/>
        </w:rPr>
      </w:pPr>
      <w:r w:rsidRPr="002B6B69">
        <w:rPr>
          <w:rFonts w:cstheme="minorHAnsi"/>
          <w:b/>
          <w:bCs/>
          <w:sz w:val="20"/>
        </w:rPr>
        <w:t>Workplace safety:</w:t>
      </w:r>
      <w:r w:rsidRPr="002B6B69">
        <w:rPr>
          <w:rFonts w:cstheme="minorHAnsi"/>
          <w:sz w:val="20"/>
        </w:rPr>
        <w:t xml:space="preserve"> The pandemic has highlighted the importance of workplace safety, and HR policies need to reflect this. Companies may need to implement new safety protocols, such as social distancing measures, personal protective equipment, and sanitation procedures.</w:t>
      </w:r>
    </w:p>
    <w:p w14:paraId="3069AC28" w14:textId="77777777" w:rsidR="002B6B69" w:rsidRPr="002B6B69" w:rsidRDefault="002B6B69" w:rsidP="002B6B69">
      <w:pPr>
        <w:pStyle w:val="NoSpacing"/>
        <w:jc w:val="both"/>
        <w:rPr>
          <w:rFonts w:cstheme="minorHAnsi"/>
          <w:sz w:val="20"/>
        </w:rPr>
      </w:pPr>
    </w:p>
    <w:p w14:paraId="60FE3B58" w14:textId="77777777" w:rsidR="002B6B69" w:rsidRPr="002B6B69" w:rsidRDefault="002B6B69" w:rsidP="002B6B69">
      <w:pPr>
        <w:pStyle w:val="NoSpacing"/>
        <w:jc w:val="both"/>
        <w:rPr>
          <w:rFonts w:cstheme="minorHAnsi"/>
          <w:sz w:val="20"/>
        </w:rPr>
      </w:pPr>
      <w:r w:rsidRPr="002B6B69">
        <w:rPr>
          <w:rFonts w:cstheme="minorHAnsi"/>
          <w:b/>
          <w:bCs/>
          <w:sz w:val="20"/>
        </w:rPr>
        <w:t>Workforce planning:</w:t>
      </w:r>
      <w:r w:rsidRPr="002B6B69">
        <w:rPr>
          <w:rFonts w:cstheme="minorHAnsi"/>
          <w:sz w:val="20"/>
        </w:rPr>
        <w:t xml:space="preserve"> The pandemic has disrupted the job market and changed the way companies think about workforce planning. HR policies need to support strategic workforce planning, including skills assessments, talent development, and succession planning.</w:t>
      </w:r>
    </w:p>
    <w:p w14:paraId="14377D62" w14:textId="77777777" w:rsidR="002B6B69" w:rsidRPr="002B6B69" w:rsidRDefault="002B6B69" w:rsidP="002B6B69">
      <w:pPr>
        <w:pStyle w:val="NoSpacing"/>
        <w:jc w:val="both"/>
        <w:rPr>
          <w:rFonts w:cstheme="minorHAnsi"/>
          <w:sz w:val="20"/>
        </w:rPr>
      </w:pPr>
    </w:p>
    <w:p w14:paraId="2FD1C6FC" w14:textId="77777777" w:rsidR="002B6B69" w:rsidRPr="002B6B69" w:rsidRDefault="002B6B69" w:rsidP="002B6B69">
      <w:pPr>
        <w:pStyle w:val="NoSpacing"/>
        <w:jc w:val="both"/>
        <w:rPr>
          <w:rFonts w:cstheme="minorHAnsi"/>
          <w:sz w:val="20"/>
        </w:rPr>
      </w:pPr>
      <w:r w:rsidRPr="002B6B69">
        <w:rPr>
          <w:rFonts w:cstheme="minorHAnsi"/>
          <w:b/>
          <w:bCs/>
          <w:sz w:val="20"/>
        </w:rPr>
        <w:t>Employee engagement:</w:t>
      </w:r>
      <w:r w:rsidRPr="002B6B69">
        <w:rPr>
          <w:rFonts w:cstheme="minorHAnsi"/>
          <w:sz w:val="20"/>
        </w:rPr>
        <w:t xml:space="preserve"> With many employees working remotely, HR policies need to focus on maintaining employee engagement and connection. This may include virtual team-building activities, regular communication, and recognition programs.</w:t>
      </w:r>
    </w:p>
    <w:p w14:paraId="1DCB75BC" w14:textId="77777777" w:rsidR="002B6B69" w:rsidRPr="002B6B69" w:rsidRDefault="002B6B69" w:rsidP="002B6B69">
      <w:pPr>
        <w:pStyle w:val="NoSpacing"/>
        <w:jc w:val="both"/>
        <w:rPr>
          <w:rFonts w:cstheme="minorHAnsi"/>
          <w:sz w:val="20"/>
        </w:rPr>
      </w:pPr>
    </w:p>
    <w:p w14:paraId="70EC8A33" w14:textId="6198889D" w:rsidR="002B6B69" w:rsidRPr="002B6B69" w:rsidRDefault="002B6B69" w:rsidP="002B6B69">
      <w:pPr>
        <w:pStyle w:val="NoSpacing"/>
        <w:jc w:val="both"/>
        <w:rPr>
          <w:rFonts w:cstheme="minorHAnsi"/>
          <w:sz w:val="20"/>
        </w:rPr>
      </w:pPr>
      <w:r w:rsidRPr="002B6B69">
        <w:rPr>
          <w:rFonts w:cstheme="minorHAnsi"/>
          <w:b/>
          <w:bCs/>
          <w:sz w:val="20"/>
        </w:rPr>
        <w:t>Flexibility:</w:t>
      </w:r>
      <w:r w:rsidRPr="002B6B69">
        <w:rPr>
          <w:rFonts w:cstheme="minorHAnsi"/>
          <w:sz w:val="20"/>
        </w:rPr>
        <w:t xml:space="preserve"> The pandemic has shown the need for flexibility in the workplace, and HR policies need to reflect this. Companies may need to be more flexible with scheduling, time off, and work arrangements to accommodate employees' needs.</w:t>
      </w:r>
    </w:p>
    <w:p w14:paraId="15F4E6D7" w14:textId="77777777" w:rsidR="002B6B69" w:rsidRDefault="002B6B69" w:rsidP="002B6B69">
      <w:pPr>
        <w:pStyle w:val="NoSpacing"/>
        <w:jc w:val="both"/>
        <w:rPr>
          <w:rFonts w:cstheme="minorHAnsi"/>
          <w:b/>
          <w:bCs/>
          <w:sz w:val="20"/>
        </w:rPr>
      </w:pPr>
    </w:p>
    <w:p w14:paraId="3D7EC1EF" w14:textId="33BDDDDB" w:rsidR="002B6B69" w:rsidRPr="002B6B69" w:rsidRDefault="002B6B69" w:rsidP="002B6B69">
      <w:pPr>
        <w:pStyle w:val="NoSpacing"/>
        <w:jc w:val="both"/>
        <w:rPr>
          <w:rFonts w:cstheme="minorHAnsi"/>
          <w:sz w:val="20"/>
        </w:rPr>
      </w:pPr>
      <w:r w:rsidRPr="002B6B69">
        <w:rPr>
          <w:rFonts w:cstheme="minorHAnsi"/>
          <w:b/>
          <w:bCs/>
          <w:sz w:val="20"/>
        </w:rPr>
        <w:t>Diversity, equity, and inclusion:</w:t>
      </w:r>
      <w:r w:rsidRPr="002B6B69">
        <w:rPr>
          <w:rFonts w:cstheme="minorHAnsi"/>
          <w:sz w:val="20"/>
        </w:rPr>
        <w:t xml:space="preserve"> The pandemic has highlighted the importance of diversity, equity, and inclusion in the workplace. HR policies need to reflect this by promoting diversity and inclusion in recruitment, training, and development programs.</w:t>
      </w:r>
    </w:p>
    <w:p w14:paraId="42E2CDF5" w14:textId="77777777" w:rsidR="002B6B69" w:rsidRPr="002B6B69" w:rsidRDefault="002B6B69" w:rsidP="002B6B69">
      <w:pPr>
        <w:pStyle w:val="NoSpacing"/>
        <w:jc w:val="both"/>
        <w:rPr>
          <w:rFonts w:cstheme="minorHAnsi"/>
          <w:sz w:val="20"/>
        </w:rPr>
      </w:pPr>
    </w:p>
    <w:p w14:paraId="6180BC93" w14:textId="290F983E" w:rsidR="002B6B69" w:rsidRDefault="002B6B69" w:rsidP="002B6B69">
      <w:pPr>
        <w:pStyle w:val="NoSpacing"/>
        <w:jc w:val="both"/>
        <w:rPr>
          <w:rFonts w:cstheme="minorHAnsi"/>
          <w:sz w:val="20"/>
        </w:rPr>
      </w:pPr>
      <w:r w:rsidRPr="002B6B69">
        <w:rPr>
          <w:rFonts w:cstheme="minorHAnsi"/>
          <w:sz w:val="20"/>
        </w:rPr>
        <w:t>Overall, the pandemic has accelerated changes in HR policies, and companies need to be adaptable and flexible to meet the changing needs of their employees.</w:t>
      </w:r>
    </w:p>
    <w:p w14:paraId="56504CA0" w14:textId="77777777" w:rsidR="002B6B69" w:rsidRPr="000F7D37" w:rsidRDefault="002B6B69" w:rsidP="002B6B69">
      <w:pPr>
        <w:pStyle w:val="NoSpacing"/>
        <w:rPr>
          <w:rFonts w:cstheme="minorHAnsi"/>
          <w:sz w:val="20"/>
        </w:rPr>
      </w:pPr>
    </w:p>
    <w:p w14:paraId="1F10237A" w14:textId="77777777" w:rsidR="00D42BFB" w:rsidRPr="000F7D37" w:rsidRDefault="00D42BFB" w:rsidP="00D42BFB">
      <w:pPr>
        <w:pStyle w:val="NoSpacing"/>
        <w:rPr>
          <w:rFonts w:cstheme="minorHAnsi"/>
          <w:b/>
          <w:bCs/>
          <w:sz w:val="20"/>
        </w:rPr>
      </w:pPr>
      <w:r w:rsidRPr="000F7D37">
        <w:rPr>
          <w:rFonts w:cstheme="minorHAnsi"/>
          <w:b/>
          <w:bCs/>
          <w:sz w:val="20"/>
        </w:rPr>
        <w:t>4.3 Cost of living crisis 2022:</w:t>
      </w:r>
    </w:p>
    <w:p w14:paraId="492DC0E2" w14:textId="0894D017" w:rsidR="00D42BFB" w:rsidRDefault="00D42BFB" w:rsidP="00D42BFB">
      <w:pPr>
        <w:pStyle w:val="NoSpacing"/>
        <w:rPr>
          <w:rFonts w:cstheme="minorHAnsi"/>
          <w:sz w:val="20"/>
        </w:rPr>
      </w:pPr>
      <w:r w:rsidRPr="000F7D37">
        <w:rPr>
          <w:rFonts w:cstheme="minorHAnsi"/>
          <w:sz w:val="20"/>
        </w:rPr>
        <w:t xml:space="preserve">This subsection discusses the changes in HR strategies that have emerged in response to the </w:t>
      </w:r>
      <w:r w:rsidR="001A5F17" w:rsidRPr="000F7D37">
        <w:rPr>
          <w:rFonts w:cstheme="minorHAnsi"/>
          <w:sz w:val="20"/>
        </w:rPr>
        <w:t>cost-of-living</w:t>
      </w:r>
      <w:r w:rsidRPr="000F7D37">
        <w:rPr>
          <w:rFonts w:cstheme="minorHAnsi"/>
          <w:sz w:val="20"/>
        </w:rPr>
        <w:t xml:space="preserve"> crisis in 2022, including potential impacts on recruitment, compensation, and benefits. It addresses the challenges that organizations face in attracting and retaining talent in a high-cost environment. Additionally, it discusses potential solutions, such as re-evaluating compensation and benefits packages, adjusting work arrangements, and investing in employee development and upskilling.</w:t>
      </w:r>
      <w:r w:rsidR="005F62D6" w:rsidRPr="000F7D37">
        <w:rPr>
          <w:rFonts w:cstheme="minorHAnsi"/>
          <w:sz w:val="20"/>
        </w:rPr>
        <w:t xml:space="preserve"> </w:t>
      </w:r>
    </w:p>
    <w:p w14:paraId="4C056C0E" w14:textId="77777777" w:rsidR="009C5DBE" w:rsidRPr="000F7D37" w:rsidRDefault="009C5DBE" w:rsidP="00D42BFB">
      <w:pPr>
        <w:pStyle w:val="NoSpacing"/>
        <w:rPr>
          <w:rFonts w:cstheme="minorHAnsi"/>
          <w:b/>
          <w:bCs/>
          <w:color w:val="C45911" w:themeColor="accent2" w:themeShade="BF"/>
          <w:sz w:val="20"/>
        </w:rPr>
      </w:pPr>
    </w:p>
    <w:p w14:paraId="2F00D406" w14:textId="77777777" w:rsidR="009C5DBE" w:rsidRPr="00702740" w:rsidRDefault="009C5DBE" w:rsidP="009C5DBE">
      <w:pPr>
        <w:pStyle w:val="NoSpacing"/>
        <w:jc w:val="both"/>
        <w:rPr>
          <w:rFonts w:cstheme="minorHAnsi"/>
          <w:sz w:val="20"/>
        </w:rPr>
      </w:pPr>
      <w:r w:rsidRPr="00702740">
        <w:rPr>
          <w:rFonts w:cstheme="minorHAnsi"/>
          <w:sz w:val="20"/>
        </w:rPr>
        <w:t>Many private sector employers in the UK are responding to the rising cost of living by offering financial support to their workers. This includes increasing wages, offering flexible working hours, and providing low-cost loans to help employees cope with financial stress.</w:t>
      </w:r>
    </w:p>
    <w:p w14:paraId="4DD2ABE4" w14:textId="77777777" w:rsidR="009C5DBE" w:rsidRPr="00702740" w:rsidRDefault="009C5DBE" w:rsidP="009C5DBE">
      <w:pPr>
        <w:pStyle w:val="NoSpacing"/>
        <w:jc w:val="both"/>
        <w:rPr>
          <w:rFonts w:cstheme="minorHAnsi"/>
          <w:sz w:val="20"/>
        </w:rPr>
      </w:pPr>
      <w:r w:rsidRPr="00702740">
        <w:rPr>
          <w:rFonts w:cstheme="minorHAnsi"/>
          <w:sz w:val="20"/>
        </w:rPr>
        <w:t>Some employers are also offering support with housing, transportation, and childcare, which can be significant expenses for many workers. This can help to ease the financial burden on employees and improve their quality of life.</w:t>
      </w:r>
    </w:p>
    <w:p w14:paraId="26192F22" w14:textId="77777777" w:rsidR="009C5DBE" w:rsidRPr="00702740" w:rsidRDefault="009C5DBE" w:rsidP="009C5DBE">
      <w:pPr>
        <w:pStyle w:val="NoSpacing"/>
        <w:jc w:val="both"/>
        <w:rPr>
          <w:rFonts w:cstheme="minorHAnsi"/>
          <w:sz w:val="20"/>
        </w:rPr>
      </w:pPr>
    </w:p>
    <w:p w14:paraId="2F31F502" w14:textId="203D1A90" w:rsidR="009C5DBE" w:rsidRPr="000F7D37" w:rsidRDefault="009C5DBE" w:rsidP="009C5DBE">
      <w:pPr>
        <w:pStyle w:val="NoSpacing"/>
        <w:jc w:val="both"/>
        <w:rPr>
          <w:rFonts w:cstheme="minorHAnsi"/>
          <w:sz w:val="20"/>
        </w:rPr>
      </w:pPr>
      <w:r w:rsidRPr="00702740">
        <w:rPr>
          <w:rFonts w:cstheme="minorHAnsi"/>
          <w:sz w:val="20"/>
        </w:rPr>
        <w:t xml:space="preserve">However, it is important to note that not all companies are taking action to support their workers in this way. The government also has a role to play in addressing the </w:t>
      </w:r>
      <w:r w:rsidR="001A5F17" w:rsidRPr="00702740">
        <w:rPr>
          <w:rFonts w:cstheme="minorHAnsi"/>
          <w:sz w:val="20"/>
        </w:rPr>
        <w:t>cost-of-living</w:t>
      </w:r>
      <w:r w:rsidRPr="00702740">
        <w:rPr>
          <w:rFonts w:cstheme="minorHAnsi"/>
          <w:sz w:val="20"/>
        </w:rPr>
        <w:t xml:space="preserve"> crisis, through policies such as increasing the minimum wage, improving access to affordable housing, and investing in public transport.</w:t>
      </w:r>
    </w:p>
    <w:p w14:paraId="2A911669" w14:textId="77777777" w:rsidR="009C5DBE" w:rsidRDefault="009C5DBE" w:rsidP="009C5DBE">
      <w:pPr>
        <w:pStyle w:val="NoSpacing"/>
        <w:jc w:val="both"/>
        <w:rPr>
          <w:rFonts w:cstheme="minorHAnsi"/>
          <w:sz w:val="20"/>
        </w:rPr>
      </w:pPr>
    </w:p>
    <w:p w14:paraId="1B1574F7" w14:textId="77777777" w:rsidR="009C5DBE" w:rsidRPr="000F7D37" w:rsidRDefault="009C5DBE" w:rsidP="009C5DBE">
      <w:pPr>
        <w:pStyle w:val="NoSpacing"/>
        <w:jc w:val="both"/>
        <w:rPr>
          <w:rFonts w:cstheme="minorHAnsi"/>
          <w:sz w:val="20"/>
        </w:rPr>
      </w:pPr>
      <w:r w:rsidRPr="000F7D37">
        <w:rPr>
          <w:rFonts w:cstheme="minorHAnsi"/>
          <w:sz w:val="20"/>
        </w:rPr>
        <w:t>By implementing these recommendations, organizations can adapt their HR strategies to remain competitive in the post-COVID, post-Brexit external environment, and attract and retain top talent.</w:t>
      </w:r>
    </w:p>
    <w:p w14:paraId="7F34647C" w14:textId="77777777" w:rsidR="00D42BFB" w:rsidRPr="000F7D37" w:rsidRDefault="00D42BFB" w:rsidP="00D42BFB">
      <w:pPr>
        <w:pStyle w:val="NoSpacing"/>
        <w:rPr>
          <w:rFonts w:cstheme="minorHAnsi"/>
          <w:sz w:val="20"/>
        </w:rPr>
      </w:pPr>
    </w:p>
    <w:p w14:paraId="6E3E3899" w14:textId="640E3D51" w:rsidR="0019125B" w:rsidRPr="0019125B" w:rsidRDefault="0092721D" w:rsidP="0019125B">
      <w:pPr>
        <w:pStyle w:val="NoSpacing"/>
        <w:jc w:val="center"/>
        <w:rPr>
          <w:rFonts w:ascii="Times New Roman" w:hAnsi="Times New Roman" w:cs="Times New Roman"/>
          <w:b/>
          <w:bCs/>
          <w:sz w:val="32"/>
          <w:szCs w:val="32"/>
        </w:rPr>
      </w:pPr>
      <w:r w:rsidRPr="0092721D">
        <w:rPr>
          <w:rFonts w:ascii="Times New Roman" w:hAnsi="Times New Roman" w:cs="Times New Roman"/>
          <w:b/>
          <w:bCs/>
          <w:sz w:val="32"/>
          <w:szCs w:val="32"/>
        </w:rPr>
        <w:t>RECOMMENDATION</w:t>
      </w:r>
    </w:p>
    <w:p w14:paraId="3F76BEC9" w14:textId="77777777" w:rsidR="0019125B" w:rsidRDefault="0019125B" w:rsidP="0019125B">
      <w:pPr>
        <w:pStyle w:val="NoSpacing"/>
        <w:jc w:val="both"/>
        <w:rPr>
          <w:rFonts w:cstheme="minorHAnsi"/>
          <w:sz w:val="20"/>
        </w:rPr>
      </w:pPr>
    </w:p>
    <w:p w14:paraId="2D0380ED" w14:textId="11533075" w:rsidR="00D42BFB" w:rsidRPr="000F7D37" w:rsidRDefault="00D42BFB" w:rsidP="0019125B">
      <w:pPr>
        <w:pStyle w:val="NoSpacing"/>
        <w:jc w:val="both"/>
        <w:rPr>
          <w:rFonts w:cstheme="minorHAnsi"/>
          <w:sz w:val="20"/>
        </w:rPr>
      </w:pPr>
      <w:r w:rsidRPr="000F7D37">
        <w:rPr>
          <w:rFonts w:cstheme="minorHAnsi"/>
          <w:sz w:val="20"/>
        </w:rPr>
        <w:t>Based on the analysis of the emerging changes in HR strategies in the post-COVID, post-Brexit external environment, the following recommendations are suggested:</w:t>
      </w:r>
    </w:p>
    <w:p w14:paraId="7A75C582" w14:textId="77777777" w:rsidR="00D42BFB" w:rsidRPr="000F7D37" w:rsidRDefault="00D42BFB" w:rsidP="0019125B">
      <w:pPr>
        <w:pStyle w:val="NoSpacing"/>
        <w:jc w:val="both"/>
        <w:rPr>
          <w:rFonts w:cstheme="minorHAnsi"/>
          <w:sz w:val="20"/>
        </w:rPr>
      </w:pPr>
    </w:p>
    <w:p w14:paraId="1326FC06" w14:textId="77777777" w:rsidR="00D42BFB" w:rsidRPr="000F7D37" w:rsidRDefault="00D42BFB" w:rsidP="0019125B">
      <w:pPr>
        <w:pStyle w:val="NoSpacing"/>
        <w:jc w:val="both"/>
        <w:rPr>
          <w:rFonts w:cstheme="minorHAnsi"/>
          <w:b/>
          <w:bCs/>
          <w:sz w:val="20"/>
        </w:rPr>
      </w:pPr>
      <w:r w:rsidRPr="000F7D37">
        <w:rPr>
          <w:rFonts w:cstheme="minorHAnsi"/>
          <w:b/>
          <w:bCs/>
          <w:sz w:val="20"/>
        </w:rPr>
        <w:t>6.1 Embrace flexibility:</w:t>
      </w:r>
    </w:p>
    <w:p w14:paraId="599F25F4" w14:textId="77777777" w:rsidR="00D42BFB" w:rsidRPr="000F7D37" w:rsidRDefault="00D42BFB" w:rsidP="0019125B">
      <w:pPr>
        <w:pStyle w:val="NoSpacing"/>
        <w:jc w:val="both"/>
        <w:rPr>
          <w:rFonts w:cstheme="minorHAnsi"/>
          <w:sz w:val="20"/>
        </w:rPr>
      </w:pPr>
      <w:r w:rsidRPr="000F7D37">
        <w:rPr>
          <w:rFonts w:cstheme="minorHAnsi"/>
          <w:sz w:val="20"/>
        </w:rPr>
        <w:t>The COVID-19 pandemic has demonstrated the importance of flexibility in the workplace, and this trend is likely to continue. Employers should consider implementing flexible work arrangements, including remote work, hybrid work models, and flexible schedules. This can help attract and retain top talent, increase productivity, and improve employee well-being.</w:t>
      </w:r>
    </w:p>
    <w:p w14:paraId="497FEF2F" w14:textId="77777777" w:rsidR="00D42BFB" w:rsidRPr="000F7D37" w:rsidRDefault="00D42BFB" w:rsidP="0019125B">
      <w:pPr>
        <w:pStyle w:val="NoSpacing"/>
        <w:jc w:val="both"/>
        <w:rPr>
          <w:rFonts w:cstheme="minorHAnsi"/>
          <w:sz w:val="20"/>
        </w:rPr>
      </w:pPr>
    </w:p>
    <w:p w14:paraId="4C07CD58" w14:textId="77777777" w:rsidR="00D42BFB" w:rsidRPr="000F7D37" w:rsidRDefault="00D42BFB" w:rsidP="0019125B">
      <w:pPr>
        <w:pStyle w:val="NoSpacing"/>
        <w:jc w:val="both"/>
        <w:rPr>
          <w:rFonts w:cstheme="minorHAnsi"/>
          <w:b/>
          <w:bCs/>
          <w:sz w:val="20"/>
        </w:rPr>
      </w:pPr>
      <w:r w:rsidRPr="000F7D37">
        <w:rPr>
          <w:rFonts w:cstheme="minorHAnsi"/>
          <w:b/>
          <w:bCs/>
          <w:sz w:val="20"/>
        </w:rPr>
        <w:t>6.2 Invest in employee well-being:</w:t>
      </w:r>
    </w:p>
    <w:p w14:paraId="625D78B1" w14:textId="77777777" w:rsidR="00D42BFB" w:rsidRPr="000F7D37" w:rsidRDefault="00D42BFB" w:rsidP="0019125B">
      <w:pPr>
        <w:pStyle w:val="NoSpacing"/>
        <w:jc w:val="both"/>
        <w:rPr>
          <w:rFonts w:cstheme="minorHAnsi"/>
          <w:sz w:val="20"/>
        </w:rPr>
      </w:pPr>
      <w:r w:rsidRPr="000F7D37">
        <w:rPr>
          <w:rFonts w:cstheme="minorHAnsi"/>
          <w:sz w:val="20"/>
        </w:rPr>
        <w:t>The pandemic has also highlighted the importance of employee well-being, including mental health support and work-life balance. Employers should prioritize employee well-being by offering resources such as counseling services, mental health days, and flexible work arrangements. This can help boost employee morale, improve productivity, and reduce employee turnover.</w:t>
      </w:r>
    </w:p>
    <w:p w14:paraId="36EC0255" w14:textId="77777777" w:rsidR="00D42BFB" w:rsidRPr="000F7D37" w:rsidRDefault="00D42BFB" w:rsidP="0019125B">
      <w:pPr>
        <w:pStyle w:val="NoSpacing"/>
        <w:jc w:val="both"/>
        <w:rPr>
          <w:rFonts w:cstheme="minorHAnsi"/>
          <w:sz w:val="20"/>
        </w:rPr>
      </w:pPr>
    </w:p>
    <w:p w14:paraId="04A6E984" w14:textId="77777777" w:rsidR="0092721D" w:rsidRDefault="0092721D" w:rsidP="0019125B">
      <w:pPr>
        <w:pStyle w:val="NoSpacing"/>
        <w:jc w:val="both"/>
        <w:rPr>
          <w:rFonts w:cstheme="minorHAnsi"/>
          <w:b/>
          <w:bCs/>
          <w:sz w:val="20"/>
        </w:rPr>
      </w:pPr>
    </w:p>
    <w:p w14:paraId="02DBAF81" w14:textId="77777777" w:rsidR="0092721D" w:rsidRDefault="0092721D" w:rsidP="0019125B">
      <w:pPr>
        <w:pStyle w:val="NoSpacing"/>
        <w:jc w:val="both"/>
        <w:rPr>
          <w:rFonts w:cstheme="minorHAnsi"/>
          <w:b/>
          <w:bCs/>
          <w:sz w:val="20"/>
        </w:rPr>
      </w:pPr>
    </w:p>
    <w:p w14:paraId="17223D2A" w14:textId="125931E4" w:rsidR="00D42BFB" w:rsidRPr="000F7D37" w:rsidRDefault="00D42BFB" w:rsidP="0019125B">
      <w:pPr>
        <w:pStyle w:val="NoSpacing"/>
        <w:jc w:val="both"/>
        <w:rPr>
          <w:rFonts w:cstheme="minorHAnsi"/>
          <w:b/>
          <w:bCs/>
          <w:sz w:val="20"/>
        </w:rPr>
      </w:pPr>
      <w:r w:rsidRPr="000F7D37">
        <w:rPr>
          <w:rFonts w:cstheme="minorHAnsi"/>
          <w:b/>
          <w:bCs/>
          <w:sz w:val="20"/>
        </w:rPr>
        <w:t>6.3 Diversify recruitment strategies:</w:t>
      </w:r>
    </w:p>
    <w:p w14:paraId="17913646" w14:textId="77777777" w:rsidR="00D42BFB" w:rsidRPr="000F7D37" w:rsidRDefault="00D42BFB" w:rsidP="0019125B">
      <w:pPr>
        <w:pStyle w:val="NoSpacing"/>
        <w:jc w:val="both"/>
        <w:rPr>
          <w:rFonts w:cstheme="minorHAnsi"/>
          <w:sz w:val="20"/>
        </w:rPr>
      </w:pPr>
      <w:r w:rsidRPr="000F7D37">
        <w:rPr>
          <w:rFonts w:cstheme="minorHAnsi"/>
          <w:sz w:val="20"/>
        </w:rPr>
        <w:lastRenderedPageBreak/>
        <w:t>With the changes in immigration laws post-Brexit, organizations may need to consider sourcing talent from outside the UK or developing new talent locally. To attract a diverse pool of candidates, organizations should explore new recruitment strategies such as social media recruiting, employee referrals, and partnerships with educational institutions.</w:t>
      </w:r>
    </w:p>
    <w:p w14:paraId="38DBCFE1" w14:textId="77777777" w:rsidR="00D42BFB" w:rsidRPr="000F7D37" w:rsidRDefault="00D42BFB" w:rsidP="0019125B">
      <w:pPr>
        <w:pStyle w:val="NoSpacing"/>
        <w:jc w:val="both"/>
        <w:rPr>
          <w:rFonts w:cstheme="minorHAnsi"/>
          <w:sz w:val="20"/>
        </w:rPr>
      </w:pPr>
    </w:p>
    <w:p w14:paraId="63C2CA45" w14:textId="77777777" w:rsidR="00D42BFB" w:rsidRPr="000F7D37" w:rsidRDefault="00D42BFB" w:rsidP="0019125B">
      <w:pPr>
        <w:pStyle w:val="NoSpacing"/>
        <w:jc w:val="both"/>
        <w:rPr>
          <w:rFonts w:cstheme="minorHAnsi"/>
          <w:b/>
          <w:bCs/>
          <w:sz w:val="20"/>
        </w:rPr>
      </w:pPr>
      <w:r w:rsidRPr="000F7D37">
        <w:rPr>
          <w:rFonts w:cstheme="minorHAnsi"/>
          <w:b/>
          <w:bCs/>
          <w:sz w:val="20"/>
        </w:rPr>
        <w:t>6.4 Offer competitive compensation and benefits:</w:t>
      </w:r>
    </w:p>
    <w:p w14:paraId="42D6A99C" w14:textId="0FA72A8D" w:rsidR="00D42BFB" w:rsidRPr="000F7D37" w:rsidRDefault="00D42BFB" w:rsidP="0019125B">
      <w:pPr>
        <w:pStyle w:val="NoSpacing"/>
        <w:jc w:val="both"/>
        <w:rPr>
          <w:rFonts w:cstheme="minorHAnsi"/>
          <w:sz w:val="20"/>
        </w:rPr>
      </w:pPr>
      <w:r w:rsidRPr="000F7D37">
        <w:rPr>
          <w:rFonts w:cstheme="minorHAnsi"/>
          <w:sz w:val="20"/>
        </w:rPr>
        <w:t xml:space="preserve">The </w:t>
      </w:r>
      <w:r w:rsidR="00141924" w:rsidRPr="000F7D37">
        <w:rPr>
          <w:rFonts w:cstheme="minorHAnsi"/>
          <w:sz w:val="20"/>
        </w:rPr>
        <w:t>cost-of-living</w:t>
      </w:r>
      <w:r w:rsidRPr="000F7D37">
        <w:rPr>
          <w:rFonts w:cstheme="minorHAnsi"/>
          <w:sz w:val="20"/>
        </w:rPr>
        <w:t xml:space="preserve"> crisis in 2022 presents challenges for attracting and retaining talent. Employers should ensure that their compensation and benefits packages are competitive with industry standards to attract and retain top talent. Additionally, employers should consider offering non-traditional benefits such as flexible schedules, work from home opportunities, and professional development opportunities to attract and retain top talent.</w:t>
      </w:r>
    </w:p>
    <w:p w14:paraId="403598C5" w14:textId="065BFC11" w:rsidR="00D42BFB" w:rsidRDefault="00D42BFB" w:rsidP="0019125B">
      <w:pPr>
        <w:pStyle w:val="NoSpacing"/>
        <w:jc w:val="both"/>
        <w:rPr>
          <w:rFonts w:cstheme="minorHAnsi"/>
          <w:sz w:val="20"/>
        </w:rPr>
      </w:pPr>
    </w:p>
    <w:p w14:paraId="6FFC7EE8" w14:textId="77777777" w:rsidR="00D42BFB" w:rsidRPr="000F7D37" w:rsidRDefault="00D42BFB" w:rsidP="0019125B">
      <w:pPr>
        <w:pStyle w:val="NoSpacing"/>
        <w:jc w:val="both"/>
        <w:rPr>
          <w:rFonts w:cstheme="minorHAnsi"/>
          <w:sz w:val="20"/>
        </w:rPr>
      </w:pPr>
    </w:p>
    <w:p w14:paraId="449D8670" w14:textId="77777777" w:rsidR="00D42BFB" w:rsidRPr="000F7D37" w:rsidRDefault="00D42BFB" w:rsidP="0019125B">
      <w:pPr>
        <w:pStyle w:val="NoSpacing"/>
        <w:jc w:val="both"/>
        <w:rPr>
          <w:rFonts w:cstheme="minorHAnsi"/>
          <w:b/>
          <w:bCs/>
          <w:sz w:val="20"/>
        </w:rPr>
      </w:pPr>
      <w:r w:rsidRPr="000F7D37">
        <w:rPr>
          <w:rFonts w:cstheme="minorHAnsi"/>
          <w:b/>
          <w:bCs/>
          <w:sz w:val="20"/>
        </w:rPr>
        <w:t>6.5 Prioritize digital transformation:</w:t>
      </w:r>
    </w:p>
    <w:p w14:paraId="6A3B4FC6" w14:textId="77777777" w:rsidR="00D42BFB" w:rsidRPr="000F7D37" w:rsidRDefault="00D42BFB" w:rsidP="0019125B">
      <w:pPr>
        <w:pStyle w:val="NoSpacing"/>
        <w:jc w:val="both"/>
        <w:rPr>
          <w:rFonts w:cstheme="minorHAnsi"/>
          <w:sz w:val="20"/>
        </w:rPr>
      </w:pPr>
      <w:r w:rsidRPr="000F7D37">
        <w:rPr>
          <w:rFonts w:cstheme="minorHAnsi"/>
          <w:sz w:val="20"/>
        </w:rPr>
        <w:t>The pandemic has accelerated the need for digital transformation in the workplace, and organizations should prioritize investing in digital tools and technologies that enable remote work and collaboration. Employers should also consider upskilling employees in digital skills to remain competitive in the post-COVID, post-Brexit environment.</w:t>
      </w:r>
    </w:p>
    <w:p w14:paraId="00705E03" w14:textId="77777777" w:rsidR="00D42BFB" w:rsidRPr="000F7D37" w:rsidRDefault="00D42BFB" w:rsidP="0019125B">
      <w:pPr>
        <w:pStyle w:val="NoSpacing"/>
        <w:jc w:val="both"/>
        <w:rPr>
          <w:rFonts w:cstheme="minorHAnsi"/>
          <w:sz w:val="20"/>
        </w:rPr>
      </w:pPr>
    </w:p>
    <w:p w14:paraId="71D34EF6" w14:textId="77777777" w:rsidR="00D42BFB" w:rsidRPr="000F7D37" w:rsidRDefault="00D42BFB" w:rsidP="0019125B">
      <w:pPr>
        <w:pStyle w:val="NoSpacing"/>
        <w:jc w:val="both"/>
        <w:rPr>
          <w:rFonts w:cstheme="minorHAnsi"/>
          <w:sz w:val="20"/>
        </w:rPr>
      </w:pPr>
    </w:p>
    <w:p w14:paraId="52892436" w14:textId="77777777" w:rsidR="00D42BFB" w:rsidRPr="000F7D37" w:rsidRDefault="00D42BFB" w:rsidP="0019125B">
      <w:pPr>
        <w:pStyle w:val="NoSpacing"/>
        <w:jc w:val="both"/>
        <w:rPr>
          <w:rFonts w:cstheme="minorHAnsi"/>
          <w:b/>
          <w:bCs/>
          <w:sz w:val="20"/>
        </w:rPr>
      </w:pPr>
      <w:r w:rsidRPr="000F7D37">
        <w:rPr>
          <w:rFonts w:cstheme="minorHAnsi"/>
          <w:b/>
          <w:bCs/>
          <w:sz w:val="20"/>
        </w:rPr>
        <w:t>6.6 Promote diversity and inclusion:</w:t>
      </w:r>
    </w:p>
    <w:p w14:paraId="723EFFC2" w14:textId="77777777" w:rsidR="00D42BFB" w:rsidRPr="000F7D37" w:rsidRDefault="00D42BFB" w:rsidP="0019125B">
      <w:pPr>
        <w:pStyle w:val="NoSpacing"/>
        <w:jc w:val="both"/>
        <w:rPr>
          <w:rFonts w:cstheme="minorHAnsi"/>
          <w:sz w:val="20"/>
        </w:rPr>
      </w:pPr>
      <w:r w:rsidRPr="000F7D37">
        <w:rPr>
          <w:rFonts w:cstheme="minorHAnsi"/>
          <w:sz w:val="20"/>
        </w:rPr>
        <w:t>With the changes in immigration laws post-Brexit, organizations should focus on promoting diversity and inclusion in their hiring practices to ensure they are not missing out on qualified candidates. Employers can take steps such as creating inclusive job descriptions, conducting blind resume reviews, and providing diversity and inclusion training for hiring managers.</w:t>
      </w:r>
    </w:p>
    <w:p w14:paraId="75E6B500" w14:textId="77777777" w:rsidR="00D42BFB" w:rsidRPr="000F7D37" w:rsidRDefault="00D42BFB" w:rsidP="0019125B">
      <w:pPr>
        <w:pStyle w:val="NoSpacing"/>
        <w:jc w:val="both"/>
        <w:rPr>
          <w:rFonts w:cstheme="minorHAnsi"/>
          <w:b/>
          <w:bCs/>
          <w:sz w:val="20"/>
        </w:rPr>
      </w:pPr>
    </w:p>
    <w:p w14:paraId="2EBAC733" w14:textId="77777777" w:rsidR="00D42BFB" w:rsidRPr="000F7D37" w:rsidRDefault="00D42BFB" w:rsidP="0019125B">
      <w:pPr>
        <w:pStyle w:val="NoSpacing"/>
        <w:jc w:val="both"/>
        <w:rPr>
          <w:rFonts w:cstheme="minorHAnsi"/>
          <w:b/>
          <w:bCs/>
          <w:sz w:val="20"/>
        </w:rPr>
      </w:pPr>
      <w:r w:rsidRPr="000F7D37">
        <w:rPr>
          <w:rFonts w:cstheme="minorHAnsi"/>
          <w:b/>
          <w:bCs/>
          <w:sz w:val="20"/>
        </w:rPr>
        <w:t>6.7 Develop a strong employer brand:</w:t>
      </w:r>
    </w:p>
    <w:p w14:paraId="3896CCFE" w14:textId="62314813" w:rsidR="00D42BFB" w:rsidRPr="000F7D37" w:rsidRDefault="00D42BFB" w:rsidP="0019125B">
      <w:pPr>
        <w:pStyle w:val="NoSpacing"/>
        <w:jc w:val="both"/>
        <w:rPr>
          <w:rFonts w:cstheme="minorHAnsi"/>
          <w:sz w:val="20"/>
        </w:rPr>
      </w:pPr>
      <w:r w:rsidRPr="000F7D37">
        <w:rPr>
          <w:rFonts w:cstheme="minorHAnsi"/>
          <w:sz w:val="20"/>
        </w:rPr>
        <w:t>A strong employer brand can help attract top talent and differentiate an organization from its competitors. Employers should focus on building a strong employer brand by showcasing their company culture, values, and employee experiences through social media, employer review websites, and other marketing channels.</w:t>
      </w:r>
    </w:p>
    <w:p w14:paraId="0C430358" w14:textId="77777777" w:rsidR="00D42BFB" w:rsidRPr="000F7D37" w:rsidRDefault="00D42BFB" w:rsidP="00D42BFB">
      <w:pPr>
        <w:pStyle w:val="NoSpacing"/>
        <w:rPr>
          <w:rFonts w:cstheme="minorHAnsi"/>
          <w:sz w:val="20"/>
        </w:rPr>
      </w:pPr>
    </w:p>
    <w:p w14:paraId="01E3FCFF" w14:textId="2ADA26AE" w:rsidR="00D42BFB" w:rsidRPr="000F7D37" w:rsidRDefault="00D42BFB" w:rsidP="00D42BFB">
      <w:pPr>
        <w:spacing w:after="0" w:line="240" w:lineRule="auto"/>
        <w:jc w:val="center"/>
        <w:rPr>
          <w:rFonts w:cstheme="minorHAnsi"/>
          <w:sz w:val="20"/>
        </w:rPr>
      </w:pPr>
      <w:r w:rsidRPr="0092721D">
        <w:rPr>
          <w:rFonts w:ascii="Times New Roman" w:hAnsi="Times New Roman" w:cs="Times New Roman"/>
          <w:b/>
          <w:bCs/>
          <w:sz w:val="32"/>
          <w:szCs w:val="32"/>
        </w:rPr>
        <w:t>CONCLUSION</w:t>
      </w:r>
    </w:p>
    <w:p w14:paraId="226D74B1" w14:textId="77777777" w:rsidR="00D42BFB" w:rsidRPr="000F7D37" w:rsidRDefault="00D42BFB" w:rsidP="00D42BFB">
      <w:pPr>
        <w:pStyle w:val="NoSpacing"/>
        <w:rPr>
          <w:rFonts w:cstheme="minorHAnsi"/>
          <w:sz w:val="20"/>
        </w:rPr>
      </w:pPr>
    </w:p>
    <w:p w14:paraId="3B6803E6" w14:textId="6DF39127" w:rsidR="00D42BFB" w:rsidRDefault="00A17F9F" w:rsidP="00A17F9F">
      <w:pPr>
        <w:pStyle w:val="NoSpacing"/>
        <w:jc w:val="both"/>
        <w:rPr>
          <w:rFonts w:cstheme="minorHAnsi"/>
          <w:sz w:val="20"/>
        </w:rPr>
      </w:pPr>
      <w:r w:rsidRPr="00A17F9F">
        <w:rPr>
          <w:rFonts w:cstheme="minorHAnsi"/>
          <w:sz w:val="20"/>
        </w:rPr>
        <w:t>The COVID-19 pandemic and Brexit have presented organizations with the challenge of meeting the changing expectations of employees who now expect flexible work arrangements. A survey by CIPD shows that 67% of organizations plan to adopt more remote working post-COVID. Deloitte has found that employee well-being and flexibility are key to retaining top talent and achieving better business outcomes. To address these challenges, organizations may need to implement new HR strategies and policies around remote work, flexible working arrangements, and employee well-being. They may also need to focus on building a strong employer brand and reputation to attract and retain top talent. Finally, it is important to note that job seekers research a company's reputation and employer brand before applying for a job, making it critical for organizations to invest in building a strong employer brand and reputation. The chart provided shows the percentage of organizations planning to adopt more remote working post-COVID based on the CIPD survey. Overall, organizations need to adapt their HR strategies and policies to remain competitive and attract and retain top talent by investing in new policies and initiatives that support employee well-being, flexible work arrangements, employee development, competitive compensation and benefits, and a strong employer brand and reputation.</w:t>
      </w:r>
    </w:p>
    <w:p w14:paraId="341482F9" w14:textId="77777777" w:rsidR="00A17F9F" w:rsidRPr="00A17F9F" w:rsidRDefault="00A17F9F" w:rsidP="00A17F9F">
      <w:pPr>
        <w:pStyle w:val="NoSpacing"/>
        <w:jc w:val="both"/>
        <w:rPr>
          <w:rFonts w:cstheme="minorHAnsi"/>
          <w:sz w:val="20"/>
        </w:rPr>
      </w:pPr>
    </w:p>
    <w:p w14:paraId="206A6CE4" w14:textId="77777777" w:rsidR="00D42BFB" w:rsidRPr="0019125B" w:rsidRDefault="00D42BFB" w:rsidP="0019125B">
      <w:pPr>
        <w:spacing w:after="0" w:line="240" w:lineRule="auto"/>
        <w:jc w:val="center"/>
        <w:rPr>
          <w:rFonts w:ascii="Times New Roman" w:hAnsi="Times New Roman" w:cs="Times New Roman"/>
          <w:b/>
          <w:bCs/>
          <w:sz w:val="32"/>
          <w:szCs w:val="32"/>
        </w:rPr>
      </w:pPr>
      <w:r w:rsidRPr="0019125B">
        <w:rPr>
          <w:rFonts w:ascii="Times New Roman" w:hAnsi="Times New Roman" w:cs="Times New Roman"/>
          <w:b/>
          <w:bCs/>
          <w:sz w:val="32"/>
          <w:szCs w:val="32"/>
        </w:rPr>
        <w:t>LABOUR MARKET PREDICTION</w:t>
      </w:r>
    </w:p>
    <w:p w14:paraId="2DE0349B" w14:textId="77777777" w:rsidR="00D42BFB" w:rsidRPr="000F7D37" w:rsidRDefault="00D42BFB" w:rsidP="00D42BFB">
      <w:pPr>
        <w:pStyle w:val="NoSpacing"/>
        <w:rPr>
          <w:rFonts w:cstheme="minorHAnsi"/>
          <w:sz w:val="20"/>
        </w:rPr>
      </w:pPr>
    </w:p>
    <w:p w14:paraId="2C06A64C" w14:textId="69123B53" w:rsidR="00D42BFB" w:rsidRPr="000F7D37" w:rsidRDefault="00D42BFB" w:rsidP="0019125B">
      <w:pPr>
        <w:pStyle w:val="NoSpacing"/>
        <w:jc w:val="both"/>
        <w:rPr>
          <w:rFonts w:cstheme="minorHAnsi"/>
          <w:sz w:val="20"/>
        </w:rPr>
      </w:pPr>
      <w:r w:rsidRPr="000F7D37">
        <w:rPr>
          <w:rFonts w:cstheme="minorHAnsi"/>
          <w:sz w:val="20"/>
        </w:rPr>
        <w:t xml:space="preserve">One of the key challenges for organizations and policymakers in the UK labor market is predicting how it will evolve in the future, particularly </w:t>
      </w:r>
      <w:proofErr w:type="gramStart"/>
      <w:r w:rsidRPr="000F7D37">
        <w:rPr>
          <w:rFonts w:cstheme="minorHAnsi"/>
          <w:sz w:val="20"/>
        </w:rPr>
        <w:t>in light of</w:t>
      </w:r>
      <w:proofErr w:type="gramEnd"/>
      <w:r w:rsidRPr="000F7D37">
        <w:rPr>
          <w:rFonts w:cstheme="minorHAnsi"/>
          <w:sz w:val="20"/>
        </w:rPr>
        <w:t xml:space="preserve"> the post-COVID, post-Brexit external environment.</w:t>
      </w:r>
      <w:r w:rsidR="0019125B">
        <w:rPr>
          <w:rFonts w:cstheme="minorHAnsi"/>
          <w:sz w:val="20"/>
        </w:rPr>
        <w:t xml:space="preserve"> </w:t>
      </w:r>
      <w:r w:rsidRPr="000F7D37">
        <w:rPr>
          <w:rFonts w:cstheme="minorHAnsi"/>
          <w:sz w:val="20"/>
        </w:rPr>
        <w:t>There are several factors that are likely to influence the labor market in the coming years, including:</w:t>
      </w:r>
    </w:p>
    <w:p w14:paraId="162674E6" w14:textId="77777777" w:rsidR="00D42BFB" w:rsidRPr="000F7D37" w:rsidRDefault="00D42BFB" w:rsidP="0019125B">
      <w:pPr>
        <w:pStyle w:val="NoSpacing"/>
        <w:jc w:val="both"/>
        <w:rPr>
          <w:rFonts w:cstheme="minorHAnsi"/>
          <w:sz w:val="20"/>
        </w:rPr>
      </w:pPr>
    </w:p>
    <w:p w14:paraId="5C5F5360" w14:textId="77777777" w:rsidR="00D42BFB" w:rsidRPr="000F7D37" w:rsidRDefault="00D42BFB" w:rsidP="0019125B">
      <w:pPr>
        <w:pStyle w:val="NoSpacing"/>
        <w:jc w:val="both"/>
        <w:rPr>
          <w:rFonts w:cstheme="minorHAnsi"/>
          <w:sz w:val="20"/>
        </w:rPr>
      </w:pPr>
      <w:r w:rsidRPr="0019125B">
        <w:rPr>
          <w:rFonts w:cstheme="minorHAnsi"/>
          <w:b/>
          <w:bCs/>
          <w:sz w:val="20"/>
        </w:rPr>
        <w:t>Technological advances:</w:t>
      </w:r>
      <w:r w:rsidRPr="000F7D37">
        <w:rPr>
          <w:rFonts w:cstheme="minorHAnsi"/>
          <w:sz w:val="20"/>
        </w:rPr>
        <w:t xml:space="preserve"> The ongoing development and adoption of new technologies, such as automation and artificial intelligence, are likely to impact the types of jobs available and the skills required to perform them.</w:t>
      </w:r>
    </w:p>
    <w:p w14:paraId="500E7014" w14:textId="77777777" w:rsidR="00D42BFB" w:rsidRPr="000F7D37" w:rsidRDefault="00D42BFB" w:rsidP="0019125B">
      <w:pPr>
        <w:pStyle w:val="NoSpacing"/>
        <w:jc w:val="both"/>
        <w:rPr>
          <w:rFonts w:cstheme="minorHAnsi"/>
          <w:sz w:val="20"/>
        </w:rPr>
      </w:pPr>
    </w:p>
    <w:p w14:paraId="54EE7FD0" w14:textId="77777777" w:rsidR="00D42BFB" w:rsidRPr="000F7D37" w:rsidRDefault="00D42BFB" w:rsidP="0019125B">
      <w:pPr>
        <w:pStyle w:val="NoSpacing"/>
        <w:jc w:val="both"/>
        <w:rPr>
          <w:rFonts w:cstheme="minorHAnsi"/>
          <w:sz w:val="20"/>
        </w:rPr>
      </w:pPr>
      <w:r w:rsidRPr="0019125B">
        <w:rPr>
          <w:rFonts w:cstheme="minorHAnsi"/>
          <w:b/>
          <w:bCs/>
          <w:sz w:val="20"/>
        </w:rPr>
        <w:t>Demographic changes:</w:t>
      </w:r>
      <w:r w:rsidRPr="000F7D37">
        <w:rPr>
          <w:rFonts w:cstheme="minorHAnsi"/>
          <w:sz w:val="20"/>
        </w:rPr>
        <w:t xml:space="preserve"> Changes in the age structure and composition of the population, as well as shifting migration patterns, are likely to impact the size and composition of the labor force.</w:t>
      </w:r>
    </w:p>
    <w:p w14:paraId="5CAA3284" w14:textId="77777777" w:rsidR="00D42BFB" w:rsidRPr="000F7D37" w:rsidRDefault="00D42BFB" w:rsidP="0019125B">
      <w:pPr>
        <w:pStyle w:val="NoSpacing"/>
        <w:jc w:val="both"/>
        <w:rPr>
          <w:rFonts w:cstheme="minorHAnsi"/>
          <w:sz w:val="20"/>
        </w:rPr>
      </w:pPr>
    </w:p>
    <w:p w14:paraId="0860D7A2" w14:textId="77777777" w:rsidR="00D42BFB" w:rsidRPr="000F7D37" w:rsidRDefault="00D42BFB" w:rsidP="0019125B">
      <w:pPr>
        <w:pStyle w:val="NoSpacing"/>
        <w:jc w:val="both"/>
        <w:rPr>
          <w:rFonts w:cstheme="minorHAnsi"/>
          <w:sz w:val="20"/>
        </w:rPr>
      </w:pPr>
      <w:r w:rsidRPr="0019125B">
        <w:rPr>
          <w:rFonts w:cstheme="minorHAnsi"/>
          <w:b/>
          <w:bCs/>
          <w:sz w:val="20"/>
        </w:rPr>
        <w:t>Economic conditions:</w:t>
      </w:r>
      <w:r w:rsidRPr="000F7D37">
        <w:rPr>
          <w:rFonts w:cstheme="minorHAnsi"/>
          <w:sz w:val="20"/>
        </w:rPr>
        <w:t xml:space="preserve"> The state of the economy, including factors such as inflation, interest rates, and government policies, will also play a role in shaping the labor market.</w:t>
      </w:r>
    </w:p>
    <w:p w14:paraId="063D27FD" w14:textId="77777777" w:rsidR="00D42BFB" w:rsidRPr="000F7D37" w:rsidRDefault="00D42BFB" w:rsidP="0019125B">
      <w:pPr>
        <w:pStyle w:val="NoSpacing"/>
        <w:jc w:val="both"/>
        <w:rPr>
          <w:rFonts w:cstheme="minorHAnsi"/>
          <w:sz w:val="20"/>
        </w:rPr>
      </w:pPr>
    </w:p>
    <w:p w14:paraId="7333C8FC" w14:textId="77777777" w:rsidR="00D42BFB" w:rsidRPr="000F7D37" w:rsidRDefault="00D42BFB" w:rsidP="0019125B">
      <w:pPr>
        <w:pStyle w:val="NoSpacing"/>
        <w:jc w:val="both"/>
        <w:rPr>
          <w:rFonts w:cstheme="minorHAnsi"/>
          <w:sz w:val="20"/>
        </w:rPr>
      </w:pPr>
      <w:r w:rsidRPr="0019125B">
        <w:rPr>
          <w:rFonts w:cstheme="minorHAnsi"/>
          <w:b/>
          <w:bCs/>
          <w:sz w:val="20"/>
        </w:rPr>
        <w:t>Regulatory changes:</w:t>
      </w:r>
      <w:r w:rsidRPr="000F7D37">
        <w:rPr>
          <w:rFonts w:cstheme="minorHAnsi"/>
          <w:sz w:val="20"/>
        </w:rPr>
        <w:t xml:space="preserve"> Changes in regulations and policies, such as changes to immigration rules or changes to employment laws, can have significant impacts on the labor market.</w:t>
      </w:r>
    </w:p>
    <w:p w14:paraId="24B24E9B" w14:textId="77777777" w:rsidR="00D42BFB" w:rsidRPr="000F7D37" w:rsidRDefault="00D42BFB" w:rsidP="0019125B">
      <w:pPr>
        <w:pStyle w:val="NoSpacing"/>
        <w:jc w:val="both"/>
        <w:rPr>
          <w:rFonts w:cstheme="minorHAnsi"/>
          <w:sz w:val="20"/>
        </w:rPr>
      </w:pPr>
    </w:p>
    <w:p w14:paraId="677E48E1" w14:textId="77777777" w:rsidR="00D42BFB" w:rsidRPr="000F7D37" w:rsidRDefault="00D42BFB" w:rsidP="0019125B">
      <w:pPr>
        <w:pStyle w:val="NoSpacing"/>
        <w:jc w:val="both"/>
        <w:rPr>
          <w:rFonts w:cstheme="minorHAnsi"/>
          <w:sz w:val="20"/>
        </w:rPr>
      </w:pPr>
      <w:r w:rsidRPr="000F7D37">
        <w:rPr>
          <w:rFonts w:cstheme="minorHAnsi"/>
          <w:sz w:val="20"/>
        </w:rPr>
        <w:t>Given these factors, predicting the future of the labor market can be challenging. However, there are several trends and predictions that experts have made:</w:t>
      </w:r>
    </w:p>
    <w:p w14:paraId="72BEBEE5" w14:textId="77777777" w:rsidR="00D42BFB" w:rsidRPr="000F7D37" w:rsidRDefault="00D42BFB" w:rsidP="0019125B">
      <w:pPr>
        <w:pStyle w:val="NoSpacing"/>
        <w:jc w:val="both"/>
        <w:rPr>
          <w:rFonts w:cstheme="minorHAnsi"/>
          <w:sz w:val="20"/>
        </w:rPr>
      </w:pPr>
    </w:p>
    <w:p w14:paraId="1AAE4B42" w14:textId="77777777" w:rsidR="00D42BFB" w:rsidRPr="000F7D37" w:rsidRDefault="00D42BFB" w:rsidP="0019125B">
      <w:pPr>
        <w:pStyle w:val="NoSpacing"/>
        <w:jc w:val="both"/>
        <w:rPr>
          <w:rFonts w:cstheme="minorHAnsi"/>
          <w:sz w:val="20"/>
        </w:rPr>
      </w:pPr>
      <w:r w:rsidRPr="0019125B">
        <w:rPr>
          <w:rFonts w:cstheme="minorHAnsi"/>
          <w:b/>
          <w:bCs/>
          <w:sz w:val="20"/>
        </w:rPr>
        <w:t>Increased demand for digital skills</w:t>
      </w:r>
      <w:r w:rsidRPr="000F7D37">
        <w:rPr>
          <w:rFonts w:cstheme="minorHAnsi"/>
          <w:sz w:val="20"/>
        </w:rPr>
        <w:t>: With the ongoing technological transformation, there is likely to be a growing demand for workers with skills in digital technologies such as data analytics, artificial intelligence, and cybersecurity.</w:t>
      </w:r>
    </w:p>
    <w:p w14:paraId="2B89E464" w14:textId="77777777" w:rsidR="00D42BFB" w:rsidRPr="0019125B" w:rsidRDefault="00D42BFB" w:rsidP="0019125B">
      <w:pPr>
        <w:pStyle w:val="NoSpacing"/>
        <w:jc w:val="both"/>
        <w:rPr>
          <w:rFonts w:cstheme="minorHAnsi"/>
          <w:b/>
          <w:bCs/>
          <w:sz w:val="20"/>
        </w:rPr>
      </w:pPr>
    </w:p>
    <w:p w14:paraId="640B99C2" w14:textId="77777777" w:rsidR="00D42BFB" w:rsidRPr="000F7D37" w:rsidRDefault="00D42BFB" w:rsidP="0019125B">
      <w:pPr>
        <w:pStyle w:val="NoSpacing"/>
        <w:jc w:val="both"/>
        <w:rPr>
          <w:rFonts w:cstheme="minorHAnsi"/>
          <w:sz w:val="20"/>
        </w:rPr>
      </w:pPr>
      <w:r w:rsidRPr="0019125B">
        <w:rPr>
          <w:rFonts w:cstheme="minorHAnsi"/>
          <w:b/>
          <w:bCs/>
          <w:sz w:val="20"/>
        </w:rPr>
        <w:t>Continued growth of the gig economy:</w:t>
      </w:r>
      <w:r w:rsidRPr="000F7D37">
        <w:rPr>
          <w:rFonts w:cstheme="minorHAnsi"/>
          <w:sz w:val="20"/>
        </w:rPr>
        <w:t xml:space="preserve"> The gig economy, which includes freelancers, independent contractors, and temporary workers, is likely to continue to grow, as employers seek more flexibility and workers seek greater autonomy and control over their work.</w:t>
      </w:r>
    </w:p>
    <w:p w14:paraId="2C16819E" w14:textId="77777777" w:rsidR="00D42BFB" w:rsidRPr="0019125B" w:rsidRDefault="00D42BFB" w:rsidP="0019125B">
      <w:pPr>
        <w:pStyle w:val="NoSpacing"/>
        <w:jc w:val="both"/>
        <w:rPr>
          <w:rFonts w:cstheme="minorHAnsi"/>
          <w:b/>
          <w:bCs/>
          <w:sz w:val="20"/>
        </w:rPr>
      </w:pPr>
    </w:p>
    <w:p w14:paraId="76775194" w14:textId="77777777" w:rsidR="00D42BFB" w:rsidRPr="000F7D37" w:rsidRDefault="00D42BFB" w:rsidP="0019125B">
      <w:pPr>
        <w:pStyle w:val="NoSpacing"/>
        <w:jc w:val="both"/>
        <w:rPr>
          <w:rFonts w:cstheme="minorHAnsi"/>
          <w:sz w:val="20"/>
        </w:rPr>
      </w:pPr>
      <w:r w:rsidRPr="0019125B">
        <w:rPr>
          <w:rFonts w:cstheme="minorHAnsi"/>
          <w:b/>
          <w:bCs/>
          <w:sz w:val="20"/>
        </w:rPr>
        <w:t>Continued focus on diversity, equity, and inclusion:</w:t>
      </w:r>
      <w:r w:rsidRPr="000F7D37">
        <w:rPr>
          <w:rFonts w:cstheme="minorHAnsi"/>
          <w:sz w:val="20"/>
        </w:rPr>
        <w:t xml:space="preserve"> Organizations are likely to place increasing emphasis on creating more diverse and inclusive workplaces, in order to attract and retain top talent and meet evolving customer and societal expectations.</w:t>
      </w:r>
    </w:p>
    <w:p w14:paraId="5A818A08" w14:textId="77777777" w:rsidR="00D42BFB" w:rsidRPr="000F7D37" w:rsidRDefault="00D42BFB" w:rsidP="0019125B">
      <w:pPr>
        <w:pStyle w:val="NoSpacing"/>
        <w:jc w:val="both"/>
        <w:rPr>
          <w:rFonts w:cstheme="minorHAnsi"/>
          <w:sz w:val="20"/>
        </w:rPr>
      </w:pPr>
    </w:p>
    <w:p w14:paraId="36994B12" w14:textId="77777777" w:rsidR="00D42BFB" w:rsidRPr="000F7D37" w:rsidRDefault="00D42BFB" w:rsidP="0019125B">
      <w:pPr>
        <w:pStyle w:val="NoSpacing"/>
        <w:jc w:val="both"/>
        <w:rPr>
          <w:rFonts w:cstheme="minorHAnsi"/>
          <w:sz w:val="20"/>
        </w:rPr>
      </w:pPr>
      <w:r w:rsidRPr="0019125B">
        <w:rPr>
          <w:rFonts w:cstheme="minorHAnsi"/>
          <w:b/>
          <w:bCs/>
          <w:sz w:val="20"/>
        </w:rPr>
        <w:t>Growing importance of employee well-being:</w:t>
      </w:r>
      <w:r w:rsidRPr="000F7D37">
        <w:rPr>
          <w:rFonts w:cstheme="minorHAnsi"/>
          <w:sz w:val="20"/>
        </w:rPr>
        <w:t xml:space="preserve"> The COVID-19 pandemic has highlighted the importance of employee well-being, and organizations are likely to continue to prioritize this area in order to attract and retain top talent and create a positive workplace culture.</w:t>
      </w:r>
    </w:p>
    <w:p w14:paraId="31E1B62D" w14:textId="77777777" w:rsidR="00D42BFB" w:rsidRPr="000F7D37" w:rsidRDefault="00D42BFB" w:rsidP="0019125B">
      <w:pPr>
        <w:pStyle w:val="NoSpacing"/>
        <w:jc w:val="both"/>
        <w:rPr>
          <w:rFonts w:cstheme="minorHAnsi"/>
          <w:sz w:val="20"/>
        </w:rPr>
      </w:pPr>
    </w:p>
    <w:p w14:paraId="3B169E83" w14:textId="77777777" w:rsidR="00D42BFB" w:rsidRPr="000F7D37" w:rsidRDefault="00D42BFB" w:rsidP="0019125B">
      <w:pPr>
        <w:pStyle w:val="NoSpacing"/>
        <w:jc w:val="both"/>
        <w:rPr>
          <w:rFonts w:cstheme="minorHAnsi"/>
          <w:sz w:val="20"/>
        </w:rPr>
      </w:pPr>
      <w:r w:rsidRPr="000F7D37">
        <w:rPr>
          <w:rFonts w:cstheme="minorHAnsi"/>
          <w:sz w:val="20"/>
        </w:rPr>
        <w:t xml:space="preserve">Overall, while predicting the future of the labor market is challenging, </w:t>
      </w:r>
      <w:proofErr w:type="gramStart"/>
      <w:r w:rsidRPr="000F7D37">
        <w:rPr>
          <w:rFonts w:cstheme="minorHAnsi"/>
          <w:sz w:val="20"/>
        </w:rPr>
        <w:t>it is clear that there</w:t>
      </w:r>
      <w:proofErr w:type="gramEnd"/>
      <w:r w:rsidRPr="000F7D37">
        <w:rPr>
          <w:rFonts w:cstheme="minorHAnsi"/>
          <w:sz w:val="20"/>
        </w:rPr>
        <w:t xml:space="preserve"> are several key trends and predictions that organizations and policymakers need to be aware of in order to stay competitive and respond effectively to changing labor market dynamics.</w:t>
      </w:r>
    </w:p>
    <w:p w14:paraId="6DCBC9F9" w14:textId="77777777" w:rsidR="00D42BFB" w:rsidRPr="000F7D37" w:rsidRDefault="00D42BFB" w:rsidP="00D42BFB">
      <w:pPr>
        <w:pStyle w:val="NoSpacing"/>
        <w:rPr>
          <w:rFonts w:cstheme="minorHAnsi"/>
          <w:sz w:val="20"/>
        </w:rPr>
      </w:pPr>
    </w:p>
    <w:p w14:paraId="3E10531D" w14:textId="77777777" w:rsidR="00D42BFB" w:rsidRPr="000F7D37" w:rsidRDefault="00D42BFB" w:rsidP="00D42BFB">
      <w:pPr>
        <w:pStyle w:val="NoSpacing"/>
        <w:rPr>
          <w:rFonts w:cstheme="minorHAnsi"/>
          <w:sz w:val="20"/>
        </w:rPr>
      </w:pPr>
    </w:p>
    <w:p w14:paraId="13514A8B" w14:textId="77777777" w:rsidR="00D42BFB" w:rsidRPr="000F7D37" w:rsidRDefault="00D42BFB" w:rsidP="00D42BFB">
      <w:pPr>
        <w:pStyle w:val="NoSpacing"/>
        <w:rPr>
          <w:rFonts w:cstheme="minorHAnsi"/>
          <w:sz w:val="20"/>
        </w:rPr>
      </w:pPr>
    </w:p>
    <w:p w14:paraId="7101AB3A" w14:textId="15E2F762" w:rsidR="00BB2BBA" w:rsidRDefault="00BB2BBA" w:rsidP="00D42BFB">
      <w:pPr>
        <w:spacing w:after="0" w:line="240" w:lineRule="auto"/>
        <w:rPr>
          <w:rFonts w:cstheme="minorHAnsi"/>
          <w:sz w:val="20"/>
        </w:rPr>
      </w:pPr>
    </w:p>
    <w:p w14:paraId="3F3936BB" w14:textId="77777777" w:rsidR="00BB2BBA" w:rsidRDefault="00BB2BBA">
      <w:pPr>
        <w:rPr>
          <w:rFonts w:cstheme="minorHAnsi"/>
          <w:sz w:val="20"/>
        </w:rPr>
      </w:pPr>
      <w:r>
        <w:rPr>
          <w:rFonts w:cstheme="minorHAnsi"/>
          <w:sz w:val="20"/>
        </w:rPr>
        <w:br w:type="page"/>
      </w:r>
    </w:p>
    <w:p w14:paraId="540D21BE" w14:textId="2503A003" w:rsidR="00141924" w:rsidRPr="00141924" w:rsidRDefault="00141924" w:rsidP="00BB2BBA">
      <w:pPr>
        <w:spacing w:after="0" w:line="240" w:lineRule="auto"/>
        <w:rPr>
          <w:rFonts w:cstheme="minorHAnsi"/>
          <w:b/>
          <w:bCs/>
          <w:sz w:val="32"/>
          <w:szCs w:val="32"/>
          <w:lang w:val="en-IN"/>
        </w:rPr>
      </w:pPr>
      <w:r w:rsidRPr="00141924">
        <w:rPr>
          <w:rFonts w:cstheme="minorHAnsi"/>
          <w:b/>
          <w:bCs/>
          <w:sz w:val="32"/>
          <w:szCs w:val="32"/>
          <w:lang w:val="en-IN"/>
        </w:rPr>
        <w:lastRenderedPageBreak/>
        <w:t>References</w:t>
      </w:r>
    </w:p>
    <w:p w14:paraId="00E78A72" w14:textId="77777777" w:rsidR="00141924" w:rsidRDefault="00141924" w:rsidP="00BB2BBA">
      <w:pPr>
        <w:spacing w:after="0" w:line="240" w:lineRule="auto"/>
        <w:rPr>
          <w:rFonts w:cstheme="minorHAnsi"/>
          <w:i/>
          <w:iCs/>
          <w:sz w:val="20"/>
          <w:lang w:val="en-IN"/>
        </w:rPr>
      </w:pPr>
    </w:p>
    <w:p w14:paraId="6C55427D" w14:textId="77777777" w:rsidR="006E0B5E" w:rsidRPr="000A6E24" w:rsidRDefault="006E0B5E" w:rsidP="006E0B5E">
      <w:pPr>
        <w:pStyle w:val="NoSpacing"/>
        <w:rPr>
          <w:i/>
          <w:iCs/>
          <w:sz w:val="20"/>
        </w:rPr>
      </w:pPr>
      <w:r w:rsidRPr="000A6E24">
        <w:rPr>
          <w:sz w:val="20"/>
        </w:rPr>
        <w:t xml:space="preserve">BALLIESTER, THEREZA, and ADAM ELSHEIKHI. </w:t>
      </w:r>
      <w:r w:rsidRPr="000A6E24">
        <w:rPr>
          <w:i/>
          <w:iCs/>
          <w:sz w:val="20"/>
        </w:rPr>
        <w:t>The Future of Work: A Literature Review</w:t>
      </w:r>
      <w:r w:rsidRPr="000A6E24">
        <w:rPr>
          <w:sz w:val="20"/>
        </w:rPr>
        <w:t xml:space="preserve">. 2018. </w:t>
      </w:r>
      <w:r w:rsidRPr="000A6E24">
        <w:rPr>
          <w:i/>
          <w:iCs/>
          <w:sz w:val="20"/>
        </w:rPr>
        <w:t>Pp 8-18</w:t>
      </w:r>
    </w:p>
    <w:p w14:paraId="1DE4A581" w14:textId="77777777" w:rsidR="006E0B5E" w:rsidRPr="000A6E24" w:rsidRDefault="006E0B5E" w:rsidP="006E0B5E">
      <w:pPr>
        <w:pStyle w:val="NoSpacing"/>
        <w:rPr>
          <w:sz w:val="20"/>
        </w:rPr>
      </w:pPr>
      <w:r w:rsidRPr="000A6E24">
        <w:rPr>
          <w:sz w:val="20"/>
        </w:rPr>
        <w:t xml:space="preserve">Available at: </w:t>
      </w:r>
      <w:hyperlink r:id="rId11" w:history="1">
        <w:r w:rsidRPr="000A6E24">
          <w:rPr>
            <w:rStyle w:val="Hyperlink"/>
            <w:rFonts w:cstheme="minorHAnsi"/>
            <w:sz w:val="20"/>
          </w:rPr>
          <w:t>https://englishbulletin.adapt.it/wp-content/uploads/2018/07/wcms_625866.pdf</w:t>
        </w:r>
      </w:hyperlink>
    </w:p>
    <w:p w14:paraId="67AE1583" w14:textId="77777777" w:rsidR="006E0B5E" w:rsidRPr="000A6E24" w:rsidRDefault="006E0B5E" w:rsidP="006E0B5E">
      <w:pPr>
        <w:pStyle w:val="NoSpacing"/>
        <w:rPr>
          <w:sz w:val="20"/>
        </w:rPr>
      </w:pPr>
      <w:r w:rsidRPr="000A6E24">
        <w:rPr>
          <w:sz w:val="20"/>
          <w:lang w:val="en-IN"/>
        </w:rPr>
        <w:t>[Accessed 15 Apr2023]</w:t>
      </w:r>
    </w:p>
    <w:p w14:paraId="1C7C1FA7" w14:textId="77777777" w:rsidR="006E0B5E" w:rsidRPr="000A6E24" w:rsidRDefault="006E0B5E" w:rsidP="006E0B5E">
      <w:pPr>
        <w:pStyle w:val="NoSpacing"/>
        <w:rPr>
          <w:sz w:val="20"/>
        </w:rPr>
      </w:pPr>
    </w:p>
    <w:p w14:paraId="60D71412" w14:textId="77777777" w:rsidR="006E0B5E" w:rsidRPr="000A6E24" w:rsidRDefault="006E0B5E" w:rsidP="006E0B5E">
      <w:pPr>
        <w:pStyle w:val="NoSpacing"/>
        <w:rPr>
          <w:sz w:val="20"/>
        </w:rPr>
      </w:pPr>
      <w:r w:rsidRPr="000A6E24">
        <w:rPr>
          <w:sz w:val="20"/>
        </w:rPr>
        <w:t xml:space="preserve">CIPD. “How Private Sector Employers Have Been Helping Their Workers Cope with the Cost-of-Living Crisis| CIPD Voice Article.” </w:t>
      </w:r>
      <w:r w:rsidRPr="000A6E24">
        <w:rPr>
          <w:i/>
          <w:iCs/>
          <w:sz w:val="20"/>
        </w:rPr>
        <w:t>CIPD</w:t>
      </w:r>
      <w:r w:rsidRPr="000A6E24">
        <w:rPr>
          <w:sz w:val="20"/>
        </w:rPr>
        <w:t>, 19 Dec. 2022,</w:t>
      </w:r>
    </w:p>
    <w:p w14:paraId="3629DE8A" w14:textId="77777777" w:rsidR="006E0B5E" w:rsidRPr="000A6E24" w:rsidRDefault="006E0B5E" w:rsidP="006E0B5E">
      <w:pPr>
        <w:pStyle w:val="NoSpacing"/>
        <w:rPr>
          <w:sz w:val="20"/>
        </w:rPr>
      </w:pPr>
      <w:r w:rsidRPr="000A6E24">
        <w:rPr>
          <w:sz w:val="20"/>
        </w:rPr>
        <w:t xml:space="preserve">Available at:  </w:t>
      </w:r>
      <w:hyperlink r:id="rId12" w:history="1">
        <w:r w:rsidRPr="000A6E24">
          <w:rPr>
            <w:rStyle w:val="Hyperlink"/>
            <w:rFonts w:cstheme="minorHAnsi"/>
            <w:sz w:val="20"/>
          </w:rPr>
          <w:t>www.cipd.co.uk/news-views/cipd-voice/issue-38/private-sector-employers-helping-workers-cost-living-crisis</w:t>
        </w:r>
      </w:hyperlink>
      <w:r w:rsidRPr="000A6E24">
        <w:rPr>
          <w:sz w:val="20"/>
        </w:rPr>
        <w:t>.</w:t>
      </w:r>
    </w:p>
    <w:p w14:paraId="7F4B3277" w14:textId="77777777" w:rsidR="006E0B5E" w:rsidRPr="000A6E24" w:rsidRDefault="006E0B5E" w:rsidP="006E0B5E">
      <w:pPr>
        <w:pStyle w:val="NoSpacing"/>
        <w:rPr>
          <w:sz w:val="20"/>
        </w:rPr>
      </w:pPr>
      <w:r w:rsidRPr="000A6E24">
        <w:rPr>
          <w:sz w:val="20"/>
          <w:lang w:val="en-IN"/>
        </w:rPr>
        <w:t>[Accessed 15 Apr2023]</w:t>
      </w:r>
    </w:p>
    <w:p w14:paraId="02DBF360" w14:textId="77777777" w:rsidR="006E0B5E" w:rsidRPr="000A6E24" w:rsidRDefault="006E0B5E" w:rsidP="006E0B5E">
      <w:pPr>
        <w:pStyle w:val="NoSpacing"/>
        <w:rPr>
          <w:sz w:val="20"/>
        </w:rPr>
      </w:pPr>
    </w:p>
    <w:p w14:paraId="4B144BF8" w14:textId="77777777" w:rsidR="006E0B5E" w:rsidRPr="000A6E24" w:rsidRDefault="006E0B5E" w:rsidP="006E0B5E">
      <w:pPr>
        <w:pStyle w:val="NoSpacing"/>
        <w:rPr>
          <w:sz w:val="20"/>
        </w:rPr>
      </w:pPr>
      <w:r w:rsidRPr="000A6E24">
        <w:rPr>
          <w:sz w:val="20"/>
        </w:rPr>
        <w:t>Elizabeth St. Clair, MLIS. “City University of Seattle Library: Business &amp; Management: SWOT and PESTLE Analyses.”</w:t>
      </w:r>
    </w:p>
    <w:p w14:paraId="64B3355F" w14:textId="77777777" w:rsidR="006E0B5E" w:rsidRPr="000A6E24" w:rsidRDefault="006E0B5E" w:rsidP="006E0B5E">
      <w:pPr>
        <w:pStyle w:val="NoSpacing"/>
        <w:rPr>
          <w:sz w:val="20"/>
        </w:rPr>
      </w:pPr>
      <w:r w:rsidRPr="000A6E24">
        <w:rPr>
          <w:i/>
          <w:iCs/>
          <w:sz w:val="20"/>
        </w:rPr>
        <w:t>Library.cityu.edu</w:t>
      </w:r>
      <w:r w:rsidRPr="000A6E24">
        <w:rPr>
          <w:sz w:val="20"/>
        </w:rPr>
        <w:t>, 23 Feb. 2023,</w:t>
      </w:r>
    </w:p>
    <w:p w14:paraId="4A136AE8" w14:textId="77777777" w:rsidR="006E0B5E" w:rsidRPr="000A6E24" w:rsidRDefault="006E0B5E" w:rsidP="006E0B5E">
      <w:pPr>
        <w:pStyle w:val="NoSpacing"/>
        <w:rPr>
          <w:sz w:val="20"/>
        </w:rPr>
      </w:pPr>
      <w:r w:rsidRPr="000A6E24">
        <w:rPr>
          <w:sz w:val="20"/>
        </w:rPr>
        <w:t xml:space="preserve">Available at: </w:t>
      </w:r>
      <w:hyperlink r:id="rId13" w:history="1">
        <w:r w:rsidRPr="000A6E24">
          <w:rPr>
            <w:rStyle w:val="Hyperlink"/>
            <w:rFonts w:cstheme="minorHAnsi"/>
            <w:sz w:val="20"/>
            <w:lang w:val="en-IN"/>
          </w:rPr>
          <w:t>https://library.cityu.edu/researchguides/business/swot</w:t>
        </w:r>
      </w:hyperlink>
    </w:p>
    <w:p w14:paraId="65F9279C" w14:textId="77777777" w:rsidR="006E0B5E" w:rsidRPr="000A6E24" w:rsidRDefault="006E0B5E" w:rsidP="006E0B5E">
      <w:pPr>
        <w:pStyle w:val="NoSpacing"/>
        <w:rPr>
          <w:sz w:val="20"/>
        </w:rPr>
      </w:pPr>
      <w:r w:rsidRPr="000A6E24">
        <w:rPr>
          <w:sz w:val="20"/>
          <w:lang w:val="en-IN"/>
        </w:rPr>
        <w:t>[Accessed 15 Apr2023]</w:t>
      </w:r>
    </w:p>
    <w:p w14:paraId="22718A01" w14:textId="77777777" w:rsidR="006E0B5E" w:rsidRPr="000A6E24" w:rsidRDefault="006E0B5E" w:rsidP="006E0B5E">
      <w:pPr>
        <w:pStyle w:val="NoSpacing"/>
        <w:rPr>
          <w:sz w:val="20"/>
        </w:rPr>
      </w:pPr>
    </w:p>
    <w:p w14:paraId="78C80547" w14:textId="77777777" w:rsidR="006E0B5E" w:rsidRPr="000A6E24" w:rsidRDefault="006E0B5E" w:rsidP="006E0B5E">
      <w:pPr>
        <w:pStyle w:val="NoSpacing"/>
        <w:rPr>
          <w:sz w:val="20"/>
        </w:rPr>
      </w:pPr>
      <w:r w:rsidRPr="000A6E24">
        <w:rPr>
          <w:sz w:val="20"/>
        </w:rPr>
        <w:t xml:space="preserve">Leaker, Debra. “A Guide to </w:t>
      </w:r>
      <w:proofErr w:type="spellStart"/>
      <w:r w:rsidRPr="000A6E24">
        <w:rPr>
          <w:sz w:val="20"/>
        </w:rPr>
        <w:t>Labour</w:t>
      </w:r>
      <w:proofErr w:type="spellEnd"/>
      <w:r w:rsidRPr="000A6E24">
        <w:rPr>
          <w:sz w:val="20"/>
        </w:rPr>
        <w:t xml:space="preserve"> Market Statistics - Office for National Statistics.” </w:t>
      </w:r>
      <w:r w:rsidRPr="000A6E24">
        <w:rPr>
          <w:i/>
          <w:iCs/>
          <w:sz w:val="20"/>
        </w:rPr>
        <w:t>Ons.gov.uk</w:t>
      </w:r>
      <w:r w:rsidRPr="000A6E24">
        <w:rPr>
          <w:sz w:val="20"/>
        </w:rPr>
        <w:t>, 2019,</w:t>
      </w:r>
    </w:p>
    <w:p w14:paraId="2C7F687C" w14:textId="77777777" w:rsidR="006E0B5E" w:rsidRPr="000A6E24" w:rsidRDefault="006E0B5E" w:rsidP="006E0B5E">
      <w:pPr>
        <w:pStyle w:val="NoSpacing"/>
        <w:rPr>
          <w:sz w:val="20"/>
        </w:rPr>
      </w:pPr>
      <w:r w:rsidRPr="000A6E24">
        <w:rPr>
          <w:sz w:val="20"/>
        </w:rPr>
        <w:t>Available at:</w:t>
      </w:r>
    </w:p>
    <w:p w14:paraId="2ED821E8" w14:textId="77777777" w:rsidR="006E0B5E" w:rsidRPr="000A6E24" w:rsidRDefault="006E0B5E" w:rsidP="006E0B5E">
      <w:pPr>
        <w:pStyle w:val="NoSpacing"/>
        <w:rPr>
          <w:sz w:val="20"/>
        </w:rPr>
      </w:pPr>
      <w:hyperlink r:id="rId14" w:history="1">
        <w:r w:rsidRPr="000A6E24">
          <w:rPr>
            <w:rStyle w:val="Hyperlink"/>
            <w:rFonts w:cstheme="minorHAnsi"/>
            <w:sz w:val="20"/>
          </w:rPr>
          <w:t>www.ons.gov.uk/employmentandlabourmarket/peopleinwork/employmentandemployeetypes/methodologies/aguidetolabourmarketstatistics#employment</w:t>
        </w:r>
      </w:hyperlink>
      <w:r w:rsidRPr="000A6E24">
        <w:rPr>
          <w:sz w:val="20"/>
        </w:rPr>
        <w:t>.</w:t>
      </w:r>
    </w:p>
    <w:p w14:paraId="34999859" w14:textId="77777777" w:rsidR="006E0B5E" w:rsidRPr="000A6E24" w:rsidRDefault="006E0B5E" w:rsidP="006E0B5E">
      <w:pPr>
        <w:pStyle w:val="NoSpacing"/>
        <w:rPr>
          <w:sz w:val="20"/>
        </w:rPr>
      </w:pPr>
      <w:r w:rsidRPr="000A6E24">
        <w:rPr>
          <w:sz w:val="20"/>
          <w:lang w:val="en-IN"/>
        </w:rPr>
        <w:t>[Accessed 15 Apr2023]</w:t>
      </w:r>
    </w:p>
    <w:p w14:paraId="03766AB9" w14:textId="77777777" w:rsidR="006E0B5E" w:rsidRPr="000A6E24" w:rsidRDefault="006E0B5E" w:rsidP="006E0B5E">
      <w:pPr>
        <w:pStyle w:val="NoSpacing"/>
        <w:rPr>
          <w:sz w:val="20"/>
        </w:rPr>
      </w:pPr>
    </w:p>
    <w:p w14:paraId="70E8ED42" w14:textId="77777777" w:rsidR="006E0B5E" w:rsidRPr="000A6E24" w:rsidRDefault="006E0B5E" w:rsidP="006E0B5E">
      <w:pPr>
        <w:pStyle w:val="NoSpacing"/>
        <w:rPr>
          <w:sz w:val="20"/>
        </w:rPr>
      </w:pPr>
      <w:r w:rsidRPr="000A6E24">
        <w:rPr>
          <w:sz w:val="20"/>
        </w:rPr>
        <w:t xml:space="preserve">Leaker, </w:t>
      </w:r>
      <w:proofErr w:type="gramStart"/>
      <w:r w:rsidRPr="000A6E24">
        <w:rPr>
          <w:sz w:val="20"/>
        </w:rPr>
        <w:t>Debra .</w:t>
      </w:r>
      <w:proofErr w:type="gramEnd"/>
      <w:r w:rsidRPr="000A6E24">
        <w:rPr>
          <w:sz w:val="20"/>
        </w:rPr>
        <w:t xml:space="preserve"> “</w:t>
      </w:r>
      <w:proofErr w:type="spellStart"/>
      <w:r w:rsidRPr="000A6E24">
        <w:rPr>
          <w:sz w:val="20"/>
        </w:rPr>
        <w:t>Labour</w:t>
      </w:r>
      <w:proofErr w:type="spellEnd"/>
      <w:r w:rsidRPr="000A6E24">
        <w:rPr>
          <w:sz w:val="20"/>
        </w:rPr>
        <w:t xml:space="preserve"> Market Overview, UK - Office for National Statistics.” </w:t>
      </w:r>
      <w:r w:rsidRPr="000A6E24">
        <w:rPr>
          <w:i/>
          <w:iCs/>
          <w:sz w:val="20"/>
        </w:rPr>
        <w:t>Www.ons.gov.uk</w:t>
      </w:r>
      <w:r w:rsidRPr="000A6E24">
        <w:rPr>
          <w:sz w:val="20"/>
        </w:rPr>
        <w:t>, 14 Feb. 2023,</w:t>
      </w:r>
    </w:p>
    <w:p w14:paraId="32E2E3B4" w14:textId="77777777" w:rsidR="006E0B5E" w:rsidRPr="000A6E24" w:rsidRDefault="006E0B5E" w:rsidP="006E0B5E">
      <w:pPr>
        <w:pStyle w:val="NoSpacing"/>
        <w:rPr>
          <w:sz w:val="20"/>
        </w:rPr>
      </w:pPr>
      <w:r w:rsidRPr="000A6E24">
        <w:rPr>
          <w:sz w:val="20"/>
        </w:rPr>
        <w:t xml:space="preserve">Available at: </w:t>
      </w:r>
      <w:hyperlink r:id="rId15" w:history="1">
        <w:r w:rsidRPr="000A6E24">
          <w:rPr>
            <w:rStyle w:val="Hyperlink"/>
            <w:rFonts w:cstheme="minorHAnsi"/>
            <w:sz w:val="20"/>
          </w:rPr>
          <w:t>www.ons.gov.uk/employmentandlabourmarket/peopleinwork/employmentandemployeetypes/bulletins/uklabourmarket/february2023</w:t>
        </w:r>
      </w:hyperlink>
      <w:r w:rsidRPr="000A6E24">
        <w:rPr>
          <w:sz w:val="20"/>
        </w:rPr>
        <w:t>.</w:t>
      </w:r>
    </w:p>
    <w:p w14:paraId="45464B6E" w14:textId="77777777" w:rsidR="006E0B5E" w:rsidRPr="000A6E24" w:rsidRDefault="006E0B5E" w:rsidP="006E0B5E">
      <w:pPr>
        <w:pStyle w:val="NoSpacing"/>
        <w:rPr>
          <w:sz w:val="20"/>
        </w:rPr>
      </w:pPr>
      <w:r w:rsidRPr="000A6E24">
        <w:rPr>
          <w:sz w:val="20"/>
          <w:lang w:val="en-IN"/>
        </w:rPr>
        <w:t>[Accessed 15 Apr2023]</w:t>
      </w:r>
    </w:p>
    <w:p w14:paraId="34C8890A" w14:textId="77777777" w:rsidR="006E0B5E" w:rsidRPr="000A6E24" w:rsidRDefault="006E0B5E" w:rsidP="006E0B5E">
      <w:pPr>
        <w:pStyle w:val="NoSpacing"/>
        <w:rPr>
          <w:sz w:val="20"/>
        </w:rPr>
      </w:pPr>
    </w:p>
    <w:p w14:paraId="0C3E0274" w14:textId="77777777" w:rsidR="006E0B5E" w:rsidRPr="000A6E24" w:rsidRDefault="006E0B5E" w:rsidP="006E0B5E">
      <w:pPr>
        <w:pStyle w:val="NoSpacing"/>
        <w:rPr>
          <w:sz w:val="20"/>
        </w:rPr>
      </w:pPr>
      <w:r w:rsidRPr="000A6E24">
        <w:rPr>
          <w:sz w:val="20"/>
        </w:rPr>
        <w:t xml:space="preserve">McIntyre, Stuart. “What’s Happening in the UK </w:t>
      </w:r>
      <w:proofErr w:type="spellStart"/>
      <w:r w:rsidRPr="000A6E24">
        <w:rPr>
          <w:sz w:val="20"/>
        </w:rPr>
        <w:t>Labour</w:t>
      </w:r>
      <w:proofErr w:type="spellEnd"/>
      <w:r w:rsidRPr="000A6E24">
        <w:rPr>
          <w:sz w:val="20"/>
        </w:rPr>
        <w:t xml:space="preserve"> Market?” </w:t>
      </w:r>
      <w:r w:rsidRPr="000A6E24">
        <w:rPr>
          <w:i/>
          <w:iCs/>
          <w:sz w:val="20"/>
        </w:rPr>
        <w:t>Economics Observatory</w:t>
      </w:r>
      <w:r w:rsidRPr="000A6E24">
        <w:rPr>
          <w:sz w:val="20"/>
        </w:rPr>
        <w:t>, 14 Feb. 2023,</w:t>
      </w:r>
    </w:p>
    <w:p w14:paraId="41F0C9FF" w14:textId="77777777" w:rsidR="006E0B5E" w:rsidRPr="000A6E24" w:rsidRDefault="006E0B5E" w:rsidP="006E0B5E">
      <w:pPr>
        <w:pStyle w:val="NoSpacing"/>
        <w:rPr>
          <w:sz w:val="20"/>
        </w:rPr>
      </w:pPr>
      <w:r w:rsidRPr="000A6E24">
        <w:rPr>
          <w:sz w:val="20"/>
        </w:rPr>
        <w:t xml:space="preserve">Available at: </w:t>
      </w:r>
      <w:hyperlink r:id="rId16" w:history="1">
        <w:r w:rsidRPr="000A6E24">
          <w:rPr>
            <w:rStyle w:val="Hyperlink"/>
            <w:rFonts w:cstheme="minorHAnsi"/>
            <w:sz w:val="20"/>
          </w:rPr>
          <w:t>www.economicsobservatory.com/whats-happening-in-the-uk-labour-market</w:t>
        </w:r>
      </w:hyperlink>
      <w:r w:rsidRPr="000A6E24">
        <w:rPr>
          <w:sz w:val="20"/>
        </w:rPr>
        <w:t>.</w:t>
      </w:r>
    </w:p>
    <w:p w14:paraId="4D821BC5" w14:textId="77777777" w:rsidR="006E0B5E" w:rsidRPr="000A6E24" w:rsidRDefault="006E0B5E" w:rsidP="006E0B5E">
      <w:pPr>
        <w:pStyle w:val="NoSpacing"/>
        <w:rPr>
          <w:sz w:val="20"/>
        </w:rPr>
      </w:pPr>
      <w:r w:rsidRPr="000A6E24">
        <w:rPr>
          <w:sz w:val="20"/>
          <w:lang w:val="en-IN"/>
        </w:rPr>
        <w:t>[Accessed 15 Apr2023]</w:t>
      </w:r>
    </w:p>
    <w:p w14:paraId="13703022" w14:textId="77777777" w:rsidR="006E0B5E" w:rsidRPr="000A6E24" w:rsidRDefault="006E0B5E" w:rsidP="006E0B5E">
      <w:pPr>
        <w:pStyle w:val="NoSpacing"/>
        <w:rPr>
          <w:sz w:val="20"/>
        </w:rPr>
      </w:pPr>
    </w:p>
    <w:p w14:paraId="51F33A7A" w14:textId="77777777" w:rsidR="006E0B5E" w:rsidRPr="000A6E24" w:rsidRDefault="006E0B5E" w:rsidP="006E0B5E">
      <w:pPr>
        <w:pStyle w:val="NoSpacing"/>
        <w:rPr>
          <w:sz w:val="20"/>
        </w:rPr>
      </w:pPr>
      <w:r w:rsidRPr="000A6E24">
        <w:rPr>
          <w:sz w:val="20"/>
        </w:rPr>
        <w:t xml:space="preserve">Mind Tools Content Team. “MindTools | Maintenance.” </w:t>
      </w:r>
      <w:r w:rsidRPr="000A6E24">
        <w:rPr>
          <w:i/>
          <w:iCs/>
          <w:sz w:val="20"/>
        </w:rPr>
        <w:t>Www.mindtools.com</w:t>
      </w:r>
      <w:r w:rsidRPr="000A6E24">
        <w:rPr>
          <w:sz w:val="20"/>
        </w:rPr>
        <w:t>, 2022,</w:t>
      </w:r>
    </w:p>
    <w:p w14:paraId="7B174803" w14:textId="77777777" w:rsidR="006E0B5E" w:rsidRPr="000A6E24" w:rsidRDefault="006E0B5E" w:rsidP="006E0B5E">
      <w:pPr>
        <w:pStyle w:val="NoSpacing"/>
        <w:rPr>
          <w:sz w:val="20"/>
        </w:rPr>
      </w:pPr>
      <w:r w:rsidRPr="000A6E24">
        <w:rPr>
          <w:sz w:val="20"/>
        </w:rPr>
        <w:t xml:space="preserve">Available at:  </w:t>
      </w:r>
      <w:hyperlink r:id="rId17" w:history="1">
        <w:r w:rsidRPr="000A6E24">
          <w:rPr>
            <w:rStyle w:val="Hyperlink"/>
            <w:rFonts w:cstheme="minorHAnsi"/>
            <w:sz w:val="20"/>
          </w:rPr>
          <w:t>www.mindtools.com/amtbj63/swot-analysis</w:t>
        </w:r>
      </w:hyperlink>
      <w:r w:rsidRPr="000A6E24">
        <w:rPr>
          <w:sz w:val="20"/>
        </w:rPr>
        <w:t>.</w:t>
      </w:r>
    </w:p>
    <w:p w14:paraId="4732984B" w14:textId="77777777" w:rsidR="006E0B5E" w:rsidRPr="000A6E24" w:rsidRDefault="006E0B5E" w:rsidP="006E0B5E">
      <w:pPr>
        <w:pStyle w:val="NoSpacing"/>
        <w:rPr>
          <w:sz w:val="20"/>
        </w:rPr>
      </w:pPr>
      <w:r w:rsidRPr="000A6E24">
        <w:rPr>
          <w:sz w:val="20"/>
          <w:lang w:val="en-IN"/>
        </w:rPr>
        <w:t>[Accessed 15 Apr2023]</w:t>
      </w:r>
    </w:p>
    <w:p w14:paraId="7B09632A" w14:textId="77777777" w:rsidR="006E0B5E" w:rsidRPr="000A6E24" w:rsidRDefault="006E0B5E" w:rsidP="006E0B5E">
      <w:pPr>
        <w:pStyle w:val="NoSpacing"/>
        <w:rPr>
          <w:sz w:val="20"/>
        </w:rPr>
      </w:pPr>
    </w:p>
    <w:p w14:paraId="322E2E02" w14:textId="77777777" w:rsidR="006E0B5E" w:rsidRPr="000A6E24" w:rsidRDefault="006E0B5E" w:rsidP="006E0B5E">
      <w:pPr>
        <w:pStyle w:val="NoSpacing"/>
        <w:rPr>
          <w:sz w:val="20"/>
        </w:rPr>
      </w:pPr>
      <w:r w:rsidRPr="000A6E24">
        <w:rPr>
          <w:sz w:val="20"/>
        </w:rPr>
        <w:t xml:space="preserve">Office for National Statistics. “Employment in the UK - Office for National Statistics.” </w:t>
      </w:r>
      <w:r w:rsidRPr="000A6E24">
        <w:rPr>
          <w:i/>
          <w:iCs/>
          <w:sz w:val="20"/>
        </w:rPr>
        <w:t>Www.ons.gov.uk</w:t>
      </w:r>
      <w:r w:rsidRPr="000A6E24">
        <w:rPr>
          <w:sz w:val="20"/>
        </w:rPr>
        <w:t>, 13 Dec. 2022,</w:t>
      </w:r>
    </w:p>
    <w:p w14:paraId="30A7BDFF" w14:textId="77777777" w:rsidR="006E0B5E" w:rsidRPr="000A6E24" w:rsidRDefault="006E0B5E" w:rsidP="006E0B5E">
      <w:pPr>
        <w:pStyle w:val="NoSpacing"/>
        <w:rPr>
          <w:sz w:val="20"/>
        </w:rPr>
      </w:pPr>
      <w:r w:rsidRPr="000A6E24">
        <w:rPr>
          <w:sz w:val="20"/>
        </w:rPr>
        <w:t xml:space="preserve">Available at: </w:t>
      </w:r>
      <w:hyperlink r:id="rId18" w:history="1">
        <w:r w:rsidRPr="000A6E24">
          <w:rPr>
            <w:rStyle w:val="Hyperlink"/>
            <w:rFonts w:cstheme="minorHAnsi"/>
            <w:sz w:val="20"/>
          </w:rPr>
          <w:t>www.ons.gov.uk/employmentandlabourmarket/peopleinwork/employmentandemployeetypes/bulletins/employmentintheuk/december2022</w:t>
        </w:r>
      </w:hyperlink>
      <w:r w:rsidRPr="000A6E24">
        <w:rPr>
          <w:sz w:val="20"/>
        </w:rPr>
        <w:t>.</w:t>
      </w:r>
    </w:p>
    <w:p w14:paraId="2E30AD1D" w14:textId="77777777" w:rsidR="006E0B5E" w:rsidRPr="000A6E24" w:rsidRDefault="006E0B5E" w:rsidP="006E0B5E">
      <w:pPr>
        <w:pStyle w:val="NoSpacing"/>
        <w:rPr>
          <w:sz w:val="20"/>
        </w:rPr>
      </w:pPr>
      <w:r w:rsidRPr="000A6E24">
        <w:rPr>
          <w:sz w:val="20"/>
          <w:lang w:val="en-IN"/>
        </w:rPr>
        <w:t>[Accessed 15 Apr2023]</w:t>
      </w:r>
    </w:p>
    <w:p w14:paraId="1C6E0455" w14:textId="77777777" w:rsidR="006E0B5E" w:rsidRPr="000A6E24" w:rsidRDefault="006E0B5E" w:rsidP="006E0B5E">
      <w:pPr>
        <w:pStyle w:val="NoSpacing"/>
        <w:rPr>
          <w:sz w:val="20"/>
        </w:rPr>
      </w:pPr>
    </w:p>
    <w:p w14:paraId="43A8FFB4" w14:textId="77777777" w:rsidR="006E0B5E" w:rsidRPr="000A6E24" w:rsidRDefault="006E0B5E" w:rsidP="006E0B5E">
      <w:pPr>
        <w:pStyle w:val="NoSpacing"/>
        <w:rPr>
          <w:sz w:val="20"/>
        </w:rPr>
      </w:pPr>
      <w:r w:rsidRPr="000A6E24">
        <w:rPr>
          <w:sz w:val="20"/>
        </w:rPr>
        <w:t xml:space="preserve">Templeton, Victoria. “Brexit: The Latest Implications for HR.” </w:t>
      </w:r>
      <w:r w:rsidRPr="000A6E24">
        <w:rPr>
          <w:i/>
          <w:iCs/>
          <w:sz w:val="20"/>
        </w:rPr>
        <w:t>HR Solutions</w:t>
      </w:r>
      <w:r w:rsidRPr="000A6E24">
        <w:rPr>
          <w:sz w:val="20"/>
        </w:rPr>
        <w:t>, 23 Oct. 2020,</w:t>
      </w:r>
    </w:p>
    <w:p w14:paraId="45667987" w14:textId="77777777" w:rsidR="006E0B5E" w:rsidRPr="000A6E24" w:rsidRDefault="006E0B5E" w:rsidP="006E0B5E">
      <w:pPr>
        <w:pStyle w:val="NoSpacing"/>
        <w:rPr>
          <w:sz w:val="20"/>
        </w:rPr>
      </w:pPr>
      <w:r w:rsidRPr="000A6E24">
        <w:rPr>
          <w:sz w:val="20"/>
        </w:rPr>
        <w:t xml:space="preserve">Available at: </w:t>
      </w:r>
      <w:hyperlink r:id="rId19" w:history="1">
        <w:r w:rsidRPr="000A6E24">
          <w:rPr>
            <w:rStyle w:val="Hyperlink"/>
            <w:rFonts w:cstheme="minorHAnsi"/>
            <w:sz w:val="20"/>
          </w:rPr>
          <w:t>www.hrsolutions-uk.com/brexit-the-latest-implications-for-hr/</w:t>
        </w:r>
      </w:hyperlink>
      <w:r w:rsidRPr="000A6E24">
        <w:rPr>
          <w:sz w:val="20"/>
        </w:rPr>
        <w:t>.</w:t>
      </w:r>
    </w:p>
    <w:p w14:paraId="0751016B" w14:textId="77777777" w:rsidR="006E0B5E" w:rsidRPr="000A6E24" w:rsidRDefault="006E0B5E" w:rsidP="006E0B5E">
      <w:pPr>
        <w:pStyle w:val="NoSpacing"/>
        <w:rPr>
          <w:sz w:val="20"/>
        </w:rPr>
      </w:pPr>
      <w:r w:rsidRPr="000A6E24">
        <w:rPr>
          <w:sz w:val="20"/>
          <w:lang w:val="en-IN"/>
        </w:rPr>
        <w:t>[Accessed 15 Apr2023]</w:t>
      </w:r>
    </w:p>
    <w:p w14:paraId="49B02363" w14:textId="77777777" w:rsidR="006E0B5E" w:rsidRPr="000A6E24" w:rsidRDefault="006E0B5E" w:rsidP="006E0B5E">
      <w:pPr>
        <w:pStyle w:val="NoSpacing"/>
        <w:rPr>
          <w:sz w:val="20"/>
        </w:rPr>
      </w:pPr>
    </w:p>
    <w:p w14:paraId="054A6BAE" w14:textId="77777777" w:rsidR="006E0B5E" w:rsidRPr="000A6E24" w:rsidRDefault="006E0B5E" w:rsidP="006E0B5E">
      <w:pPr>
        <w:pStyle w:val="NoSpacing"/>
        <w:rPr>
          <w:sz w:val="20"/>
        </w:rPr>
      </w:pPr>
      <w:r w:rsidRPr="000A6E24">
        <w:rPr>
          <w:sz w:val="20"/>
        </w:rPr>
        <w:t xml:space="preserve">“What Is the Labor Market? | BambooHR.” </w:t>
      </w:r>
      <w:r w:rsidRPr="000A6E24">
        <w:rPr>
          <w:i/>
          <w:iCs/>
          <w:sz w:val="20"/>
        </w:rPr>
        <w:t>Www.bamboohr.com</w:t>
      </w:r>
      <w:r w:rsidRPr="000A6E24">
        <w:rPr>
          <w:sz w:val="20"/>
        </w:rPr>
        <w:t>,</w:t>
      </w:r>
    </w:p>
    <w:p w14:paraId="1311961B" w14:textId="77777777" w:rsidR="006E0B5E" w:rsidRPr="000A6E24" w:rsidRDefault="006E0B5E" w:rsidP="006E0B5E">
      <w:pPr>
        <w:pStyle w:val="NoSpacing"/>
        <w:rPr>
          <w:sz w:val="20"/>
        </w:rPr>
      </w:pPr>
      <w:r w:rsidRPr="000A6E24">
        <w:rPr>
          <w:sz w:val="20"/>
        </w:rPr>
        <w:t xml:space="preserve">Available at: </w:t>
      </w:r>
      <w:hyperlink r:id="rId20" w:history="1">
        <w:r w:rsidRPr="000A6E24">
          <w:rPr>
            <w:rStyle w:val="Hyperlink"/>
            <w:rFonts w:cstheme="minorHAnsi"/>
            <w:sz w:val="20"/>
          </w:rPr>
          <w:t>www.bamboohr.com/resources/hr-glossary/labor-market</w:t>
        </w:r>
      </w:hyperlink>
      <w:r w:rsidRPr="000A6E24">
        <w:rPr>
          <w:sz w:val="20"/>
        </w:rPr>
        <w:t>.</w:t>
      </w:r>
    </w:p>
    <w:p w14:paraId="24B83D83" w14:textId="77777777" w:rsidR="006E0B5E" w:rsidRPr="000A6E24" w:rsidRDefault="006E0B5E" w:rsidP="006E0B5E">
      <w:pPr>
        <w:pStyle w:val="NoSpacing"/>
        <w:rPr>
          <w:sz w:val="20"/>
        </w:rPr>
      </w:pPr>
      <w:r w:rsidRPr="000A6E24">
        <w:rPr>
          <w:sz w:val="20"/>
          <w:lang w:val="en-IN"/>
        </w:rPr>
        <w:t>[Accessed 15 Apr2023]</w:t>
      </w:r>
    </w:p>
    <w:p w14:paraId="708FC1D9" w14:textId="77777777" w:rsidR="00B54053" w:rsidRPr="000F7D37" w:rsidRDefault="00B54053" w:rsidP="00D42BFB">
      <w:pPr>
        <w:spacing w:after="0" w:line="240" w:lineRule="auto"/>
        <w:rPr>
          <w:rFonts w:cstheme="minorHAnsi"/>
          <w:sz w:val="20"/>
        </w:rPr>
      </w:pPr>
    </w:p>
    <w:sectPr w:rsidR="00B54053" w:rsidRPr="000F7D37" w:rsidSect="00825A0B">
      <w:footerReference w:type="default" r:id="rId21"/>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AAB92" w14:textId="77777777" w:rsidR="00AD684F" w:rsidRDefault="00AD684F">
      <w:pPr>
        <w:spacing w:after="0" w:line="240" w:lineRule="auto"/>
      </w:pPr>
      <w:r>
        <w:separator/>
      </w:r>
    </w:p>
  </w:endnote>
  <w:endnote w:type="continuationSeparator" w:id="0">
    <w:p w14:paraId="6ADE46D1" w14:textId="77777777" w:rsidR="00AD684F" w:rsidRDefault="00AD6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558612"/>
      <w:docPartObj>
        <w:docPartGallery w:val="Page Numbers (Bottom of Page)"/>
        <w:docPartUnique/>
      </w:docPartObj>
    </w:sdtPr>
    <w:sdtEndPr>
      <w:rPr>
        <w:noProof/>
      </w:rPr>
    </w:sdtEndPr>
    <w:sdtContent>
      <w:p w14:paraId="30A56328" w14:textId="77777777" w:rsidR="009C7EAF" w:rsidRDefault="00407266" w:rsidP="00B808D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3D9B2E6" w14:textId="77777777" w:rsidR="009C7EAF" w:rsidRDefault="00000000" w:rsidP="00B80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F535D" w14:textId="77777777" w:rsidR="00AD684F" w:rsidRDefault="00AD684F">
      <w:pPr>
        <w:spacing w:after="0" w:line="240" w:lineRule="auto"/>
      </w:pPr>
      <w:r>
        <w:separator/>
      </w:r>
    </w:p>
  </w:footnote>
  <w:footnote w:type="continuationSeparator" w:id="0">
    <w:p w14:paraId="51D66AC8" w14:textId="77777777" w:rsidR="00AD684F" w:rsidRDefault="00AD6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344D4"/>
    <w:multiLevelType w:val="hybridMultilevel"/>
    <w:tmpl w:val="6C4C0512"/>
    <w:lvl w:ilvl="0" w:tplc="40090011">
      <w:start w:val="4"/>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1" w15:restartNumberingAfterBreak="0">
    <w:nsid w:val="646F391B"/>
    <w:multiLevelType w:val="hybridMultilevel"/>
    <w:tmpl w:val="D2E4254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593771B"/>
    <w:multiLevelType w:val="multilevel"/>
    <w:tmpl w:val="4546E120"/>
    <w:lvl w:ilvl="0">
      <w:start w:val="1"/>
      <w:numFmt w:val="decimal"/>
      <w:pStyle w:val="TOC3"/>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479261D"/>
    <w:multiLevelType w:val="multilevel"/>
    <w:tmpl w:val="9DE8675C"/>
    <w:lvl w:ilvl="0">
      <w:start w:val="2"/>
      <w:numFmt w:val="decimal"/>
      <w:lvlText w:val="%1"/>
      <w:lvlJc w:val="left"/>
      <w:pPr>
        <w:ind w:left="360" w:hanging="360"/>
      </w:pPr>
      <w:rPr>
        <w:rFonts w:hint="default"/>
      </w:rPr>
    </w:lvl>
    <w:lvl w:ilvl="1">
      <w:start w:val="2"/>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num w:numId="1" w16cid:durableId="475882242">
    <w:abstractNumId w:val="1"/>
  </w:num>
  <w:num w:numId="2" w16cid:durableId="218519997">
    <w:abstractNumId w:val="0"/>
  </w:num>
  <w:num w:numId="3" w16cid:durableId="1060593261">
    <w:abstractNumId w:val="2"/>
  </w:num>
  <w:num w:numId="4" w16cid:durableId="15421289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FB"/>
    <w:rsid w:val="000E009A"/>
    <w:rsid w:val="000F7D37"/>
    <w:rsid w:val="00141924"/>
    <w:rsid w:val="0019125B"/>
    <w:rsid w:val="001A5F17"/>
    <w:rsid w:val="001C3DC2"/>
    <w:rsid w:val="002B6B69"/>
    <w:rsid w:val="002C7370"/>
    <w:rsid w:val="003F6DEA"/>
    <w:rsid w:val="00407266"/>
    <w:rsid w:val="00451C5A"/>
    <w:rsid w:val="004A4957"/>
    <w:rsid w:val="004C52F0"/>
    <w:rsid w:val="004F371B"/>
    <w:rsid w:val="00591A62"/>
    <w:rsid w:val="00592D30"/>
    <w:rsid w:val="005A06E5"/>
    <w:rsid w:val="005D69A0"/>
    <w:rsid w:val="005F62D6"/>
    <w:rsid w:val="006025A4"/>
    <w:rsid w:val="00693DF6"/>
    <w:rsid w:val="006C49A1"/>
    <w:rsid w:val="006E0B5E"/>
    <w:rsid w:val="00702740"/>
    <w:rsid w:val="0071414A"/>
    <w:rsid w:val="007B69CD"/>
    <w:rsid w:val="008A62B9"/>
    <w:rsid w:val="009022A2"/>
    <w:rsid w:val="0092721D"/>
    <w:rsid w:val="009C5DBE"/>
    <w:rsid w:val="009F69F7"/>
    <w:rsid w:val="00A17F9F"/>
    <w:rsid w:val="00AD684F"/>
    <w:rsid w:val="00B253F5"/>
    <w:rsid w:val="00B54053"/>
    <w:rsid w:val="00B73E1E"/>
    <w:rsid w:val="00BA5329"/>
    <w:rsid w:val="00BB2BBA"/>
    <w:rsid w:val="00C736B0"/>
    <w:rsid w:val="00C83667"/>
    <w:rsid w:val="00C9313F"/>
    <w:rsid w:val="00CD135F"/>
    <w:rsid w:val="00D42BFB"/>
    <w:rsid w:val="00DB4C31"/>
    <w:rsid w:val="00E41A5A"/>
    <w:rsid w:val="00FC75B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6D4B8"/>
  <w15:chartTrackingRefBased/>
  <w15:docId w15:val="{8C8EC753-4546-4A86-ACEE-BA7D3422C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BFB"/>
    <w:rPr>
      <w:rFonts w:cs="Mangal"/>
    </w:rPr>
  </w:style>
  <w:style w:type="paragraph" w:styleId="Heading1">
    <w:name w:val="heading 1"/>
    <w:basedOn w:val="Normal"/>
    <w:next w:val="Normal"/>
    <w:link w:val="Heading1Char"/>
    <w:uiPriority w:val="9"/>
    <w:qFormat/>
    <w:rsid w:val="001C3DC2"/>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BFB"/>
    <w:pPr>
      <w:ind w:left="720"/>
      <w:contextualSpacing/>
    </w:pPr>
  </w:style>
  <w:style w:type="paragraph" w:styleId="NoSpacing">
    <w:name w:val="No Spacing"/>
    <w:link w:val="NoSpacingChar"/>
    <w:uiPriority w:val="1"/>
    <w:qFormat/>
    <w:rsid w:val="00D42BFB"/>
    <w:pPr>
      <w:spacing w:after="0" w:line="240" w:lineRule="auto"/>
    </w:pPr>
    <w:rPr>
      <w:rFonts w:cs="Mangal"/>
    </w:rPr>
  </w:style>
  <w:style w:type="character" w:customStyle="1" w:styleId="NoSpacingChar">
    <w:name w:val="No Spacing Char"/>
    <w:basedOn w:val="DefaultParagraphFont"/>
    <w:link w:val="NoSpacing"/>
    <w:uiPriority w:val="1"/>
    <w:rsid w:val="00D42BFB"/>
    <w:rPr>
      <w:rFonts w:cs="Mangal"/>
    </w:rPr>
  </w:style>
  <w:style w:type="paragraph" w:styleId="Footer">
    <w:name w:val="footer"/>
    <w:basedOn w:val="Normal"/>
    <w:link w:val="FooterChar"/>
    <w:uiPriority w:val="99"/>
    <w:unhideWhenUsed/>
    <w:rsid w:val="00D42B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BFB"/>
    <w:rPr>
      <w:rFonts w:cs="Mangal"/>
    </w:rPr>
  </w:style>
  <w:style w:type="character" w:styleId="Hyperlink">
    <w:name w:val="Hyperlink"/>
    <w:basedOn w:val="DefaultParagraphFont"/>
    <w:uiPriority w:val="99"/>
    <w:unhideWhenUsed/>
    <w:rsid w:val="00BB2BBA"/>
    <w:rPr>
      <w:color w:val="0563C1" w:themeColor="hyperlink"/>
      <w:u w:val="single"/>
    </w:rPr>
  </w:style>
  <w:style w:type="character" w:styleId="UnresolvedMention">
    <w:name w:val="Unresolved Mention"/>
    <w:basedOn w:val="DefaultParagraphFont"/>
    <w:uiPriority w:val="99"/>
    <w:semiHidden/>
    <w:unhideWhenUsed/>
    <w:rsid w:val="00BB2BBA"/>
    <w:rPr>
      <w:color w:val="605E5C"/>
      <w:shd w:val="clear" w:color="auto" w:fill="E1DFDD"/>
    </w:rPr>
  </w:style>
  <w:style w:type="paragraph" w:styleId="NormalWeb">
    <w:name w:val="Normal (Web)"/>
    <w:basedOn w:val="Normal"/>
    <w:uiPriority w:val="99"/>
    <w:unhideWhenUsed/>
    <w:rsid w:val="00B54053"/>
    <w:pPr>
      <w:spacing w:before="100" w:beforeAutospacing="1" w:after="100" w:afterAutospacing="1" w:line="240" w:lineRule="auto"/>
    </w:pPr>
    <w:rPr>
      <w:rFonts w:ascii="Times New Roman" w:eastAsia="Times New Roman" w:hAnsi="Times New Roman" w:cs="Times New Roman"/>
      <w:sz w:val="24"/>
      <w:szCs w:val="24"/>
      <w:lang w:val="en-IN" w:eastAsia="en-IN" w:bidi="ar-SA"/>
    </w:rPr>
  </w:style>
  <w:style w:type="table" w:styleId="TableGrid">
    <w:name w:val="Table Grid"/>
    <w:basedOn w:val="TableNormal"/>
    <w:uiPriority w:val="39"/>
    <w:rsid w:val="001C3DC2"/>
    <w:pPr>
      <w:spacing w:after="0" w:line="240" w:lineRule="auto"/>
    </w:pPr>
    <w:rPr>
      <w:rFonts w:ascii="Arial" w:hAnsi="Arial"/>
      <w:sz w:val="20"/>
    </w:rPr>
    <w:tblPr/>
  </w:style>
  <w:style w:type="character" w:customStyle="1" w:styleId="Heading1Char">
    <w:name w:val="Heading 1 Char"/>
    <w:basedOn w:val="DefaultParagraphFont"/>
    <w:link w:val="Heading1"/>
    <w:uiPriority w:val="9"/>
    <w:rsid w:val="001C3DC2"/>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1C3DC2"/>
    <w:pPr>
      <w:outlineLvl w:val="9"/>
    </w:pPr>
    <w:rPr>
      <w:szCs w:val="32"/>
      <w:lang w:bidi="ar-SA"/>
    </w:rPr>
  </w:style>
  <w:style w:type="paragraph" w:styleId="TOC2">
    <w:name w:val="toc 2"/>
    <w:basedOn w:val="Normal"/>
    <w:next w:val="Normal"/>
    <w:autoRedefine/>
    <w:uiPriority w:val="39"/>
    <w:unhideWhenUsed/>
    <w:rsid w:val="001C3DC2"/>
    <w:pPr>
      <w:spacing w:after="100"/>
      <w:ind w:left="220"/>
    </w:pPr>
    <w:rPr>
      <w:rFonts w:eastAsiaTheme="minorEastAsia" w:cs="Times New Roman"/>
      <w:szCs w:val="22"/>
      <w:lang w:bidi="ar-SA"/>
    </w:rPr>
  </w:style>
  <w:style w:type="paragraph" w:styleId="TOC1">
    <w:name w:val="toc 1"/>
    <w:basedOn w:val="Normal"/>
    <w:next w:val="Normal"/>
    <w:autoRedefine/>
    <w:uiPriority w:val="39"/>
    <w:unhideWhenUsed/>
    <w:rsid w:val="001C3DC2"/>
    <w:pPr>
      <w:spacing w:after="100"/>
      <w:ind w:left="360" w:hanging="360"/>
      <w:outlineLvl w:val="0"/>
    </w:pPr>
    <w:rPr>
      <w:rFonts w:ascii="Arial" w:eastAsiaTheme="minorEastAsia" w:hAnsi="Arial" w:cs="Arial"/>
      <w:b/>
      <w:bCs/>
      <w:sz w:val="20"/>
      <w:lang w:bidi="ar-SA"/>
    </w:rPr>
  </w:style>
  <w:style w:type="paragraph" w:styleId="TOC3">
    <w:name w:val="toc 3"/>
    <w:basedOn w:val="Normal"/>
    <w:next w:val="Normal"/>
    <w:autoRedefine/>
    <w:uiPriority w:val="39"/>
    <w:unhideWhenUsed/>
    <w:rsid w:val="001C3DC2"/>
    <w:pPr>
      <w:numPr>
        <w:numId w:val="3"/>
      </w:numPr>
      <w:spacing w:after="100"/>
      <w:outlineLvl w:val="0"/>
    </w:pPr>
    <w:rPr>
      <w:rFonts w:ascii="Arial" w:eastAsiaTheme="minorEastAsia" w:hAnsi="Arial" w:cs="Arial"/>
      <w:b/>
      <w:bCs/>
      <w:sz w:val="20"/>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4355">
      <w:bodyDiv w:val="1"/>
      <w:marLeft w:val="0"/>
      <w:marRight w:val="0"/>
      <w:marTop w:val="0"/>
      <w:marBottom w:val="0"/>
      <w:divBdr>
        <w:top w:val="none" w:sz="0" w:space="0" w:color="auto"/>
        <w:left w:val="none" w:sz="0" w:space="0" w:color="auto"/>
        <w:bottom w:val="none" w:sz="0" w:space="0" w:color="auto"/>
        <w:right w:val="none" w:sz="0" w:space="0" w:color="auto"/>
      </w:divBdr>
    </w:div>
    <w:div w:id="328677889">
      <w:bodyDiv w:val="1"/>
      <w:marLeft w:val="0"/>
      <w:marRight w:val="0"/>
      <w:marTop w:val="0"/>
      <w:marBottom w:val="0"/>
      <w:divBdr>
        <w:top w:val="none" w:sz="0" w:space="0" w:color="auto"/>
        <w:left w:val="none" w:sz="0" w:space="0" w:color="auto"/>
        <w:bottom w:val="none" w:sz="0" w:space="0" w:color="auto"/>
        <w:right w:val="none" w:sz="0" w:space="0" w:color="auto"/>
      </w:divBdr>
      <w:divsChild>
        <w:div w:id="1972049612">
          <w:marLeft w:val="0"/>
          <w:marRight w:val="0"/>
          <w:marTop w:val="0"/>
          <w:marBottom w:val="0"/>
          <w:divBdr>
            <w:top w:val="none" w:sz="0" w:space="0" w:color="auto"/>
            <w:left w:val="none" w:sz="0" w:space="0" w:color="auto"/>
            <w:bottom w:val="none" w:sz="0" w:space="0" w:color="auto"/>
            <w:right w:val="none" w:sz="0" w:space="0" w:color="auto"/>
          </w:divBdr>
        </w:div>
      </w:divsChild>
    </w:div>
    <w:div w:id="602343582">
      <w:bodyDiv w:val="1"/>
      <w:marLeft w:val="0"/>
      <w:marRight w:val="0"/>
      <w:marTop w:val="0"/>
      <w:marBottom w:val="0"/>
      <w:divBdr>
        <w:top w:val="none" w:sz="0" w:space="0" w:color="auto"/>
        <w:left w:val="none" w:sz="0" w:space="0" w:color="auto"/>
        <w:bottom w:val="none" w:sz="0" w:space="0" w:color="auto"/>
        <w:right w:val="none" w:sz="0" w:space="0" w:color="auto"/>
      </w:divBdr>
    </w:div>
    <w:div w:id="693725764">
      <w:bodyDiv w:val="1"/>
      <w:marLeft w:val="0"/>
      <w:marRight w:val="0"/>
      <w:marTop w:val="0"/>
      <w:marBottom w:val="0"/>
      <w:divBdr>
        <w:top w:val="none" w:sz="0" w:space="0" w:color="auto"/>
        <w:left w:val="none" w:sz="0" w:space="0" w:color="auto"/>
        <w:bottom w:val="none" w:sz="0" w:space="0" w:color="auto"/>
        <w:right w:val="none" w:sz="0" w:space="0" w:color="auto"/>
      </w:divBdr>
    </w:div>
    <w:div w:id="697896438">
      <w:bodyDiv w:val="1"/>
      <w:marLeft w:val="0"/>
      <w:marRight w:val="0"/>
      <w:marTop w:val="0"/>
      <w:marBottom w:val="0"/>
      <w:divBdr>
        <w:top w:val="none" w:sz="0" w:space="0" w:color="auto"/>
        <w:left w:val="none" w:sz="0" w:space="0" w:color="auto"/>
        <w:bottom w:val="none" w:sz="0" w:space="0" w:color="auto"/>
        <w:right w:val="none" w:sz="0" w:space="0" w:color="auto"/>
      </w:divBdr>
    </w:div>
    <w:div w:id="757868078">
      <w:bodyDiv w:val="1"/>
      <w:marLeft w:val="0"/>
      <w:marRight w:val="0"/>
      <w:marTop w:val="0"/>
      <w:marBottom w:val="0"/>
      <w:divBdr>
        <w:top w:val="none" w:sz="0" w:space="0" w:color="auto"/>
        <w:left w:val="none" w:sz="0" w:space="0" w:color="auto"/>
        <w:bottom w:val="none" w:sz="0" w:space="0" w:color="auto"/>
        <w:right w:val="none" w:sz="0" w:space="0" w:color="auto"/>
      </w:divBdr>
    </w:div>
    <w:div w:id="799685016">
      <w:bodyDiv w:val="1"/>
      <w:marLeft w:val="0"/>
      <w:marRight w:val="0"/>
      <w:marTop w:val="0"/>
      <w:marBottom w:val="0"/>
      <w:divBdr>
        <w:top w:val="none" w:sz="0" w:space="0" w:color="auto"/>
        <w:left w:val="none" w:sz="0" w:space="0" w:color="auto"/>
        <w:bottom w:val="none" w:sz="0" w:space="0" w:color="auto"/>
        <w:right w:val="none" w:sz="0" w:space="0" w:color="auto"/>
      </w:divBdr>
    </w:div>
    <w:div w:id="966861136">
      <w:bodyDiv w:val="1"/>
      <w:marLeft w:val="0"/>
      <w:marRight w:val="0"/>
      <w:marTop w:val="0"/>
      <w:marBottom w:val="0"/>
      <w:divBdr>
        <w:top w:val="none" w:sz="0" w:space="0" w:color="auto"/>
        <w:left w:val="none" w:sz="0" w:space="0" w:color="auto"/>
        <w:bottom w:val="none" w:sz="0" w:space="0" w:color="auto"/>
        <w:right w:val="none" w:sz="0" w:space="0" w:color="auto"/>
      </w:divBdr>
      <w:divsChild>
        <w:div w:id="1989243169">
          <w:marLeft w:val="0"/>
          <w:marRight w:val="0"/>
          <w:marTop w:val="0"/>
          <w:marBottom w:val="0"/>
          <w:divBdr>
            <w:top w:val="none" w:sz="0" w:space="0" w:color="auto"/>
            <w:left w:val="none" w:sz="0" w:space="0" w:color="auto"/>
            <w:bottom w:val="none" w:sz="0" w:space="0" w:color="auto"/>
            <w:right w:val="none" w:sz="0" w:space="0" w:color="auto"/>
          </w:divBdr>
        </w:div>
      </w:divsChild>
    </w:div>
    <w:div w:id="1008823338">
      <w:bodyDiv w:val="1"/>
      <w:marLeft w:val="0"/>
      <w:marRight w:val="0"/>
      <w:marTop w:val="0"/>
      <w:marBottom w:val="0"/>
      <w:divBdr>
        <w:top w:val="none" w:sz="0" w:space="0" w:color="auto"/>
        <w:left w:val="none" w:sz="0" w:space="0" w:color="auto"/>
        <w:bottom w:val="none" w:sz="0" w:space="0" w:color="auto"/>
        <w:right w:val="none" w:sz="0" w:space="0" w:color="auto"/>
      </w:divBdr>
      <w:divsChild>
        <w:div w:id="1286886711">
          <w:marLeft w:val="0"/>
          <w:marRight w:val="0"/>
          <w:marTop w:val="0"/>
          <w:marBottom w:val="0"/>
          <w:divBdr>
            <w:top w:val="none" w:sz="0" w:space="0" w:color="auto"/>
            <w:left w:val="none" w:sz="0" w:space="0" w:color="auto"/>
            <w:bottom w:val="none" w:sz="0" w:space="0" w:color="auto"/>
            <w:right w:val="none" w:sz="0" w:space="0" w:color="auto"/>
          </w:divBdr>
        </w:div>
      </w:divsChild>
    </w:div>
    <w:div w:id="1123883474">
      <w:bodyDiv w:val="1"/>
      <w:marLeft w:val="0"/>
      <w:marRight w:val="0"/>
      <w:marTop w:val="0"/>
      <w:marBottom w:val="0"/>
      <w:divBdr>
        <w:top w:val="none" w:sz="0" w:space="0" w:color="auto"/>
        <w:left w:val="none" w:sz="0" w:space="0" w:color="auto"/>
        <w:bottom w:val="none" w:sz="0" w:space="0" w:color="auto"/>
        <w:right w:val="none" w:sz="0" w:space="0" w:color="auto"/>
      </w:divBdr>
    </w:div>
    <w:div w:id="1207446051">
      <w:bodyDiv w:val="1"/>
      <w:marLeft w:val="0"/>
      <w:marRight w:val="0"/>
      <w:marTop w:val="0"/>
      <w:marBottom w:val="0"/>
      <w:divBdr>
        <w:top w:val="none" w:sz="0" w:space="0" w:color="auto"/>
        <w:left w:val="none" w:sz="0" w:space="0" w:color="auto"/>
        <w:bottom w:val="none" w:sz="0" w:space="0" w:color="auto"/>
        <w:right w:val="none" w:sz="0" w:space="0" w:color="auto"/>
      </w:divBdr>
    </w:div>
    <w:div w:id="1221482832">
      <w:bodyDiv w:val="1"/>
      <w:marLeft w:val="0"/>
      <w:marRight w:val="0"/>
      <w:marTop w:val="0"/>
      <w:marBottom w:val="0"/>
      <w:divBdr>
        <w:top w:val="none" w:sz="0" w:space="0" w:color="auto"/>
        <w:left w:val="none" w:sz="0" w:space="0" w:color="auto"/>
        <w:bottom w:val="none" w:sz="0" w:space="0" w:color="auto"/>
        <w:right w:val="none" w:sz="0" w:space="0" w:color="auto"/>
      </w:divBdr>
    </w:div>
    <w:div w:id="1328048006">
      <w:bodyDiv w:val="1"/>
      <w:marLeft w:val="0"/>
      <w:marRight w:val="0"/>
      <w:marTop w:val="0"/>
      <w:marBottom w:val="0"/>
      <w:divBdr>
        <w:top w:val="none" w:sz="0" w:space="0" w:color="auto"/>
        <w:left w:val="none" w:sz="0" w:space="0" w:color="auto"/>
        <w:bottom w:val="none" w:sz="0" w:space="0" w:color="auto"/>
        <w:right w:val="none" w:sz="0" w:space="0" w:color="auto"/>
      </w:divBdr>
    </w:div>
    <w:div w:id="1372992594">
      <w:bodyDiv w:val="1"/>
      <w:marLeft w:val="0"/>
      <w:marRight w:val="0"/>
      <w:marTop w:val="0"/>
      <w:marBottom w:val="0"/>
      <w:divBdr>
        <w:top w:val="none" w:sz="0" w:space="0" w:color="auto"/>
        <w:left w:val="none" w:sz="0" w:space="0" w:color="auto"/>
        <w:bottom w:val="none" w:sz="0" w:space="0" w:color="auto"/>
        <w:right w:val="none" w:sz="0" w:space="0" w:color="auto"/>
      </w:divBdr>
      <w:divsChild>
        <w:div w:id="102118519">
          <w:marLeft w:val="0"/>
          <w:marRight w:val="0"/>
          <w:marTop w:val="0"/>
          <w:marBottom w:val="0"/>
          <w:divBdr>
            <w:top w:val="none" w:sz="0" w:space="0" w:color="auto"/>
            <w:left w:val="none" w:sz="0" w:space="0" w:color="auto"/>
            <w:bottom w:val="none" w:sz="0" w:space="0" w:color="auto"/>
            <w:right w:val="none" w:sz="0" w:space="0" w:color="auto"/>
          </w:divBdr>
        </w:div>
      </w:divsChild>
    </w:div>
    <w:div w:id="1384787675">
      <w:bodyDiv w:val="1"/>
      <w:marLeft w:val="0"/>
      <w:marRight w:val="0"/>
      <w:marTop w:val="0"/>
      <w:marBottom w:val="0"/>
      <w:divBdr>
        <w:top w:val="none" w:sz="0" w:space="0" w:color="auto"/>
        <w:left w:val="none" w:sz="0" w:space="0" w:color="auto"/>
        <w:bottom w:val="none" w:sz="0" w:space="0" w:color="auto"/>
        <w:right w:val="none" w:sz="0" w:space="0" w:color="auto"/>
      </w:divBdr>
    </w:div>
    <w:div w:id="1453288331">
      <w:bodyDiv w:val="1"/>
      <w:marLeft w:val="0"/>
      <w:marRight w:val="0"/>
      <w:marTop w:val="0"/>
      <w:marBottom w:val="0"/>
      <w:divBdr>
        <w:top w:val="none" w:sz="0" w:space="0" w:color="auto"/>
        <w:left w:val="none" w:sz="0" w:space="0" w:color="auto"/>
        <w:bottom w:val="none" w:sz="0" w:space="0" w:color="auto"/>
        <w:right w:val="none" w:sz="0" w:space="0" w:color="auto"/>
      </w:divBdr>
      <w:divsChild>
        <w:div w:id="991327519">
          <w:marLeft w:val="0"/>
          <w:marRight w:val="0"/>
          <w:marTop w:val="0"/>
          <w:marBottom w:val="0"/>
          <w:divBdr>
            <w:top w:val="none" w:sz="0" w:space="0" w:color="auto"/>
            <w:left w:val="none" w:sz="0" w:space="0" w:color="auto"/>
            <w:bottom w:val="none" w:sz="0" w:space="0" w:color="auto"/>
            <w:right w:val="none" w:sz="0" w:space="0" w:color="auto"/>
          </w:divBdr>
        </w:div>
      </w:divsChild>
    </w:div>
    <w:div w:id="1494224233">
      <w:bodyDiv w:val="1"/>
      <w:marLeft w:val="0"/>
      <w:marRight w:val="0"/>
      <w:marTop w:val="0"/>
      <w:marBottom w:val="0"/>
      <w:divBdr>
        <w:top w:val="none" w:sz="0" w:space="0" w:color="auto"/>
        <w:left w:val="none" w:sz="0" w:space="0" w:color="auto"/>
        <w:bottom w:val="none" w:sz="0" w:space="0" w:color="auto"/>
        <w:right w:val="none" w:sz="0" w:space="0" w:color="auto"/>
      </w:divBdr>
    </w:div>
    <w:div w:id="1640722187">
      <w:bodyDiv w:val="1"/>
      <w:marLeft w:val="0"/>
      <w:marRight w:val="0"/>
      <w:marTop w:val="0"/>
      <w:marBottom w:val="0"/>
      <w:divBdr>
        <w:top w:val="none" w:sz="0" w:space="0" w:color="auto"/>
        <w:left w:val="none" w:sz="0" w:space="0" w:color="auto"/>
        <w:bottom w:val="none" w:sz="0" w:space="0" w:color="auto"/>
        <w:right w:val="none" w:sz="0" w:space="0" w:color="auto"/>
      </w:divBdr>
    </w:div>
    <w:div w:id="1655647381">
      <w:bodyDiv w:val="1"/>
      <w:marLeft w:val="0"/>
      <w:marRight w:val="0"/>
      <w:marTop w:val="0"/>
      <w:marBottom w:val="0"/>
      <w:divBdr>
        <w:top w:val="none" w:sz="0" w:space="0" w:color="auto"/>
        <w:left w:val="none" w:sz="0" w:space="0" w:color="auto"/>
        <w:bottom w:val="none" w:sz="0" w:space="0" w:color="auto"/>
        <w:right w:val="none" w:sz="0" w:space="0" w:color="auto"/>
      </w:divBdr>
    </w:div>
    <w:div w:id="1675912704">
      <w:bodyDiv w:val="1"/>
      <w:marLeft w:val="0"/>
      <w:marRight w:val="0"/>
      <w:marTop w:val="0"/>
      <w:marBottom w:val="0"/>
      <w:divBdr>
        <w:top w:val="none" w:sz="0" w:space="0" w:color="auto"/>
        <w:left w:val="none" w:sz="0" w:space="0" w:color="auto"/>
        <w:bottom w:val="none" w:sz="0" w:space="0" w:color="auto"/>
        <w:right w:val="none" w:sz="0" w:space="0" w:color="auto"/>
      </w:divBdr>
      <w:divsChild>
        <w:div w:id="376203130">
          <w:marLeft w:val="0"/>
          <w:marRight w:val="0"/>
          <w:marTop w:val="0"/>
          <w:marBottom w:val="0"/>
          <w:divBdr>
            <w:top w:val="none" w:sz="0" w:space="0" w:color="auto"/>
            <w:left w:val="none" w:sz="0" w:space="0" w:color="auto"/>
            <w:bottom w:val="none" w:sz="0" w:space="0" w:color="auto"/>
            <w:right w:val="none" w:sz="0" w:space="0" w:color="auto"/>
          </w:divBdr>
        </w:div>
      </w:divsChild>
    </w:div>
    <w:div w:id="1811940550">
      <w:bodyDiv w:val="1"/>
      <w:marLeft w:val="0"/>
      <w:marRight w:val="0"/>
      <w:marTop w:val="0"/>
      <w:marBottom w:val="0"/>
      <w:divBdr>
        <w:top w:val="none" w:sz="0" w:space="0" w:color="auto"/>
        <w:left w:val="none" w:sz="0" w:space="0" w:color="auto"/>
        <w:bottom w:val="none" w:sz="0" w:space="0" w:color="auto"/>
        <w:right w:val="none" w:sz="0" w:space="0" w:color="auto"/>
      </w:divBdr>
    </w:div>
    <w:div w:id="1906377679">
      <w:bodyDiv w:val="1"/>
      <w:marLeft w:val="0"/>
      <w:marRight w:val="0"/>
      <w:marTop w:val="0"/>
      <w:marBottom w:val="0"/>
      <w:divBdr>
        <w:top w:val="none" w:sz="0" w:space="0" w:color="auto"/>
        <w:left w:val="none" w:sz="0" w:space="0" w:color="auto"/>
        <w:bottom w:val="none" w:sz="0" w:space="0" w:color="auto"/>
        <w:right w:val="none" w:sz="0" w:space="0" w:color="auto"/>
      </w:divBdr>
    </w:div>
    <w:div w:id="1926768927">
      <w:bodyDiv w:val="1"/>
      <w:marLeft w:val="0"/>
      <w:marRight w:val="0"/>
      <w:marTop w:val="0"/>
      <w:marBottom w:val="0"/>
      <w:divBdr>
        <w:top w:val="none" w:sz="0" w:space="0" w:color="auto"/>
        <w:left w:val="none" w:sz="0" w:space="0" w:color="auto"/>
        <w:bottom w:val="none" w:sz="0" w:space="0" w:color="auto"/>
        <w:right w:val="none" w:sz="0" w:space="0" w:color="auto"/>
      </w:divBdr>
    </w:div>
    <w:div w:id="1961104966">
      <w:bodyDiv w:val="1"/>
      <w:marLeft w:val="0"/>
      <w:marRight w:val="0"/>
      <w:marTop w:val="0"/>
      <w:marBottom w:val="0"/>
      <w:divBdr>
        <w:top w:val="none" w:sz="0" w:space="0" w:color="auto"/>
        <w:left w:val="none" w:sz="0" w:space="0" w:color="auto"/>
        <w:bottom w:val="none" w:sz="0" w:space="0" w:color="auto"/>
        <w:right w:val="none" w:sz="0" w:space="0" w:color="auto"/>
      </w:divBdr>
    </w:div>
    <w:div w:id="2037535295">
      <w:bodyDiv w:val="1"/>
      <w:marLeft w:val="0"/>
      <w:marRight w:val="0"/>
      <w:marTop w:val="0"/>
      <w:marBottom w:val="0"/>
      <w:divBdr>
        <w:top w:val="none" w:sz="0" w:space="0" w:color="auto"/>
        <w:left w:val="none" w:sz="0" w:space="0" w:color="auto"/>
        <w:bottom w:val="none" w:sz="0" w:space="0" w:color="auto"/>
        <w:right w:val="none" w:sz="0" w:space="0" w:color="auto"/>
      </w:divBdr>
    </w:div>
    <w:div w:id="2051951003">
      <w:bodyDiv w:val="1"/>
      <w:marLeft w:val="0"/>
      <w:marRight w:val="0"/>
      <w:marTop w:val="0"/>
      <w:marBottom w:val="0"/>
      <w:divBdr>
        <w:top w:val="none" w:sz="0" w:space="0" w:color="auto"/>
        <w:left w:val="none" w:sz="0" w:space="0" w:color="auto"/>
        <w:bottom w:val="none" w:sz="0" w:space="0" w:color="auto"/>
        <w:right w:val="none" w:sz="0" w:space="0" w:color="auto"/>
      </w:divBdr>
      <w:divsChild>
        <w:div w:id="549609382">
          <w:marLeft w:val="0"/>
          <w:marRight w:val="0"/>
          <w:marTop w:val="0"/>
          <w:marBottom w:val="0"/>
          <w:divBdr>
            <w:top w:val="none" w:sz="0" w:space="0" w:color="auto"/>
            <w:left w:val="none" w:sz="0" w:space="0" w:color="auto"/>
            <w:bottom w:val="none" w:sz="0" w:space="0" w:color="auto"/>
            <w:right w:val="none" w:sz="0" w:space="0" w:color="auto"/>
          </w:divBdr>
        </w:div>
      </w:divsChild>
    </w:div>
    <w:div w:id="2060125836">
      <w:bodyDiv w:val="1"/>
      <w:marLeft w:val="0"/>
      <w:marRight w:val="0"/>
      <w:marTop w:val="0"/>
      <w:marBottom w:val="0"/>
      <w:divBdr>
        <w:top w:val="none" w:sz="0" w:space="0" w:color="auto"/>
        <w:left w:val="none" w:sz="0" w:space="0" w:color="auto"/>
        <w:bottom w:val="none" w:sz="0" w:space="0" w:color="auto"/>
        <w:right w:val="none" w:sz="0" w:space="0" w:color="auto"/>
      </w:divBdr>
    </w:div>
    <w:div w:id="2069062588">
      <w:bodyDiv w:val="1"/>
      <w:marLeft w:val="0"/>
      <w:marRight w:val="0"/>
      <w:marTop w:val="0"/>
      <w:marBottom w:val="0"/>
      <w:divBdr>
        <w:top w:val="none" w:sz="0" w:space="0" w:color="auto"/>
        <w:left w:val="none" w:sz="0" w:space="0" w:color="auto"/>
        <w:bottom w:val="none" w:sz="0" w:space="0" w:color="auto"/>
        <w:right w:val="none" w:sz="0" w:space="0" w:color="auto"/>
      </w:divBdr>
      <w:divsChild>
        <w:div w:id="651525559">
          <w:marLeft w:val="0"/>
          <w:marRight w:val="0"/>
          <w:marTop w:val="0"/>
          <w:marBottom w:val="0"/>
          <w:divBdr>
            <w:top w:val="none" w:sz="0" w:space="0" w:color="auto"/>
            <w:left w:val="none" w:sz="0" w:space="0" w:color="auto"/>
            <w:bottom w:val="none" w:sz="0" w:space="0" w:color="auto"/>
            <w:right w:val="none" w:sz="0" w:space="0" w:color="auto"/>
          </w:divBdr>
        </w:div>
      </w:divsChild>
    </w:div>
    <w:div w:id="2085831972">
      <w:bodyDiv w:val="1"/>
      <w:marLeft w:val="0"/>
      <w:marRight w:val="0"/>
      <w:marTop w:val="0"/>
      <w:marBottom w:val="0"/>
      <w:divBdr>
        <w:top w:val="none" w:sz="0" w:space="0" w:color="auto"/>
        <w:left w:val="none" w:sz="0" w:space="0" w:color="auto"/>
        <w:bottom w:val="none" w:sz="0" w:space="0" w:color="auto"/>
        <w:right w:val="none" w:sz="0" w:space="0" w:color="auto"/>
      </w:divBdr>
    </w:div>
    <w:div w:id="211736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cityu.edu/researchguides/business/swot" TargetMode="External"/><Relationship Id="rId18" Type="http://schemas.openxmlformats.org/officeDocument/2006/relationships/hyperlink" Target="http://www.ons.gov.uk/employmentandlabourmarket/peopleinwork/employmentandemployeetypes/bulletins/employmentintheuk/december202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cipd.co.uk/news-views/cipd-voice/issue-38/private-sector-employers-helping-workers-cost-living-crisis" TargetMode="External"/><Relationship Id="rId17" Type="http://schemas.openxmlformats.org/officeDocument/2006/relationships/hyperlink" Target="http://www.mindtools.com/amtbj63/swot-analysis" TargetMode="External"/><Relationship Id="rId2" Type="http://schemas.openxmlformats.org/officeDocument/2006/relationships/numbering" Target="numbering.xml"/><Relationship Id="rId16" Type="http://schemas.openxmlformats.org/officeDocument/2006/relationships/hyperlink" Target="http://www.economicsobservatory.com/whats-happening-in-the-uk-labour-market" TargetMode="External"/><Relationship Id="rId20" Type="http://schemas.openxmlformats.org/officeDocument/2006/relationships/hyperlink" Target="http://www.bamboohr.com/resources/hr-glossary/labor-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lishbulletin.adapt.it/wp-content/uploads/2018/07/wcms_625866.pdf" TargetMode="External"/><Relationship Id="rId5" Type="http://schemas.openxmlformats.org/officeDocument/2006/relationships/webSettings" Target="webSettings.xml"/><Relationship Id="rId15" Type="http://schemas.openxmlformats.org/officeDocument/2006/relationships/hyperlink" Target="http://www.ons.gov.uk/employmentandlabourmarket/peopleinwork/employmentandemployeetypes/bulletins/uklabourmarket/february2023"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www.hrsolutions-uk.com/brexit-the-latest-implications-for-hr/"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www.ons.gov.uk/employmentandlabourmarket/peopleinwork/employmentandemployeetypes/methodologies/aguidetolabourmarketstatistics#employment"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cer\Downloads\datadownloa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Sales</c:v>
                </c:pt>
              </c:strCache>
            </c:strRef>
          </c:tx>
          <c:spPr>
            <a:solidFill>
              <a:schemeClr val="accent1"/>
            </a:solidFill>
            <a:ln w="19050">
              <a:solidFill>
                <a:schemeClr val="lt1"/>
              </a:solidFill>
            </a:ln>
            <a:effectLst/>
          </c:spPr>
          <c:invertIfNegative val="0"/>
          <c:dPt>
            <c:idx val="0"/>
            <c:invertIfNegative val="0"/>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3-E700-4C5E-AC4A-F59FE3856DA7}"/>
              </c:ext>
            </c:extLst>
          </c:dPt>
          <c:dPt>
            <c:idx val="1"/>
            <c:invertIfNegative val="0"/>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2-E700-4C5E-AC4A-F59FE3856DA7}"/>
              </c:ext>
            </c:extLst>
          </c:dPt>
          <c:dPt>
            <c:idx val="2"/>
            <c:invertIfNegative val="0"/>
            <c:bubble3D val="0"/>
            <c:spPr>
              <a:solidFill>
                <a:srgbClr val="FF0000"/>
              </a:solidFill>
              <a:ln w="19050">
                <a:solidFill>
                  <a:schemeClr val="lt1"/>
                </a:solidFill>
              </a:ln>
              <a:effectLst/>
            </c:spPr>
            <c:extLst>
              <c:ext xmlns:c16="http://schemas.microsoft.com/office/drawing/2014/chart" uri="{C3380CC4-5D6E-409C-BE32-E72D297353CC}">
                <c16:uniqueId val="{00000001-E700-4C5E-AC4A-F59FE3856DA7}"/>
              </c:ext>
            </c:extLst>
          </c:dPt>
          <c:cat>
            <c:strRef>
              <c:f>Sheet1!$A$2:$A$4</c:f>
              <c:strCache>
                <c:ptCount val="3"/>
                <c:pt idx="0">
                  <c:v>Global Unemployment </c:v>
                </c:pt>
                <c:pt idx="1">
                  <c:v>Unemployment in developed countries</c:v>
                </c:pt>
                <c:pt idx="2">
                  <c:v>Unemployment in developing countries</c:v>
                </c:pt>
              </c:strCache>
            </c:strRef>
          </c:cat>
          <c:val>
            <c:numRef>
              <c:f>Sheet1!$B$2:$B$4</c:f>
              <c:numCache>
                <c:formatCode>0.00%</c:formatCode>
                <c:ptCount val="3"/>
                <c:pt idx="0">
                  <c:v>5.7000000000000002E-2</c:v>
                </c:pt>
                <c:pt idx="1">
                  <c:v>5.2999999999999999E-2</c:v>
                </c:pt>
                <c:pt idx="2">
                  <c:v>6.7000000000000004E-2</c:v>
                </c:pt>
              </c:numCache>
            </c:numRef>
          </c:val>
          <c:extLst>
            <c:ext xmlns:c16="http://schemas.microsoft.com/office/drawing/2014/chart" uri="{C3380CC4-5D6E-409C-BE32-E72D297353CC}">
              <c16:uniqueId val="{00000000-E700-4C5E-AC4A-F59FE3856DA7}"/>
            </c:ext>
          </c:extLst>
        </c:ser>
        <c:dLbls>
          <c:showLegendKey val="0"/>
          <c:showVal val="0"/>
          <c:showCatName val="0"/>
          <c:showSerName val="0"/>
          <c:showPercent val="0"/>
          <c:showBubbleSize val="0"/>
        </c:dLbls>
        <c:gapWidth val="150"/>
        <c:axId val="521402096"/>
        <c:axId val="521402416"/>
      </c:barChart>
      <c:valAx>
        <c:axId val="52140241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402096"/>
        <c:crosses val="autoZero"/>
        <c:crossBetween val="between"/>
      </c:valAx>
      <c:catAx>
        <c:axId val="521402096"/>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402416"/>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EMPLOYMENT</a:t>
            </a:r>
            <a:r>
              <a:rPr lang="en-IN" baseline="0"/>
              <a:t> &amp; UNEMPLOYMENT CHART</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'data vis chart'!$B$1:$B$2</c:f>
              <c:strCache>
                <c:ptCount val="2"/>
                <c:pt idx="0">
                  <c:v>Employment</c:v>
                </c:pt>
                <c:pt idx="1">
                  <c:v>People</c:v>
                </c:pt>
              </c:strCache>
            </c:strRef>
          </c:tx>
          <c:spPr>
            <a:ln w="28575" cap="rnd">
              <a:solidFill>
                <a:schemeClr val="accent1"/>
              </a:solidFill>
              <a:round/>
            </a:ln>
            <a:effectLst/>
          </c:spPr>
          <c:marker>
            <c:symbol val="none"/>
          </c:marker>
          <c:cat>
            <c:strRef>
              <c:f>'data vis chart'!$A$3:$A$48</c:f>
              <c:strCache>
                <c:ptCount val="46"/>
                <c:pt idx="0">
                  <c:v>Nov to Jan 2019</c:v>
                </c:pt>
                <c:pt idx="1">
                  <c:v>Dec to Feb 2019</c:v>
                </c:pt>
                <c:pt idx="2">
                  <c:v>Jan to Mar 2019</c:v>
                </c:pt>
                <c:pt idx="3">
                  <c:v>Feb to Apr 2019</c:v>
                </c:pt>
                <c:pt idx="4">
                  <c:v>Mar to May 2019</c:v>
                </c:pt>
                <c:pt idx="5">
                  <c:v>Apr to Jun 2019</c:v>
                </c:pt>
                <c:pt idx="6">
                  <c:v>May to Jul 2019</c:v>
                </c:pt>
                <c:pt idx="7">
                  <c:v>Jun to Aug 2019</c:v>
                </c:pt>
                <c:pt idx="8">
                  <c:v>Jul to Sep 2019</c:v>
                </c:pt>
                <c:pt idx="9">
                  <c:v>Aug to Oct 2019</c:v>
                </c:pt>
                <c:pt idx="10">
                  <c:v>Sep to Nov 2019</c:v>
                </c:pt>
                <c:pt idx="11">
                  <c:v>Oct to Dec 2019</c:v>
                </c:pt>
                <c:pt idx="12">
                  <c:v>Nov to Jan 2020</c:v>
                </c:pt>
                <c:pt idx="13">
                  <c:v>Dec to Feb 2020</c:v>
                </c:pt>
                <c:pt idx="14">
                  <c:v>Jan to Mar 2020</c:v>
                </c:pt>
                <c:pt idx="15">
                  <c:v>Feb to Apr 2020</c:v>
                </c:pt>
                <c:pt idx="16">
                  <c:v>Mar to May 2020</c:v>
                </c:pt>
                <c:pt idx="17">
                  <c:v>Apr to Jun 2020</c:v>
                </c:pt>
                <c:pt idx="18">
                  <c:v>May to Jul 2020</c:v>
                </c:pt>
                <c:pt idx="19">
                  <c:v>Jun to Aug 2020</c:v>
                </c:pt>
                <c:pt idx="20">
                  <c:v>Jul to Sep 2020</c:v>
                </c:pt>
                <c:pt idx="21">
                  <c:v>Aug to Oct 2020</c:v>
                </c:pt>
                <c:pt idx="22">
                  <c:v>Sep to Nov 2020</c:v>
                </c:pt>
                <c:pt idx="23">
                  <c:v>Oct to Dec 2020</c:v>
                </c:pt>
                <c:pt idx="24">
                  <c:v>Nov to Jan 2021</c:v>
                </c:pt>
                <c:pt idx="25">
                  <c:v>Dec to Feb 2021</c:v>
                </c:pt>
                <c:pt idx="26">
                  <c:v>Jan to Mar 2021</c:v>
                </c:pt>
                <c:pt idx="27">
                  <c:v>Feb to Apr 2021</c:v>
                </c:pt>
                <c:pt idx="28">
                  <c:v>Mar to May 2021</c:v>
                </c:pt>
                <c:pt idx="29">
                  <c:v>Apr to Jun 2021</c:v>
                </c:pt>
                <c:pt idx="30">
                  <c:v>May to Jul 2021</c:v>
                </c:pt>
                <c:pt idx="31">
                  <c:v>Jun to Aug 2021</c:v>
                </c:pt>
                <c:pt idx="32">
                  <c:v>Jul to Sep 2021</c:v>
                </c:pt>
                <c:pt idx="33">
                  <c:v>Aug to Oct 2021</c:v>
                </c:pt>
                <c:pt idx="34">
                  <c:v>Sep to Nov 2021</c:v>
                </c:pt>
                <c:pt idx="35">
                  <c:v>Oct to Dec 2021</c:v>
                </c:pt>
                <c:pt idx="36">
                  <c:v>Nov to Jan 2022</c:v>
                </c:pt>
                <c:pt idx="37">
                  <c:v>Dec to Feb 2022</c:v>
                </c:pt>
                <c:pt idx="38">
                  <c:v>Jan to Mar 2022</c:v>
                </c:pt>
                <c:pt idx="39">
                  <c:v>Feb to Apr 2022</c:v>
                </c:pt>
                <c:pt idx="40">
                  <c:v>Mar to May 2022</c:v>
                </c:pt>
                <c:pt idx="41">
                  <c:v>Apr to Jun 2022</c:v>
                </c:pt>
                <c:pt idx="42">
                  <c:v>May to Jul 2022</c:v>
                </c:pt>
                <c:pt idx="43">
                  <c:v>Jun to Aug 2022</c:v>
                </c:pt>
                <c:pt idx="44">
                  <c:v>Jul to Sep 2022</c:v>
                </c:pt>
                <c:pt idx="45">
                  <c:v>Aug to Oct 2022</c:v>
                </c:pt>
              </c:strCache>
            </c:strRef>
          </c:cat>
          <c:val>
            <c:numRef>
              <c:f>'data vis chart'!$B$3:$B$48</c:f>
              <c:numCache>
                <c:formatCode>0.000</c:formatCode>
                <c:ptCount val="46"/>
                <c:pt idx="0">
                  <c:v>76.106094454324619</c:v>
                </c:pt>
                <c:pt idx="1">
                  <c:v>76.127453766378309</c:v>
                </c:pt>
                <c:pt idx="2">
                  <c:v>76.056950767717879</c:v>
                </c:pt>
                <c:pt idx="3">
                  <c:v>76.113268679439074</c:v>
                </c:pt>
                <c:pt idx="4">
                  <c:v>76.049416778570034</c:v>
                </c:pt>
                <c:pt idx="5">
                  <c:v>76.102367073888104</c:v>
                </c:pt>
                <c:pt idx="6">
                  <c:v>76.126454616971998</c:v>
                </c:pt>
                <c:pt idx="7">
                  <c:v>75.874265766892464</c:v>
                </c:pt>
                <c:pt idx="8">
                  <c:v>76.046652812031994</c:v>
                </c:pt>
                <c:pt idx="9">
                  <c:v>76.153081778384404</c:v>
                </c:pt>
                <c:pt idx="10">
                  <c:v>76.342518638937122</c:v>
                </c:pt>
                <c:pt idx="11">
                  <c:v>76.471298780977776</c:v>
                </c:pt>
                <c:pt idx="12">
                  <c:v>76.456687068331419</c:v>
                </c:pt>
                <c:pt idx="13">
                  <c:v>76.56172688194151</c:v>
                </c:pt>
                <c:pt idx="14">
                  <c:v>76.325932414160349</c:v>
                </c:pt>
                <c:pt idx="15">
                  <c:v>75.985802524822176</c:v>
                </c:pt>
                <c:pt idx="16">
                  <c:v>75.871619741414179</c:v>
                </c:pt>
                <c:pt idx="17">
                  <c:v>75.71015313532908</c:v>
                </c:pt>
                <c:pt idx="18">
                  <c:v>75.573832251490998</c:v>
                </c:pt>
                <c:pt idx="19">
                  <c:v>75.298733008664982</c:v>
                </c:pt>
                <c:pt idx="20">
                  <c:v>74.924362790406121</c:v>
                </c:pt>
                <c:pt idx="21">
                  <c:v>74.845142873397961</c:v>
                </c:pt>
                <c:pt idx="22">
                  <c:v>74.863546378001359</c:v>
                </c:pt>
                <c:pt idx="23">
                  <c:v>74.577055833772562</c:v>
                </c:pt>
                <c:pt idx="24">
                  <c:v>74.559479716750005</c:v>
                </c:pt>
                <c:pt idx="25">
                  <c:v>74.690755017186817</c:v>
                </c:pt>
                <c:pt idx="26">
                  <c:v>74.667813063485482</c:v>
                </c:pt>
                <c:pt idx="27">
                  <c:v>74.692215176965391</c:v>
                </c:pt>
                <c:pt idx="28">
                  <c:v>74.750852404419049</c:v>
                </c:pt>
                <c:pt idx="29">
                  <c:v>75.019872463169762</c:v>
                </c:pt>
                <c:pt idx="30">
                  <c:v>75.142336390490669</c:v>
                </c:pt>
                <c:pt idx="31">
                  <c:v>75.242012313790454</c:v>
                </c:pt>
                <c:pt idx="32">
                  <c:v>75.336737738508361</c:v>
                </c:pt>
                <c:pt idx="33">
                  <c:v>75.385207923827323</c:v>
                </c:pt>
                <c:pt idx="34">
                  <c:v>75.417536609317878</c:v>
                </c:pt>
                <c:pt idx="35">
                  <c:v>75.469458847652803</c:v>
                </c:pt>
                <c:pt idx="36">
                  <c:v>75.431988378732541</c:v>
                </c:pt>
                <c:pt idx="37">
                  <c:v>75.465305750384204</c:v>
                </c:pt>
                <c:pt idx="38">
                  <c:v>75.626683571744096</c:v>
                </c:pt>
                <c:pt idx="39">
                  <c:v>75.648992817013806</c:v>
                </c:pt>
                <c:pt idx="40">
                  <c:v>75.866474785436637</c:v>
                </c:pt>
                <c:pt idx="41">
                  <c:v>75.518216130142292</c:v>
                </c:pt>
                <c:pt idx="42">
                  <c:v>75.424200108727902</c:v>
                </c:pt>
                <c:pt idx="43">
                  <c:v>75.546347213450304</c:v>
                </c:pt>
                <c:pt idx="44">
                  <c:v>75.476980988373796</c:v>
                </c:pt>
                <c:pt idx="45">
                  <c:v>75.590936946393327</c:v>
                </c:pt>
              </c:numCache>
            </c:numRef>
          </c:val>
          <c:smooth val="0"/>
          <c:extLst>
            <c:ext xmlns:c16="http://schemas.microsoft.com/office/drawing/2014/chart" uri="{C3380CC4-5D6E-409C-BE32-E72D297353CC}">
              <c16:uniqueId val="{00000000-71B6-48A3-867D-16FCE23A72F6}"/>
            </c:ext>
          </c:extLst>
        </c:ser>
        <c:ser>
          <c:idx val="1"/>
          <c:order val="1"/>
          <c:tx>
            <c:strRef>
              <c:f>'data vis chart'!$C$1:$C$2</c:f>
              <c:strCache>
                <c:ptCount val="2"/>
                <c:pt idx="0">
                  <c:v>Unemployment</c:v>
                </c:pt>
                <c:pt idx="1">
                  <c:v>People </c:v>
                </c:pt>
              </c:strCache>
            </c:strRef>
          </c:tx>
          <c:spPr>
            <a:ln w="28575" cap="rnd">
              <a:solidFill>
                <a:schemeClr val="accent2"/>
              </a:solidFill>
              <a:round/>
            </a:ln>
            <a:effectLst/>
          </c:spPr>
          <c:marker>
            <c:symbol val="none"/>
          </c:marker>
          <c:cat>
            <c:strRef>
              <c:f>'data vis chart'!$A$3:$A$48</c:f>
              <c:strCache>
                <c:ptCount val="46"/>
                <c:pt idx="0">
                  <c:v>Nov to Jan 2019</c:v>
                </c:pt>
                <c:pt idx="1">
                  <c:v>Dec to Feb 2019</c:v>
                </c:pt>
                <c:pt idx="2">
                  <c:v>Jan to Mar 2019</c:v>
                </c:pt>
                <c:pt idx="3">
                  <c:v>Feb to Apr 2019</c:v>
                </c:pt>
                <c:pt idx="4">
                  <c:v>Mar to May 2019</c:v>
                </c:pt>
                <c:pt idx="5">
                  <c:v>Apr to Jun 2019</c:v>
                </c:pt>
                <c:pt idx="6">
                  <c:v>May to Jul 2019</c:v>
                </c:pt>
                <c:pt idx="7">
                  <c:v>Jun to Aug 2019</c:v>
                </c:pt>
                <c:pt idx="8">
                  <c:v>Jul to Sep 2019</c:v>
                </c:pt>
                <c:pt idx="9">
                  <c:v>Aug to Oct 2019</c:v>
                </c:pt>
                <c:pt idx="10">
                  <c:v>Sep to Nov 2019</c:v>
                </c:pt>
                <c:pt idx="11">
                  <c:v>Oct to Dec 2019</c:v>
                </c:pt>
                <c:pt idx="12">
                  <c:v>Nov to Jan 2020</c:v>
                </c:pt>
                <c:pt idx="13">
                  <c:v>Dec to Feb 2020</c:v>
                </c:pt>
                <c:pt idx="14">
                  <c:v>Jan to Mar 2020</c:v>
                </c:pt>
                <c:pt idx="15">
                  <c:v>Feb to Apr 2020</c:v>
                </c:pt>
                <c:pt idx="16">
                  <c:v>Mar to May 2020</c:v>
                </c:pt>
                <c:pt idx="17">
                  <c:v>Apr to Jun 2020</c:v>
                </c:pt>
                <c:pt idx="18">
                  <c:v>May to Jul 2020</c:v>
                </c:pt>
                <c:pt idx="19">
                  <c:v>Jun to Aug 2020</c:v>
                </c:pt>
                <c:pt idx="20">
                  <c:v>Jul to Sep 2020</c:v>
                </c:pt>
                <c:pt idx="21">
                  <c:v>Aug to Oct 2020</c:v>
                </c:pt>
                <c:pt idx="22">
                  <c:v>Sep to Nov 2020</c:v>
                </c:pt>
                <c:pt idx="23">
                  <c:v>Oct to Dec 2020</c:v>
                </c:pt>
                <c:pt idx="24">
                  <c:v>Nov to Jan 2021</c:v>
                </c:pt>
                <c:pt idx="25">
                  <c:v>Dec to Feb 2021</c:v>
                </c:pt>
                <c:pt idx="26">
                  <c:v>Jan to Mar 2021</c:v>
                </c:pt>
                <c:pt idx="27">
                  <c:v>Feb to Apr 2021</c:v>
                </c:pt>
                <c:pt idx="28">
                  <c:v>Mar to May 2021</c:v>
                </c:pt>
                <c:pt idx="29">
                  <c:v>Apr to Jun 2021</c:v>
                </c:pt>
                <c:pt idx="30">
                  <c:v>May to Jul 2021</c:v>
                </c:pt>
                <c:pt idx="31">
                  <c:v>Jun to Aug 2021</c:v>
                </c:pt>
                <c:pt idx="32">
                  <c:v>Jul to Sep 2021</c:v>
                </c:pt>
                <c:pt idx="33">
                  <c:v>Aug to Oct 2021</c:v>
                </c:pt>
                <c:pt idx="34">
                  <c:v>Sep to Nov 2021</c:v>
                </c:pt>
                <c:pt idx="35">
                  <c:v>Oct to Dec 2021</c:v>
                </c:pt>
                <c:pt idx="36">
                  <c:v>Nov to Jan 2022</c:v>
                </c:pt>
                <c:pt idx="37">
                  <c:v>Dec to Feb 2022</c:v>
                </c:pt>
                <c:pt idx="38">
                  <c:v>Jan to Mar 2022</c:v>
                </c:pt>
                <c:pt idx="39">
                  <c:v>Feb to Apr 2022</c:v>
                </c:pt>
                <c:pt idx="40">
                  <c:v>Mar to May 2022</c:v>
                </c:pt>
                <c:pt idx="41">
                  <c:v>Apr to Jun 2022</c:v>
                </c:pt>
                <c:pt idx="42">
                  <c:v>May to Jul 2022</c:v>
                </c:pt>
                <c:pt idx="43">
                  <c:v>Jun to Aug 2022</c:v>
                </c:pt>
                <c:pt idx="44">
                  <c:v>Jul to Sep 2022</c:v>
                </c:pt>
                <c:pt idx="45">
                  <c:v>Aug to Oct 2022</c:v>
                </c:pt>
              </c:strCache>
            </c:strRef>
          </c:cat>
          <c:val>
            <c:numRef>
              <c:f>'data vis chart'!$C$3:$C$48</c:f>
              <c:numCache>
                <c:formatCode>0.000</c:formatCode>
                <c:ptCount val="46"/>
                <c:pt idx="0">
                  <c:v>3.9305619794545645</c:v>
                </c:pt>
                <c:pt idx="1">
                  <c:v>3.9415311310725794</c:v>
                </c:pt>
                <c:pt idx="2">
                  <c:v>3.8178008112817978</c:v>
                </c:pt>
                <c:pt idx="3">
                  <c:v>3.8302743648645472</c:v>
                </c:pt>
                <c:pt idx="4">
                  <c:v>3.7956112354399845</c:v>
                </c:pt>
                <c:pt idx="5">
                  <c:v>3.8928384308997499</c:v>
                </c:pt>
                <c:pt idx="6">
                  <c:v>3.7970491994482756</c:v>
                </c:pt>
                <c:pt idx="7">
                  <c:v>3.8627407152073099</c:v>
                </c:pt>
                <c:pt idx="8">
                  <c:v>3.8331977712048126</c:v>
                </c:pt>
                <c:pt idx="9">
                  <c:v>3.7571341518007237</c:v>
                </c:pt>
                <c:pt idx="10">
                  <c:v>3.8185632777397527</c:v>
                </c:pt>
                <c:pt idx="11">
                  <c:v>3.7685130150272883</c:v>
                </c:pt>
                <c:pt idx="12">
                  <c:v>3.9128489079581894</c:v>
                </c:pt>
                <c:pt idx="13">
                  <c:v>3.9612129698626535</c:v>
                </c:pt>
                <c:pt idx="14">
                  <c:v>4.0033754006903211</c:v>
                </c:pt>
                <c:pt idx="15">
                  <c:v>4.0518293147549924</c:v>
                </c:pt>
                <c:pt idx="16">
                  <c:v>4.1176834223016536</c:v>
                </c:pt>
                <c:pt idx="17">
                  <c:v>4.114619633658533</c:v>
                </c:pt>
                <c:pt idx="18">
                  <c:v>4.3382897697141098</c:v>
                </c:pt>
                <c:pt idx="19">
                  <c:v>4.5544132182757551</c:v>
                </c:pt>
                <c:pt idx="20">
                  <c:v>4.8794915588955705</c:v>
                </c:pt>
                <c:pt idx="21">
                  <c:v>5.0577908317438762</c:v>
                </c:pt>
                <c:pt idx="22">
                  <c:v>5.1289138944899131</c:v>
                </c:pt>
                <c:pt idx="23">
                  <c:v>5.2249354579114771</c:v>
                </c:pt>
                <c:pt idx="24">
                  <c:v>5.1435555032776872</c:v>
                </c:pt>
                <c:pt idx="25">
                  <c:v>5.0626156771403776</c:v>
                </c:pt>
                <c:pt idx="26">
                  <c:v>4.9452378212731443</c:v>
                </c:pt>
                <c:pt idx="27">
                  <c:v>4.8933547485827438</c:v>
                </c:pt>
                <c:pt idx="28">
                  <c:v>4.8621639961174932</c:v>
                </c:pt>
                <c:pt idx="29">
                  <c:v>4.7188481057034481</c:v>
                </c:pt>
                <c:pt idx="30">
                  <c:v>4.5819501517301484</c:v>
                </c:pt>
                <c:pt idx="31">
                  <c:v>4.4437851788228091</c:v>
                </c:pt>
                <c:pt idx="32">
                  <c:v>4.2638895797770919</c:v>
                </c:pt>
                <c:pt idx="33">
                  <c:v>4.1852841018455305</c:v>
                </c:pt>
                <c:pt idx="34">
                  <c:v>4.0726068083163218</c:v>
                </c:pt>
                <c:pt idx="35">
                  <c:v>4.0442742823112869</c:v>
                </c:pt>
                <c:pt idx="36">
                  <c:v>3.9744274957427681</c:v>
                </c:pt>
                <c:pt idx="37">
                  <c:v>3.8320424557067794</c:v>
                </c:pt>
                <c:pt idx="38">
                  <c:v>3.7139633805353802</c:v>
                </c:pt>
                <c:pt idx="39">
                  <c:v>3.8216301955089502</c:v>
                </c:pt>
                <c:pt idx="40">
                  <c:v>3.7641126964380924</c:v>
                </c:pt>
                <c:pt idx="41">
                  <c:v>3.7953427375559685</c:v>
                </c:pt>
                <c:pt idx="42">
                  <c:v>3.6029769202161273</c:v>
                </c:pt>
                <c:pt idx="43">
                  <c:v>3.5000223471862002</c:v>
                </c:pt>
                <c:pt idx="44">
                  <c:v>3.6051892091333402</c:v>
                </c:pt>
                <c:pt idx="45">
                  <c:v>3.6656846344356659</c:v>
                </c:pt>
              </c:numCache>
            </c:numRef>
          </c:val>
          <c:smooth val="0"/>
          <c:extLst>
            <c:ext xmlns:c16="http://schemas.microsoft.com/office/drawing/2014/chart" uri="{C3380CC4-5D6E-409C-BE32-E72D297353CC}">
              <c16:uniqueId val="{00000001-71B6-48A3-867D-16FCE23A72F6}"/>
            </c:ext>
          </c:extLst>
        </c:ser>
        <c:dLbls>
          <c:showLegendKey val="0"/>
          <c:showVal val="0"/>
          <c:showCatName val="0"/>
          <c:showSerName val="0"/>
          <c:showPercent val="0"/>
          <c:showBubbleSize val="0"/>
        </c:dLbls>
        <c:smooth val="0"/>
        <c:axId val="523496632"/>
        <c:axId val="523497592"/>
      </c:lineChart>
      <c:catAx>
        <c:axId val="523496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97592"/>
        <c:crosses val="autoZero"/>
        <c:auto val="1"/>
        <c:lblAlgn val="ctr"/>
        <c:lblOffset val="100"/>
        <c:noMultiLvlLbl val="0"/>
      </c:catAx>
      <c:valAx>
        <c:axId val="523497592"/>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96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41C93-8645-4329-B805-39F4B7E9C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9</Pages>
  <Words>3711</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Simranpreet Kaur (2226227)</dc:creator>
  <cp:keywords/>
  <dc:description/>
  <cp:lastModifiedBy>Simranpreet Kaur (2226227)</cp:lastModifiedBy>
  <cp:revision>38</cp:revision>
  <dcterms:created xsi:type="dcterms:W3CDTF">2023-04-22T11:31:00Z</dcterms:created>
  <dcterms:modified xsi:type="dcterms:W3CDTF">2023-04-23T13:43:00Z</dcterms:modified>
</cp:coreProperties>
</file>