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67F492" w14:textId="77777777" w:rsidR="005F770D" w:rsidRDefault="005F770D">
      <w:pPr>
        <w:spacing w:line="360" w:lineRule="auto"/>
        <w:jc w:val="center"/>
        <w:rPr>
          <w:rFonts w:ascii="Times New Roman" w:eastAsia="Times New Roman" w:hAnsi="Times New Roman" w:cs="Times New Roman"/>
        </w:rPr>
      </w:pPr>
    </w:p>
    <w:p w14:paraId="5DAF6D55" w14:textId="3D00B68C" w:rsidR="0094685B" w:rsidRDefault="00D33458">
      <w:pPr>
        <w:spacing w:line="360" w:lineRule="auto"/>
        <w:jc w:val="cente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23B985A9" wp14:editId="68BEB047">
            <wp:extent cx="2711302" cy="1116965"/>
            <wp:effectExtent l="0" t="0" r="0" b="6985"/>
            <wp:docPr id="189412177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723965" cy="1122182"/>
                    </a:xfrm>
                    <a:prstGeom prst="rect">
                      <a:avLst/>
                    </a:prstGeom>
                    <a:ln/>
                  </pic:spPr>
                </pic:pic>
              </a:graphicData>
            </a:graphic>
          </wp:inline>
        </w:drawing>
      </w:r>
    </w:p>
    <w:p w14:paraId="2E02405A" w14:textId="77777777" w:rsidR="0094685B" w:rsidRDefault="00000000" w:rsidP="005F770D">
      <w:pPr>
        <w:spacing w:line="360" w:lineRule="auto"/>
        <w:jc w:val="center"/>
        <w:rPr>
          <w:rFonts w:ascii="Times New Roman" w:eastAsia="Times New Roman" w:hAnsi="Times New Roman" w:cs="Times New Roman"/>
          <w:b/>
          <w:bCs/>
          <w:sz w:val="36"/>
          <w:szCs w:val="36"/>
        </w:rPr>
      </w:pPr>
      <w:r w:rsidRPr="00D33458">
        <w:rPr>
          <w:rFonts w:ascii="Times New Roman" w:eastAsia="Times New Roman" w:hAnsi="Times New Roman" w:cs="Times New Roman"/>
          <w:b/>
          <w:bCs/>
          <w:sz w:val="36"/>
          <w:szCs w:val="36"/>
        </w:rPr>
        <w:t>THE INFLUENCE OF TECHNOLOGICAL ADVANCEMENTS ON ORGANIZATIONAL STRUCTURE AND MANAGERIAL PARADIGMS WITHIN THE UNITED KINGDOM (UK) 21ST CENTURY BANKING SECTOR</w:t>
      </w:r>
    </w:p>
    <w:p w14:paraId="276B9ACF" w14:textId="77777777" w:rsidR="0094685B" w:rsidRDefault="0094685B">
      <w:pPr>
        <w:spacing w:line="360" w:lineRule="auto"/>
        <w:jc w:val="center"/>
        <w:rPr>
          <w:rFonts w:ascii="Times New Roman" w:eastAsia="Times New Roman" w:hAnsi="Times New Roman" w:cs="Times New Roman"/>
        </w:rPr>
      </w:pPr>
    </w:p>
    <w:p w14:paraId="641F5278" w14:textId="1AF53921" w:rsidR="005F770D" w:rsidRDefault="00B103E7">
      <w:pPr>
        <w:spacing w:line="360" w:lineRule="auto"/>
        <w:jc w:val="center"/>
        <w:rPr>
          <w:rFonts w:ascii="Times New Roman" w:eastAsia="Times New Roman" w:hAnsi="Times New Roman" w:cs="Times New Roman"/>
        </w:rPr>
      </w:pPr>
      <w:r>
        <w:rPr>
          <w:rFonts w:ascii="Times New Roman" w:eastAsia="Times New Roman" w:hAnsi="Times New Roman" w:cs="Times New Roman"/>
        </w:rPr>
        <w:t>By</w:t>
      </w:r>
    </w:p>
    <w:p w14:paraId="73F84EA7" w14:textId="77777777" w:rsidR="00B103E7" w:rsidRDefault="00B103E7">
      <w:pPr>
        <w:spacing w:line="360" w:lineRule="auto"/>
        <w:jc w:val="center"/>
        <w:rPr>
          <w:rFonts w:ascii="Times New Roman" w:eastAsia="Times New Roman" w:hAnsi="Times New Roman" w:cs="Times New Roman"/>
        </w:rPr>
      </w:pPr>
    </w:p>
    <w:p w14:paraId="17894290" w14:textId="17B754A6" w:rsidR="00D33458" w:rsidRDefault="00D33458">
      <w:pPr>
        <w:spacing w:line="360" w:lineRule="auto"/>
        <w:jc w:val="center"/>
        <w:rPr>
          <w:rFonts w:ascii="Times New Roman" w:eastAsia="Times New Roman" w:hAnsi="Times New Roman" w:cs="Times New Roman"/>
          <w:b/>
          <w:bCs/>
        </w:rPr>
      </w:pPr>
      <w:r w:rsidRPr="005F770D">
        <w:rPr>
          <w:rFonts w:ascii="Times New Roman" w:eastAsia="Times New Roman" w:hAnsi="Times New Roman" w:cs="Times New Roman"/>
          <w:b/>
          <w:bCs/>
        </w:rPr>
        <w:t>Bina Subedi</w:t>
      </w:r>
      <w:r w:rsidR="00B83E1A">
        <w:rPr>
          <w:rFonts w:ascii="Times New Roman" w:eastAsia="Times New Roman" w:hAnsi="Times New Roman" w:cs="Times New Roman"/>
          <w:b/>
          <w:bCs/>
        </w:rPr>
        <w:t xml:space="preserve"> (</w:t>
      </w:r>
      <w:r w:rsidR="00B103E7">
        <w:rPr>
          <w:rFonts w:ascii="Times New Roman" w:eastAsia="Times New Roman" w:hAnsi="Times New Roman" w:cs="Times New Roman"/>
          <w:b/>
          <w:bCs/>
        </w:rPr>
        <w:t xml:space="preserve"> Student Id: </w:t>
      </w:r>
      <w:r w:rsidR="00B83E1A" w:rsidRPr="00B83E1A">
        <w:rPr>
          <w:rFonts w:ascii="Times New Roman" w:eastAsia="Times New Roman" w:hAnsi="Times New Roman" w:cs="Times New Roman"/>
          <w:b/>
          <w:bCs/>
        </w:rPr>
        <w:t>2512009</w:t>
      </w:r>
      <w:r w:rsidR="00B83E1A">
        <w:rPr>
          <w:rFonts w:ascii="Times New Roman" w:eastAsia="Times New Roman" w:hAnsi="Times New Roman" w:cs="Times New Roman"/>
          <w:b/>
          <w:bCs/>
        </w:rPr>
        <w:t>)</w:t>
      </w:r>
    </w:p>
    <w:p w14:paraId="3B3E95D4" w14:textId="5FB705D7" w:rsidR="00D33458" w:rsidRDefault="00D33458">
      <w:pPr>
        <w:spacing w:line="360" w:lineRule="auto"/>
        <w:jc w:val="center"/>
        <w:rPr>
          <w:rFonts w:ascii="Times New Roman" w:eastAsia="Times New Roman" w:hAnsi="Times New Roman" w:cs="Times New Roman"/>
          <w:b/>
          <w:bCs/>
        </w:rPr>
      </w:pPr>
      <w:r w:rsidRPr="005F770D">
        <w:rPr>
          <w:rFonts w:ascii="Times New Roman" w:eastAsia="Times New Roman" w:hAnsi="Times New Roman" w:cs="Times New Roman"/>
          <w:b/>
          <w:bCs/>
        </w:rPr>
        <w:t>November, 2025</w:t>
      </w:r>
    </w:p>
    <w:p w14:paraId="77E71F41" w14:textId="77777777" w:rsidR="005F770D" w:rsidRDefault="005F770D">
      <w:pPr>
        <w:spacing w:line="360" w:lineRule="auto"/>
        <w:jc w:val="center"/>
        <w:rPr>
          <w:rFonts w:ascii="Times New Roman" w:eastAsia="Times New Roman" w:hAnsi="Times New Roman" w:cs="Times New Roman"/>
          <w:b/>
          <w:bCs/>
        </w:rPr>
      </w:pPr>
    </w:p>
    <w:p w14:paraId="380E1829" w14:textId="77777777" w:rsidR="005F770D" w:rsidRDefault="005F770D">
      <w:pPr>
        <w:spacing w:line="360" w:lineRule="auto"/>
        <w:jc w:val="center"/>
        <w:rPr>
          <w:rFonts w:ascii="Times New Roman" w:eastAsia="Times New Roman" w:hAnsi="Times New Roman" w:cs="Times New Roman"/>
          <w:b/>
          <w:bCs/>
        </w:rPr>
      </w:pPr>
    </w:p>
    <w:p w14:paraId="48D135A2" w14:textId="406DAFE2" w:rsidR="00B103E7" w:rsidRPr="005F770D" w:rsidRDefault="00B103E7">
      <w:pPr>
        <w:spacing w:line="360" w:lineRule="auto"/>
        <w:jc w:val="center"/>
        <w:rPr>
          <w:rFonts w:ascii="Times New Roman" w:eastAsia="Times New Roman" w:hAnsi="Times New Roman" w:cs="Times New Roman"/>
          <w:b/>
          <w:bCs/>
        </w:rPr>
      </w:pPr>
      <w:r>
        <w:rPr>
          <w:rFonts w:ascii="Times New Roman" w:eastAsia="Times New Roman" w:hAnsi="Times New Roman" w:cs="Times New Roman"/>
          <w:b/>
          <w:bCs/>
        </w:rPr>
        <w:t>Lecturer: Dr. Masud Ibrahim</w:t>
      </w:r>
    </w:p>
    <w:p w14:paraId="661EB011" w14:textId="77777777" w:rsidR="0094685B" w:rsidRDefault="00000000">
      <w:pPr>
        <w:spacing w:before="120" w:after="120"/>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VISIONS FOR THE FUTURE : THEORETICAL PERSPECTIVES ON MANAGEMENT</w:t>
      </w:r>
    </w:p>
    <w:p w14:paraId="42557735" w14:textId="77777777" w:rsidR="0094685B" w:rsidRDefault="00000000">
      <w:pPr>
        <w:spacing w:before="120" w:after="120"/>
        <w:jc w:val="center"/>
        <w:rPr>
          <w:rFonts w:ascii="Times New Roman" w:eastAsia="Times New Roman" w:hAnsi="Times New Roman" w:cs="Times New Roman"/>
          <w:sz w:val="22"/>
          <w:szCs w:val="22"/>
        </w:rPr>
      </w:pPr>
      <w:r>
        <w:rPr>
          <w:rFonts w:ascii="Times New Roman" w:eastAsia="Times New Roman" w:hAnsi="Times New Roman" w:cs="Times New Roman"/>
        </w:rPr>
        <w:t>DOCTOR OF BUSINESS ADMINISTRATION (</w:t>
      </w:r>
      <w:r>
        <w:rPr>
          <w:rFonts w:ascii="Times New Roman" w:eastAsia="Times New Roman" w:hAnsi="Times New Roman" w:cs="Times New Roman"/>
          <w:sz w:val="22"/>
          <w:szCs w:val="22"/>
        </w:rPr>
        <w:t>LCDB7008)</w:t>
      </w:r>
    </w:p>
    <w:p w14:paraId="2D5FA404" w14:textId="77777777" w:rsidR="00B103E7" w:rsidRDefault="00D33458">
      <w:pPr>
        <w:spacing w:before="120" w:after="120"/>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University of Wales Trinity Saint David</w:t>
      </w:r>
    </w:p>
    <w:p w14:paraId="65EEA309" w14:textId="06161B79" w:rsidR="00D33458" w:rsidRDefault="00B103E7">
      <w:pPr>
        <w:spacing w:before="120" w:after="120"/>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Institute of Inner City-Learning,</w:t>
      </w:r>
      <w:r w:rsidR="00D33458">
        <w:rPr>
          <w:rFonts w:ascii="Times New Roman" w:eastAsia="Times New Roman" w:hAnsi="Times New Roman" w:cs="Times New Roman"/>
          <w:sz w:val="22"/>
          <w:szCs w:val="22"/>
        </w:rPr>
        <w:t xml:space="preserve"> Birmingham</w:t>
      </w:r>
    </w:p>
    <w:p w14:paraId="32DCCDE6" w14:textId="77777777" w:rsidR="00D33458" w:rsidRDefault="00D33458">
      <w:pPr>
        <w:spacing w:before="120" w:after="120"/>
        <w:jc w:val="center"/>
        <w:rPr>
          <w:rFonts w:ascii="Times New Roman" w:eastAsia="Times New Roman" w:hAnsi="Times New Roman" w:cs="Times New Roman"/>
          <w:sz w:val="22"/>
          <w:szCs w:val="22"/>
        </w:rPr>
      </w:pPr>
    </w:p>
    <w:p w14:paraId="63CB0FD5" w14:textId="77777777" w:rsidR="0094685B" w:rsidRDefault="0094685B">
      <w:pPr>
        <w:spacing w:line="360" w:lineRule="auto"/>
        <w:rPr>
          <w:rFonts w:ascii="Times New Roman" w:eastAsia="Times New Roman" w:hAnsi="Times New Roman" w:cs="Times New Roman"/>
        </w:rPr>
      </w:pPr>
    </w:p>
    <w:p w14:paraId="4A4138F5" w14:textId="77777777" w:rsidR="0094685B" w:rsidRDefault="00000000">
      <w:pPr>
        <w:keepNext/>
        <w:keepLines/>
        <w:pBdr>
          <w:top w:val="nil"/>
          <w:left w:val="nil"/>
          <w:bottom w:val="nil"/>
          <w:right w:val="nil"/>
          <w:between w:val="nil"/>
        </w:pBdr>
        <w:spacing w:before="240" w:after="0" w:line="259" w:lineRule="auto"/>
        <w:rPr>
          <w:rFonts w:ascii="Times New Roman" w:eastAsia="Times New Roman" w:hAnsi="Times New Roman" w:cs="Times New Roman"/>
          <w:b/>
          <w:bCs/>
          <w:color w:val="000000"/>
        </w:rPr>
      </w:pPr>
      <w:r>
        <w:rPr>
          <w:rFonts w:ascii="Times New Roman" w:eastAsia="Times New Roman" w:hAnsi="Times New Roman" w:cs="Times New Roman"/>
          <w:b/>
          <w:bCs/>
          <w:color w:val="000000"/>
        </w:rPr>
        <w:lastRenderedPageBreak/>
        <w:t>Table of Contents</w:t>
      </w:r>
    </w:p>
    <w:p w14:paraId="3655293A" w14:textId="584FCA7B" w:rsidR="00B26812" w:rsidRDefault="00B26812">
      <w:pPr>
        <w:keepNext/>
        <w:keepLines/>
        <w:pBdr>
          <w:top w:val="nil"/>
          <w:left w:val="nil"/>
          <w:bottom w:val="nil"/>
          <w:right w:val="nil"/>
          <w:between w:val="nil"/>
        </w:pBdr>
        <w:spacing w:before="240" w:after="0" w:line="259" w:lineRule="auto"/>
        <w:rPr>
          <w:rFonts w:ascii="Times New Roman" w:eastAsia="Times New Roman" w:hAnsi="Times New Roman" w:cs="Times New Roman"/>
          <w:b/>
          <w:bCs/>
          <w:color w:val="000000"/>
        </w:rPr>
      </w:pPr>
      <w:r>
        <w:rPr>
          <w:rFonts w:ascii="Times New Roman" w:eastAsia="Times New Roman" w:hAnsi="Times New Roman" w:cs="Times New Roman"/>
          <w:b/>
          <w:bCs/>
          <w:color w:val="000000"/>
        </w:rPr>
        <w:t>Executive Summary……………………………………………………………………………..</w:t>
      </w:r>
      <w:r w:rsidR="00DE6647">
        <w:rPr>
          <w:rFonts w:ascii="Times New Roman" w:eastAsia="Times New Roman" w:hAnsi="Times New Roman" w:cs="Times New Roman"/>
          <w:b/>
          <w:bCs/>
          <w:color w:val="000000"/>
        </w:rPr>
        <w:t>.</w:t>
      </w:r>
      <w:r>
        <w:rPr>
          <w:rFonts w:ascii="Times New Roman" w:eastAsia="Times New Roman" w:hAnsi="Times New Roman" w:cs="Times New Roman"/>
          <w:b/>
          <w:bCs/>
          <w:color w:val="000000"/>
        </w:rPr>
        <w:t>v</w:t>
      </w:r>
    </w:p>
    <w:sdt>
      <w:sdtPr>
        <w:rPr>
          <w:rFonts w:ascii="Calibri" w:eastAsia="Calibri" w:hAnsi="Calibri" w:cs="Calibri"/>
          <w:noProof w:val="0"/>
        </w:rPr>
        <w:id w:val="-1385597757"/>
        <w:docPartObj>
          <w:docPartGallery w:val="Table of Contents"/>
          <w:docPartUnique/>
        </w:docPartObj>
      </w:sdtPr>
      <w:sdtContent>
        <w:p w14:paraId="2A3E5D8F" w14:textId="672DD91B" w:rsidR="0066423F" w:rsidRDefault="00000000" w:rsidP="00F660F2">
          <w:pPr>
            <w:pStyle w:val="TOC1"/>
            <w:rPr>
              <w:rFonts w:asciiTheme="minorHAnsi" w:eastAsiaTheme="minorEastAsia" w:hAnsiTheme="minorHAnsi" w:cstheme="minorBidi"/>
              <w:kern w:val="2"/>
              <w:lang w:val="en-US"/>
              <w14:ligatures w14:val="standardContextual"/>
            </w:rPr>
          </w:pPr>
          <w:r w:rsidRPr="0021669F">
            <w:fldChar w:fldCharType="begin"/>
          </w:r>
          <w:r w:rsidRPr="0021669F">
            <w:instrText xml:space="preserve"> TOC \h \u \z \t "Heading 1,1,Heading 2,2,Heading 3,3,"</w:instrText>
          </w:r>
          <w:r w:rsidRPr="0021669F">
            <w:fldChar w:fldCharType="separate"/>
          </w:r>
          <w:hyperlink w:anchor="_Toc214371631" w:history="1">
            <w:r w:rsidR="0066423F" w:rsidRPr="004E774F">
              <w:rPr>
                <w:rStyle w:val="Hyperlink"/>
                <w:b/>
                <w:bCs/>
              </w:rPr>
              <w:t>1. Introduction</w:t>
            </w:r>
            <w:r w:rsidR="0066423F">
              <w:rPr>
                <w:webHidden/>
              </w:rPr>
              <w:tab/>
            </w:r>
            <w:r w:rsidR="0066423F">
              <w:rPr>
                <w:webHidden/>
              </w:rPr>
              <w:fldChar w:fldCharType="begin"/>
            </w:r>
            <w:r w:rsidR="0066423F">
              <w:rPr>
                <w:webHidden/>
              </w:rPr>
              <w:instrText xml:space="preserve"> PAGEREF _Toc214371631 \h </w:instrText>
            </w:r>
            <w:r w:rsidR="0066423F">
              <w:rPr>
                <w:webHidden/>
              </w:rPr>
            </w:r>
            <w:r w:rsidR="0066423F">
              <w:rPr>
                <w:webHidden/>
              </w:rPr>
              <w:fldChar w:fldCharType="separate"/>
            </w:r>
            <w:r w:rsidR="0066423F">
              <w:rPr>
                <w:webHidden/>
              </w:rPr>
              <w:t>1</w:t>
            </w:r>
            <w:r w:rsidR="0066423F">
              <w:rPr>
                <w:webHidden/>
              </w:rPr>
              <w:fldChar w:fldCharType="end"/>
            </w:r>
          </w:hyperlink>
        </w:p>
        <w:p w14:paraId="359806AD" w14:textId="38E23CCB" w:rsidR="0066423F" w:rsidRPr="00F660F2" w:rsidRDefault="0066423F" w:rsidP="00F660F2">
          <w:pPr>
            <w:pStyle w:val="TOC1"/>
            <w:rPr>
              <w:rFonts w:asciiTheme="minorHAnsi" w:eastAsiaTheme="minorEastAsia" w:hAnsiTheme="minorHAnsi" w:cstheme="minorBidi"/>
              <w:kern w:val="2"/>
              <w:lang w:val="en-US"/>
              <w14:ligatures w14:val="standardContextual"/>
            </w:rPr>
          </w:pPr>
          <w:hyperlink w:anchor="_Toc214371632" w:history="1">
            <w:r w:rsidRPr="00F660F2">
              <w:rPr>
                <w:rStyle w:val="Hyperlink"/>
              </w:rPr>
              <w:t>1.1 Background of the study</w:t>
            </w:r>
            <w:r w:rsidRPr="00F660F2">
              <w:rPr>
                <w:webHidden/>
              </w:rPr>
              <w:tab/>
            </w:r>
            <w:r w:rsidRPr="00F660F2">
              <w:rPr>
                <w:webHidden/>
              </w:rPr>
              <w:fldChar w:fldCharType="begin"/>
            </w:r>
            <w:r w:rsidRPr="00F660F2">
              <w:rPr>
                <w:webHidden/>
              </w:rPr>
              <w:instrText xml:space="preserve"> PAGEREF _Toc214371632 \h </w:instrText>
            </w:r>
            <w:r w:rsidRPr="00F660F2">
              <w:rPr>
                <w:webHidden/>
              </w:rPr>
            </w:r>
            <w:r w:rsidRPr="00F660F2">
              <w:rPr>
                <w:webHidden/>
              </w:rPr>
              <w:fldChar w:fldCharType="separate"/>
            </w:r>
            <w:r w:rsidRPr="00F660F2">
              <w:rPr>
                <w:webHidden/>
              </w:rPr>
              <w:t>1</w:t>
            </w:r>
            <w:r w:rsidRPr="00F660F2">
              <w:rPr>
                <w:webHidden/>
              </w:rPr>
              <w:fldChar w:fldCharType="end"/>
            </w:r>
          </w:hyperlink>
        </w:p>
        <w:p w14:paraId="2444D884" w14:textId="56CD7E48" w:rsidR="0066423F" w:rsidRPr="00F660F2" w:rsidRDefault="0066423F" w:rsidP="00F660F2">
          <w:pPr>
            <w:pStyle w:val="TOC1"/>
            <w:rPr>
              <w:rFonts w:asciiTheme="minorHAnsi" w:eastAsiaTheme="minorEastAsia" w:hAnsiTheme="minorHAnsi" w:cstheme="minorBidi"/>
              <w:kern w:val="2"/>
              <w:lang w:val="en-US"/>
              <w14:ligatures w14:val="standardContextual"/>
            </w:rPr>
          </w:pPr>
          <w:hyperlink w:anchor="_Toc214371633" w:history="1">
            <w:r w:rsidRPr="00F660F2">
              <w:rPr>
                <w:rStyle w:val="Hyperlink"/>
              </w:rPr>
              <w:t>1.2 Purpose of the study</w:t>
            </w:r>
            <w:r w:rsidRPr="00F660F2">
              <w:rPr>
                <w:webHidden/>
              </w:rPr>
              <w:tab/>
            </w:r>
            <w:r w:rsidRPr="00F660F2">
              <w:rPr>
                <w:webHidden/>
              </w:rPr>
              <w:fldChar w:fldCharType="begin"/>
            </w:r>
            <w:r w:rsidRPr="00F660F2">
              <w:rPr>
                <w:webHidden/>
              </w:rPr>
              <w:instrText xml:space="preserve"> PAGEREF _Toc214371633 \h </w:instrText>
            </w:r>
            <w:r w:rsidRPr="00F660F2">
              <w:rPr>
                <w:webHidden/>
              </w:rPr>
            </w:r>
            <w:r w:rsidRPr="00F660F2">
              <w:rPr>
                <w:webHidden/>
              </w:rPr>
              <w:fldChar w:fldCharType="separate"/>
            </w:r>
            <w:r w:rsidRPr="00F660F2">
              <w:rPr>
                <w:webHidden/>
              </w:rPr>
              <w:t>3</w:t>
            </w:r>
            <w:r w:rsidRPr="00F660F2">
              <w:rPr>
                <w:webHidden/>
              </w:rPr>
              <w:fldChar w:fldCharType="end"/>
            </w:r>
          </w:hyperlink>
        </w:p>
        <w:p w14:paraId="0033063D" w14:textId="534DD956" w:rsidR="0066423F" w:rsidRPr="00F660F2" w:rsidRDefault="0066423F" w:rsidP="00F660F2">
          <w:pPr>
            <w:pStyle w:val="TOC1"/>
            <w:rPr>
              <w:rFonts w:asciiTheme="minorHAnsi" w:eastAsiaTheme="minorEastAsia" w:hAnsiTheme="minorHAnsi" w:cstheme="minorBidi"/>
              <w:kern w:val="2"/>
              <w:lang w:val="en-US"/>
              <w14:ligatures w14:val="standardContextual"/>
            </w:rPr>
          </w:pPr>
          <w:hyperlink w:anchor="_Toc214371634" w:history="1">
            <w:r w:rsidRPr="00F660F2">
              <w:rPr>
                <w:rStyle w:val="Hyperlink"/>
              </w:rPr>
              <w:t>1.3 Paradigms of the study</w:t>
            </w:r>
            <w:r w:rsidRPr="00F660F2">
              <w:rPr>
                <w:webHidden/>
              </w:rPr>
              <w:tab/>
            </w:r>
            <w:r w:rsidRPr="00F660F2">
              <w:rPr>
                <w:webHidden/>
              </w:rPr>
              <w:fldChar w:fldCharType="begin"/>
            </w:r>
            <w:r w:rsidRPr="00F660F2">
              <w:rPr>
                <w:webHidden/>
              </w:rPr>
              <w:instrText xml:space="preserve"> PAGEREF _Toc214371634 \h </w:instrText>
            </w:r>
            <w:r w:rsidRPr="00F660F2">
              <w:rPr>
                <w:webHidden/>
              </w:rPr>
            </w:r>
            <w:r w:rsidRPr="00F660F2">
              <w:rPr>
                <w:webHidden/>
              </w:rPr>
              <w:fldChar w:fldCharType="separate"/>
            </w:r>
            <w:r w:rsidRPr="00F660F2">
              <w:rPr>
                <w:webHidden/>
              </w:rPr>
              <w:t>3</w:t>
            </w:r>
            <w:r w:rsidRPr="00F660F2">
              <w:rPr>
                <w:webHidden/>
              </w:rPr>
              <w:fldChar w:fldCharType="end"/>
            </w:r>
          </w:hyperlink>
        </w:p>
        <w:p w14:paraId="4083142C" w14:textId="0DAC62BA" w:rsidR="0066423F" w:rsidRDefault="0066423F" w:rsidP="00F660F2">
          <w:pPr>
            <w:pStyle w:val="TOC1"/>
            <w:rPr>
              <w:rFonts w:asciiTheme="minorHAnsi" w:eastAsiaTheme="minorEastAsia" w:hAnsiTheme="minorHAnsi" w:cstheme="minorBidi"/>
              <w:kern w:val="2"/>
              <w:lang w:val="en-US"/>
              <w14:ligatures w14:val="standardContextual"/>
            </w:rPr>
          </w:pPr>
          <w:hyperlink w:anchor="_Toc214371635" w:history="1">
            <w:r w:rsidRPr="004E774F">
              <w:rPr>
                <w:rStyle w:val="Hyperlink"/>
                <w:b/>
                <w:bCs/>
              </w:rPr>
              <w:t>2. An overview of the global banking systems and digital transformation</w:t>
            </w:r>
            <w:r>
              <w:rPr>
                <w:webHidden/>
              </w:rPr>
              <w:tab/>
            </w:r>
            <w:r>
              <w:rPr>
                <w:webHidden/>
              </w:rPr>
              <w:fldChar w:fldCharType="begin"/>
            </w:r>
            <w:r>
              <w:rPr>
                <w:webHidden/>
              </w:rPr>
              <w:instrText xml:space="preserve"> PAGEREF _Toc214371635 \h </w:instrText>
            </w:r>
            <w:r>
              <w:rPr>
                <w:webHidden/>
              </w:rPr>
            </w:r>
            <w:r>
              <w:rPr>
                <w:webHidden/>
              </w:rPr>
              <w:fldChar w:fldCharType="separate"/>
            </w:r>
            <w:r>
              <w:rPr>
                <w:webHidden/>
              </w:rPr>
              <w:t>4</w:t>
            </w:r>
            <w:r>
              <w:rPr>
                <w:webHidden/>
              </w:rPr>
              <w:fldChar w:fldCharType="end"/>
            </w:r>
          </w:hyperlink>
        </w:p>
        <w:p w14:paraId="7FA9B6CC" w14:textId="1E4DEBA7" w:rsidR="0066423F" w:rsidRDefault="0066423F" w:rsidP="00F660F2">
          <w:pPr>
            <w:pStyle w:val="TOC1"/>
            <w:rPr>
              <w:rFonts w:asciiTheme="minorHAnsi" w:eastAsiaTheme="minorEastAsia" w:hAnsiTheme="minorHAnsi" w:cstheme="minorBidi"/>
              <w:kern w:val="2"/>
              <w:lang w:val="en-US"/>
              <w14:ligatures w14:val="standardContextual"/>
            </w:rPr>
          </w:pPr>
          <w:hyperlink w:anchor="_Toc214371636" w:history="1">
            <w:r w:rsidRPr="004E774F">
              <w:rPr>
                <w:rStyle w:val="Hyperlink"/>
                <w:b/>
                <w:bCs/>
              </w:rPr>
              <w:t>3. The evolution and impact of technological advancements on modern banking and financial systems</w:t>
            </w:r>
            <w:r>
              <w:rPr>
                <w:webHidden/>
              </w:rPr>
              <w:tab/>
            </w:r>
            <w:r>
              <w:rPr>
                <w:webHidden/>
              </w:rPr>
              <w:fldChar w:fldCharType="begin"/>
            </w:r>
            <w:r>
              <w:rPr>
                <w:webHidden/>
              </w:rPr>
              <w:instrText xml:space="preserve"> PAGEREF _Toc214371636 \h </w:instrText>
            </w:r>
            <w:r>
              <w:rPr>
                <w:webHidden/>
              </w:rPr>
            </w:r>
            <w:r>
              <w:rPr>
                <w:webHidden/>
              </w:rPr>
              <w:fldChar w:fldCharType="separate"/>
            </w:r>
            <w:r>
              <w:rPr>
                <w:webHidden/>
              </w:rPr>
              <w:t>6</w:t>
            </w:r>
            <w:r>
              <w:rPr>
                <w:webHidden/>
              </w:rPr>
              <w:fldChar w:fldCharType="end"/>
            </w:r>
          </w:hyperlink>
        </w:p>
        <w:p w14:paraId="2CD69E08" w14:textId="3B230EAE" w:rsidR="0066423F" w:rsidRPr="00F660F2" w:rsidRDefault="0066423F" w:rsidP="00F660F2">
          <w:pPr>
            <w:pStyle w:val="TOC1"/>
            <w:rPr>
              <w:rFonts w:asciiTheme="minorHAnsi" w:eastAsiaTheme="minorEastAsia" w:hAnsiTheme="minorHAnsi" w:cstheme="minorBidi"/>
              <w:kern w:val="2"/>
              <w:lang w:val="en-US"/>
              <w14:ligatures w14:val="standardContextual"/>
            </w:rPr>
          </w:pPr>
          <w:hyperlink w:anchor="_Toc214371637" w:history="1">
            <w:r w:rsidRPr="00F660F2">
              <w:rPr>
                <w:rStyle w:val="Hyperlink"/>
              </w:rPr>
              <w:t>3.1 Wave 1: As an electronic payments</w:t>
            </w:r>
            <w:r w:rsidRPr="00F660F2">
              <w:rPr>
                <w:webHidden/>
              </w:rPr>
              <w:tab/>
            </w:r>
            <w:r w:rsidRPr="00F660F2">
              <w:rPr>
                <w:webHidden/>
              </w:rPr>
              <w:fldChar w:fldCharType="begin"/>
            </w:r>
            <w:r w:rsidRPr="00F660F2">
              <w:rPr>
                <w:webHidden/>
              </w:rPr>
              <w:instrText xml:space="preserve"> PAGEREF _Toc214371637 \h </w:instrText>
            </w:r>
            <w:r w:rsidRPr="00F660F2">
              <w:rPr>
                <w:webHidden/>
              </w:rPr>
            </w:r>
            <w:r w:rsidRPr="00F660F2">
              <w:rPr>
                <w:webHidden/>
              </w:rPr>
              <w:fldChar w:fldCharType="separate"/>
            </w:r>
            <w:r w:rsidRPr="00F660F2">
              <w:rPr>
                <w:webHidden/>
              </w:rPr>
              <w:t>9</w:t>
            </w:r>
            <w:r w:rsidRPr="00F660F2">
              <w:rPr>
                <w:webHidden/>
              </w:rPr>
              <w:fldChar w:fldCharType="end"/>
            </w:r>
          </w:hyperlink>
        </w:p>
        <w:p w14:paraId="40795E5D" w14:textId="7EAD78E1" w:rsidR="0066423F" w:rsidRPr="00F660F2" w:rsidRDefault="0066423F" w:rsidP="00F660F2">
          <w:pPr>
            <w:pStyle w:val="TOC1"/>
            <w:rPr>
              <w:rFonts w:asciiTheme="minorHAnsi" w:eastAsiaTheme="minorEastAsia" w:hAnsiTheme="minorHAnsi" w:cstheme="minorBidi"/>
              <w:kern w:val="2"/>
              <w:lang w:val="en-US"/>
              <w14:ligatures w14:val="standardContextual"/>
            </w:rPr>
          </w:pPr>
          <w:hyperlink w:anchor="_Toc214371638" w:history="1">
            <w:r w:rsidRPr="00F660F2">
              <w:rPr>
                <w:rStyle w:val="Hyperlink"/>
              </w:rPr>
              <w:t>3.2 Wave 2: As a blockchain and cryptocurrency</w:t>
            </w:r>
            <w:r w:rsidRPr="00F660F2">
              <w:rPr>
                <w:webHidden/>
              </w:rPr>
              <w:tab/>
            </w:r>
            <w:r w:rsidRPr="00F660F2">
              <w:rPr>
                <w:webHidden/>
              </w:rPr>
              <w:fldChar w:fldCharType="begin"/>
            </w:r>
            <w:r w:rsidRPr="00F660F2">
              <w:rPr>
                <w:webHidden/>
              </w:rPr>
              <w:instrText xml:space="preserve"> PAGEREF _Toc214371638 \h </w:instrText>
            </w:r>
            <w:r w:rsidRPr="00F660F2">
              <w:rPr>
                <w:webHidden/>
              </w:rPr>
            </w:r>
            <w:r w:rsidRPr="00F660F2">
              <w:rPr>
                <w:webHidden/>
              </w:rPr>
              <w:fldChar w:fldCharType="separate"/>
            </w:r>
            <w:r w:rsidRPr="00F660F2">
              <w:rPr>
                <w:webHidden/>
              </w:rPr>
              <w:t>10</w:t>
            </w:r>
            <w:r w:rsidRPr="00F660F2">
              <w:rPr>
                <w:webHidden/>
              </w:rPr>
              <w:fldChar w:fldCharType="end"/>
            </w:r>
          </w:hyperlink>
        </w:p>
        <w:p w14:paraId="0B25FE3D" w14:textId="772204B2" w:rsidR="0066423F" w:rsidRPr="00F660F2" w:rsidRDefault="0066423F" w:rsidP="00F660F2">
          <w:pPr>
            <w:pStyle w:val="TOC1"/>
            <w:rPr>
              <w:rFonts w:asciiTheme="minorHAnsi" w:eastAsiaTheme="minorEastAsia" w:hAnsiTheme="minorHAnsi" w:cstheme="minorBidi"/>
              <w:kern w:val="2"/>
              <w:lang w:val="en-US"/>
              <w14:ligatures w14:val="standardContextual"/>
            </w:rPr>
          </w:pPr>
          <w:hyperlink w:anchor="_Toc214371639" w:history="1">
            <w:r w:rsidRPr="00F660F2">
              <w:rPr>
                <w:rStyle w:val="Hyperlink"/>
              </w:rPr>
              <w:t>3.3 Wave 3: As Artificial intelligence (AI)</w:t>
            </w:r>
            <w:r w:rsidRPr="00F660F2">
              <w:rPr>
                <w:webHidden/>
              </w:rPr>
              <w:tab/>
            </w:r>
            <w:r w:rsidRPr="00F660F2">
              <w:rPr>
                <w:webHidden/>
              </w:rPr>
              <w:fldChar w:fldCharType="begin"/>
            </w:r>
            <w:r w:rsidRPr="00F660F2">
              <w:rPr>
                <w:webHidden/>
              </w:rPr>
              <w:instrText xml:space="preserve"> PAGEREF _Toc214371639 \h </w:instrText>
            </w:r>
            <w:r w:rsidRPr="00F660F2">
              <w:rPr>
                <w:webHidden/>
              </w:rPr>
            </w:r>
            <w:r w:rsidRPr="00F660F2">
              <w:rPr>
                <w:webHidden/>
              </w:rPr>
              <w:fldChar w:fldCharType="separate"/>
            </w:r>
            <w:r w:rsidRPr="00F660F2">
              <w:rPr>
                <w:webHidden/>
              </w:rPr>
              <w:t>11</w:t>
            </w:r>
            <w:r w:rsidRPr="00F660F2">
              <w:rPr>
                <w:webHidden/>
              </w:rPr>
              <w:fldChar w:fldCharType="end"/>
            </w:r>
          </w:hyperlink>
        </w:p>
        <w:p w14:paraId="4B972594" w14:textId="7D502742" w:rsidR="0066423F" w:rsidRDefault="0066423F" w:rsidP="00F660F2">
          <w:pPr>
            <w:pStyle w:val="TOC1"/>
            <w:rPr>
              <w:rFonts w:asciiTheme="minorHAnsi" w:eastAsiaTheme="minorEastAsia" w:hAnsiTheme="minorHAnsi" w:cstheme="minorBidi"/>
              <w:kern w:val="2"/>
              <w:lang w:val="en-US"/>
              <w14:ligatures w14:val="standardContextual"/>
            </w:rPr>
          </w:pPr>
          <w:hyperlink w:anchor="_Toc214371640" w:history="1">
            <w:r w:rsidRPr="004E774F">
              <w:rPr>
                <w:rStyle w:val="Hyperlink"/>
                <w:b/>
                <w:bCs/>
              </w:rPr>
              <w:t>4. The transformative impact of technology advancement on organizational structures and operations in the UK banking sector</w:t>
            </w:r>
            <w:r>
              <w:rPr>
                <w:webHidden/>
              </w:rPr>
              <w:tab/>
            </w:r>
            <w:r>
              <w:rPr>
                <w:webHidden/>
              </w:rPr>
              <w:fldChar w:fldCharType="begin"/>
            </w:r>
            <w:r>
              <w:rPr>
                <w:webHidden/>
              </w:rPr>
              <w:instrText xml:space="preserve"> PAGEREF _Toc214371640 \h </w:instrText>
            </w:r>
            <w:r>
              <w:rPr>
                <w:webHidden/>
              </w:rPr>
            </w:r>
            <w:r>
              <w:rPr>
                <w:webHidden/>
              </w:rPr>
              <w:fldChar w:fldCharType="separate"/>
            </w:r>
            <w:r>
              <w:rPr>
                <w:webHidden/>
              </w:rPr>
              <w:t>11</w:t>
            </w:r>
            <w:r>
              <w:rPr>
                <w:webHidden/>
              </w:rPr>
              <w:fldChar w:fldCharType="end"/>
            </w:r>
          </w:hyperlink>
        </w:p>
        <w:p w14:paraId="00897A2F" w14:textId="02522553" w:rsidR="0066423F" w:rsidRPr="00F660F2" w:rsidRDefault="0066423F" w:rsidP="00F660F2">
          <w:pPr>
            <w:pStyle w:val="TOC1"/>
            <w:rPr>
              <w:rFonts w:asciiTheme="minorHAnsi" w:eastAsiaTheme="minorEastAsia" w:hAnsiTheme="minorHAnsi" w:cstheme="minorBidi"/>
              <w:kern w:val="2"/>
              <w:lang w:val="en-US"/>
              <w14:ligatures w14:val="standardContextual"/>
            </w:rPr>
          </w:pPr>
          <w:hyperlink w:anchor="_Toc214371641" w:history="1">
            <w:r w:rsidRPr="00F660F2">
              <w:rPr>
                <w:rStyle w:val="Hyperlink"/>
              </w:rPr>
              <w:t>4.1. Flattening hierarchies and redefining power structures through advancement of technology in UK banking</w:t>
            </w:r>
            <w:r w:rsidRPr="00F660F2">
              <w:rPr>
                <w:webHidden/>
              </w:rPr>
              <w:tab/>
            </w:r>
            <w:r w:rsidRPr="00F660F2">
              <w:rPr>
                <w:webHidden/>
              </w:rPr>
              <w:fldChar w:fldCharType="begin"/>
            </w:r>
            <w:r w:rsidRPr="00F660F2">
              <w:rPr>
                <w:webHidden/>
              </w:rPr>
              <w:instrText xml:space="preserve"> PAGEREF _Toc214371641 \h </w:instrText>
            </w:r>
            <w:r w:rsidRPr="00F660F2">
              <w:rPr>
                <w:webHidden/>
              </w:rPr>
            </w:r>
            <w:r w:rsidRPr="00F660F2">
              <w:rPr>
                <w:webHidden/>
              </w:rPr>
              <w:fldChar w:fldCharType="separate"/>
            </w:r>
            <w:r w:rsidRPr="00F660F2">
              <w:rPr>
                <w:webHidden/>
              </w:rPr>
              <w:t>12</w:t>
            </w:r>
            <w:r w:rsidRPr="00F660F2">
              <w:rPr>
                <w:webHidden/>
              </w:rPr>
              <w:fldChar w:fldCharType="end"/>
            </w:r>
          </w:hyperlink>
        </w:p>
        <w:p w14:paraId="35210144" w14:textId="3FBEE7E1" w:rsidR="0066423F" w:rsidRPr="00F660F2" w:rsidRDefault="0066423F" w:rsidP="00F660F2">
          <w:pPr>
            <w:pStyle w:val="TOC1"/>
            <w:rPr>
              <w:rFonts w:asciiTheme="minorHAnsi" w:eastAsiaTheme="minorEastAsia" w:hAnsiTheme="minorHAnsi" w:cstheme="minorBidi"/>
              <w:kern w:val="2"/>
              <w:lang w:val="en-US"/>
              <w14:ligatures w14:val="standardContextual"/>
            </w:rPr>
          </w:pPr>
          <w:hyperlink w:anchor="_Toc214371642" w:history="1">
            <w:r w:rsidRPr="00F660F2">
              <w:rPr>
                <w:rStyle w:val="Hyperlink"/>
              </w:rPr>
              <w:t>4.2 Agile structures and cross-functional integration after digital transformation in UK banking's digital transformation</w:t>
            </w:r>
            <w:r w:rsidRPr="00F660F2">
              <w:rPr>
                <w:webHidden/>
              </w:rPr>
              <w:tab/>
            </w:r>
            <w:r w:rsidRPr="00F660F2">
              <w:rPr>
                <w:webHidden/>
              </w:rPr>
              <w:fldChar w:fldCharType="begin"/>
            </w:r>
            <w:r w:rsidRPr="00F660F2">
              <w:rPr>
                <w:webHidden/>
              </w:rPr>
              <w:instrText xml:space="preserve"> PAGEREF _Toc214371642 \h </w:instrText>
            </w:r>
            <w:r w:rsidRPr="00F660F2">
              <w:rPr>
                <w:webHidden/>
              </w:rPr>
            </w:r>
            <w:r w:rsidRPr="00F660F2">
              <w:rPr>
                <w:webHidden/>
              </w:rPr>
              <w:fldChar w:fldCharType="separate"/>
            </w:r>
            <w:r w:rsidRPr="00F660F2">
              <w:rPr>
                <w:webHidden/>
              </w:rPr>
              <w:t>14</w:t>
            </w:r>
            <w:r w:rsidRPr="00F660F2">
              <w:rPr>
                <w:webHidden/>
              </w:rPr>
              <w:fldChar w:fldCharType="end"/>
            </w:r>
          </w:hyperlink>
        </w:p>
        <w:p w14:paraId="4E3A5D47" w14:textId="3CC27743" w:rsidR="0066423F" w:rsidRPr="00F660F2" w:rsidRDefault="0066423F" w:rsidP="00F660F2">
          <w:pPr>
            <w:pStyle w:val="TOC1"/>
            <w:rPr>
              <w:rFonts w:asciiTheme="minorHAnsi" w:eastAsiaTheme="minorEastAsia" w:hAnsiTheme="minorHAnsi" w:cstheme="minorBidi"/>
              <w:kern w:val="2"/>
              <w:lang w:val="en-US"/>
              <w14:ligatures w14:val="standardContextual"/>
            </w:rPr>
          </w:pPr>
          <w:hyperlink w:anchor="_Toc214371643" w:history="1">
            <w:r w:rsidRPr="00F660F2">
              <w:rPr>
                <w:rStyle w:val="Hyperlink"/>
              </w:rPr>
              <w:t>4.3 Organizational structure decentralization and client empowerment through technology advancements in UK banking</w:t>
            </w:r>
            <w:r w:rsidRPr="00F660F2">
              <w:rPr>
                <w:webHidden/>
              </w:rPr>
              <w:tab/>
            </w:r>
            <w:r w:rsidRPr="00F660F2">
              <w:rPr>
                <w:webHidden/>
              </w:rPr>
              <w:fldChar w:fldCharType="begin"/>
            </w:r>
            <w:r w:rsidRPr="00F660F2">
              <w:rPr>
                <w:webHidden/>
              </w:rPr>
              <w:instrText xml:space="preserve"> PAGEREF _Toc214371643 \h </w:instrText>
            </w:r>
            <w:r w:rsidRPr="00F660F2">
              <w:rPr>
                <w:webHidden/>
              </w:rPr>
            </w:r>
            <w:r w:rsidRPr="00F660F2">
              <w:rPr>
                <w:webHidden/>
              </w:rPr>
              <w:fldChar w:fldCharType="separate"/>
            </w:r>
            <w:r w:rsidRPr="00F660F2">
              <w:rPr>
                <w:webHidden/>
              </w:rPr>
              <w:t>15</w:t>
            </w:r>
            <w:r w:rsidRPr="00F660F2">
              <w:rPr>
                <w:webHidden/>
              </w:rPr>
              <w:fldChar w:fldCharType="end"/>
            </w:r>
          </w:hyperlink>
        </w:p>
        <w:p w14:paraId="30194E63" w14:textId="691A2A1F" w:rsidR="0066423F" w:rsidRDefault="0066423F" w:rsidP="00F660F2">
          <w:pPr>
            <w:pStyle w:val="TOC1"/>
            <w:rPr>
              <w:rFonts w:asciiTheme="minorHAnsi" w:eastAsiaTheme="minorEastAsia" w:hAnsiTheme="minorHAnsi" w:cstheme="minorBidi"/>
              <w:kern w:val="2"/>
              <w:lang w:val="en-US"/>
              <w14:ligatures w14:val="standardContextual"/>
            </w:rPr>
          </w:pPr>
          <w:hyperlink w:anchor="_Toc214371644" w:history="1">
            <w:r w:rsidRPr="004E774F">
              <w:rPr>
                <w:rStyle w:val="Hyperlink"/>
                <w:b/>
                <w:bCs/>
              </w:rPr>
              <w:t>5. Impact of technological advancement on management theories, leadership practices, and sustainable banking adoption</w:t>
            </w:r>
            <w:r>
              <w:rPr>
                <w:webHidden/>
              </w:rPr>
              <w:tab/>
            </w:r>
            <w:r>
              <w:rPr>
                <w:webHidden/>
              </w:rPr>
              <w:fldChar w:fldCharType="begin"/>
            </w:r>
            <w:r>
              <w:rPr>
                <w:webHidden/>
              </w:rPr>
              <w:instrText xml:space="preserve"> PAGEREF _Toc214371644 \h </w:instrText>
            </w:r>
            <w:r>
              <w:rPr>
                <w:webHidden/>
              </w:rPr>
            </w:r>
            <w:r>
              <w:rPr>
                <w:webHidden/>
              </w:rPr>
              <w:fldChar w:fldCharType="separate"/>
            </w:r>
            <w:r>
              <w:rPr>
                <w:webHidden/>
              </w:rPr>
              <w:t>16</w:t>
            </w:r>
            <w:r>
              <w:rPr>
                <w:webHidden/>
              </w:rPr>
              <w:fldChar w:fldCharType="end"/>
            </w:r>
          </w:hyperlink>
        </w:p>
        <w:p w14:paraId="55E1092D" w14:textId="379EBF6D" w:rsidR="0066423F" w:rsidRPr="00F660F2" w:rsidRDefault="0066423F" w:rsidP="00F660F2">
          <w:pPr>
            <w:pStyle w:val="TOC1"/>
            <w:rPr>
              <w:rFonts w:asciiTheme="minorHAnsi" w:eastAsiaTheme="minorEastAsia" w:hAnsiTheme="minorHAnsi" w:cstheme="minorBidi"/>
              <w:kern w:val="2"/>
              <w:lang w:val="en-US"/>
              <w14:ligatures w14:val="standardContextual"/>
            </w:rPr>
          </w:pPr>
          <w:hyperlink w:anchor="_Toc214371645" w:history="1">
            <w:r w:rsidRPr="00F660F2">
              <w:rPr>
                <w:rStyle w:val="Hyperlink"/>
              </w:rPr>
              <w:t>5.1 Leadership and ethical challenges after technological advancement in banking sector</w:t>
            </w:r>
            <w:r w:rsidRPr="00F660F2">
              <w:rPr>
                <w:webHidden/>
              </w:rPr>
              <w:tab/>
            </w:r>
            <w:r w:rsidRPr="00F660F2">
              <w:rPr>
                <w:webHidden/>
              </w:rPr>
              <w:fldChar w:fldCharType="begin"/>
            </w:r>
            <w:r w:rsidRPr="00F660F2">
              <w:rPr>
                <w:webHidden/>
              </w:rPr>
              <w:instrText xml:space="preserve"> PAGEREF _Toc214371645 \h </w:instrText>
            </w:r>
            <w:r w:rsidRPr="00F660F2">
              <w:rPr>
                <w:webHidden/>
              </w:rPr>
            </w:r>
            <w:r w:rsidRPr="00F660F2">
              <w:rPr>
                <w:webHidden/>
              </w:rPr>
              <w:fldChar w:fldCharType="separate"/>
            </w:r>
            <w:r w:rsidRPr="00F660F2">
              <w:rPr>
                <w:webHidden/>
              </w:rPr>
              <w:t>16</w:t>
            </w:r>
            <w:r w:rsidRPr="00F660F2">
              <w:rPr>
                <w:webHidden/>
              </w:rPr>
              <w:fldChar w:fldCharType="end"/>
            </w:r>
          </w:hyperlink>
        </w:p>
        <w:p w14:paraId="3529DBB0" w14:textId="2833718D" w:rsidR="0066423F" w:rsidRPr="00F660F2" w:rsidRDefault="0066423F" w:rsidP="00F660F2">
          <w:pPr>
            <w:pStyle w:val="TOC1"/>
            <w:rPr>
              <w:rFonts w:asciiTheme="minorHAnsi" w:eastAsiaTheme="minorEastAsia" w:hAnsiTheme="minorHAnsi" w:cstheme="minorBidi"/>
              <w:kern w:val="2"/>
              <w:lang w:val="en-US"/>
              <w14:ligatures w14:val="standardContextual"/>
            </w:rPr>
          </w:pPr>
          <w:hyperlink w:anchor="_Toc214371646" w:history="1">
            <w:r w:rsidRPr="00F660F2">
              <w:rPr>
                <w:rStyle w:val="Hyperlink"/>
              </w:rPr>
              <w:t>5.2 Improving technology literacy and responsibilities of managers in the banking sector</w:t>
            </w:r>
            <w:r w:rsidRPr="00F660F2">
              <w:rPr>
                <w:webHidden/>
              </w:rPr>
              <w:tab/>
            </w:r>
            <w:r w:rsidRPr="00F660F2">
              <w:rPr>
                <w:webHidden/>
              </w:rPr>
              <w:fldChar w:fldCharType="begin"/>
            </w:r>
            <w:r w:rsidRPr="00F660F2">
              <w:rPr>
                <w:webHidden/>
              </w:rPr>
              <w:instrText xml:space="preserve"> PAGEREF _Toc214371646 \h </w:instrText>
            </w:r>
            <w:r w:rsidRPr="00F660F2">
              <w:rPr>
                <w:webHidden/>
              </w:rPr>
            </w:r>
            <w:r w:rsidRPr="00F660F2">
              <w:rPr>
                <w:webHidden/>
              </w:rPr>
              <w:fldChar w:fldCharType="separate"/>
            </w:r>
            <w:r w:rsidRPr="00F660F2">
              <w:rPr>
                <w:webHidden/>
              </w:rPr>
              <w:t>17</w:t>
            </w:r>
            <w:r w:rsidRPr="00F660F2">
              <w:rPr>
                <w:webHidden/>
              </w:rPr>
              <w:fldChar w:fldCharType="end"/>
            </w:r>
          </w:hyperlink>
        </w:p>
        <w:p w14:paraId="21DDCEB3" w14:textId="5B29A31B" w:rsidR="0066423F" w:rsidRDefault="0066423F" w:rsidP="00F660F2">
          <w:pPr>
            <w:pStyle w:val="TOC1"/>
            <w:rPr>
              <w:rFonts w:asciiTheme="minorHAnsi" w:eastAsiaTheme="minorEastAsia" w:hAnsiTheme="minorHAnsi" w:cstheme="minorBidi"/>
              <w:kern w:val="2"/>
              <w:lang w:val="en-US"/>
              <w14:ligatures w14:val="standardContextual"/>
            </w:rPr>
          </w:pPr>
          <w:hyperlink w:anchor="_Toc214371647" w:history="1">
            <w:r w:rsidRPr="004E774F">
              <w:rPr>
                <w:rStyle w:val="Hyperlink"/>
                <w:b/>
                <w:bCs/>
              </w:rPr>
              <w:t>6. Overcoming technological advancement challenges: Evolving managerial roles, cybersecurity, and strategic technological integration in the UK banking sector</w:t>
            </w:r>
            <w:r>
              <w:rPr>
                <w:webHidden/>
              </w:rPr>
              <w:tab/>
            </w:r>
            <w:r>
              <w:rPr>
                <w:webHidden/>
              </w:rPr>
              <w:fldChar w:fldCharType="begin"/>
            </w:r>
            <w:r>
              <w:rPr>
                <w:webHidden/>
              </w:rPr>
              <w:instrText xml:space="preserve"> PAGEREF _Toc214371647 \h </w:instrText>
            </w:r>
            <w:r>
              <w:rPr>
                <w:webHidden/>
              </w:rPr>
            </w:r>
            <w:r>
              <w:rPr>
                <w:webHidden/>
              </w:rPr>
              <w:fldChar w:fldCharType="separate"/>
            </w:r>
            <w:r>
              <w:rPr>
                <w:webHidden/>
              </w:rPr>
              <w:t>19</w:t>
            </w:r>
            <w:r>
              <w:rPr>
                <w:webHidden/>
              </w:rPr>
              <w:fldChar w:fldCharType="end"/>
            </w:r>
          </w:hyperlink>
        </w:p>
        <w:p w14:paraId="554F61BF" w14:textId="60491E3C" w:rsidR="0066423F" w:rsidRPr="00F660F2" w:rsidRDefault="0066423F" w:rsidP="00F660F2">
          <w:pPr>
            <w:pStyle w:val="TOC1"/>
            <w:rPr>
              <w:rFonts w:asciiTheme="minorHAnsi" w:eastAsiaTheme="minorEastAsia" w:hAnsiTheme="minorHAnsi" w:cstheme="minorBidi"/>
              <w:kern w:val="2"/>
              <w:lang w:val="en-US"/>
              <w14:ligatures w14:val="standardContextual"/>
            </w:rPr>
          </w:pPr>
          <w:hyperlink w:anchor="_Toc214371648" w:history="1">
            <w:r w:rsidRPr="00F660F2">
              <w:rPr>
                <w:rStyle w:val="Hyperlink"/>
              </w:rPr>
              <w:t>6.1 Transforming managerial roles and theoretical foundations in the age of digital technologies</w:t>
            </w:r>
            <w:r w:rsidRPr="00F660F2">
              <w:rPr>
                <w:webHidden/>
              </w:rPr>
              <w:tab/>
            </w:r>
            <w:r w:rsidRPr="00F660F2">
              <w:rPr>
                <w:webHidden/>
              </w:rPr>
              <w:fldChar w:fldCharType="begin"/>
            </w:r>
            <w:r w:rsidRPr="00F660F2">
              <w:rPr>
                <w:webHidden/>
              </w:rPr>
              <w:instrText xml:space="preserve"> PAGEREF _Toc214371648 \h </w:instrText>
            </w:r>
            <w:r w:rsidRPr="00F660F2">
              <w:rPr>
                <w:webHidden/>
              </w:rPr>
            </w:r>
            <w:r w:rsidRPr="00F660F2">
              <w:rPr>
                <w:webHidden/>
              </w:rPr>
              <w:fldChar w:fldCharType="separate"/>
            </w:r>
            <w:r w:rsidRPr="00F660F2">
              <w:rPr>
                <w:webHidden/>
              </w:rPr>
              <w:t>20</w:t>
            </w:r>
            <w:r w:rsidRPr="00F660F2">
              <w:rPr>
                <w:webHidden/>
              </w:rPr>
              <w:fldChar w:fldCharType="end"/>
            </w:r>
          </w:hyperlink>
        </w:p>
        <w:p w14:paraId="6165C97B" w14:textId="27B7DA70" w:rsidR="0066423F" w:rsidRPr="00F660F2" w:rsidRDefault="0066423F" w:rsidP="00F660F2">
          <w:pPr>
            <w:pStyle w:val="TOC1"/>
            <w:rPr>
              <w:rFonts w:asciiTheme="minorHAnsi" w:eastAsiaTheme="minorEastAsia" w:hAnsiTheme="minorHAnsi" w:cstheme="minorBidi"/>
              <w:kern w:val="2"/>
              <w:lang w:val="en-US"/>
              <w14:ligatures w14:val="standardContextual"/>
            </w:rPr>
          </w:pPr>
          <w:hyperlink w:anchor="_Toc214371649" w:history="1">
            <w:r w:rsidRPr="00F660F2">
              <w:rPr>
                <w:rStyle w:val="Hyperlink"/>
              </w:rPr>
              <w:t>6.2 Cybersecurity and risk management in the implementation of technological advancement in UK banking</w:t>
            </w:r>
            <w:r w:rsidRPr="00F660F2">
              <w:rPr>
                <w:webHidden/>
              </w:rPr>
              <w:tab/>
            </w:r>
            <w:r w:rsidRPr="00F660F2">
              <w:rPr>
                <w:webHidden/>
              </w:rPr>
              <w:fldChar w:fldCharType="begin"/>
            </w:r>
            <w:r w:rsidRPr="00F660F2">
              <w:rPr>
                <w:webHidden/>
              </w:rPr>
              <w:instrText xml:space="preserve"> PAGEREF _Toc214371649 \h </w:instrText>
            </w:r>
            <w:r w:rsidRPr="00F660F2">
              <w:rPr>
                <w:webHidden/>
              </w:rPr>
            </w:r>
            <w:r w:rsidRPr="00F660F2">
              <w:rPr>
                <w:webHidden/>
              </w:rPr>
              <w:fldChar w:fldCharType="separate"/>
            </w:r>
            <w:r w:rsidRPr="00F660F2">
              <w:rPr>
                <w:webHidden/>
              </w:rPr>
              <w:t>21</w:t>
            </w:r>
            <w:r w:rsidRPr="00F660F2">
              <w:rPr>
                <w:webHidden/>
              </w:rPr>
              <w:fldChar w:fldCharType="end"/>
            </w:r>
          </w:hyperlink>
        </w:p>
        <w:p w14:paraId="18EF5F82" w14:textId="6B349C9C" w:rsidR="0066423F" w:rsidRPr="00F660F2" w:rsidRDefault="0066423F" w:rsidP="00F660F2">
          <w:pPr>
            <w:pStyle w:val="TOC1"/>
            <w:rPr>
              <w:rFonts w:asciiTheme="minorHAnsi" w:eastAsiaTheme="minorEastAsia" w:hAnsiTheme="minorHAnsi" w:cstheme="minorBidi"/>
              <w:kern w:val="2"/>
              <w:lang w:val="en-US"/>
              <w14:ligatures w14:val="standardContextual"/>
            </w:rPr>
          </w:pPr>
          <w:hyperlink w:anchor="_Toc214371650" w:history="1">
            <w:r w:rsidRPr="00F660F2">
              <w:rPr>
                <w:rStyle w:val="Hyperlink"/>
              </w:rPr>
              <w:t>6.3 Strategic integration of digital technologies for sustainable competitive advantage in banking</w:t>
            </w:r>
            <w:r w:rsidRPr="00F660F2">
              <w:rPr>
                <w:webHidden/>
              </w:rPr>
              <w:tab/>
            </w:r>
            <w:r w:rsidRPr="00F660F2">
              <w:rPr>
                <w:webHidden/>
              </w:rPr>
              <w:fldChar w:fldCharType="begin"/>
            </w:r>
            <w:r w:rsidRPr="00F660F2">
              <w:rPr>
                <w:webHidden/>
              </w:rPr>
              <w:instrText xml:space="preserve"> PAGEREF _Toc214371650 \h </w:instrText>
            </w:r>
            <w:r w:rsidRPr="00F660F2">
              <w:rPr>
                <w:webHidden/>
              </w:rPr>
            </w:r>
            <w:r w:rsidRPr="00F660F2">
              <w:rPr>
                <w:webHidden/>
              </w:rPr>
              <w:fldChar w:fldCharType="separate"/>
            </w:r>
            <w:r w:rsidRPr="00F660F2">
              <w:rPr>
                <w:webHidden/>
              </w:rPr>
              <w:t>21</w:t>
            </w:r>
            <w:r w:rsidRPr="00F660F2">
              <w:rPr>
                <w:webHidden/>
              </w:rPr>
              <w:fldChar w:fldCharType="end"/>
            </w:r>
          </w:hyperlink>
        </w:p>
        <w:p w14:paraId="322FC051" w14:textId="446207A8" w:rsidR="0066423F" w:rsidRPr="00F660F2" w:rsidRDefault="0066423F" w:rsidP="00F660F2">
          <w:pPr>
            <w:pStyle w:val="TOC1"/>
            <w:rPr>
              <w:rFonts w:asciiTheme="minorHAnsi" w:eastAsiaTheme="minorEastAsia" w:hAnsiTheme="minorHAnsi" w:cstheme="minorBidi"/>
              <w:kern w:val="2"/>
              <w:lang w:val="en-US"/>
              <w14:ligatures w14:val="standardContextual"/>
            </w:rPr>
          </w:pPr>
          <w:hyperlink w:anchor="_Toc214371651" w:history="1">
            <w:r w:rsidRPr="00F660F2">
              <w:rPr>
                <w:rStyle w:val="Hyperlink"/>
              </w:rPr>
              <w:t>6.4 Balancing strategic gains and implementation costs of technological advancement in the banking sector</w:t>
            </w:r>
            <w:r w:rsidRPr="00F660F2">
              <w:rPr>
                <w:webHidden/>
              </w:rPr>
              <w:tab/>
            </w:r>
            <w:r w:rsidRPr="00F660F2">
              <w:rPr>
                <w:webHidden/>
              </w:rPr>
              <w:fldChar w:fldCharType="begin"/>
            </w:r>
            <w:r w:rsidRPr="00F660F2">
              <w:rPr>
                <w:webHidden/>
              </w:rPr>
              <w:instrText xml:space="preserve"> PAGEREF _Toc214371651 \h </w:instrText>
            </w:r>
            <w:r w:rsidRPr="00F660F2">
              <w:rPr>
                <w:webHidden/>
              </w:rPr>
            </w:r>
            <w:r w:rsidRPr="00F660F2">
              <w:rPr>
                <w:webHidden/>
              </w:rPr>
              <w:fldChar w:fldCharType="separate"/>
            </w:r>
            <w:r w:rsidRPr="00F660F2">
              <w:rPr>
                <w:webHidden/>
              </w:rPr>
              <w:t>22</w:t>
            </w:r>
            <w:r w:rsidRPr="00F660F2">
              <w:rPr>
                <w:webHidden/>
              </w:rPr>
              <w:fldChar w:fldCharType="end"/>
            </w:r>
          </w:hyperlink>
        </w:p>
        <w:p w14:paraId="6CF19ED7" w14:textId="6783387B" w:rsidR="0066423F" w:rsidRDefault="0066423F" w:rsidP="00F660F2">
          <w:pPr>
            <w:pStyle w:val="TOC1"/>
            <w:rPr>
              <w:rFonts w:asciiTheme="minorHAnsi" w:eastAsiaTheme="minorEastAsia" w:hAnsiTheme="minorHAnsi" w:cstheme="minorBidi"/>
              <w:kern w:val="2"/>
              <w:lang w:val="en-US"/>
              <w14:ligatures w14:val="standardContextual"/>
            </w:rPr>
          </w:pPr>
          <w:hyperlink w:anchor="_Toc214371652" w:history="1">
            <w:r w:rsidRPr="004E774F">
              <w:rPr>
                <w:rStyle w:val="Hyperlink"/>
                <w:b/>
                <w:bCs/>
              </w:rPr>
              <w:t>7. Conclusion and Recommendations</w:t>
            </w:r>
            <w:r>
              <w:rPr>
                <w:webHidden/>
              </w:rPr>
              <w:tab/>
            </w:r>
            <w:r>
              <w:rPr>
                <w:webHidden/>
              </w:rPr>
              <w:fldChar w:fldCharType="begin"/>
            </w:r>
            <w:r>
              <w:rPr>
                <w:webHidden/>
              </w:rPr>
              <w:instrText xml:space="preserve"> PAGEREF _Toc214371652 \h </w:instrText>
            </w:r>
            <w:r>
              <w:rPr>
                <w:webHidden/>
              </w:rPr>
            </w:r>
            <w:r>
              <w:rPr>
                <w:webHidden/>
              </w:rPr>
              <w:fldChar w:fldCharType="separate"/>
            </w:r>
            <w:r>
              <w:rPr>
                <w:webHidden/>
              </w:rPr>
              <w:t>22</w:t>
            </w:r>
            <w:r>
              <w:rPr>
                <w:webHidden/>
              </w:rPr>
              <w:fldChar w:fldCharType="end"/>
            </w:r>
          </w:hyperlink>
        </w:p>
        <w:p w14:paraId="0C679FE2" w14:textId="0C97D7CC" w:rsidR="0066423F" w:rsidRPr="00F660F2" w:rsidRDefault="0066423F" w:rsidP="00F660F2">
          <w:pPr>
            <w:pStyle w:val="TOC1"/>
            <w:rPr>
              <w:rFonts w:asciiTheme="minorHAnsi" w:eastAsiaTheme="minorEastAsia" w:hAnsiTheme="minorHAnsi" w:cstheme="minorBidi"/>
              <w:kern w:val="2"/>
              <w:lang w:val="en-US"/>
              <w14:ligatures w14:val="standardContextual"/>
            </w:rPr>
          </w:pPr>
          <w:hyperlink w:anchor="_Toc214371653" w:history="1">
            <w:r w:rsidRPr="00F660F2">
              <w:rPr>
                <w:rStyle w:val="Hyperlink"/>
              </w:rPr>
              <w:t>7.1. Conclusion</w:t>
            </w:r>
            <w:r w:rsidRPr="00F660F2">
              <w:rPr>
                <w:webHidden/>
              </w:rPr>
              <w:tab/>
            </w:r>
            <w:r w:rsidRPr="00F660F2">
              <w:rPr>
                <w:webHidden/>
              </w:rPr>
              <w:fldChar w:fldCharType="begin"/>
            </w:r>
            <w:r w:rsidRPr="00F660F2">
              <w:rPr>
                <w:webHidden/>
              </w:rPr>
              <w:instrText xml:space="preserve"> PAGEREF _Toc214371653 \h </w:instrText>
            </w:r>
            <w:r w:rsidRPr="00F660F2">
              <w:rPr>
                <w:webHidden/>
              </w:rPr>
            </w:r>
            <w:r w:rsidRPr="00F660F2">
              <w:rPr>
                <w:webHidden/>
              </w:rPr>
              <w:fldChar w:fldCharType="separate"/>
            </w:r>
            <w:r w:rsidRPr="00F660F2">
              <w:rPr>
                <w:webHidden/>
              </w:rPr>
              <w:t>22</w:t>
            </w:r>
            <w:r w:rsidRPr="00F660F2">
              <w:rPr>
                <w:webHidden/>
              </w:rPr>
              <w:fldChar w:fldCharType="end"/>
            </w:r>
          </w:hyperlink>
        </w:p>
        <w:p w14:paraId="7E6D6BA7" w14:textId="4DDDD736" w:rsidR="0066423F" w:rsidRPr="00F660F2" w:rsidRDefault="0066423F" w:rsidP="00F660F2">
          <w:pPr>
            <w:pStyle w:val="TOC1"/>
            <w:rPr>
              <w:rFonts w:asciiTheme="minorHAnsi" w:eastAsiaTheme="minorEastAsia" w:hAnsiTheme="minorHAnsi" w:cstheme="minorBidi"/>
              <w:kern w:val="2"/>
              <w:lang w:val="en-US"/>
              <w14:ligatures w14:val="standardContextual"/>
            </w:rPr>
          </w:pPr>
          <w:hyperlink w:anchor="_Toc214371654" w:history="1">
            <w:r w:rsidRPr="00F660F2">
              <w:rPr>
                <w:rStyle w:val="Hyperlink"/>
              </w:rPr>
              <w:t>7.2 Recommendation</w:t>
            </w:r>
            <w:r w:rsidRPr="00F660F2">
              <w:rPr>
                <w:webHidden/>
              </w:rPr>
              <w:tab/>
            </w:r>
            <w:r w:rsidRPr="00F660F2">
              <w:rPr>
                <w:webHidden/>
              </w:rPr>
              <w:fldChar w:fldCharType="begin"/>
            </w:r>
            <w:r w:rsidRPr="00F660F2">
              <w:rPr>
                <w:webHidden/>
              </w:rPr>
              <w:instrText xml:space="preserve"> PAGEREF _Toc214371654 \h </w:instrText>
            </w:r>
            <w:r w:rsidRPr="00F660F2">
              <w:rPr>
                <w:webHidden/>
              </w:rPr>
            </w:r>
            <w:r w:rsidRPr="00F660F2">
              <w:rPr>
                <w:webHidden/>
              </w:rPr>
              <w:fldChar w:fldCharType="separate"/>
            </w:r>
            <w:r w:rsidRPr="00F660F2">
              <w:rPr>
                <w:webHidden/>
              </w:rPr>
              <w:t>23</w:t>
            </w:r>
            <w:r w:rsidRPr="00F660F2">
              <w:rPr>
                <w:webHidden/>
              </w:rPr>
              <w:fldChar w:fldCharType="end"/>
            </w:r>
          </w:hyperlink>
        </w:p>
        <w:p w14:paraId="46C7DB9B" w14:textId="64C70F60" w:rsidR="0066423F" w:rsidRDefault="0066423F" w:rsidP="00F660F2">
          <w:pPr>
            <w:pStyle w:val="TOC1"/>
            <w:rPr>
              <w:rFonts w:asciiTheme="minorHAnsi" w:eastAsiaTheme="minorEastAsia" w:hAnsiTheme="minorHAnsi" w:cstheme="minorBidi"/>
              <w:kern w:val="2"/>
              <w:lang w:val="en-US"/>
              <w14:ligatures w14:val="standardContextual"/>
            </w:rPr>
          </w:pPr>
          <w:hyperlink w:anchor="_Toc214371655" w:history="1">
            <w:r w:rsidRPr="004E774F">
              <w:rPr>
                <w:rStyle w:val="Hyperlink"/>
                <w:b/>
                <w:bCs/>
              </w:rPr>
              <w:t>References</w:t>
            </w:r>
            <w:r>
              <w:rPr>
                <w:webHidden/>
              </w:rPr>
              <w:tab/>
            </w:r>
            <w:r>
              <w:rPr>
                <w:webHidden/>
              </w:rPr>
              <w:fldChar w:fldCharType="begin"/>
            </w:r>
            <w:r>
              <w:rPr>
                <w:webHidden/>
              </w:rPr>
              <w:instrText xml:space="preserve"> PAGEREF _Toc214371655 \h </w:instrText>
            </w:r>
            <w:r>
              <w:rPr>
                <w:webHidden/>
              </w:rPr>
            </w:r>
            <w:r>
              <w:rPr>
                <w:webHidden/>
              </w:rPr>
              <w:fldChar w:fldCharType="separate"/>
            </w:r>
            <w:r>
              <w:rPr>
                <w:webHidden/>
              </w:rPr>
              <w:t>25</w:t>
            </w:r>
            <w:r>
              <w:rPr>
                <w:webHidden/>
              </w:rPr>
              <w:fldChar w:fldCharType="end"/>
            </w:r>
          </w:hyperlink>
        </w:p>
        <w:p w14:paraId="4CFC6AB3" w14:textId="7C409F8C" w:rsidR="0094685B" w:rsidRPr="0021669F" w:rsidRDefault="00000000">
          <w:pPr>
            <w:rPr>
              <w:rFonts w:ascii="Times New Roman" w:eastAsia="Times New Roman" w:hAnsi="Times New Roman" w:cs="Times New Roman"/>
            </w:rPr>
          </w:pPr>
          <w:r w:rsidRPr="0021669F">
            <w:fldChar w:fldCharType="end"/>
          </w:r>
        </w:p>
      </w:sdtContent>
    </w:sdt>
    <w:p w14:paraId="0A964054" w14:textId="77777777" w:rsidR="0094685B" w:rsidRPr="0021669F" w:rsidRDefault="0094685B">
      <w:pPr>
        <w:spacing w:after="0" w:line="360" w:lineRule="auto"/>
        <w:jc w:val="both"/>
        <w:rPr>
          <w:rFonts w:ascii="Times New Roman" w:eastAsia="Times New Roman" w:hAnsi="Times New Roman" w:cs="Times New Roman"/>
        </w:rPr>
      </w:pPr>
    </w:p>
    <w:p w14:paraId="412E8E30" w14:textId="77777777" w:rsidR="0094685B" w:rsidRPr="0021669F" w:rsidRDefault="0094685B">
      <w:pPr>
        <w:spacing w:after="0" w:line="360" w:lineRule="auto"/>
        <w:jc w:val="both"/>
        <w:rPr>
          <w:rFonts w:ascii="Times New Roman" w:eastAsia="Times New Roman" w:hAnsi="Times New Roman" w:cs="Times New Roman"/>
        </w:rPr>
      </w:pPr>
    </w:p>
    <w:p w14:paraId="32119FB4" w14:textId="77777777" w:rsidR="0094685B" w:rsidRPr="0021669F" w:rsidRDefault="0094685B">
      <w:pPr>
        <w:spacing w:after="0" w:line="360" w:lineRule="auto"/>
        <w:jc w:val="both"/>
        <w:rPr>
          <w:rFonts w:ascii="Times New Roman" w:eastAsia="Times New Roman" w:hAnsi="Times New Roman" w:cs="Times New Roman"/>
        </w:rPr>
      </w:pPr>
    </w:p>
    <w:p w14:paraId="6928952E" w14:textId="77777777" w:rsidR="0094685B" w:rsidRPr="0021669F" w:rsidRDefault="0094685B">
      <w:pPr>
        <w:spacing w:after="0" w:line="360" w:lineRule="auto"/>
        <w:jc w:val="both"/>
        <w:rPr>
          <w:rFonts w:ascii="Times New Roman" w:eastAsia="Times New Roman" w:hAnsi="Times New Roman" w:cs="Times New Roman"/>
        </w:rPr>
      </w:pPr>
    </w:p>
    <w:p w14:paraId="54EFE8EA" w14:textId="77777777" w:rsidR="0094685B" w:rsidRPr="0021669F" w:rsidRDefault="0094685B">
      <w:pPr>
        <w:spacing w:after="0" w:line="360" w:lineRule="auto"/>
        <w:jc w:val="both"/>
        <w:rPr>
          <w:rFonts w:ascii="Times New Roman" w:eastAsia="Times New Roman" w:hAnsi="Times New Roman" w:cs="Times New Roman"/>
        </w:rPr>
      </w:pPr>
    </w:p>
    <w:p w14:paraId="12C745BB" w14:textId="77777777" w:rsidR="0094685B" w:rsidRPr="0021669F" w:rsidRDefault="0094685B">
      <w:pPr>
        <w:spacing w:after="0" w:line="360" w:lineRule="auto"/>
        <w:jc w:val="both"/>
        <w:rPr>
          <w:rFonts w:ascii="Times New Roman" w:eastAsia="Times New Roman" w:hAnsi="Times New Roman" w:cs="Times New Roman"/>
        </w:rPr>
      </w:pPr>
    </w:p>
    <w:p w14:paraId="01CADFEB" w14:textId="77777777" w:rsidR="0094685B" w:rsidRPr="0021669F" w:rsidRDefault="0094685B">
      <w:pPr>
        <w:spacing w:after="0" w:line="360" w:lineRule="auto"/>
        <w:jc w:val="both"/>
        <w:rPr>
          <w:rFonts w:ascii="Times New Roman" w:eastAsia="Times New Roman" w:hAnsi="Times New Roman" w:cs="Times New Roman"/>
        </w:rPr>
      </w:pPr>
    </w:p>
    <w:p w14:paraId="5EFCEAB3" w14:textId="77777777" w:rsidR="0094685B" w:rsidRDefault="0094685B">
      <w:pPr>
        <w:spacing w:after="0" w:line="360" w:lineRule="auto"/>
        <w:jc w:val="both"/>
        <w:rPr>
          <w:rFonts w:ascii="Times New Roman" w:eastAsia="Times New Roman" w:hAnsi="Times New Roman" w:cs="Times New Roman"/>
        </w:rPr>
      </w:pPr>
    </w:p>
    <w:p w14:paraId="27C4B4F1" w14:textId="77777777" w:rsidR="0094685B" w:rsidRDefault="0094685B">
      <w:pPr>
        <w:spacing w:after="0" w:line="360" w:lineRule="auto"/>
        <w:jc w:val="both"/>
        <w:rPr>
          <w:rFonts w:ascii="Times New Roman" w:eastAsia="Times New Roman" w:hAnsi="Times New Roman" w:cs="Times New Roman"/>
        </w:rPr>
      </w:pPr>
    </w:p>
    <w:p w14:paraId="405E38D9" w14:textId="77777777" w:rsidR="0094685B" w:rsidRDefault="0094685B">
      <w:pPr>
        <w:spacing w:after="0" w:line="360" w:lineRule="auto"/>
        <w:jc w:val="both"/>
        <w:rPr>
          <w:rFonts w:ascii="Times New Roman" w:eastAsia="Times New Roman" w:hAnsi="Times New Roman" w:cs="Times New Roman"/>
        </w:rPr>
      </w:pPr>
    </w:p>
    <w:p w14:paraId="79B7B89E" w14:textId="77777777" w:rsidR="0094685B" w:rsidRDefault="0094685B">
      <w:pPr>
        <w:spacing w:after="0" w:line="360" w:lineRule="auto"/>
        <w:jc w:val="both"/>
        <w:rPr>
          <w:rFonts w:ascii="Times New Roman" w:eastAsia="Times New Roman" w:hAnsi="Times New Roman" w:cs="Times New Roman"/>
        </w:rPr>
      </w:pPr>
    </w:p>
    <w:p w14:paraId="183272CC" w14:textId="77777777" w:rsidR="0094685B" w:rsidRDefault="0094685B">
      <w:pPr>
        <w:spacing w:after="0" w:line="360" w:lineRule="auto"/>
        <w:jc w:val="both"/>
        <w:rPr>
          <w:rFonts w:ascii="Times New Roman" w:eastAsia="Times New Roman" w:hAnsi="Times New Roman" w:cs="Times New Roman"/>
        </w:rPr>
      </w:pPr>
    </w:p>
    <w:p w14:paraId="626AB713" w14:textId="77777777" w:rsidR="0094685B" w:rsidRDefault="0094685B">
      <w:pPr>
        <w:spacing w:after="0" w:line="360" w:lineRule="auto"/>
        <w:jc w:val="both"/>
        <w:rPr>
          <w:rFonts w:ascii="Times New Roman" w:eastAsia="Times New Roman" w:hAnsi="Times New Roman" w:cs="Times New Roman"/>
        </w:rPr>
      </w:pPr>
    </w:p>
    <w:p w14:paraId="32FE523C" w14:textId="77777777" w:rsidR="0094685B" w:rsidRDefault="0094685B">
      <w:pPr>
        <w:spacing w:after="0" w:line="360" w:lineRule="auto"/>
        <w:jc w:val="both"/>
        <w:rPr>
          <w:rFonts w:ascii="Times New Roman" w:eastAsia="Times New Roman" w:hAnsi="Times New Roman" w:cs="Times New Roman"/>
        </w:rPr>
      </w:pPr>
    </w:p>
    <w:p w14:paraId="61A584B6" w14:textId="77777777" w:rsidR="0094685B" w:rsidRDefault="0094685B">
      <w:pPr>
        <w:spacing w:after="0" w:line="360" w:lineRule="auto"/>
        <w:jc w:val="both"/>
        <w:rPr>
          <w:rFonts w:ascii="Times New Roman" w:eastAsia="Times New Roman" w:hAnsi="Times New Roman" w:cs="Times New Roman"/>
        </w:rPr>
      </w:pPr>
    </w:p>
    <w:p w14:paraId="25E12DCF" w14:textId="77777777" w:rsidR="0094685B" w:rsidRDefault="0094685B">
      <w:pPr>
        <w:spacing w:after="0" w:line="360" w:lineRule="auto"/>
        <w:jc w:val="both"/>
        <w:rPr>
          <w:rFonts w:ascii="Times New Roman" w:eastAsia="Times New Roman" w:hAnsi="Times New Roman" w:cs="Times New Roman"/>
        </w:rPr>
      </w:pPr>
    </w:p>
    <w:p w14:paraId="4AA7230F" w14:textId="77777777" w:rsidR="0094685B" w:rsidRDefault="0094685B">
      <w:pPr>
        <w:spacing w:after="0" w:line="360" w:lineRule="auto"/>
        <w:jc w:val="both"/>
        <w:rPr>
          <w:rFonts w:ascii="Times New Roman" w:eastAsia="Times New Roman" w:hAnsi="Times New Roman" w:cs="Times New Roman"/>
        </w:rPr>
      </w:pPr>
    </w:p>
    <w:p w14:paraId="08F8CD85" w14:textId="77777777" w:rsidR="0094685B" w:rsidRDefault="0094685B">
      <w:pPr>
        <w:spacing w:after="0" w:line="360" w:lineRule="auto"/>
        <w:jc w:val="both"/>
        <w:rPr>
          <w:rFonts w:ascii="Times New Roman" w:eastAsia="Times New Roman" w:hAnsi="Times New Roman" w:cs="Times New Roman"/>
        </w:rPr>
      </w:pPr>
    </w:p>
    <w:p w14:paraId="4BF11D57" w14:textId="77777777" w:rsidR="0094685B" w:rsidRDefault="0094685B">
      <w:pPr>
        <w:spacing w:after="0" w:line="360" w:lineRule="auto"/>
        <w:jc w:val="both"/>
        <w:rPr>
          <w:rFonts w:ascii="Times New Roman" w:eastAsia="Times New Roman" w:hAnsi="Times New Roman" w:cs="Times New Roman"/>
        </w:rPr>
      </w:pPr>
    </w:p>
    <w:p w14:paraId="7BFF6B04" w14:textId="77777777" w:rsidR="0094685B" w:rsidRDefault="0094685B">
      <w:pPr>
        <w:spacing w:after="0" w:line="360" w:lineRule="auto"/>
        <w:jc w:val="both"/>
        <w:rPr>
          <w:rFonts w:ascii="Times New Roman" w:eastAsia="Times New Roman" w:hAnsi="Times New Roman" w:cs="Times New Roman"/>
        </w:rPr>
      </w:pPr>
    </w:p>
    <w:p w14:paraId="10B9858C" w14:textId="77777777" w:rsidR="0094685B" w:rsidRDefault="0094685B">
      <w:pPr>
        <w:spacing w:after="0" w:line="360" w:lineRule="auto"/>
        <w:jc w:val="both"/>
        <w:rPr>
          <w:rFonts w:ascii="Times New Roman" w:eastAsia="Times New Roman" w:hAnsi="Times New Roman" w:cs="Times New Roman"/>
        </w:rPr>
      </w:pPr>
    </w:p>
    <w:p w14:paraId="38450089" w14:textId="77777777" w:rsidR="0094685B" w:rsidRDefault="0094685B">
      <w:pPr>
        <w:spacing w:after="0" w:line="360" w:lineRule="auto"/>
        <w:jc w:val="both"/>
        <w:rPr>
          <w:rFonts w:ascii="Times New Roman" w:eastAsia="Times New Roman" w:hAnsi="Times New Roman" w:cs="Times New Roman"/>
        </w:rPr>
      </w:pPr>
    </w:p>
    <w:p w14:paraId="4A3255D8" w14:textId="77777777" w:rsidR="0094685B" w:rsidRDefault="0094685B">
      <w:pPr>
        <w:spacing w:after="0" w:line="360" w:lineRule="auto"/>
        <w:jc w:val="both"/>
        <w:rPr>
          <w:rFonts w:ascii="Times New Roman" w:eastAsia="Times New Roman" w:hAnsi="Times New Roman" w:cs="Times New Roman"/>
        </w:rPr>
      </w:pPr>
    </w:p>
    <w:p w14:paraId="081423A7" w14:textId="77777777" w:rsidR="0094685B" w:rsidRDefault="0094685B">
      <w:pPr>
        <w:spacing w:after="0" w:line="360" w:lineRule="auto"/>
        <w:jc w:val="both"/>
        <w:rPr>
          <w:rFonts w:ascii="Times New Roman" w:eastAsia="Times New Roman" w:hAnsi="Times New Roman" w:cs="Times New Roman"/>
        </w:rPr>
      </w:pPr>
    </w:p>
    <w:p w14:paraId="0997AE21" w14:textId="77777777" w:rsidR="0094685B" w:rsidRDefault="00000000">
      <w:pPr>
        <w:spacing w:after="0" w:line="360" w:lineRule="auto"/>
        <w:jc w:val="both"/>
        <w:rPr>
          <w:rFonts w:ascii="Times New Roman" w:eastAsia="Times New Roman" w:hAnsi="Times New Roman" w:cs="Times New Roman"/>
          <w:b/>
          <w:bCs/>
        </w:rPr>
      </w:pPr>
      <w:r>
        <w:rPr>
          <w:rFonts w:ascii="Times New Roman" w:eastAsia="Times New Roman" w:hAnsi="Times New Roman" w:cs="Times New Roman"/>
          <w:b/>
          <w:bCs/>
        </w:rPr>
        <w:lastRenderedPageBreak/>
        <w:t>List of Figures</w:t>
      </w:r>
    </w:p>
    <w:sdt>
      <w:sdtPr>
        <w:id w:val="-1304670980"/>
        <w:docPartObj>
          <w:docPartGallery w:val="Table of Contents"/>
          <w:docPartUnique/>
        </w:docPartObj>
      </w:sdtPr>
      <w:sdtContent>
        <w:p w14:paraId="1AFFDA1E" w14:textId="77777777" w:rsidR="0094685B" w:rsidRDefault="00000000">
          <w:pPr>
            <w:pBdr>
              <w:top w:val="nil"/>
              <w:left w:val="nil"/>
              <w:bottom w:val="nil"/>
              <w:right w:val="nil"/>
              <w:between w:val="nil"/>
            </w:pBdr>
            <w:tabs>
              <w:tab w:val="right" w:pos="9350"/>
            </w:tabs>
            <w:spacing w:after="0" w:line="360" w:lineRule="auto"/>
            <w:rPr>
              <w:color w:val="000000"/>
            </w:rPr>
          </w:pPr>
          <w:r>
            <w:fldChar w:fldCharType="begin"/>
          </w:r>
          <w:r>
            <w:instrText xml:space="preserve"> TOC \h \u \z \t "Heading 1,1,Heading 2,2,Heading 3,3,Heading 4,4,Heading 5,5,Heading 6,6,"</w:instrText>
          </w:r>
          <w:r>
            <w:fldChar w:fldCharType="separate"/>
          </w:r>
          <w:hyperlink w:anchor="_heading=h.axy5pdwmxoum">
            <w:r w:rsidR="0094685B">
              <w:rPr>
                <w:rFonts w:ascii="Times New Roman" w:eastAsia="Times New Roman" w:hAnsi="Times New Roman" w:cs="Times New Roman"/>
                <w:color w:val="000000"/>
              </w:rPr>
              <w:t>Figure 1: Venture Capital Investment (£M) by European Country in Technology.</w:t>
            </w:r>
          </w:hyperlink>
          <w:hyperlink w:anchor="_heading=h.axy5pdwmxoum">
            <w:r w:rsidR="0094685B">
              <w:rPr>
                <w:color w:val="000000"/>
              </w:rPr>
              <w:tab/>
              <w:t>5</w:t>
            </w:r>
          </w:hyperlink>
        </w:p>
        <w:p w14:paraId="645F783A" w14:textId="77777777" w:rsidR="0094685B" w:rsidRDefault="0094685B">
          <w:pPr>
            <w:pBdr>
              <w:top w:val="nil"/>
              <w:left w:val="nil"/>
              <w:bottom w:val="nil"/>
              <w:right w:val="nil"/>
              <w:between w:val="nil"/>
            </w:pBdr>
            <w:tabs>
              <w:tab w:val="right" w:pos="9350"/>
            </w:tabs>
            <w:spacing w:after="0" w:line="360" w:lineRule="auto"/>
            <w:rPr>
              <w:color w:val="000000"/>
            </w:rPr>
          </w:pPr>
          <w:hyperlink w:anchor="_heading=h.mutqfca4b9by">
            <w:r>
              <w:rPr>
                <w:rFonts w:ascii="Times New Roman" w:eastAsia="Times New Roman" w:hAnsi="Times New Roman" w:cs="Times New Roman"/>
                <w:color w:val="000000"/>
              </w:rPr>
              <w:t>Figure 2: Total transaction value in the digital payments market from 2018 to 2030.</w:t>
            </w:r>
          </w:hyperlink>
          <w:hyperlink w:anchor="_heading=h.mutqfca4b9by">
            <w:r>
              <w:rPr>
                <w:color w:val="000000"/>
              </w:rPr>
              <w:tab/>
              <w:t>9</w:t>
            </w:r>
          </w:hyperlink>
        </w:p>
        <w:p w14:paraId="3D944647" w14:textId="77777777" w:rsidR="0094685B" w:rsidRDefault="0094685B">
          <w:pPr>
            <w:pBdr>
              <w:top w:val="nil"/>
              <w:left w:val="nil"/>
              <w:bottom w:val="nil"/>
              <w:right w:val="nil"/>
              <w:between w:val="nil"/>
            </w:pBdr>
            <w:tabs>
              <w:tab w:val="right" w:pos="9350"/>
            </w:tabs>
            <w:spacing w:after="0" w:line="360" w:lineRule="auto"/>
            <w:rPr>
              <w:color w:val="000000"/>
            </w:rPr>
          </w:pPr>
          <w:hyperlink w:anchor="_heading=h.e62se2sfr5fr">
            <w:r>
              <w:rPr>
                <w:rFonts w:ascii="Times New Roman" w:eastAsia="Times New Roman" w:hAnsi="Times New Roman" w:cs="Times New Roman"/>
                <w:color w:val="000000"/>
              </w:rPr>
              <w:t>Figure 3: The Evolution of the Crypto Economy from 2014 to 2022.</w:t>
            </w:r>
          </w:hyperlink>
          <w:hyperlink w:anchor="_heading=h.e62se2sfr5fr">
            <w:r>
              <w:rPr>
                <w:color w:val="000000"/>
              </w:rPr>
              <w:tab/>
              <w:t>10</w:t>
            </w:r>
          </w:hyperlink>
        </w:p>
        <w:p w14:paraId="7C58D945" w14:textId="77777777" w:rsidR="0094685B" w:rsidRDefault="0094685B">
          <w:pPr>
            <w:pBdr>
              <w:top w:val="nil"/>
              <w:left w:val="nil"/>
              <w:bottom w:val="nil"/>
              <w:right w:val="nil"/>
              <w:between w:val="nil"/>
            </w:pBdr>
            <w:tabs>
              <w:tab w:val="right" w:pos="9350"/>
            </w:tabs>
            <w:spacing w:after="0" w:line="360" w:lineRule="auto"/>
            <w:rPr>
              <w:color w:val="000000"/>
            </w:rPr>
          </w:pPr>
          <w:hyperlink w:anchor="_heading=h.s7tu4dj08zto">
            <w:r>
              <w:rPr>
                <w:rFonts w:ascii="Times New Roman" w:eastAsia="Times New Roman" w:hAnsi="Times New Roman" w:cs="Times New Roman"/>
                <w:color w:val="000000"/>
              </w:rPr>
              <w:t>Figure 4: Number of branches at selected large banks in the UK 2017-2024.</w:t>
            </w:r>
          </w:hyperlink>
          <w:hyperlink w:anchor="_heading=h.s7tu4dj08zto">
            <w:r>
              <w:rPr>
                <w:color w:val="000000"/>
              </w:rPr>
              <w:tab/>
              <w:t>12</w:t>
            </w:r>
          </w:hyperlink>
        </w:p>
        <w:p w14:paraId="77943735" w14:textId="77777777" w:rsidR="0094685B" w:rsidRDefault="00000000">
          <w:pPr>
            <w:spacing w:after="0" w:line="360" w:lineRule="auto"/>
            <w:jc w:val="both"/>
            <w:rPr>
              <w:rFonts w:ascii="Times New Roman" w:eastAsia="Times New Roman" w:hAnsi="Times New Roman" w:cs="Times New Roman"/>
            </w:rPr>
          </w:pPr>
          <w:r>
            <w:fldChar w:fldCharType="end"/>
          </w:r>
        </w:p>
      </w:sdtContent>
    </w:sdt>
    <w:p w14:paraId="0C16D1EF" w14:textId="77777777" w:rsidR="0094685B" w:rsidRDefault="0094685B">
      <w:pPr>
        <w:spacing w:after="0" w:line="360" w:lineRule="auto"/>
        <w:jc w:val="both"/>
        <w:rPr>
          <w:rFonts w:ascii="Times New Roman" w:eastAsia="Times New Roman" w:hAnsi="Times New Roman" w:cs="Times New Roman"/>
        </w:rPr>
      </w:pPr>
    </w:p>
    <w:p w14:paraId="62808408" w14:textId="517C698E" w:rsidR="003237B6" w:rsidRDefault="003237B6">
      <w:pPr>
        <w:spacing w:after="0" w:line="360" w:lineRule="auto"/>
        <w:jc w:val="both"/>
        <w:rPr>
          <w:rFonts w:ascii="Times New Roman" w:eastAsia="Times New Roman" w:hAnsi="Times New Roman" w:cs="Times New Roman"/>
        </w:rPr>
      </w:pPr>
    </w:p>
    <w:p w14:paraId="6DAFEF63" w14:textId="77777777" w:rsidR="003237B6" w:rsidRDefault="003237B6" w:rsidP="003237B6">
      <w:pPr>
        <w:spacing w:after="0" w:line="360" w:lineRule="auto"/>
        <w:jc w:val="both"/>
        <w:rPr>
          <w:rFonts w:ascii="Times New Roman" w:eastAsia="Times New Roman" w:hAnsi="Times New Roman" w:cs="Times New Roman"/>
        </w:rPr>
      </w:pPr>
    </w:p>
    <w:p w14:paraId="0D7631A7" w14:textId="77777777" w:rsidR="00313985" w:rsidRDefault="00313985" w:rsidP="003237B6">
      <w:pPr>
        <w:spacing w:after="0" w:line="360" w:lineRule="auto"/>
        <w:jc w:val="both"/>
        <w:rPr>
          <w:rFonts w:ascii="Times New Roman" w:eastAsia="Times New Roman" w:hAnsi="Times New Roman" w:cs="Times New Roman"/>
        </w:rPr>
      </w:pPr>
    </w:p>
    <w:p w14:paraId="74200AD4" w14:textId="77777777" w:rsidR="00313985" w:rsidRDefault="00313985" w:rsidP="003237B6">
      <w:pPr>
        <w:spacing w:after="0" w:line="360" w:lineRule="auto"/>
        <w:jc w:val="both"/>
        <w:rPr>
          <w:rFonts w:ascii="Times New Roman" w:eastAsia="Times New Roman" w:hAnsi="Times New Roman" w:cs="Times New Roman"/>
        </w:rPr>
      </w:pPr>
    </w:p>
    <w:p w14:paraId="65C83310" w14:textId="77777777" w:rsidR="00313985" w:rsidRDefault="00313985" w:rsidP="003237B6">
      <w:pPr>
        <w:spacing w:after="0" w:line="360" w:lineRule="auto"/>
        <w:jc w:val="both"/>
        <w:rPr>
          <w:rFonts w:ascii="Times New Roman" w:eastAsia="Times New Roman" w:hAnsi="Times New Roman" w:cs="Times New Roman"/>
        </w:rPr>
      </w:pPr>
    </w:p>
    <w:p w14:paraId="7B19C138" w14:textId="77777777" w:rsidR="00313985" w:rsidRDefault="00313985" w:rsidP="003237B6">
      <w:pPr>
        <w:spacing w:after="0" w:line="360" w:lineRule="auto"/>
        <w:jc w:val="both"/>
        <w:rPr>
          <w:rFonts w:ascii="Times New Roman" w:eastAsia="Times New Roman" w:hAnsi="Times New Roman" w:cs="Times New Roman"/>
        </w:rPr>
      </w:pPr>
    </w:p>
    <w:p w14:paraId="495D7F0E" w14:textId="77777777" w:rsidR="00313985" w:rsidRDefault="00313985" w:rsidP="003237B6">
      <w:pPr>
        <w:spacing w:after="0" w:line="360" w:lineRule="auto"/>
        <w:jc w:val="both"/>
        <w:rPr>
          <w:rFonts w:ascii="Times New Roman" w:eastAsia="Times New Roman" w:hAnsi="Times New Roman" w:cs="Times New Roman"/>
        </w:rPr>
      </w:pPr>
    </w:p>
    <w:p w14:paraId="0B5C83C3" w14:textId="77777777" w:rsidR="00313985" w:rsidRDefault="00313985" w:rsidP="003237B6">
      <w:pPr>
        <w:spacing w:after="0" w:line="360" w:lineRule="auto"/>
        <w:jc w:val="both"/>
        <w:rPr>
          <w:rFonts w:ascii="Times New Roman" w:eastAsia="Times New Roman" w:hAnsi="Times New Roman" w:cs="Times New Roman"/>
        </w:rPr>
      </w:pPr>
    </w:p>
    <w:p w14:paraId="28D7DF0A" w14:textId="77777777" w:rsidR="00313985" w:rsidRDefault="00313985" w:rsidP="003237B6">
      <w:pPr>
        <w:spacing w:after="0" w:line="360" w:lineRule="auto"/>
        <w:jc w:val="both"/>
        <w:rPr>
          <w:rFonts w:ascii="Times New Roman" w:eastAsia="Times New Roman" w:hAnsi="Times New Roman" w:cs="Times New Roman"/>
        </w:rPr>
      </w:pPr>
    </w:p>
    <w:p w14:paraId="5DBB9888" w14:textId="77777777" w:rsidR="00313985" w:rsidRDefault="00313985" w:rsidP="003237B6">
      <w:pPr>
        <w:spacing w:after="0" w:line="360" w:lineRule="auto"/>
        <w:jc w:val="both"/>
        <w:rPr>
          <w:rFonts w:ascii="Times New Roman" w:eastAsia="Times New Roman" w:hAnsi="Times New Roman" w:cs="Times New Roman"/>
        </w:rPr>
      </w:pPr>
    </w:p>
    <w:p w14:paraId="65E8787C" w14:textId="77777777" w:rsidR="00313985" w:rsidRDefault="00313985" w:rsidP="003237B6">
      <w:pPr>
        <w:spacing w:after="0" w:line="360" w:lineRule="auto"/>
        <w:jc w:val="both"/>
        <w:rPr>
          <w:rFonts w:ascii="Times New Roman" w:eastAsia="Times New Roman" w:hAnsi="Times New Roman" w:cs="Times New Roman"/>
        </w:rPr>
      </w:pPr>
    </w:p>
    <w:p w14:paraId="50B21A0F" w14:textId="77777777" w:rsidR="00313985" w:rsidRDefault="00313985" w:rsidP="003237B6">
      <w:pPr>
        <w:spacing w:after="0" w:line="360" w:lineRule="auto"/>
        <w:jc w:val="both"/>
        <w:rPr>
          <w:rFonts w:ascii="Times New Roman" w:eastAsia="Times New Roman" w:hAnsi="Times New Roman" w:cs="Times New Roman"/>
        </w:rPr>
      </w:pPr>
    </w:p>
    <w:p w14:paraId="6E15B33F" w14:textId="77777777" w:rsidR="00313985" w:rsidRDefault="00313985" w:rsidP="003237B6">
      <w:pPr>
        <w:spacing w:after="0" w:line="360" w:lineRule="auto"/>
        <w:jc w:val="both"/>
        <w:rPr>
          <w:rFonts w:ascii="Times New Roman" w:eastAsia="Times New Roman" w:hAnsi="Times New Roman" w:cs="Times New Roman"/>
        </w:rPr>
      </w:pPr>
    </w:p>
    <w:p w14:paraId="48E2F408" w14:textId="77777777" w:rsidR="00313985" w:rsidRDefault="00313985" w:rsidP="003237B6">
      <w:pPr>
        <w:spacing w:after="0" w:line="360" w:lineRule="auto"/>
        <w:jc w:val="both"/>
        <w:rPr>
          <w:rFonts w:ascii="Times New Roman" w:eastAsia="Times New Roman" w:hAnsi="Times New Roman" w:cs="Times New Roman"/>
        </w:rPr>
      </w:pPr>
    </w:p>
    <w:p w14:paraId="56FD1C9B" w14:textId="77777777" w:rsidR="00313985" w:rsidRDefault="00313985" w:rsidP="003237B6">
      <w:pPr>
        <w:spacing w:after="0" w:line="360" w:lineRule="auto"/>
        <w:jc w:val="both"/>
        <w:rPr>
          <w:rFonts w:ascii="Times New Roman" w:eastAsia="Times New Roman" w:hAnsi="Times New Roman" w:cs="Times New Roman"/>
        </w:rPr>
      </w:pPr>
    </w:p>
    <w:p w14:paraId="5FCC2C24" w14:textId="77777777" w:rsidR="00313985" w:rsidRDefault="00313985" w:rsidP="003237B6">
      <w:pPr>
        <w:spacing w:after="0" w:line="360" w:lineRule="auto"/>
        <w:jc w:val="both"/>
        <w:rPr>
          <w:rFonts w:ascii="Times New Roman" w:eastAsia="Times New Roman" w:hAnsi="Times New Roman" w:cs="Times New Roman"/>
        </w:rPr>
      </w:pPr>
    </w:p>
    <w:p w14:paraId="6EE02EC1" w14:textId="77777777" w:rsidR="00313985" w:rsidRDefault="00313985" w:rsidP="003237B6">
      <w:pPr>
        <w:spacing w:after="0" w:line="360" w:lineRule="auto"/>
        <w:jc w:val="both"/>
        <w:rPr>
          <w:rFonts w:ascii="Times New Roman" w:eastAsia="Times New Roman" w:hAnsi="Times New Roman" w:cs="Times New Roman"/>
        </w:rPr>
      </w:pPr>
    </w:p>
    <w:p w14:paraId="1316BD75" w14:textId="77777777" w:rsidR="00313985" w:rsidRDefault="00313985" w:rsidP="003237B6">
      <w:pPr>
        <w:spacing w:after="0" w:line="360" w:lineRule="auto"/>
        <w:jc w:val="both"/>
        <w:rPr>
          <w:rFonts w:ascii="Times New Roman" w:eastAsia="Times New Roman" w:hAnsi="Times New Roman" w:cs="Times New Roman"/>
        </w:rPr>
      </w:pPr>
    </w:p>
    <w:p w14:paraId="3AD1E8AD" w14:textId="77777777" w:rsidR="00313985" w:rsidRDefault="00313985" w:rsidP="003237B6">
      <w:pPr>
        <w:spacing w:after="0" w:line="360" w:lineRule="auto"/>
        <w:jc w:val="both"/>
        <w:rPr>
          <w:rFonts w:ascii="Times New Roman" w:eastAsia="Times New Roman" w:hAnsi="Times New Roman" w:cs="Times New Roman"/>
        </w:rPr>
      </w:pPr>
    </w:p>
    <w:p w14:paraId="77B2B360" w14:textId="77777777" w:rsidR="00313985" w:rsidRDefault="00313985" w:rsidP="003237B6">
      <w:pPr>
        <w:spacing w:after="0" w:line="360" w:lineRule="auto"/>
        <w:jc w:val="both"/>
        <w:rPr>
          <w:rFonts w:ascii="Times New Roman" w:eastAsia="Times New Roman" w:hAnsi="Times New Roman" w:cs="Times New Roman"/>
        </w:rPr>
      </w:pPr>
    </w:p>
    <w:p w14:paraId="55A07CD5" w14:textId="77777777" w:rsidR="00313985" w:rsidRDefault="00313985" w:rsidP="003237B6">
      <w:pPr>
        <w:spacing w:after="0" w:line="360" w:lineRule="auto"/>
        <w:jc w:val="both"/>
        <w:rPr>
          <w:rFonts w:ascii="Times New Roman" w:eastAsia="Times New Roman" w:hAnsi="Times New Roman" w:cs="Times New Roman"/>
          <w:b/>
          <w:bCs/>
        </w:rPr>
      </w:pPr>
    </w:p>
    <w:p w14:paraId="1A73CF26" w14:textId="77777777" w:rsidR="00FD32DE" w:rsidRDefault="00FD32DE" w:rsidP="003237B6">
      <w:pPr>
        <w:spacing w:after="0" w:line="360" w:lineRule="auto"/>
        <w:jc w:val="both"/>
        <w:rPr>
          <w:rFonts w:ascii="Times New Roman" w:eastAsia="Times New Roman" w:hAnsi="Times New Roman" w:cs="Times New Roman"/>
          <w:b/>
          <w:bCs/>
        </w:rPr>
      </w:pPr>
    </w:p>
    <w:p w14:paraId="71ECFFE5" w14:textId="77777777" w:rsidR="00B510D0" w:rsidRDefault="00B510D0" w:rsidP="003237B6">
      <w:pPr>
        <w:spacing w:after="0" w:line="360" w:lineRule="auto"/>
        <w:jc w:val="both"/>
        <w:rPr>
          <w:rFonts w:ascii="Times New Roman" w:eastAsia="Times New Roman" w:hAnsi="Times New Roman" w:cs="Times New Roman"/>
          <w:b/>
          <w:bCs/>
        </w:rPr>
      </w:pPr>
    </w:p>
    <w:p w14:paraId="66246797" w14:textId="77777777" w:rsidR="00BC6EFB" w:rsidRDefault="00BC6EFB" w:rsidP="003237B6">
      <w:pPr>
        <w:spacing w:after="0" w:line="360" w:lineRule="auto"/>
        <w:jc w:val="both"/>
        <w:rPr>
          <w:rFonts w:ascii="Times New Roman" w:eastAsia="Times New Roman" w:hAnsi="Times New Roman" w:cs="Times New Roman"/>
          <w:b/>
          <w:bCs/>
        </w:rPr>
      </w:pPr>
    </w:p>
    <w:p w14:paraId="3294B216" w14:textId="5B765840" w:rsidR="003237B6" w:rsidRDefault="003237B6" w:rsidP="003237B6">
      <w:pPr>
        <w:spacing w:after="0" w:line="360" w:lineRule="auto"/>
        <w:jc w:val="both"/>
        <w:rPr>
          <w:rFonts w:ascii="Times New Roman" w:eastAsia="Times New Roman" w:hAnsi="Times New Roman" w:cs="Times New Roman"/>
          <w:b/>
          <w:bCs/>
        </w:rPr>
      </w:pPr>
      <w:r>
        <w:rPr>
          <w:rFonts w:ascii="Times New Roman" w:eastAsia="Times New Roman" w:hAnsi="Times New Roman" w:cs="Times New Roman"/>
          <w:b/>
          <w:bCs/>
        </w:rPr>
        <w:lastRenderedPageBreak/>
        <w:t>Executive Summary</w:t>
      </w:r>
    </w:p>
    <w:p w14:paraId="0D80C545" w14:textId="77777777" w:rsidR="003237B6" w:rsidRDefault="003237B6" w:rsidP="003237B6">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This report examines how technological advancements have evolved organisational structures, managerial paradigms, and operational practices within the UK banking sector. It highlights the shift from traditional hierarchical systems toward more agile, digital, and customer-focused approaches driven by the adoption of technologies like artificial intelligence (AI), automation, cloud computing, data analytics, and digital platforms. These technologies have enabled faster decision-making, better risk management, improved operational effectiveness, and greater individualized service. At the managerial level, technology has altered leadership roles and competencies,  enabling digital literacy, flexibility, strategic vision, and awareness of the ethics to navigate complex organizational transformation and emerging challenges.</w:t>
      </w:r>
    </w:p>
    <w:p w14:paraId="201CA24A" w14:textId="77777777" w:rsidR="003237B6" w:rsidRDefault="003237B6" w:rsidP="003237B6">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Furthermore, the report further examines how expectations for staff and customers are changing, highlighting that continuous digital transformation depends on technical knowledge, enthusiastic participation, and organizational readiness. It focuses on ethical concerns, including data privacy, technology transparency, and job replacement, as essential keys for maintaining trust and responsible management. The report also discusses  cultural and structural obstacles, such as antiquated systems, cybersecurity risks, financial limitations, and resistance to change, which impact the pace and effectiveness of digital adoption.</w:t>
      </w:r>
    </w:p>
    <w:p w14:paraId="058AA988" w14:textId="77777777" w:rsidR="003237B6" w:rsidRDefault="003237B6" w:rsidP="003237B6">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Therefore, these analyses illustrate the need for UK banks to balance the pursuit of innovation with the maintenance of rigid principles of ethics, fostering the growth of inclusive digital learning and the implementation of investment approaches to maintain sustainable competitiveness in an expanding digitalized financial environment. This report concludes by offering recommendations that demonstrate the importance of digital leadership development, system transformation, the improving of cybersecurity, the fostering of cross-functional cooperation, and the advancing of customer-centric digital empowerment as essential components for achieving sustainable organizational transformation.</w:t>
      </w:r>
    </w:p>
    <w:p w14:paraId="3396862C" w14:textId="77777777" w:rsidR="003237B6" w:rsidRDefault="003237B6" w:rsidP="003237B6">
      <w:pPr>
        <w:spacing w:after="0" w:line="360" w:lineRule="auto"/>
        <w:jc w:val="both"/>
        <w:rPr>
          <w:rFonts w:ascii="Times New Roman" w:eastAsia="Times New Roman" w:hAnsi="Times New Roman" w:cs="Times New Roman"/>
        </w:rPr>
      </w:pPr>
    </w:p>
    <w:p w14:paraId="1D5229C0" w14:textId="77777777" w:rsidR="0094685B" w:rsidRDefault="0094685B">
      <w:pPr>
        <w:spacing w:after="0" w:line="360" w:lineRule="auto"/>
        <w:jc w:val="both"/>
        <w:rPr>
          <w:rFonts w:ascii="Times New Roman" w:eastAsia="Times New Roman" w:hAnsi="Times New Roman" w:cs="Times New Roman"/>
        </w:rPr>
      </w:pPr>
    </w:p>
    <w:p w14:paraId="741873E1" w14:textId="77777777" w:rsidR="0094685B" w:rsidRDefault="0094685B">
      <w:pPr>
        <w:spacing w:after="0" w:line="360" w:lineRule="auto"/>
        <w:jc w:val="both"/>
        <w:rPr>
          <w:rFonts w:ascii="Times New Roman" w:eastAsia="Times New Roman" w:hAnsi="Times New Roman" w:cs="Times New Roman"/>
        </w:rPr>
      </w:pPr>
    </w:p>
    <w:p w14:paraId="6922635D" w14:textId="77777777" w:rsidR="0094685B" w:rsidRDefault="0094685B">
      <w:pPr>
        <w:spacing w:after="0" w:line="360" w:lineRule="auto"/>
        <w:jc w:val="both"/>
        <w:rPr>
          <w:rFonts w:ascii="Times New Roman" w:eastAsia="Times New Roman" w:hAnsi="Times New Roman" w:cs="Times New Roman"/>
        </w:rPr>
      </w:pPr>
    </w:p>
    <w:p w14:paraId="674AE4E3" w14:textId="77777777" w:rsidR="0094685B" w:rsidRDefault="0094685B">
      <w:pPr>
        <w:spacing w:after="0" w:line="360" w:lineRule="auto"/>
        <w:jc w:val="both"/>
        <w:rPr>
          <w:rFonts w:ascii="Times New Roman" w:eastAsia="Times New Roman" w:hAnsi="Times New Roman" w:cs="Times New Roman"/>
        </w:rPr>
      </w:pPr>
    </w:p>
    <w:p w14:paraId="3F3BCD34" w14:textId="77777777" w:rsidR="0094685B" w:rsidRDefault="0094685B">
      <w:pPr>
        <w:spacing w:after="0" w:line="360" w:lineRule="auto"/>
        <w:jc w:val="both"/>
        <w:rPr>
          <w:rFonts w:ascii="Times New Roman" w:eastAsia="Times New Roman" w:hAnsi="Times New Roman" w:cs="Times New Roman"/>
        </w:rPr>
        <w:sectPr w:rsidR="0094685B" w:rsidSect="00191F85">
          <w:footerReference w:type="default" r:id="rId8"/>
          <w:footerReference w:type="first" r:id="rId9"/>
          <w:pgSz w:w="12240" w:h="15840"/>
          <w:pgMar w:top="1440" w:right="1440" w:bottom="1440" w:left="1440" w:header="720" w:footer="720" w:gutter="0"/>
          <w:pgNumType w:fmt="lowerRoman" w:start="1"/>
          <w:cols w:space="720"/>
          <w:titlePg/>
          <w:docGrid w:linePitch="326"/>
        </w:sectPr>
      </w:pPr>
    </w:p>
    <w:p w14:paraId="743C1D94" w14:textId="77777777" w:rsidR="0094685B" w:rsidRDefault="00000000">
      <w:pPr>
        <w:pStyle w:val="Heading1"/>
        <w:rPr>
          <w:rFonts w:ascii="Times New Roman" w:eastAsia="Times New Roman" w:hAnsi="Times New Roman" w:cs="Times New Roman"/>
          <w:b/>
          <w:bCs/>
          <w:color w:val="000000"/>
          <w:sz w:val="24"/>
          <w:szCs w:val="24"/>
        </w:rPr>
      </w:pPr>
      <w:bookmarkStart w:id="0" w:name="_Toc214371631"/>
      <w:r>
        <w:rPr>
          <w:rFonts w:ascii="Times New Roman" w:eastAsia="Times New Roman" w:hAnsi="Times New Roman" w:cs="Times New Roman"/>
          <w:b/>
          <w:bCs/>
          <w:color w:val="000000"/>
          <w:sz w:val="24"/>
          <w:szCs w:val="24"/>
        </w:rPr>
        <w:lastRenderedPageBreak/>
        <w:t>1. Introduction</w:t>
      </w:r>
      <w:bookmarkEnd w:id="0"/>
    </w:p>
    <w:p w14:paraId="4147A0DD" w14:textId="77777777" w:rsidR="0094685B" w:rsidRDefault="00000000">
      <w:pPr>
        <w:pStyle w:val="Heading1"/>
        <w:rPr>
          <w:rFonts w:ascii="Times New Roman" w:eastAsia="Times New Roman" w:hAnsi="Times New Roman" w:cs="Times New Roman"/>
          <w:b/>
          <w:bCs/>
          <w:color w:val="000000"/>
          <w:sz w:val="24"/>
          <w:szCs w:val="24"/>
        </w:rPr>
      </w:pPr>
      <w:bookmarkStart w:id="1" w:name="_Toc214371632"/>
      <w:r>
        <w:rPr>
          <w:rFonts w:ascii="Times New Roman" w:eastAsia="Times New Roman" w:hAnsi="Times New Roman" w:cs="Times New Roman"/>
          <w:b/>
          <w:bCs/>
          <w:color w:val="000000"/>
          <w:sz w:val="24"/>
          <w:szCs w:val="24"/>
        </w:rPr>
        <w:t>1.1 Background of the study</w:t>
      </w:r>
      <w:bookmarkEnd w:id="1"/>
    </w:p>
    <w:p w14:paraId="73F31FEA"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Over the last two decades, there has been a drastic shift in the technological advancement that has reshaped the business operations and activities. This transformation is more evident in the banking sector in all the developed countries like the UK, USA, Germany, and China (Osei, Cherkasova and Oware, 2023). Among these countries, this study identifies the influence of  technological advancement on organizational structure and managerial paradigms within the UK  banking sector. </w:t>
      </w:r>
    </w:p>
    <w:p w14:paraId="511C47D9"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One of the most significant components of the whole financial system is the banking sector. Banks contribute to the economy by sourcing deposits and directing those funds towards investors and customers. The relationship between bank profits and GDP growth in ten countries from the Asia-Pacific region between 2004 and 2014 supports the idea that a well-functioning and profitable banking sector is essential for the smooth operation of a country's economy. A significant and positive interrelation was found between banks' profitability and economic growth. Nevertheless, the effect of bank earnings on the economy took time to manifest. When the profitability of the banking sector increases, economic growth rises, indicating that bank profitability supports expansion of the economy, while GDP growth returns the favor with a slower impact on bank revenues (Kumar and Bird, 2020).</w:t>
      </w:r>
    </w:p>
    <w:p w14:paraId="44FD22C7"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Furthermore, banking sectors have historically operated under rigid hierarchical systems, characterized by a clear chain of command, separate departments, and centralized decision-making. In an era prior to digital innovations, when stability, supervision, and regulatory compliance were paramount, these frameworks were appropriate. However, the effectiveness of these traditional models has been called into doubt by the rise of disruptive technologies like blockchain, cloud computing, AI, and big data analytics (Broby, 2021). As a result, banks have started to adopt decentralized, more collaborative, and agile organizational structures that emphasize creativity, speed, and adaptability.</w:t>
      </w:r>
    </w:p>
    <w:p w14:paraId="3E2C090E"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According to Diener and Spacek (2021), the change of managerial paradigms has been one of the most significant effects of technology advancement. The crucial role that managers play in organizations' digital transformation efforts, as their commitment and backing at the executive level are essential for promoting initiatives to change and focused activities across the whole organization (Wrede et al., 2023). In addition to having a solid understanding of finance, modern </w:t>
      </w:r>
      <w:r>
        <w:rPr>
          <w:rFonts w:ascii="Times New Roman" w:eastAsia="Times New Roman" w:hAnsi="Times New Roman" w:cs="Times New Roman"/>
        </w:rPr>
        <w:lastRenderedPageBreak/>
        <w:t>banking executives must also be competent in the management of customer value , interpersonal, leadership, societal, and technical skills (Yahaya and Segbenya, 2023). This shift has caused the banking sector as a whole to reevaluate its approaches to managerial roles.</w:t>
      </w:r>
    </w:p>
    <w:p w14:paraId="3A6432FB"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Additionally, the development of fintech companies has upsurged competition, forcing existing banks to implement a more customer-focused and technologically adaptable approach (Elsaid, 2023). AI, blockchain, open banking, RegTech, and digital wallets are just a few examples of the digital transformation initiatives that UK banks have been undertaking. In addition to increasing operational efficiency, these changes have forced banking sectors to obtain novel competencies and change their cultures (Fayad et al., 2025).</w:t>
      </w:r>
    </w:p>
    <w:p w14:paraId="3104994E"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Arguably, this transition was promoted by the COVID-19 pandemic, which acted as a trigger for digital onboarding, work from home, and online communication and collaboration (Iuga, 2025). It was unexpectedly required for organizations to enhance the swift adaptation and growth of internet banking, including government rules and regulations for social distancing, financial support and incentives, and the advancement of digital security technologies. During this transformation, financial sectors are encountering unexpected developments that necessitate the adaptation of almost all interaction practices to be modified or addressed (Diener and Spacek, 2021).</w:t>
      </w:r>
    </w:p>
    <w:p w14:paraId="187A222D"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Further, in light of the current regulatory structure, continuous improvements in resiliency approaches are likely to address both individual banking risks and systemic risks for all banks. The Basel Accord was established to enhance the safety and reliability of the banking sector from its initial stages (Gehrig &amp; Iannino, 2021). According to Yang and Masrons (2023), the use of technology and information systems allows commercial banks in the credit risk management process, improving and accelerating the process of lowering the non-performing loan ratio. Commercial banks require technological improvements to reduce processing times and maximize productivity when identifying credit risk indications in order to stop it from happening in an era where every loan case is complicated. Credit risk management has always been a vital banking function, particularly in regard to the current digital transformation, change in  technology, and tighter banking rules and regulations. According to Nguyen &amp; Nguyen (2024), among other internal and external factors, digitalization and Basel III execution helps to reduce banks' credit risk levels in relation to the ongoing advancement of Basel III routine enforcement and advancing digital transformation, both of which lead to better credit risk management.</w:t>
      </w:r>
    </w:p>
    <w:p w14:paraId="207DCDD9"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In spite of these developments, challenges still exist. In some organizations, cybersecurity risks, societal barriers, and legacy systems still slow down the rate of change (Thakor, 2020). Moreover, ethical concerns regarding data security and employment displacement are commonly brought up by the use of  emerging technologies. As a result, the road map to an entirely digital and versatile banking sector is difficult and requires constant introspection, education, and planned action.</w:t>
      </w:r>
    </w:p>
    <w:p w14:paraId="154ECBD6"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However, the UK banking sector is fascinating considering it is domicile to both traditional and legally sound long-standing banks like HSBC, Lloyds, NatWest, Barclays, etc. (Statistica Research Department, 2025)a and as well as a growing trend of digital and challenger banks like Monzo, Starling, and Revolut (Statistica Research Department, 2025)b. Conventional banks must balance their historical frameworks with the reality of competing with digital-native entities in this contrast, which provides a unique context for organizational innovation (Mohammadi  et al., 2024). Furthermore, London (UK)  is a major worldwide financial center that serves as a strategic hub for the financial center; it integrates banks, trading organizations, and exchanges of stocks. These centers are typically distinguished by strong infrastructure, even regulatory and political systems, favorable tax policies, and numerous opportunities for business and trade growth (Buchholz, 2024).</w:t>
      </w:r>
    </w:p>
    <w:p w14:paraId="0AEE8798" w14:textId="77777777" w:rsidR="0094685B" w:rsidRDefault="00000000">
      <w:pPr>
        <w:pStyle w:val="Heading1"/>
        <w:rPr>
          <w:rFonts w:ascii="Times New Roman" w:eastAsia="Times New Roman" w:hAnsi="Times New Roman" w:cs="Times New Roman"/>
          <w:b/>
          <w:bCs/>
          <w:color w:val="000000"/>
          <w:sz w:val="24"/>
          <w:szCs w:val="24"/>
        </w:rPr>
      </w:pPr>
      <w:bookmarkStart w:id="2" w:name="_Toc214371633"/>
      <w:r>
        <w:rPr>
          <w:rFonts w:ascii="Times New Roman" w:eastAsia="Times New Roman" w:hAnsi="Times New Roman" w:cs="Times New Roman"/>
          <w:b/>
          <w:bCs/>
          <w:color w:val="000000"/>
          <w:sz w:val="24"/>
          <w:szCs w:val="24"/>
        </w:rPr>
        <w:t>1.2 Purpose of the study</w:t>
      </w:r>
      <w:bookmarkEnd w:id="2"/>
    </w:p>
    <w:p w14:paraId="7BD48431" w14:textId="77777777" w:rsidR="0094685B" w:rsidRDefault="00000000">
      <w:pPr>
        <w:spacing w:after="0" w:line="360" w:lineRule="auto"/>
        <w:jc w:val="both"/>
        <w:rPr>
          <w:rFonts w:ascii="Times New Roman" w:eastAsia="Times New Roman" w:hAnsi="Times New Roman" w:cs="Times New Roman"/>
          <w:b/>
          <w:bCs/>
        </w:rPr>
      </w:pPr>
      <w:r>
        <w:rPr>
          <w:rFonts w:ascii="Times New Roman" w:eastAsia="Times New Roman" w:hAnsi="Times New Roman" w:cs="Times New Roman"/>
        </w:rPr>
        <w:t>The purpose of this study is to examine the different ways that managerial approaches and organizational structure in the UK banking sector are being impacted by technology advancements. It aims to clarify how technology is changing the internal operations of financial institutions, including governance frameworks, team dynamics, managerial approaches, and organizational objectives, by fusing theoretical analysis.</w:t>
      </w:r>
    </w:p>
    <w:p w14:paraId="22E051ED" w14:textId="77777777" w:rsidR="0094685B" w:rsidRDefault="00000000">
      <w:pPr>
        <w:pStyle w:val="Heading1"/>
        <w:rPr>
          <w:rFonts w:ascii="Times New Roman" w:eastAsia="Times New Roman" w:hAnsi="Times New Roman" w:cs="Times New Roman"/>
          <w:b/>
          <w:bCs/>
          <w:color w:val="000000"/>
          <w:sz w:val="24"/>
          <w:szCs w:val="24"/>
        </w:rPr>
      </w:pPr>
      <w:bookmarkStart w:id="3" w:name="_Toc214371634"/>
      <w:r>
        <w:rPr>
          <w:rFonts w:ascii="Times New Roman" w:eastAsia="Times New Roman" w:hAnsi="Times New Roman" w:cs="Times New Roman"/>
          <w:b/>
          <w:bCs/>
          <w:color w:val="000000"/>
          <w:sz w:val="24"/>
          <w:szCs w:val="24"/>
        </w:rPr>
        <w:t>1.3 Paradigms of the study</w:t>
      </w:r>
      <w:bookmarkEnd w:id="3"/>
    </w:p>
    <w:p w14:paraId="12B3A9F9"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Firstly, this report adopts an epistemological approach that generates knowledge about organizational and managerial change in the banking sector as constructed through the interpretation of technological advancement facts. Rather than pursuing a single objective fact, it employs secondary data and a conceptual framework, considering their relevance for illustrating the impact of technology on organizational transformation and managerial roles.</w:t>
      </w:r>
    </w:p>
    <w:p w14:paraId="118C63C4"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Secondly, this report makes the assumption that the business environment is dynamic, socially affected, and continuously changing due to technological advancements. Organizational structures and managerial responsibilities are viewed as flexible and versatile to the digital revolution, with technology regarded as a proactive force driving ongoing organizational shift.</w:t>
      </w:r>
    </w:p>
    <w:p w14:paraId="51DC136B"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Thirdly, the report uses a rhetorical approach that values structured, conceptual, and logically organized intellectual analysis. It maintains an objective approach and employs systematic reasoning, assuming readers anticipate clarity, proof-based analysis, and conceptual validity. Arguments are presented through established themes and formal language, demonstrating a commitment to thorough and convincing academic discourse.</w:t>
      </w:r>
    </w:p>
    <w:p w14:paraId="02E1D913"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Lastly, in terms of methodology, this report employs a qualitative, conceptual approach, focusing on secondary research, theoretical frameworks, and interpretive analysis rather than the gathering of empirical data. It assumes that literature-based analysis can properly identify trends and connections, making this method appropriate for exploratory study of complex organizational problems in banking.</w:t>
      </w:r>
    </w:p>
    <w:p w14:paraId="2D516247" w14:textId="77777777" w:rsidR="0094685B" w:rsidRDefault="00000000">
      <w:pPr>
        <w:pStyle w:val="Heading1"/>
        <w:rPr>
          <w:rFonts w:ascii="Times New Roman" w:eastAsia="Times New Roman" w:hAnsi="Times New Roman" w:cs="Times New Roman"/>
          <w:b/>
          <w:bCs/>
          <w:color w:val="000000"/>
          <w:sz w:val="24"/>
          <w:szCs w:val="24"/>
        </w:rPr>
      </w:pPr>
      <w:bookmarkStart w:id="4" w:name="_Toc214371635"/>
      <w:r>
        <w:rPr>
          <w:rFonts w:ascii="Times New Roman" w:eastAsia="Times New Roman" w:hAnsi="Times New Roman" w:cs="Times New Roman"/>
          <w:b/>
          <w:bCs/>
          <w:color w:val="000000"/>
          <w:sz w:val="24"/>
          <w:szCs w:val="24"/>
        </w:rPr>
        <w:t>2. An overview of the global banking systems and digital transformation</w:t>
      </w:r>
      <w:bookmarkEnd w:id="4"/>
    </w:p>
    <w:p w14:paraId="2634165D"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global operations of banks represent a key aspect of the overall trends in the globalization of production, finance, and trade. An extensive amount of international capital transactions is facilitated by banks that function in various jurisdictions, and the activities and frameworks of global banks have changed significantly over the past few decades. The range of funding types and financial products has expanded, while these organizations have become more intricate, managing both banking and non-banking subsidiaries in numerous countries and across various sectors (Buch and Goldberg, 2020).  </w:t>
      </w:r>
    </w:p>
    <w:p w14:paraId="374AACBA"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Therefore, the worldwide banking system is an intricate and interconnected array of financial entities, regulatory agencies, and monetary authorities that enable the movement of capital, credit, and financial services across national boundaries. It includes central banks, which oversee monetary policy, systemic risk, and monetary stability; commercial banks that offer retail and corporate services like deposits, loans, and payment processing; and multilateral institutions, including the International Monetary Fund  (IMF) and World Bank, that contribute to financial stability and development in developing countries. This system functions within international </w:t>
      </w:r>
      <w:r>
        <w:rPr>
          <w:rFonts w:ascii="Times New Roman" w:eastAsia="Times New Roman" w:hAnsi="Times New Roman" w:cs="Times New Roman"/>
        </w:rPr>
        <w:lastRenderedPageBreak/>
        <w:t>regulatory frameworks, such as Basel I-III, which establish standards for capital adequacy and risk management to prevent crises (Solms, 2020).</w:t>
      </w:r>
    </w:p>
    <w:p w14:paraId="46D1253A"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Although the banking sector is undergoing transformations driven by environmental challenges, advancements in digital technologies, the rise of the digital world, and the introduction of new services. Clearly, the most significant development and essential change in the modern world has been the shift towards entirely digital banks. These organizations benefit from huge mobility and can provide innovative services at more affordable prices compared to conventional banks (Sadigh et al., 2021).</w:t>
      </w:r>
    </w:p>
    <w:p w14:paraId="608DEAC0" w14:textId="77777777" w:rsidR="0094685B" w:rsidRDefault="00000000">
      <w:pPr>
        <w:spacing w:after="0" w:line="360" w:lineRule="auto"/>
        <w:jc w:val="both"/>
      </w:pPr>
      <w:r>
        <w:rPr>
          <w:rFonts w:ascii="Times New Roman" w:eastAsia="Times New Roman" w:hAnsi="Times New Roman" w:cs="Times New Roman"/>
        </w:rPr>
        <w:t>Significantly, the emerging digital technologies, like digital platforms, smartphones, large-scale data, cloud technology, automated connected devices, machine learning as AI, financial technologies, decentralized records, immersive technology, and enhanced reality, are at their peak (Sadigh et al., 2021).  This shift is anticipated to create important alterations in business operations, processes, and organizational frameworks, with the goal of delivering competitive products and services to the competitive market (Kretschmer and Khashabi, 2020). To be successful in the banking world, there is necessitates a significant change in the way banks connect technology with their organizational strategies. Technology should not operate independently; it needs to be strongly integrated with the organization's objectives by fostering strong collaboration between technology and business teams, and it should be considered an essential enabler of business goals. There was a growth in investment in technology by the banks, and it has been forecasted to rise over the years.</w:t>
      </w:r>
      <w:r>
        <w:t xml:space="preserve"> </w:t>
      </w:r>
    </w:p>
    <w:p w14:paraId="3F73A8EF" w14:textId="77777777" w:rsidR="0094685B" w:rsidRDefault="00000000">
      <w:pPr>
        <w:keepNext/>
        <w:spacing w:after="0" w:line="360" w:lineRule="auto"/>
        <w:jc w:val="center"/>
        <w:rPr>
          <w:rFonts w:ascii="Times New Roman" w:eastAsia="Times New Roman" w:hAnsi="Times New Roman" w:cs="Times New Roman"/>
        </w:rPr>
      </w:pPr>
      <w:r>
        <w:rPr>
          <w:rFonts w:ascii="Times New Roman" w:eastAsia="Times New Roman" w:hAnsi="Times New Roman" w:cs="Times New Roman"/>
          <w:noProof/>
        </w:rPr>
        <w:lastRenderedPageBreak/>
        <w:drawing>
          <wp:inline distT="0" distB="0" distL="0" distR="0" wp14:anchorId="64504124" wp14:editId="1C9FC00A">
            <wp:extent cx="4826000" cy="3670300"/>
            <wp:effectExtent l="0" t="0" r="0" b="6350"/>
            <wp:docPr id="189412177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826771" cy="3670886"/>
                    </a:xfrm>
                    <a:prstGeom prst="rect">
                      <a:avLst/>
                    </a:prstGeom>
                    <a:ln/>
                  </pic:spPr>
                </pic:pic>
              </a:graphicData>
            </a:graphic>
          </wp:inline>
        </w:drawing>
      </w:r>
      <w:bookmarkStart w:id="5" w:name="_heading=h.axy5pdwmxoum" w:colFirst="0" w:colLast="0"/>
      <w:bookmarkEnd w:id="5"/>
    </w:p>
    <w:p w14:paraId="16902FD3" w14:textId="22BB7BA2" w:rsidR="00C015A7" w:rsidRDefault="00C015A7" w:rsidP="00C015A7">
      <w:pPr>
        <w:spacing w:after="0" w:line="360" w:lineRule="auto"/>
        <w:jc w:val="center"/>
        <w:rPr>
          <w:rFonts w:ascii="Times New Roman" w:eastAsia="Times New Roman" w:hAnsi="Times New Roman" w:cs="Times New Roman"/>
        </w:rPr>
      </w:pPr>
      <w:r>
        <w:rPr>
          <w:rFonts w:ascii="Times New Roman" w:eastAsia="Times New Roman" w:hAnsi="Times New Roman" w:cs="Times New Roman"/>
        </w:rPr>
        <w:t>Source:  Department for Digital, Culture, Media &amp; Sport  (2022)</w:t>
      </w:r>
    </w:p>
    <w:p w14:paraId="5324A2DA" w14:textId="77777777" w:rsidR="0094685B" w:rsidRDefault="00000000">
      <w:pPr>
        <w:pBdr>
          <w:top w:val="nil"/>
          <w:left w:val="nil"/>
          <w:bottom w:val="nil"/>
          <w:right w:val="nil"/>
          <w:between w:val="nil"/>
        </w:pBdr>
        <w:spacing w:after="200" w:line="240" w:lineRule="auto"/>
        <w:jc w:val="center"/>
        <w:rPr>
          <w:rFonts w:ascii="Times New Roman" w:eastAsia="Times New Roman" w:hAnsi="Times New Roman" w:cs="Times New Roman"/>
          <w:color w:val="000000"/>
        </w:rPr>
      </w:pPr>
      <w:r>
        <w:rPr>
          <w:rFonts w:ascii="Times New Roman" w:eastAsia="Times New Roman" w:hAnsi="Times New Roman" w:cs="Times New Roman"/>
          <w:i/>
          <w:iCs/>
          <w:color w:val="000000"/>
        </w:rPr>
        <w:t>Figure 1: Venture Capital Investment (£M) by European Country in Technology.</w:t>
      </w:r>
    </w:p>
    <w:p w14:paraId="70590F6B" w14:textId="77777777" w:rsidR="0094685B" w:rsidRDefault="00000000">
      <w:pPr>
        <w:spacing w:after="0" w:line="360" w:lineRule="auto"/>
        <w:jc w:val="both"/>
        <w:rPr>
          <w:rFonts w:ascii="Times New Roman" w:eastAsia="Times New Roman" w:hAnsi="Times New Roman" w:cs="Times New Roman"/>
        </w:rPr>
      </w:pPr>
      <w:bookmarkStart w:id="6" w:name="_heading=h.nm35pl546n6h" w:colFirst="0" w:colLast="0"/>
      <w:bookmarkEnd w:id="6"/>
      <w:r>
        <w:rPr>
          <w:rFonts w:ascii="Times New Roman" w:eastAsia="Times New Roman" w:hAnsi="Times New Roman" w:cs="Times New Roman"/>
        </w:rPr>
        <w:t>Figure 1 states that venture capital investment in the United Kingdom’s technology sector  has reached exceptional levels in 2021, increasing 2.3-fold to £27.4 billion from £11.7 billion in 2020, as reported by the Bank of England’s annual average spot exchange rate. The capital raised by UK start-ups and scale-ups was nearly double that of Germany (£13.8 billion) and more than triple that of France (£8.7 billion). In total, UK technology investment represented over one-third of the £79.3 billion invested in the European technology ecosystem during the year (Department for Digital, Culture, Media &amp; Sport (UK), 2022).</w:t>
      </w:r>
    </w:p>
    <w:p w14:paraId="23B16E24" w14:textId="77777777" w:rsidR="0094685B" w:rsidRDefault="00000000">
      <w:pPr>
        <w:pStyle w:val="Heading1"/>
        <w:rPr>
          <w:rFonts w:ascii="Times New Roman" w:eastAsia="Times New Roman" w:hAnsi="Times New Roman" w:cs="Times New Roman"/>
          <w:b/>
          <w:bCs/>
          <w:color w:val="000000"/>
          <w:sz w:val="24"/>
          <w:szCs w:val="24"/>
        </w:rPr>
      </w:pPr>
      <w:bookmarkStart w:id="7" w:name="_Toc214371636"/>
      <w:r>
        <w:rPr>
          <w:rFonts w:ascii="Times New Roman" w:eastAsia="Times New Roman" w:hAnsi="Times New Roman" w:cs="Times New Roman"/>
          <w:b/>
          <w:bCs/>
          <w:color w:val="000000"/>
          <w:sz w:val="24"/>
          <w:szCs w:val="24"/>
        </w:rPr>
        <w:t>3. The evolution and impact of technological advancements on modern banking and financial systems</w:t>
      </w:r>
      <w:bookmarkEnd w:id="7"/>
    </w:p>
    <w:p w14:paraId="68DB0EB4"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Technology has become a crucial fundamental element that supports the growth, competitiveness, and sustainability of modern business organizations (Haseeb et al., 2019). In the past, the banking sectors relied on traditional paper-based systems that were slow and involved manual processing (Bergendahl and Lindblom, 2007). Previously, financial transactions occurred primarily in cash; however, ongoing technological advancements have revolutionized these traditional </w:t>
      </w:r>
      <w:r>
        <w:rPr>
          <w:rFonts w:ascii="Times New Roman" w:eastAsia="Times New Roman" w:hAnsi="Times New Roman" w:cs="Times New Roman"/>
        </w:rPr>
        <w:lastRenderedPageBreak/>
        <w:t>methodologies into digital , cashless, and internet-based banking systems. Currently, technologies such as accounting software, point-of-sale (POS) systems, automated teller machines (ATMs), cheque deposit machines, recruitment management software,  AI, cloud computing, and integrated information systems are crucial development that have transformed the operational activities of the banking environment. Moreover, the integration of these developments extends beyond finance to various business sectors, where they improve efficiency, enhance productivity, and help in achieving organizational objectives.</w:t>
      </w:r>
    </w:p>
    <w:p w14:paraId="36CFEF00" w14:textId="77777777" w:rsidR="0094685B" w:rsidRDefault="00000000">
      <w:pPr>
        <w:spacing w:after="0" w:line="360" w:lineRule="auto"/>
        <w:jc w:val="both"/>
        <w:rPr>
          <w:rFonts w:ascii="Times New Roman" w:eastAsia="Times New Roman" w:hAnsi="Times New Roman" w:cs="Times New Roman"/>
          <w:i/>
          <w:iCs/>
        </w:rPr>
      </w:pPr>
      <w:r>
        <w:rPr>
          <w:rFonts w:ascii="Times New Roman" w:eastAsia="Times New Roman" w:hAnsi="Times New Roman" w:cs="Times New Roman"/>
        </w:rPr>
        <w:t>Besides, all businesses are fundamentally linked to the banking sector. The financial health of any business plays a crucial role in determining its success and long-term sustainability, often seen through its profits and financial performance. A majority of financial activities are processed and authenticated via banking sectors, which act as the authorized means for official financial activity (Binks &amp; Ennew, 1997). For this interconnectedness, governments establish regulations that only recognize bank-mediated financial transactions as valid and genuine, forcing businesses to manage their financial dealings through banking systems. As a result, the financial ecosystem of businesses functions within the banking sector. Innovations in this sector not only boost profitability but also enhance productivity and operational efficiency (Campanella et al., 2017).</w:t>
      </w:r>
      <w:r>
        <w:rPr>
          <w:rFonts w:ascii="Times New Roman" w:eastAsia="Times New Roman" w:hAnsi="Times New Roman" w:cs="Times New Roman"/>
          <w:i/>
          <w:iCs/>
        </w:rPr>
        <w:t xml:space="preserve"> </w:t>
      </w:r>
      <w:r>
        <w:rPr>
          <w:rFonts w:ascii="Times New Roman" w:eastAsia="Times New Roman" w:hAnsi="Times New Roman" w:cs="Times New Roman"/>
        </w:rPr>
        <w:t>For example, logistics firms are rapidly integrating advanced technologies like automated lifting equipment, modernized vehicles, logistics management software, accounting applications, hiring platforms, and business websites to facilitate operations and stay competitive in ever-changing markets. In the long run, embracing new technologies is vital for any business aiming for ongoing growth, competitiveness, and resilience.</w:t>
      </w:r>
    </w:p>
    <w:p w14:paraId="6210A425"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Moreover, as businesses expand their activities across different sectors, there is a direct relationship between their growth and the inflow of financial resources (Boccaletti et al., 2024). As a result, the additional funds as a loan or as an investment required for the business are usually circulated by banks for better financial management, including financial support, reducing overdraft fees, earning interest, and safeguarding assets. In turn, financial organizations have increasingly focused on integrating advanced technologies to lower operating costs, enhance efficiency and productivity, and strengthen their competitive edge in the financial market.</w:t>
      </w:r>
    </w:p>
    <w:p w14:paraId="337614C8"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In addition, the evolution of conventional banking into digital banking can be traced back to the launch of ATMs and payment cards in the 1960s (Batiz, 2009). This period signified the introduction of technological adaptation in the banking sectors, allowing customers to </w:t>
      </w:r>
      <w:r>
        <w:rPr>
          <w:rFonts w:ascii="Times New Roman" w:eastAsia="Times New Roman" w:hAnsi="Times New Roman" w:cs="Times New Roman"/>
        </w:rPr>
        <w:lastRenderedPageBreak/>
        <w:t>electronically access fundamental financial services. With the rise of the internet and the advent of initial internet technologies in the 1980s, digital networks started to enable connections among retailers, suppliers, and consumers. This progress leads to the development of early online platform and management of inventory, establishing the essential framework for modern electronic and internet-based banking services. By the 1990s, the Internet was readily accessible, and online banking began to gain popularity. The advancements in internet and e-commerce technologies in the early 2000s changed the way for what we recognize as contemporary digital banking. The upsurge of smartphone usage in the following decade allowed for mobile transactions that extended beyond traditional ATMs. According to Statista Research Development (2025)c, mobile banking usage in the United Kingdom (UK) showed considerable development between 2019 and 2025, with more than 70 percent of bank account holders managing their financial affairs via mobile devices in 2025. In contrast, bank branches had a significant downsurge during that time, which is indicative of the move to digital banking options.</w:t>
      </w:r>
    </w:p>
    <w:p w14:paraId="5408015D"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Consequently, the main benefits of digital banking include improved operational efficiency, reduced costs, higher accuracy in transactions, enhanced competitiveness, greater flexibility in operations, and reinforced security protocols. Digital currency addresses many of the issues linked to physical cash, including the risks of loss, theft, and damage (He et al., 2008). Furthermore, digital transactions provide better traceability and accountability, facilitating more accurate record-keeping and easier settlement of financial conflicts. As consumers have access to an increasing variety of digital purchasing platforms and payment methods, the need to carry physical cash has significantly declined, highlighting a wider societal shift toward cashless financial systems (Bhuiyan et al., 2017).</w:t>
      </w:r>
    </w:p>
    <w:p w14:paraId="52293C47"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Meanwhile, banks provide various banking solutions for customers. Their offers encompass online borrowing, personal finance management, online and mobile banking, peer-to-peer (P2P) lending, and investment services. P2P lending platforms enable clients to secure funds directly from each lender. Some organizations provide digital lending options where they lend directly to borrowers. This group includes companies that deliver personal finance and investment management services. These organizations offer resources and guidance for clients to effectively manage their accounts while also providing a range of financial strategic planning and investment services. Finnish firms in this sector consist of Holvi and Euroloan. Swiss FinTech banking companies encompass Contovista, Flynt, MoneyPark, Numbrs, and Qontis (Palmie et al., 2020).  With the change of </w:t>
      </w:r>
      <w:r>
        <w:rPr>
          <w:rFonts w:ascii="Times New Roman" w:eastAsia="Times New Roman" w:hAnsi="Times New Roman" w:cs="Times New Roman"/>
        </w:rPr>
        <w:lastRenderedPageBreak/>
        <w:t>technology, there are the emergence of three financial technological applications (three waves of technological changes) that have been introduced.</w:t>
      </w:r>
    </w:p>
    <w:p w14:paraId="12FA546D" w14:textId="77777777" w:rsidR="0094685B" w:rsidRDefault="00000000">
      <w:pPr>
        <w:pStyle w:val="Heading1"/>
        <w:rPr>
          <w:rFonts w:ascii="Times New Roman" w:eastAsia="Times New Roman" w:hAnsi="Times New Roman" w:cs="Times New Roman"/>
          <w:b/>
          <w:bCs/>
          <w:color w:val="000000"/>
          <w:sz w:val="24"/>
          <w:szCs w:val="24"/>
        </w:rPr>
      </w:pPr>
      <w:bookmarkStart w:id="8" w:name="_Toc214371637"/>
      <w:r>
        <w:rPr>
          <w:rFonts w:ascii="Times New Roman" w:eastAsia="Times New Roman" w:hAnsi="Times New Roman" w:cs="Times New Roman"/>
          <w:b/>
          <w:bCs/>
          <w:color w:val="000000"/>
          <w:sz w:val="24"/>
          <w:szCs w:val="24"/>
        </w:rPr>
        <w:t>3.1 Wave 1: As an electronic payments</w:t>
      </w:r>
      <w:bookmarkEnd w:id="8"/>
    </w:p>
    <w:p w14:paraId="28858AE7"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The adaptation of Internet access and smartphones has grown the popularity of electronic fund transfers through Internet banking and mobile payments (Palmie et al., 2020). This shift from physical cash to digital currency has made the differences between money and data less clear. Payments for taxi rides, dining bills, and other merchandise can now be completed using software applications (apps). Shoppers now have access to more payment options than ever before.</w:t>
      </w:r>
    </w:p>
    <w:p w14:paraId="262E8754" w14:textId="77777777" w:rsidR="0094685B" w:rsidRDefault="00000000">
      <w:pPr>
        <w:keepNext/>
        <w:spacing w:after="0" w:line="360" w:lineRule="auto"/>
        <w:jc w:val="center"/>
      </w:pPr>
      <w:r>
        <w:rPr>
          <w:rFonts w:ascii="Times New Roman" w:eastAsia="Times New Roman" w:hAnsi="Times New Roman" w:cs="Times New Roman"/>
          <w:noProof/>
        </w:rPr>
        <w:drawing>
          <wp:inline distT="0" distB="0" distL="0" distR="0" wp14:anchorId="29F301CD" wp14:editId="6A98DCBA">
            <wp:extent cx="5242669" cy="3747814"/>
            <wp:effectExtent l="0" t="0" r="0" b="0"/>
            <wp:docPr id="189412177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242669" cy="3747814"/>
                    </a:xfrm>
                    <a:prstGeom prst="rect">
                      <a:avLst/>
                    </a:prstGeom>
                    <a:ln/>
                  </pic:spPr>
                </pic:pic>
              </a:graphicData>
            </a:graphic>
          </wp:inline>
        </w:drawing>
      </w:r>
    </w:p>
    <w:p w14:paraId="7E9D4A78" w14:textId="77777777" w:rsidR="00C015A7" w:rsidRDefault="00C015A7" w:rsidP="00C015A7">
      <w:pPr>
        <w:keepNext/>
        <w:spacing w:after="0" w:line="360" w:lineRule="auto"/>
        <w:jc w:val="center"/>
        <w:rPr>
          <w:rFonts w:ascii="Times New Roman" w:eastAsia="Times New Roman" w:hAnsi="Times New Roman" w:cs="Times New Roman"/>
        </w:rPr>
      </w:pPr>
      <w:bookmarkStart w:id="9" w:name="_heading=h.mutqfca4b9by" w:colFirst="0" w:colLast="0"/>
      <w:bookmarkEnd w:id="9"/>
      <w:r>
        <w:rPr>
          <w:rFonts w:ascii="Times New Roman" w:eastAsia="Times New Roman" w:hAnsi="Times New Roman" w:cs="Times New Roman"/>
        </w:rPr>
        <w:t>Source: Statistica Market Insights (2025).</w:t>
      </w:r>
    </w:p>
    <w:p w14:paraId="620A58F6" w14:textId="765FA958" w:rsidR="0094685B" w:rsidRDefault="00000000">
      <w:pPr>
        <w:pBdr>
          <w:top w:val="nil"/>
          <w:left w:val="nil"/>
          <w:bottom w:val="nil"/>
          <w:right w:val="nil"/>
          <w:between w:val="nil"/>
        </w:pBdr>
        <w:spacing w:after="200" w:line="240" w:lineRule="auto"/>
        <w:jc w:val="center"/>
        <w:rPr>
          <w:rFonts w:ascii="Times New Roman" w:eastAsia="Times New Roman" w:hAnsi="Times New Roman" w:cs="Times New Roman"/>
          <w:i/>
          <w:iCs/>
          <w:color w:val="44546A"/>
        </w:rPr>
      </w:pPr>
      <w:r>
        <w:rPr>
          <w:rFonts w:ascii="Times New Roman" w:eastAsia="Times New Roman" w:hAnsi="Times New Roman" w:cs="Times New Roman"/>
          <w:i/>
          <w:iCs/>
          <w:color w:val="44546A"/>
        </w:rPr>
        <w:t>Figure 2: Total transaction value in the digital payments market from 2018 to 2030.</w:t>
      </w:r>
    </w:p>
    <w:p w14:paraId="24C6BA83"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In figure 2, the market for digital payments is expected to have a total transaction value of US$24.07 trillion by 2025.  The total transaction value is estimated to reach US$36.09 trillion, with an annual growth rate (CAGR 2025-2030) of 8.44% by 2030. With a projected total transaction value of US$16.75 trillion in 2025, mobile point-of-sale payments is the largest market. </w:t>
      </w:r>
    </w:p>
    <w:p w14:paraId="76EDEF4E" w14:textId="77777777" w:rsidR="0094685B" w:rsidRDefault="00000000">
      <w:pPr>
        <w:pStyle w:val="Heading1"/>
        <w:rPr>
          <w:rFonts w:ascii="Times New Roman" w:eastAsia="Times New Roman" w:hAnsi="Times New Roman" w:cs="Times New Roman"/>
          <w:b/>
          <w:bCs/>
          <w:color w:val="000000"/>
          <w:sz w:val="24"/>
          <w:szCs w:val="24"/>
        </w:rPr>
      </w:pPr>
      <w:bookmarkStart w:id="10" w:name="_Toc214371638"/>
      <w:r>
        <w:rPr>
          <w:rFonts w:ascii="Times New Roman" w:eastAsia="Times New Roman" w:hAnsi="Times New Roman" w:cs="Times New Roman"/>
          <w:b/>
          <w:bCs/>
          <w:color w:val="000000"/>
          <w:sz w:val="24"/>
          <w:szCs w:val="24"/>
        </w:rPr>
        <w:lastRenderedPageBreak/>
        <w:t>3.2 Wave 2: As a blockchain and cryptocurrency</w:t>
      </w:r>
      <w:bookmarkEnd w:id="10"/>
    </w:p>
    <w:p w14:paraId="21027AA0"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The category of blockchain and cryptocurrency includes businesses that offer products and services related to blockchain technology and digital currencies. Blockchain serves as a distributed ledger, most recognized for being the backbone of Bitcoin and various other cryptocurrencies (Ronaghi, 2023). A cryptocurrency is a kind of electronic asset that uses cryptographic encryption to ensure secure transactions and verify the transfer of assets. Bitcoin is the original and most prominent cryptocurrency. Companies in the blockchain sector concentrate on the advancement and application of blockchain technology, while those in the cryptocurrency sector offer services such as the trading and storage of virtual currencies (Yadav et al., 2022).</w:t>
      </w:r>
    </w:p>
    <w:p w14:paraId="77270631" w14:textId="77777777" w:rsidR="0094685B" w:rsidRDefault="00000000">
      <w:pPr>
        <w:keepNext/>
        <w:spacing w:after="0" w:line="360" w:lineRule="auto"/>
        <w:jc w:val="center"/>
      </w:pPr>
      <w:r>
        <w:rPr>
          <w:rFonts w:ascii="Times New Roman" w:eastAsia="Times New Roman" w:hAnsi="Times New Roman" w:cs="Times New Roman"/>
          <w:noProof/>
        </w:rPr>
        <w:drawing>
          <wp:inline distT="0" distB="0" distL="0" distR="0" wp14:anchorId="0558C1D0" wp14:editId="390FEDCD">
            <wp:extent cx="4115823" cy="3454733"/>
            <wp:effectExtent l="0" t="0" r="0" b="0"/>
            <wp:docPr id="189412177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4115823" cy="3454733"/>
                    </a:xfrm>
                    <a:prstGeom prst="rect">
                      <a:avLst/>
                    </a:prstGeom>
                    <a:ln/>
                  </pic:spPr>
                </pic:pic>
              </a:graphicData>
            </a:graphic>
          </wp:inline>
        </w:drawing>
      </w:r>
    </w:p>
    <w:p w14:paraId="349662D3" w14:textId="77777777" w:rsidR="00024D7E" w:rsidRDefault="00024D7E" w:rsidP="00024D7E">
      <w:pPr>
        <w:spacing w:after="0" w:line="360" w:lineRule="auto"/>
        <w:jc w:val="center"/>
        <w:rPr>
          <w:rFonts w:ascii="Times New Roman" w:eastAsia="Times New Roman" w:hAnsi="Times New Roman" w:cs="Times New Roman"/>
        </w:rPr>
      </w:pPr>
      <w:bookmarkStart w:id="11" w:name="_heading=h.e62se2sfr5fr" w:colFirst="0" w:colLast="0"/>
      <w:bookmarkEnd w:id="11"/>
      <w:r>
        <w:rPr>
          <w:rFonts w:ascii="Times New Roman" w:eastAsia="Times New Roman" w:hAnsi="Times New Roman" w:cs="Times New Roman"/>
        </w:rPr>
        <w:t xml:space="preserve">Source: </w:t>
      </w:r>
      <w:r>
        <w:rPr>
          <w:rFonts w:ascii="Times New Roman" w:eastAsia="Times New Roman" w:hAnsi="Times New Roman" w:cs="Times New Roman"/>
          <w:i/>
          <w:iCs/>
        </w:rPr>
        <w:t>Statista Digital Economy Compass</w:t>
      </w:r>
      <w:r>
        <w:rPr>
          <w:rFonts w:ascii="Times New Roman" w:eastAsia="Times New Roman" w:hAnsi="Times New Roman" w:cs="Times New Roman"/>
        </w:rPr>
        <w:t xml:space="preserve"> (2022)</w:t>
      </w:r>
    </w:p>
    <w:p w14:paraId="2F257D3D" w14:textId="497A9917" w:rsidR="0094685B" w:rsidRDefault="00000000">
      <w:pPr>
        <w:pBdr>
          <w:top w:val="nil"/>
          <w:left w:val="nil"/>
          <w:bottom w:val="nil"/>
          <w:right w:val="nil"/>
          <w:between w:val="nil"/>
        </w:pBdr>
        <w:spacing w:after="200" w:line="240" w:lineRule="auto"/>
        <w:jc w:val="center"/>
        <w:rPr>
          <w:rFonts w:ascii="Times New Roman" w:eastAsia="Times New Roman" w:hAnsi="Times New Roman" w:cs="Times New Roman"/>
          <w:i/>
          <w:iCs/>
          <w:color w:val="000000"/>
        </w:rPr>
      </w:pPr>
      <w:r>
        <w:rPr>
          <w:rFonts w:ascii="Times New Roman" w:eastAsia="Times New Roman" w:hAnsi="Times New Roman" w:cs="Times New Roman"/>
          <w:i/>
          <w:iCs/>
          <w:color w:val="44546A"/>
        </w:rPr>
        <w:t>Figure 3: The Evolution of the Crypto Economy from 2014 to 2022.</w:t>
      </w:r>
    </w:p>
    <w:p w14:paraId="27CFDB32" w14:textId="77777777" w:rsidR="0094685B" w:rsidRDefault="00000000">
      <w:pPr>
        <w:spacing w:after="0" w:line="360" w:lineRule="auto"/>
        <w:jc w:val="both"/>
        <w:rPr>
          <w:rFonts w:ascii="Times New Roman" w:eastAsia="Times New Roman" w:hAnsi="Times New Roman" w:cs="Times New Roman"/>
        </w:rPr>
      </w:pPr>
      <w:bookmarkStart w:id="12" w:name="_heading=h.gdmx4zp7yyq7" w:colFirst="0" w:colLast="0"/>
      <w:bookmarkEnd w:id="12"/>
      <w:r>
        <w:rPr>
          <w:rFonts w:ascii="Times New Roman" w:eastAsia="Times New Roman" w:hAnsi="Times New Roman" w:cs="Times New Roman"/>
        </w:rPr>
        <w:t>Figure 3 shows since its initial in 2009, Bitcoin's growth has skyrocketed, going from a few hundred digital currencies at the end of 2014 to approximately 20,000 by the end of May 2022.  As our graph shows, the prominence of Bitcoin, which was previously ultra-dominant in this market, is beginning to wane in light of the rise of other digital assets like Ethereum.  Bitcoin currently makes up between 40% and 50% of all cryptocurrencies' market valuation, down from about 80% in 2014.</w:t>
      </w:r>
    </w:p>
    <w:p w14:paraId="6C18CDAD" w14:textId="77777777" w:rsidR="0094685B" w:rsidRDefault="00000000">
      <w:pPr>
        <w:pStyle w:val="Heading1"/>
        <w:rPr>
          <w:rFonts w:ascii="Times New Roman" w:eastAsia="Times New Roman" w:hAnsi="Times New Roman" w:cs="Times New Roman"/>
          <w:b/>
          <w:bCs/>
          <w:color w:val="000000"/>
          <w:sz w:val="24"/>
          <w:szCs w:val="24"/>
        </w:rPr>
      </w:pPr>
      <w:bookmarkStart w:id="13" w:name="_Toc214371639"/>
      <w:r>
        <w:rPr>
          <w:rFonts w:ascii="Times New Roman" w:eastAsia="Times New Roman" w:hAnsi="Times New Roman" w:cs="Times New Roman"/>
          <w:b/>
          <w:bCs/>
          <w:color w:val="000000"/>
          <w:sz w:val="24"/>
          <w:szCs w:val="24"/>
        </w:rPr>
        <w:lastRenderedPageBreak/>
        <w:t>3.3 Wave 3: As Artificial intelligence (AI)</w:t>
      </w:r>
      <w:bookmarkEnd w:id="13"/>
    </w:p>
    <w:p w14:paraId="0E974EC0"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In this phase, the ecosystem undergoes an evolution led by AI. AI embodies the capability that machines can display. The application of AI within the financial sector focuses on systems that can analyze and understand tasks, taking initiative to carry out those financial activities (Cohen, 2022). For instance, these systems could include robo-advisors, digital brokers, or various devices utilized in trading, tax management, and decision-making related to trades. AI provides a significant level of automation and enhancements in efficiency, which are particularly evident in the investment marketplace and portfolio management services. According to Fares et al., (2022), three major research topics are covered by AI and banking: strategy, process, and customer.  Making strategic decisions about the application and optimization of value from AI technology in banking may be beneficial for marketers and decision-makers in the banking sector. AI plays a crucial role in advancing strategic decision-making processes, forecasting financial distress, and refining risk analysis techniques. Through the application of AI, it significantly enhances credit scoring accuracy, loan default estimation, and comprehensive risk assessment. Operational efficiencies are also improved, as AI facilitates optimized appointment scheduling, reduced service times, and streamlined internal workflows. In the domain of marketing, AI contributes to more effective customer segmentation, targeted outreach, and campaign optimization. Furthermore, the integration of chatbots and robo-advisors elevates the delivery of the services, particularly in handling daily routine activities and low-complexity tasks.</w:t>
      </w:r>
    </w:p>
    <w:p w14:paraId="5DB4DA9D"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Therefore, this transformation is evident throughout numerous aspects of the financial system, with AI currently embedded at the heart of many product and technology systems. Among these are RegTech (regulatory technology), which includes FinTech firms that assist customers in navigating the compliance landscape, and wealth management, which includes an area of FinTech that provides alternative wealth management offerings and technology-driven solutions (Solms, 2020). </w:t>
      </w:r>
    </w:p>
    <w:p w14:paraId="7E33A215" w14:textId="77777777" w:rsidR="0094685B" w:rsidRDefault="00000000">
      <w:pPr>
        <w:pStyle w:val="Heading1"/>
        <w:rPr>
          <w:rFonts w:ascii="Times New Roman" w:eastAsia="Times New Roman" w:hAnsi="Times New Roman" w:cs="Times New Roman"/>
          <w:b/>
          <w:bCs/>
          <w:color w:val="000000"/>
          <w:sz w:val="24"/>
          <w:szCs w:val="24"/>
        </w:rPr>
      </w:pPr>
      <w:bookmarkStart w:id="14" w:name="_Toc214371640"/>
      <w:r>
        <w:rPr>
          <w:rFonts w:ascii="Times New Roman" w:eastAsia="Times New Roman" w:hAnsi="Times New Roman" w:cs="Times New Roman"/>
          <w:b/>
          <w:bCs/>
          <w:color w:val="000000"/>
          <w:sz w:val="24"/>
          <w:szCs w:val="24"/>
        </w:rPr>
        <w:t>4. The transformative impact of technology advancement on organizational structures and operations in the UK banking sector</w:t>
      </w:r>
      <w:bookmarkEnd w:id="14"/>
    </w:p>
    <w:p w14:paraId="1DDDF2CC"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In the United Kingdom's banking sector, the embrace of cutting-edge technologies has resulted to a major restructuring of organizational frameworks (Broby, 2021). Technology has profoundly impacted traditional models by facilitating flatter hierarchies, encouraging decentralized decision-making, and increasing organizational agility (Diener and Spacek, 2021). These modifications </w:t>
      </w:r>
      <w:r>
        <w:rPr>
          <w:rFonts w:ascii="Times New Roman" w:eastAsia="Times New Roman" w:hAnsi="Times New Roman" w:cs="Times New Roman"/>
        </w:rPr>
        <w:lastRenderedPageBreak/>
        <w:t>allow banks to react more quickly to market stimulations, simplify operations, and enhance overall service delivery in a progressively competitive financial environment. Digital solutions minimize managerial tiers, promote communication, and enable individuals to make independent decisions. As AI and automation redefine managerial roles that are transitioning towards cross-functional, specific goal-oriented models that encourage quick innovation and adaptability (Sadigh et al., 2022). Virtual work technologies further eliminate geographical barriers, promoting virtual teamwork and flexible arrangements. These developments require ongoing skill enhancement and adaptive leadership to navigate changing structures and sustain unity in progressively dynamic environments.</w:t>
      </w:r>
    </w:p>
    <w:p w14:paraId="66B836A0" w14:textId="77777777" w:rsidR="0094685B" w:rsidRDefault="00000000">
      <w:pPr>
        <w:pStyle w:val="Heading1"/>
        <w:rPr>
          <w:rFonts w:ascii="Times New Roman" w:eastAsia="Times New Roman" w:hAnsi="Times New Roman" w:cs="Times New Roman"/>
          <w:b/>
          <w:bCs/>
          <w:color w:val="000000"/>
          <w:sz w:val="24"/>
          <w:szCs w:val="24"/>
        </w:rPr>
      </w:pPr>
      <w:bookmarkStart w:id="15" w:name="_Toc214371641"/>
      <w:r>
        <w:rPr>
          <w:rFonts w:ascii="Times New Roman" w:eastAsia="Times New Roman" w:hAnsi="Times New Roman" w:cs="Times New Roman"/>
          <w:b/>
          <w:bCs/>
          <w:color w:val="000000"/>
          <w:sz w:val="24"/>
          <w:szCs w:val="24"/>
        </w:rPr>
        <w:t>4.1. Flattening hierarchies and redefining power structures through advancement of technology in UK banking</w:t>
      </w:r>
      <w:bookmarkEnd w:id="15"/>
    </w:p>
    <w:p w14:paraId="44149302"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Technological advancement has significantly transformed the hierarchical framework of UK banking, resulting in a transformation from traditional, rigid structures to more flexible, autonomous, and electronically integrated models. Traditionally, UK banks operated with complex hierarchies where decision-making authority was held at the top and operational functions were managed by regional and branch managers. However, the development of digital platforms and AI has been utilized in banking areas, including customer service departments, operational performance, and core banking and analytics. For AI, banking has transformed from overtaking physical branches to a whole new world of modern banks. Modern banks' provision of new banking services is beneficial to them to develop and grow. Increased banking adaptation is made possible by improved technology and cost-effectiveness and is enabling low-value transactions. Effective technology use has a multiplier effect on banks' growth and development (Kaur et al., 2020).</w:t>
      </w:r>
    </w:p>
    <w:p w14:paraId="6458895E" w14:textId="77777777" w:rsidR="0094685B" w:rsidRDefault="00000000">
      <w:pPr>
        <w:keepNext/>
        <w:spacing w:after="0" w:line="360" w:lineRule="auto"/>
        <w:jc w:val="center"/>
      </w:pPr>
      <w:r>
        <w:rPr>
          <w:rFonts w:ascii="Times New Roman" w:eastAsia="Times New Roman" w:hAnsi="Times New Roman" w:cs="Times New Roman"/>
          <w:noProof/>
        </w:rPr>
        <w:lastRenderedPageBreak/>
        <w:drawing>
          <wp:inline distT="0" distB="0" distL="0" distR="0" wp14:anchorId="3322B5E1" wp14:editId="55A83B80">
            <wp:extent cx="5232366" cy="2930552"/>
            <wp:effectExtent l="0" t="0" r="0" b="0"/>
            <wp:docPr id="189412177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232366" cy="2930552"/>
                    </a:xfrm>
                    <a:prstGeom prst="rect">
                      <a:avLst/>
                    </a:prstGeom>
                    <a:ln/>
                  </pic:spPr>
                </pic:pic>
              </a:graphicData>
            </a:graphic>
          </wp:inline>
        </w:drawing>
      </w:r>
    </w:p>
    <w:p w14:paraId="7E27D7BF" w14:textId="77777777" w:rsidR="00C62EA7" w:rsidRDefault="00C62EA7" w:rsidP="00C62EA7">
      <w:pPr>
        <w:spacing w:after="0" w:line="360" w:lineRule="auto"/>
        <w:jc w:val="center"/>
        <w:rPr>
          <w:rFonts w:ascii="Times New Roman" w:eastAsia="Times New Roman" w:hAnsi="Times New Roman" w:cs="Times New Roman"/>
        </w:rPr>
      </w:pPr>
      <w:bookmarkStart w:id="16" w:name="_heading=h.s7tu4dj08zto" w:colFirst="0" w:colLast="0"/>
      <w:bookmarkEnd w:id="16"/>
      <w:r>
        <w:rPr>
          <w:rFonts w:ascii="Times New Roman" w:eastAsia="Times New Roman" w:hAnsi="Times New Roman" w:cs="Times New Roman"/>
        </w:rPr>
        <w:t>Source: Statistica Research Department (2025)</w:t>
      </w:r>
    </w:p>
    <w:p w14:paraId="339ACC97" w14:textId="0D6BDC96" w:rsidR="0094685B" w:rsidRDefault="00000000">
      <w:pPr>
        <w:pBdr>
          <w:top w:val="nil"/>
          <w:left w:val="nil"/>
          <w:bottom w:val="nil"/>
          <w:right w:val="nil"/>
          <w:between w:val="nil"/>
        </w:pBdr>
        <w:spacing w:after="200" w:line="240" w:lineRule="auto"/>
        <w:jc w:val="center"/>
        <w:rPr>
          <w:rFonts w:ascii="Times New Roman" w:eastAsia="Times New Roman" w:hAnsi="Times New Roman" w:cs="Times New Roman"/>
          <w:i/>
          <w:iCs/>
          <w:color w:val="000000"/>
        </w:rPr>
      </w:pPr>
      <w:r>
        <w:rPr>
          <w:rFonts w:ascii="Times New Roman" w:eastAsia="Times New Roman" w:hAnsi="Times New Roman" w:cs="Times New Roman"/>
          <w:i/>
          <w:iCs/>
          <w:color w:val="000000"/>
        </w:rPr>
        <w:t>Figure 4: Number of branches at selected large banks in the UK 2017-2024.</w:t>
      </w:r>
    </w:p>
    <w:p w14:paraId="3C52BC14"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Figure 4 states the importance of physical bank branches has significantly declined due to the growing adaptation of online banking, which offers convenience and unheard-of speed. Among the UK's banks, like Barclays, Lloyds, HSBC, and NatWest, the change is most noticeable. Barclays, Lloyds, and NatWest all closed branches countrywide between 2017 and 2024, while their main competitors also carried out significant branch reduction strategies. The banking sector's growing shift toward digital services is reflected in this noticeable drop in physical services. </w:t>
      </w:r>
    </w:p>
    <w:p w14:paraId="4D061C6A"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Further, the flatness of the hierarchy is further strengthened by the implementation of agile methodologies, which promote collaboration among teams for digital innovation and product creation, often disregarding traditional reporting structures. Furthermore, digital transformation has equipped frontline employees with data-driven tools, enabling them to make well-informed choices without the need for top-down directives. Leadership roles have also changed, with new positions such as Chief Digital Officer and Head of Innovation emerging to oversee strategic technological integration, frequently functioning outside of conventional hierarchies (Wrede et al., 2020). The decline of branch-oriented models, spurred by mobile and online banking, has reduced the importance of regional managers, centralizing control within digital hubs. Therefore, technology has not only improved banking operations but has also restructured power dynamics. promoting a more interconnected, responsive, and skills-based organizational structure that meets the expectations of a digital economy.</w:t>
      </w:r>
    </w:p>
    <w:p w14:paraId="7E7CDD7B" w14:textId="77777777" w:rsidR="0094685B" w:rsidRDefault="00000000">
      <w:pPr>
        <w:pStyle w:val="Heading1"/>
        <w:rPr>
          <w:rFonts w:ascii="Times New Roman" w:eastAsia="Times New Roman" w:hAnsi="Times New Roman" w:cs="Times New Roman"/>
          <w:b/>
          <w:bCs/>
          <w:color w:val="000000"/>
          <w:sz w:val="24"/>
          <w:szCs w:val="24"/>
        </w:rPr>
      </w:pPr>
      <w:bookmarkStart w:id="17" w:name="_Toc214371642"/>
      <w:r>
        <w:rPr>
          <w:rFonts w:ascii="Times New Roman" w:eastAsia="Times New Roman" w:hAnsi="Times New Roman" w:cs="Times New Roman"/>
          <w:b/>
          <w:bCs/>
          <w:color w:val="000000"/>
          <w:sz w:val="24"/>
          <w:szCs w:val="24"/>
        </w:rPr>
        <w:lastRenderedPageBreak/>
        <w:t>4.2 Agile structures and cross-functional integration after digital transformation in UK banking's digital transformation</w:t>
      </w:r>
      <w:bookmarkEnd w:id="17"/>
    </w:p>
    <w:p w14:paraId="1749A2C2"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The adoption of innovative technologies such as cloud computing, AI, and statistical analytics has changed the way banks in the UK structure and coordinate their internal processes. In the past, banking operations were divided into inflexible departments like risks, legal compliance, IT, and customer support, with each functioning with limited interaction. However, the need for digital transformation has prompted a move toward cross-functional teams that bring together expertise from different fields to cooperatively develop products, manage risks, and successfully meet customer demands (Kraus et al., 2022). For instance, the development of mobile banking applications or AI-driven fraud detection systems now requires contributions from customer support departments, IT, legal, and advertising (Kaur et al., 2020). These teams operate within agile structures, utilizing iterative cycles and common digital platforms for real-time to work together, which increases responsiveness and speeds up innovation. In addition, cloud-based systems and data lakes facilitate seamless information access among departments, minimizing redundancy and enhancing clarity.</w:t>
      </w:r>
    </w:p>
    <w:p w14:paraId="7EF5B5AE"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Hence, this transition has also resulted in the creation of new hybrid positions such as digital product managers, data analysts, and compliance technologists who connect functional areas and ensure that technical skills align with organizational strategic objectives (Kornelakis et al., 2022). Significantly, the combination of cross-functional teams has enhanced banks’ ability to adapt to regulatory changes and meet customer expectations, as teams can quickly develop solutions and roll them out over various channels (Kraus et al., 2022). Overall, tech has not only fostered more effective collaboration but has also instilled an environment of continuous learning and flexibility, which serves as essential for navigating the rapidly changing financial organizations (Felipe et al., 2025). Although, organizations adopt more flexible structures (e.g., matrix or interrelated networking models) to respond quickly to market changes. Agile methodologies and digital workflows promote continuous development and rapid innovation (Felipe et al., 2025). Tools such as Slack, Microsoft Teams, and Zoom facilitate real-time interaction across geographical boundaries (Kretschmer &amp; Pooyan, 2020). This supports remote work and virtual teams, shifting structures from location-based to function-based models.</w:t>
      </w:r>
    </w:p>
    <w:p w14:paraId="3347BFCF" w14:textId="77777777" w:rsidR="0094685B" w:rsidRDefault="00000000">
      <w:pPr>
        <w:pStyle w:val="Heading1"/>
        <w:rPr>
          <w:rFonts w:ascii="Times New Roman" w:eastAsia="Times New Roman" w:hAnsi="Times New Roman" w:cs="Times New Roman"/>
          <w:b/>
          <w:bCs/>
          <w:color w:val="000000"/>
          <w:sz w:val="24"/>
          <w:szCs w:val="24"/>
        </w:rPr>
      </w:pPr>
      <w:bookmarkStart w:id="18" w:name="_Toc214371643"/>
      <w:r>
        <w:rPr>
          <w:rFonts w:ascii="Times New Roman" w:eastAsia="Times New Roman" w:hAnsi="Times New Roman" w:cs="Times New Roman"/>
          <w:b/>
          <w:bCs/>
          <w:color w:val="000000"/>
          <w:sz w:val="24"/>
          <w:szCs w:val="24"/>
        </w:rPr>
        <w:lastRenderedPageBreak/>
        <w:t>4.3 Organizational structure decentralization and client empowerment through technology advancements in UK banking</w:t>
      </w:r>
      <w:bookmarkEnd w:id="18"/>
    </w:p>
    <w:p w14:paraId="62963BBE"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Banking digitalization has enabled local branches, customer-facing teams, and even automated systems (Kornelakis et al., 2022) to function autonomously within set boundaries. According to Mogaji &amp; Nguyen (2022), they stated that chatbots are the most widely used AI application but also accepted that AI is used for much more (e.g., fraud detection, credit scoring, product customization). For example, AI-powered credit scoring systems allow frontline employees or digital interfaces to authorize loans without needing to send for approval or make decisions through centralized risk departments. Through the advancement of computation and technology, as well as the delivery of services through the Internet, cloud computing has become more widespread. The integration of distributed manufacturing resources and the development of a versatile and productive infrastructure across geographically distributed manufacturing and service sites are made possible by the application of this concept, which has led to an array of applications, such as web-based management dashboards and cloud-based collaboration (Mehdiabadi et al., 2020). In contrast, these systems offering decentralized data access permit regional teams to assess and evaluate customer behaviors, customize services, and conclude the market changes independently of head office instructions.</w:t>
      </w:r>
    </w:p>
    <w:p w14:paraId="387ED62B"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Furthermore, this decentralization is additionally strengthened by the growth of online and mobile banking, which reduces the need for centralized service delivery and physical branches. Instead of focusing financial access in traditional branch networks, customers can access services 24/7 through applications. By providing consumers with instant access to account management whenever they want, transfers, and payments, mobile banking decentralizes power of authority. Customers' behavior is altered as a result, shifting from relying on centralized bank employees to self-service online transactions.</w:t>
      </w:r>
    </w:p>
    <w:p w14:paraId="74EB09E8"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However, the growth of FinTech products, including mobile wallets, payment apps, and even cryptocurrency apps, is associated with the adoption of mobile banking. By avoiding traditional middlemen, these technologies decentralize banking activities. Mobile banking decentralization enhances efficiency  by being structural. Customers gain quicker, more affordable, and more easily accessible services, while banks improve productivity by lowering transaction costs and distributing service delivery (Fayad et al., 2025). In summary, technology has transformed the UK </w:t>
      </w:r>
      <w:r>
        <w:rPr>
          <w:rFonts w:ascii="Times New Roman" w:eastAsia="Times New Roman" w:hAnsi="Times New Roman" w:cs="Times New Roman"/>
        </w:rPr>
        <w:lastRenderedPageBreak/>
        <w:t>banking landscape into a more decentralized, agile, and customer-focused network, where power and capability are distributed throughout the organization instead of being centralized at the top.</w:t>
      </w:r>
    </w:p>
    <w:p w14:paraId="77E804C3" w14:textId="77777777" w:rsidR="0094685B" w:rsidRDefault="00000000">
      <w:pPr>
        <w:pStyle w:val="Heading1"/>
        <w:rPr>
          <w:rFonts w:ascii="Times New Roman" w:eastAsia="Times New Roman" w:hAnsi="Times New Roman" w:cs="Times New Roman"/>
          <w:b/>
          <w:bCs/>
          <w:color w:val="000000"/>
          <w:sz w:val="24"/>
          <w:szCs w:val="24"/>
        </w:rPr>
      </w:pPr>
      <w:bookmarkStart w:id="19" w:name="_Toc214371644"/>
      <w:r>
        <w:rPr>
          <w:rFonts w:ascii="Times New Roman" w:eastAsia="Times New Roman" w:hAnsi="Times New Roman" w:cs="Times New Roman"/>
          <w:b/>
          <w:bCs/>
          <w:color w:val="000000"/>
          <w:sz w:val="24"/>
          <w:szCs w:val="24"/>
        </w:rPr>
        <w:t>5. Impact of technological advancement on management theories, leadership practices, and sustainable banking adoption</w:t>
      </w:r>
      <w:bookmarkEnd w:id="19"/>
    </w:p>
    <w:p w14:paraId="1B0B93DE"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In essence, traditional management theories like Fayol's administrative theory (Fayol, 1949) and Taylor's scientific management (Taylor, 1911) concentrated on organized planning, centralized power, and uniform procedures. However, the emergence of digital technologies has questioned these principles by providing access to information in real time, robotics, and global connection. Modern managers increasingly depend on data analytics, AI, and cloud computing to guide their decision-making strategy, substituting gut feeling with machine learning and data-driven insights. This transformation has changed the manager’s role and duties from a commanding manager to a facilitator of innovation and teamwork (Sacavem et al., 2025).</w:t>
      </w:r>
    </w:p>
    <w:p w14:paraId="26347C33"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Additionally, technology promotes independent decision-making, allowing team members deployed over many places to  work autonomously while staying connected through common digital networks. Consequently, current management theories highlight systems thinking, connected leadership, and agile methodologies, which focus on adaptation of cross-functional collaboration and ongoing learning (Kraus </w:t>
      </w:r>
      <w:r>
        <w:rPr>
          <w:rFonts w:ascii="Times New Roman" w:eastAsia="Times New Roman" w:hAnsi="Times New Roman" w:cs="Times New Roman"/>
          <w:i/>
          <w:iCs/>
        </w:rPr>
        <w:t>et al.</w:t>
      </w:r>
      <w:r>
        <w:rPr>
          <w:rFonts w:ascii="Times New Roman" w:eastAsia="Times New Roman" w:hAnsi="Times New Roman" w:cs="Times New Roman"/>
        </w:rPr>
        <w:t>, 2022). Furthermore, the rise of AI-powered management tools, such as automated assistants, analytical forecasting, and productivity monitoring, has taken over many regular administrative tasks, allowing leaders to concentrate on organizational strategic goals and interpersonal leadership. Ethical concerns about data privacy, algorithmic bias, and digital inclusiveness have also tended to adapt leadership theory, introducing a foundation for ethical digital governance. Ultimately, technology has not only changed the disposal of managerial tools but has also profoundly transformed the theoretical underpinnings of management in the digital era.</w:t>
      </w:r>
    </w:p>
    <w:p w14:paraId="468D6E1E" w14:textId="77777777" w:rsidR="0094685B" w:rsidRDefault="00000000">
      <w:pPr>
        <w:pStyle w:val="Heading1"/>
        <w:rPr>
          <w:rFonts w:ascii="Times New Roman" w:eastAsia="Times New Roman" w:hAnsi="Times New Roman" w:cs="Times New Roman"/>
          <w:b/>
          <w:bCs/>
          <w:color w:val="000000"/>
          <w:sz w:val="24"/>
          <w:szCs w:val="24"/>
        </w:rPr>
      </w:pPr>
      <w:bookmarkStart w:id="20" w:name="_Toc214371645"/>
      <w:r>
        <w:rPr>
          <w:rFonts w:ascii="Times New Roman" w:eastAsia="Times New Roman" w:hAnsi="Times New Roman" w:cs="Times New Roman"/>
          <w:b/>
          <w:bCs/>
          <w:color w:val="000000"/>
          <w:sz w:val="24"/>
          <w:szCs w:val="24"/>
        </w:rPr>
        <w:t>5.1 Leadership and ethical challenges after technological advancement in banking sector</w:t>
      </w:r>
      <w:bookmarkEnd w:id="20"/>
    </w:p>
    <w:p w14:paraId="3AC65A94"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method of delivering goods, services, and solutions is undergoing a profound change due to digital transformation, resulting in enhanced accessibility, efficiency, and customization. Leaders with the vision and expertise to leverage these transitions will play a vital role in this transformation. In this landscape, leadership tactics emphasize fostering creativity across various sectors, overseeing change, and incorporating new technologies into business activities. The ability </w:t>
      </w:r>
      <w:r>
        <w:rPr>
          <w:rFonts w:ascii="Times New Roman" w:eastAsia="Times New Roman" w:hAnsi="Times New Roman" w:cs="Times New Roman"/>
        </w:rPr>
        <w:lastRenderedPageBreak/>
        <w:t>to guide organizations through the difficulties of merging new digital technologies with existing business systems is a crucial aspect of leadership within the context of digital shift. These leaders are tasked with anticipating the long-term impacts of the adaptation of technology and understanding how digital practices link to the organization’s frameworks (Sacavem et al., 2025). In the United Kingdom, the adaptation of advanced technologies has profoundly influenced organizational frameworks. Evidence suggests that the shutdown of bank branches and removal of staff (Kornelakis et al., 2022) has resulted in the removal of various traditional management roles. At the same time, new managerial positions have surfaced, such as innovation managers and heads of technology departments, reflecting the changing demands of technology-oriented business (Campanella et al., 2017). Additionally, human resource management activities are increasingly carried out through digital systems and applications. Artificial intelligence (AI) technology is being used by businesses more frequently to improve the speed and efficiency of their hiring and selection processes for employees. AI applications are used in many phases of the hiring process, including creating job advertisements, reviewing resumes, and using face recognition software or authentication to analyze video interviews. The ethicality of these AI applications must be thoroughly studied because these new technologies have a significant impact on people's lives and professions yet frequently raise ethical questions (Hunkenschroer and Luetge, 2022). While these advancements improve efficiency and accuracy, they also bring potential loopholes as challenges. For example, applicants may give deceptive answers or fill out application forms untruthfully, which hinders the ability to evaluate their capabilities in real-world situations. As a result, these practices introduce risks that could undermine the accuracy and effectiveness of candidate assessment.</w:t>
      </w:r>
    </w:p>
    <w:p w14:paraId="668DA5E5" w14:textId="77777777" w:rsidR="0094685B" w:rsidRDefault="00000000">
      <w:pPr>
        <w:pStyle w:val="Heading1"/>
        <w:rPr>
          <w:rFonts w:ascii="Times New Roman" w:eastAsia="Times New Roman" w:hAnsi="Times New Roman" w:cs="Times New Roman"/>
          <w:b/>
          <w:bCs/>
          <w:color w:val="000000"/>
          <w:sz w:val="24"/>
          <w:szCs w:val="24"/>
        </w:rPr>
      </w:pPr>
      <w:bookmarkStart w:id="21" w:name="_Toc214371646"/>
      <w:r>
        <w:rPr>
          <w:rFonts w:ascii="Times New Roman" w:eastAsia="Times New Roman" w:hAnsi="Times New Roman" w:cs="Times New Roman"/>
          <w:b/>
          <w:bCs/>
          <w:color w:val="000000"/>
          <w:sz w:val="24"/>
          <w:szCs w:val="24"/>
        </w:rPr>
        <w:t>5.2 Improving technology literacy and responsibilities of managers in the banking sector</w:t>
      </w:r>
      <w:bookmarkEnd w:id="21"/>
    </w:p>
    <w:p w14:paraId="632242FE"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In today's digital age, the financial organization is significantly affected by technological advancements. To take effective advantage of technologies such as mobile banking, mobile payments, and internet banking for customers, it is crucial to provide awareness of the terms and conditions, usage instructions, and benefits (Ullah et al., 2022). Promoting technological understanding among customers leads to increased usage and acceptance of digital banking services, which increases their confidence in these systems and aligns with the strategic goals of financial organizations. Similarly, employees who develop a solid grasp improves productivity </w:t>
      </w:r>
      <w:r>
        <w:rPr>
          <w:rFonts w:ascii="Times New Roman" w:eastAsia="Times New Roman" w:hAnsi="Times New Roman" w:cs="Times New Roman"/>
        </w:rPr>
        <w:lastRenderedPageBreak/>
        <w:t xml:space="preserve">and enables more effective execution of tasks. Leading digital advancement requires dedicated management in charge of awareness campaigns, communication, and assisting staff members in changing their perspectives to embrace new technologies. Supervisors should be in charge of automated processes and technological integration and make sure that digital means improve customer interactions without sacrificing effectiveness (Nesindande et al., 2024). Therefore, not fully capitalizing on investments made in technological advancement systems can hinder a bank's capacity to meet its organizational objectives, but fostering technology knowledge is also essential for guaranteeing the successful, efficient, and sustainable functioning of banking sectors. </w:t>
      </w:r>
    </w:p>
    <w:p w14:paraId="3470ED54"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Even in the field of sustainable banking services, the Artificially Intelligent Device Use Acceptance (AIDUA) model provides important insights into the ways in which technological literacy influences the digital banking solutions acceptance. The level of technological literacy significantly impacts customers' willingness to adopt practical implications for sustainable banking technologies (Affandi et al., 2024). The effectiveness and dependability of the AIDUA model in evaluating customer acceptance of AIDs in sustainable banking services reveal that customer acceptance develops through three separate stages. At first, consumers’ perceptions of social influence (SI), hedonic motivation (HM), and perceived anthropomorphism (PA) have a positive impact on their green performance expectancy (GPE) and green effort expectancy (GEE) concerning AIDs. Nonetheless, higher GPE and GEE among bank clients lead to more powerful pleasant feelings, which significantly enhance the usage of AIDs and lower resistance to their implementation. Additionally, it is determined that technological awareness plays a crucial moderating role in the relationship between green performance expectancy and customer emotions regarding the adoption of AIDs, underscoring its significance in promoting sustainable banking efforts (Mei et al., 2024). The important role of Fintech adoption in promoting banking sustainability and identifying digital awareness as a mediating factor between sustainable finance and the adoption of Fintech.</w:t>
      </w:r>
    </w:p>
    <w:p w14:paraId="6B4D8E4C"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Additionally, technology for digital marketing entails utilizing various online digital mediums for promotional activities and market research, leveraging tools like social networks (Suparno et al., 2023). Digital marketing refers to promotional efforts that utilize online media, meaning that any marketing campaigns conducted through online or social networking platforms or mobile apps come under the umbrella of digital marketing . A commonly employed digital marketing strategy by companies involves using social media to promote their products across multiple platforms </w:t>
      </w:r>
      <w:r>
        <w:rPr>
          <w:rFonts w:ascii="Times New Roman" w:eastAsia="Times New Roman" w:hAnsi="Times New Roman" w:cs="Times New Roman"/>
        </w:rPr>
        <w:lastRenderedPageBreak/>
        <w:t xml:space="preserve">beyond the geographical boundaries. The marketing approach can be carried out through online platforms, smartphones, messages, blogs, social applications, and  many more ways. According to Affandi et al. (2024), adoption of digital marketing is closely related to an increase in sales. </w:t>
      </w:r>
    </w:p>
    <w:p w14:paraId="1958F133"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Businesses that actively promote themselves online outperform those that exclusively use traditional techniques. Businesses can grow outside local markets due to digital marketing, which increases their competitiveness in the global market. It assists small businesses in expanding their customer base and overcoming geographical limitations. It complements digital payments and e-commerce. When combined, these procedures produce a more contemporary, successful business strategy that escalates expansion and client interaction. It is viewed as more effective in helping potential customers gather information regarding products and services. In essence, digital marketing can reach individuals regardless of their location and has the ability to increase consumers and loyalty. Similarly, the marketing strategy adapted focuses not just on selling products but also on building relationships between banks and customers, both before and after they become customers (Then and Felisa, 2021). </w:t>
      </w:r>
    </w:p>
    <w:p w14:paraId="0429E11C"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Moreover, consumers perceive digital marketing strategies as informative, engaging, entertaining, and credible, but generally not as personalized or intrusive. Additionally, there are no notable differences among customers of varying educational backgrounds and job categories in their perceptions of digital marketing; however, significant differences were observed among customers based on their age and income. This finding has valuable implications for marketing professionals, as understanding customer preferences and perceptions of digital marketing can help them predict its effectiveness (Pruthi &amp; Bansal, 2024).</w:t>
      </w:r>
    </w:p>
    <w:p w14:paraId="55ADAFC2" w14:textId="77777777" w:rsidR="0094685B" w:rsidRDefault="00000000">
      <w:pPr>
        <w:pStyle w:val="Heading1"/>
        <w:rPr>
          <w:rFonts w:ascii="Times New Roman" w:eastAsia="Times New Roman" w:hAnsi="Times New Roman" w:cs="Times New Roman"/>
          <w:b/>
          <w:bCs/>
          <w:color w:val="000000"/>
          <w:sz w:val="24"/>
          <w:szCs w:val="24"/>
        </w:rPr>
      </w:pPr>
      <w:bookmarkStart w:id="22" w:name="_Toc214371647"/>
      <w:r>
        <w:rPr>
          <w:rFonts w:ascii="Times New Roman" w:eastAsia="Times New Roman" w:hAnsi="Times New Roman" w:cs="Times New Roman"/>
          <w:b/>
          <w:bCs/>
          <w:color w:val="000000"/>
          <w:sz w:val="24"/>
          <w:szCs w:val="24"/>
        </w:rPr>
        <w:t>6. Overcoming technological advancement challenges: Evolving managerial roles, cybersecurity, and strategic technological integration in the UK banking sector</w:t>
      </w:r>
      <w:bookmarkEnd w:id="22"/>
    </w:p>
    <w:p w14:paraId="033C9559"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The banking sector has frequently encountered difficulties in overcoming obstacles to technological advancement. The important strategies for tackling these issues, such as addressing resistance to transformation, safeguarding data privacy and security, and encouraging the effective use of technological innovations. Effectively dealing with these elements is crucial for enabling the adoption of new technologies and improving the overall efficiency and competitiveness of financial organizations (Kornelakis et al., 2022).</w:t>
      </w:r>
    </w:p>
    <w:p w14:paraId="463A3213" w14:textId="77777777" w:rsidR="0094685B" w:rsidRDefault="00000000">
      <w:pPr>
        <w:pStyle w:val="Heading1"/>
        <w:rPr>
          <w:rFonts w:ascii="Times New Roman" w:eastAsia="Times New Roman" w:hAnsi="Times New Roman" w:cs="Times New Roman"/>
          <w:b/>
          <w:bCs/>
          <w:color w:val="000000"/>
          <w:sz w:val="24"/>
          <w:szCs w:val="24"/>
        </w:rPr>
      </w:pPr>
      <w:bookmarkStart w:id="23" w:name="_Toc214371648"/>
      <w:r>
        <w:rPr>
          <w:rFonts w:ascii="Times New Roman" w:eastAsia="Times New Roman" w:hAnsi="Times New Roman" w:cs="Times New Roman"/>
          <w:b/>
          <w:bCs/>
          <w:color w:val="000000"/>
          <w:sz w:val="24"/>
          <w:szCs w:val="24"/>
        </w:rPr>
        <w:lastRenderedPageBreak/>
        <w:t>6.1 Transforming managerial roles and theoretical foundations in the age of digital technologies</w:t>
      </w:r>
      <w:bookmarkEnd w:id="23"/>
    </w:p>
    <w:p w14:paraId="419FEC54"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Utilizing technology after it's implemented is essential, but it has always been difficult to adjust to changes in the business environment. There will be anxiety over how to use the technology, whether I can do it or not, and how to transition from the existing workflow to a new one without disrupting it. Alternatively, the banks need a culture of adaptability, forward-thinking, and creativity. These would be cultures where employees are free to try new things and make errors without any fear of the consequences (Nesindande et al., 2024). Furthermore, encouraging organizational flexibility, building employee trust, and maintaining constant communication are essential elements that help to reduce the resistance to change.</w:t>
      </w:r>
    </w:p>
    <w:p w14:paraId="2F3A32CD"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Also, organizations need to be ready to handle these difficulties of resistance to change. The main thing that will help to answer those questions and reduce the employees' fear is communication between them and the managerial leaders. Employees should receive thorough explanations and awareness about the technology's applications and advantages for both the company and the individuals (Nesindande et al., 2024). For employees to successfully adapt to new work practices, a mental shift was necessary; those who were receptive to change showed greater levels of performance and integration. These shifts were made possible by the creation of a professional change management team, which offered ongoing assistance and strategic direction during this transformation process.</w:t>
      </w:r>
    </w:p>
    <w:p w14:paraId="66BBA59B"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Additionally, organizations need to consult employees about their opinions and attitudes regarding technological innovation and involve them in decision-making. These qualities feel liked and respected, which will help them mentally prepare for adaptation. Furthermore, providing training, expert guidance, and desire to work will encourage their ethical thinking and facilitate easy adaptation (Kornelakis et al., 2022). It helps them adjust to the shift and become tech-savvy. Besides, investing in them may raise questions about the continuation of their employment with the existing organization. In the opportunist world, it has always been difficult to keep employees for extended periods of time in the same organization. Although, there are occasionally those with conservative views who are willing to resist change. In those situations, a person's viewpoint, attitudes, age, etc., may also have an impact on how successfully they adapt to technological advancements.</w:t>
      </w:r>
    </w:p>
    <w:p w14:paraId="47CD21EC" w14:textId="77777777" w:rsidR="0094685B" w:rsidRDefault="00000000">
      <w:pPr>
        <w:pStyle w:val="Heading1"/>
        <w:rPr>
          <w:rFonts w:ascii="Times New Roman" w:eastAsia="Times New Roman" w:hAnsi="Times New Roman" w:cs="Times New Roman"/>
          <w:b/>
          <w:bCs/>
          <w:color w:val="000000"/>
          <w:sz w:val="24"/>
          <w:szCs w:val="24"/>
        </w:rPr>
      </w:pPr>
      <w:bookmarkStart w:id="24" w:name="_Toc214371649"/>
      <w:r>
        <w:rPr>
          <w:rFonts w:ascii="Times New Roman" w:eastAsia="Times New Roman" w:hAnsi="Times New Roman" w:cs="Times New Roman"/>
          <w:b/>
          <w:bCs/>
          <w:color w:val="000000"/>
          <w:sz w:val="24"/>
          <w:szCs w:val="24"/>
        </w:rPr>
        <w:lastRenderedPageBreak/>
        <w:t>6.2 Cybersecurity and risk management in the implementation of technological advancement in UK banking</w:t>
      </w:r>
      <w:bookmarkEnd w:id="24"/>
      <w:r>
        <w:rPr>
          <w:rFonts w:ascii="Times New Roman" w:eastAsia="Times New Roman" w:hAnsi="Times New Roman" w:cs="Times New Roman"/>
          <w:b/>
          <w:bCs/>
          <w:color w:val="000000"/>
          <w:sz w:val="24"/>
          <w:szCs w:val="24"/>
        </w:rPr>
        <w:t xml:space="preserve"> </w:t>
      </w:r>
    </w:p>
    <w:p w14:paraId="239B22D1"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By providing secure, transparent transaction records and enhancing identity verification procedures, new technologies like blockchain and biometric authentication provide significant opportunities for reducing security weaknesses. Regulatory technology (RegTech) strengthens organizational resilience by offering cutting-edge solutions for enhancing regulation, detecting fraud, and real-time monitoring. Systemic resilience and risk reduction  may be improved by banks and FinTech companies working together to build strong cybersecurity plans. Additionally, putting in place strong cybersecurity procedures increases consumer confidence in online banking systems, which promotes a wider use of FinTech services (Varma et al., 2022). As well, fintech technologies have increased exposure to fraud and cyber threats by introducing new risks, such as access to payment systems and cryptocurrency data. Banks may become unstable if disruptive technologies are heavily invested in without sufficient protections. Furthermore, faulty automated decision-making processes can lead to mistakes, prejudice, and legal issues, highlighting the necessity of strong digital governance and moral supervision.</w:t>
      </w:r>
    </w:p>
    <w:p w14:paraId="11937BBA" w14:textId="77777777" w:rsidR="0094685B" w:rsidRDefault="00000000">
      <w:pPr>
        <w:pStyle w:val="Heading1"/>
        <w:rPr>
          <w:rFonts w:ascii="Times New Roman" w:eastAsia="Times New Roman" w:hAnsi="Times New Roman" w:cs="Times New Roman"/>
          <w:b/>
          <w:bCs/>
          <w:color w:val="000000"/>
          <w:sz w:val="24"/>
          <w:szCs w:val="24"/>
        </w:rPr>
      </w:pPr>
      <w:bookmarkStart w:id="25" w:name="_Toc214371650"/>
      <w:r>
        <w:rPr>
          <w:rFonts w:ascii="Times New Roman" w:eastAsia="Times New Roman" w:hAnsi="Times New Roman" w:cs="Times New Roman"/>
          <w:b/>
          <w:bCs/>
          <w:color w:val="000000"/>
          <w:sz w:val="24"/>
          <w:szCs w:val="24"/>
        </w:rPr>
        <w:t>6.3 Strategic integration of digital technologies for sustainable competitive advantage in banking</w:t>
      </w:r>
      <w:bookmarkEnd w:id="25"/>
    </w:p>
    <w:p w14:paraId="61FE5334" w14:textId="77777777" w:rsidR="0094685B" w:rsidRDefault="00000000">
      <w:pPr>
        <w:spacing w:after="0" w:line="360" w:lineRule="auto"/>
        <w:ind w:left="-5"/>
        <w:jc w:val="both"/>
        <w:rPr>
          <w:rFonts w:ascii="Times New Roman" w:eastAsia="Times New Roman" w:hAnsi="Times New Roman" w:cs="Times New Roman"/>
        </w:rPr>
      </w:pPr>
      <w:r>
        <w:rPr>
          <w:rFonts w:ascii="Times New Roman" w:eastAsia="Times New Roman" w:hAnsi="Times New Roman" w:cs="Times New Roman"/>
        </w:rPr>
        <w:t>The proper use of digital technologies is becoming more and more important for gaining a competitive edge in the modern banking environment. Adopting open banking frameworks, improving consumer engagement, and digitizing their value chains will put organizations in a better position to develop long-term sustainability. Conversely, relying on outdated legacy systems may hinder adaptability and reduce long-term competitiveness in the marketplace (Sadigh et al., 2021).  Banks can achieve sustainable competitive advantage by strategically utilizing digital technologies. Innovations such as artificial intelligence, blockchain, big data analytics, and cloud computing facilitate process reengineering, service automation, and personalized customer experiences. The adoption of open banking frameworks and integration into digital ecosystems lifts up the customer engagement and generates novel value streams, while value chain digitization improves operational efficiency and organizational agility. Despite persistent challenges posed by legacy infrastructure, cybersecurity risks, and internal resistance to change, the effective implementation of technological capabilities enables banks to develop distinctive, distinctive competencies that underpin long-term strategic positioning (Thakor, 2020).</w:t>
      </w:r>
    </w:p>
    <w:p w14:paraId="74CADA6A" w14:textId="77777777" w:rsidR="0094685B" w:rsidRDefault="00000000">
      <w:pPr>
        <w:spacing w:after="0" w:line="360" w:lineRule="auto"/>
        <w:ind w:left="-5"/>
        <w:jc w:val="both"/>
        <w:rPr>
          <w:rFonts w:ascii="Times New Roman" w:eastAsia="Times New Roman" w:hAnsi="Times New Roman" w:cs="Times New Roman"/>
        </w:rPr>
      </w:pPr>
      <w:r>
        <w:rPr>
          <w:rFonts w:ascii="Times New Roman" w:eastAsia="Times New Roman" w:hAnsi="Times New Roman" w:cs="Times New Roman"/>
        </w:rPr>
        <w:lastRenderedPageBreak/>
        <w:t>Alternatively, technological integration serves as a  vital source of competitive advantage when strategically embedded within organizational business models and environments. Leaders may increase consumer value, foster creativity, and improve operational efficiency by utilizing cutting-edge tools like AI and data analytics. Long-term success in a digitally altered environment also depends on developing organizational agility, building trust, and incorporating sustainability principles (Sacavem et al., 2025).</w:t>
      </w:r>
    </w:p>
    <w:p w14:paraId="2529FD42" w14:textId="77777777" w:rsidR="0094685B" w:rsidRDefault="00000000">
      <w:pPr>
        <w:pStyle w:val="Heading1"/>
        <w:rPr>
          <w:rFonts w:ascii="Times New Roman" w:eastAsia="Times New Roman" w:hAnsi="Times New Roman" w:cs="Times New Roman"/>
          <w:b/>
          <w:bCs/>
          <w:color w:val="000000"/>
          <w:sz w:val="24"/>
          <w:szCs w:val="24"/>
        </w:rPr>
      </w:pPr>
      <w:bookmarkStart w:id="26" w:name="_Toc214371651"/>
      <w:r>
        <w:rPr>
          <w:rFonts w:ascii="Times New Roman" w:eastAsia="Times New Roman" w:hAnsi="Times New Roman" w:cs="Times New Roman"/>
          <w:b/>
          <w:bCs/>
          <w:color w:val="000000"/>
          <w:sz w:val="24"/>
          <w:szCs w:val="24"/>
        </w:rPr>
        <w:t>6.4 Balancing strategic gains and implementation costs of technological advancement in the banking sector</w:t>
      </w:r>
      <w:bookmarkEnd w:id="26"/>
    </w:p>
    <w:p w14:paraId="56E5A46B"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banking sector's adaptation of digital technology, including digital accounting or any digital software and applications, highlights the dual nature of technological innovation, which presents both significant costs and strategic benefits. Transparency, operational effectiveness, and data-driven decision-making are all improved by the use of cutting-edge technologies like blockchain, big data analytics, cloud computing, and AI. However, these advantages come with substantial additional costs, including system purchases, staff training, process reorganization, and cybersecurity improvement. Automation lowers costs over time; however, during the first transition phase, there are often significant costs associated with system integration, regulatory compliance, and deployment. </w:t>
      </w:r>
    </w:p>
    <w:p w14:paraId="42E175BC" w14:textId="77777777" w:rsidR="0094685B" w:rsidRDefault="00000000">
      <w:pPr>
        <w:pStyle w:val="Heading1"/>
        <w:rPr>
          <w:rFonts w:ascii="Times New Roman" w:eastAsia="Times New Roman" w:hAnsi="Times New Roman" w:cs="Times New Roman"/>
          <w:b/>
          <w:bCs/>
          <w:color w:val="000000"/>
          <w:sz w:val="24"/>
          <w:szCs w:val="24"/>
        </w:rPr>
      </w:pPr>
      <w:bookmarkStart w:id="27" w:name="_Toc214371652"/>
      <w:r>
        <w:rPr>
          <w:rFonts w:ascii="Times New Roman" w:eastAsia="Times New Roman" w:hAnsi="Times New Roman" w:cs="Times New Roman"/>
          <w:b/>
          <w:bCs/>
          <w:color w:val="000000"/>
          <w:sz w:val="24"/>
          <w:szCs w:val="24"/>
        </w:rPr>
        <w:t>7. Conclusion and Recommendations</w:t>
      </w:r>
      <w:bookmarkEnd w:id="27"/>
      <w:r>
        <w:rPr>
          <w:rFonts w:ascii="Times New Roman" w:eastAsia="Times New Roman" w:hAnsi="Times New Roman" w:cs="Times New Roman"/>
          <w:b/>
          <w:bCs/>
          <w:color w:val="000000"/>
          <w:sz w:val="24"/>
          <w:szCs w:val="24"/>
        </w:rPr>
        <w:t xml:space="preserve"> </w:t>
      </w:r>
    </w:p>
    <w:p w14:paraId="5E6E9778" w14:textId="77777777" w:rsidR="0094685B" w:rsidRDefault="00000000">
      <w:pPr>
        <w:pStyle w:val="Heading1"/>
        <w:rPr>
          <w:rFonts w:ascii="Times New Roman" w:eastAsia="Times New Roman" w:hAnsi="Times New Roman" w:cs="Times New Roman"/>
          <w:b/>
          <w:bCs/>
          <w:color w:val="000000"/>
          <w:sz w:val="24"/>
          <w:szCs w:val="24"/>
        </w:rPr>
      </w:pPr>
      <w:bookmarkStart w:id="28" w:name="_Toc214371653"/>
      <w:r>
        <w:rPr>
          <w:rFonts w:ascii="Times New Roman" w:eastAsia="Times New Roman" w:hAnsi="Times New Roman" w:cs="Times New Roman"/>
          <w:b/>
          <w:bCs/>
          <w:color w:val="000000"/>
          <w:sz w:val="24"/>
          <w:szCs w:val="24"/>
        </w:rPr>
        <w:t>7.1. Conclusion</w:t>
      </w:r>
      <w:bookmarkEnd w:id="28"/>
    </w:p>
    <w:p w14:paraId="53B5BF31"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Technological innovation has become a vital factor that is reshaping the organizational structures and managerial practices of UK banking sectors. The sector’s progression from traditional hierarchical approaches to more flexible, digitally enhanced frameworks underscores the growing importance of AI, cloud computing, automation, and data analytics in enhancing operational effectiveness and gaining a competitive edge. These technologies have not only optimized processes and enhanced decision-making but have also changed customer expectations, requiring an emphasis on personalized services, cross-functional interaction, and real-time responsiveness. Consequently, managers are increasingly required to acquire abilities that include technological literacy, strategic agility, innovative-oriented managerial skills, and an in-depth knowledge of moral and legal requirements.</w:t>
      </w:r>
    </w:p>
    <w:p w14:paraId="7E74AA84"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Furthermore, the impact of technological advancement extends beyond structural changes to influence workplace ethics and culture, workforce composition, and the  distribution of managerial roles and responsibilities. Automation has reduced routine tasks, catalyzing a movement towards roles that require analytical, creative, and advanced technical skills. Simultaneously, the reconfiguration and displacement of jobs raise prominent ethical considerations pertaining to job security, digital inclusion, and employee well-being. This sector continues to confront significant challenges, including cybersecurity risks, system constraints, installation and upgrade costs, and disparate levels of technological adoption among employees and customers. These challenges highlight the need for sustained investment in infrastructure, workforce training, and thorough change management to facilitate successful digital transformation.</w:t>
      </w:r>
    </w:p>
    <w:p w14:paraId="5CBE837C"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Overall, the available evidence indicates that the future competitiveness of UK banks will depend on their ability to balance innovation with accountable management and human-centered organizational development. In addition, attaining lasting technological integration requires not only advanced digital infrastructure but also capable leadership, a digitally proficient workforce, and transparent, moral-ethics practices that build user trust and ensure legal compliance. As UK banks navigate an increasingly complex digital environment, fostering adaptability, encouraging cross-functional collaboration, and strengthening organizational resilience will be essential to achieving long-term success and maintaining their dominant position within the global financial sector.</w:t>
      </w:r>
    </w:p>
    <w:p w14:paraId="13C71DDE" w14:textId="77777777" w:rsidR="0094685B" w:rsidRDefault="00000000">
      <w:pPr>
        <w:pStyle w:val="Heading1"/>
        <w:rPr>
          <w:rFonts w:ascii="Times New Roman" w:eastAsia="Times New Roman" w:hAnsi="Times New Roman" w:cs="Times New Roman"/>
          <w:b/>
          <w:bCs/>
          <w:color w:val="000000"/>
          <w:sz w:val="24"/>
          <w:szCs w:val="24"/>
        </w:rPr>
      </w:pPr>
      <w:bookmarkStart w:id="29" w:name="_Toc214371654"/>
      <w:r>
        <w:rPr>
          <w:rFonts w:ascii="Times New Roman" w:eastAsia="Times New Roman" w:hAnsi="Times New Roman" w:cs="Times New Roman"/>
          <w:b/>
          <w:bCs/>
          <w:color w:val="000000"/>
          <w:sz w:val="24"/>
          <w:szCs w:val="24"/>
        </w:rPr>
        <w:t>7.2 Recommendation</w:t>
      </w:r>
      <w:bookmarkEnd w:id="29"/>
    </w:p>
    <w:p w14:paraId="58D17DC0"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The UK banking sector ought to conduct an extensive set of organizational, technological, and strategic initiatives with the goal to achieve a sustainable and successful digital transformation. Primarily, the developing of strong digital leadership is essential for navigating complexities of technological change. This necessitates ongoing professional development for managers, with a focus on digital literacy, data-driven decision-making, ethical technology implementation, and change management. Leadership should promote an developing culture characterized by innovation, cross-functional collaboration, and organizational learning, thereby enhancing staff adaptability to evolving digital requirements.</w:t>
      </w:r>
    </w:p>
    <w:p w14:paraId="77D2201D"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Secondly, banks must elevate the technological proficiency of their workforce through training, digital advancement, and continuous support. Widespread technological awareness at all </w:t>
      </w:r>
      <w:r>
        <w:rPr>
          <w:rFonts w:ascii="Times New Roman" w:eastAsia="Times New Roman" w:hAnsi="Times New Roman" w:cs="Times New Roman"/>
        </w:rPr>
        <w:lastRenderedPageBreak/>
        <w:t>organizational levels is essential for reducing resistance to change and facilitating technological system adoption. Training programs should be inclusive and customized to varying digital proficiencies, ensuring employee involvement and confidence throughout the transformation. Moreover, including employees and taking their viewpoint in technology-related decision-making discussions can improve organizational cohesiveness and acceptance.</w:t>
      </w:r>
    </w:p>
    <w:p w14:paraId="5326F1EB"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Thirdly, the modernization of legacy systems is crucial for operational agility and integration with emerging technologies. Banks should transition to cloud-based infrastructures, implement open-banking designs, and prioritize accessibility to promote innovation and external partnerships. These advancements must be supported by enhanced cybersecurity measures such as advanced threat detection, biometric authentication, and rigorous data governance to mitigate the increasing risks of cybercrime, data breaches, and algorithmic vulnerabilities.</w:t>
      </w:r>
    </w:p>
    <w:p w14:paraId="181BA81A"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Furthermore, the establishment of strict ethical standards is crucial for responsible technology use, especially regarding AI, data analytics, and automated decision-making. Transparent governance, regular audits, and bias prevention are necessary to maintain public trust and regulatory compliance. Customer-centric activities such as accessible digital education, user-friendly platform designs, and targeted support for digitally marginalized groups are also essential for ensuring full participation in digital banking services.</w:t>
      </w:r>
    </w:p>
    <w:p w14:paraId="780CBE37" w14:textId="77777777" w:rsidR="0094685B"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Finally, the implementation of agile organizational structures will promote rapid development and effective cross-functional collaboration. This includes forming interdisciplinary teams, streamlining routes of communication, and embracing continuous improvement techniques. Strategic cost–benefit analyses should underpin technological investments to ensure alignment with long-term organizational goals. Collectively, these recommendations aim to improve sectoral resilience, maximize service delivery, and position UK banks for enduring competitiveness within an increasingly digital financial landscape.</w:t>
      </w:r>
    </w:p>
    <w:p w14:paraId="1BEA3CD8" w14:textId="77777777" w:rsidR="0094685B" w:rsidRDefault="0094685B">
      <w:pPr>
        <w:spacing w:after="0" w:line="360" w:lineRule="auto"/>
        <w:jc w:val="both"/>
        <w:rPr>
          <w:rFonts w:ascii="Times New Roman" w:eastAsia="Times New Roman" w:hAnsi="Times New Roman" w:cs="Times New Roman"/>
        </w:rPr>
      </w:pPr>
    </w:p>
    <w:p w14:paraId="042CDD80" w14:textId="77777777" w:rsidR="0094685B" w:rsidRDefault="0094685B">
      <w:pPr>
        <w:spacing w:after="0" w:line="360" w:lineRule="auto"/>
        <w:jc w:val="both"/>
        <w:rPr>
          <w:rFonts w:ascii="Times New Roman" w:eastAsia="Times New Roman" w:hAnsi="Times New Roman" w:cs="Times New Roman"/>
        </w:rPr>
      </w:pPr>
    </w:p>
    <w:p w14:paraId="483A1F5D" w14:textId="77777777" w:rsidR="0094685B" w:rsidRDefault="0094685B">
      <w:pPr>
        <w:spacing w:after="0" w:line="360" w:lineRule="auto"/>
        <w:jc w:val="both"/>
        <w:rPr>
          <w:rFonts w:ascii="Times New Roman" w:eastAsia="Times New Roman" w:hAnsi="Times New Roman" w:cs="Times New Roman"/>
        </w:rPr>
      </w:pPr>
    </w:p>
    <w:p w14:paraId="78D1FE89" w14:textId="77777777" w:rsidR="0094685B" w:rsidRDefault="0094685B">
      <w:pPr>
        <w:spacing w:after="0" w:line="360" w:lineRule="auto"/>
        <w:jc w:val="both"/>
        <w:rPr>
          <w:rFonts w:ascii="Times New Roman" w:eastAsia="Times New Roman" w:hAnsi="Times New Roman" w:cs="Times New Roman"/>
        </w:rPr>
      </w:pPr>
    </w:p>
    <w:p w14:paraId="2B1EC01D" w14:textId="77777777" w:rsidR="0094685B" w:rsidRDefault="0094685B">
      <w:pPr>
        <w:spacing w:after="0" w:line="360" w:lineRule="auto"/>
        <w:jc w:val="both"/>
        <w:rPr>
          <w:rFonts w:ascii="Times New Roman" w:eastAsia="Times New Roman" w:hAnsi="Times New Roman" w:cs="Times New Roman"/>
        </w:rPr>
      </w:pPr>
    </w:p>
    <w:p w14:paraId="55BCD334" w14:textId="77777777" w:rsidR="0094685B" w:rsidRDefault="0094685B">
      <w:pPr>
        <w:spacing w:after="0" w:line="360" w:lineRule="auto"/>
        <w:jc w:val="both"/>
        <w:rPr>
          <w:rFonts w:ascii="Times New Roman" w:eastAsia="Times New Roman" w:hAnsi="Times New Roman" w:cs="Times New Roman"/>
        </w:rPr>
      </w:pPr>
    </w:p>
    <w:p w14:paraId="47FF5459" w14:textId="77777777" w:rsidR="0094685B" w:rsidRDefault="0094685B">
      <w:pPr>
        <w:spacing w:after="0" w:line="360" w:lineRule="auto"/>
        <w:jc w:val="both"/>
        <w:rPr>
          <w:rFonts w:ascii="Times New Roman" w:eastAsia="Times New Roman" w:hAnsi="Times New Roman" w:cs="Times New Roman"/>
        </w:rPr>
      </w:pPr>
    </w:p>
    <w:p w14:paraId="2F88BD44" w14:textId="77777777" w:rsidR="0094685B" w:rsidRDefault="00000000">
      <w:pPr>
        <w:pStyle w:val="Heading1"/>
        <w:jc w:val="both"/>
        <w:rPr>
          <w:rFonts w:ascii="Times New Roman" w:eastAsia="Times New Roman" w:hAnsi="Times New Roman" w:cs="Times New Roman"/>
          <w:b/>
          <w:bCs/>
          <w:color w:val="000000"/>
          <w:sz w:val="24"/>
          <w:szCs w:val="24"/>
        </w:rPr>
      </w:pPr>
      <w:bookmarkStart w:id="30" w:name="_Toc214371655"/>
      <w:r>
        <w:rPr>
          <w:rFonts w:ascii="Times New Roman" w:eastAsia="Times New Roman" w:hAnsi="Times New Roman" w:cs="Times New Roman"/>
          <w:b/>
          <w:bCs/>
          <w:color w:val="000000"/>
          <w:sz w:val="24"/>
          <w:szCs w:val="24"/>
        </w:rPr>
        <w:lastRenderedPageBreak/>
        <w:t>References</w:t>
      </w:r>
      <w:bookmarkEnd w:id="30"/>
    </w:p>
    <w:p w14:paraId="2BD19C77"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Affandi, Y., Ridhwan, M.M., Trinugroho, I. and Adiwibowo, D.H. (2024)  ‘'Digital adoption, business performance, and financial literacy in ultra-micro, micro, and small enterprises in Indonesia’, </w:t>
      </w:r>
      <w:r>
        <w:rPr>
          <w:rFonts w:ascii="Times New Roman" w:eastAsia="Times New Roman" w:hAnsi="Times New Roman" w:cs="Times New Roman"/>
          <w:i/>
          <w:iCs/>
        </w:rPr>
        <w:t>Research in International Business and Finance</w:t>
      </w:r>
      <w:r>
        <w:rPr>
          <w:rFonts w:ascii="Times New Roman" w:eastAsia="Times New Roman" w:hAnsi="Times New Roman" w:cs="Times New Roman"/>
        </w:rPr>
        <w:t>, 70, pp. 1–17. Available at: https://doi.org/10.1016/j.ribaf.2024.102376</w:t>
      </w:r>
    </w:p>
    <w:p w14:paraId="236C5501"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Al-Okaily, M., Alsmadi, A.A., Alrawashdeh, N., Al-Okaily, A., Oroud, Y. and Al-Gasaymeh, A.S. (2024) ‘The role of digital accounting transformation in the banking industry sector: an integrated model’, </w:t>
      </w:r>
      <w:r>
        <w:rPr>
          <w:rFonts w:ascii="Times New Roman" w:eastAsia="Times New Roman" w:hAnsi="Times New Roman" w:cs="Times New Roman"/>
          <w:i/>
          <w:iCs/>
        </w:rPr>
        <w:t>Journal of Financial Reporting and Accounting</w:t>
      </w:r>
      <w:r>
        <w:rPr>
          <w:rFonts w:ascii="Times New Roman" w:eastAsia="Times New Roman" w:hAnsi="Times New Roman" w:cs="Times New Roman"/>
        </w:rPr>
        <w:t xml:space="preserve">, 22(2), pp. 308–326. Available at: https://doi.org/10.1108/JFRA-04-2023-0214 </w:t>
      </w:r>
    </w:p>
    <w:p w14:paraId="0E05BDB1"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Batiz-Lazo, Bernardo (2009) ‘Emergence and evolution of ATM networks in the UK, 1967–2000’, </w:t>
      </w:r>
      <w:r>
        <w:rPr>
          <w:rFonts w:ascii="Times New Roman" w:eastAsia="Times New Roman" w:hAnsi="Times New Roman" w:cs="Times New Roman"/>
          <w:i/>
          <w:iCs/>
        </w:rPr>
        <w:t>Business History</w:t>
      </w:r>
      <w:r>
        <w:rPr>
          <w:rFonts w:ascii="Times New Roman" w:eastAsia="Times New Roman" w:hAnsi="Times New Roman" w:cs="Times New Roman"/>
        </w:rPr>
        <w:t xml:space="preserve">, 51(1), pp. 1–27. Available at: https://doi.org/10.1080/00076790802602164 </w:t>
      </w:r>
    </w:p>
    <w:p w14:paraId="0D4AD6DE"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Bergendahl, G. and Lindblom, T. (2007) ‘Pricing of Payment Services: A Comparative Analysis of Paper-based Banking and Electronic Banking’, </w:t>
      </w:r>
      <w:r>
        <w:rPr>
          <w:rFonts w:ascii="Times New Roman" w:eastAsia="Times New Roman" w:hAnsi="Times New Roman" w:cs="Times New Roman"/>
          <w:i/>
          <w:iCs/>
        </w:rPr>
        <w:t>The Service Industries Journal</w:t>
      </w:r>
      <w:r>
        <w:rPr>
          <w:rFonts w:ascii="Times New Roman" w:eastAsia="Times New Roman" w:hAnsi="Times New Roman" w:cs="Times New Roman"/>
        </w:rPr>
        <w:t>, 27(6), pp. 687–707. Available at:  https://doi.org/10.1080/02642060701453148</w:t>
      </w:r>
    </w:p>
    <w:p w14:paraId="0B21B288"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Bhuiyan, M.R.I., Akter, M.S. and Islam, S. (2017) ‘The Effects of Technological Innovation on the Banking Sector’, </w:t>
      </w:r>
      <w:r>
        <w:rPr>
          <w:rFonts w:ascii="Times New Roman" w:eastAsia="Times New Roman" w:hAnsi="Times New Roman" w:cs="Times New Roman"/>
          <w:i/>
          <w:iCs/>
        </w:rPr>
        <w:t>Journal of the Knowledge Economy</w:t>
      </w:r>
      <w:r>
        <w:rPr>
          <w:rFonts w:ascii="Times New Roman" w:eastAsia="Times New Roman" w:hAnsi="Times New Roman" w:cs="Times New Roman"/>
        </w:rPr>
        <w:t>, 8, pp. 356–368. Available at: https://doi.org/10.1007/s13132-015-0326-8</w:t>
      </w:r>
    </w:p>
    <w:p w14:paraId="26CAC182"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Binks, M.R. and Ennew, C.T. (1997) ‘The Relationship Between U.K. Banks and Their Small Business Customers’, </w:t>
      </w:r>
      <w:r>
        <w:rPr>
          <w:rFonts w:ascii="Times New Roman" w:eastAsia="Times New Roman" w:hAnsi="Times New Roman" w:cs="Times New Roman"/>
          <w:i/>
          <w:iCs/>
        </w:rPr>
        <w:t>Small Business Economics</w:t>
      </w:r>
      <w:r>
        <w:rPr>
          <w:rFonts w:ascii="Times New Roman" w:eastAsia="Times New Roman" w:hAnsi="Times New Roman" w:cs="Times New Roman"/>
        </w:rPr>
        <w:t>, 9, pp. 167–178. Available at: https://doi.org/10.1023/A:1007923907325</w:t>
      </w:r>
    </w:p>
    <w:p w14:paraId="4B6E513F"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Boccaletti, S., Ferrando, A., Rossi, E. and Rossolini, M. (2024) ‘European SMEs’ growth: the role of market-based finance and public financial support’, </w:t>
      </w:r>
      <w:r>
        <w:rPr>
          <w:rFonts w:ascii="Times New Roman" w:eastAsia="Times New Roman" w:hAnsi="Times New Roman" w:cs="Times New Roman"/>
          <w:i/>
          <w:iCs/>
        </w:rPr>
        <w:t>Small Business Economics</w:t>
      </w:r>
      <w:r>
        <w:rPr>
          <w:rFonts w:ascii="Times New Roman" w:eastAsia="Times New Roman" w:hAnsi="Times New Roman" w:cs="Times New Roman"/>
        </w:rPr>
        <w:t>, 64, pp. 691–727. Available at: https://doi.org/10.1007/s11187-024-00918-y</w:t>
      </w:r>
    </w:p>
    <w:p w14:paraId="622FC07E"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Broby, Daniel (2021) ‘Financial technology and the future of banking’, </w:t>
      </w:r>
      <w:r>
        <w:rPr>
          <w:rFonts w:ascii="Times New Roman" w:eastAsia="Times New Roman" w:hAnsi="Times New Roman" w:cs="Times New Roman"/>
          <w:i/>
          <w:iCs/>
        </w:rPr>
        <w:t>Financial Innovation</w:t>
      </w:r>
      <w:r>
        <w:rPr>
          <w:rFonts w:ascii="Times New Roman" w:eastAsia="Times New Roman" w:hAnsi="Times New Roman" w:cs="Times New Roman"/>
        </w:rPr>
        <w:t>, 7(47), pp. 1–19. Available at: https://doi.org/10.1186/s40854-021-00264-y</w:t>
      </w:r>
    </w:p>
    <w:p w14:paraId="5CF87D1C"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 xml:space="preserve">Buch, C.M., and Goldberg, L.S. (2020) ‘Global Banking: Toward an Assessment of Benefits and Costs’, </w:t>
      </w:r>
      <w:hyperlink r:id="rId14">
        <w:r w:rsidR="0094685B">
          <w:rPr>
            <w:rFonts w:ascii="Times New Roman" w:eastAsia="Times New Roman" w:hAnsi="Times New Roman" w:cs="Times New Roman"/>
            <w:i/>
            <w:iCs/>
            <w:color w:val="000000"/>
          </w:rPr>
          <w:t xml:space="preserve">Annual Review of Financial Economics, </w:t>
        </w:r>
      </w:hyperlink>
      <w:r>
        <w:rPr>
          <w:rFonts w:ascii="Times New Roman" w:eastAsia="Times New Roman" w:hAnsi="Times New Roman" w:cs="Times New Roman"/>
        </w:rPr>
        <w:t xml:space="preserve">614(7947), 12, pp. 141–175. Available at: https://doi.org/10.1146/annurev-financial-021920-112021 </w:t>
      </w:r>
    </w:p>
    <w:p w14:paraId="43E4851F"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Buchholz, Katharina (2024) </w:t>
      </w:r>
      <w:r>
        <w:rPr>
          <w:rFonts w:ascii="Times New Roman" w:eastAsia="Times New Roman" w:hAnsi="Times New Roman" w:cs="Times New Roman"/>
          <w:i/>
          <w:iCs/>
        </w:rPr>
        <w:t>Statista</w:t>
      </w:r>
      <w:r>
        <w:rPr>
          <w:rFonts w:ascii="Times New Roman" w:eastAsia="Times New Roman" w:hAnsi="Times New Roman" w:cs="Times New Roman"/>
        </w:rPr>
        <w:t>. Available at: https://www.statista.com/chart/19423/index-scores-for-global-financial-centers/?srsltid=AfmBOor_YuaGqLuL4nqH7rW2smoMYEoh0Mb1X8SJ3z7LkbALv2c0bcA2 (Accessed: 24 September 2024).</w:t>
      </w:r>
    </w:p>
    <w:p w14:paraId="30D3C9F5"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Campanella, F., Della Peruta, M.R. and Del Giudice, M. (2017) ‘The Effects of Technological Innovation on the Banking Sector’, </w:t>
      </w:r>
      <w:r>
        <w:rPr>
          <w:rFonts w:ascii="Times New Roman" w:eastAsia="Times New Roman" w:hAnsi="Times New Roman" w:cs="Times New Roman"/>
          <w:i/>
          <w:iCs/>
        </w:rPr>
        <w:t>Journal of the knowledge economy</w:t>
      </w:r>
      <w:r>
        <w:rPr>
          <w:rFonts w:ascii="Times New Roman" w:eastAsia="Times New Roman" w:hAnsi="Times New Roman" w:cs="Times New Roman"/>
        </w:rPr>
        <w:t>, 8, pp. 356–368. Available at: https://doi.org/10.1007/s13132-015-0326-8</w:t>
      </w:r>
    </w:p>
    <w:p w14:paraId="47F791B9"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Cohen, Gil (2022) ‘Algorithmic Trading and Financial Forecasting Using Advanced Artificial Intelligence Methodologies’, </w:t>
      </w:r>
      <w:r>
        <w:rPr>
          <w:rFonts w:ascii="Times New Roman" w:eastAsia="Times New Roman" w:hAnsi="Times New Roman" w:cs="Times New Roman"/>
          <w:i/>
          <w:iCs/>
        </w:rPr>
        <w:t>Mathematics </w:t>
      </w:r>
      <w:r>
        <w:rPr>
          <w:rFonts w:ascii="Times New Roman" w:eastAsia="Times New Roman" w:hAnsi="Times New Roman" w:cs="Times New Roman"/>
        </w:rPr>
        <w:t>, 10(3302), pp. 1–13. Available at: https://doi.org/10.3390/math10183302</w:t>
      </w:r>
    </w:p>
    <w:p w14:paraId="7F9E3840"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Department for Digital, Culture, Media &amp; Sport (UK) (2022) </w:t>
      </w:r>
      <w:r>
        <w:rPr>
          <w:rFonts w:ascii="Times New Roman" w:eastAsia="Times New Roman" w:hAnsi="Times New Roman" w:cs="Times New Roman"/>
          <w:i/>
          <w:iCs/>
        </w:rPr>
        <w:t>UK Digital strategy</w:t>
      </w:r>
      <w:r>
        <w:rPr>
          <w:rFonts w:ascii="Times New Roman" w:eastAsia="Times New Roman" w:hAnsi="Times New Roman" w:cs="Times New Roman"/>
        </w:rPr>
        <w:t>. Available at: https://www.gov.uk/government/publications/uks-digital-strategy/uk-digital-strategy (Accessed: 4 October 2022).</w:t>
      </w:r>
    </w:p>
    <w:p w14:paraId="73E0EB7A"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Diener, Florian and Spacek, Miroslav (2021) ‘Digital Transformation in Banking: A Managerial Perspective on Barriers to Change’, </w:t>
      </w:r>
      <w:r>
        <w:rPr>
          <w:rFonts w:ascii="Times New Roman" w:eastAsia="Times New Roman" w:hAnsi="Times New Roman" w:cs="Times New Roman"/>
          <w:i/>
          <w:iCs/>
        </w:rPr>
        <w:t>sustainability</w:t>
      </w:r>
      <w:r>
        <w:rPr>
          <w:rFonts w:ascii="Times New Roman" w:eastAsia="Times New Roman" w:hAnsi="Times New Roman" w:cs="Times New Roman"/>
        </w:rPr>
        <w:t xml:space="preserve">, 13(2032), pp. 1–26. Available at: https://doi.org/10.3390/su13042032 </w:t>
      </w:r>
    </w:p>
    <w:p w14:paraId="16B6ADD2"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Elsaid, H. M. (2023) ‘A review of literature directions regarding the impact of fintech firms on the banking industry’, </w:t>
      </w:r>
      <w:r>
        <w:rPr>
          <w:rFonts w:ascii="Times New Roman" w:eastAsia="Times New Roman" w:hAnsi="Times New Roman" w:cs="Times New Roman"/>
          <w:i/>
          <w:iCs/>
        </w:rPr>
        <w:t>Qualitative Research in Financial Markets</w:t>
      </w:r>
      <w:r>
        <w:rPr>
          <w:rFonts w:ascii="Times New Roman" w:eastAsia="Times New Roman" w:hAnsi="Times New Roman" w:cs="Times New Roman"/>
        </w:rPr>
        <w:t>, 15(5), pp. 693–711. Available at: http://dx.doi.org/10.1108/QRFM-10-2020-0197</w:t>
      </w:r>
    </w:p>
    <w:p w14:paraId="7937068F"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Fares, O.H., Butt, I. and Lee, S.H.M. (2023) ‘Utilization of artificial intelligence in the banking sector: a systematic literature review’, </w:t>
      </w:r>
      <w:r>
        <w:rPr>
          <w:rFonts w:ascii="Times New Roman" w:eastAsia="Times New Roman" w:hAnsi="Times New Roman" w:cs="Times New Roman"/>
          <w:i/>
          <w:iCs/>
        </w:rPr>
        <w:t>Journal of Financial Services Marketing</w:t>
      </w:r>
      <w:r>
        <w:rPr>
          <w:rFonts w:ascii="Times New Roman" w:eastAsia="Times New Roman" w:hAnsi="Times New Roman" w:cs="Times New Roman"/>
        </w:rPr>
        <w:t>, 28, pp. 835–852. Available at: https://doi.org/10.1057/s41264-022-00176-7</w:t>
      </w:r>
    </w:p>
    <w:p w14:paraId="4F03A1C5" w14:textId="77777777" w:rsidR="0094685B" w:rsidRDefault="00000000">
      <w:pPr>
        <w:spacing w:line="360" w:lineRule="auto"/>
        <w:jc w:val="both"/>
        <w:rPr>
          <w:rFonts w:ascii="Times New Roman" w:eastAsia="Times New Roman" w:hAnsi="Times New Roman" w:cs="Times New Roman"/>
          <w:b/>
          <w:bCs/>
        </w:rPr>
      </w:pPr>
      <w:r>
        <w:rPr>
          <w:rFonts w:ascii="Times New Roman" w:eastAsia="Times New Roman" w:hAnsi="Times New Roman" w:cs="Times New Roman"/>
        </w:rPr>
        <w:t>Fayad, M.N., Awdeh, A., Abou Mrad, J., El Mokdad, G. and Nassar, M</w:t>
      </w:r>
      <w:r>
        <w:rPr>
          <w:rFonts w:ascii="Times New Roman" w:eastAsia="Times New Roman" w:hAnsi="Times New Roman" w:cs="Times New Roman"/>
          <w:i/>
          <w:iCs/>
        </w:rPr>
        <w:t>. </w:t>
      </w:r>
      <w:r>
        <w:rPr>
          <w:rFonts w:ascii="Times New Roman" w:eastAsia="Times New Roman" w:hAnsi="Times New Roman" w:cs="Times New Roman"/>
        </w:rPr>
        <w:t>(2025) ‘The Impact of Technological Development on the Productivity of UK Banks’, </w:t>
      </w:r>
      <w:r>
        <w:rPr>
          <w:rFonts w:ascii="Times New Roman" w:eastAsia="Times New Roman" w:hAnsi="Times New Roman" w:cs="Times New Roman"/>
          <w:i/>
          <w:iCs/>
        </w:rPr>
        <w:t>FinTech</w:t>
      </w:r>
      <w:r>
        <w:rPr>
          <w:rFonts w:ascii="Times New Roman" w:eastAsia="Times New Roman" w:hAnsi="Times New Roman" w:cs="Times New Roman"/>
        </w:rPr>
        <w:t>, 4(45), pp. 1–32. Available at: https://doi.org/10.3390/fintech4030045</w:t>
      </w:r>
    </w:p>
    <w:p w14:paraId="5961EC4A"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Felipe, T., Oliveira, R.T.D., Toth-Peter, A., Mathews, S. and Dulleck, U. (2025)  ‘' Digital transformation in commercial banks: Unraveling the flow of Industry 4.0’, </w:t>
      </w:r>
      <w:r>
        <w:rPr>
          <w:rFonts w:ascii="Times New Roman" w:eastAsia="Times New Roman" w:hAnsi="Times New Roman" w:cs="Times New Roman"/>
          <w:i/>
          <w:iCs/>
        </w:rPr>
        <w:t>Digital Business</w:t>
      </w:r>
      <w:r>
        <w:rPr>
          <w:rFonts w:ascii="Times New Roman" w:eastAsia="Times New Roman" w:hAnsi="Times New Roman" w:cs="Times New Roman"/>
        </w:rPr>
        <w:t>, 5, pp. 1–16. Available at: https://doi.org/10.1016/j.digbus.2025.100129</w:t>
      </w:r>
    </w:p>
    <w:p w14:paraId="1CB2B80A"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Fleck, Anna. (2022) </w:t>
      </w:r>
      <w:r>
        <w:rPr>
          <w:rFonts w:ascii="Times New Roman" w:eastAsia="Times New Roman" w:hAnsi="Times New Roman" w:cs="Times New Roman"/>
          <w:i/>
          <w:iCs/>
        </w:rPr>
        <w:t>Statista Digital Economy Ecompass</w:t>
      </w:r>
      <w:r>
        <w:rPr>
          <w:rFonts w:ascii="Times New Roman" w:eastAsia="Times New Roman" w:hAnsi="Times New Roman" w:cs="Times New Roman"/>
        </w:rPr>
        <w:t>. Available at: https://www.statista.com/chart/27561/evolution-of-the-crypto-economy/?srsltid=AfmBOopVomBM-s09Ru3R_OiXu989RDNZVA5NY91okP4-Oc9db8Z07t6_ (Accessed: 2 June 2022).</w:t>
      </w:r>
    </w:p>
    <w:p w14:paraId="0F4B135B"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Gehrig, T. and Iannino, M.C. (2021)  ‘Did the Basel Process of capital regulation enhance the resiliency of European banks?’, </w:t>
      </w:r>
      <w:r>
        <w:rPr>
          <w:rFonts w:ascii="Times New Roman" w:eastAsia="Times New Roman" w:hAnsi="Times New Roman" w:cs="Times New Roman"/>
          <w:i/>
          <w:iCs/>
        </w:rPr>
        <w:t>Journal of Financial Stability</w:t>
      </w:r>
      <w:r>
        <w:rPr>
          <w:rFonts w:ascii="Times New Roman" w:eastAsia="Times New Roman" w:hAnsi="Times New Roman" w:cs="Times New Roman"/>
        </w:rPr>
        <w:t>, 55, pp. 1–25. Available at: https://doi.org/10.1016/j.jfs.2021.100904</w:t>
      </w:r>
    </w:p>
    <w:p w14:paraId="4E32349E"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Haseeb, M., Hussain, H.I., Kot, S., Androniceanu, A. and Jermsittiparsert, K. (2019) ‘Role of Social and Technological Challenges in Achieving a Sustainable Competitive Advantage and Sustainable Business Performance’, </w:t>
      </w:r>
      <w:r>
        <w:rPr>
          <w:rFonts w:ascii="Times New Roman" w:eastAsia="Times New Roman" w:hAnsi="Times New Roman" w:cs="Times New Roman"/>
          <w:i/>
          <w:iCs/>
        </w:rPr>
        <w:t>Sustainability,</w:t>
      </w:r>
      <w:r>
        <w:rPr>
          <w:rFonts w:ascii="Times New Roman" w:eastAsia="Times New Roman" w:hAnsi="Times New Roman" w:cs="Times New Roman"/>
        </w:rPr>
        <w:t xml:space="preserve"> 11(3811), pp. 1–23. Available at: http://dx.doi.org/10.3390/su11143811</w:t>
      </w:r>
    </w:p>
    <w:p w14:paraId="771971D4"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He, P., Huang, L. and Wright, R. (2008) ‘Money, banking, and monetary policy’, </w:t>
      </w:r>
      <w:r>
        <w:rPr>
          <w:rFonts w:ascii="Times New Roman" w:eastAsia="Times New Roman" w:hAnsi="Times New Roman" w:cs="Times New Roman"/>
          <w:i/>
          <w:iCs/>
        </w:rPr>
        <w:t>Journal of Monetary Economics</w:t>
      </w:r>
      <w:r>
        <w:rPr>
          <w:rFonts w:ascii="Times New Roman" w:eastAsia="Times New Roman" w:hAnsi="Times New Roman" w:cs="Times New Roman"/>
        </w:rPr>
        <w:t xml:space="preserve">, 55 (6), pp. 1013–1024. Available at: https://doi.org/10.1016/j.jmoneco.2008.06.004 </w:t>
      </w:r>
    </w:p>
    <w:p w14:paraId="2630C974"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Hunkenschroer, A.L. and Luetge, C. (2022) ‘Ethics of AI-Enabled Recruiting and Selection: A Review and Research Agenda’, </w:t>
      </w:r>
      <w:r>
        <w:rPr>
          <w:rFonts w:ascii="Times New Roman" w:eastAsia="Times New Roman" w:hAnsi="Times New Roman" w:cs="Times New Roman"/>
          <w:i/>
          <w:iCs/>
        </w:rPr>
        <w:t>, Journal of Business Ethics</w:t>
      </w:r>
      <w:r>
        <w:rPr>
          <w:rFonts w:ascii="Times New Roman" w:eastAsia="Times New Roman" w:hAnsi="Times New Roman" w:cs="Times New Roman"/>
        </w:rPr>
        <w:t>, 178, pp. 977–1007. Available at: https://doi.org/10.1007/s10551-022-05049-6</w:t>
      </w:r>
    </w:p>
    <w:p w14:paraId="38AD2F4C"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Iuga I.C. (2025) ‘Impact of governance and technological progress on internet banking adoption across two major 21st century crises’, C</w:t>
      </w:r>
      <w:r>
        <w:rPr>
          <w:rFonts w:ascii="Times New Roman" w:eastAsia="Times New Roman" w:hAnsi="Times New Roman" w:cs="Times New Roman"/>
          <w:i/>
          <w:iCs/>
        </w:rPr>
        <w:t>ogent Business &amp; Management</w:t>
      </w:r>
      <w:r>
        <w:rPr>
          <w:rFonts w:ascii="Times New Roman" w:eastAsia="Times New Roman" w:hAnsi="Times New Roman" w:cs="Times New Roman"/>
        </w:rPr>
        <w:t>, 12(1), pp. 1–22. Available at: https://doi.org/10.1080/23311975.2025.2469772</w:t>
      </w:r>
    </w:p>
    <w:p w14:paraId="66FC4D60"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Kaur, N., Sahdev, S.L., Sharma, D.M., and Siddiqui, L. (2020) ‘BANKING 4.0: “THE INFLUENCE OF ARTIFICIAL INTELLIGENCE ON THE BANKING INDUSTRY &amp; HOW AI IS CHANGING THE FACE OF MODERN DAY BANKS’, </w:t>
      </w:r>
      <w:r>
        <w:rPr>
          <w:rFonts w:ascii="Times New Roman" w:eastAsia="Times New Roman" w:hAnsi="Times New Roman" w:cs="Times New Roman"/>
          <w:i/>
          <w:iCs/>
        </w:rPr>
        <w:t>International Journal of Management (IJM)</w:t>
      </w:r>
      <w:r>
        <w:rPr>
          <w:rFonts w:ascii="Times New Roman" w:eastAsia="Times New Roman" w:hAnsi="Times New Roman" w:cs="Times New Roman"/>
        </w:rPr>
        <w:t xml:space="preserve">, 11(6), pp. 577–585. Available at: https://doi.org/10.34218/IJM.11.6.2020.049 </w:t>
      </w:r>
    </w:p>
    <w:p w14:paraId="783142C0" w14:textId="77777777" w:rsidR="0094685B" w:rsidRDefault="0094685B">
      <w:pPr>
        <w:spacing w:line="360" w:lineRule="auto"/>
        <w:jc w:val="both"/>
        <w:rPr>
          <w:rFonts w:ascii="Times New Roman" w:eastAsia="Times New Roman" w:hAnsi="Times New Roman" w:cs="Times New Roman"/>
        </w:rPr>
      </w:pPr>
    </w:p>
    <w:p w14:paraId="14DAA8A7"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Kornelakis, A., Kirov, V., and Thill, P. (2022)  ‘'The digitalisation of service work: A comparative study of restructuring of the banking sector in the United Kingdom and Luxembourg’, </w:t>
      </w:r>
      <w:r>
        <w:rPr>
          <w:rFonts w:ascii="Times New Roman" w:eastAsia="Times New Roman" w:hAnsi="Times New Roman" w:cs="Times New Roman"/>
          <w:i/>
          <w:iCs/>
        </w:rPr>
        <w:t>European Journal of Industrial Relations</w:t>
      </w:r>
      <w:r>
        <w:rPr>
          <w:rFonts w:ascii="Times New Roman" w:eastAsia="Times New Roman" w:hAnsi="Times New Roman" w:cs="Times New Roman"/>
        </w:rPr>
        <w:t>, 28(3), pp. 253–272. Available at: https://doi.org/10.1177/09596801211056829</w:t>
      </w:r>
    </w:p>
    <w:p w14:paraId="2384CD89"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Kraus, S., Durst, S., Ferreira, J.J., Veiga, P., Kailer, N. and Weinmann, A. (2022) ‘Digital transformation in business and management research: An overview of the current status quo’, </w:t>
      </w:r>
      <w:r>
        <w:rPr>
          <w:rFonts w:ascii="Times New Roman" w:eastAsia="Times New Roman" w:hAnsi="Times New Roman" w:cs="Times New Roman"/>
          <w:i/>
          <w:iCs/>
        </w:rPr>
        <w:t>International Journal of Information Management</w:t>
      </w:r>
      <w:r>
        <w:rPr>
          <w:rFonts w:ascii="Times New Roman" w:eastAsia="Times New Roman" w:hAnsi="Times New Roman" w:cs="Times New Roman"/>
        </w:rPr>
        <w:t>, 63, pp. 1–18. Available at: https://doi.org/10.1016/j.ijinfomgt.2021.102466</w:t>
      </w:r>
    </w:p>
    <w:p w14:paraId="38CDC375"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Kretschmer, T. and Khashabi</w:t>
      </w:r>
      <w:r>
        <w:rPr>
          <w:rFonts w:ascii="Times New Roman" w:eastAsia="Times New Roman" w:hAnsi="Times New Roman" w:cs="Times New Roman"/>
          <w:i/>
          <w:iCs/>
        </w:rPr>
        <w:t xml:space="preserve">, </w:t>
      </w:r>
      <w:r>
        <w:rPr>
          <w:rFonts w:ascii="Times New Roman" w:eastAsia="Times New Roman" w:hAnsi="Times New Roman" w:cs="Times New Roman"/>
        </w:rPr>
        <w:t>P.,</w:t>
      </w:r>
      <w:r>
        <w:rPr>
          <w:rFonts w:ascii="Times New Roman" w:eastAsia="Times New Roman" w:hAnsi="Times New Roman" w:cs="Times New Roman"/>
          <w:i/>
          <w:iCs/>
        </w:rPr>
        <w:t> </w:t>
      </w:r>
      <w:r>
        <w:rPr>
          <w:rFonts w:ascii="Times New Roman" w:eastAsia="Times New Roman" w:hAnsi="Times New Roman" w:cs="Times New Roman"/>
        </w:rPr>
        <w:t>(2020) ‘Digital Transformation and Organization Design: An Integrated Approach’, </w:t>
      </w:r>
      <w:r>
        <w:rPr>
          <w:rFonts w:ascii="Times New Roman" w:eastAsia="Times New Roman" w:hAnsi="Times New Roman" w:cs="Times New Roman"/>
          <w:i/>
          <w:iCs/>
        </w:rPr>
        <w:t>California Management Review</w:t>
      </w:r>
      <w:r>
        <w:rPr>
          <w:rFonts w:ascii="Times New Roman" w:eastAsia="Times New Roman" w:hAnsi="Times New Roman" w:cs="Times New Roman"/>
        </w:rPr>
        <w:t xml:space="preserve">, 62(4), pp. 86–104. Available at: https://doi.org/10.1177/0008125620940296 </w:t>
      </w:r>
    </w:p>
    <w:p w14:paraId="48D02C4E"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Kumar, V. and Bird, R. (2020) ‘DoProfitable Banks Make a Positive Contribution to the Economy? ’, </w:t>
      </w:r>
      <w:r>
        <w:rPr>
          <w:rFonts w:ascii="Times New Roman" w:eastAsia="Times New Roman" w:hAnsi="Times New Roman" w:cs="Times New Roman"/>
          <w:i/>
          <w:iCs/>
        </w:rPr>
        <w:t xml:space="preserve">Journal of Risk and Financial Management, 13(159), pp. 1–18. </w:t>
      </w:r>
      <w:r>
        <w:rPr>
          <w:rFonts w:ascii="Times New Roman" w:eastAsia="Times New Roman" w:hAnsi="Times New Roman" w:cs="Times New Roman"/>
        </w:rPr>
        <w:t>Available at: http://dx.doi.org/10.3390/jrfm13080159</w:t>
      </w:r>
    </w:p>
    <w:p w14:paraId="75408D24"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Mehdiabadi, A., Tabatabeinasab, M., Spulbar, C., Karbassi Yazdi, A. and Birau, R. (2020) ‘Are We Ready for the Challenge of Banks 4.0? Designing a Roadmap for Banking Systems in Industry 4.0’, </w:t>
      </w:r>
      <w:r>
        <w:rPr>
          <w:rFonts w:ascii="Times New Roman" w:eastAsia="Times New Roman" w:hAnsi="Times New Roman" w:cs="Times New Roman"/>
          <w:i/>
          <w:iCs/>
        </w:rPr>
        <w:t>nternational Journal of Financial Studies</w:t>
      </w:r>
      <w:r>
        <w:rPr>
          <w:rFonts w:ascii="Times New Roman" w:eastAsia="Times New Roman" w:hAnsi="Times New Roman" w:cs="Times New Roman"/>
        </w:rPr>
        <w:t>, 8(32), pp. 1–28. Available at: http://dx.doi.org/10.3390/ijfs8020032</w:t>
      </w:r>
    </w:p>
    <w:p w14:paraId="487391FE" w14:textId="77777777" w:rsidR="0094685B" w:rsidRDefault="00000000">
      <w:pPr>
        <w:spacing w:line="360" w:lineRule="auto"/>
        <w:jc w:val="both"/>
        <w:rPr>
          <w:rFonts w:ascii="Times New Roman" w:eastAsia="Times New Roman" w:hAnsi="Times New Roman" w:cs="Times New Roman"/>
          <w:strike/>
        </w:rPr>
      </w:pPr>
      <w:r>
        <w:rPr>
          <w:rFonts w:ascii="Times New Roman" w:eastAsia="Times New Roman" w:hAnsi="Times New Roman" w:cs="Times New Roman"/>
        </w:rPr>
        <w:t>Mei, H., Bodog, S.-A. and Badulescu, D.</w:t>
      </w:r>
      <w:r>
        <w:rPr>
          <w:rFonts w:ascii="Times New Roman" w:eastAsia="Times New Roman" w:hAnsi="Times New Roman" w:cs="Times New Roman"/>
          <w:i/>
          <w:iCs/>
        </w:rPr>
        <w:t xml:space="preserve"> </w:t>
      </w:r>
      <w:r>
        <w:rPr>
          <w:rFonts w:ascii="Times New Roman" w:eastAsia="Times New Roman" w:hAnsi="Times New Roman" w:cs="Times New Roman"/>
        </w:rPr>
        <w:t>(2024)  ‘Artificial Intelligence Adoption in Sustainable Banking Services: The Critical Role of Technological Literacy’, </w:t>
      </w:r>
      <w:r>
        <w:rPr>
          <w:rFonts w:ascii="Times New Roman" w:eastAsia="Times New Roman" w:hAnsi="Times New Roman" w:cs="Times New Roman"/>
          <w:i/>
          <w:iCs/>
        </w:rPr>
        <w:t>sustainability</w:t>
      </w:r>
      <w:r>
        <w:rPr>
          <w:rFonts w:ascii="Times New Roman" w:eastAsia="Times New Roman" w:hAnsi="Times New Roman" w:cs="Times New Roman"/>
        </w:rPr>
        <w:t xml:space="preserve">, 16(8934), pp. 1–25. Available at: https://doi.org/10.3390/su16208934 </w:t>
      </w:r>
    </w:p>
    <w:p w14:paraId="14B4971E"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Mogaji, E. and Nguyen, N. P. (2022) ‘Managers’ understanding of artificial intelligence in relation to marketing financial services: insightsfromacross-countrystudy’, </w:t>
      </w:r>
      <w:r>
        <w:rPr>
          <w:rFonts w:ascii="Times New Roman" w:eastAsia="Times New Roman" w:hAnsi="Times New Roman" w:cs="Times New Roman"/>
          <w:i/>
          <w:iCs/>
        </w:rPr>
        <w:t>International Journal of Bank Marketing</w:t>
      </w:r>
      <w:r>
        <w:rPr>
          <w:rFonts w:ascii="Times New Roman" w:eastAsia="Times New Roman" w:hAnsi="Times New Roman" w:cs="Times New Roman"/>
        </w:rPr>
        <w:t>, 40(6), pp. 1272–1298. Available at: https://doi.org/10.1108/IJBM-09-2021-0440</w:t>
      </w:r>
    </w:p>
    <w:p w14:paraId="6F160534"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Mohammadi, H., Mohammadalipour, N., Norollahzadeh, N., Asfadan, G.A. and Rabie, M.</w:t>
      </w:r>
      <w:r>
        <w:rPr>
          <w:rFonts w:ascii="Times New Roman" w:eastAsia="Times New Roman" w:hAnsi="Times New Roman" w:cs="Times New Roman"/>
          <w:i/>
          <w:iCs/>
        </w:rPr>
        <w:t> </w:t>
      </w:r>
      <w:r>
        <w:rPr>
          <w:rFonts w:ascii="Times New Roman" w:eastAsia="Times New Roman" w:hAnsi="Times New Roman" w:cs="Times New Roman"/>
        </w:rPr>
        <w:t>(2024) ‘A Model for Implementing New FinTechs in the Banking Industry (Peer-to-Peer Lending)’, </w:t>
      </w:r>
      <w:r>
        <w:rPr>
          <w:rFonts w:ascii="Times New Roman" w:eastAsia="Times New Roman" w:hAnsi="Times New Roman" w:cs="Times New Roman"/>
          <w:i/>
          <w:iCs/>
        </w:rPr>
        <w:t>Journal of Value Creating in Business Management</w:t>
      </w:r>
      <w:r>
        <w:rPr>
          <w:rFonts w:ascii="Times New Roman" w:eastAsia="Times New Roman" w:hAnsi="Times New Roman" w:cs="Times New Roman"/>
        </w:rPr>
        <w:t>, 4(1), pp. 356–391. Available at: https://doi.org/10.22034/jvcbm.2024.420201.1217</w:t>
      </w:r>
    </w:p>
    <w:p w14:paraId="3AD29BA5"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Naimi-Sadigh, A., Asgari, T.  and  Rabiei</w:t>
      </w:r>
      <w:r>
        <w:rPr>
          <w:rFonts w:ascii="Times New Roman" w:eastAsia="Times New Roman" w:hAnsi="Times New Roman" w:cs="Times New Roman"/>
          <w:i/>
          <w:iCs/>
        </w:rPr>
        <w:t xml:space="preserve">, </w:t>
      </w:r>
      <w:r>
        <w:rPr>
          <w:rFonts w:ascii="Times New Roman" w:eastAsia="Times New Roman" w:hAnsi="Times New Roman" w:cs="Times New Roman"/>
        </w:rPr>
        <w:t>M.</w:t>
      </w:r>
      <w:r>
        <w:rPr>
          <w:rFonts w:ascii="Times New Roman" w:eastAsia="Times New Roman" w:hAnsi="Times New Roman" w:cs="Times New Roman"/>
          <w:i/>
          <w:iCs/>
        </w:rPr>
        <w:t> </w:t>
      </w:r>
      <w:r>
        <w:rPr>
          <w:rFonts w:ascii="Times New Roman" w:eastAsia="Times New Roman" w:hAnsi="Times New Roman" w:cs="Times New Roman"/>
        </w:rPr>
        <w:t>(2022) ‘Digital Transformation in the Value Chain Disruption of Banking Services’, </w:t>
      </w:r>
      <w:r>
        <w:rPr>
          <w:rFonts w:ascii="Times New Roman" w:eastAsia="Times New Roman" w:hAnsi="Times New Roman" w:cs="Times New Roman"/>
          <w:i/>
          <w:iCs/>
        </w:rPr>
        <w:t>Journal of the Knowledge Economy</w:t>
      </w:r>
      <w:r>
        <w:rPr>
          <w:rFonts w:ascii="Times New Roman" w:eastAsia="Times New Roman" w:hAnsi="Times New Roman" w:cs="Times New Roman"/>
        </w:rPr>
        <w:t>, 13, pp. 1212–1242. Available at: https://doi.org/10.1007/s13132-021-00759-0</w:t>
      </w:r>
    </w:p>
    <w:p w14:paraId="3CA9D73E"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Nesindande, A.R.M., Saurombe, M.D. and Joseph, R.M. (2024) ‘Exploring changes in banking workplaces because of digital technology implementation’, </w:t>
      </w:r>
      <w:r>
        <w:rPr>
          <w:rFonts w:ascii="Times New Roman" w:eastAsia="Times New Roman" w:hAnsi="Times New Roman" w:cs="Times New Roman"/>
          <w:i/>
          <w:iCs/>
        </w:rPr>
        <w:t>SA Journal of Human Resource Management</w:t>
      </w:r>
      <w:r>
        <w:rPr>
          <w:rFonts w:ascii="Times New Roman" w:eastAsia="Times New Roman" w:hAnsi="Times New Roman" w:cs="Times New Roman"/>
        </w:rPr>
        <w:t>, 22, pp. 1–12. Available at: https://doi.org/10.4102/sajhrm.v22i0.2542</w:t>
      </w:r>
    </w:p>
    <w:p w14:paraId="5AB3383E"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Nguyen, N. B. and Nguyen, H.D. (2024) ‘Impacts of Digital Transformation and Basel III Implementation on the Credit Risk Level of Vietnamese Commercial Banks’, </w:t>
      </w:r>
      <w:r>
        <w:rPr>
          <w:rFonts w:ascii="Times New Roman" w:eastAsia="Times New Roman" w:hAnsi="Times New Roman" w:cs="Times New Roman"/>
          <w:i/>
          <w:iCs/>
        </w:rPr>
        <w:t>International Journal of Financial Studies</w:t>
      </w:r>
      <w:r>
        <w:rPr>
          <w:rFonts w:ascii="Times New Roman" w:eastAsia="Times New Roman" w:hAnsi="Times New Roman" w:cs="Times New Roman"/>
        </w:rPr>
        <w:t>, 12(91), pp. 1–16. Available at: https://doi.org/10.3390/ijfs12030091</w:t>
      </w:r>
    </w:p>
    <w:p w14:paraId="288190BF"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Osei, L.K., Cherkasova, Y. and Oware, K.M. (2023) ‘Unlocking the full potential of digital transformation in banking: a bibliometric review and emerging trend’, </w:t>
      </w:r>
      <w:r>
        <w:rPr>
          <w:rFonts w:ascii="Times New Roman" w:eastAsia="Times New Roman" w:hAnsi="Times New Roman" w:cs="Times New Roman"/>
          <w:i/>
          <w:iCs/>
        </w:rPr>
        <w:t xml:space="preserve">Future Business Journal, 9(30), pp. 1–18. </w:t>
      </w:r>
      <w:r>
        <w:rPr>
          <w:rFonts w:ascii="Times New Roman" w:eastAsia="Times New Roman" w:hAnsi="Times New Roman" w:cs="Times New Roman"/>
        </w:rPr>
        <w:t xml:space="preserve">Available at: https://doi.org/10.1186/s43093-023-00207-2 </w:t>
      </w:r>
    </w:p>
    <w:p w14:paraId="0D9AAA49"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Palmie, M., Wincent, J., Parida, V. and Caglar, U. (2020) ‘The evolution of the financial technology ecosystem: An introduction and agenda for future research on disruptive innovations in ecosystems’, </w:t>
      </w:r>
      <w:r>
        <w:rPr>
          <w:rFonts w:ascii="Times New Roman" w:eastAsia="Times New Roman" w:hAnsi="Times New Roman" w:cs="Times New Roman"/>
          <w:i/>
          <w:iCs/>
        </w:rPr>
        <w:t>Technological Forecasting &amp; Social Change</w:t>
      </w:r>
      <w:r>
        <w:rPr>
          <w:rFonts w:ascii="Times New Roman" w:eastAsia="Times New Roman" w:hAnsi="Times New Roman" w:cs="Times New Roman"/>
        </w:rPr>
        <w:t>, 151, pp. 1–10. Available at: https://doi.org/10.1016/j.techfore.2019.119779</w:t>
      </w:r>
    </w:p>
    <w:p w14:paraId="01835D28"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Pruthi, N. and Bansal, R. (2024) ‘An Empirical Study on Customer Perception Towards Digital Marketing in the Banking Sector’, </w:t>
      </w:r>
      <w:r>
        <w:rPr>
          <w:rFonts w:ascii="Times New Roman" w:eastAsia="Times New Roman" w:hAnsi="Times New Roman" w:cs="Times New Roman"/>
          <w:i/>
          <w:iCs/>
        </w:rPr>
        <w:t>Small Enterprises Development, Management &amp; Extension Journal</w:t>
      </w:r>
      <w:r>
        <w:rPr>
          <w:rFonts w:ascii="Times New Roman" w:eastAsia="Times New Roman" w:hAnsi="Times New Roman" w:cs="Times New Roman"/>
        </w:rPr>
        <w:t>, 51(2), pp. 91–104. Available at: https://doi.org/10.1177/09708464241247877</w:t>
      </w:r>
    </w:p>
    <w:p w14:paraId="27998892"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Ronaghi, Mohammad Hossein (2023) ‘A contextualized study of blockchain technology adoption as a digital currency platform under sanctions’, </w:t>
      </w:r>
      <w:r>
        <w:rPr>
          <w:rFonts w:ascii="Times New Roman" w:eastAsia="Times New Roman" w:hAnsi="Times New Roman" w:cs="Times New Roman"/>
          <w:i/>
          <w:iCs/>
        </w:rPr>
        <w:t>Management Decision</w:t>
      </w:r>
      <w:r>
        <w:rPr>
          <w:rFonts w:ascii="Times New Roman" w:eastAsia="Times New Roman" w:hAnsi="Times New Roman" w:cs="Times New Roman"/>
        </w:rPr>
        <w:t>, 61(5), pp. 1352–1373. Available at: https://doi.org/10.1108/MD-03-2022-0392</w:t>
      </w:r>
    </w:p>
    <w:p w14:paraId="481915FE"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Sacavem, A., Machado, A.D.B., Santos, J.R.D., Palma-Moreira, A., Belchior-Rocha, H. and Au-Yong-Oliveira, M. (2025) ‘Leading in the Digital Age: The Role of Leadership in Organizational Digital Transformation’, </w:t>
      </w:r>
      <w:r>
        <w:rPr>
          <w:rFonts w:ascii="Times New Roman" w:eastAsia="Times New Roman" w:hAnsi="Times New Roman" w:cs="Times New Roman"/>
          <w:i/>
          <w:iCs/>
        </w:rPr>
        <w:t>administrative sciences</w:t>
      </w:r>
      <w:r>
        <w:rPr>
          <w:rFonts w:ascii="Times New Roman" w:eastAsia="Times New Roman" w:hAnsi="Times New Roman" w:cs="Times New Roman"/>
        </w:rPr>
        <w:t>, 15(43), pp. 1–21. Available at: https://doi.org/10.3390/admsci15020043</w:t>
      </w:r>
    </w:p>
    <w:p w14:paraId="056D8529"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Solms, J.V. (2021) ‘Integrating Regulatory Technology (RegTech) into the digital transformation of a bank Treasury’, </w:t>
      </w:r>
      <w:r>
        <w:rPr>
          <w:rFonts w:ascii="Times New Roman" w:eastAsia="Times New Roman" w:hAnsi="Times New Roman" w:cs="Times New Roman"/>
          <w:i/>
          <w:iCs/>
        </w:rPr>
        <w:t>Journal of Banking Regulation</w:t>
      </w:r>
      <w:r>
        <w:rPr>
          <w:rFonts w:ascii="Times New Roman" w:eastAsia="Times New Roman" w:hAnsi="Times New Roman" w:cs="Times New Roman"/>
        </w:rPr>
        <w:t>, 22, pp. 152–168. Available at: https://doi.org/10.1057/s41261-020-00134-0</w:t>
      </w:r>
    </w:p>
    <w:p w14:paraId="559A2373"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vertAlign w:val="superscript"/>
        </w:rPr>
        <w:t>a</w:t>
      </w:r>
      <w:r>
        <w:rPr>
          <w:rFonts w:ascii="Times New Roman" w:eastAsia="Times New Roman" w:hAnsi="Times New Roman" w:cs="Times New Roman"/>
        </w:rPr>
        <w:t>Statistica Research Department (2025) </w:t>
      </w:r>
      <w:r>
        <w:rPr>
          <w:rFonts w:ascii="Times New Roman" w:eastAsia="Times New Roman" w:hAnsi="Times New Roman" w:cs="Times New Roman"/>
          <w:i/>
          <w:iCs/>
        </w:rPr>
        <w:t>Financial Institutions</w:t>
      </w:r>
      <w:r>
        <w:rPr>
          <w:rFonts w:ascii="Times New Roman" w:eastAsia="Times New Roman" w:hAnsi="Times New Roman" w:cs="Times New Roman"/>
        </w:rPr>
        <w:t>. Available at: https://www.statista.com/statistics/1065397/number-of-bank-branches-in-united-kingdom/ (Accessed: 6 August 2025).</w:t>
      </w:r>
    </w:p>
    <w:p w14:paraId="154EDD67"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vertAlign w:val="superscript"/>
        </w:rPr>
        <w:t>b</w:t>
      </w:r>
      <w:r>
        <w:rPr>
          <w:rFonts w:ascii="Times New Roman" w:eastAsia="Times New Roman" w:hAnsi="Times New Roman" w:cs="Times New Roman"/>
        </w:rPr>
        <w:t xml:space="preserve">Statistica Research Department (2025) </w:t>
      </w:r>
      <w:r>
        <w:rPr>
          <w:rFonts w:ascii="Times New Roman" w:eastAsia="Times New Roman" w:hAnsi="Times New Roman" w:cs="Times New Roman"/>
          <w:i/>
          <w:iCs/>
        </w:rPr>
        <w:t>Financial Services</w:t>
      </w:r>
      <w:r>
        <w:rPr>
          <w:rFonts w:ascii="Times New Roman" w:eastAsia="Times New Roman" w:hAnsi="Times New Roman" w:cs="Times New Roman"/>
        </w:rPr>
        <w:t>. Available at: https://www.statista.com/statistics/1445712/uk-online-bank-customers-by-bank/ (Accessed: 20 June 2025).</w:t>
      </w:r>
    </w:p>
    <w:p w14:paraId="0D907E1B"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vertAlign w:val="superscript"/>
        </w:rPr>
        <w:t>c</w:t>
      </w:r>
      <w:r>
        <w:rPr>
          <w:rFonts w:ascii="Times New Roman" w:eastAsia="Times New Roman" w:hAnsi="Times New Roman" w:cs="Times New Roman"/>
        </w:rPr>
        <w:t>Statistica Research Department (2025) </w:t>
      </w:r>
      <w:r>
        <w:rPr>
          <w:rFonts w:ascii="Times New Roman" w:eastAsia="Times New Roman" w:hAnsi="Times New Roman" w:cs="Times New Roman"/>
          <w:i/>
          <w:iCs/>
        </w:rPr>
        <w:t>Financial Institutions</w:t>
      </w:r>
      <w:r>
        <w:rPr>
          <w:rFonts w:ascii="Times New Roman" w:eastAsia="Times New Roman" w:hAnsi="Times New Roman" w:cs="Times New Roman"/>
        </w:rPr>
        <w:t>. Available at: https://www.statista.com/statistics/1395159/mobile-banking-penetration-in-the-uk/?srsltid=AfmBOorG5lR0C8YwpnuN7ZX21aaO0mGLXivBk57uR7o2qMA5u6e7MCWv (Accessed: 13 November 2025).</w:t>
      </w:r>
    </w:p>
    <w:p w14:paraId="7B42826F"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Statistica Research Department (2025) </w:t>
      </w:r>
      <w:r>
        <w:rPr>
          <w:rFonts w:ascii="Times New Roman" w:eastAsia="Times New Roman" w:hAnsi="Times New Roman" w:cs="Times New Roman"/>
          <w:i/>
          <w:iCs/>
        </w:rPr>
        <w:t>Financial Institutions</w:t>
      </w:r>
      <w:r>
        <w:rPr>
          <w:rFonts w:ascii="Times New Roman" w:eastAsia="Times New Roman" w:hAnsi="Times New Roman" w:cs="Times New Roman"/>
        </w:rPr>
        <w:t>. Available at: https://www.statista.com/statistics/987092/leading-uk-british-owned-banks-by-number-of-branches/?srsltid=AfmBOoqqXVjTdL7dYCoJzHI4Z8_52pWHxMQkZ5z-6okUmqjdgEV20CRq (Accessed: 20 Jun 2025).</w:t>
      </w:r>
    </w:p>
    <w:p w14:paraId="4192D81B"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Statistica Market Insights (2025) </w:t>
      </w:r>
      <w:r>
        <w:rPr>
          <w:rFonts w:ascii="Times New Roman" w:eastAsia="Times New Roman" w:hAnsi="Times New Roman" w:cs="Times New Roman"/>
          <w:i/>
          <w:iCs/>
        </w:rPr>
        <w:t>Payments</w:t>
      </w:r>
      <w:r>
        <w:rPr>
          <w:rFonts w:ascii="Times New Roman" w:eastAsia="Times New Roman" w:hAnsi="Times New Roman" w:cs="Times New Roman"/>
        </w:rPr>
        <w:t>. Available at: https://www.statista.com/outlook/fmo/payments/digital-payments/worldwide?currency=USD#transaction-value  (Accessed: October 2025).</w:t>
      </w:r>
    </w:p>
    <w:p w14:paraId="39796059"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Suparno, D., Tjahjawulan, I., Martodiryo, S., Anshary, A.H., Mulyono, Badrian, Indrariani,E.A. and Suwondo, T.</w:t>
      </w:r>
      <w:r>
        <w:rPr>
          <w:rFonts w:ascii="Times New Roman" w:eastAsia="Times New Roman" w:hAnsi="Times New Roman" w:cs="Times New Roman"/>
          <w:i/>
          <w:iCs/>
        </w:rPr>
        <w:t xml:space="preserve"> </w:t>
      </w:r>
      <w:r>
        <w:rPr>
          <w:rFonts w:ascii="Times New Roman" w:eastAsia="Times New Roman" w:hAnsi="Times New Roman" w:cs="Times New Roman"/>
        </w:rPr>
        <w:t>(2023)</w:t>
      </w:r>
      <w:r>
        <w:rPr>
          <w:rFonts w:ascii="Times New Roman" w:eastAsia="Times New Roman" w:hAnsi="Times New Roman" w:cs="Times New Roman"/>
          <w:color w:val="333333"/>
          <w:sz w:val="23"/>
          <w:szCs w:val="23"/>
          <w:shd w:val="clear" w:color="auto" w:fill="E0E0E0"/>
        </w:rPr>
        <w:t xml:space="preserve"> </w:t>
      </w:r>
      <w:r>
        <w:rPr>
          <w:rFonts w:ascii="Times New Roman" w:eastAsia="Times New Roman" w:hAnsi="Times New Roman" w:cs="Times New Roman"/>
        </w:rPr>
        <w:t> ‘The influence of financial literacy, digital literacy, digital marketing, brand image and word of mouth on the z generation's interest in Islamic banks’, </w:t>
      </w:r>
      <w:r>
        <w:rPr>
          <w:rFonts w:ascii="Times New Roman" w:eastAsia="Times New Roman" w:hAnsi="Times New Roman" w:cs="Times New Roman"/>
          <w:i/>
          <w:iCs/>
        </w:rPr>
        <w:t>International Journal of Data and Network Science</w:t>
      </w:r>
      <w:r>
        <w:rPr>
          <w:rFonts w:ascii="Times New Roman" w:eastAsia="Times New Roman" w:hAnsi="Times New Roman" w:cs="Times New Roman"/>
        </w:rPr>
        <w:t>, 7, pp. 1975–1982. Available at: https://doi.org/ 10.5267/j.ijdns.2023.6.015</w:t>
      </w:r>
    </w:p>
    <w:p w14:paraId="0071F653"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Thakor, A.V. (2020) ‘Fintech and banking: What do we know?’, </w:t>
      </w:r>
      <w:r>
        <w:rPr>
          <w:rFonts w:ascii="Times New Roman" w:eastAsia="Times New Roman" w:hAnsi="Times New Roman" w:cs="Times New Roman"/>
          <w:i/>
          <w:iCs/>
        </w:rPr>
        <w:t>Journal of Financial Intermediation</w:t>
      </w:r>
      <w:r>
        <w:rPr>
          <w:rFonts w:ascii="Times New Roman" w:eastAsia="Times New Roman" w:hAnsi="Times New Roman" w:cs="Times New Roman"/>
        </w:rPr>
        <w:t>, 41, pp. 1–13. Available at: https://doi.org/10.1016/j.jfi.2019.100833</w:t>
      </w:r>
    </w:p>
    <w:p w14:paraId="2F038646"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Then, J. and Felisa, H. (2021) ‘'The Effect of E-WOM on Instagram on Visiting Interest and Impact on Visiting Decision to the Culinary Tourism Area of Pasar Lama, Tangerang’, </w:t>
      </w:r>
      <w:r>
        <w:rPr>
          <w:rFonts w:ascii="Times New Roman" w:eastAsia="Times New Roman" w:hAnsi="Times New Roman" w:cs="Times New Roman"/>
          <w:i/>
          <w:iCs/>
        </w:rPr>
        <w:t>International Journal of Social and Management Studies</w:t>
      </w:r>
      <w:r>
        <w:rPr>
          <w:rFonts w:ascii="Times New Roman" w:eastAsia="Times New Roman" w:hAnsi="Times New Roman" w:cs="Times New Roman"/>
        </w:rPr>
        <w:t>, 2(6), pp. 1–7. Available at: https://doi.org/10.5555/ijosmas.v2i6.75</w:t>
      </w:r>
    </w:p>
    <w:p w14:paraId="35430725"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Ullah, S., Kiani, U.S., Raza, B. and Mustafa, A.</w:t>
      </w:r>
      <w:r>
        <w:rPr>
          <w:rFonts w:ascii="Times New Roman" w:eastAsia="Times New Roman" w:hAnsi="Times New Roman" w:cs="Times New Roman"/>
          <w:i/>
          <w:iCs/>
        </w:rPr>
        <w:t xml:space="preserve"> </w:t>
      </w:r>
      <w:r>
        <w:rPr>
          <w:rFonts w:ascii="Times New Roman" w:eastAsia="Times New Roman" w:hAnsi="Times New Roman" w:cs="Times New Roman"/>
        </w:rPr>
        <w:t>(2022)  ‘Consumers’ Intention to Adopt m-payment/m-banking: The Role of Their Financial Skills and Digital Literacy’, </w:t>
      </w:r>
      <w:r>
        <w:rPr>
          <w:rFonts w:ascii="Times New Roman" w:eastAsia="Times New Roman" w:hAnsi="Times New Roman" w:cs="Times New Roman"/>
          <w:i/>
          <w:iCs/>
        </w:rPr>
        <w:t>Frontiers in Psychology</w:t>
      </w:r>
      <w:r>
        <w:rPr>
          <w:rFonts w:ascii="Times New Roman" w:eastAsia="Times New Roman" w:hAnsi="Times New Roman" w:cs="Times New Roman"/>
        </w:rPr>
        <w:t>, 13, pp. 1–12. Available at: https://doi.org/10.3389/fpsyg.2022.873708</w:t>
      </w:r>
    </w:p>
    <w:p w14:paraId="6775E201"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Varma, P., Nijjer, S., Sood, K., Grima, S. and Rupeika-Apoga, R. (2022) ‘Thematic Analysis of Financial Technology (Fintech) Influence on the Banking Industry’, </w:t>
      </w:r>
      <w:r>
        <w:rPr>
          <w:rFonts w:ascii="Times New Roman" w:eastAsia="Times New Roman" w:hAnsi="Times New Roman" w:cs="Times New Roman"/>
          <w:i/>
          <w:iCs/>
        </w:rPr>
        <w:t>Risks</w:t>
      </w:r>
      <w:r>
        <w:rPr>
          <w:rFonts w:ascii="Times New Roman" w:eastAsia="Times New Roman" w:hAnsi="Times New Roman" w:cs="Times New Roman"/>
        </w:rPr>
        <w:t>, 10(186), pp. 1–17. Available at: https://doi.org/10.3390/risks10100186</w:t>
      </w:r>
    </w:p>
    <w:p w14:paraId="306C3477"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Wrede, M., Velamuri, V.K. and Dauth, T.</w:t>
      </w:r>
      <w:r>
        <w:rPr>
          <w:rFonts w:ascii="Times New Roman" w:eastAsia="Times New Roman" w:hAnsi="Times New Roman" w:cs="Times New Roman"/>
          <w:i/>
          <w:iCs/>
        </w:rPr>
        <w:t xml:space="preserve"> </w:t>
      </w:r>
      <w:r>
        <w:rPr>
          <w:rFonts w:ascii="Times New Roman" w:eastAsia="Times New Roman" w:hAnsi="Times New Roman" w:cs="Times New Roman"/>
        </w:rPr>
        <w:t>(2020)</w:t>
      </w:r>
      <w:r>
        <w:rPr>
          <w:rFonts w:ascii="Times New Roman" w:eastAsia="Times New Roman" w:hAnsi="Times New Roman" w:cs="Times New Roman"/>
          <w:i/>
          <w:iCs/>
        </w:rPr>
        <w:t> </w:t>
      </w:r>
      <w:r>
        <w:rPr>
          <w:rFonts w:ascii="Times New Roman" w:eastAsia="Times New Roman" w:hAnsi="Times New Roman" w:cs="Times New Roman"/>
        </w:rPr>
        <w:t>‘Top managers in the digital age: Exploring the role and practices of top managers in firms’, </w:t>
      </w:r>
      <w:r>
        <w:rPr>
          <w:rFonts w:ascii="Times New Roman" w:eastAsia="Times New Roman" w:hAnsi="Times New Roman" w:cs="Times New Roman"/>
          <w:i/>
          <w:iCs/>
        </w:rPr>
        <w:t>Managerial and Decision Making</w:t>
      </w:r>
      <w:r>
        <w:rPr>
          <w:rFonts w:ascii="Times New Roman" w:eastAsia="Times New Roman" w:hAnsi="Times New Roman" w:cs="Times New Roman"/>
        </w:rPr>
        <w:t>, 41(8), pp. 1549–1567. Available at: https://doi.org/10.1002/mde.3202</w:t>
      </w:r>
    </w:p>
    <w:p w14:paraId="42259132"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Yadav, S.P., Agrawal, K.K., Bhati, B.S.</w:t>
      </w:r>
      <w:r>
        <w:rPr>
          <w:rFonts w:ascii="Times New Roman" w:eastAsia="Times New Roman" w:hAnsi="Times New Roman" w:cs="Times New Roman"/>
          <w:i/>
          <w:iCs/>
        </w:rPr>
        <w:t>,</w:t>
      </w:r>
      <w:r>
        <w:rPr>
          <w:rFonts w:ascii="Times New Roman" w:eastAsia="Times New Roman" w:hAnsi="Times New Roman" w:cs="Times New Roman"/>
        </w:rPr>
        <w:t xml:space="preserve"> Al-Turjman, F. and Mostarda, L. (2022) ‘Blockchain-Based Cryptocurrency Regulation: An Overview’, </w:t>
      </w:r>
      <w:r>
        <w:rPr>
          <w:rFonts w:ascii="Times New Roman" w:eastAsia="Times New Roman" w:hAnsi="Times New Roman" w:cs="Times New Roman"/>
          <w:i/>
          <w:iCs/>
        </w:rPr>
        <w:t>Computational Economics</w:t>
      </w:r>
      <w:r>
        <w:rPr>
          <w:rFonts w:ascii="Times New Roman" w:eastAsia="Times New Roman" w:hAnsi="Times New Roman" w:cs="Times New Roman"/>
        </w:rPr>
        <w:t xml:space="preserve">, 59, pp. 1659–1675. Available at: https://doi.org/10.1007/s10614-020-10050-0 </w:t>
      </w:r>
    </w:p>
    <w:p w14:paraId="36400E72"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Yahaya, R. and Segbenya, M. (2023) ‘Modelling the influence of managerial competence on managerial performance in the Ghanaian banking sector’, </w:t>
      </w:r>
      <w:r>
        <w:rPr>
          <w:rFonts w:ascii="Times New Roman" w:eastAsia="Times New Roman" w:hAnsi="Times New Roman" w:cs="Times New Roman"/>
          <w:i/>
          <w:iCs/>
        </w:rPr>
        <w:t>Humanities Social Science Communications</w:t>
      </w:r>
      <w:r>
        <w:rPr>
          <w:rFonts w:ascii="Times New Roman" w:eastAsia="Times New Roman" w:hAnsi="Times New Roman" w:cs="Times New Roman"/>
        </w:rPr>
        <w:t>, 10(855), pp. 1–11. Available at: https://doi.org/10.1057/s41599-023-02384-5</w:t>
      </w:r>
    </w:p>
    <w:p w14:paraId="5276F8BD" w14:textId="77777777" w:rsidR="0094685B"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Yang, F. and Masron, T. A. (2024) ‘Role of financial inclusion and digital transformation on bank credit risk’, </w:t>
      </w:r>
      <w:r>
        <w:rPr>
          <w:rFonts w:ascii="Times New Roman" w:eastAsia="Times New Roman" w:hAnsi="Times New Roman" w:cs="Times New Roman"/>
          <w:i/>
          <w:iCs/>
        </w:rPr>
        <w:t>Journal of International Financial Markets, Institutions &amp; Money</w:t>
      </w:r>
      <w:r>
        <w:rPr>
          <w:rFonts w:ascii="Times New Roman" w:eastAsia="Times New Roman" w:hAnsi="Times New Roman" w:cs="Times New Roman"/>
        </w:rPr>
        <w:t>, 91, pp. 1–11. Available at: https://doi.org/10.1016/j.intfin.2023.101934</w:t>
      </w:r>
    </w:p>
    <w:p w14:paraId="393155E2" w14:textId="77777777" w:rsidR="0094685B" w:rsidRDefault="0094685B">
      <w:pPr>
        <w:spacing w:line="360" w:lineRule="auto"/>
        <w:jc w:val="both"/>
        <w:rPr>
          <w:rFonts w:ascii="Times New Roman" w:eastAsia="Times New Roman" w:hAnsi="Times New Roman" w:cs="Times New Roman"/>
        </w:rPr>
      </w:pPr>
    </w:p>
    <w:sectPr w:rsidR="0094685B">
      <w:foot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94B6B" w14:textId="77777777" w:rsidR="00BD0709" w:rsidRDefault="00BD0709">
      <w:pPr>
        <w:spacing w:after="0" w:line="240" w:lineRule="auto"/>
      </w:pPr>
      <w:r>
        <w:separator/>
      </w:r>
    </w:p>
  </w:endnote>
  <w:endnote w:type="continuationSeparator" w:id="0">
    <w:p w14:paraId="3AECA2D0" w14:textId="77777777" w:rsidR="00BD0709" w:rsidRDefault="00BD07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371A0F89-6AE1-42A7-A7F0-D7FD77CDFB34}"/>
    <w:embedBold r:id="rId2" w:fontKey="{96DCFADC-D382-4C7B-878C-52EFA60F7966}"/>
    <w:embedItalic r:id="rId3" w:fontKey="{EA273CC2-365F-4A00-AB2A-BDE5657C4CD9}"/>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4" w:fontKey="{726C33F7-B232-409A-8943-E24D2664B5D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0003619"/>
      <w:docPartObj>
        <w:docPartGallery w:val="Page Numbers (Bottom of Page)"/>
        <w:docPartUnique/>
      </w:docPartObj>
    </w:sdtPr>
    <w:sdtEndPr>
      <w:rPr>
        <w:noProof/>
      </w:rPr>
    </w:sdtEndPr>
    <w:sdtContent>
      <w:p w14:paraId="34117CDB" w14:textId="0D8CF610" w:rsidR="00191F85" w:rsidRDefault="00191F8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D4E536" w14:textId="6017607E" w:rsidR="0094685B" w:rsidRPr="00BA0592" w:rsidRDefault="0094685B">
    <w:pPr>
      <w:pBdr>
        <w:top w:val="nil"/>
        <w:left w:val="nil"/>
        <w:bottom w:val="nil"/>
        <w:right w:val="nil"/>
        <w:between w:val="nil"/>
      </w:pBdr>
      <w:tabs>
        <w:tab w:val="center" w:pos="4680"/>
        <w:tab w:val="right" w:pos="9360"/>
      </w:tabs>
      <w:spacing w:after="0" w:line="240" w:lineRule="auto"/>
      <w:jc w:val="center"/>
      <w:rPr>
        <w:color w:val="000000"/>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4839989"/>
      <w:docPartObj>
        <w:docPartGallery w:val="Page Numbers (Bottom of Page)"/>
        <w:docPartUnique/>
      </w:docPartObj>
    </w:sdtPr>
    <w:sdtEndPr>
      <w:rPr>
        <w:noProof/>
      </w:rPr>
    </w:sdtEndPr>
    <w:sdtContent>
      <w:p w14:paraId="494A41FE" w14:textId="6A8A3331" w:rsidR="00191F85" w:rsidRDefault="00191F8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2D9569" w14:textId="77777777" w:rsidR="0094685B" w:rsidRDefault="0094685B">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8DCE6" w14:textId="77777777" w:rsidR="00BE551E" w:rsidRDefault="00BE551E">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57DF4689" w14:textId="77777777" w:rsidR="00BE551E" w:rsidRDefault="00BE551E">
    <w:pPr>
      <w:pBdr>
        <w:top w:val="nil"/>
        <w:left w:val="nil"/>
        <w:bottom w:val="nil"/>
        <w:right w:val="nil"/>
        <w:between w:val="nil"/>
      </w:pBdr>
      <w:tabs>
        <w:tab w:val="center" w:pos="4680"/>
        <w:tab w:val="right" w:pos="9360"/>
      </w:tabs>
      <w:spacing w:after="0" w:line="240" w:lineRule="auto"/>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6B099" w14:textId="77777777" w:rsidR="00BD0709" w:rsidRDefault="00BD0709">
      <w:pPr>
        <w:spacing w:after="0" w:line="240" w:lineRule="auto"/>
      </w:pPr>
      <w:r>
        <w:separator/>
      </w:r>
    </w:p>
  </w:footnote>
  <w:footnote w:type="continuationSeparator" w:id="0">
    <w:p w14:paraId="1688A97D" w14:textId="77777777" w:rsidR="00BD0709" w:rsidRDefault="00BD070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685B"/>
    <w:rsid w:val="00024D7E"/>
    <w:rsid w:val="000C39E5"/>
    <w:rsid w:val="00191F85"/>
    <w:rsid w:val="0021669F"/>
    <w:rsid w:val="00313985"/>
    <w:rsid w:val="003237B6"/>
    <w:rsid w:val="00391281"/>
    <w:rsid w:val="003D3C7D"/>
    <w:rsid w:val="00476921"/>
    <w:rsid w:val="005F770D"/>
    <w:rsid w:val="0066423F"/>
    <w:rsid w:val="0094685B"/>
    <w:rsid w:val="009F5839"/>
    <w:rsid w:val="00B103E7"/>
    <w:rsid w:val="00B26812"/>
    <w:rsid w:val="00B438EF"/>
    <w:rsid w:val="00B510D0"/>
    <w:rsid w:val="00B83E1A"/>
    <w:rsid w:val="00BA0592"/>
    <w:rsid w:val="00BC6EFB"/>
    <w:rsid w:val="00BD0709"/>
    <w:rsid w:val="00BE551E"/>
    <w:rsid w:val="00C015A7"/>
    <w:rsid w:val="00C349E1"/>
    <w:rsid w:val="00C62EA7"/>
    <w:rsid w:val="00CF4D9D"/>
    <w:rsid w:val="00D33458"/>
    <w:rsid w:val="00DE6647"/>
    <w:rsid w:val="00F15632"/>
    <w:rsid w:val="00F660F2"/>
    <w:rsid w:val="00FD32DE"/>
    <w:rsid w:val="00FE4A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014619"/>
  <w15:docId w15:val="{2E2FAC6D-ED53-4F4D-BC5E-F6EF12C55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color w:val="2F5496"/>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color w:val="2F5496"/>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2F5496"/>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2F5496"/>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1570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70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70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sz w:val="56"/>
      <w:szCs w:val="56"/>
    </w:rPr>
  </w:style>
  <w:style w:type="table" w:customStyle="1" w:styleId="TableNormal1">
    <w:name w:val="TableNormal"/>
    <w:tblPr>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15700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5700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15700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15700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5700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570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70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70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7006"/>
    <w:rPr>
      <w:rFonts w:eastAsiaTheme="majorEastAsia" w:cstheme="majorBidi"/>
      <w:color w:val="272727" w:themeColor="text1" w:themeTint="D8"/>
    </w:rPr>
  </w:style>
  <w:style w:type="character" w:customStyle="1" w:styleId="TitleChar">
    <w:name w:val="Title Char"/>
    <w:basedOn w:val="DefaultParagraphFont"/>
    <w:link w:val="Title"/>
    <w:uiPriority w:val="10"/>
    <w:rsid w:val="00157006"/>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1570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7006"/>
    <w:pPr>
      <w:spacing w:before="160"/>
      <w:jc w:val="center"/>
    </w:pPr>
    <w:rPr>
      <w:i/>
      <w:iCs/>
      <w:color w:val="404040" w:themeColor="text1" w:themeTint="BF"/>
    </w:rPr>
  </w:style>
  <w:style w:type="character" w:customStyle="1" w:styleId="QuoteChar">
    <w:name w:val="Quote Char"/>
    <w:basedOn w:val="DefaultParagraphFont"/>
    <w:link w:val="Quote"/>
    <w:uiPriority w:val="29"/>
    <w:rsid w:val="00157006"/>
    <w:rPr>
      <w:i/>
      <w:iCs/>
      <w:color w:val="404040" w:themeColor="text1" w:themeTint="BF"/>
    </w:rPr>
  </w:style>
  <w:style w:type="paragraph" w:styleId="ListParagraph">
    <w:name w:val="List Paragraph"/>
    <w:basedOn w:val="Normal"/>
    <w:uiPriority w:val="34"/>
    <w:qFormat/>
    <w:rsid w:val="00157006"/>
    <w:pPr>
      <w:ind w:left="720"/>
      <w:contextualSpacing/>
    </w:pPr>
  </w:style>
  <w:style w:type="character" w:styleId="IntenseEmphasis">
    <w:name w:val="Intense Emphasis"/>
    <w:basedOn w:val="DefaultParagraphFont"/>
    <w:uiPriority w:val="21"/>
    <w:qFormat/>
    <w:rsid w:val="00157006"/>
    <w:rPr>
      <w:i/>
      <w:iCs/>
      <w:color w:val="2F5496" w:themeColor="accent1" w:themeShade="BF"/>
    </w:rPr>
  </w:style>
  <w:style w:type="paragraph" w:styleId="IntenseQuote">
    <w:name w:val="Intense Quote"/>
    <w:basedOn w:val="Normal"/>
    <w:next w:val="Normal"/>
    <w:link w:val="IntenseQuoteChar"/>
    <w:uiPriority w:val="30"/>
    <w:qFormat/>
    <w:rsid w:val="0015700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57006"/>
    <w:rPr>
      <w:i/>
      <w:iCs/>
      <w:color w:val="2F5496" w:themeColor="accent1" w:themeShade="BF"/>
    </w:rPr>
  </w:style>
  <w:style w:type="character" w:styleId="IntenseReference">
    <w:name w:val="Intense Reference"/>
    <w:basedOn w:val="DefaultParagraphFont"/>
    <w:uiPriority w:val="32"/>
    <w:qFormat/>
    <w:rsid w:val="00157006"/>
    <w:rPr>
      <w:b/>
      <w:bCs/>
      <w:smallCaps/>
      <w:color w:val="2F5496" w:themeColor="accent1" w:themeShade="BF"/>
      <w:spacing w:val="5"/>
    </w:rPr>
  </w:style>
  <w:style w:type="character" w:styleId="Hyperlink">
    <w:name w:val="Hyperlink"/>
    <w:basedOn w:val="DefaultParagraphFont"/>
    <w:uiPriority w:val="99"/>
    <w:unhideWhenUsed/>
    <w:rsid w:val="005268FB"/>
    <w:rPr>
      <w:color w:val="0563C1" w:themeColor="hyperlink"/>
      <w:u w:val="single"/>
    </w:rPr>
  </w:style>
  <w:style w:type="character" w:styleId="UnresolvedMention">
    <w:name w:val="Unresolved Mention"/>
    <w:basedOn w:val="DefaultParagraphFont"/>
    <w:uiPriority w:val="99"/>
    <w:semiHidden/>
    <w:unhideWhenUsed/>
    <w:rsid w:val="00CF067E"/>
    <w:rPr>
      <w:color w:val="605E5C"/>
      <w:shd w:val="clear" w:color="auto" w:fill="E1DFDD"/>
    </w:rPr>
  </w:style>
  <w:style w:type="paragraph" w:styleId="NormalWeb">
    <w:name w:val="Normal (Web)"/>
    <w:basedOn w:val="Normal"/>
    <w:uiPriority w:val="99"/>
    <w:semiHidden/>
    <w:unhideWhenUsed/>
    <w:rsid w:val="00082AFD"/>
    <w:rPr>
      <w:rFonts w:ascii="Times New Roman" w:hAnsi="Times New Roman" w:cs="Times New Roman"/>
    </w:rPr>
  </w:style>
  <w:style w:type="character" w:styleId="PlaceholderText">
    <w:name w:val="Placeholder Text"/>
    <w:basedOn w:val="DefaultParagraphFont"/>
    <w:uiPriority w:val="99"/>
    <w:semiHidden/>
    <w:rsid w:val="0024786B"/>
    <w:rPr>
      <w:color w:val="666666"/>
    </w:rPr>
  </w:style>
  <w:style w:type="character" w:styleId="CommentReference">
    <w:name w:val="annotation reference"/>
    <w:basedOn w:val="DefaultParagraphFont"/>
    <w:uiPriority w:val="99"/>
    <w:semiHidden/>
    <w:unhideWhenUsed/>
    <w:rsid w:val="003A1209"/>
    <w:rPr>
      <w:sz w:val="16"/>
      <w:szCs w:val="16"/>
    </w:rPr>
  </w:style>
  <w:style w:type="paragraph" w:styleId="CommentText">
    <w:name w:val="annotation text"/>
    <w:basedOn w:val="Normal"/>
    <w:link w:val="CommentTextChar"/>
    <w:uiPriority w:val="99"/>
    <w:semiHidden/>
    <w:unhideWhenUsed/>
    <w:rsid w:val="003A1209"/>
    <w:pPr>
      <w:spacing w:line="240" w:lineRule="auto"/>
    </w:pPr>
    <w:rPr>
      <w:sz w:val="20"/>
      <w:szCs w:val="20"/>
    </w:rPr>
  </w:style>
  <w:style w:type="character" w:customStyle="1" w:styleId="CommentTextChar">
    <w:name w:val="Comment Text Char"/>
    <w:basedOn w:val="DefaultParagraphFont"/>
    <w:link w:val="CommentText"/>
    <w:uiPriority w:val="99"/>
    <w:semiHidden/>
    <w:rsid w:val="003A1209"/>
    <w:rPr>
      <w:sz w:val="20"/>
      <w:szCs w:val="20"/>
    </w:rPr>
  </w:style>
  <w:style w:type="paragraph" w:styleId="CommentSubject">
    <w:name w:val="annotation subject"/>
    <w:basedOn w:val="CommentText"/>
    <w:next w:val="CommentText"/>
    <w:link w:val="CommentSubjectChar"/>
    <w:uiPriority w:val="99"/>
    <w:semiHidden/>
    <w:unhideWhenUsed/>
    <w:rsid w:val="003A1209"/>
    <w:rPr>
      <w:b/>
      <w:bCs/>
    </w:rPr>
  </w:style>
  <w:style w:type="character" w:customStyle="1" w:styleId="CommentSubjectChar">
    <w:name w:val="Comment Subject Char"/>
    <w:basedOn w:val="CommentTextChar"/>
    <w:link w:val="CommentSubject"/>
    <w:uiPriority w:val="99"/>
    <w:semiHidden/>
    <w:rsid w:val="003A1209"/>
    <w:rPr>
      <w:b/>
      <w:bCs/>
      <w:sz w:val="20"/>
      <w:szCs w:val="20"/>
    </w:rPr>
  </w:style>
  <w:style w:type="paragraph" w:styleId="TOCHeading">
    <w:name w:val="TOC Heading"/>
    <w:basedOn w:val="Heading1"/>
    <w:next w:val="Normal"/>
    <w:uiPriority w:val="39"/>
    <w:unhideWhenUsed/>
    <w:qFormat/>
    <w:rsid w:val="00954867"/>
    <w:pPr>
      <w:spacing w:before="240" w:after="0" w:line="259" w:lineRule="auto"/>
      <w:outlineLvl w:val="9"/>
    </w:pPr>
    <w:rPr>
      <w:sz w:val="32"/>
      <w:szCs w:val="32"/>
    </w:rPr>
  </w:style>
  <w:style w:type="paragraph" w:styleId="Header">
    <w:name w:val="header"/>
    <w:basedOn w:val="Normal"/>
    <w:link w:val="HeaderChar"/>
    <w:uiPriority w:val="99"/>
    <w:unhideWhenUsed/>
    <w:rsid w:val="004937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37C1"/>
  </w:style>
  <w:style w:type="paragraph" w:styleId="Footer">
    <w:name w:val="footer"/>
    <w:basedOn w:val="Normal"/>
    <w:link w:val="FooterChar"/>
    <w:uiPriority w:val="99"/>
    <w:unhideWhenUsed/>
    <w:rsid w:val="004937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37C1"/>
  </w:style>
  <w:style w:type="paragraph" w:styleId="TOC1">
    <w:name w:val="toc 1"/>
    <w:basedOn w:val="Normal"/>
    <w:next w:val="Normal"/>
    <w:autoRedefine/>
    <w:uiPriority w:val="39"/>
    <w:unhideWhenUsed/>
    <w:rsid w:val="00F660F2"/>
    <w:pPr>
      <w:tabs>
        <w:tab w:val="right" w:leader="dot" w:pos="9350"/>
      </w:tabs>
      <w:spacing w:after="100"/>
    </w:pPr>
    <w:rPr>
      <w:rFonts w:ascii="Times New Roman" w:eastAsia="Times New Roman" w:hAnsi="Times New Roman" w:cs="Times New Roman"/>
      <w:noProof/>
    </w:rPr>
  </w:style>
  <w:style w:type="paragraph" w:styleId="TOC2">
    <w:name w:val="toc 2"/>
    <w:basedOn w:val="Normal"/>
    <w:next w:val="Normal"/>
    <w:autoRedefine/>
    <w:uiPriority w:val="39"/>
    <w:unhideWhenUsed/>
    <w:rsid w:val="003D3935"/>
    <w:pPr>
      <w:spacing w:after="100"/>
      <w:ind w:left="240"/>
    </w:pPr>
  </w:style>
  <w:style w:type="paragraph" w:styleId="TOC3">
    <w:name w:val="toc 3"/>
    <w:basedOn w:val="Normal"/>
    <w:next w:val="Normal"/>
    <w:autoRedefine/>
    <w:uiPriority w:val="39"/>
    <w:unhideWhenUsed/>
    <w:rsid w:val="003D3935"/>
    <w:pPr>
      <w:spacing w:after="100"/>
      <w:ind w:left="480"/>
    </w:pPr>
  </w:style>
  <w:style w:type="paragraph" w:styleId="Caption">
    <w:name w:val="caption"/>
    <w:basedOn w:val="Normal"/>
    <w:next w:val="Normal"/>
    <w:uiPriority w:val="35"/>
    <w:unhideWhenUsed/>
    <w:qFormat/>
    <w:rsid w:val="00443BB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84554"/>
    <w:pPr>
      <w:spacing w:after="0"/>
    </w:pPr>
  </w:style>
  <w:style w:type="paragraph" w:styleId="Subtitle">
    <w:name w:val="Subtitle"/>
    <w:basedOn w:val="Normal"/>
    <w:next w:val="Normal"/>
    <w:link w:val="SubtitleChar"/>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link.springer.com/journal/13132"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uvjR4RjItxJjVzp436icuS6bPw==">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36</Pages>
  <Words>11580</Words>
  <Characters>66012</Characters>
  <Application>Microsoft Office Word</Application>
  <DocSecurity>0</DocSecurity>
  <Lines>550</Lines>
  <Paragraphs>154</Paragraphs>
  <ScaleCrop>false</ScaleCrop>
  <Company/>
  <LinksUpToDate>false</LinksUpToDate>
  <CharactersWithSpaces>77438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sunil khadka</dc:creator>
  <cp:lastModifiedBy>sunil khadka</cp:lastModifiedBy>
  <cp:revision>29</cp:revision>
  <dcterms:created xsi:type="dcterms:W3CDTF">2025-11-06T22:46:00Z</dcterms:created>
  <dcterms:modified xsi:type="dcterms:W3CDTF">2025-11-18T09:37:00Z</dcterms:modified>
</cp:coreProperties>
</file>