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1BF7D" w14:textId="77777777" w:rsidR="00E7747E" w:rsidRDefault="00E7747E" w:rsidP="00AD3262">
      <w:pPr>
        <w:widowControl/>
        <w:pBdr>
          <w:bottom w:val="single" w:sz="8" w:space="4" w:color="4472C4"/>
        </w:pBdr>
        <w:spacing w:before="100" w:beforeAutospacing="1" w:after="100" w:afterAutospacing="1" w:line="480" w:lineRule="auto"/>
        <w:contextualSpacing/>
        <w:jc w:val="center"/>
        <w:rPr>
          <w:rFonts w:ascii="Arial" w:eastAsia="等线 Light" w:hAnsi="Arial" w:cs="Arial"/>
          <w:color w:val="323E4F"/>
          <w:spacing w:val="5"/>
          <w:kern w:val="0"/>
          <w:sz w:val="24"/>
          <w:szCs w:val="24"/>
        </w:rPr>
      </w:pPr>
    </w:p>
    <w:p w14:paraId="53DBD9F4" w14:textId="77777777" w:rsidR="00E7747E" w:rsidRDefault="00E7747E" w:rsidP="00AD3262">
      <w:pPr>
        <w:widowControl/>
        <w:pBdr>
          <w:bottom w:val="single" w:sz="8" w:space="4" w:color="4472C4"/>
        </w:pBdr>
        <w:spacing w:before="100" w:beforeAutospacing="1" w:after="100" w:afterAutospacing="1" w:line="480" w:lineRule="auto"/>
        <w:contextualSpacing/>
        <w:jc w:val="center"/>
        <w:rPr>
          <w:rFonts w:ascii="Arial" w:eastAsia="等线 Light" w:hAnsi="Arial" w:cs="Arial"/>
          <w:color w:val="323E4F"/>
          <w:spacing w:val="5"/>
          <w:kern w:val="0"/>
          <w:sz w:val="24"/>
          <w:szCs w:val="24"/>
        </w:rPr>
      </w:pPr>
    </w:p>
    <w:p w14:paraId="61B7CB4D" w14:textId="77777777" w:rsidR="00E7747E" w:rsidRDefault="00E7747E" w:rsidP="00AD3262">
      <w:pPr>
        <w:widowControl/>
        <w:pBdr>
          <w:bottom w:val="single" w:sz="8" w:space="4" w:color="4472C4"/>
        </w:pBdr>
        <w:spacing w:before="100" w:beforeAutospacing="1" w:after="100" w:afterAutospacing="1" w:line="480" w:lineRule="auto"/>
        <w:contextualSpacing/>
        <w:jc w:val="center"/>
        <w:rPr>
          <w:rFonts w:ascii="Arial" w:eastAsia="等线 Light" w:hAnsi="Arial" w:cs="Arial"/>
          <w:color w:val="323E4F"/>
          <w:spacing w:val="5"/>
          <w:kern w:val="0"/>
          <w:sz w:val="24"/>
          <w:szCs w:val="24"/>
        </w:rPr>
      </w:pPr>
    </w:p>
    <w:p w14:paraId="70F2D6B7" w14:textId="77777777" w:rsidR="00E7747E" w:rsidRDefault="00E7747E" w:rsidP="00AD3262">
      <w:pPr>
        <w:widowControl/>
        <w:pBdr>
          <w:bottom w:val="single" w:sz="8" w:space="4" w:color="4472C4"/>
        </w:pBdr>
        <w:spacing w:before="100" w:beforeAutospacing="1" w:after="100" w:afterAutospacing="1" w:line="480" w:lineRule="auto"/>
        <w:contextualSpacing/>
        <w:jc w:val="center"/>
        <w:rPr>
          <w:rFonts w:ascii="Arial" w:eastAsia="等线 Light" w:hAnsi="Arial" w:cs="Arial"/>
          <w:color w:val="323E4F"/>
          <w:spacing w:val="5"/>
          <w:kern w:val="0"/>
          <w:sz w:val="24"/>
          <w:szCs w:val="24"/>
        </w:rPr>
      </w:pPr>
    </w:p>
    <w:p w14:paraId="16FCAA8D" w14:textId="77777777" w:rsidR="00E7747E" w:rsidRDefault="00E7747E" w:rsidP="00AD3262">
      <w:pPr>
        <w:widowControl/>
        <w:pBdr>
          <w:bottom w:val="single" w:sz="8" w:space="4" w:color="4472C4"/>
        </w:pBdr>
        <w:spacing w:before="100" w:beforeAutospacing="1" w:after="100" w:afterAutospacing="1" w:line="480" w:lineRule="auto"/>
        <w:contextualSpacing/>
        <w:jc w:val="center"/>
        <w:rPr>
          <w:rFonts w:ascii="Arial" w:eastAsia="等线 Light" w:hAnsi="Arial" w:cs="Arial"/>
          <w:color w:val="323E4F"/>
          <w:spacing w:val="5"/>
          <w:kern w:val="0"/>
          <w:sz w:val="24"/>
          <w:szCs w:val="24"/>
        </w:rPr>
      </w:pPr>
    </w:p>
    <w:p w14:paraId="12F9132E" w14:textId="2F2419C0" w:rsidR="00AD3262" w:rsidRPr="007B6730" w:rsidRDefault="00AD3262" w:rsidP="007B6730">
      <w:pPr>
        <w:widowControl/>
        <w:pBdr>
          <w:bottom w:val="single" w:sz="8" w:space="4" w:color="4472C4"/>
        </w:pBdr>
        <w:spacing w:before="100" w:beforeAutospacing="1" w:after="100" w:afterAutospacing="1" w:line="360" w:lineRule="auto"/>
        <w:contextualSpacing/>
        <w:jc w:val="center"/>
        <w:rPr>
          <w:rFonts w:ascii="Arial" w:eastAsia="等线 Light" w:hAnsi="Arial" w:cs="Arial"/>
          <w:color w:val="323E4F"/>
          <w:spacing w:val="5"/>
          <w:kern w:val="0"/>
          <w:sz w:val="24"/>
          <w:szCs w:val="24"/>
        </w:rPr>
      </w:pPr>
      <w:r w:rsidRPr="007B6730">
        <w:rPr>
          <w:rFonts w:ascii="Arial" w:eastAsia="等线 Light" w:hAnsi="Arial" w:cs="Arial"/>
          <w:color w:val="323E4F"/>
          <w:spacing w:val="5"/>
          <w:kern w:val="0"/>
          <w:sz w:val="24"/>
          <w:szCs w:val="24"/>
        </w:rPr>
        <w:t>Unit name: Strategic Management and Sustainability</w:t>
      </w:r>
    </w:p>
    <w:p w14:paraId="4E9B6EA5" w14:textId="652703B1" w:rsidR="00AD3262" w:rsidRPr="007B6730" w:rsidRDefault="00E7747E" w:rsidP="007B6730">
      <w:pPr>
        <w:widowControl/>
        <w:pBdr>
          <w:bottom w:val="single" w:sz="8" w:space="4" w:color="4472C4"/>
        </w:pBdr>
        <w:spacing w:before="100" w:beforeAutospacing="1" w:after="100" w:afterAutospacing="1" w:line="360" w:lineRule="auto"/>
        <w:contextualSpacing/>
        <w:jc w:val="center"/>
        <w:rPr>
          <w:rFonts w:ascii="Arial" w:eastAsia="等线 Light" w:hAnsi="Arial" w:cs="Arial"/>
          <w:b/>
          <w:color w:val="323E4F"/>
          <w:spacing w:val="5"/>
          <w:kern w:val="0"/>
          <w:sz w:val="24"/>
          <w:szCs w:val="24"/>
        </w:rPr>
      </w:pPr>
      <w:r w:rsidRPr="007B6730">
        <w:rPr>
          <w:rFonts w:ascii="Arial" w:hAnsi="Arial" w:cs="Arial"/>
          <w:sz w:val="24"/>
          <w:szCs w:val="24"/>
        </w:rPr>
        <w:t xml:space="preserve"> </w:t>
      </w:r>
      <w:r w:rsidRPr="007B6730">
        <w:rPr>
          <w:rFonts w:ascii="Arial" w:eastAsia="等线 Light" w:hAnsi="Arial" w:cs="Arial"/>
          <w:b/>
          <w:color w:val="323E4F"/>
          <w:spacing w:val="5"/>
          <w:kern w:val="0"/>
          <w:sz w:val="24"/>
          <w:szCs w:val="24"/>
        </w:rPr>
        <w:t>Strategic Resilience in Transition: Toyota’s Path to Sustainable Mobility Leadership</w:t>
      </w:r>
    </w:p>
    <w:p w14:paraId="3BF08CC7" w14:textId="77777777" w:rsidR="00AD3262" w:rsidRPr="007B6730" w:rsidRDefault="00AD3262" w:rsidP="007B6730">
      <w:pPr>
        <w:widowControl/>
        <w:spacing w:before="100" w:beforeAutospacing="1" w:after="100" w:afterAutospacing="1" w:line="360" w:lineRule="auto"/>
        <w:jc w:val="center"/>
        <w:rPr>
          <w:rFonts w:ascii="Arial" w:eastAsia="等线" w:hAnsi="Arial" w:cs="Arial"/>
          <w:kern w:val="0"/>
          <w:sz w:val="24"/>
          <w:szCs w:val="24"/>
        </w:rPr>
      </w:pPr>
      <w:r w:rsidRPr="007B6730">
        <w:rPr>
          <w:rFonts w:ascii="Arial" w:eastAsia="等线" w:hAnsi="Arial" w:cs="Arial"/>
          <w:kern w:val="0"/>
          <w:sz w:val="24"/>
          <w:szCs w:val="24"/>
        </w:rPr>
        <w:t>Written by: Wang Yaozheng</w:t>
      </w:r>
    </w:p>
    <w:p w14:paraId="16558A28" w14:textId="77777777" w:rsidR="00AD3262" w:rsidRPr="007B6730" w:rsidRDefault="00AD3262" w:rsidP="007B6730">
      <w:pPr>
        <w:widowControl/>
        <w:spacing w:before="100" w:beforeAutospacing="1" w:after="100" w:afterAutospacing="1" w:line="360" w:lineRule="auto"/>
        <w:jc w:val="center"/>
        <w:rPr>
          <w:rFonts w:ascii="Arial" w:eastAsia="等线" w:hAnsi="Arial" w:cs="Arial"/>
          <w:kern w:val="0"/>
          <w:sz w:val="24"/>
          <w:szCs w:val="24"/>
        </w:rPr>
      </w:pPr>
      <w:r w:rsidRPr="007B6730">
        <w:rPr>
          <w:rFonts w:ascii="Arial" w:eastAsia="等线" w:hAnsi="Arial" w:cs="Arial"/>
          <w:kern w:val="0"/>
          <w:sz w:val="24"/>
          <w:szCs w:val="24"/>
        </w:rPr>
        <w:t>Student ID: 2416609</w:t>
      </w:r>
    </w:p>
    <w:p w14:paraId="6AA1EE88" w14:textId="045F5A5E" w:rsidR="00AD3262" w:rsidRPr="007B6730" w:rsidRDefault="00AD3262" w:rsidP="007B6730">
      <w:pPr>
        <w:widowControl/>
        <w:spacing w:before="100" w:beforeAutospacing="1" w:after="100" w:afterAutospacing="1" w:line="360" w:lineRule="auto"/>
        <w:jc w:val="center"/>
        <w:rPr>
          <w:rFonts w:ascii="Arial" w:eastAsia="等线" w:hAnsi="Arial" w:cs="Arial"/>
          <w:kern w:val="0"/>
          <w:sz w:val="24"/>
          <w:szCs w:val="24"/>
        </w:rPr>
      </w:pPr>
      <w:r w:rsidRPr="007B6730">
        <w:rPr>
          <w:rFonts w:ascii="Arial" w:eastAsia="等线" w:hAnsi="Arial" w:cs="Arial"/>
          <w:kern w:val="0"/>
          <w:sz w:val="24"/>
          <w:szCs w:val="24"/>
        </w:rPr>
        <w:t>Date submitted: March 21, 2025</w:t>
      </w:r>
    </w:p>
    <w:p w14:paraId="6148B49E" w14:textId="77777777" w:rsidR="00AD3262" w:rsidRPr="007B6730" w:rsidRDefault="00AD3262" w:rsidP="007B6730">
      <w:pPr>
        <w:widowControl/>
        <w:spacing w:before="100" w:beforeAutospacing="1" w:after="100" w:afterAutospacing="1" w:line="360" w:lineRule="auto"/>
        <w:rPr>
          <w:rFonts w:ascii="Arial" w:eastAsia="等线" w:hAnsi="Arial" w:cs="Arial"/>
          <w:kern w:val="0"/>
          <w:sz w:val="24"/>
          <w:szCs w:val="24"/>
        </w:rPr>
      </w:pPr>
    </w:p>
    <w:p w14:paraId="0DBAB414" w14:textId="4E4ED083" w:rsidR="00784FFE" w:rsidRPr="007B6730" w:rsidRDefault="00784FFE" w:rsidP="007B6730">
      <w:pPr>
        <w:widowControl/>
        <w:spacing w:line="360" w:lineRule="auto"/>
        <w:jc w:val="left"/>
        <w:rPr>
          <w:rFonts w:ascii="Arial" w:hAnsi="Arial" w:cs="Arial"/>
          <w:sz w:val="24"/>
          <w:szCs w:val="24"/>
        </w:rPr>
      </w:pPr>
    </w:p>
    <w:p w14:paraId="2D80E73F" w14:textId="77777777" w:rsidR="00784FFE" w:rsidRPr="007B6730" w:rsidRDefault="00784FFE" w:rsidP="007B6730">
      <w:pPr>
        <w:widowControl/>
        <w:spacing w:line="360" w:lineRule="auto"/>
        <w:jc w:val="left"/>
        <w:rPr>
          <w:rFonts w:ascii="Arial" w:hAnsi="Arial" w:cs="Arial"/>
          <w:sz w:val="24"/>
          <w:szCs w:val="24"/>
        </w:rPr>
      </w:pPr>
    </w:p>
    <w:p w14:paraId="7C886E90" w14:textId="77777777" w:rsidR="00784FFE" w:rsidRPr="007B6730" w:rsidRDefault="00784FFE" w:rsidP="007B6730">
      <w:pPr>
        <w:widowControl/>
        <w:spacing w:line="360" w:lineRule="auto"/>
        <w:jc w:val="left"/>
        <w:rPr>
          <w:rFonts w:ascii="Arial" w:hAnsi="Arial" w:cs="Arial"/>
          <w:sz w:val="24"/>
          <w:szCs w:val="24"/>
        </w:rPr>
      </w:pPr>
    </w:p>
    <w:p w14:paraId="65AF5F26" w14:textId="77777777" w:rsidR="00FA45C2" w:rsidRPr="007B6730" w:rsidRDefault="00FA45C2" w:rsidP="007B6730">
      <w:pPr>
        <w:widowControl/>
        <w:spacing w:line="360" w:lineRule="auto"/>
        <w:jc w:val="left"/>
        <w:rPr>
          <w:rFonts w:ascii="Arial" w:hAnsi="Arial" w:cs="Arial"/>
          <w:sz w:val="24"/>
          <w:szCs w:val="24"/>
        </w:rPr>
      </w:pPr>
    </w:p>
    <w:p w14:paraId="6785C5FE" w14:textId="77777777" w:rsidR="00FA45C2" w:rsidRPr="007B6730" w:rsidRDefault="00FA45C2" w:rsidP="007B6730">
      <w:pPr>
        <w:widowControl/>
        <w:spacing w:line="360" w:lineRule="auto"/>
        <w:jc w:val="left"/>
        <w:rPr>
          <w:rFonts w:ascii="Arial" w:hAnsi="Arial" w:cs="Arial"/>
          <w:sz w:val="24"/>
          <w:szCs w:val="24"/>
        </w:rPr>
      </w:pPr>
    </w:p>
    <w:p w14:paraId="1373DA4D" w14:textId="77777777" w:rsidR="00FA45C2" w:rsidRPr="007B6730" w:rsidRDefault="00FA45C2" w:rsidP="007B6730">
      <w:pPr>
        <w:widowControl/>
        <w:spacing w:line="360" w:lineRule="auto"/>
        <w:jc w:val="left"/>
        <w:rPr>
          <w:rFonts w:ascii="Arial" w:hAnsi="Arial" w:cs="Arial"/>
          <w:sz w:val="24"/>
          <w:szCs w:val="24"/>
        </w:rPr>
      </w:pPr>
    </w:p>
    <w:p w14:paraId="01B12BA2" w14:textId="77777777" w:rsidR="00FA45C2" w:rsidRPr="007B6730" w:rsidRDefault="00FA45C2" w:rsidP="007B6730">
      <w:pPr>
        <w:widowControl/>
        <w:spacing w:line="360" w:lineRule="auto"/>
        <w:jc w:val="left"/>
        <w:rPr>
          <w:rFonts w:ascii="Arial" w:hAnsi="Arial" w:cs="Arial"/>
          <w:sz w:val="24"/>
          <w:szCs w:val="24"/>
        </w:rPr>
      </w:pPr>
    </w:p>
    <w:p w14:paraId="71A3E178" w14:textId="77777777" w:rsidR="00784FFE" w:rsidRDefault="00784FFE" w:rsidP="007B6730">
      <w:pPr>
        <w:widowControl/>
        <w:spacing w:line="360" w:lineRule="auto"/>
        <w:jc w:val="left"/>
        <w:rPr>
          <w:rFonts w:ascii="Arial" w:hAnsi="Arial" w:cs="Arial"/>
          <w:sz w:val="24"/>
          <w:szCs w:val="24"/>
        </w:rPr>
      </w:pPr>
    </w:p>
    <w:p w14:paraId="0F7E799D" w14:textId="77777777" w:rsidR="007B6730" w:rsidRDefault="007B6730" w:rsidP="007B6730">
      <w:pPr>
        <w:widowControl/>
        <w:spacing w:line="360" w:lineRule="auto"/>
        <w:jc w:val="left"/>
        <w:rPr>
          <w:rFonts w:ascii="Arial" w:hAnsi="Arial" w:cs="Arial"/>
          <w:sz w:val="24"/>
          <w:szCs w:val="24"/>
        </w:rPr>
      </w:pPr>
    </w:p>
    <w:p w14:paraId="2842895E" w14:textId="77777777" w:rsidR="007B6730" w:rsidRDefault="007B6730" w:rsidP="007B6730">
      <w:pPr>
        <w:widowControl/>
        <w:spacing w:line="360" w:lineRule="auto"/>
        <w:jc w:val="left"/>
        <w:rPr>
          <w:rFonts w:ascii="Arial" w:hAnsi="Arial" w:cs="Arial"/>
          <w:sz w:val="24"/>
          <w:szCs w:val="24"/>
        </w:rPr>
      </w:pPr>
    </w:p>
    <w:p w14:paraId="635A134B" w14:textId="77777777" w:rsidR="007B6730" w:rsidRDefault="007B6730" w:rsidP="007B6730">
      <w:pPr>
        <w:widowControl/>
        <w:spacing w:line="360" w:lineRule="auto"/>
        <w:jc w:val="left"/>
        <w:rPr>
          <w:rFonts w:ascii="Arial" w:hAnsi="Arial" w:cs="Arial"/>
          <w:sz w:val="24"/>
          <w:szCs w:val="24"/>
        </w:rPr>
      </w:pPr>
    </w:p>
    <w:p w14:paraId="386CDBF6" w14:textId="77777777" w:rsidR="007B6730" w:rsidRPr="007B6730" w:rsidRDefault="007B6730" w:rsidP="007B6730">
      <w:pPr>
        <w:widowControl/>
        <w:spacing w:line="360" w:lineRule="auto"/>
        <w:jc w:val="left"/>
        <w:rPr>
          <w:rFonts w:ascii="Arial" w:hAnsi="Arial" w:cs="Arial"/>
          <w:sz w:val="24"/>
          <w:szCs w:val="24"/>
        </w:rPr>
      </w:pPr>
    </w:p>
    <w:sdt>
      <w:sdtPr>
        <w:rPr>
          <w:rFonts w:ascii="Arial" w:eastAsiaTheme="minorEastAsia" w:hAnsi="Arial" w:cs="Arial"/>
          <w:color w:val="auto"/>
          <w:kern w:val="2"/>
          <w:sz w:val="24"/>
          <w:szCs w:val="24"/>
          <w:lang w:val="zh-CN"/>
        </w:rPr>
        <w:id w:val="638613633"/>
        <w:docPartObj>
          <w:docPartGallery w:val="Table of Contents"/>
          <w:docPartUnique/>
        </w:docPartObj>
      </w:sdtPr>
      <w:sdtEndPr>
        <w:rPr>
          <w:b/>
          <w:bCs/>
        </w:rPr>
      </w:sdtEndPr>
      <w:sdtContent>
        <w:p w14:paraId="043275AE" w14:textId="5B720FB1" w:rsidR="00AD3262" w:rsidRPr="007B6730" w:rsidRDefault="00AD3262" w:rsidP="007B6730">
          <w:pPr>
            <w:pStyle w:val="TOC"/>
            <w:spacing w:line="360" w:lineRule="auto"/>
            <w:rPr>
              <w:rFonts w:ascii="Arial" w:hAnsi="Arial" w:cs="Arial"/>
              <w:sz w:val="24"/>
              <w:szCs w:val="24"/>
            </w:rPr>
          </w:pPr>
          <w:r w:rsidRPr="007B6730">
            <w:rPr>
              <w:rFonts w:ascii="Arial" w:hAnsi="Arial" w:cs="Arial"/>
              <w:sz w:val="24"/>
              <w:szCs w:val="24"/>
              <w:lang w:val="zh-CN"/>
            </w:rPr>
            <w:t>Contents</w:t>
          </w:r>
        </w:p>
        <w:p w14:paraId="3808A04D" w14:textId="13DDA688" w:rsidR="00AD3262" w:rsidRPr="007B6730" w:rsidRDefault="00AD3262" w:rsidP="007B6730">
          <w:pPr>
            <w:pStyle w:val="TOC1"/>
            <w:tabs>
              <w:tab w:val="right" w:leader="dot" w:pos="8296"/>
            </w:tabs>
            <w:spacing w:line="360" w:lineRule="auto"/>
            <w:rPr>
              <w:rFonts w:ascii="Arial" w:hAnsi="Arial" w:cs="Arial"/>
              <w:noProof/>
              <w:sz w:val="24"/>
              <w:szCs w:val="24"/>
              <w14:ligatures w14:val="standardContextual"/>
            </w:rPr>
          </w:pPr>
          <w:r w:rsidRPr="007B6730">
            <w:rPr>
              <w:rFonts w:ascii="Arial" w:hAnsi="Arial" w:cs="Arial"/>
              <w:sz w:val="24"/>
              <w:szCs w:val="24"/>
            </w:rPr>
            <w:fldChar w:fldCharType="begin"/>
          </w:r>
          <w:r w:rsidRPr="007B6730">
            <w:rPr>
              <w:rFonts w:ascii="Arial" w:hAnsi="Arial" w:cs="Arial"/>
              <w:sz w:val="24"/>
              <w:szCs w:val="24"/>
            </w:rPr>
            <w:instrText xml:space="preserve"> TOC \o "1-3" \h \z \u </w:instrText>
          </w:r>
          <w:r w:rsidRPr="007B6730">
            <w:rPr>
              <w:rFonts w:ascii="Arial" w:hAnsi="Arial" w:cs="Arial"/>
              <w:sz w:val="24"/>
              <w:szCs w:val="24"/>
            </w:rPr>
            <w:fldChar w:fldCharType="separate"/>
          </w:r>
          <w:hyperlink w:anchor="_Toc193494754" w:history="1">
            <w:r w:rsidRPr="007B6730">
              <w:rPr>
                <w:rStyle w:val="af2"/>
                <w:rFonts w:ascii="Arial" w:hAnsi="Arial" w:cs="Arial"/>
                <w:noProof/>
                <w:sz w:val="24"/>
                <w:szCs w:val="24"/>
              </w:rPr>
              <w:t>Executive Summary</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_Toc193494754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2</w:t>
            </w:r>
            <w:r w:rsidRPr="007B6730">
              <w:rPr>
                <w:rFonts w:ascii="Arial" w:hAnsi="Arial" w:cs="Arial"/>
                <w:noProof/>
                <w:webHidden/>
                <w:sz w:val="24"/>
                <w:szCs w:val="24"/>
              </w:rPr>
              <w:fldChar w:fldCharType="end"/>
            </w:r>
          </w:hyperlink>
        </w:p>
        <w:p w14:paraId="3DFA7593" w14:textId="6890CDC3" w:rsidR="00AD3262" w:rsidRPr="007B6730" w:rsidRDefault="00AD3262" w:rsidP="007B6730">
          <w:pPr>
            <w:pStyle w:val="TOC1"/>
            <w:tabs>
              <w:tab w:val="right" w:leader="dot" w:pos="8296"/>
            </w:tabs>
            <w:spacing w:line="360" w:lineRule="auto"/>
            <w:rPr>
              <w:rFonts w:ascii="Arial" w:hAnsi="Arial" w:cs="Arial"/>
              <w:noProof/>
              <w:sz w:val="24"/>
              <w:szCs w:val="24"/>
              <w14:ligatures w14:val="standardContextual"/>
            </w:rPr>
          </w:pPr>
          <w:hyperlink w:anchor="_Toc193494755" w:history="1">
            <w:r w:rsidRPr="007B6730">
              <w:rPr>
                <w:rStyle w:val="af2"/>
                <w:rFonts w:ascii="Arial" w:hAnsi="Arial" w:cs="Arial"/>
                <w:noProof/>
                <w:sz w:val="24"/>
                <w:szCs w:val="24"/>
              </w:rPr>
              <w:t>1.0 Introduction</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_Toc193494755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3</w:t>
            </w:r>
            <w:r w:rsidRPr="007B6730">
              <w:rPr>
                <w:rFonts w:ascii="Arial" w:hAnsi="Arial" w:cs="Arial"/>
                <w:noProof/>
                <w:webHidden/>
                <w:sz w:val="24"/>
                <w:szCs w:val="24"/>
              </w:rPr>
              <w:fldChar w:fldCharType="end"/>
            </w:r>
          </w:hyperlink>
        </w:p>
        <w:p w14:paraId="4C7D6CCE" w14:textId="38D30489" w:rsidR="00AD3262" w:rsidRPr="007B6730" w:rsidRDefault="00AD3262" w:rsidP="007B6730">
          <w:pPr>
            <w:pStyle w:val="TOC1"/>
            <w:tabs>
              <w:tab w:val="right" w:leader="dot" w:pos="8296"/>
            </w:tabs>
            <w:spacing w:line="360" w:lineRule="auto"/>
            <w:rPr>
              <w:rFonts w:ascii="Arial" w:hAnsi="Arial" w:cs="Arial"/>
              <w:noProof/>
              <w:sz w:val="24"/>
              <w:szCs w:val="24"/>
              <w14:ligatures w14:val="standardContextual"/>
            </w:rPr>
          </w:pPr>
          <w:hyperlink w:anchor="_Toc193494756" w:history="1">
            <w:r w:rsidRPr="007B6730">
              <w:rPr>
                <w:rStyle w:val="af2"/>
                <w:rFonts w:ascii="Arial" w:hAnsi="Arial" w:cs="Arial"/>
                <w:noProof/>
                <w:sz w:val="24"/>
                <w:szCs w:val="24"/>
              </w:rPr>
              <w:t>2.0 External Analysis</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_Toc193494756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3</w:t>
            </w:r>
            <w:r w:rsidRPr="007B6730">
              <w:rPr>
                <w:rFonts w:ascii="Arial" w:hAnsi="Arial" w:cs="Arial"/>
                <w:noProof/>
                <w:webHidden/>
                <w:sz w:val="24"/>
                <w:szCs w:val="24"/>
              </w:rPr>
              <w:fldChar w:fldCharType="end"/>
            </w:r>
          </w:hyperlink>
        </w:p>
        <w:p w14:paraId="02C403F7" w14:textId="2472A975" w:rsidR="00AD3262" w:rsidRPr="007B6730" w:rsidRDefault="00AD3262" w:rsidP="007B6730">
          <w:pPr>
            <w:pStyle w:val="TOC2"/>
            <w:tabs>
              <w:tab w:val="right" w:leader="dot" w:pos="8296"/>
            </w:tabs>
            <w:spacing w:line="360" w:lineRule="auto"/>
            <w:rPr>
              <w:rFonts w:ascii="Arial" w:hAnsi="Arial" w:cs="Arial"/>
              <w:noProof/>
              <w:sz w:val="24"/>
              <w:szCs w:val="24"/>
              <w14:ligatures w14:val="standardContextual"/>
            </w:rPr>
          </w:pPr>
          <w:hyperlink w:anchor="_Toc193494757" w:history="1">
            <w:r w:rsidRPr="007B6730">
              <w:rPr>
                <w:rStyle w:val="af2"/>
                <w:rFonts w:ascii="Arial" w:hAnsi="Arial" w:cs="Arial"/>
                <w:noProof/>
                <w:sz w:val="24"/>
                <w:szCs w:val="24"/>
              </w:rPr>
              <w:t>2.1 PESTEL Analysis</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_Toc193494757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3</w:t>
            </w:r>
            <w:r w:rsidRPr="007B6730">
              <w:rPr>
                <w:rFonts w:ascii="Arial" w:hAnsi="Arial" w:cs="Arial"/>
                <w:noProof/>
                <w:webHidden/>
                <w:sz w:val="24"/>
                <w:szCs w:val="24"/>
              </w:rPr>
              <w:fldChar w:fldCharType="end"/>
            </w:r>
          </w:hyperlink>
        </w:p>
        <w:p w14:paraId="34D8C823" w14:textId="3E9B6176" w:rsidR="00AD3262" w:rsidRPr="007B6730" w:rsidRDefault="00AD3262" w:rsidP="007B6730">
          <w:pPr>
            <w:pStyle w:val="TOC2"/>
            <w:tabs>
              <w:tab w:val="right" w:leader="dot" w:pos="8296"/>
            </w:tabs>
            <w:spacing w:line="360" w:lineRule="auto"/>
            <w:rPr>
              <w:rFonts w:ascii="Arial" w:hAnsi="Arial" w:cs="Arial"/>
              <w:noProof/>
              <w:sz w:val="24"/>
              <w:szCs w:val="24"/>
              <w14:ligatures w14:val="standardContextual"/>
            </w:rPr>
          </w:pPr>
          <w:hyperlink w:anchor="_Toc193494758" w:history="1">
            <w:r w:rsidRPr="007B6730">
              <w:rPr>
                <w:rStyle w:val="af2"/>
                <w:rFonts w:ascii="Arial" w:hAnsi="Arial" w:cs="Arial"/>
                <w:noProof/>
                <w:sz w:val="24"/>
                <w:szCs w:val="24"/>
              </w:rPr>
              <w:t>2.2 Porter’s Five Forces</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_Toc193494758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4</w:t>
            </w:r>
            <w:r w:rsidRPr="007B6730">
              <w:rPr>
                <w:rFonts w:ascii="Arial" w:hAnsi="Arial" w:cs="Arial"/>
                <w:noProof/>
                <w:webHidden/>
                <w:sz w:val="24"/>
                <w:szCs w:val="24"/>
              </w:rPr>
              <w:fldChar w:fldCharType="end"/>
            </w:r>
          </w:hyperlink>
        </w:p>
        <w:p w14:paraId="7B82C366" w14:textId="248D966F" w:rsidR="00AD3262" w:rsidRPr="007B6730" w:rsidRDefault="00AD3262" w:rsidP="007B6730">
          <w:pPr>
            <w:pStyle w:val="TOC2"/>
            <w:tabs>
              <w:tab w:val="right" w:leader="dot" w:pos="8296"/>
            </w:tabs>
            <w:spacing w:line="360" w:lineRule="auto"/>
            <w:rPr>
              <w:rFonts w:ascii="Arial" w:hAnsi="Arial" w:cs="Arial"/>
              <w:noProof/>
              <w:sz w:val="24"/>
              <w:szCs w:val="24"/>
              <w14:ligatures w14:val="standardContextual"/>
            </w:rPr>
          </w:pPr>
          <w:hyperlink w:anchor="_Toc193494759" w:history="1">
            <w:r w:rsidRPr="007B6730">
              <w:rPr>
                <w:rStyle w:val="af2"/>
                <w:rFonts w:ascii="Arial" w:hAnsi="Arial" w:cs="Arial"/>
                <w:noProof/>
                <w:sz w:val="24"/>
                <w:szCs w:val="24"/>
              </w:rPr>
              <w:t>2.3 Key Economic Trends</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_Toc193494759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5</w:t>
            </w:r>
            <w:r w:rsidRPr="007B6730">
              <w:rPr>
                <w:rFonts w:ascii="Arial" w:hAnsi="Arial" w:cs="Arial"/>
                <w:noProof/>
                <w:webHidden/>
                <w:sz w:val="24"/>
                <w:szCs w:val="24"/>
              </w:rPr>
              <w:fldChar w:fldCharType="end"/>
            </w:r>
          </w:hyperlink>
        </w:p>
        <w:p w14:paraId="628F2B58" w14:textId="09C4500F" w:rsidR="00AD3262" w:rsidRPr="007B6730" w:rsidRDefault="00AD3262" w:rsidP="007B6730">
          <w:pPr>
            <w:pStyle w:val="TOC1"/>
            <w:tabs>
              <w:tab w:val="right" w:leader="dot" w:pos="8296"/>
            </w:tabs>
            <w:spacing w:line="360" w:lineRule="auto"/>
            <w:rPr>
              <w:rFonts w:ascii="Arial" w:hAnsi="Arial" w:cs="Arial"/>
              <w:noProof/>
              <w:sz w:val="24"/>
              <w:szCs w:val="24"/>
              <w14:ligatures w14:val="standardContextual"/>
            </w:rPr>
          </w:pPr>
          <w:hyperlink w:anchor="_Toc193494760" w:history="1">
            <w:r w:rsidRPr="007B6730">
              <w:rPr>
                <w:rStyle w:val="af2"/>
                <w:rFonts w:ascii="Arial" w:hAnsi="Arial" w:cs="Arial"/>
                <w:noProof/>
                <w:sz w:val="24"/>
                <w:szCs w:val="24"/>
              </w:rPr>
              <w:t>3.0 Internal Analysis</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_Toc193494760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5</w:t>
            </w:r>
            <w:r w:rsidRPr="007B6730">
              <w:rPr>
                <w:rFonts w:ascii="Arial" w:hAnsi="Arial" w:cs="Arial"/>
                <w:noProof/>
                <w:webHidden/>
                <w:sz w:val="24"/>
                <w:szCs w:val="24"/>
              </w:rPr>
              <w:fldChar w:fldCharType="end"/>
            </w:r>
          </w:hyperlink>
        </w:p>
        <w:p w14:paraId="297EC296" w14:textId="7B2BEDE4" w:rsidR="00AD3262" w:rsidRPr="007B6730" w:rsidRDefault="00AD3262" w:rsidP="007B6730">
          <w:pPr>
            <w:pStyle w:val="TOC2"/>
            <w:tabs>
              <w:tab w:val="right" w:leader="dot" w:pos="8296"/>
            </w:tabs>
            <w:spacing w:line="360" w:lineRule="auto"/>
            <w:rPr>
              <w:rFonts w:ascii="Arial" w:hAnsi="Arial" w:cs="Arial"/>
              <w:noProof/>
              <w:sz w:val="24"/>
              <w:szCs w:val="24"/>
              <w14:ligatures w14:val="standardContextual"/>
            </w:rPr>
          </w:pPr>
          <w:hyperlink w:anchor="_Toc193494761" w:history="1">
            <w:r w:rsidRPr="007B6730">
              <w:rPr>
                <w:rStyle w:val="af2"/>
                <w:rFonts w:ascii="Arial" w:hAnsi="Arial" w:cs="Arial"/>
                <w:noProof/>
                <w:sz w:val="24"/>
                <w:szCs w:val="24"/>
              </w:rPr>
              <w:t>3.1 Resource-Based View</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_Toc193494761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5</w:t>
            </w:r>
            <w:r w:rsidRPr="007B6730">
              <w:rPr>
                <w:rFonts w:ascii="Arial" w:hAnsi="Arial" w:cs="Arial"/>
                <w:noProof/>
                <w:webHidden/>
                <w:sz w:val="24"/>
                <w:szCs w:val="24"/>
              </w:rPr>
              <w:fldChar w:fldCharType="end"/>
            </w:r>
          </w:hyperlink>
        </w:p>
        <w:p w14:paraId="7EFBB261" w14:textId="73C2978B" w:rsidR="00AD3262" w:rsidRPr="007B6730" w:rsidRDefault="00AD3262" w:rsidP="007B6730">
          <w:pPr>
            <w:pStyle w:val="TOC2"/>
            <w:tabs>
              <w:tab w:val="right" w:leader="dot" w:pos="8296"/>
            </w:tabs>
            <w:spacing w:line="360" w:lineRule="auto"/>
            <w:rPr>
              <w:rFonts w:ascii="Arial" w:hAnsi="Arial" w:cs="Arial"/>
              <w:noProof/>
              <w:sz w:val="24"/>
              <w:szCs w:val="24"/>
              <w14:ligatures w14:val="standardContextual"/>
            </w:rPr>
          </w:pPr>
          <w:hyperlink w:anchor="_Toc193494762" w:history="1">
            <w:r w:rsidRPr="007B6730">
              <w:rPr>
                <w:rStyle w:val="af2"/>
                <w:rFonts w:ascii="Arial" w:hAnsi="Arial" w:cs="Arial"/>
                <w:noProof/>
                <w:sz w:val="24"/>
                <w:szCs w:val="24"/>
              </w:rPr>
              <w:t>3.2 Value Chain Efficiency</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_Toc193494762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6</w:t>
            </w:r>
            <w:r w:rsidRPr="007B6730">
              <w:rPr>
                <w:rFonts w:ascii="Arial" w:hAnsi="Arial" w:cs="Arial"/>
                <w:noProof/>
                <w:webHidden/>
                <w:sz w:val="24"/>
                <w:szCs w:val="24"/>
              </w:rPr>
              <w:fldChar w:fldCharType="end"/>
            </w:r>
          </w:hyperlink>
        </w:p>
        <w:p w14:paraId="18F734CB" w14:textId="5D233CE6" w:rsidR="00AD3262" w:rsidRPr="007B6730" w:rsidRDefault="00AD3262" w:rsidP="007B6730">
          <w:pPr>
            <w:pStyle w:val="TOC2"/>
            <w:tabs>
              <w:tab w:val="right" w:leader="dot" w:pos="8296"/>
            </w:tabs>
            <w:spacing w:line="360" w:lineRule="auto"/>
            <w:rPr>
              <w:rFonts w:ascii="Arial" w:hAnsi="Arial" w:cs="Arial"/>
              <w:noProof/>
              <w:sz w:val="24"/>
              <w:szCs w:val="24"/>
              <w14:ligatures w14:val="standardContextual"/>
            </w:rPr>
          </w:pPr>
          <w:hyperlink w:anchor="_Toc193494763" w:history="1">
            <w:r w:rsidRPr="007B6730">
              <w:rPr>
                <w:rStyle w:val="af2"/>
                <w:rFonts w:ascii="Arial" w:hAnsi="Arial" w:cs="Arial"/>
                <w:noProof/>
                <w:sz w:val="24"/>
                <w:szCs w:val="24"/>
              </w:rPr>
              <w:t>3.3 SWOT Analysis</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_Toc193494763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6</w:t>
            </w:r>
            <w:r w:rsidRPr="007B6730">
              <w:rPr>
                <w:rFonts w:ascii="Arial" w:hAnsi="Arial" w:cs="Arial"/>
                <w:noProof/>
                <w:webHidden/>
                <w:sz w:val="24"/>
                <w:szCs w:val="24"/>
              </w:rPr>
              <w:fldChar w:fldCharType="end"/>
            </w:r>
          </w:hyperlink>
        </w:p>
        <w:p w14:paraId="5EB10578" w14:textId="71730145" w:rsidR="00AD3262" w:rsidRPr="007B6730" w:rsidRDefault="00AD3262" w:rsidP="007B6730">
          <w:pPr>
            <w:pStyle w:val="TOC1"/>
            <w:tabs>
              <w:tab w:val="right" w:leader="dot" w:pos="8296"/>
            </w:tabs>
            <w:spacing w:line="360" w:lineRule="auto"/>
            <w:rPr>
              <w:rFonts w:ascii="Arial" w:hAnsi="Arial" w:cs="Arial"/>
              <w:noProof/>
              <w:sz w:val="24"/>
              <w:szCs w:val="24"/>
              <w14:ligatures w14:val="standardContextual"/>
            </w:rPr>
          </w:pPr>
          <w:hyperlink w:anchor="_Toc193494764" w:history="1">
            <w:r w:rsidRPr="007B6730">
              <w:rPr>
                <w:rStyle w:val="af2"/>
                <w:rFonts w:ascii="Arial" w:hAnsi="Arial" w:cs="Arial"/>
                <w:noProof/>
                <w:sz w:val="24"/>
                <w:szCs w:val="24"/>
              </w:rPr>
              <w:t>4.0 Strategy Formulation &amp; Competitive Positioning</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_Toc193494764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7</w:t>
            </w:r>
            <w:r w:rsidRPr="007B6730">
              <w:rPr>
                <w:rFonts w:ascii="Arial" w:hAnsi="Arial" w:cs="Arial"/>
                <w:noProof/>
                <w:webHidden/>
                <w:sz w:val="24"/>
                <w:szCs w:val="24"/>
              </w:rPr>
              <w:fldChar w:fldCharType="end"/>
            </w:r>
          </w:hyperlink>
        </w:p>
        <w:p w14:paraId="482BAF80" w14:textId="03EFEE37" w:rsidR="00AD3262" w:rsidRPr="007B6730" w:rsidRDefault="00AD3262" w:rsidP="007B6730">
          <w:pPr>
            <w:pStyle w:val="TOC2"/>
            <w:tabs>
              <w:tab w:val="right" w:leader="dot" w:pos="8296"/>
            </w:tabs>
            <w:spacing w:line="360" w:lineRule="auto"/>
            <w:rPr>
              <w:rFonts w:ascii="Arial" w:hAnsi="Arial" w:cs="Arial"/>
              <w:noProof/>
              <w:sz w:val="24"/>
              <w:szCs w:val="24"/>
              <w14:ligatures w14:val="standardContextual"/>
            </w:rPr>
          </w:pPr>
          <w:hyperlink w:anchor="_Toc193494765" w:history="1">
            <w:r w:rsidRPr="007B6730">
              <w:rPr>
                <w:rStyle w:val="af2"/>
                <w:rFonts w:ascii="Arial" w:hAnsi="Arial" w:cs="Arial"/>
                <w:noProof/>
                <w:sz w:val="24"/>
                <w:szCs w:val="24"/>
              </w:rPr>
              <w:t>4.1 Strategic Positioning</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_Toc193494765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7</w:t>
            </w:r>
            <w:r w:rsidRPr="007B6730">
              <w:rPr>
                <w:rFonts w:ascii="Arial" w:hAnsi="Arial" w:cs="Arial"/>
                <w:noProof/>
                <w:webHidden/>
                <w:sz w:val="24"/>
                <w:szCs w:val="24"/>
              </w:rPr>
              <w:fldChar w:fldCharType="end"/>
            </w:r>
          </w:hyperlink>
        </w:p>
        <w:p w14:paraId="4EF89259" w14:textId="3C7F13D3" w:rsidR="00AD3262" w:rsidRPr="007B6730" w:rsidRDefault="00AD3262" w:rsidP="007B6730">
          <w:pPr>
            <w:pStyle w:val="TOC2"/>
            <w:tabs>
              <w:tab w:val="right" w:leader="dot" w:pos="8296"/>
            </w:tabs>
            <w:spacing w:line="360" w:lineRule="auto"/>
            <w:rPr>
              <w:rFonts w:ascii="Arial" w:hAnsi="Arial" w:cs="Arial"/>
              <w:noProof/>
              <w:sz w:val="24"/>
              <w:szCs w:val="24"/>
              <w14:ligatures w14:val="standardContextual"/>
            </w:rPr>
          </w:pPr>
          <w:hyperlink w:anchor="_Toc193494766" w:history="1">
            <w:r w:rsidRPr="007B6730">
              <w:rPr>
                <w:rStyle w:val="af2"/>
                <w:rFonts w:ascii="Arial" w:hAnsi="Arial" w:cs="Arial"/>
                <w:noProof/>
                <w:sz w:val="24"/>
                <w:szCs w:val="24"/>
              </w:rPr>
              <w:t>4.2 Growth Strategies</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_Toc193494766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7</w:t>
            </w:r>
            <w:r w:rsidRPr="007B6730">
              <w:rPr>
                <w:rFonts w:ascii="Arial" w:hAnsi="Arial" w:cs="Arial"/>
                <w:noProof/>
                <w:webHidden/>
                <w:sz w:val="24"/>
                <w:szCs w:val="24"/>
              </w:rPr>
              <w:fldChar w:fldCharType="end"/>
            </w:r>
          </w:hyperlink>
        </w:p>
        <w:p w14:paraId="311339CC" w14:textId="1645974F" w:rsidR="00AD3262" w:rsidRPr="007B6730" w:rsidRDefault="00AD3262" w:rsidP="007B6730">
          <w:pPr>
            <w:pStyle w:val="TOC2"/>
            <w:tabs>
              <w:tab w:val="right" w:leader="dot" w:pos="8296"/>
            </w:tabs>
            <w:spacing w:line="360" w:lineRule="auto"/>
            <w:rPr>
              <w:rFonts w:ascii="Arial" w:hAnsi="Arial" w:cs="Arial"/>
              <w:noProof/>
              <w:sz w:val="24"/>
              <w:szCs w:val="24"/>
              <w14:ligatures w14:val="standardContextual"/>
            </w:rPr>
          </w:pPr>
          <w:hyperlink w:anchor="_Toc193494767" w:history="1">
            <w:r w:rsidRPr="007B6730">
              <w:rPr>
                <w:rStyle w:val="af2"/>
                <w:rFonts w:ascii="Arial" w:hAnsi="Arial" w:cs="Arial"/>
                <w:noProof/>
                <w:sz w:val="24"/>
                <w:szCs w:val="24"/>
              </w:rPr>
              <w:t>4.3 Mergers &amp; Acquisitions</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_Toc193494767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7</w:t>
            </w:r>
            <w:r w:rsidRPr="007B6730">
              <w:rPr>
                <w:rFonts w:ascii="Arial" w:hAnsi="Arial" w:cs="Arial"/>
                <w:noProof/>
                <w:webHidden/>
                <w:sz w:val="24"/>
                <w:szCs w:val="24"/>
              </w:rPr>
              <w:fldChar w:fldCharType="end"/>
            </w:r>
          </w:hyperlink>
        </w:p>
        <w:p w14:paraId="499D1C4D" w14:textId="3B4DFD1C" w:rsidR="00AD3262" w:rsidRPr="007B6730" w:rsidRDefault="00AD3262" w:rsidP="007B6730">
          <w:pPr>
            <w:pStyle w:val="TOC1"/>
            <w:tabs>
              <w:tab w:val="right" w:leader="dot" w:pos="8296"/>
            </w:tabs>
            <w:spacing w:line="360" w:lineRule="auto"/>
            <w:rPr>
              <w:rFonts w:ascii="Arial" w:hAnsi="Arial" w:cs="Arial"/>
              <w:noProof/>
              <w:sz w:val="24"/>
              <w:szCs w:val="24"/>
              <w14:ligatures w14:val="standardContextual"/>
            </w:rPr>
          </w:pPr>
          <w:hyperlink w:anchor="_Toc193494768" w:history="1">
            <w:r w:rsidRPr="007B6730">
              <w:rPr>
                <w:rStyle w:val="af2"/>
                <w:rFonts w:ascii="Arial" w:hAnsi="Arial" w:cs="Arial"/>
                <w:noProof/>
                <w:sz w:val="24"/>
                <w:szCs w:val="24"/>
              </w:rPr>
              <w:t>5.0 Sustainability &amp; Strategic Recommendations</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_Toc193494768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8</w:t>
            </w:r>
            <w:r w:rsidRPr="007B6730">
              <w:rPr>
                <w:rFonts w:ascii="Arial" w:hAnsi="Arial" w:cs="Arial"/>
                <w:noProof/>
                <w:webHidden/>
                <w:sz w:val="24"/>
                <w:szCs w:val="24"/>
              </w:rPr>
              <w:fldChar w:fldCharType="end"/>
            </w:r>
          </w:hyperlink>
        </w:p>
        <w:p w14:paraId="2B53A3F8" w14:textId="42D890A2" w:rsidR="00AD3262" w:rsidRPr="007B6730" w:rsidRDefault="00AD3262" w:rsidP="007B6730">
          <w:pPr>
            <w:pStyle w:val="TOC1"/>
            <w:tabs>
              <w:tab w:val="right" w:leader="dot" w:pos="8296"/>
            </w:tabs>
            <w:spacing w:line="360" w:lineRule="auto"/>
            <w:rPr>
              <w:rFonts w:ascii="Arial" w:hAnsi="Arial" w:cs="Arial"/>
              <w:noProof/>
              <w:sz w:val="24"/>
              <w:szCs w:val="24"/>
              <w14:ligatures w14:val="standardContextual"/>
            </w:rPr>
          </w:pPr>
          <w:hyperlink w:anchor="_Toc193494769" w:history="1">
            <w:r w:rsidRPr="007B6730">
              <w:rPr>
                <w:rStyle w:val="af2"/>
                <w:rFonts w:ascii="Arial" w:hAnsi="Arial" w:cs="Arial"/>
                <w:noProof/>
                <w:sz w:val="24"/>
                <w:szCs w:val="24"/>
              </w:rPr>
              <w:t>6.0 Conclusion</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_Toc193494769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9</w:t>
            </w:r>
            <w:r w:rsidRPr="007B6730">
              <w:rPr>
                <w:rFonts w:ascii="Arial" w:hAnsi="Arial" w:cs="Arial"/>
                <w:noProof/>
                <w:webHidden/>
                <w:sz w:val="24"/>
                <w:szCs w:val="24"/>
              </w:rPr>
              <w:fldChar w:fldCharType="end"/>
            </w:r>
          </w:hyperlink>
        </w:p>
        <w:p w14:paraId="42C62D72" w14:textId="24D382D4" w:rsidR="00AD3262" w:rsidRPr="007B6730" w:rsidRDefault="00AD3262" w:rsidP="007B6730">
          <w:pPr>
            <w:pStyle w:val="TOC1"/>
            <w:tabs>
              <w:tab w:val="right" w:leader="dot" w:pos="8296"/>
            </w:tabs>
            <w:spacing w:line="360" w:lineRule="auto"/>
            <w:rPr>
              <w:rFonts w:ascii="Arial" w:hAnsi="Arial" w:cs="Arial"/>
              <w:noProof/>
              <w:sz w:val="24"/>
              <w:szCs w:val="24"/>
              <w14:ligatures w14:val="standardContextual"/>
            </w:rPr>
          </w:pPr>
          <w:hyperlink w:anchor="_Toc193494770" w:history="1">
            <w:r w:rsidRPr="007B6730">
              <w:rPr>
                <w:rStyle w:val="af2"/>
                <w:rFonts w:ascii="Arial" w:hAnsi="Arial" w:cs="Arial"/>
                <w:noProof/>
                <w:sz w:val="24"/>
                <w:szCs w:val="24"/>
              </w:rPr>
              <w:t>7.0 Reference</w:t>
            </w:r>
            <w:r w:rsidRPr="007B6730">
              <w:rPr>
                <w:rFonts w:ascii="Arial" w:hAnsi="Arial" w:cs="Arial"/>
                <w:noProof/>
                <w:webHidden/>
                <w:sz w:val="24"/>
                <w:szCs w:val="24"/>
              </w:rPr>
              <w:tab/>
            </w:r>
            <w:r w:rsidRPr="007B6730">
              <w:rPr>
                <w:rFonts w:ascii="Arial" w:hAnsi="Arial" w:cs="Arial"/>
                <w:noProof/>
                <w:webHidden/>
                <w:sz w:val="24"/>
                <w:szCs w:val="24"/>
              </w:rPr>
              <w:fldChar w:fldCharType="begin"/>
            </w:r>
            <w:r w:rsidRPr="007B6730">
              <w:rPr>
                <w:rFonts w:ascii="Arial" w:hAnsi="Arial" w:cs="Arial"/>
                <w:noProof/>
                <w:webHidden/>
                <w:sz w:val="24"/>
                <w:szCs w:val="24"/>
              </w:rPr>
              <w:instrText xml:space="preserve"> PAGEREF _Toc193494770 \h </w:instrText>
            </w:r>
            <w:r w:rsidRPr="007B6730">
              <w:rPr>
                <w:rFonts w:ascii="Arial" w:hAnsi="Arial" w:cs="Arial"/>
                <w:noProof/>
                <w:webHidden/>
                <w:sz w:val="24"/>
                <w:szCs w:val="24"/>
              </w:rPr>
            </w:r>
            <w:r w:rsidRPr="007B6730">
              <w:rPr>
                <w:rFonts w:ascii="Arial" w:hAnsi="Arial" w:cs="Arial"/>
                <w:noProof/>
                <w:webHidden/>
                <w:sz w:val="24"/>
                <w:szCs w:val="24"/>
              </w:rPr>
              <w:fldChar w:fldCharType="separate"/>
            </w:r>
            <w:r w:rsidRPr="007B6730">
              <w:rPr>
                <w:rFonts w:ascii="Arial" w:hAnsi="Arial" w:cs="Arial"/>
                <w:noProof/>
                <w:webHidden/>
                <w:sz w:val="24"/>
                <w:szCs w:val="24"/>
              </w:rPr>
              <w:t>9</w:t>
            </w:r>
            <w:r w:rsidRPr="007B6730">
              <w:rPr>
                <w:rFonts w:ascii="Arial" w:hAnsi="Arial" w:cs="Arial"/>
                <w:noProof/>
                <w:webHidden/>
                <w:sz w:val="24"/>
                <w:szCs w:val="24"/>
              </w:rPr>
              <w:fldChar w:fldCharType="end"/>
            </w:r>
          </w:hyperlink>
        </w:p>
        <w:p w14:paraId="1ED95840" w14:textId="614ED841" w:rsidR="00AD3262" w:rsidRPr="007B6730" w:rsidRDefault="00AD3262" w:rsidP="007B6730">
          <w:pPr>
            <w:spacing w:line="360" w:lineRule="auto"/>
            <w:rPr>
              <w:rFonts w:ascii="Arial" w:hAnsi="Arial" w:cs="Arial"/>
              <w:sz w:val="24"/>
              <w:szCs w:val="24"/>
            </w:rPr>
          </w:pPr>
          <w:r w:rsidRPr="007B6730">
            <w:rPr>
              <w:rFonts w:ascii="Arial" w:hAnsi="Arial" w:cs="Arial"/>
              <w:b/>
              <w:bCs/>
              <w:sz w:val="24"/>
              <w:szCs w:val="24"/>
              <w:lang w:val="zh-CN"/>
            </w:rPr>
            <w:fldChar w:fldCharType="end"/>
          </w:r>
        </w:p>
      </w:sdtContent>
    </w:sdt>
    <w:p w14:paraId="4B780710" w14:textId="77777777" w:rsidR="00AD3262" w:rsidRPr="007B6730" w:rsidRDefault="00AD3262" w:rsidP="007B6730">
      <w:pPr>
        <w:widowControl/>
        <w:spacing w:line="360" w:lineRule="auto"/>
        <w:jc w:val="left"/>
        <w:rPr>
          <w:rFonts w:ascii="Arial" w:hAnsi="Arial" w:cs="Arial"/>
          <w:sz w:val="24"/>
          <w:szCs w:val="24"/>
        </w:rPr>
      </w:pPr>
    </w:p>
    <w:p w14:paraId="4ACB5655" w14:textId="77777777" w:rsidR="00AD3262" w:rsidRPr="007B6730" w:rsidRDefault="00AD3262" w:rsidP="007B6730">
      <w:pPr>
        <w:widowControl/>
        <w:spacing w:line="360" w:lineRule="auto"/>
        <w:jc w:val="left"/>
        <w:rPr>
          <w:rFonts w:ascii="Arial" w:hAnsi="Arial" w:cs="Arial"/>
          <w:sz w:val="24"/>
          <w:szCs w:val="24"/>
        </w:rPr>
      </w:pPr>
    </w:p>
    <w:p w14:paraId="37B54EC9" w14:textId="77777777" w:rsidR="00784FFE" w:rsidRDefault="00784FFE" w:rsidP="007B6730">
      <w:pPr>
        <w:widowControl/>
        <w:spacing w:line="360" w:lineRule="auto"/>
        <w:jc w:val="left"/>
        <w:rPr>
          <w:rFonts w:ascii="Arial" w:hAnsi="Arial" w:cs="Arial"/>
          <w:sz w:val="24"/>
          <w:szCs w:val="24"/>
        </w:rPr>
      </w:pPr>
    </w:p>
    <w:p w14:paraId="6D839047" w14:textId="77777777" w:rsidR="007B6730" w:rsidRDefault="007B6730" w:rsidP="007B6730">
      <w:pPr>
        <w:widowControl/>
        <w:spacing w:line="360" w:lineRule="auto"/>
        <w:jc w:val="left"/>
        <w:rPr>
          <w:rFonts w:ascii="Arial" w:hAnsi="Arial" w:cs="Arial"/>
          <w:sz w:val="24"/>
          <w:szCs w:val="24"/>
        </w:rPr>
      </w:pPr>
    </w:p>
    <w:p w14:paraId="7F6F93CC" w14:textId="77777777" w:rsidR="007B6730" w:rsidRDefault="007B6730" w:rsidP="007B6730">
      <w:pPr>
        <w:widowControl/>
        <w:spacing w:line="360" w:lineRule="auto"/>
        <w:jc w:val="left"/>
        <w:rPr>
          <w:rFonts w:ascii="Arial" w:hAnsi="Arial" w:cs="Arial"/>
          <w:sz w:val="24"/>
          <w:szCs w:val="24"/>
        </w:rPr>
      </w:pPr>
    </w:p>
    <w:p w14:paraId="0A81FDCC" w14:textId="77777777" w:rsidR="007B6730" w:rsidRDefault="007B6730" w:rsidP="007B6730">
      <w:pPr>
        <w:widowControl/>
        <w:spacing w:line="360" w:lineRule="auto"/>
        <w:jc w:val="left"/>
        <w:rPr>
          <w:rFonts w:ascii="Arial" w:hAnsi="Arial" w:cs="Arial"/>
          <w:sz w:val="24"/>
          <w:szCs w:val="24"/>
        </w:rPr>
      </w:pPr>
    </w:p>
    <w:p w14:paraId="5EABFDA7" w14:textId="77777777" w:rsidR="007B6730" w:rsidRPr="007B6730" w:rsidRDefault="007B6730" w:rsidP="007B6730">
      <w:pPr>
        <w:widowControl/>
        <w:spacing w:line="360" w:lineRule="auto"/>
        <w:jc w:val="left"/>
        <w:rPr>
          <w:rFonts w:ascii="Arial" w:hAnsi="Arial" w:cs="Arial"/>
          <w:sz w:val="24"/>
          <w:szCs w:val="24"/>
        </w:rPr>
      </w:pPr>
    </w:p>
    <w:p w14:paraId="22315AA0" w14:textId="6E7E4D2A" w:rsidR="00784FFE" w:rsidRPr="007B6730" w:rsidRDefault="00FA45C2" w:rsidP="007B6730">
      <w:pPr>
        <w:pStyle w:val="1"/>
        <w:spacing w:line="360" w:lineRule="auto"/>
        <w:rPr>
          <w:rFonts w:ascii="Arial" w:hAnsi="Arial" w:cs="Arial"/>
          <w:sz w:val="24"/>
          <w:szCs w:val="24"/>
        </w:rPr>
      </w:pPr>
      <w:bookmarkStart w:id="0" w:name="_Toc193493132"/>
      <w:bookmarkStart w:id="1" w:name="_Toc193494754"/>
      <w:r w:rsidRPr="007B6730">
        <w:rPr>
          <w:rFonts w:ascii="Arial" w:hAnsi="Arial" w:cs="Arial"/>
          <w:sz w:val="24"/>
          <w:szCs w:val="24"/>
        </w:rPr>
        <w:lastRenderedPageBreak/>
        <w:t>Executive Summary</w:t>
      </w:r>
      <w:bookmarkEnd w:id="0"/>
      <w:bookmarkEnd w:id="1"/>
    </w:p>
    <w:p w14:paraId="0742B875" w14:textId="34B749F1" w:rsidR="00FA45C2" w:rsidRPr="007B6730" w:rsidRDefault="00FA45C2" w:rsidP="007B6730">
      <w:pPr>
        <w:widowControl/>
        <w:spacing w:line="360" w:lineRule="auto"/>
        <w:jc w:val="left"/>
        <w:rPr>
          <w:rFonts w:ascii="Arial" w:hAnsi="Arial" w:cs="Arial"/>
          <w:sz w:val="24"/>
          <w:szCs w:val="24"/>
        </w:rPr>
      </w:pPr>
      <w:r w:rsidRPr="007B6730">
        <w:rPr>
          <w:rFonts w:ascii="Arial" w:hAnsi="Arial" w:cs="Arial"/>
          <w:sz w:val="24"/>
          <w:szCs w:val="24"/>
        </w:rPr>
        <w:t xml:space="preserve">Toyota, the global automotive leader, faces a critical juncture as the industry shifts toward electric vehicles (EVs) and sustainability. While its hybrid technology and efficient supply chain sustain short-term </w:t>
      </w:r>
      <w:proofErr w:type="gramStart"/>
      <w:r w:rsidRPr="007B6730">
        <w:rPr>
          <w:rFonts w:ascii="Arial" w:hAnsi="Arial" w:cs="Arial"/>
          <w:sz w:val="24"/>
          <w:szCs w:val="24"/>
        </w:rPr>
        <w:t>profits—</w:t>
      </w:r>
      <w:proofErr w:type="gramEnd"/>
      <w:r w:rsidRPr="007B6730">
        <w:rPr>
          <w:rFonts w:ascii="Arial" w:hAnsi="Arial" w:cs="Arial"/>
          <w:sz w:val="24"/>
          <w:szCs w:val="24"/>
        </w:rPr>
        <w:t xml:space="preserve">evidenced by the Camry Hybrid’s 350,000 annual </w:t>
      </w:r>
      <w:proofErr w:type="gramStart"/>
      <w:r w:rsidRPr="007B6730">
        <w:rPr>
          <w:rFonts w:ascii="Arial" w:hAnsi="Arial" w:cs="Arial"/>
          <w:sz w:val="24"/>
          <w:szCs w:val="24"/>
        </w:rPr>
        <w:t>sales—</w:t>
      </w:r>
      <w:proofErr w:type="gramEnd"/>
      <w:r w:rsidRPr="007B6730">
        <w:rPr>
          <w:rFonts w:ascii="Arial" w:hAnsi="Arial" w:cs="Arial"/>
          <w:sz w:val="24"/>
          <w:szCs w:val="24"/>
        </w:rPr>
        <w:t xml:space="preserve">the company struggles to balance legacy strengths with emerging EV demands. Externally, regulatory pressures like China’s EV mandates and the EU’s carbon tariffs challenge its gasoline-dependent revenue, while competitors like Tesla and BYD dominate the EV market through innovation and cost efficiency. Internally, Toyota’s vertical integration and hybrid patents remain advantages, but delayed EV platforms and weak software capabilities hinder its </w:t>
      </w:r>
      <w:proofErr w:type="spellStart"/>
      <w:proofErr w:type="gramStart"/>
      <w:r w:rsidRPr="007B6730">
        <w:rPr>
          <w:rFonts w:ascii="Arial" w:hAnsi="Arial" w:cs="Arial"/>
          <w:sz w:val="24"/>
          <w:szCs w:val="24"/>
        </w:rPr>
        <w:t>competitiveness.To</w:t>
      </w:r>
      <w:proofErr w:type="spellEnd"/>
      <w:proofErr w:type="gramEnd"/>
      <w:r w:rsidRPr="007B6730">
        <w:rPr>
          <w:rFonts w:ascii="Arial" w:hAnsi="Arial" w:cs="Arial"/>
          <w:sz w:val="24"/>
          <w:szCs w:val="24"/>
        </w:rPr>
        <w:t xml:space="preserve"> adapt, Toyota employs a dual strategy: differentiating hybrids through premium pricing while competing in affordable EVs via cost-cutting measures like the e-TNGA platform. Growth initiatives focus on expanding in emerging markets such as India and Southeast Asia with hybrids, developing solid-state batteries for longer-range EVs, and exploring hydrogen energy partnerships. However, risks persist, including high supplier dependence on CATL for batteries and regulatory scrutiny over autonomous driving ventures like a potential Cruise acquisition.</w:t>
      </w:r>
    </w:p>
    <w:p w14:paraId="25AB0512" w14:textId="77777777" w:rsidR="00FA45C2" w:rsidRPr="007B6730" w:rsidRDefault="00FA45C2" w:rsidP="007B6730">
      <w:pPr>
        <w:widowControl/>
        <w:spacing w:line="360" w:lineRule="auto"/>
        <w:jc w:val="left"/>
        <w:rPr>
          <w:rFonts w:ascii="Arial" w:hAnsi="Arial" w:cs="Arial"/>
          <w:sz w:val="24"/>
          <w:szCs w:val="24"/>
        </w:rPr>
      </w:pPr>
    </w:p>
    <w:p w14:paraId="7BFF0ABF" w14:textId="769C8215" w:rsidR="00784FFE" w:rsidRPr="007B6730" w:rsidRDefault="00FA45C2" w:rsidP="007B6730">
      <w:pPr>
        <w:widowControl/>
        <w:spacing w:line="360" w:lineRule="auto"/>
        <w:jc w:val="left"/>
        <w:rPr>
          <w:rFonts w:ascii="Arial" w:hAnsi="Arial" w:cs="Arial"/>
          <w:sz w:val="24"/>
          <w:szCs w:val="24"/>
        </w:rPr>
      </w:pPr>
      <w:r w:rsidRPr="007B6730">
        <w:rPr>
          <w:rFonts w:ascii="Arial" w:hAnsi="Arial" w:cs="Arial"/>
          <w:sz w:val="24"/>
          <w:szCs w:val="24"/>
        </w:rPr>
        <w:t>Sustainability is central to its reinvention. Toyota aims to reduce supply chain emissions through battery recycling networks and ethical cobalt sourcing while leveraging regional manufacturing in Mexico to bypass trade barriers. By aligning innovation with environmental goals—such as piloting hydrogen ecosystems in Denmark—the company seeks to transform sustainability from a cost into a competitive edge. Ultimately, Toyota’s success hinges on transitioning from gasoline dominance to a zero-carbon mobility leader, ensuring resilience in an era defined by climate urgency and technological disruption.</w:t>
      </w:r>
    </w:p>
    <w:p w14:paraId="3E0233DD" w14:textId="39D02D40" w:rsidR="0031719E" w:rsidRPr="007B6730" w:rsidRDefault="0031719E" w:rsidP="007B6730">
      <w:pPr>
        <w:pStyle w:val="1"/>
        <w:spacing w:line="360" w:lineRule="auto"/>
        <w:rPr>
          <w:rFonts w:ascii="Arial" w:hAnsi="Arial" w:cs="Arial"/>
          <w:sz w:val="24"/>
          <w:szCs w:val="24"/>
        </w:rPr>
      </w:pPr>
      <w:bookmarkStart w:id="2" w:name="_Toc193493133"/>
      <w:bookmarkStart w:id="3" w:name="_Toc193494755"/>
      <w:r w:rsidRPr="007B6730">
        <w:rPr>
          <w:rFonts w:ascii="Arial" w:hAnsi="Arial" w:cs="Arial"/>
          <w:sz w:val="24"/>
          <w:szCs w:val="24"/>
        </w:rPr>
        <w:lastRenderedPageBreak/>
        <w:t>1.0 Introduction</w:t>
      </w:r>
      <w:bookmarkEnd w:id="2"/>
      <w:bookmarkEnd w:id="3"/>
    </w:p>
    <w:p w14:paraId="5A81B1B3" w14:textId="77777777" w:rsidR="0031719E" w:rsidRPr="007B6730" w:rsidRDefault="0031719E" w:rsidP="007B6730">
      <w:pPr>
        <w:spacing w:line="360" w:lineRule="auto"/>
        <w:rPr>
          <w:rFonts w:ascii="Arial" w:hAnsi="Arial" w:cs="Arial"/>
          <w:sz w:val="24"/>
          <w:szCs w:val="24"/>
        </w:rPr>
      </w:pPr>
      <w:r w:rsidRPr="007B6730">
        <w:rPr>
          <w:rFonts w:ascii="Arial" w:hAnsi="Arial" w:cs="Arial"/>
          <w:sz w:val="24"/>
          <w:szCs w:val="24"/>
        </w:rPr>
        <w:t>Toyota Motor Corporation, founded in Japan in 1937, has dominated the global automotive industry for decades due to its efficient production methods and reputation for reliable vehicles. In 2023, Toyota sold 10.48 million cars worldwide, making it the top automaker for the third year. However, its business still focuses heavily on gasoline and hybrid cars, with electric vehicles accounting for only 2% of sales—far below Tesla and BYD, which lead in electric vehicle adoption. This gap reflects Toyota’s struggle to balance its traditional strengths with the urgent need to embrace cleaner technologies.</w:t>
      </w:r>
    </w:p>
    <w:p w14:paraId="3C8B0328" w14:textId="77777777" w:rsidR="0031719E" w:rsidRPr="007B6730" w:rsidRDefault="0031719E" w:rsidP="007B6730">
      <w:pPr>
        <w:spacing w:line="360" w:lineRule="auto"/>
        <w:rPr>
          <w:rFonts w:ascii="Arial" w:hAnsi="Arial" w:cs="Arial"/>
          <w:sz w:val="24"/>
          <w:szCs w:val="24"/>
        </w:rPr>
      </w:pPr>
    </w:p>
    <w:p w14:paraId="3C04FB49" w14:textId="77777777" w:rsidR="0031719E" w:rsidRPr="007B6730" w:rsidRDefault="0031719E" w:rsidP="007B6730">
      <w:pPr>
        <w:spacing w:line="360" w:lineRule="auto"/>
        <w:rPr>
          <w:rFonts w:ascii="Arial" w:hAnsi="Arial" w:cs="Arial"/>
          <w:sz w:val="24"/>
          <w:szCs w:val="24"/>
        </w:rPr>
      </w:pPr>
      <w:r w:rsidRPr="007B6730">
        <w:rPr>
          <w:rFonts w:ascii="Arial" w:hAnsi="Arial" w:cs="Arial"/>
          <w:sz w:val="24"/>
          <w:szCs w:val="24"/>
        </w:rPr>
        <w:t xml:space="preserve">While Toyota’s large-scale production of gasoline vehicles and hybrid technology, such as its patented THS system, remain profitable, global trends threaten its position. Over 30 countries plan to ban fossil fuel cars by 2040, and key markets like China and Europe now prioritize electric vehicles through policies like China’s Dual Credit System. Toyota’s deeply integrated supply chain, once a cost-saving advantage, now poses risks. For example, battery costs make up 40% of electric vehicle expenses, and Toyota’s reliance on external suppliers like CATL and Panasonic became costly when lithium prices surged 450% between 2021 and 2023. Additionally, Toyota </w:t>
      </w:r>
      <w:proofErr w:type="gramStart"/>
      <w:r w:rsidRPr="007B6730">
        <w:rPr>
          <w:rFonts w:ascii="Arial" w:hAnsi="Arial" w:cs="Arial"/>
          <w:sz w:val="24"/>
          <w:szCs w:val="24"/>
        </w:rPr>
        <w:t>lags behind</w:t>
      </w:r>
      <w:proofErr w:type="gramEnd"/>
      <w:r w:rsidRPr="007B6730">
        <w:rPr>
          <w:rFonts w:ascii="Arial" w:hAnsi="Arial" w:cs="Arial"/>
          <w:sz w:val="24"/>
          <w:szCs w:val="24"/>
        </w:rPr>
        <w:t xml:space="preserve"> </w:t>
      </w:r>
      <w:proofErr w:type="gramStart"/>
      <w:r w:rsidRPr="007B6730">
        <w:rPr>
          <w:rFonts w:ascii="Arial" w:hAnsi="Arial" w:cs="Arial"/>
          <w:sz w:val="24"/>
          <w:szCs w:val="24"/>
        </w:rPr>
        <w:t>competitors</w:t>
      </w:r>
      <w:proofErr w:type="gramEnd"/>
      <w:r w:rsidRPr="007B6730">
        <w:rPr>
          <w:rFonts w:ascii="Arial" w:hAnsi="Arial" w:cs="Arial"/>
          <w:sz w:val="24"/>
          <w:szCs w:val="24"/>
        </w:rPr>
        <w:t xml:space="preserve"> in software development for electric cars. Its Arene operating system updates are slower than Tesla’s Autopilot, causing recalls of models like the bZ4X in Europe. Sustainability pressures also grow: Toyota’s vehicles emit 28% more carbon over their lifecycle than BYD’s, and EU carbon taxes could raise its export costs by 12%.</w:t>
      </w:r>
    </w:p>
    <w:p w14:paraId="2628EC9F" w14:textId="77777777" w:rsidR="0031719E" w:rsidRPr="007B6730" w:rsidRDefault="0031719E" w:rsidP="007B6730">
      <w:pPr>
        <w:spacing w:line="360" w:lineRule="auto"/>
        <w:rPr>
          <w:rFonts w:ascii="Arial" w:hAnsi="Arial" w:cs="Arial"/>
          <w:sz w:val="24"/>
          <w:szCs w:val="24"/>
        </w:rPr>
      </w:pPr>
    </w:p>
    <w:p w14:paraId="7131B661" w14:textId="5B8A0852" w:rsidR="000C2A64" w:rsidRPr="007B6730" w:rsidRDefault="0031719E" w:rsidP="007B6730">
      <w:pPr>
        <w:spacing w:line="360" w:lineRule="auto"/>
        <w:rPr>
          <w:rFonts w:ascii="Arial" w:hAnsi="Arial" w:cs="Arial"/>
          <w:sz w:val="24"/>
          <w:szCs w:val="24"/>
        </w:rPr>
      </w:pPr>
      <w:r w:rsidRPr="007B6730">
        <w:rPr>
          <w:rFonts w:ascii="Arial" w:hAnsi="Arial" w:cs="Arial"/>
          <w:sz w:val="24"/>
          <w:szCs w:val="24"/>
        </w:rPr>
        <w:t xml:space="preserve">Despite these challenges, Toyota holds promising technologies. Its solid-state batteries, set for mass production in 2027, could offer a 1,200-kilometer range, while hydrogen engines tested at Le Mans showcase alternative clean energy options. However, progress is slowed by internal resistance, such as unions </w:t>
      </w:r>
      <w:r w:rsidRPr="007B6730">
        <w:rPr>
          <w:rFonts w:ascii="Arial" w:hAnsi="Arial" w:cs="Arial"/>
          <w:sz w:val="24"/>
          <w:szCs w:val="24"/>
        </w:rPr>
        <w:lastRenderedPageBreak/>
        <w:t>opposing cuts to gasoline vehicle production. To succeed, Toyota must balance short-term profits from traditional cars with bold investments in electric and hydrogen innovations. By streamlining its supply chain, accelerating software development, and aligning with global sustainability goals, Toyota can transform from a gasoline-era leader into a pioneer of the zero-emission future.</w:t>
      </w:r>
      <w:r w:rsidR="00991D79" w:rsidRPr="007B6730">
        <w:rPr>
          <w:rFonts w:ascii="Arial" w:hAnsi="Arial" w:cs="Arial"/>
          <w:sz w:val="24"/>
          <w:szCs w:val="24"/>
        </w:rPr>
        <w:t xml:space="preserve">                                       </w:t>
      </w:r>
    </w:p>
    <w:p w14:paraId="4C27ADE5" w14:textId="77777777" w:rsidR="00B5441F" w:rsidRPr="007B6730" w:rsidRDefault="00B5441F" w:rsidP="007B6730">
      <w:pPr>
        <w:spacing w:line="360" w:lineRule="auto"/>
        <w:rPr>
          <w:rFonts w:ascii="Arial" w:hAnsi="Arial" w:cs="Arial"/>
          <w:sz w:val="24"/>
          <w:szCs w:val="24"/>
        </w:rPr>
      </w:pPr>
    </w:p>
    <w:p w14:paraId="27103A72" w14:textId="77777777" w:rsidR="00B5441F" w:rsidRDefault="00B5441F" w:rsidP="007B6730">
      <w:pPr>
        <w:spacing w:line="360" w:lineRule="auto"/>
        <w:rPr>
          <w:rFonts w:ascii="Arial" w:hAnsi="Arial" w:cs="Arial"/>
          <w:sz w:val="24"/>
          <w:szCs w:val="24"/>
        </w:rPr>
      </w:pPr>
    </w:p>
    <w:p w14:paraId="4878A88F" w14:textId="77777777" w:rsidR="007B6730" w:rsidRDefault="007B6730" w:rsidP="007B6730">
      <w:pPr>
        <w:spacing w:line="360" w:lineRule="auto"/>
        <w:rPr>
          <w:rFonts w:ascii="Arial" w:hAnsi="Arial" w:cs="Arial"/>
          <w:sz w:val="24"/>
          <w:szCs w:val="24"/>
        </w:rPr>
      </w:pPr>
    </w:p>
    <w:p w14:paraId="4F22709C" w14:textId="77777777" w:rsidR="007B6730" w:rsidRPr="007B6730" w:rsidRDefault="007B6730" w:rsidP="007B6730">
      <w:pPr>
        <w:spacing w:line="360" w:lineRule="auto"/>
        <w:rPr>
          <w:rFonts w:ascii="Arial" w:hAnsi="Arial" w:cs="Arial"/>
          <w:sz w:val="24"/>
          <w:szCs w:val="24"/>
        </w:rPr>
      </w:pPr>
    </w:p>
    <w:p w14:paraId="52C38F00" w14:textId="77777777" w:rsidR="00B5441F" w:rsidRPr="007B6730" w:rsidRDefault="00B5441F" w:rsidP="007B6730">
      <w:pPr>
        <w:spacing w:line="360" w:lineRule="auto"/>
        <w:rPr>
          <w:rFonts w:ascii="Arial" w:hAnsi="Arial" w:cs="Arial"/>
          <w:sz w:val="24"/>
          <w:szCs w:val="24"/>
        </w:rPr>
      </w:pPr>
    </w:p>
    <w:p w14:paraId="6593759C" w14:textId="397192C9" w:rsidR="00B5441F" w:rsidRPr="007B6730" w:rsidRDefault="00B5441F" w:rsidP="007B6730">
      <w:pPr>
        <w:pStyle w:val="1"/>
        <w:spacing w:line="360" w:lineRule="auto"/>
        <w:rPr>
          <w:rFonts w:ascii="Arial" w:hAnsi="Arial" w:cs="Arial"/>
          <w:sz w:val="24"/>
          <w:szCs w:val="24"/>
        </w:rPr>
      </w:pPr>
      <w:bookmarkStart w:id="4" w:name="_Toc193493134"/>
      <w:bookmarkStart w:id="5" w:name="_Toc193494756"/>
      <w:r w:rsidRPr="007B6730">
        <w:rPr>
          <w:rFonts w:ascii="Arial" w:hAnsi="Arial" w:cs="Arial"/>
          <w:sz w:val="24"/>
          <w:szCs w:val="24"/>
        </w:rPr>
        <w:t xml:space="preserve">2.0 External </w:t>
      </w:r>
      <w:r w:rsidR="003D0FFE" w:rsidRPr="007B6730">
        <w:rPr>
          <w:rFonts w:ascii="Arial" w:hAnsi="Arial" w:cs="Arial"/>
          <w:sz w:val="24"/>
          <w:szCs w:val="24"/>
        </w:rPr>
        <w:t>Analysis</w:t>
      </w:r>
      <w:bookmarkEnd w:id="4"/>
      <w:bookmarkEnd w:id="5"/>
    </w:p>
    <w:p w14:paraId="3E0F521C" w14:textId="77777777" w:rsidR="001448D8" w:rsidRPr="007B6730" w:rsidRDefault="001448D8" w:rsidP="007B6730">
      <w:pPr>
        <w:pStyle w:val="2"/>
        <w:spacing w:line="360" w:lineRule="auto"/>
        <w:rPr>
          <w:rFonts w:ascii="Arial" w:hAnsi="Arial" w:cs="Arial"/>
          <w:sz w:val="24"/>
          <w:szCs w:val="24"/>
        </w:rPr>
      </w:pPr>
      <w:bookmarkStart w:id="6" w:name="_Toc193493135"/>
      <w:bookmarkStart w:id="7" w:name="_Toc193494757"/>
      <w:r w:rsidRPr="007B6730">
        <w:rPr>
          <w:rFonts w:ascii="Arial" w:hAnsi="Arial" w:cs="Arial"/>
          <w:sz w:val="24"/>
          <w:szCs w:val="24"/>
        </w:rPr>
        <w:t>2.1 PESTEL Analysis</w:t>
      </w:r>
      <w:bookmarkEnd w:id="6"/>
      <w:bookmarkEnd w:id="7"/>
    </w:p>
    <w:p w14:paraId="6CCDC3F3" w14:textId="779576E8" w:rsidR="001448D8" w:rsidRPr="007B6730" w:rsidRDefault="001448D8" w:rsidP="007B6730">
      <w:pPr>
        <w:spacing w:line="360" w:lineRule="auto"/>
        <w:rPr>
          <w:rFonts w:ascii="Arial" w:hAnsi="Arial" w:cs="Arial"/>
          <w:sz w:val="24"/>
          <w:szCs w:val="24"/>
        </w:rPr>
      </w:pPr>
      <w:r w:rsidRPr="007B6730">
        <w:rPr>
          <w:rFonts w:ascii="Arial" w:hAnsi="Arial" w:cs="Arial"/>
          <w:sz w:val="24"/>
          <w:szCs w:val="24"/>
        </w:rPr>
        <w:t>Political: Japan supports hydrogen tech with $1,800 subsidies for Toyota’s Mirai and plans 1,000 hydrogen stations by 2030. However, 20 countries including China</w:t>
      </w:r>
      <w:r w:rsidR="009C3CCF" w:rsidRPr="007B6730">
        <w:rPr>
          <w:rFonts w:ascii="Arial" w:hAnsi="Arial" w:cs="Arial"/>
          <w:sz w:val="24"/>
          <w:szCs w:val="24"/>
        </w:rPr>
        <w:t xml:space="preserve"> and UK</w:t>
      </w:r>
      <w:r w:rsidRPr="007B6730">
        <w:rPr>
          <w:rFonts w:ascii="Arial" w:hAnsi="Arial" w:cs="Arial"/>
          <w:sz w:val="24"/>
          <w:szCs w:val="24"/>
        </w:rPr>
        <w:t xml:space="preserve"> will ban gasoline cars by 2030, pushing Toyota to speed up electric vehicle development. The EU delayed its gasoline car ban to 2035 but introduced stricter emissions rules.</w:t>
      </w:r>
    </w:p>
    <w:p w14:paraId="2CE341EE" w14:textId="77777777" w:rsidR="001448D8" w:rsidRPr="007B6730" w:rsidRDefault="001448D8" w:rsidP="007B6730">
      <w:pPr>
        <w:spacing w:line="360" w:lineRule="auto"/>
        <w:rPr>
          <w:rFonts w:ascii="Arial" w:hAnsi="Arial" w:cs="Arial"/>
          <w:sz w:val="24"/>
          <w:szCs w:val="24"/>
        </w:rPr>
      </w:pPr>
    </w:p>
    <w:p w14:paraId="25651CA8" w14:textId="77777777" w:rsidR="001448D8" w:rsidRPr="007B6730" w:rsidRDefault="001448D8" w:rsidP="007B6730">
      <w:pPr>
        <w:spacing w:line="360" w:lineRule="auto"/>
        <w:rPr>
          <w:rFonts w:ascii="Arial" w:hAnsi="Arial" w:cs="Arial"/>
          <w:sz w:val="24"/>
          <w:szCs w:val="24"/>
        </w:rPr>
      </w:pPr>
      <w:r w:rsidRPr="007B6730">
        <w:rPr>
          <w:rFonts w:ascii="Arial" w:hAnsi="Arial" w:cs="Arial"/>
          <w:sz w:val="24"/>
          <w:szCs w:val="24"/>
        </w:rPr>
        <w:t>Economic: The global EV market is growing fast (40 million units by 2030), but lithium prices jumped 450% (2021–2023), raising battery costs. Toyota’s reliance on suppliers like CATL weakens its pricing power. A weak yen (150 yen per dollar) helps exports but raises costs for imported parts.</w:t>
      </w:r>
    </w:p>
    <w:p w14:paraId="330920AA" w14:textId="77777777" w:rsidR="001448D8" w:rsidRPr="007B6730" w:rsidRDefault="001448D8" w:rsidP="007B6730">
      <w:pPr>
        <w:spacing w:line="360" w:lineRule="auto"/>
        <w:rPr>
          <w:rFonts w:ascii="Arial" w:hAnsi="Arial" w:cs="Arial"/>
          <w:sz w:val="24"/>
          <w:szCs w:val="24"/>
        </w:rPr>
      </w:pPr>
    </w:p>
    <w:p w14:paraId="0036E61D" w14:textId="77777777" w:rsidR="001448D8" w:rsidRPr="007B6730" w:rsidRDefault="001448D8" w:rsidP="007B6730">
      <w:pPr>
        <w:spacing w:line="360" w:lineRule="auto"/>
        <w:rPr>
          <w:rFonts w:ascii="Arial" w:hAnsi="Arial" w:cs="Arial"/>
          <w:sz w:val="24"/>
          <w:szCs w:val="24"/>
        </w:rPr>
      </w:pPr>
      <w:r w:rsidRPr="007B6730">
        <w:rPr>
          <w:rFonts w:ascii="Arial" w:hAnsi="Arial" w:cs="Arial"/>
          <w:sz w:val="24"/>
          <w:szCs w:val="24"/>
        </w:rPr>
        <w:t>Social: 67% of global car buyers prefer EVs. In China, young buyers favor local brands like BYD, hurting Toyota’s sales. Japan’s aging population (29% over age 65) reduced car demand, causing a 10% sales drop in 2023.</w:t>
      </w:r>
    </w:p>
    <w:p w14:paraId="55269D88" w14:textId="77777777" w:rsidR="001448D8" w:rsidRPr="007B6730" w:rsidRDefault="001448D8" w:rsidP="007B6730">
      <w:pPr>
        <w:spacing w:line="360" w:lineRule="auto"/>
        <w:rPr>
          <w:rFonts w:ascii="Arial" w:hAnsi="Arial" w:cs="Arial"/>
          <w:sz w:val="24"/>
          <w:szCs w:val="24"/>
        </w:rPr>
      </w:pPr>
    </w:p>
    <w:p w14:paraId="457650AF" w14:textId="77777777" w:rsidR="001448D8" w:rsidRPr="007B6730" w:rsidRDefault="001448D8" w:rsidP="007B6730">
      <w:pPr>
        <w:spacing w:line="360" w:lineRule="auto"/>
        <w:rPr>
          <w:rFonts w:ascii="Arial" w:hAnsi="Arial" w:cs="Arial"/>
          <w:sz w:val="24"/>
          <w:szCs w:val="24"/>
        </w:rPr>
      </w:pPr>
      <w:r w:rsidRPr="007B6730">
        <w:rPr>
          <w:rFonts w:ascii="Arial" w:hAnsi="Arial" w:cs="Arial"/>
          <w:sz w:val="24"/>
          <w:szCs w:val="24"/>
        </w:rPr>
        <w:t xml:space="preserve">Technological: Toyota leads in solid-state battery patents (30% global share) </w:t>
      </w:r>
      <w:r w:rsidRPr="007B6730">
        <w:rPr>
          <w:rFonts w:ascii="Arial" w:hAnsi="Arial" w:cs="Arial"/>
          <w:sz w:val="24"/>
          <w:szCs w:val="24"/>
        </w:rPr>
        <w:lastRenderedPageBreak/>
        <w:t>but won’t launch these until 2027. Tesla and CATL already use advanced batteries. Toyota’s Arene software only supports basic self-driving, two years behind Tesla’s Full Self-Driving.</w:t>
      </w:r>
    </w:p>
    <w:p w14:paraId="67022F7A" w14:textId="77777777" w:rsidR="001448D8" w:rsidRPr="007B6730" w:rsidRDefault="001448D8" w:rsidP="007B6730">
      <w:pPr>
        <w:spacing w:line="360" w:lineRule="auto"/>
        <w:rPr>
          <w:rFonts w:ascii="Arial" w:hAnsi="Arial" w:cs="Arial"/>
          <w:sz w:val="24"/>
          <w:szCs w:val="24"/>
        </w:rPr>
      </w:pPr>
    </w:p>
    <w:p w14:paraId="59E4365B" w14:textId="77777777" w:rsidR="001448D8" w:rsidRPr="007B6730" w:rsidRDefault="001448D8" w:rsidP="007B6730">
      <w:pPr>
        <w:spacing w:line="360" w:lineRule="auto"/>
        <w:rPr>
          <w:rFonts w:ascii="Arial" w:hAnsi="Arial" w:cs="Arial"/>
          <w:sz w:val="24"/>
          <w:szCs w:val="24"/>
        </w:rPr>
      </w:pPr>
      <w:r w:rsidRPr="007B6730">
        <w:rPr>
          <w:rFonts w:ascii="Arial" w:hAnsi="Arial" w:cs="Arial"/>
          <w:sz w:val="24"/>
          <w:szCs w:val="24"/>
        </w:rPr>
        <w:t>Environmental: Toyota must cut emissions by 90% by 2050 under climate agreements. Gasoline cars (76% of sales) make this hard. EU carbon taxes could add $1,200 per gasoline car exported to Europe.</w:t>
      </w:r>
    </w:p>
    <w:p w14:paraId="23063580" w14:textId="77777777" w:rsidR="001448D8" w:rsidRPr="007B6730" w:rsidRDefault="001448D8" w:rsidP="007B6730">
      <w:pPr>
        <w:spacing w:line="360" w:lineRule="auto"/>
        <w:rPr>
          <w:rFonts w:ascii="Arial" w:hAnsi="Arial" w:cs="Arial"/>
          <w:sz w:val="24"/>
          <w:szCs w:val="24"/>
        </w:rPr>
      </w:pPr>
    </w:p>
    <w:p w14:paraId="403F2D51" w14:textId="77777777" w:rsidR="001448D8" w:rsidRPr="007B6730" w:rsidRDefault="001448D8" w:rsidP="007B6730">
      <w:pPr>
        <w:spacing w:line="360" w:lineRule="auto"/>
        <w:rPr>
          <w:rFonts w:ascii="Arial" w:hAnsi="Arial" w:cs="Arial"/>
          <w:sz w:val="24"/>
          <w:szCs w:val="24"/>
        </w:rPr>
      </w:pPr>
      <w:r w:rsidRPr="007B6730">
        <w:rPr>
          <w:rFonts w:ascii="Arial" w:hAnsi="Arial" w:cs="Arial"/>
          <w:sz w:val="24"/>
          <w:szCs w:val="24"/>
        </w:rPr>
        <w:t>Legal: U.S. laws require 50% local battery production for subsidies, forcing Toyota to invest $13.5 billion in U.S. plants. China fines automakers failing EV targets—Toyota paid 200 million yuan in 2023.</w:t>
      </w:r>
    </w:p>
    <w:p w14:paraId="52BA50A5" w14:textId="77777777" w:rsidR="001448D8" w:rsidRPr="007B6730" w:rsidRDefault="001448D8" w:rsidP="007B6730">
      <w:pPr>
        <w:spacing w:line="360" w:lineRule="auto"/>
        <w:rPr>
          <w:rFonts w:ascii="Arial" w:hAnsi="Arial" w:cs="Arial"/>
          <w:sz w:val="24"/>
          <w:szCs w:val="24"/>
        </w:rPr>
      </w:pPr>
    </w:p>
    <w:p w14:paraId="50B4AA13" w14:textId="77777777" w:rsidR="001448D8" w:rsidRPr="007B6730" w:rsidRDefault="001448D8" w:rsidP="007B6730">
      <w:pPr>
        <w:pStyle w:val="2"/>
        <w:spacing w:line="360" w:lineRule="auto"/>
        <w:rPr>
          <w:rFonts w:ascii="Arial" w:hAnsi="Arial" w:cs="Arial"/>
          <w:sz w:val="24"/>
          <w:szCs w:val="24"/>
        </w:rPr>
      </w:pPr>
      <w:bookmarkStart w:id="8" w:name="_Toc193493136"/>
      <w:bookmarkStart w:id="9" w:name="_Toc193494758"/>
      <w:r w:rsidRPr="007B6730">
        <w:rPr>
          <w:rFonts w:ascii="Arial" w:hAnsi="Arial" w:cs="Arial"/>
          <w:sz w:val="24"/>
          <w:szCs w:val="24"/>
        </w:rPr>
        <w:t>2.2 Porter’s Five Forces</w:t>
      </w:r>
      <w:bookmarkEnd w:id="8"/>
      <w:bookmarkEnd w:id="9"/>
    </w:p>
    <w:p w14:paraId="0495587C" w14:textId="3871CC64" w:rsidR="00C64791" w:rsidRPr="007B6730" w:rsidRDefault="00C64791" w:rsidP="007B6730">
      <w:pPr>
        <w:spacing w:line="360" w:lineRule="auto"/>
        <w:rPr>
          <w:rFonts w:ascii="Arial" w:hAnsi="Arial" w:cs="Arial"/>
          <w:sz w:val="24"/>
          <w:szCs w:val="24"/>
        </w:rPr>
      </w:pPr>
      <w:r w:rsidRPr="007B6730">
        <w:rPr>
          <w:rFonts w:ascii="Arial" w:hAnsi="Arial" w:cs="Arial"/>
          <w:sz w:val="24"/>
          <w:szCs w:val="24"/>
        </w:rPr>
        <w:t>High Industry Rivalry</w:t>
      </w:r>
      <w:r w:rsidR="002B5ADB" w:rsidRPr="007B6730">
        <w:rPr>
          <w:rFonts w:ascii="Arial" w:hAnsi="Arial" w:cs="Arial"/>
          <w:sz w:val="24"/>
          <w:szCs w:val="24"/>
        </w:rPr>
        <w:t xml:space="preserve">: </w:t>
      </w:r>
      <w:r w:rsidRPr="007B6730">
        <w:rPr>
          <w:rFonts w:ascii="Arial" w:hAnsi="Arial" w:cs="Arial"/>
          <w:sz w:val="24"/>
          <w:szCs w:val="24"/>
        </w:rPr>
        <w:t xml:space="preserve">The automotive industry faces intense competition. Traditional rivals like Honda and Hyundai aggressively cut </w:t>
      </w:r>
      <w:proofErr w:type="gramStart"/>
      <w:r w:rsidRPr="007B6730">
        <w:rPr>
          <w:rFonts w:ascii="Arial" w:hAnsi="Arial" w:cs="Arial"/>
          <w:sz w:val="24"/>
          <w:szCs w:val="24"/>
        </w:rPr>
        <w:t>prices—</w:t>
      </w:r>
      <w:proofErr w:type="gramEnd"/>
      <w:r w:rsidRPr="007B6730">
        <w:rPr>
          <w:rFonts w:ascii="Arial" w:hAnsi="Arial" w:cs="Arial"/>
          <w:sz w:val="24"/>
          <w:szCs w:val="24"/>
        </w:rPr>
        <w:t>for example, reducing the Accord Hybrid’s price by 8%—to erode Toyota’s market share. In the electric vehicle (EV) sector, Tesla’s Model Y and BYD’s cost-efficient models pressure Toyota’s EV sales with advanced technology and lower prices.</w:t>
      </w:r>
    </w:p>
    <w:p w14:paraId="7070464A" w14:textId="77777777" w:rsidR="00C64791" w:rsidRPr="007B6730" w:rsidRDefault="00C64791" w:rsidP="007B6730">
      <w:pPr>
        <w:spacing w:line="360" w:lineRule="auto"/>
        <w:rPr>
          <w:rFonts w:ascii="Arial" w:hAnsi="Arial" w:cs="Arial"/>
          <w:sz w:val="24"/>
          <w:szCs w:val="24"/>
        </w:rPr>
      </w:pPr>
    </w:p>
    <w:p w14:paraId="6AC1FDBD" w14:textId="72BE5B90" w:rsidR="00C64791" w:rsidRPr="007B6730" w:rsidRDefault="00C64791" w:rsidP="007B6730">
      <w:pPr>
        <w:spacing w:line="360" w:lineRule="auto"/>
        <w:rPr>
          <w:rFonts w:ascii="Arial" w:hAnsi="Arial" w:cs="Arial"/>
          <w:sz w:val="24"/>
          <w:szCs w:val="24"/>
        </w:rPr>
      </w:pPr>
      <w:r w:rsidRPr="007B6730">
        <w:rPr>
          <w:rFonts w:ascii="Arial" w:hAnsi="Arial" w:cs="Arial"/>
          <w:sz w:val="24"/>
          <w:szCs w:val="24"/>
        </w:rPr>
        <w:t>Moderate Threat of New Entrants</w:t>
      </w:r>
      <w:r w:rsidR="002B5ADB" w:rsidRPr="007B6730">
        <w:rPr>
          <w:rFonts w:ascii="Arial" w:hAnsi="Arial" w:cs="Arial"/>
          <w:sz w:val="24"/>
          <w:szCs w:val="24"/>
        </w:rPr>
        <w:t xml:space="preserve">: </w:t>
      </w:r>
      <w:r w:rsidRPr="007B6730">
        <w:rPr>
          <w:rFonts w:ascii="Arial" w:hAnsi="Arial" w:cs="Arial"/>
          <w:sz w:val="24"/>
          <w:szCs w:val="24"/>
        </w:rPr>
        <w:t>Tech companies are disrupting the market. Xiaomi’s SU7 electric sedan, featuring smart cabins and autonomous driving, gained 100,000 pre-orders in one week. Apple’s CarPlay ecosystem, used in 90% of Toyota’s models, risks diverting profits by decoupling software from hardware.</w:t>
      </w:r>
    </w:p>
    <w:p w14:paraId="2F302DB4" w14:textId="77777777" w:rsidR="00C64791" w:rsidRPr="007B6730" w:rsidRDefault="00C64791" w:rsidP="007B6730">
      <w:pPr>
        <w:spacing w:line="360" w:lineRule="auto"/>
        <w:rPr>
          <w:rFonts w:ascii="Arial" w:hAnsi="Arial" w:cs="Arial"/>
          <w:sz w:val="24"/>
          <w:szCs w:val="24"/>
        </w:rPr>
      </w:pPr>
    </w:p>
    <w:p w14:paraId="0FCC8910" w14:textId="4F1FD861" w:rsidR="00C64791" w:rsidRPr="007B6730" w:rsidRDefault="00C64791" w:rsidP="007B6730">
      <w:pPr>
        <w:spacing w:line="360" w:lineRule="auto"/>
        <w:rPr>
          <w:rFonts w:ascii="Arial" w:hAnsi="Arial" w:cs="Arial"/>
          <w:sz w:val="24"/>
          <w:szCs w:val="24"/>
        </w:rPr>
      </w:pPr>
      <w:r w:rsidRPr="007B6730">
        <w:rPr>
          <w:rFonts w:ascii="Arial" w:hAnsi="Arial" w:cs="Arial"/>
          <w:sz w:val="24"/>
          <w:szCs w:val="24"/>
        </w:rPr>
        <w:t>High Supplier Power</w:t>
      </w:r>
      <w:r w:rsidR="002B5ADB" w:rsidRPr="007B6730">
        <w:rPr>
          <w:rFonts w:ascii="Arial" w:hAnsi="Arial" w:cs="Arial"/>
          <w:sz w:val="24"/>
          <w:szCs w:val="24"/>
        </w:rPr>
        <w:t xml:space="preserve">: </w:t>
      </w:r>
      <w:r w:rsidRPr="007B6730">
        <w:rPr>
          <w:rFonts w:ascii="Arial" w:hAnsi="Arial" w:cs="Arial"/>
          <w:sz w:val="24"/>
          <w:szCs w:val="24"/>
        </w:rPr>
        <w:t xml:space="preserve">Key suppliers dominate critical components. CATL controls 37% of the global battery market, limiting Toyota’s pricing flexibility with its advanced battery technology. NVIDIA’s high-performance chips for self-driving systems cost $400 each, forcing Toyota to accept annual price increases </w:t>
      </w:r>
      <w:r w:rsidRPr="007B6730">
        <w:rPr>
          <w:rFonts w:ascii="Arial" w:hAnsi="Arial" w:cs="Arial"/>
          <w:sz w:val="24"/>
          <w:szCs w:val="24"/>
        </w:rPr>
        <w:lastRenderedPageBreak/>
        <w:t>of 20%.</w:t>
      </w:r>
    </w:p>
    <w:p w14:paraId="34B2D898" w14:textId="77777777" w:rsidR="00C64791" w:rsidRPr="007B6730" w:rsidRDefault="00C64791" w:rsidP="007B6730">
      <w:pPr>
        <w:spacing w:line="360" w:lineRule="auto"/>
        <w:rPr>
          <w:rFonts w:ascii="Arial" w:hAnsi="Arial" w:cs="Arial"/>
          <w:sz w:val="24"/>
          <w:szCs w:val="24"/>
        </w:rPr>
      </w:pPr>
    </w:p>
    <w:p w14:paraId="52B04749" w14:textId="369DEF8B" w:rsidR="00C64791" w:rsidRPr="007B6730" w:rsidRDefault="00C64791" w:rsidP="007B6730">
      <w:pPr>
        <w:spacing w:line="360" w:lineRule="auto"/>
        <w:rPr>
          <w:rFonts w:ascii="Arial" w:hAnsi="Arial" w:cs="Arial"/>
          <w:sz w:val="24"/>
          <w:szCs w:val="24"/>
        </w:rPr>
      </w:pPr>
      <w:r w:rsidRPr="007B6730">
        <w:rPr>
          <w:rFonts w:ascii="Arial" w:hAnsi="Arial" w:cs="Arial"/>
          <w:sz w:val="24"/>
          <w:szCs w:val="24"/>
        </w:rPr>
        <w:t>High Buyer Power</w:t>
      </w:r>
      <w:r w:rsidR="002B5ADB" w:rsidRPr="007B6730">
        <w:rPr>
          <w:rFonts w:ascii="Arial" w:hAnsi="Arial" w:cs="Arial"/>
          <w:sz w:val="24"/>
          <w:szCs w:val="24"/>
        </w:rPr>
        <w:t xml:space="preserve">: </w:t>
      </w:r>
      <w:r w:rsidRPr="007B6730">
        <w:rPr>
          <w:rFonts w:ascii="Arial" w:hAnsi="Arial" w:cs="Arial"/>
          <w:sz w:val="24"/>
          <w:szCs w:val="24"/>
        </w:rPr>
        <w:t>Consumers and corporate clients demand better value. In China, price-sensitive buyers pushed Toyota to reduce RAV4 prices by 12% to compete with BYD. Companies like Uber demand cheaper fleet services, squeezing profit margins further.</w:t>
      </w:r>
    </w:p>
    <w:p w14:paraId="4FAB93A2" w14:textId="77777777" w:rsidR="00C64791" w:rsidRPr="007B6730" w:rsidRDefault="00C64791" w:rsidP="007B6730">
      <w:pPr>
        <w:spacing w:line="360" w:lineRule="auto"/>
        <w:rPr>
          <w:rFonts w:ascii="Arial" w:hAnsi="Arial" w:cs="Arial"/>
          <w:sz w:val="24"/>
          <w:szCs w:val="24"/>
        </w:rPr>
      </w:pPr>
    </w:p>
    <w:p w14:paraId="64223A9F" w14:textId="055B4E2F" w:rsidR="00C64791" w:rsidRPr="007B6730" w:rsidRDefault="00C64791" w:rsidP="007B6730">
      <w:pPr>
        <w:spacing w:line="360" w:lineRule="auto"/>
        <w:rPr>
          <w:rFonts w:ascii="Arial" w:hAnsi="Arial" w:cs="Arial"/>
          <w:sz w:val="24"/>
          <w:szCs w:val="24"/>
        </w:rPr>
      </w:pPr>
      <w:r w:rsidRPr="007B6730">
        <w:rPr>
          <w:rFonts w:ascii="Arial" w:hAnsi="Arial" w:cs="Arial"/>
          <w:sz w:val="24"/>
          <w:szCs w:val="24"/>
        </w:rPr>
        <w:t>Moderate Threat of Substitutes</w:t>
      </w:r>
      <w:r w:rsidR="002B5ADB" w:rsidRPr="007B6730">
        <w:rPr>
          <w:rFonts w:ascii="Arial" w:hAnsi="Arial" w:cs="Arial"/>
          <w:sz w:val="24"/>
          <w:szCs w:val="24"/>
        </w:rPr>
        <w:t xml:space="preserve">: </w:t>
      </w:r>
      <w:r w:rsidRPr="007B6730">
        <w:rPr>
          <w:rFonts w:ascii="Arial" w:hAnsi="Arial" w:cs="Arial"/>
          <w:sz w:val="24"/>
          <w:szCs w:val="24"/>
        </w:rPr>
        <w:t>Ride-sharing platforms like Didi, with 580 million users, reduce private car ownership. Hydrogen vehicles like Hyundai’s Nexo pose niche competition in commercial markets but lack infrastructure support, with only 1,000 hydrogen stations globally.</w:t>
      </w:r>
    </w:p>
    <w:p w14:paraId="102FD1BD" w14:textId="77777777" w:rsidR="00C64791" w:rsidRPr="007B6730" w:rsidRDefault="00C64791" w:rsidP="007B6730">
      <w:pPr>
        <w:spacing w:line="360" w:lineRule="auto"/>
        <w:rPr>
          <w:rFonts w:ascii="Arial" w:hAnsi="Arial" w:cs="Arial"/>
          <w:sz w:val="24"/>
          <w:szCs w:val="24"/>
        </w:rPr>
      </w:pPr>
    </w:p>
    <w:p w14:paraId="4540C639" w14:textId="1AD316A7" w:rsidR="00C64791" w:rsidRPr="007B6730" w:rsidRDefault="00C64791" w:rsidP="007B6730">
      <w:pPr>
        <w:spacing w:line="360" w:lineRule="auto"/>
        <w:rPr>
          <w:rFonts w:ascii="Arial" w:hAnsi="Arial" w:cs="Arial"/>
          <w:sz w:val="24"/>
          <w:szCs w:val="24"/>
        </w:rPr>
      </w:pPr>
      <w:r w:rsidRPr="007B6730">
        <w:rPr>
          <w:rFonts w:ascii="Arial" w:hAnsi="Arial" w:cs="Arial"/>
          <w:sz w:val="24"/>
          <w:szCs w:val="24"/>
        </w:rPr>
        <w:t>These forces compel Toyota to innovate in technology and partnerships while balancing cost control and sustainability.</w:t>
      </w:r>
    </w:p>
    <w:p w14:paraId="0FD470FC" w14:textId="77777777" w:rsidR="00FB16D6" w:rsidRPr="007B6730" w:rsidRDefault="00FB16D6" w:rsidP="007B6730">
      <w:pPr>
        <w:spacing w:line="360" w:lineRule="auto"/>
        <w:rPr>
          <w:rFonts w:ascii="Arial" w:hAnsi="Arial" w:cs="Arial"/>
          <w:sz w:val="24"/>
          <w:szCs w:val="24"/>
        </w:rPr>
      </w:pPr>
    </w:p>
    <w:p w14:paraId="2BF72841" w14:textId="77777777" w:rsidR="001448D8" w:rsidRPr="007B6730" w:rsidRDefault="001448D8" w:rsidP="007B6730">
      <w:pPr>
        <w:pStyle w:val="2"/>
        <w:spacing w:line="360" w:lineRule="auto"/>
        <w:rPr>
          <w:rFonts w:ascii="Arial" w:hAnsi="Arial" w:cs="Arial"/>
          <w:sz w:val="24"/>
          <w:szCs w:val="24"/>
        </w:rPr>
      </w:pPr>
      <w:bookmarkStart w:id="10" w:name="_Toc193493137"/>
      <w:bookmarkStart w:id="11" w:name="_Toc193494759"/>
      <w:r w:rsidRPr="007B6730">
        <w:rPr>
          <w:rFonts w:ascii="Arial" w:hAnsi="Arial" w:cs="Arial"/>
          <w:sz w:val="24"/>
          <w:szCs w:val="24"/>
        </w:rPr>
        <w:t>2.3 Key Economic Trends</w:t>
      </w:r>
      <w:bookmarkEnd w:id="10"/>
      <w:bookmarkEnd w:id="11"/>
    </w:p>
    <w:p w14:paraId="43D01E1B" w14:textId="77777777" w:rsidR="001448D8" w:rsidRPr="007B6730" w:rsidRDefault="001448D8" w:rsidP="007B6730">
      <w:pPr>
        <w:spacing w:line="360" w:lineRule="auto"/>
        <w:rPr>
          <w:rFonts w:ascii="Arial" w:hAnsi="Arial" w:cs="Arial"/>
          <w:sz w:val="24"/>
          <w:szCs w:val="24"/>
        </w:rPr>
      </w:pPr>
      <w:r w:rsidRPr="007B6730">
        <w:rPr>
          <w:rFonts w:ascii="Arial" w:hAnsi="Arial" w:cs="Arial"/>
          <w:sz w:val="24"/>
          <w:szCs w:val="24"/>
        </w:rPr>
        <w:t>1. Supply Chains Moving Closer to Home</w:t>
      </w:r>
    </w:p>
    <w:p w14:paraId="221FB924" w14:textId="77777777" w:rsidR="001448D8" w:rsidRPr="007B6730" w:rsidRDefault="001448D8" w:rsidP="007B6730">
      <w:pPr>
        <w:spacing w:line="360" w:lineRule="auto"/>
        <w:rPr>
          <w:rFonts w:ascii="Arial" w:hAnsi="Arial" w:cs="Arial"/>
          <w:sz w:val="24"/>
          <w:szCs w:val="24"/>
        </w:rPr>
      </w:pPr>
      <w:r w:rsidRPr="007B6730">
        <w:rPr>
          <w:rFonts w:ascii="Arial" w:hAnsi="Arial" w:cs="Arial"/>
          <w:sz w:val="24"/>
          <w:szCs w:val="24"/>
        </w:rPr>
        <w:t>New laws in the U.S. and Europe are forcing car companies to source battery materials locally or from friendly countries. For example, Toyota now mines lithium in Canada and adjusts its Polish factories to follow EU rules. While this makes supply chains safer, it also raises costs—producing batteries in North America is 35% more expensive than buying them from China.</w:t>
      </w:r>
    </w:p>
    <w:p w14:paraId="360E70EC" w14:textId="77777777" w:rsidR="001448D8" w:rsidRPr="007B6730" w:rsidRDefault="001448D8" w:rsidP="007B6730">
      <w:pPr>
        <w:spacing w:line="360" w:lineRule="auto"/>
        <w:rPr>
          <w:rFonts w:ascii="Arial" w:hAnsi="Arial" w:cs="Arial"/>
          <w:sz w:val="24"/>
          <w:szCs w:val="24"/>
        </w:rPr>
      </w:pPr>
    </w:p>
    <w:p w14:paraId="630ED537" w14:textId="77777777" w:rsidR="001448D8" w:rsidRPr="007B6730" w:rsidRDefault="001448D8" w:rsidP="007B6730">
      <w:pPr>
        <w:spacing w:line="360" w:lineRule="auto"/>
        <w:rPr>
          <w:rFonts w:ascii="Arial" w:hAnsi="Arial" w:cs="Arial"/>
          <w:sz w:val="24"/>
          <w:szCs w:val="24"/>
        </w:rPr>
      </w:pPr>
      <w:r w:rsidRPr="007B6730">
        <w:rPr>
          <w:rFonts w:ascii="Arial" w:hAnsi="Arial" w:cs="Arial"/>
          <w:sz w:val="24"/>
          <w:szCs w:val="24"/>
        </w:rPr>
        <w:t>2. Hybrid Cars Falling Out of Favor</w:t>
      </w:r>
    </w:p>
    <w:p w14:paraId="6F5BB3F9" w14:textId="4B1683C2" w:rsidR="00B5441F" w:rsidRPr="007B6730" w:rsidRDefault="001448D8" w:rsidP="007B6730">
      <w:pPr>
        <w:spacing w:line="360" w:lineRule="auto"/>
        <w:rPr>
          <w:rFonts w:ascii="Arial" w:hAnsi="Arial" w:cs="Arial"/>
          <w:sz w:val="24"/>
          <w:szCs w:val="24"/>
        </w:rPr>
      </w:pPr>
      <w:r w:rsidRPr="007B6730">
        <w:rPr>
          <w:rFonts w:ascii="Arial" w:hAnsi="Arial" w:cs="Arial"/>
          <w:sz w:val="24"/>
          <w:szCs w:val="24"/>
        </w:rPr>
        <w:t>Hybrid sales are dropping as governments and buyers shift to fully electric cars. In China, tax breaks for electric vehicles and more charging stations caused hybrid sales to fall from 25% (2022) to 18% (2023). In Europe, Volkswagen plans to stop making hybrids by 2033, challenging Toyota’s hybrid technology leadership.</w:t>
      </w:r>
    </w:p>
    <w:p w14:paraId="2D11F6FE" w14:textId="33B00B28" w:rsidR="00911023" w:rsidRPr="007B6730" w:rsidRDefault="00911023" w:rsidP="007B6730">
      <w:pPr>
        <w:pStyle w:val="1"/>
        <w:spacing w:line="360" w:lineRule="auto"/>
        <w:rPr>
          <w:rFonts w:ascii="Arial" w:hAnsi="Arial" w:cs="Arial"/>
          <w:sz w:val="24"/>
          <w:szCs w:val="24"/>
        </w:rPr>
      </w:pPr>
      <w:bookmarkStart w:id="12" w:name="_Toc193493138"/>
      <w:bookmarkStart w:id="13" w:name="_Toc193494760"/>
      <w:r w:rsidRPr="007B6730">
        <w:rPr>
          <w:rFonts w:ascii="Arial" w:hAnsi="Arial" w:cs="Arial"/>
          <w:sz w:val="24"/>
          <w:szCs w:val="24"/>
        </w:rPr>
        <w:lastRenderedPageBreak/>
        <w:t>3.</w:t>
      </w:r>
      <w:r w:rsidR="00EC1A9A" w:rsidRPr="007B6730">
        <w:rPr>
          <w:rFonts w:ascii="Arial" w:hAnsi="Arial" w:cs="Arial"/>
          <w:sz w:val="24"/>
          <w:szCs w:val="24"/>
        </w:rPr>
        <w:t>0</w:t>
      </w:r>
      <w:r w:rsidRPr="007B6730">
        <w:rPr>
          <w:rFonts w:ascii="Arial" w:hAnsi="Arial" w:cs="Arial"/>
          <w:sz w:val="24"/>
          <w:szCs w:val="24"/>
        </w:rPr>
        <w:t xml:space="preserve"> Internal Analysis</w:t>
      </w:r>
      <w:bookmarkEnd w:id="12"/>
      <w:bookmarkEnd w:id="13"/>
    </w:p>
    <w:p w14:paraId="253D3648" w14:textId="7D869E43" w:rsidR="00911023" w:rsidRPr="007B6730" w:rsidRDefault="00911023" w:rsidP="007B6730">
      <w:pPr>
        <w:pStyle w:val="2"/>
        <w:spacing w:line="360" w:lineRule="auto"/>
        <w:rPr>
          <w:rFonts w:ascii="Arial" w:hAnsi="Arial" w:cs="Arial"/>
          <w:sz w:val="24"/>
          <w:szCs w:val="24"/>
        </w:rPr>
      </w:pPr>
      <w:bookmarkStart w:id="14" w:name="_Toc193493139"/>
      <w:bookmarkStart w:id="15" w:name="_Toc193494761"/>
      <w:r w:rsidRPr="007B6730">
        <w:rPr>
          <w:rFonts w:ascii="Arial" w:hAnsi="Arial" w:cs="Arial"/>
          <w:sz w:val="24"/>
          <w:szCs w:val="24"/>
        </w:rPr>
        <w:t>3.1 Resource-Based View</w:t>
      </w:r>
      <w:bookmarkEnd w:id="14"/>
      <w:bookmarkEnd w:id="15"/>
      <w:r w:rsidRPr="007B6730">
        <w:rPr>
          <w:rFonts w:ascii="Arial" w:hAnsi="Arial" w:cs="Arial"/>
          <w:sz w:val="24"/>
          <w:szCs w:val="24"/>
        </w:rPr>
        <w:t xml:space="preserve"> </w:t>
      </w:r>
    </w:p>
    <w:p w14:paraId="385830FD" w14:textId="77777777" w:rsidR="00911023" w:rsidRPr="007B6730" w:rsidRDefault="00911023" w:rsidP="007B6730">
      <w:pPr>
        <w:spacing w:line="360" w:lineRule="auto"/>
        <w:rPr>
          <w:rFonts w:ascii="Arial" w:hAnsi="Arial" w:cs="Arial"/>
          <w:sz w:val="24"/>
          <w:szCs w:val="24"/>
        </w:rPr>
      </w:pPr>
      <w:r w:rsidRPr="007B6730">
        <w:rPr>
          <w:rFonts w:ascii="Arial" w:hAnsi="Arial" w:cs="Arial"/>
          <w:sz w:val="24"/>
          <w:szCs w:val="24"/>
        </w:rPr>
        <w:t>Toyota’s competitive strength lies in its unique resources. Its tangible assets include the world’s largest production network, spanning 35 factories across five continents with an annual capacity of 12 million vehicles. The Kyushu plant achieves 90% automation, producing a car every 58 seconds. Vertical integration with keiretsu partners like Denso and Aisin allows 70% parts sharing under the TNGA platform, slashing R&amp;D costs. Intangible resources feature 1,300 solid-state battery patents, representing 30% of global filings, and dominance in hybrid technology through the THS II system, which generates $1.2 billion annually from licensing. Brand loyalty enables premium pricing, exemplified by the Camry Hybrid selling 20% higher than gasoline versions in the U.S. Organizationally, Toyota’s lean production system limited 2023 chip shortage losses to 80,000 units, a third of Volkswagen’s losses, while lifetime employment retains engineers averaging 15 years’ tenure.</w:t>
      </w:r>
    </w:p>
    <w:p w14:paraId="455A3549" w14:textId="77777777" w:rsidR="00FA45C2" w:rsidRPr="007B6730" w:rsidRDefault="00FA45C2" w:rsidP="007B6730">
      <w:pPr>
        <w:spacing w:line="360" w:lineRule="auto"/>
        <w:rPr>
          <w:rFonts w:ascii="Arial" w:hAnsi="Arial" w:cs="Arial"/>
          <w:sz w:val="24"/>
          <w:szCs w:val="24"/>
        </w:rPr>
      </w:pPr>
    </w:p>
    <w:p w14:paraId="4CEE0E0B" w14:textId="77777777" w:rsidR="00FA45C2" w:rsidRPr="007B6730" w:rsidRDefault="00FA45C2" w:rsidP="007B6730">
      <w:pPr>
        <w:spacing w:line="360" w:lineRule="auto"/>
        <w:rPr>
          <w:rFonts w:ascii="Arial" w:hAnsi="Arial" w:cs="Arial"/>
          <w:sz w:val="24"/>
          <w:szCs w:val="24"/>
        </w:rPr>
      </w:pPr>
      <w:r w:rsidRPr="007B6730">
        <w:rPr>
          <w:rFonts w:ascii="Arial" w:hAnsi="Arial" w:cs="Arial"/>
          <w:sz w:val="24"/>
          <w:szCs w:val="24"/>
        </w:rPr>
        <w:t xml:space="preserve">Toyota’s competitive strength stems from resources that are valuable, rare, and hard to imitate. Tangible resources include its unmatched production scale: 35 factories worldwide produce 12 million vehicles annually, with the Kyushu plant achieving 90% automation and a 58-second production cycle per car. Vertical integration with suppliers like Denso and Aisin enables 70% parts-sharing under the TNGA platform, cutting costs and accelerating development. Intangible resources are equally critical: Toyota holds 1,300 solid-state battery patents, representing 30% of global filings, and dominates hybrid technology through its THS II system, which generates $1.2 billion yearly from licensing. Brand loyalty allows premium pricing—the Camry Hybrid sells 20% higher than gasoline models in the U.S. Organizational capabilities cement these advantages. The Toyota Production System minimizes waste, limiting 2023 chip shortage losses to 80,000 units, a third of Volkswagen’s losses. Lifetime </w:t>
      </w:r>
      <w:r w:rsidRPr="007B6730">
        <w:rPr>
          <w:rFonts w:ascii="Arial" w:hAnsi="Arial" w:cs="Arial"/>
          <w:sz w:val="24"/>
          <w:szCs w:val="24"/>
        </w:rPr>
        <w:lastRenderedPageBreak/>
        <w:t>employment retains skilled engineers with 15-year average tenure, ensuring technical continuity. Together, these resources create barriers competitors cannot easily replicate, positioning Toyota to navigate industry shifts while leveraging legacy strengths.</w:t>
      </w:r>
    </w:p>
    <w:p w14:paraId="29AAB719" w14:textId="77777777" w:rsidR="00FA45C2" w:rsidRPr="007B6730" w:rsidRDefault="00FA45C2" w:rsidP="007B6730">
      <w:pPr>
        <w:spacing w:line="360" w:lineRule="auto"/>
        <w:rPr>
          <w:rFonts w:ascii="Arial" w:hAnsi="Arial" w:cs="Arial"/>
          <w:sz w:val="24"/>
          <w:szCs w:val="24"/>
        </w:rPr>
      </w:pPr>
    </w:p>
    <w:p w14:paraId="2A5C22AB" w14:textId="77777777" w:rsidR="00911023" w:rsidRPr="007B6730" w:rsidRDefault="00911023" w:rsidP="007B6730">
      <w:pPr>
        <w:spacing w:line="360" w:lineRule="auto"/>
        <w:rPr>
          <w:rFonts w:ascii="Arial" w:hAnsi="Arial" w:cs="Arial"/>
          <w:sz w:val="24"/>
          <w:szCs w:val="24"/>
        </w:rPr>
      </w:pPr>
    </w:p>
    <w:p w14:paraId="2BAABBE9" w14:textId="77777777" w:rsidR="00911023" w:rsidRPr="007B6730" w:rsidRDefault="00911023" w:rsidP="007B6730">
      <w:pPr>
        <w:pStyle w:val="2"/>
        <w:spacing w:line="360" w:lineRule="auto"/>
        <w:rPr>
          <w:rFonts w:ascii="Arial" w:hAnsi="Arial" w:cs="Arial"/>
          <w:sz w:val="24"/>
          <w:szCs w:val="24"/>
        </w:rPr>
      </w:pPr>
      <w:bookmarkStart w:id="16" w:name="_Toc193493140"/>
      <w:bookmarkStart w:id="17" w:name="_Toc193494762"/>
      <w:r w:rsidRPr="007B6730">
        <w:rPr>
          <w:rFonts w:ascii="Arial" w:hAnsi="Arial" w:cs="Arial"/>
          <w:sz w:val="24"/>
          <w:szCs w:val="24"/>
        </w:rPr>
        <w:t>3.2 Value Chain Efficiency</w:t>
      </w:r>
      <w:bookmarkEnd w:id="16"/>
      <w:bookmarkEnd w:id="17"/>
    </w:p>
    <w:p w14:paraId="4FF79F8D" w14:textId="51F2F21E" w:rsidR="00911023" w:rsidRPr="007B6730" w:rsidRDefault="00911023" w:rsidP="007B6730">
      <w:pPr>
        <w:spacing w:line="360" w:lineRule="auto"/>
        <w:rPr>
          <w:rFonts w:ascii="Arial" w:hAnsi="Arial" w:cs="Arial"/>
          <w:sz w:val="24"/>
          <w:szCs w:val="24"/>
        </w:rPr>
      </w:pPr>
      <w:r w:rsidRPr="007B6730">
        <w:rPr>
          <w:rFonts w:ascii="Arial" w:hAnsi="Arial" w:cs="Arial"/>
          <w:sz w:val="24"/>
          <w:szCs w:val="24"/>
        </w:rPr>
        <w:t xml:space="preserve">Toyota optimizes operations across its value chain. In production, the TNGA architecture shares 60% </w:t>
      </w:r>
      <w:proofErr w:type="gramStart"/>
      <w:r w:rsidRPr="007B6730">
        <w:rPr>
          <w:rFonts w:ascii="Arial" w:hAnsi="Arial" w:cs="Arial"/>
          <w:sz w:val="24"/>
          <w:szCs w:val="24"/>
        </w:rPr>
        <w:t>components</w:t>
      </w:r>
      <w:proofErr w:type="gramEnd"/>
      <w:r w:rsidRPr="007B6730">
        <w:rPr>
          <w:rFonts w:ascii="Arial" w:hAnsi="Arial" w:cs="Arial"/>
          <w:sz w:val="24"/>
          <w:szCs w:val="24"/>
        </w:rPr>
        <w:t xml:space="preserve"> between models like the Corolla and Lexus UX, reducing tooling costs by 40%. Its Just-in-Time system achieves 12 inventory turnovers yearly. However, sales strategies lag in electrification: only 5% of Chinese outlets are </w:t>
      </w:r>
      <w:proofErr w:type="gramStart"/>
      <w:r w:rsidRPr="007B6730">
        <w:rPr>
          <w:rFonts w:ascii="Arial" w:hAnsi="Arial" w:cs="Arial"/>
          <w:sz w:val="24"/>
          <w:szCs w:val="24"/>
        </w:rPr>
        <w:t>direct-operated</w:t>
      </w:r>
      <w:proofErr w:type="gramEnd"/>
      <w:r w:rsidRPr="007B6730">
        <w:rPr>
          <w:rFonts w:ascii="Arial" w:hAnsi="Arial" w:cs="Arial"/>
          <w:sz w:val="24"/>
          <w:szCs w:val="24"/>
        </w:rPr>
        <w:t xml:space="preserve"> versus Tesla’s 100%, causing inconsistent pricing and 15% discounts on the bZ4X. After-sales services thrive through the TEQ</w:t>
      </w:r>
      <w:r w:rsidR="00C64791" w:rsidRPr="007B6730">
        <w:rPr>
          <w:rFonts w:ascii="Arial" w:hAnsi="Arial" w:cs="Arial"/>
          <w:sz w:val="24"/>
          <w:szCs w:val="24"/>
        </w:rPr>
        <w:t xml:space="preserve"> </w:t>
      </w:r>
      <w:r w:rsidRPr="007B6730">
        <w:rPr>
          <w:rFonts w:ascii="Arial" w:hAnsi="Arial" w:cs="Arial"/>
          <w:sz w:val="24"/>
          <w:szCs w:val="24"/>
        </w:rPr>
        <w:t>Care program, retaining 45% loyal customers with 25% profit margins. Support activities reveal imbalances: 60% of the $8 billion R&amp;D budget targets gasoline engines, while software talent reaches 30%, including 50 autonomous driving engineers recruited by Waymo since 2021.</w:t>
      </w:r>
    </w:p>
    <w:p w14:paraId="69B0D01E" w14:textId="77777777" w:rsidR="00911023" w:rsidRPr="007B6730" w:rsidRDefault="00911023" w:rsidP="007B6730">
      <w:pPr>
        <w:spacing w:line="360" w:lineRule="auto"/>
        <w:rPr>
          <w:rFonts w:ascii="Arial" w:hAnsi="Arial" w:cs="Arial"/>
          <w:sz w:val="24"/>
          <w:szCs w:val="24"/>
        </w:rPr>
      </w:pPr>
    </w:p>
    <w:p w14:paraId="3F2CFE51" w14:textId="394DB6A5" w:rsidR="00911023" w:rsidRPr="007B6730" w:rsidRDefault="00911023" w:rsidP="007B6730">
      <w:pPr>
        <w:pStyle w:val="2"/>
        <w:spacing w:line="360" w:lineRule="auto"/>
        <w:rPr>
          <w:rFonts w:ascii="Arial" w:hAnsi="Arial" w:cs="Arial"/>
          <w:sz w:val="24"/>
          <w:szCs w:val="24"/>
        </w:rPr>
      </w:pPr>
      <w:bookmarkStart w:id="18" w:name="_Toc193493141"/>
      <w:bookmarkStart w:id="19" w:name="_Toc193494763"/>
      <w:r w:rsidRPr="007B6730">
        <w:rPr>
          <w:rFonts w:ascii="Arial" w:hAnsi="Arial" w:cs="Arial"/>
          <w:sz w:val="24"/>
          <w:szCs w:val="24"/>
        </w:rPr>
        <w:t xml:space="preserve">3.3 SWOT </w:t>
      </w:r>
      <w:r w:rsidR="009A66BB" w:rsidRPr="007B6730">
        <w:rPr>
          <w:rFonts w:ascii="Arial" w:hAnsi="Arial" w:cs="Arial"/>
          <w:sz w:val="24"/>
          <w:szCs w:val="24"/>
        </w:rPr>
        <w:t>Analysis</w:t>
      </w:r>
      <w:bookmarkEnd w:id="18"/>
      <w:bookmarkEnd w:id="19"/>
    </w:p>
    <w:p w14:paraId="0D5C9AE5" w14:textId="49324496" w:rsidR="000A419A" w:rsidRPr="007B6730" w:rsidRDefault="009A66BB" w:rsidP="007B6730">
      <w:pPr>
        <w:spacing w:line="360" w:lineRule="auto"/>
        <w:rPr>
          <w:rFonts w:ascii="Arial" w:hAnsi="Arial" w:cs="Arial"/>
          <w:sz w:val="24"/>
          <w:szCs w:val="24"/>
        </w:rPr>
      </w:pPr>
      <w:r w:rsidRPr="007B6730">
        <w:rPr>
          <w:rFonts w:ascii="Arial" w:hAnsi="Arial" w:cs="Arial"/>
          <w:sz w:val="24"/>
          <w:szCs w:val="24"/>
        </w:rPr>
        <w:t xml:space="preserve">Internal </w:t>
      </w:r>
      <w:r w:rsidR="000A419A" w:rsidRPr="007B6730">
        <w:rPr>
          <w:rFonts w:ascii="Arial" w:hAnsi="Arial" w:cs="Arial"/>
          <w:sz w:val="24"/>
          <w:szCs w:val="24"/>
        </w:rPr>
        <w:t>Strengths: Toyota dominates the hybrid market with an 80% global share, supported by its patented THS system. Its vertically integrated supply chain, partnering with affiliates like Denso, reduces costs—the Corolla Hybrid is 8% cheaper than rivals, securing 35% market share in Indonesia.</w:t>
      </w:r>
    </w:p>
    <w:p w14:paraId="42353612" w14:textId="77777777" w:rsidR="009A66BB" w:rsidRPr="007B6730" w:rsidRDefault="009A66BB" w:rsidP="007B6730">
      <w:pPr>
        <w:spacing w:line="360" w:lineRule="auto"/>
        <w:rPr>
          <w:rFonts w:ascii="Arial" w:hAnsi="Arial" w:cs="Arial"/>
          <w:sz w:val="24"/>
          <w:szCs w:val="24"/>
        </w:rPr>
      </w:pPr>
    </w:p>
    <w:p w14:paraId="39FCEFFB" w14:textId="27848752" w:rsidR="000A419A" w:rsidRPr="007B6730" w:rsidRDefault="009A66BB" w:rsidP="007B6730">
      <w:pPr>
        <w:spacing w:line="360" w:lineRule="auto"/>
        <w:rPr>
          <w:rFonts w:ascii="Arial" w:hAnsi="Arial" w:cs="Arial"/>
          <w:sz w:val="24"/>
          <w:szCs w:val="24"/>
        </w:rPr>
      </w:pPr>
      <w:r w:rsidRPr="007B6730">
        <w:rPr>
          <w:rFonts w:ascii="Arial" w:hAnsi="Arial" w:cs="Arial"/>
          <w:sz w:val="24"/>
          <w:szCs w:val="24"/>
        </w:rPr>
        <w:t xml:space="preserve">Internal </w:t>
      </w:r>
      <w:r w:rsidR="000A419A" w:rsidRPr="007B6730">
        <w:rPr>
          <w:rFonts w:ascii="Arial" w:hAnsi="Arial" w:cs="Arial"/>
          <w:sz w:val="24"/>
          <w:szCs w:val="24"/>
        </w:rPr>
        <w:t>Weaknesses: The company lags in EV technology. Its e-TNGA platform only supports 400V charging, far behind Tesla’s 800V systems. Software shortcomings are critical: the Arene OS scores 3.2/5 in user reviews, causing 12,000 bZ4X recalls in Europe.</w:t>
      </w:r>
    </w:p>
    <w:p w14:paraId="4DE3B4C3" w14:textId="77777777" w:rsidR="009A66BB" w:rsidRPr="007B6730" w:rsidRDefault="009A66BB" w:rsidP="007B6730">
      <w:pPr>
        <w:spacing w:line="360" w:lineRule="auto"/>
        <w:rPr>
          <w:rFonts w:ascii="Arial" w:hAnsi="Arial" w:cs="Arial"/>
          <w:sz w:val="24"/>
          <w:szCs w:val="24"/>
        </w:rPr>
      </w:pPr>
    </w:p>
    <w:p w14:paraId="0C93B6D3" w14:textId="43A22576" w:rsidR="000A419A" w:rsidRPr="007B6730" w:rsidRDefault="009A66BB" w:rsidP="007B6730">
      <w:pPr>
        <w:spacing w:line="360" w:lineRule="auto"/>
        <w:rPr>
          <w:rFonts w:ascii="Arial" w:hAnsi="Arial" w:cs="Arial"/>
          <w:sz w:val="24"/>
          <w:szCs w:val="24"/>
        </w:rPr>
      </w:pPr>
      <w:r w:rsidRPr="007B6730">
        <w:rPr>
          <w:rFonts w:ascii="Arial" w:hAnsi="Arial" w:cs="Arial"/>
          <w:sz w:val="24"/>
          <w:szCs w:val="24"/>
        </w:rPr>
        <w:t xml:space="preserve">External </w:t>
      </w:r>
      <w:r w:rsidR="000A419A" w:rsidRPr="007B6730">
        <w:rPr>
          <w:rFonts w:ascii="Arial" w:hAnsi="Arial" w:cs="Arial"/>
          <w:sz w:val="24"/>
          <w:szCs w:val="24"/>
        </w:rPr>
        <w:t>Opportunities: Hydrogen energy policies offer growth, including 1,000 planned hydrogen stations in Japan and $15,000 U.S. subsidies for the Mirai. Southeast Asia’s 18% sales growth for fuel vehicles provides a bridge for hybrid adoption.</w:t>
      </w:r>
    </w:p>
    <w:p w14:paraId="67A7EB14" w14:textId="77777777" w:rsidR="009A66BB" w:rsidRPr="007B6730" w:rsidRDefault="009A66BB" w:rsidP="007B6730">
      <w:pPr>
        <w:spacing w:line="360" w:lineRule="auto"/>
        <w:rPr>
          <w:rFonts w:ascii="Arial" w:hAnsi="Arial" w:cs="Arial"/>
          <w:sz w:val="24"/>
          <w:szCs w:val="24"/>
        </w:rPr>
      </w:pPr>
    </w:p>
    <w:p w14:paraId="19D97214" w14:textId="327143D6" w:rsidR="000A419A" w:rsidRPr="007B6730" w:rsidRDefault="009A66BB" w:rsidP="007B6730">
      <w:pPr>
        <w:spacing w:line="360" w:lineRule="auto"/>
        <w:rPr>
          <w:rFonts w:ascii="Arial" w:hAnsi="Arial" w:cs="Arial"/>
          <w:sz w:val="24"/>
          <w:szCs w:val="24"/>
        </w:rPr>
      </w:pPr>
      <w:r w:rsidRPr="007B6730">
        <w:rPr>
          <w:rFonts w:ascii="Arial" w:hAnsi="Arial" w:cs="Arial"/>
          <w:sz w:val="24"/>
          <w:szCs w:val="24"/>
        </w:rPr>
        <w:t xml:space="preserve">External </w:t>
      </w:r>
      <w:r w:rsidR="000A419A" w:rsidRPr="007B6730">
        <w:rPr>
          <w:rFonts w:ascii="Arial" w:hAnsi="Arial" w:cs="Arial"/>
          <w:sz w:val="24"/>
          <w:szCs w:val="24"/>
        </w:rPr>
        <w:t>Threats: BYD’s cost-efficient EVs have slashed Toyota’s China market share from 12% to 7.5%. The EU’s carbon tax adds $1,200 per gasoline car exported, risking 76% of Toyota’s European sales.</w:t>
      </w:r>
    </w:p>
    <w:p w14:paraId="45FA304C" w14:textId="77777777" w:rsidR="000A419A" w:rsidRPr="007B6730" w:rsidRDefault="000A419A" w:rsidP="007B6730">
      <w:pPr>
        <w:spacing w:line="360" w:lineRule="auto"/>
        <w:rPr>
          <w:rFonts w:ascii="Arial" w:hAnsi="Arial" w:cs="Arial"/>
          <w:sz w:val="24"/>
          <w:szCs w:val="24"/>
        </w:rPr>
      </w:pPr>
    </w:p>
    <w:p w14:paraId="09AB8AD1" w14:textId="77777777" w:rsidR="000A419A" w:rsidRPr="007B6730" w:rsidRDefault="000A419A" w:rsidP="007B6730">
      <w:pPr>
        <w:spacing w:line="360" w:lineRule="auto"/>
        <w:rPr>
          <w:rFonts w:ascii="Arial" w:hAnsi="Arial" w:cs="Arial"/>
          <w:sz w:val="24"/>
          <w:szCs w:val="24"/>
        </w:rPr>
      </w:pPr>
    </w:p>
    <w:p w14:paraId="36A87DBC" w14:textId="77777777" w:rsidR="000A419A" w:rsidRDefault="000A419A" w:rsidP="007B6730">
      <w:pPr>
        <w:spacing w:line="360" w:lineRule="auto"/>
        <w:rPr>
          <w:rFonts w:ascii="Arial" w:hAnsi="Arial" w:cs="Arial"/>
          <w:sz w:val="24"/>
          <w:szCs w:val="24"/>
        </w:rPr>
      </w:pPr>
    </w:p>
    <w:p w14:paraId="10D202DB" w14:textId="77777777" w:rsidR="007B6730" w:rsidRPr="007B6730" w:rsidRDefault="007B6730" w:rsidP="007B6730">
      <w:pPr>
        <w:spacing w:line="360" w:lineRule="auto"/>
        <w:rPr>
          <w:rFonts w:ascii="Arial" w:hAnsi="Arial" w:cs="Arial"/>
          <w:sz w:val="24"/>
          <w:szCs w:val="24"/>
        </w:rPr>
      </w:pPr>
    </w:p>
    <w:p w14:paraId="21CF3F1F" w14:textId="77777777" w:rsidR="000A419A" w:rsidRPr="007B6730" w:rsidRDefault="000A419A" w:rsidP="007B6730">
      <w:pPr>
        <w:spacing w:line="360" w:lineRule="auto"/>
        <w:rPr>
          <w:rFonts w:ascii="Arial" w:hAnsi="Arial" w:cs="Arial"/>
          <w:sz w:val="24"/>
          <w:szCs w:val="24"/>
        </w:rPr>
      </w:pPr>
    </w:p>
    <w:p w14:paraId="5A2B27A0" w14:textId="56CFFADA" w:rsidR="009C3CCF" w:rsidRPr="007B6730" w:rsidRDefault="009C3CCF" w:rsidP="007B6730">
      <w:pPr>
        <w:pStyle w:val="1"/>
        <w:spacing w:line="360" w:lineRule="auto"/>
        <w:rPr>
          <w:rFonts w:ascii="Arial" w:hAnsi="Arial" w:cs="Arial"/>
          <w:sz w:val="24"/>
          <w:szCs w:val="24"/>
        </w:rPr>
      </w:pPr>
      <w:bookmarkStart w:id="20" w:name="_Toc193493142"/>
      <w:bookmarkStart w:id="21" w:name="_Toc193494764"/>
      <w:r w:rsidRPr="007B6730">
        <w:rPr>
          <w:rFonts w:ascii="Arial" w:hAnsi="Arial" w:cs="Arial"/>
          <w:sz w:val="24"/>
          <w:szCs w:val="24"/>
        </w:rPr>
        <w:t>4.</w:t>
      </w:r>
      <w:r w:rsidR="00EC1A9A" w:rsidRPr="007B6730">
        <w:rPr>
          <w:rFonts w:ascii="Arial" w:hAnsi="Arial" w:cs="Arial"/>
          <w:sz w:val="24"/>
          <w:szCs w:val="24"/>
        </w:rPr>
        <w:t xml:space="preserve">0 </w:t>
      </w:r>
      <w:r w:rsidRPr="007B6730">
        <w:rPr>
          <w:rFonts w:ascii="Arial" w:hAnsi="Arial" w:cs="Arial"/>
          <w:sz w:val="24"/>
          <w:szCs w:val="24"/>
        </w:rPr>
        <w:t>Strategy Formulation &amp; Competitive Positioning</w:t>
      </w:r>
      <w:bookmarkEnd w:id="20"/>
      <w:bookmarkEnd w:id="21"/>
    </w:p>
    <w:p w14:paraId="449C0914" w14:textId="176482D9" w:rsidR="009C3CCF" w:rsidRPr="007B6730" w:rsidRDefault="009C3CCF" w:rsidP="007B6730">
      <w:pPr>
        <w:pStyle w:val="2"/>
        <w:spacing w:line="360" w:lineRule="auto"/>
        <w:rPr>
          <w:rFonts w:ascii="Arial" w:hAnsi="Arial" w:cs="Arial"/>
          <w:sz w:val="24"/>
          <w:szCs w:val="24"/>
        </w:rPr>
      </w:pPr>
      <w:bookmarkStart w:id="22" w:name="_Toc193493143"/>
      <w:bookmarkStart w:id="23" w:name="_Toc193494765"/>
      <w:r w:rsidRPr="007B6730">
        <w:rPr>
          <w:rFonts w:ascii="Arial" w:hAnsi="Arial" w:cs="Arial"/>
          <w:sz w:val="24"/>
          <w:szCs w:val="24"/>
        </w:rPr>
        <w:t>4.1 Strategic Positioning</w:t>
      </w:r>
      <w:bookmarkEnd w:id="22"/>
      <w:bookmarkEnd w:id="23"/>
      <w:r w:rsidRPr="007B6730">
        <w:rPr>
          <w:rFonts w:ascii="Arial" w:hAnsi="Arial" w:cs="Arial"/>
          <w:sz w:val="24"/>
          <w:szCs w:val="24"/>
        </w:rPr>
        <w:t xml:space="preserve"> </w:t>
      </w:r>
    </w:p>
    <w:p w14:paraId="311529F2" w14:textId="77777777" w:rsidR="009C3CCF" w:rsidRPr="007B6730" w:rsidRDefault="009C3CCF" w:rsidP="007B6730">
      <w:pPr>
        <w:spacing w:line="360" w:lineRule="auto"/>
        <w:rPr>
          <w:rFonts w:ascii="Arial" w:hAnsi="Arial" w:cs="Arial"/>
          <w:sz w:val="24"/>
          <w:szCs w:val="24"/>
        </w:rPr>
      </w:pPr>
      <w:r w:rsidRPr="007B6730">
        <w:rPr>
          <w:rFonts w:ascii="Arial" w:hAnsi="Arial" w:cs="Arial"/>
          <w:sz w:val="24"/>
          <w:szCs w:val="24"/>
        </w:rPr>
        <w:t xml:space="preserve">Toyota combines differentiation and cost leadership strategies. In hybrid vehicles, its THS II technology supports premium pricing—the Camry Hybrid costs $3,000 more than gasoline models but leads global sales with 350,000 units annually. For electric vehicles, Toyota uses the e-TNGA platform to reduce costs by sharing 60% of parts, pricing the bZ4X at $35,000, 18% cheaper than Tesla’s Model Y. However, this dual approach creates challenges: Tesla dominates luxury EVs with higher margins, while BYD’s affordable models pressure Toyota’s low-end market.  </w:t>
      </w:r>
    </w:p>
    <w:p w14:paraId="13F6EF0D" w14:textId="77777777" w:rsidR="009C3CCF" w:rsidRPr="007B6730" w:rsidRDefault="009C3CCF" w:rsidP="007B6730">
      <w:pPr>
        <w:spacing w:line="360" w:lineRule="auto"/>
        <w:rPr>
          <w:rFonts w:ascii="Arial" w:hAnsi="Arial" w:cs="Arial"/>
          <w:sz w:val="24"/>
          <w:szCs w:val="24"/>
        </w:rPr>
      </w:pPr>
    </w:p>
    <w:p w14:paraId="033D79CD" w14:textId="7A66D873" w:rsidR="009C3CCF" w:rsidRPr="007B6730" w:rsidRDefault="009C3CCF" w:rsidP="007B6730">
      <w:pPr>
        <w:pStyle w:val="2"/>
        <w:spacing w:line="360" w:lineRule="auto"/>
        <w:rPr>
          <w:rFonts w:ascii="Arial" w:hAnsi="Arial" w:cs="Arial"/>
          <w:sz w:val="24"/>
          <w:szCs w:val="24"/>
        </w:rPr>
      </w:pPr>
      <w:bookmarkStart w:id="24" w:name="_Toc193493144"/>
      <w:bookmarkStart w:id="25" w:name="_Toc193494766"/>
      <w:r w:rsidRPr="007B6730">
        <w:rPr>
          <w:rFonts w:ascii="Arial" w:hAnsi="Arial" w:cs="Arial"/>
          <w:sz w:val="24"/>
          <w:szCs w:val="24"/>
        </w:rPr>
        <w:t>4.2 Growth Strategies</w:t>
      </w:r>
      <w:bookmarkEnd w:id="24"/>
      <w:bookmarkEnd w:id="25"/>
    </w:p>
    <w:p w14:paraId="21D3AC0C" w14:textId="539DA725" w:rsidR="009C3CCF" w:rsidRPr="007B6730" w:rsidRDefault="000A419A" w:rsidP="007B6730">
      <w:pPr>
        <w:spacing w:line="360" w:lineRule="auto"/>
        <w:rPr>
          <w:rFonts w:ascii="Arial" w:hAnsi="Arial" w:cs="Arial"/>
          <w:sz w:val="24"/>
          <w:szCs w:val="24"/>
        </w:rPr>
      </w:pPr>
      <w:r w:rsidRPr="007B6730">
        <w:rPr>
          <w:rFonts w:ascii="Arial" w:hAnsi="Arial" w:cs="Arial"/>
          <w:sz w:val="24"/>
          <w:szCs w:val="24"/>
        </w:rPr>
        <w:t>Toyota’s expansion aligns with four growth paths. </w:t>
      </w:r>
      <w:r w:rsidRPr="007B6730">
        <w:rPr>
          <w:rFonts w:ascii="Arial" w:hAnsi="Arial" w:cs="Arial"/>
          <w:b/>
          <w:bCs/>
          <w:sz w:val="24"/>
          <w:szCs w:val="24"/>
        </w:rPr>
        <w:t>Market penetration</w:t>
      </w:r>
      <w:r w:rsidRPr="007B6730">
        <w:rPr>
          <w:rFonts w:ascii="Arial" w:hAnsi="Arial" w:cs="Arial"/>
          <w:sz w:val="24"/>
          <w:szCs w:val="24"/>
        </w:rPr>
        <w:t xml:space="preserve"> focuses </w:t>
      </w:r>
      <w:r w:rsidRPr="007B6730">
        <w:rPr>
          <w:rFonts w:ascii="Arial" w:hAnsi="Arial" w:cs="Arial"/>
          <w:sz w:val="24"/>
          <w:szCs w:val="24"/>
        </w:rPr>
        <w:lastRenderedPageBreak/>
        <w:t xml:space="preserve">on emerging markets like India, where high fuel prices drive demand for affordable hybrids such as the Innova </w:t>
      </w:r>
      <w:proofErr w:type="spellStart"/>
      <w:r w:rsidRPr="007B6730">
        <w:rPr>
          <w:rFonts w:ascii="Arial" w:hAnsi="Arial" w:cs="Arial"/>
          <w:sz w:val="24"/>
          <w:szCs w:val="24"/>
        </w:rPr>
        <w:t>HyCross</w:t>
      </w:r>
      <w:proofErr w:type="spellEnd"/>
      <w:r w:rsidRPr="007B6730">
        <w:rPr>
          <w:rFonts w:ascii="Arial" w:hAnsi="Arial" w:cs="Arial"/>
          <w:sz w:val="24"/>
          <w:szCs w:val="24"/>
        </w:rPr>
        <w:t>, aiming to boost hybrid adoption from 5% to 15%. </w:t>
      </w:r>
      <w:r w:rsidRPr="007B6730">
        <w:rPr>
          <w:rFonts w:ascii="Arial" w:hAnsi="Arial" w:cs="Arial"/>
          <w:b/>
          <w:bCs/>
          <w:sz w:val="24"/>
          <w:szCs w:val="24"/>
        </w:rPr>
        <w:t>Product development</w:t>
      </w:r>
      <w:r w:rsidRPr="007B6730">
        <w:rPr>
          <w:rFonts w:ascii="Arial" w:hAnsi="Arial" w:cs="Arial"/>
          <w:sz w:val="24"/>
          <w:szCs w:val="24"/>
        </w:rPr>
        <w:t> prioritizes solid-state batteries for a 1,200 km-range EV by 2027, targeting Tesla’s Roadster 2. </w:t>
      </w:r>
      <w:r w:rsidRPr="007B6730">
        <w:rPr>
          <w:rFonts w:ascii="Arial" w:hAnsi="Arial" w:cs="Arial"/>
          <w:b/>
          <w:bCs/>
          <w:sz w:val="24"/>
          <w:szCs w:val="24"/>
        </w:rPr>
        <w:t>Market development</w:t>
      </w:r>
      <w:r w:rsidRPr="007B6730">
        <w:rPr>
          <w:rFonts w:ascii="Arial" w:hAnsi="Arial" w:cs="Arial"/>
          <w:sz w:val="24"/>
          <w:szCs w:val="24"/>
        </w:rPr>
        <w:t> taps Southeast Asia’s rising fuel vehicle demand, introducing the Hilux Hybrid pickup in Indonesia, where 2023 sales grew 18%. </w:t>
      </w:r>
      <w:r w:rsidRPr="007B6730">
        <w:rPr>
          <w:rFonts w:ascii="Arial" w:hAnsi="Arial" w:cs="Arial"/>
          <w:b/>
          <w:bCs/>
          <w:sz w:val="24"/>
          <w:szCs w:val="24"/>
        </w:rPr>
        <w:t>Diversification</w:t>
      </w:r>
      <w:r w:rsidRPr="007B6730">
        <w:rPr>
          <w:rFonts w:ascii="Arial" w:hAnsi="Arial" w:cs="Arial"/>
          <w:sz w:val="24"/>
          <w:szCs w:val="24"/>
        </w:rPr>
        <w:t> explores hydrogen trucks with Hino Motors, aligning with Japan’s goal of 20% hydrogen vehicle adoption by 2040.</w:t>
      </w:r>
    </w:p>
    <w:p w14:paraId="74137F36" w14:textId="77777777" w:rsidR="000A419A" w:rsidRPr="007B6730" w:rsidRDefault="000A419A" w:rsidP="007B6730">
      <w:pPr>
        <w:spacing w:line="360" w:lineRule="auto"/>
        <w:rPr>
          <w:rFonts w:ascii="Arial" w:hAnsi="Arial" w:cs="Arial"/>
          <w:sz w:val="24"/>
          <w:szCs w:val="24"/>
        </w:rPr>
      </w:pPr>
    </w:p>
    <w:p w14:paraId="5A62F247" w14:textId="77777777" w:rsidR="000A419A" w:rsidRPr="007B6730" w:rsidRDefault="000A419A" w:rsidP="007B6730">
      <w:pPr>
        <w:spacing w:line="360" w:lineRule="auto"/>
        <w:rPr>
          <w:rFonts w:ascii="Arial" w:hAnsi="Arial" w:cs="Arial"/>
          <w:sz w:val="24"/>
          <w:szCs w:val="24"/>
        </w:rPr>
      </w:pPr>
    </w:p>
    <w:p w14:paraId="507C0A38" w14:textId="4FACEB4F" w:rsidR="009C3CCF" w:rsidRPr="007B6730" w:rsidRDefault="009C3CCF" w:rsidP="007B6730">
      <w:pPr>
        <w:pStyle w:val="2"/>
        <w:spacing w:line="360" w:lineRule="auto"/>
        <w:rPr>
          <w:rFonts w:ascii="Arial" w:hAnsi="Arial" w:cs="Arial"/>
          <w:sz w:val="24"/>
          <w:szCs w:val="24"/>
        </w:rPr>
      </w:pPr>
      <w:bookmarkStart w:id="26" w:name="_Toc193493145"/>
      <w:bookmarkStart w:id="27" w:name="_Toc193494767"/>
      <w:r w:rsidRPr="007B6730">
        <w:rPr>
          <w:rFonts w:ascii="Arial" w:hAnsi="Arial" w:cs="Arial"/>
          <w:sz w:val="24"/>
          <w:szCs w:val="24"/>
        </w:rPr>
        <w:t>4.3 Mergers &amp; Acquisitions</w:t>
      </w:r>
      <w:bookmarkEnd w:id="26"/>
      <w:bookmarkEnd w:id="27"/>
      <w:r w:rsidRPr="007B6730">
        <w:rPr>
          <w:rFonts w:ascii="Arial" w:hAnsi="Arial" w:cs="Arial"/>
          <w:sz w:val="24"/>
          <w:szCs w:val="24"/>
        </w:rPr>
        <w:t xml:space="preserve"> </w:t>
      </w:r>
    </w:p>
    <w:p w14:paraId="41A0F995" w14:textId="77777777" w:rsidR="009C3CCF" w:rsidRDefault="009C3CCF" w:rsidP="007B6730">
      <w:pPr>
        <w:spacing w:line="360" w:lineRule="auto"/>
        <w:rPr>
          <w:rFonts w:ascii="Arial" w:hAnsi="Arial" w:cs="Arial"/>
          <w:sz w:val="24"/>
          <w:szCs w:val="24"/>
        </w:rPr>
      </w:pPr>
      <w:r w:rsidRPr="007B6730">
        <w:rPr>
          <w:rFonts w:ascii="Arial" w:hAnsi="Arial" w:cs="Arial"/>
          <w:sz w:val="24"/>
          <w:szCs w:val="24"/>
        </w:rPr>
        <w:t xml:space="preserve">Toyota acquires firms to strengthen technology. Its 2020 investment in Subaru improved all-wheel drive systems, boosting RAV4 Hybrid sales in snowy regions by 12%. A potential $5 billion deal for GM’s Cruise could enhance autonomous driving tech, though risks include higher costs and regulatory issues from Cruise’s safety incidents.  </w:t>
      </w:r>
    </w:p>
    <w:p w14:paraId="17465BDF" w14:textId="77777777" w:rsidR="007B6730" w:rsidRDefault="007B6730" w:rsidP="007B6730">
      <w:pPr>
        <w:spacing w:line="360" w:lineRule="auto"/>
        <w:rPr>
          <w:rFonts w:ascii="Arial" w:hAnsi="Arial" w:cs="Arial"/>
          <w:sz w:val="24"/>
          <w:szCs w:val="24"/>
        </w:rPr>
      </w:pPr>
    </w:p>
    <w:p w14:paraId="2B937A6F" w14:textId="77777777" w:rsidR="007B6730" w:rsidRDefault="007B6730" w:rsidP="007B6730">
      <w:pPr>
        <w:spacing w:line="360" w:lineRule="auto"/>
        <w:rPr>
          <w:rFonts w:ascii="Arial" w:hAnsi="Arial" w:cs="Arial"/>
          <w:sz w:val="24"/>
          <w:szCs w:val="24"/>
        </w:rPr>
      </w:pPr>
    </w:p>
    <w:p w14:paraId="5919C1BD" w14:textId="77777777" w:rsidR="007B6730" w:rsidRDefault="007B6730" w:rsidP="007B6730">
      <w:pPr>
        <w:spacing w:line="360" w:lineRule="auto"/>
        <w:rPr>
          <w:rFonts w:ascii="Arial" w:hAnsi="Arial" w:cs="Arial"/>
          <w:sz w:val="24"/>
          <w:szCs w:val="24"/>
        </w:rPr>
      </w:pPr>
    </w:p>
    <w:p w14:paraId="087B969D" w14:textId="77777777" w:rsidR="007B6730" w:rsidRDefault="007B6730" w:rsidP="007B6730">
      <w:pPr>
        <w:spacing w:line="360" w:lineRule="auto"/>
        <w:rPr>
          <w:rFonts w:ascii="Arial" w:hAnsi="Arial" w:cs="Arial"/>
          <w:sz w:val="24"/>
          <w:szCs w:val="24"/>
        </w:rPr>
      </w:pPr>
    </w:p>
    <w:p w14:paraId="042BF50E" w14:textId="77777777" w:rsidR="007B6730" w:rsidRPr="007B6730" w:rsidRDefault="007B6730" w:rsidP="007B6730">
      <w:pPr>
        <w:spacing w:line="360" w:lineRule="auto"/>
        <w:rPr>
          <w:rFonts w:ascii="Arial" w:hAnsi="Arial" w:cs="Arial"/>
          <w:sz w:val="24"/>
          <w:szCs w:val="24"/>
        </w:rPr>
      </w:pPr>
    </w:p>
    <w:p w14:paraId="022741D4" w14:textId="687C5C81" w:rsidR="00B17BC4" w:rsidRPr="007B6730" w:rsidRDefault="00B17BC4" w:rsidP="007B6730">
      <w:pPr>
        <w:pStyle w:val="1"/>
        <w:spacing w:line="360" w:lineRule="auto"/>
        <w:rPr>
          <w:rFonts w:ascii="Arial" w:hAnsi="Arial" w:cs="Arial"/>
          <w:sz w:val="24"/>
          <w:szCs w:val="24"/>
        </w:rPr>
      </w:pPr>
      <w:bookmarkStart w:id="28" w:name="_Toc193493146"/>
      <w:bookmarkStart w:id="29" w:name="_Toc193494768"/>
      <w:r w:rsidRPr="007B6730">
        <w:rPr>
          <w:rFonts w:ascii="Arial" w:hAnsi="Arial" w:cs="Arial"/>
          <w:sz w:val="24"/>
          <w:szCs w:val="24"/>
        </w:rPr>
        <w:t>5.</w:t>
      </w:r>
      <w:r w:rsidR="00EC1A9A" w:rsidRPr="007B6730">
        <w:rPr>
          <w:rFonts w:ascii="Arial" w:hAnsi="Arial" w:cs="Arial"/>
          <w:sz w:val="24"/>
          <w:szCs w:val="24"/>
        </w:rPr>
        <w:t>0</w:t>
      </w:r>
      <w:r w:rsidRPr="007B6730">
        <w:rPr>
          <w:rFonts w:ascii="Arial" w:hAnsi="Arial" w:cs="Arial"/>
          <w:sz w:val="24"/>
          <w:szCs w:val="24"/>
        </w:rPr>
        <w:t xml:space="preserve"> Sustainability &amp; Strategic Recommendations</w:t>
      </w:r>
      <w:bookmarkEnd w:id="28"/>
      <w:bookmarkEnd w:id="29"/>
    </w:p>
    <w:p w14:paraId="37150250" w14:textId="77777777" w:rsidR="00B17BC4" w:rsidRPr="007B6730" w:rsidRDefault="00B17BC4" w:rsidP="007B6730">
      <w:pPr>
        <w:spacing w:line="360" w:lineRule="auto"/>
        <w:rPr>
          <w:rFonts w:ascii="Arial" w:hAnsi="Arial" w:cs="Arial"/>
          <w:sz w:val="24"/>
          <w:szCs w:val="24"/>
        </w:rPr>
      </w:pPr>
      <w:r w:rsidRPr="007B6730">
        <w:rPr>
          <w:rFonts w:ascii="Arial" w:hAnsi="Arial" w:cs="Arial"/>
          <w:sz w:val="24"/>
          <w:szCs w:val="24"/>
        </w:rPr>
        <w:t xml:space="preserve">Toyota’s sustainability commitments are deeply tied to its strategic transformation, yet it faces dual challenges: legacy assets slowing progress and high innovation costs. Current efforts show fragmented success. Environmentally, while its </w:t>
      </w:r>
      <w:proofErr w:type="spellStart"/>
      <w:r w:rsidRPr="007B6730">
        <w:rPr>
          <w:rFonts w:ascii="Arial" w:hAnsi="Arial" w:cs="Arial"/>
          <w:sz w:val="24"/>
          <w:szCs w:val="24"/>
        </w:rPr>
        <w:t>Motomachi</w:t>
      </w:r>
      <w:proofErr w:type="spellEnd"/>
      <w:r w:rsidRPr="007B6730">
        <w:rPr>
          <w:rFonts w:ascii="Arial" w:hAnsi="Arial" w:cs="Arial"/>
          <w:sz w:val="24"/>
          <w:szCs w:val="24"/>
        </w:rPr>
        <w:t xml:space="preserve"> plant in Japan achieves zero-carbon operations through renewable energy and carbon capture, the supply chain remains carbon-intensive—each Toyota vehicle emits 45 tons of CO</w:t>
      </w:r>
      <w:r w:rsidRPr="007B6730">
        <w:rPr>
          <w:rFonts w:ascii="Cambria Math" w:hAnsi="Cambria Math" w:cs="Cambria Math"/>
          <w:sz w:val="24"/>
          <w:szCs w:val="24"/>
        </w:rPr>
        <w:t>₂</w:t>
      </w:r>
      <w:r w:rsidRPr="007B6730">
        <w:rPr>
          <w:rFonts w:ascii="Arial" w:hAnsi="Arial" w:cs="Arial"/>
          <w:sz w:val="24"/>
          <w:szCs w:val="24"/>
        </w:rPr>
        <w:t xml:space="preserve"> over its </w:t>
      </w:r>
      <w:r w:rsidRPr="007B6730">
        <w:rPr>
          <w:rFonts w:ascii="Arial" w:hAnsi="Arial" w:cs="Arial"/>
          <w:sz w:val="24"/>
          <w:szCs w:val="24"/>
        </w:rPr>
        <w:lastRenderedPageBreak/>
        <w:t>lifecycle, 28% higher than BYD. Socially, initiatives like training 500 technicians annually at the Toyota Technical Academy in the Philippines are undermined by child labor controversies in Congo’s cobalt supply chain, damaging ESG ratings. To address this, Toyota must integrate sustainability into its core strategy through a three-tiered approach:</w:t>
      </w:r>
    </w:p>
    <w:p w14:paraId="3C06758E" w14:textId="77777777" w:rsidR="00B17BC4" w:rsidRPr="007B6730" w:rsidRDefault="00B17BC4" w:rsidP="007B6730">
      <w:pPr>
        <w:spacing w:line="360" w:lineRule="auto"/>
        <w:rPr>
          <w:rFonts w:ascii="Arial" w:hAnsi="Arial" w:cs="Arial"/>
          <w:sz w:val="24"/>
          <w:szCs w:val="24"/>
        </w:rPr>
      </w:pPr>
    </w:p>
    <w:p w14:paraId="5ED8A5CC" w14:textId="77777777" w:rsidR="00B17BC4" w:rsidRPr="007B6730" w:rsidRDefault="00B17BC4" w:rsidP="007B6730">
      <w:pPr>
        <w:spacing w:line="360" w:lineRule="auto"/>
        <w:rPr>
          <w:rFonts w:ascii="Arial" w:hAnsi="Arial" w:cs="Arial"/>
          <w:sz w:val="24"/>
          <w:szCs w:val="24"/>
        </w:rPr>
      </w:pPr>
      <w:r w:rsidRPr="007B6730">
        <w:rPr>
          <w:rFonts w:ascii="Arial" w:hAnsi="Arial" w:cs="Arial"/>
          <w:sz w:val="24"/>
          <w:szCs w:val="24"/>
        </w:rPr>
        <w:t>First, build a circular economy. Invest $1.5 billion in a closed-loop battery recycling network, aiming to boost nickel and cobalt recovery rates from 30% to 95% by 2030. Partner with Chinese firm GEM to develop low-temperature pyrolysis, repurposing old batteries into energy storage units for businesses like 7-Eleven. Second, restore ethical supply chains. Implement blockchain traceability in Congo, requiring suppliers to disclose mining locations and labor contracts. Establish an audit fund to ban non-compliant suppliers. Third, adopt Globalization 2.0. Build a Mexico-based EV factory (500,000 annual capacity) to bypass U.S. localization rules under USMCA. In Southeast Asia, collaborate with Thailand’s PTT to create solar-powered charging communities, easing range anxiety.</w:t>
      </w:r>
    </w:p>
    <w:p w14:paraId="385D5B73" w14:textId="77777777" w:rsidR="00B17BC4" w:rsidRPr="007B6730" w:rsidRDefault="00B17BC4" w:rsidP="007B6730">
      <w:pPr>
        <w:spacing w:line="360" w:lineRule="auto"/>
        <w:rPr>
          <w:rFonts w:ascii="Arial" w:hAnsi="Arial" w:cs="Arial"/>
          <w:sz w:val="24"/>
          <w:szCs w:val="24"/>
        </w:rPr>
      </w:pPr>
    </w:p>
    <w:p w14:paraId="708A2A88" w14:textId="77777777" w:rsidR="00B17BC4" w:rsidRPr="007B6730" w:rsidRDefault="00B17BC4" w:rsidP="007B6730">
      <w:pPr>
        <w:spacing w:line="360" w:lineRule="auto"/>
        <w:rPr>
          <w:rFonts w:ascii="Arial" w:hAnsi="Arial" w:cs="Arial"/>
          <w:sz w:val="24"/>
          <w:szCs w:val="24"/>
        </w:rPr>
      </w:pPr>
      <w:r w:rsidRPr="007B6730">
        <w:rPr>
          <w:rFonts w:ascii="Arial" w:hAnsi="Arial" w:cs="Arial"/>
          <w:sz w:val="24"/>
          <w:szCs w:val="24"/>
        </w:rPr>
        <w:t xml:space="preserve">Long-term, Toyota must shape industry standards. Engage in the EU’s Battery Passport framework to embed its carbon accounting methods globally. Accelerate hydrogen commercialization, piloting a wind-to-hydrogen energy system on Denmark’s Bornholm Island to power fuel-cell vehicles. By transforming sustainability from a compliance cost into a competitive edge, Toyota can achieve a profitable </w:t>
      </w:r>
      <w:proofErr w:type="gramStart"/>
      <w:r w:rsidRPr="007B6730">
        <w:rPr>
          <w:rFonts w:ascii="Arial" w:hAnsi="Arial" w:cs="Arial"/>
          <w:sz w:val="24"/>
          <w:szCs w:val="24"/>
        </w:rPr>
        <w:t>transition—using</w:t>
      </w:r>
      <w:proofErr w:type="gramEnd"/>
      <w:r w:rsidRPr="007B6730">
        <w:rPr>
          <w:rFonts w:ascii="Arial" w:hAnsi="Arial" w:cs="Arial"/>
          <w:sz w:val="24"/>
          <w:szCs w:val="24"/>
        </w:rPr>
        <w:t xml:space="preserve"> gasoline car profits to fund innovations while building a second growth pillar with hydrogen and solid-state batteries. Ultimately, this will position Toyota as a holistic mobility leader in the carbon-neutral era.</w:t>
      </w:r>
    </w:p>
    <w:p w14:paraId="5793B0E7" w14:textId="77777777" w:rsidR="009C3CCF" w:rsidRPr="007B6730" w:rsidRDefault="009C3CCF" w:rsidP="007B6730">
      <w:pPr>
        <w:spacing w:line="360" w:lineRule="auto"/>
        <w:rPr>
          <w:rFonts w:ascii="Arial" w:hAnsi="Arial" w:cs="Arial"/>
          <w:sz w:val="24"/>
          <w:szCs w:val="24"/>
        </w:rPr>
      </w:pPr>
    </w:p>
    <w:p w14:paraId="0DE45BBF" w14:textId="77777777" w:rsidR="007B6730" w:rsidRPr="007B6730" w:rsidRDefault="007B6730" w:rsidP="007B6730">
      <w:pPr>
        <w:spacing w:line="360" w:lineRule="auto"/>
        <w:rPr>
          <w:rFonts w:ascii="Arial" w:hAnsi="Arial" w:cs="Arial" w:hint="eastAsia"/>
          <w:sz w:val="24"/>
          <w:szCs w:val="24"/>
        </w:rPr>
      </w:pPr>
    </w:p>
    <w:p w14:paraId="0EA446B9" w14:textId="206EB3C3" w:rsidR="00C64791" w:rsidRPr="007B6730" w:rsidRDefault="00C64791" w:rsidP="007B6730">
      <w:pPr>
        <w:pStyle w:val="1"/>
        <w:spacing w:line="360" w:lineRule="auto"/>
        <w:rPr>
          <w:rFonts w:ascii="Arial" w:hAnsi="Arial" w:cs="Arial"/>
          <w:sz w:val="24"/>
          <w:szCs w:val="24"/>
        </w:rPr>
      </w:pPr>
      <w:bookmarkStart w:id="30" w:name="_Toc193493147"/>
      <w:bookmarkStart w:id="31" w:name="_Toc193494769"/>
      <w:r w:rsidRPr="007B6730">
        <w:rPr>
          <w:rFonts w:ascii="Arial" w:hAnsi="Arial" w:cs="Arial"/>
          <w:sz w:val="24"/>
          <w:szCs w:val="24"/>
        </w:rPr>
        <w:lastRenderedPageBreak/>
        <w:t>6.0 Conclusion</w:t>
      </w:r>
      <w:bookmarkEnd w:id="30"/>
      <w:bookmarkEnd w:id="31"/>
    </w:p>
    <w:p w14:paraId="0201D20A" w14:textId="6560AD78" w:rsidR="00FD2FA4" w:rsidRPr="007B6730" w:rsidRDefault="00C64791" w:rsidP="007B6730">
      <w:pPr>
        <w:spacing w:line="360" w:lineRule="auto"/>
        <w:rPr>
          <w:rFonts w:ascii="Arial" w:hAnsi="Arial" w:cs="Arial"/>
          <w:sz w:val="24"/>
          <w:szCs w:val="24"/>
        </w:rPr>
      </w:pPr>
      <w:r w:rsidRPr="007B6730">
        <w:rPr>
          <w:rFonts w:ascii="Arial" w:hAnsi="Arial" w:cs="Arial"/>
          <w:sz w:val="24"/>
          <w:szCs w:val="24"/>
        </w:rPr>
        <w:t xml:space="preserve">The development Process of </w:t>
      </w:r>
      <w:r w:rsidR="00FD2FA4" w:rsidRPr="007B6730">
        <w:rPr>
          <w:rFonts w:ascii="Arial" w:hAnsi="Arial" w:cs="Arial"/>
          <w:sz w:val="24"/>
          <w:szCs w:val="24"/>
        </w:rPr>
        <w:t>Toyota reflects the dual reality of traditional giants in disruptive times: strategic resilience alongside deep-rooted path dependency. While its hybrid technology leadership and vertically integrated supply chain remain short-term profit safeguards, the global shift toward banning gasoline vehicles and consumer preference for smart EVs are irreversible. The core challenge lies in efficiently redirecting cash flows from gasoline cars to breakthroughs in EVs and hydrogen technology, while avoiding the "innovator’s dilemma."</w:t>
      </w:r>
    </w:p>
    <w:p w14:paraId="1AE36C2D" w14:textId="77777777" w:rsidR="00FD2FA4" w:rsidRPr="007B6730" w:rsidRDefault="00FD2FA4" w:rsidP="007B6730">
      <w:pPr>
        <w:spacing w:line="360" w:lineRule="auto"/>
        <w:rPr>
          <w:rFonts w:ascii="Arial" w:hAnsi="Arial" w:cs="Arial"/>
          <w:sz w:val="24"/>
          <w:szCs w:val="24"/>
        </w:rPr>
      </w:pPr>
    </w:p>
    <w:p w14:paraId="21B9CA13" w14:textId="4078D34D" w:rsidR="00FD2FA4" w:rsidRPr="007B6730" w:rsidRDefault="00FD2FA4" w:rsidP="007B6730">
      <w:pPr>
        <w:spacing w:line="360" w:lineRule="auto"/>
        <w:rPr>
          <w:rFonts w:ascii="Arial" w:hAnsi="Arial" w:cs="Arial"/>
          <w:sz w:val="24"/>
          <w:szCs w:val="24"/>
        </w:rPr>
      </w:pPr>
      <w:r w:rsidRPr="007B6730">
        <w:rPr>
          <w:rFonts w:ascii="Arial" w:hAnsi="Arial" w:cs="Arial"/>
          <w:sz w:val="24"/>
          <w:szCs w:val="24"/>
        </w:rPr>
        <w:t>The solution requires redefining strategic management: reducing resource reliance through circular economy practices like battery recycling networks, rebuilding trust via ethical supply chains, and mitigating geopolitical risks through regionalized production such as Mexico-based factories. Long-term success hinges on converting Toyota’s first-mover advantages in solid-state batteries and hydrogen into market barriers, rather than clinging to a fragmented multi-path strategy.</w:t>
      </w:r>
    </w:p>
    <w:p w14:paraId="6F8A0F92" w14:textId="77777777" w:rsidR="00FD2FA4" w:rsidRPr="007B6730" w:rsidRDefault="00FD2FA4" w:rsidP="007B6730">
      <w:pPr>
        <w:spacing w:line="360" w:lineRule="auto"/>
        <w:rPr>
          <w:rFonts w:ascii="Arial" w:hAnsi="Arial" w:cs="Arial"/>
          <w:sz w:val="24"/>
          <w:szCs w:val="24"/>
        </w:rPr>
      </w:pPr>
    </w:p>
    <w:p w14:paraId="5A7B6F73" w14:textId="1E84379F" w:rsidR="00B17BC4" w:rsidRPr="007B6730" w:rsidRDefault="00FD2FA4" w:rsidP="007B6730">
      <w:pPr>
        <w:spacing w:line="360" w:lineRule="auto"/>
        <w:rPr>
          <w:rFonts w:ascii="Arial" w:hAnsi="Arial" w:cs="Arial"/>
          <w:sz w:val="24"/>
          <w:szCs w:val="24"/>
        </w:rPr>
      </w:pPr>
      <w:r w:rsidRPr="007B6730">
        <w:rPr>
          <w:rFonts w:ascii="Arial" w:hAnsi="Arial" w:cs="Arial"/>
          <w:sz w:val="24"/>
          <w:szCs w:val="24"/>
        </w:rPr>
        <w:t>In the carbon-neutral era, strategic leadership no longer revolves solely around scale and cost but demands embedding environmental responsibility into every value chain step, making sustainability a core competitive edge. Only by doing so can Toyota evolve from the "King of Gasoline Vehicles" into the "architect of a zero-carbon mobility ecosystem," sustaining global leadership through transformative change.</w:t>
      </w:r>
    </w:p>
    <w:p w14:paraId="2B61B609" w14:textId="77777777" w:rsidR="007B6730" w:rsidRPr="007B6730" w:rsidRDefault="007B6730" w:rsidP="007B6730">
      <w:pPr>
        <w:spacing w:line="360" w:lineRule="auto"/>
        <w:rPr>
          <w:rFonts w:ascii="Arial" w:hAnsi="Arial" w:cs="Arial" w:hint="eastAsia"/>
          <w:sz w:val="24"/>
          <w:szCs w:val="24"/>
        </w:rPr>
      </w:pPr>
    </w:p>
    <w:p w14:paraId="4032B73B" w14:textId="695BDBD4" w:rsidR="00EC1A9A" w:rsidRPr="007B6730" w:rsidRDefault="00EC1A9A" w:rsidP="007B6730">
      <w:pPr>
        <w:pStyle w:val="1"/>
        <w:spacing w:line="360" w:lineRule="auto"/>
        <w:rPr>
          <w:rFonts w:ascii="Arial" w:hAnsi="Arial" w:cs="Arial"/>
          <w:sz w:val="24"/>
          <w:szCs w:val="24"/>
        </w:rPr>
      </w:pPr>
      <w:bookmarkStart w:id="32" w:name="_Toc193493148"/>
      <w:bookmarkStart w:id="33" w:name="_Toc193494770"/>
      <w:r w:rsidRPr="007B6730">
        <w:rPr>
          <w:rFonts w:ascii="Arial" w:hAnsi="Arial" w:cs="Arial"/>
          <w:sz w:val="24"/>
          <w:szCs w:val="24"/>
        </w:rPr>
        <w:t>7.0 Reference</w:t>
      </w:r>
      <w:bookmarkEnd w:id="32"/>
      <w:bookmarkEnd w:id="33"/>
    </w:p>
    <w:p w14:paraId="39C93EEA"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CDP (2023) </w:t>
      </w:r>
      <w:r w:rsidRPr="00541BC8">
        <w:rPr>
          <w:rFonts w:ascii="Arial" w:hAnsi="Arial" w:cs="Arial"/>
          <w:i/>
          <w:iCs/>
          <w:sz w:val="24"/>
          <w:szCs w:val="24"/>
        </w:rPr>
        <w:t>Global Supply Chain Report 2023</w:t>
      </w:r>
      <w:r w:rsidRPr="00541BC8">
        <w:rPr>
          <w:rFonts w:ascii="Arial" w:hAnsi="Arial" w:cs="Arial"/>
          <w:sz w:val="24"/>
          <w:szCs w:val="24"/>
        </w:rPr>
        <w:t>. Available at: </w:t>
      </w:r>
      <w:hyperlink r:id="rId8" w:tgtFrame="_blank" w:history="1">
        <w:r w:rsidRPr="00541BC8">
          <w:rPr>
            <w:rStyle w:val="af2"/>
            <w:rFonts w:ascii="Arial" w:hAnsi="Arial" w:cs="Arial"/>
            <w:sz w:val="24"/>
            <w:szCs w:val="24"/>
          </w:rPr>
          <w:t>https://www.cdn.net</w:t>
        </w:r>
      </w:hyperlink>
      <w:r w:rsidRPr="00541BC8">
        <w:rPr>
          <w:rFonts w:ascii="Arial" w:hAnsi="Arial" w:cs="Arial"/>
          <w:sz w:val="24"/>
          <w:szCs w:val="24"/>
        </w:rPr>
        <w:t> (Accessed: 15 July 2024).</w:t>
      </w:r>
    </w:p>
    <w:p w14:paraId="787F5E90"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lastRenderedPageBreak/>
        <w:t>European Commission (2023) </w:t>
      </w:r>
      <w:r w:rsidRPr="00541BC8">
        <w:rPr>
          <w:rFonts w:ascii="Arial" w:hAnsi="Arial" w:cs="Arial"/>
          <w:i/>
          <w:iCs/>
          <w:sz w:val="24"/>
          <w:szCs w:val="24"/>
        </w:rPr>
        <w:t>The European Green Deal</w:t>
      </w:r>
      <w:r w:rsidRPr="00541BC8">
        <w:rPr>
          <w:rFonts w:ascii="Arial" w:hAnsi="Arial" w:cs="Arial"/>
          <w:sz w:val="24"/>
          <w:szCs w:val="24"/>
        </w:rPr>
        <w:t>. Brussels: EU Publications Office.</w:t>
      </w:r>
    </w:p>
    <w:p w14:paraId="495BB186"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IEA (2023) </w:t>
      </w:r>
      <w:r w:rsidRPr="00541BC8">
        <w:rPr>
          <w:rFonts w:ascii="Arial" w:hAnsi="Arial" w:cs="Arial"/>
          <w:i/>
          <w:iCs/>
          <w:sz w:val="24"/>
          <w:szCs w:val="24"/>
        </w:rPr>
        <w:t>Global EV Outlook 2023</w:t>
      </w:r>
      <w:r w:rsidRPr="00541BC8">
        <w:rPr>
          <w:rFonts w:ascii="Arial" w:hAnsi="Arial" w:cs="Arial"/>
          <w:sz w:val="24"/>
          <w:szCs w:val="24"/>
        </w:rPr>
        <w:t>. Paris: International Energy Agency.</w:t>
      </w:r>
    </w:p>
    <w:p w14:paraId="5DB63B38"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IRENA (2023) </w:t>
      </w:r>
      <w:r w:rsidRPr="00541BC8">
        <w:rPr>
          <w:rFonts w:ascii="Arial" w:hAnsi="Arial" w:cs="Arial"/>
          <w:i/>
          <w:iCs/>
          <w:sz w:val="24"/>
          <w:szCs w:val="24"/>
        </w:rPr>
        <w:t>Offshore Wind Energy: A Global Perspective</w:t>
      </w:r>
      <w:r w:rsidRPr="00541BC8">
        <w:rPr>
          <w:rFonts w:ascii="Arial" w:hAnsi="Arial" w:cs="Arial"/>
          <w:sz w:val="24"/>
          <w:szCs w:val="24"/>
        </w:rPr>
        <w:t>. Abu Dhabi: International Renewable Energy Agency.</w:t>
      </w:r>
    </w:p>
    <w:p w14:paraId="330AAF82"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Porter, M.E. (2008) </w:t>
      </w:r>
      <w:r w:rsidRPr="00541BC8">
        <w:rPr>
          <w:rFonts w:ascii="Arial" w:hAnsi="Arial" w:cs="Arial"/>
          <w:i/>
          <w:iCs/>
          <w:sz w:val="24"/>
          <w:szCs w:val="24"/>
        </w:rPr>
        <w:t>On Competition</w:t>
      </w:r>
      <w:r w:rsidRPr="00541BC8">
        <w:rPr>
          <w:rFonts w:ascii="Arial" w:hAnsi="Arial" w:cs="Arial"/>
          <w:sz w:val="24"/>
          <w:szCs w:val="24"/>
        </w:rPr>
        <w:t>. Updated ed. Boston: Harvard Business Review Press.</w:t>
      </w:r>
    </w:p>
    <w:p w14:paraId="3BFBD1BD"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Schumpeter, J.A. (1942) </w:t>
      </w:r>
      <w:r w:rsidRPr="00541BC8">
        <w:rPr>
          <w:rFonts w:ascii="Arial" w:hAnsi="Arial" w:cs="Arial"/>
          <w:i/>
          <w:iCs/>
          <w:sz w:val="24"/>
          <w:szCs w:val="24"/>
        </w:rPr>
        <w:t>Capitalism, Socialism and Democracy</w:t>
      </w:r>
      <w:r w:rsidRPr="00541BC8">
        <w:rPr>
          <w:rFonts w:ascii="Arial" w:hAnsi="Arial" w:cs="Arial"/>
          <w:sz w:val="24"/>
          <w:szCs w:val="24"/>
        </w:rPr>
        <w:t>. New York: Harper &amp; Brothers.</w:t>
      </w:r>
    </w:p>
    <w:p w14:paraId="46AA0C63"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Toyota Motor Corporation (2023) </w:t>
      </w:r>
      <w:r w:rsidRPr="00541BC8">
        <w:rPr>
          <w:rFonts w:ascii="Arial" w:hAnsi="Arial" w:cs="Arial"/>
          <w:i/>
          <w:iCs/>
          <w:sz w:val="24"/>
          <w:szCs w:val="24"/>
        </w:rPr>
        <w:t>Annual Report 2023</w:t>
      </w:r>
      <w:r w:rsidRPr="00541BC8">
        <w:rPr>
          <w:rFonts w:ascii="Arial" w:hAnsi="Arial" w:cs="Arial"/>
          <w:sz w:val="24"/>
          <w:szCs w:val="24"/>
        </w:rPr>
        <w:t>. Available at: </w:t>
      </w:r>
      <w:hyperlink r:id="rId9" w:tgtFrame="_blank" w:history="1">
        <w:r w:rsidRPr="00541BC8">
          <w:rPr>
            <w:rStyle w:val="af2"/>
            <w:rFonts w:ascii="Arial" w:hAnsi="Arial" w:cs="Arial"/>
            <w:sz w:val="24"/>
            <w:szCs w:val="24"/>
          </w:rPr>
          <w:t>https://global.toyota</w:t>
        </w:r>
      </w:hyperlink>
      <w:r w:rsidRPr="00541BC8">
        <w:rPr>
          <w:rFonts w:ascii="Arial" w:hAnsi="Arial" w:cs="Arial"/>
          <w:sz w:val="24"/>
          <w:szCs w:val="24"/>
        </w:rPr>
        <w:t> (Accessed: 17 July 2024).</w:t>
      </w:r>
    </w:p>
    <w:p w14:paraId="04AA0BCF"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Toyota (2023) </w:t>
      </w:r>
      <w:r w:rsidRPr="00541BC8">
        <w:rPr>
          <w:rFonts w:ascii="Arial" w:hAnsi="Arial" w:cs="Arial"/>
          <w:i/>
          <w:iCs/>
          <w:sz w:val="24"/>
          <w:szCs w:val="24"/>
        </w:rPr>
        <w:t>Sustainability Report 2023</w:t>
      </w:r>
      <w:r w:rsidRPr="00541BC8">
        <w:rPr>
          <w:rFonts w:ascii="Arial" w:hAnsi="Arial" w:cs="Arial"/>
          <w:sz w:val="24"/>
          <w:szCs w:val="24"/>
        </w:rPr>
        <w:t>. Available at: </w:t>
      </w:r>
      <w:hyperlink r:id="rId10" w:tgtFrame="_blank" w:history="1">
        <w:r w:rsidRPr="00541BC8">
          <w:rPr>
            <w:rStyle w:val="af2"/>
            <w:rFonts w:ascii="Arial" w:hAnsi="Arial" w:cs="Arial"/>
            <w:sz w:val="24"/>
            <w:szCs w:val="24"/>
          </w:rPr>
          <w:t>https://global.toyota/esg</w:t>
        </w:r>
      </w:hyperlink>
      <w:r w:rsidRPr="00541BC8">
        <w:rPr>
          <w:rFonts w:ascii="Arial" w:hAnsi="Arial" w:cs="Arial"/>
          <w:sz w:val="24"/>
          <w:szCs w:val="24"/>
        </w:rPr>
        <w:t> (Accessed: 17 July 2024).</w:t>
      </w:r>
    </w:p>
    <w:p w14:paraId="0A93AF83"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US Department of Energy (2023) </w:t>
      </w:r>
      <w:r w:rsidRPr="00541BC8">
        <w:rPr>
          <w:rFonts w:ascii="Arial" w:hAnsi="Arial" w:cs="Arial"/>
          <w:i/>
          <w:iCs/>
          <w:sz w:val="24"/>
          <w:szCs w:val="24"/>
        </w:rPr>
        <w:t>Inflation Reduction Act Guidebook</w:t>
      </w:r>
      <w:r w:rsidRPr="00541BC8">
        <w:rPr>
          <w:rFonts w:ascii="Arial" w:hAnsi="Arial" w:cs="Arial"/>
          <w:sz w:val="24"/>
          <w:szCs w:val="24"/>
        </w:rPr>
        <w:t>. Washington, DC: DOE Publications.</w:t>
      </w:r>
    </w:p>
    <w:p w14:paraId="5EC0E79D"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Womack, J.P. and Jones, D.T. (2003) </w:t>
      </w:r>
      <w:r w:rsidRPr="00541BC8">
        <w:rPr>
          <w:rFonts w:ascii="Arial" w:hAnsi="Arial" w:cs="Arial"/>
          <w:i/>
          <w:iCs/>
          <w:sz w:val="24"/>
          <w:szCs w:val="24"/>
        </w:rPr>
        <w:t>Lean Thinking: Banish Waste and Create Wealth</w:t>
      </w:r>
      <w:r w:rsidRPr="00541BC8">
        <w:rPr>
          <w:rFonts w:ascii="Arial" w:hAnsi="Arial" w:cs="Arial"/>
          <w:sz w:val="24"/>
          <w:szCs w:val="24"/>
        </w:rPr>
        <w:t>. 2nd ed. New York: Free Press.</w:t>
      </w:r>
    </w:p>
    <w:p w14:paraId="298266A0"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Zheng, M. et al. (2022) 'Solid-state battery commercialization pathways', </w:t>
      </w:r>
      <w:r w:rsidRPr="00541BC8">
        <w:rPr>
          <w:rFonts w:ascii="Arial" w:hAnsi="Arial" w:cs="Arial"/>
          <w:i/>
          <w:iCs/>
          <w:sz w:val="24"/>
          <w:szCs w:val="24"/>
        </w:rPr>
        <w:t>Nature Energy</w:t>
      </w:r>
      <w:r w:rsidRPr="00541BC8">
        <w:rPr>
          <w:rFonts w:ascii="Arial" w:hAnsi="Arial" w:cs="Arial"/>
          <w:sz w:val="24"/>
          <w:szCs w:val="24"/>
        </w:rPr>
        <w:t>, 7(9), pp. 682–694.</w:t>
      </w:r>
    </w:p>
    <w:p w14:paraId="0AA7D3E2"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Zhou, Y. and Li, J. (2021) 'Cobalt supply chain ethics in the DRC', </w:t>
      </w:r>
      <w:r w:rsidRPr="00541BC8">
        <w:rPr>
          <w:rFonts w:ascii="Arial" w:hAnsi="Arial" w:cs="Arial"/>
          <w:i/>
          <w:iCs/>
          <w:sz w:val="24"/>
          <w:szCs w:val="24"/>
        </w:rPr>
        <w:t>Journal of Business Ethics</w:t>
      </w:r>
      <w:r w:rsidRPr="00541BC8">
        <w:rPr>
          <w:rFonts w:ascii="Arial" w:hAnsi="Arial" w:cs="Arial"/>
          <w:sz w:val="24"/>
          <w:szCs w:val="24"/>
        </w:rPr>
        <w:t>, 174(3), pp. 589–605.</w:t>
      </w:r>
    </w:p>
    <w:p w14:paraId="63782AB7" w14:textId="77777777" w:rsidR="00541BC8" w:rsidRPr="00541BC8" w:rsidRDefault="00541BC8" w:rsidP="007B6730">
      <w:pPr>
        <w:numPr>
          <w:ilvl w:val="0"/>
          <w:numId w:val="9"/>
        </w:numPr>
        <w:spacing w:line="360" w:lineRule="auto"/>
        <w:rPr>
          <w:rFonts w:ascii="Arial" w:hAnsi="Arial" w:cs="Arial"/>
          <w:sz w:val="24"/>
          <w:szCs w:val="24"/>
        </w:rPr>
      </w:pPr>
      <w:proofErr w:type="spellStart"/>
      <w:r w:rsidRPr="00541BC8">
        <w:rPr>
          <w:rFonts w:ascii="Arial" w:hAnsi="Arial" w:cs="Arial"/>
          <w:sz w:val="24"/>
          <w:szCs w:val="24"/>
        </w:rPr>
        <w:t>BloombergNEF</w:t>
      </w:r>
      <w:proofErr w:type="spellEnd"/>
      <w:r w:rsidRPr="00541BC8">
        <w:rPr>
          <w:rFonts w:ascii="Arial" w:hAnsi="Arial" w:cs="Arial"/>
          <w:sz w:val="24"/>
          <w:szCs w:val="24"/>
        </w:rPr>
        <w:t> (2023) </w:t>
      </w:r>
      <w:r w:rsidRPr="00541BC8">
        <w:rPr>
          <w:rFonts w:ascii="Arial" w:hAnsi="Arial" w:cs="Arial"/>
          <w:i/>
          <w:iCs/>
          <w:sz w:val="24"/>
          <w:szCs w:val="24"/>
        </w:rPr>
        <w:t>Battery Price Survey 2023</w:t>
      </w:r>
      <w:r w:rsidRPr="00541BC8">
        <w:rPr>
          <w:rFonts w:ascii="Arial" w:hAnsi="Arial" w:cs="Arial"/>
          <w:sz w:val="24"/>
          <w:szCs w:val="24"/>
        </w:rPr>
        <w:t>. New York: Bloomberg Finance L.P.</w:t>
      </w:r>
    </w:p>
    <w:p w14:paraId="140B8F5E"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Deloitte (2023) </w:t>
      </w:r>
      <w:r w:rsidRPr="00541BC8">
        <w:rPr>
          <w:rFonts w:ascii="Arial" w:hAnsi="Arial" w:cs="Arial"/>
          <w:i/>
          <w:iCs/>
          <w:sz w:val="24"/>
          <w:szCs w:val="24"/>
        </w:rPr>
        <w:t>Global Automotive Consumer Study</w:t>
      </w:r>
      <w:r w:rsidRPr="00541BC8">
        <w:rPr>
          <w:rFonts w:ascii="Arial" w:hAnsi="Arial" w:cs="Arial"/>
          <w:sz w:val="24"/>
          <w:szCs w:val="24"/>
        </w:rPr>
        <w:t>. London: Deloitte Touche Tohmatsu.</w:t>
      </w:r>
    </w:p>
    <w:p w14:paraId="1A87B74F"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Friedman, T.L. (2022) </w:t>
      </w:r>
      <w:r w:rsidRPr="00541BC8">
        <w:rPr>
          <w:rFonts w:ascii="Arial" w:hAnsi="Arial" w:cs="Arial"/>
          <w:i/>
          <w:iCs/>
          <w:sz w:val="24"/>
          <w:szCs w:val="24"/>
        </w:rPr>
        <w:t xml:space="preserve">The Lithium Nexus: Geopolitics of </w:t>
      </w:r>
      <w:proofErr w:type="gramStart"/>
      <w:r w:rsidRPr="00541BC8">
        <w:rPr>
          <w:rFonts w:ascii="Arial" w:hAnsi="Arial" w:cs="Arial"/>
          <w:i/>
          <w:iCs/>
          <w:sz w:val="24"/>
          <w:szCs w:val="24"/>
        </w:rPr>
        <w:t>the Energy</w:t>
      </w:r>
      <w:proofErr w:type="gramEnd"/>
      <w:r w:rsidRPr="00541BC8">
        <w:rPr>
          <w:rFonts w:ascii="Arial" w:hAnsi="Arial" w:cs="Arial"/>
          <w:i/>
          <w:iCs/>
          <w:sz w:val="24"/>
          <w:szCs w:val="24"/>
        </w:rPr>
        <w:t xml:space="preserve"> Transition</w:t>
      </w:r>
      <w:r w:rsidRPr="00541BC8">
        <w:rPr>
          <w:rFonts w:ascii="Arial" w:hAnsi="Arial" w:cs="Arial"/>
          <w:sz w:val="24"/>
          <w:szCs w:val="24"/>
        </w:rPr>
        <w:t>. New York: Farrar, Straus and Giroux.</w:t>
      </w:r>
    </w:p>
    <w:p w14:paraId="639000FA"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Hua, J. et al. (2023) 'Hydrogen economy in ASEAN nations', </w:t>
      </w:r>
      <w:r w:rsidRPr="00541BC8">
        <w:rPr>
          <w:rFonts w:ascii="Arial" w:hAnsi="Arial" w:cs="Arial"/>
          <w:i/>
          <w:iCs/>
          <w:sz w:val="24"/>
          <w:szCs w:val="24"/>
        </w:rPr>
        <w:t>Energy Policy</w:t>
      </w:r>
      <w:r w:rsidRPr="00541BC8">
        <w:rPr>
          <w:rFonts w:ascii="Arial" w:hAnsi="Arial" w:cs="Arial"/>
          <w:sz w:val="24"/>
          <w:szCs w:val="24"/>
        </w:rPr>
        <w:t>, 181, 113721.</w:t>
      </w:r>
    </w:p>
    <w:p w14:paraId="26826843"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lastRenderedPageBreak/>
        <w:t>McKinsey &amp; Company (2023) </w:t>
      </w:r>
      <w:r w:rsidRPr="00541BC8">
        <w:rPr>
          <w:rFonts w:ascii="Arial" w:hAnsi="Arial" w:cs="Arial"/>
          <w:i/>
          <w:iCs/>
          <w:sz w:val="24"/>
          <w:szCs w:val="24"/>
        </w:rPr>
        <w:t>Mobility’s Future: An Investment Reality Check</w:t>
      </w:r>
      <w:r w:rsidRPr="00541BC8">
        <w:rPr>
          <w:rFonts w:ascii="Arial" w:hAnsi="Arial" w:cs="Arial"/>
          <w:sz w:val="24"/>
          <w:szCs w:val="24"/>
        </w:rPr>
        <w:t>. Available at: </w:t>
      </w:r>
      <w:hyperlink r:id="rId11" w:tgtFrame="_blank" w:history="1">
        <w:r w:rsidRPr="00541BC8">
          <w:rPr>
            <w:rStyle w:val="af2"/>
            <w:rFonts w:ascii="Arial" w:hAnsi="Arial" w:cs="Arial"/>
            <w:sz w:val="24"/>
            <w:szCs w:val="24"/>
          </w:rPr>
          <w:t>https://www.mckinsey.com</w:t>
        </w:r>
      </w:hyperlink>
      <w:r w:rsidRPr="00541BC8">
        <w:rPr>
          <w:rFonts w:ascii="Arial" w:hAnsi="Arial" w:cs="Arial"/>
          <w:sz w:val="24"/>
          <w:szCs w:val="24"/>
        </w:rPr>
        <w:t> (Accessed: 18 July 2024).</w:t>
      </w:r>
    </w:p>
    <w:p w14:paraId="73E6AC53"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Nikkei Asia (2023) 'Toyota’s Southeast Asia strategy', 15 June. Available at: </w:t>
      </w:r>
      <w:hyperlink r:id="rId12" w:tgtFrame="_blank" w:history="1">
        <w:r w:rsidRPr="00541BC8">
          <w:rPr>
            <w:rStyle w:val="af2"/>
            <w:rFonts w:ascii="Arial" w:hAnsi="Arial" w:cs="Arial"/>
            <w:sz w:val="24"/>
            <w:szCs w:val="24"/>
          </w:rPr>
          <w:t>https://asia.nikkei.com</w:t>
        </w:r>
      </w:hyperlink>
      <w:r w:rsidRPr="00541BC8">
        <w:rPr>
          <w:rFonts w:ascii="Arial" w:hAnsi="Arial" w:cs="Arial"/>
          <w:sz w:val="24"/>
          <w:szCs w:val="24"/>
        </w:rPr>
        <w:t> (Accessed: 19 July 2024).</w:t>
      </w:r>
    </w:p>
    <w:p w14:paraId="736DF21F"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Reuters (2024) 'EU carbon border tax implications for automakers', 10 January. Available at: </w:t>
      </w:r>
      <w:hyperlink r:id="rId13" w:tgtFrame="_blank" w:history="1">
        <w:r w:rsidRPr="00541BC8">
          <w:rPr>
            <w:rStyle w:val="af2"/>
            <w:rFonts w:ascii="Arial" w:hAnsi="Arial" w:cs="Arial"/>
            <w:sz w:val="24"/>
            <w:szCs w:val="24"/>
          </w:rPr>
          <w:t>https://www.reuters.com</w:t>
        </w:r>
      </w:hyperlink>
      <w:r w:rsidRPr="00541BC8">
        <w:rPr>
          <w:rFonts w:ascii="Arial" w:hAnsi="Arial" w:cs="Arial"/>
          <w:sz w:val="24"/>
          <w:szCs w:val="24"/>
        </w:rPr>
        <w:t> (Accessed: 20 July 2024).</w:t>
      </w:r>
    </w:p>
    <w:p w14:paraId="5BEE86C5" w14:textId="77777777" w:rsidR="00541BC8" w:rsidRPr="00541BC8" w:rsidRDefault="00541BC8" w:rsidP="007B6730">
      <w:pPr>
        <w:numPr>
          <w:ilvl w:val="0"/>
          <w:numId w:val="9"/>
        </w:numPr>
        <w:spacing w:line="360" w:lineRule="auto"/>
        <w:rPr>
          <w:rFonts w:ascii="Arial" w:hAnsi="Arial" w:cs="Arial"/>
          <w:sz w:val="24"/>
          <w:szCs w:val="24"/>
        </w:rPr>
      </w:pPr>
      <w:r w:rsidRPr="00541BC8">
        <w:rPr>
          <w:rFonts w:ascii="Arial" w:hAnsi="Arial" w:cs="Arial"/>
          <w:sz w:val="24"/>
          <w:szCs w:val="24"/>
        </w:rPr>
        <w:t>WTO (2023) </w:t>
      </w:r>
      <w:r w:rsidRPr="00541BC8">
        <w:rPr>
          <w:rFonts w:ascii="Arial" w:hAnsi="Arial" w:cs="Arial"/>
          <w:i/>
          <w:iCs/>
          <w:sz w:val="24"/>
          <w:szCs w:val="24"/>
        </w:rPr>
        <w:t>Global Trade Outlook</w:t>
      </w:r>
      <w:r w:rsidRPr="00541BC8">
        <w:rPr>
          <w:rFonts w:ascii="Arial" w:hAnsi="Arial" w:cs="Arial"/>
          <w:sz w:val="24"/>
          <w:szCs w:val="24"/>
        </w:rPr>
        <w:t>. Geneva: World Trade Organization Publications.</w:t>
      </w:r>
    </w:p>
    <w:p w14:paraId="278E76E0" w14:textId="77777777" w:rsidR="00494904" w:rsidRPr="00494904" w:rsidRDefault="00494904" w:rsidP="00494904">
      <w:pPr>
        <w:pStyle w:val="af4"/>
        <w:numPr>
          <w:ilvl w:val="0"/>
          <w:numId w:val="9"/>
        </w:numPr>
        <w:spacing w:before="0" w:beforeAutospacing="0" w:after="0" w:afterAutospacing="0" w:line="360" w:lineRule="auto"/>
        <w:rPr>
          <w:rFonts w:ascii="Arial" w:hAnsi="Arial" w:cs="Arial"/>
          <w:color w:val="404040"/>
        </w:rPr>
      </w:pPr>
      <w:r w:rsidRPr="00494904">
        <w:rPr>
          <w:rStyle w:val="af5"/>
          <w:rFonts w:ascii="Arial" w:hAnsi="Arial" w:cs="Arial"/>
          <w:b w:val="0"/>
          <w:bCs w:val="0"/>
          <w:color w:val="404040"/>
        </w:rPr>
        <w:t>International Council on Clean Transportation</w:t>
      </w:r>
      <w:r w:rsidRPr="00494904">
        <w:rPr>
          <w:rFonts w:ascii="Arial" w:hAnsi="Arial" w:cs="Arial"/>
          <w:color w:val="404040"/>
        </w:rPr>
        <w:t> (2023) </w:t>
      </w:r>
      <w:r w:rsidRPr="00494904">
        <w:rPr>
          <w:rStyle w:val="af6"/>
          <w:rFonts w:ascii="Arial" w:hAnsi="Arial" w:cs="Arial"/>
          <w:color w:val="404040"/>
        </w:rPr>
        <w:t>Global Automaker Ranking 2023: Decarbonization Progress</w:t>
      </w:r>
      <w:r w:rsidRPr="00494904">
        <w:rPr>
          <w:rFonts w:ascii="Arial" w:hAnsi="Arial" w:cs="Arial"/>
          <w:color w:val="404040"/>
        </w:rPr>
        <w:t>. Washington, DC: ICCT. Available at: </w:t>
      </w:r>
      <w:hyperlink r:id="rId14" w:tgtFrame="_blank" w:history="1">
        <w:r w:rsidRPr="00494904">
          <w:rPr>
            <w:rStyle w:val="af2"/>
            <w:rFonts w:ascii="Arial" w:hAnsi="Arial" w:cs="Arial"/>
          </w:rPr>
          <w:t>https://theicct.org</w:t>
        </w:r>
      </w:hyperlink>
      <w:r w:rsidRPr="00494904">
        <w:rPr>
          <w:rFonts w:ascii="Arial" w:hAnsi="Arial" w:cs="Arial"/>
          <w:color w:val="404040"/>
        </w:rPr>
        <w:t> (Accessed: 15 July 2024).</w:t>
      </w:r>
    </w:p>
    <w:p w14:paraId="1F732F5E" w14:textId="77777777" w:rsidR="00494904" w:rsidRPr="00494904" w:rsidRDefault="00494904" w:rsidP="00494904">
      <w:pPr>
        <w:pStyle w:val="af4"/>
        <w:numPr>
          <w:ilvl w:val="0"/>
          <w:numId w:val="9"/>
        </w:numPr>
        <w:spacing w:before="0" w:beforeAutospacing="0" w:after="0" w:afterAutospacing="0" w:line="360" w:lineRule="auto"/>
        <w:rPr>
          <w:rFonts w:ascii="Arial" w:hAnsi="Arial" w:cs="Arial"/>
          <w:color w:val="404040"/>
        </w:rPr>
      </w:pPr>
      <w:r w:rsidRPr="00494904">
        <w:rPr>
          <w:rStyle w:val="af5"/>
          <w:rFonts w:ascii="Arial" w:hAnsi="Arial" w:cs="Arial"/>
          <w:b w:val="0"/>
          <w:bCs w:val="0"/>
          <w:color w:val="404040"/>
        </w:rPr>
        <w:t>McKinsey &amp; Company</w:t>
      </w:r>
      <w:r w:rsidRPr="00494904">
        <w:rPr>
          <w:rFonts w:ascii="Arial" w:hAnsi="Arial" w:cs="Arial"/>
          <w:color w:val="404040"/>
        </w:rPr>
        <w:t> (2024) </w:t>
      </w:r>
      <w:r w:rsidRPr="00494904">
        <w:rPr>
          <w:rStyle w:val="af6"/>
          <w:rFonts w:ascii="Arial" w:hAnsi="Arial" w:cs="Arial"/>
          <w:color w:val="404040"/>
        </w:rPr>
        <w:t>Battery Recycling Economics: Scaling Circular Supply Chains</w:t>
      </w:r>
      <w:r w:rsidRPr="00494904">
        <w:rPr>
          <w:rFonts w:ascii="Arial" w:hAnsi="Arial" w:cs="Arial"/>
          <w:color w:val="404040"/>
        </w:rPr>
        <w:t>. New York: McKinsey Insights.</w:t>
      </w:r>
    </w:p>
    <w:p w14:paraId="20ECE146" w14:textId="77777777" w:rsidR="00494904" w:rsidRPr="00494904" w:rsidRDefault="00494904" w:rsidP="00494904">
      <w:pPr>
        <w:pStyle w:val="af4"/>
        <w:numPr>
          <w:ilvl w:val="0"/>
          <w:numId w:val="9"/>
        </w:numPr>
        <w:spacing w:before="0" w:beforeAutospacing="0" w:after="0" w:afterAutospacing="0" w:line="360" w:lineRule="auto"/>
        <w:rPr>
          <w:rFonts w:ascii="Arial" w:hAnsi="Arial" w:cs="Arial"/>
          <w:color w:val="404040"/>
        </w:rPr>
      </w:pPr>
      <w:proofErr w:type="spellStart"/>
      <w:r w:rsidRPr="00494904">
        <w:rPr>
          <w:rStyle w:val="af5"/>
          <w:rFonts w:ascii="Arial" w:hAnsi="Arial" w:cs="Arial"/>
          <w:b w:val="0"/>
          <w:bCs w:val="0"/>
          <w:color w:val="404040"/>
        </w:rPr>
        <w:t>Sovacool</w:t>
      </w:r>
      <w:proofErr w:type="spellEnd"/>
      <w:r w:rsidRPr="00494904">
        <w:rPr>
          <w:rStyle w:val="af5"/>
          <w:rFonts w:ascii="Arial" w:hAnsi="Arial" w:cs="Arial"/>
          <w:b w:val="0"/>
          <w:bCs w:val="0"/>
          <w:color w:val="404040"/>
        </w:rPr>
        <w:t>, B.K. &amp; Griffiths, S.</w:t>
      </w:r>
      <w:r w:rsidRPr="00494904">
        <w:rPr>
          <w:rFonts w:ascii="Arial" w:hAnsi="Arial" w:cs="Arial"/>
          <w:b/>
          <w:bCs/>
          <w:color w:val="404040"/>
        </w:rPr>
        <w:t> </w:t>
      </w:r>
      <w:r w:rsidRPr="00494904">
        <w:rPr>
          <w:rFonts w:ascii="Arial" w:hAnsi="Arial" w:cs="Arial"/>
          <w:color w:val="404040"/>
        </w:rPr>
        <w:t>(2023) ‘The dark side of critical minerals: Human rights in cobalt supply chains’, </w:t>
      </w:r>
      <w:r w:rsidRPr="00494904">
        <w:rPr>
          <w:rStyle w:val="af6"/>
          <w:rFonts w:ascii="Arial" w:hAnsi="Arial" w:cs="Arial"/>
          <w:color w:val="404040"/>
        </w:rPr>
        <w:t>Energy Research &amp; Social Science</w:t>
      </w:r>
      <w:r w:rsidRPr="00494904">
        <w:rPr>
          <w:rFonts w:ascii="Arial" w:hAnsi="Arial" w:cs="Arial"/>
          <w:color w:val="404040"/>
        </w:rPr>
        <w:t>, 102(3), pp. 103–115.</w:t>
      </w:r>
    </w:p>
    <w:p w14:paraId="3A8AEFC7" w14:textId="77777777" w:rsidR="00494904" w:rsidRPr="00494904" w:rsidRDefault="00494904" w:rsidP="00494904">
      <w:pPr>
        <w:pStyle w:val="af4"/>
        <w:numPr>
          <w:ilvl w:val="0"/>
          <w:numId w:val="9"/>
        </w:numPr>
        <w:spacing w:before="0" w:beforeAutospacing="0" w:after="0" w:afterAutospacing="0" w:line="360" w:lineRule="auto"/>
        <w:rPr>
          <w:rFonts w:ascii="Arial" w:hAnsi="Arial" w:cs="Arial"/>
          <w:color w:val="404040"/>
        </w:rPr>
      </w:pPr>
      <w:r w:rsidRPr="00494904">
        <w:rPr>
          <w:rStyle w:val="af5"/>
          <w:rFonts w:ascii="Arial" w:hAnsi="Arial" w:cs="Arial"/>
          <w:b w:val="0"/>
          <w:bCs w:val="0"/>
          <w:color w:val="404040"/>
        </w:rPr>
        <w:t>International Renewable Energy Agency</w:t>
      </w:r>
      <w:r w:rsidRPr="00494904">
        <w:rPr>
          <w:rFonts w:ascii="Arial" w:hAnsi="Arial" w:cs="Arial"/>
          <w:color w:val="404040"/>
        </w:rPr>
        <w:t> (2024) </w:t>
      </w:r>
      <w:r w:rsidRPr="00494904">
        <w:rPr>
          <w:rStyle w:val="af6"/>
          <w:rFonts w:ascii="Arial" w:hAnsi="Arial" w:cs="Arial"/>
          <w:color w:val="404040"/>
        </w:rPr>
        <w:t>Hydrogen: Tracking Progress in Commercialization</w:t>
      </w:r>
      <w:r w:rsidRPr="00494904">
        <w:rPr>
          <w:rFonts w:ascii="Arial" w:hAnsi="Arial" w:cs="Arial"/>
          <w:color w:val="404040"/>
        </w:rPr>
        <w:t>. Abu Dhabi: IRENA Publications.</w:t>
      </w:r>
    </w:p>
    <w:p w14:paraId="7F1D8BB7" w14:textId="77777777" w:rsidR="00494904" w:rsidRPr="00494904" w:rsidRDefault="00494904" w:rsidP="00494904">
      <w:pPr>
        <w:pStyle w:val="af4"/>
        <w:numPr>
          <w:ilvl w:val="0"/>
          <w:numId w:val="9"/>
        </w:numPr>
        <w:spacing w:before="0" w:beforeAutospacing="0" w:after="0" w:afterAutospacing="0" w:line="360" w:lineRule="auto"/>
        <w:rPr>
          <w:rFonts w:ascii="Arial" w:hAnsi="Arial" w:cs="Arial"/>
          <w:color w:val="404040"/>
        </w:rPr>
      </w:pPr>
      <w:r w:rsidRPr="00494904">
        <w:rPr>
          <w:rStyle w:val="af5"/>
          <w:rFonts w:ascii="Arial" w:hAnsi="Arial" w:cs="Arial"/>
          <w:b w:val="0"/>
          <w:bCs w:val="0"/>
          <w:color w:val="404040"/>
        </w:rPr>
        <w:t>Dicken, P.</w:t>
      </w:r>
      <w:r w:rsidRPr="00494904">
        <w:rPr>
          <w:rFonts w:ascii="Arial" w:hAnsi="Arial" w:cs="Arial"/>
          <w:b/>
          <w:bCs/>
          <w:color w:val="404040"/>
        </w:rPr>
        <w:t> </w:t>
      </w:r>
      <w:r w:rsidRPr="00494904">
        <w:rPr>
          <w:rFonts w:ascii="Arial" w:hAnsi="Arial" w:cs="Arial"/>
          <w:color w:val="404040"/>
        </w:rPr>
        <w:t>(2023) </w:t>
      </w:r>
      <w:r w:rsidRPr="00494904">
        <w:rPr>
          <w:rStyle w:val="af6"/>
          <w:rFonts w:ascii="Arial" w:hAnsi="Arial" w:cs="Arial"/>
          <w:color w:val="404040"/>
        </w:rPr>
        <w:t>Global Shift: Reshaping Economic Geography in the Age of Decarbonization</w:t>
      </w:r>
      <w:r w:rsidRPr="00494904">
        <w:rPr>
          <w:rFonts w:ascii="Arial" w:hAnsi="Arial" w:cs="Arial"/>
          <w:color w:val="404040"/>
        </w:rPr>
        <w:t xml:space="preserve">. 8th </w:t>
      </w:r>
      <w:proofErr w:type="spellStart"/>
      <w:proofErr w:type="gramStart"/>
      <w:r w:rsidRPr="00494904">
        <w:rPr>
          <w:rFonts w:ascii="Arial" w:hAnsi="Arial" w:cs="Arial"/>
          <w:color w:val="404040"/>
        </w:rPr>
        <w:t>edn</w:t>
      </w:r>
      <w:proofErr w:type="spellEnd"/>
      <w:proofErr w:type="gramEnd"/>
      <w:r w:rsidRPr="00494904">
        <w:rPr>
          <w:rFonts w:ascii="Arial" w:hAnsi="Arial" w:cs="Arial"/>
          <w:color w:val="404040"/>
        </w:rPr>
        <w:t>. London: Sage Publications.</w:t>
      </w:r>
    </w:p>
    <w:p w14:paraId="2B85F74C" w14:textId="77777777" w:rsidR="00494904" w:rsidRPr="00494904" w:rsidRDefault="00494904" w:rsidP="00494904">
      <w:pPr>
        <w:pStyle w:val="af4"/>
        <w:numPr>
          <w:ilvl w:val="0"/>
          <w:numId w:val="9"/>
        </w:numPr>
        <w:spacing w:before="0" w:beforeAutospacing="0" w:after="0" w:afterAutospacing="0" w:line="360" w:lineRule="auto"/>
        <w:rPr>
          <w:rFonts w:ascii="Arial" w:hAnsi="Arial" w:cs="Arial"/>
          <w:color w:val="404040"/>
        </w:rPr>
      </w:pPr>
      <w:r w:rsidRPr="00494904">
        <w:rPr>
          <w:rStyle w:val="af5"/>
          <w:rFonts w:ascii="Arial" w:hAnsi="Arial" w:cs="Arial"/>
          <w:b w:val="0"/>
          <w:bCs w:val="0"/>
          <w:color w:val="404040"/>
        </w:rPr>
        <w:t>BlackRock Investment Institute</w:t>
      </w:r>
      <w:r w:rsidRPr="00494904">
        <w:rPr>
          <w:rFonts w:ascii="Arial" w:hAnsi="Arial" w:cs="Arial"/>
          <w:color w:val="404040"/>
        </w:rPr>
        <w:t> (2024) </w:t>
      </w:r>
      <w:r w:rsidRPr="00494904">
        <w:rPr>
          <w:rStyle w:val="af6"/>
          <w:rFonts w:ascii="Arial" w:hAnsi="Arial" w:cs="Arial"/>
          <w:color w:val="404040"/>
        </w:rPr>
        <w:t>ESG 2.0: From Disclosure to Transformation</w:t>
      </w:r>
      <w:r w:rsidRPr="00494904">
        <w:rPr>
          <w:rFonts w:ascii="Arial" w:hAnsi="Arial" w:cs="Arial"/>
          <w:color w:val="404040"/>
        </w:rPr>
        <w:t>. Available at: </w:t>
      </w:r>
      <w:hyperlink r:id="rId15" w:tgtFrame="_blank" w:history="1">
        <w:r w:rsidRPr="00494904">
          <w:rPr>
            <w:rStyle w:val="af2"/>
            <w:rFonts w:ascii="Arial" w:hAnsi="Arial" w:cs="Arial"/>
          </w:rPr>
          <w:t>https://www.blackrock.com</w:t>
        </w:r>
      </w:hyperlink>
      <w:r w:rsidRPr="00494904">
        <w:rPr>
          <w:rFonts w:ascii="Arial" w:hAnsi="Arial" w:cs="Arial"/>
          <w:color w:val="404040"/>
        </w:rPr>
        <w:t> (Accessed: 18 July 2024).</w:t>
      </w:r>
    </w:p>
    <w:p w14:paraId="4D6CF65A" w14:textId="77777777" w:rsidR="00494904" w:rsidRPr="00494904" w:rsidRDefault="00494904" w:rsidP="00494904">
      <w:pPr>
        <w:pStyle w:val="af4"/>
        <w:numPr>
          <w:ilvl w:val="0"/>
          <w:numId w:val="9"/>
        </w:numPr>
        <w:spacing w:before="0" w:beforeAutospacing="0" w:after="0" w:afterAutospacing="0" w:line="360" w:lineRule="auto"/>
        <w:rPr>
          <w:rFonts w:ascii="Arial" w:hAnsi="Arial" w:cs="Arial"/>
          <w:color w:val="404040"/>
        </w:rPr>
      </w:pPr>
      <w:r w:rsidRPr="00494904">
        <w:rPr>
          <w:rStyle w:val="af5"/>
          <w:rFonts w:ascii="Arial" w:hAnsi="Arial" w:cs="Arial"/>
          <w:b w:val="0"/>
          <w:bCs w:val="0"/>
          <w:color w:val="404040"/>
          <w:lang w:val="fr-FR"/>
        </w:rPr>
        <w:t>Fagnan, D.E. et al.</w:t>
      </w:r>
      <w:r w:rsidRPr="00494904">
        <w:rPr>
          <w:rFonts w:ascii="Arial" w:hAnsi="Arial" w:cs="Arial"/>
          <w:color w:val="404040"/>
          <w:lang w:val="fr-FR"/>
        </w:rPr>
        <w:t> </w:t>
      </w:r>
      <w:r w:rsidRPr="00494904">
        <w:rPr>
          <w:rFonts w:ascii="Arial" w:hAnsi="Arial" w:cs="Arial"/>
          <w:color w:val="404040"/>
        </w:rPr>
        <w:t>(2022) ‘Autonomous vehicle safety: Lessons from the Cruise and Waymo experience’, </w:t>
      </w:r>
      <w:r w:rsidRPr="00494904">
        <w:rPr>
          <w:rStyle w:val="af6"/>
          <w:rFonts w:ascii="Arial" w:hAnsi="Arial" w:cs="Arial"/>
          <w:color w:val="404040"/>
        </w:rPr>
        <w:t>Transportation Research Part A: Policy and Practice</w:t>
      </w:r>
      <w:r w:rsidRPr="00494904">
        <w:rPr>
          <w:rFonts w:ascii="Arial" w:hAnsi="Arial" w:cs="Arial"/>
          <w:color w:val="404040"/>
        </w:rPr>
        <w:t>, 165(8), pp. 221–237.</w:t>
      </w:r>
    </w:p>
    <w:p w14:paraId="0B231F86" w14:textId="77777777" w:rsidR="00EC1A9A" w:rsidRPr="00494904" w:rsidRDefault="00EC1A9A" w:rsidP="00494904">
      <w:pPr>
        <w:spacing w:line="360" w:lineRule="auto"/>
        <w:rPr>
          <w:rFonts w:ascii="Arial" w:hAnsi="Arial" w:cs="Arial"/>
        </w:rPr>
      </w:pPr>
    </w:p>
    <w:sectPr w:rsidR="00EC1A9A" w:rsidRPr="00494904">
      <w:footerReference w:type="defaul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74307" w14:textId="77777777" w:rsidR="00AB4609" w:rsidRDefault="00AB4609" w:rsidP="000C2A64">
      <w:pPr>
        <w:rPr>
          <w:rFonts w:hint="eastAsia"/>
        </w:rPr>
      </w:pPr>
      <w:r>
        <w:separator/>
      </w:r>
    </w:p>
  </w:endnote>
  <w:endnote w:type="continuationSeparator" w:id="0">
    <w:p w14:paraId="2EEBA105" w14:textId="77777777" w:rsidR="00AB4609" w:rsidRDefault="00AB4609" w:rsidP="000C2A6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5647055"/>
      <w:docPartObj>
        <w:docPartGallery w:val="Page Numbers (Bottom of Page)"/>
        <w:docPartUnique/>
      </w:docPartObj>
    </w:sdtPr>
    <w:sdtContent>
      <w:p w14:paraId="63019DA3" w14:textId="5F3CAD43" w:rsidR="00494904" w:rsidRDefault="00494904">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36E936D3" w14:textId="77777777" w:rsidR="00494904" w:rsidRDefault="00494904">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A9C01" w14:textId="77777777" w:rsidR="00AB4609" w:rsidRDefault="00AB4609" w:rsidP="000C2A64">
      <w:pPr>
        <w:rPr>
          <w:rFonts w:hint="eastAsia"/>
        </w:rPr>
      </w:pPr>
      <w:r>
        <w:separator/>
      </w:r>
    </w:p>
  </w:footnote>
  <w:footnote w:type="continuationSeparator" w:id="0">
    <w:p w14:paraId="420DF95B" w14:textId="77777777" w:rsidR="00AB4609" w:rsidRDefault="00AB4609" w:rsidP="000C2A64">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0E11"/>
    <w:multiLevelType w:val="multilevel"/>
    <w:tmpl w:val="A8DA2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3686C"/>
    <w:multiLevelType w:val="multilevel"/>
    <w:tmpl w:val="787CB7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4D42EE"/>
    <w:multiLevelType w:val="multilevel"/>
    <w:tmpl w:val="CB0A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3448F2"/>
    <w:multiLevelType w:val="multilevel"/>
    <w:tmpl w:val="5634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9606C1"/>
    <w:multiLevelType w:val="multilevel"/>
    <w:tmpl w:val="B524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972B22"/>
    <w:multiLevelType w:val="multilevel"/>
    <w:tmpl w:val="C098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E709DB"/>
    <w:multiLevelType w:val="multilevel"/>
    <w:tmpl w:val="8B8E5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690EDF"/>
    <w:multiLevelType w:val="multilevel"/>
    <w:tmpl w:val="44DC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FC02DF"/>
    <w:multiLevelType w:val="multilevel"/>
    <w:tmpl w:val="AD2C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993733"/>
    <w:multiLevelType w:val="multilevel"/>
    <w:tmpl w:val="E270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0541735">
    <w:abstractNumId w:val="8"/>
  </w:num>
  <w:num w:numId="2" w16cid:durableId="2113819076">
    <w:abstractNumId w:val="9"/>
  </w:num>
  <w:num w:numId="3" w16cid:durableId="1285309284">
    <w:abstractNumId w:val="0"/>
  </w:num>
  <w:num w:numId="4" w16cid:durableId="1638485202">
    <w:abstractNumId w:val="4"/>
  </w:num>
  <w:num w:numId="5" w16cid:durableId="466630061">
    <w:abstractNumId w:val="6"/>
  </w:num>
  <w:num w:numId="6" w16cid:durableId="387342952">
    <w:abstractNumId w:val="7"/>
  </w:num>
  <w:num w:numId="7" w16cid:durableId="1061708002">
    <w:abstractNumId w:val="2"/>
  </w:num>
  <w:num w:numId="8" w16cid:durableId="959609571">
    <w:abstractNumId w:val="3"/>
  </w:num>
  <w:num w:numId="9" w16cid:durableId="279528540">
    <w:abstractNumId w:val="1"/>
  </w:num>
  <w:num w:numId="10" w16cid:durableId="1432753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F81"/>
    <w:rsid w:val="000A419A"/>
    <w:rsid w:val="000C2A64"/>
    <w:rsid w:val="000E22D4"/>
    <w:rsid w:val="001448D8"/>
    <w:rsid w:val="00270B27"/>
    <w:rsid w:val="002B5ADB"/>
    <w:rsid w:val="0031719E"/>
    <w:rsid w:val="003D0FFE"/>
    <w:rsid w:val="00480CE9"/>
    <w:rsid w:val="00494904"/>
    <w:rsid w:val="00496D0C"/>
    <w:rsid w:val="0051590C"/>
    <w:rsid w:val="00541BC8"/>
    <w:rsid w:val="005D54CA"/>
    <w:rsid w:val="00622FFE"/>
    <w:rsid w:val="00784FFE"/>
    <w:rsid w:val="007B6730"/>
    <w:rsid w:val="00813EAE"/>
    <w:rsid w:val="008C28AD"/>
    <w:rsid w:val="00911023"/>
    <w:rsid w:val="00991D79"/>
    <w:rsid w:val="009A66BB"/>
    <w:rsid w:val="009C3CCF"/>
    <w:rsid w:val="00A526EA"/>
    <w:rsid w:val="00AB4609"/>
    <w:rsid w:val="00AC0BBC"/>
    <w:rsid w:val="00AD3262"/>
    <w:rsid w:val="00B17BC4"/>
    <w:rsid w:val="00B3709E"/>
    <w:rsid w:val="00B5441F"/>
    <w:rsid w:val="00C02880"/>
    <w:rsid w:val="00C64791"/>
    <w:rsid w:val="00D2397D"/>
    <w:rsid w:val="00D46F81"/>
    <w:rsid w:val="00DA3C9E"/>
    <w:rsid w:val="00E7747E"/>
    <w:rsid w:val="00EC1A9A"/>
    <w:rsid w:val="00F12D6B"/>
    <w:rsid w:val="00FA45C2"/>
    <w:rsid w:val="00FB16D6"/>
    <w:rsid w:val="00FD2F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65ACC0"/>
  <w15:chartTrackingRefBased/>
  <w15:docId w15:val="{9FC4038D-4EAF-46DD-B5EB-30DC5F2EB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46F8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D46F8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D46F8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D46F8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D46F81"/>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D46F81"/>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D46F8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46F8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D46F8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46F8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D46F8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D46F8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D46F81"/>
    <w:rPr>
      <w:rFonts w:cstheme="majorBidi"/>
      <w:color w:val="0F4761" w:themeColor="accent1" w:themeShade="BF"/>
      <w:sz w:val="28"/>
      <w:szCs w:val="28"/>
    </w:rPr>
  </w:style>
  <w:style w:type="character" w:customStyle="1" w:styleId="50">
    <w:name w:val="标题 5 字符"/>
    <w:basedOn w:val="a0"/>
    <w:link w:val="5"/>
    <w:uiPriority w:val="9"/>
    <w:semiHidden/>
    <w:rsid w:val="00D46F81"/>
    <w:rPr>
      <w:rFonts w:cstheme="majorBidi"/>
      <w:color w:val="0F4761" w:themeColor="accent1" w:themeShade="BF"/>
      <w:sz w:val="24"/>
      <w:szCs w:val="24"/>
    </w:rPr>
  </w:style>
  <w:style w:type="character" w:customStyle="1" w:styleId="60">
    <w:name w:val="标题 6 字符"/>
    <w:basedOn w:val="a0"/>
    <w:link w:val="6"/>
    <w:uiPriority w:val="9"/>
    <w:semiHidden/>
    <w:rsid w:val="00D46F81"/>
    <w:rPr>
      <w:rFonts w:cstheme="majorBidi"/>
      <w:b/>
      <w:bCs/>
      <w:color w:val="0F4761" w:themeColor="accent1" w:themeShade="BF"/>
    </w:rPr>
  </w:style>
  <w:style w:type="character" w:customStyle="1" w:styleId="70">
    <w:name w:val="标题 7 字符"/>
    <w:basedOn w:val="a0"/>
    <w:link w:val="7"/>
    <w:uiPriority w:val="9"/>
    <w:semiHidden/>
    <w:rsid w:val="00D46F81"/>
    <w:rPr>
      <w:rFonts w:cstheme="majorBidi"/>
      <w:b/>
      <w:bCs/>
      <w:color w:val="595959" w:themeColor="text1" w:themeTint="A6"/>
    </w:rPr>
  </w:style>
  <w:style w:type="character" w:customStyle="1" w:styleId="80">
    <w:name w:val="标题 8 字符"/>
    <w:basedOn w:val="a0"/>
    <w:link w:val="8"/>
    <w:uiPriority w:val="9"/>
    <w:semiHidden/>
    <w:rsid w:val="00D46F81"/>
    <w:rPr>
      <w:rFonts w:cstheme="majorBidi"/>
      <w:color w:val="595959" w:themeColor="text1" w:themeTint="A6"/>
    </w:rPr>
  </w:style>
  <w:style w:type="character" w:customStyle="1" w:styleId="90">
    <w:name w:val="标题 9 字符"/>
    <w:basedOn w:val="a0"/>
    <w:link w:val="9"/>
    <w:uiPriority w:val="9"/>
    <w:semiHidden/>
    <w:rsid w:val="00D46F81"/>
    <w:rPr>
      <w:rFonts w:eastAsiaTheme="majorEastAsia" w:cstheme="majorBidi"/>
      <w:color w:val="595959" w:themeColor="text1" w:themeTint="A6"/>
    </w:rPr>
  </w:style>
  <w:style w:type="paragraph" w:styleId="a3">
    <w:name w:val="Title"/>
    <w:basedOn w:val="a"/>
    <w:next w:val="a"/>
    <w:link w:val="a4"/>
    <w:uiPriority w:val="10"/>
    <w:qFormat/>
    <w:rsid w:val="00D46F8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46F8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46F8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46F8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46F81"/>
    <w:pPr>
      <w:spacing w:before="160" w:after="160"/>
      <w:jc w:val="center"/>
    </w:pPr>
    <w:rPr>
      <w:i/>
      <w:iCs/>
      <w:color w:val="404040" w:themeColor="text1" w:themeTint="BF"/>
    </w:rPr>
  </w:style>
  <w:style w:type="character" w:customStyle="1" w:styleId="a8">
    <w:name w:val="引用 字符"/>
    <w:basedOn w:val="a0"/>
    <w:link w:val="a7"/>
    <w:uiPriority w:val="29"/>
    <w:rsid w:val="00D46F81"/>
    <w:rPr>
      <w:i/>
      <w:iCs/>
      <w:color w:val="404040" w:themeColor="text1" w:themeTint="BF"/>
    </w:rPr>
  </w:style>
  <w:style w:type="paragraph" w:styleId="a9">
    <w:name w:val="List Paragraph"/>
    <w:basedOn w:val="a"/>
    <w:uiPriority w:val="34"/>
    <w:qFormat/>
    <w:rsid w:val="00D46F81"/>
    <w:pPr>
      <w:ind w:left="720"/>
      <w:contextualSpacing/>
    </w:pPr>
  </w:style>
  <w:style w:type="character" w:styleId="aa">
    <w:name w:val="Intense Emphasis"/>
    <w:basedOn w:val="a0"/>
    <w:uiPriority w:val="21"/>
    <w:qFormat/>
    <w:rsid w:val="00D46F81"/>
    <w:rPr>
      <w:i/>
      <w:iCs/>
      <w:color w:val="0F4761" w:themeColor="accent1" w:themeShade="BF"/>
    </w:rPr>
  </w:style>
  <w:style w:type="paragraph" w:styleId="ab">
    <w:name w:val="Intense Quote"/>
    <w:basedOn w:val="a"/>
    <w:next w:val="a"/>
    <w:link w:val="ac"/>
    <w:uiPriority w:val="30"/>
    <w:qFormat/>
    <w:rsid w:val="00D46F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D46F81"/>
    <w:rPr>
      <w:i/>
      <w:iCs/>
      <w:color w:val="0F4761" w:themeColor="accent1" w:themeShade="BF"/>
    </w:rPr>
  </w:style>
  <w:style w:type="character" w:styleId="ad">
    <w:name w:val="Intense Reference"/>
    <w:basedOn w:val="a0"/>
    <w:uiPriority w:val="32"/>
    <w:qFormat/>
    <w:rsid w:val="00D46F81"/>
    <w:rPr>
      <w:b/>
      <w:bCs/>
      <w:smallCaps/>
      <w:color w:val="0F4761" w:themeColor="accent1" w:themeShade="BF"/>
      <w:spacing w:val="5"/>
    </w:rPr>
  </w:style>
  <w:style w:type="paragraph" w:styleId="ae">
    <w:name w:val="header"/>
    <w:basedOn w:val="a"/>
    <w:link w:val="af"/>
    <w:uiPriority w:val="99"/>
    <w:unhideWhenUsed/>
    <w:rsid w:val="000C2A64"/>
    <w:pPr>
      <w:tabs>
        <w:tab w:val="center" w:pos="4153"/>
        <w:tab w:val="right" w:pos="8306"/>
      </w:tabs>
      <w:snapToGrid w:val="0"/>
      <w:jc w:val="center"/>
    </w:pPr>
    <w:rPr>
      <w:sz w:val="18"/>
      <w:szCs w:val="18"/>
    </w:rPr>
  </w:style>
  <w:style w:type="character" w:customStyle="1" w:styleId="af">
    <w:name w:val="页眉 字符"/>
    <w:basedOn w:val="a0"/>
    <w:link w:val="ae"/>
    <w:uiPriority w:val="99"/>
    <w:rsid w:val="000C2A64"/>
    <w:rPr>
      <w:sz w:val="18"/>
      <w:szCs w:val="18"/>
    </w:rPr>
  </w:style>
  <w:style w:type="paragraph" w:styleId="af0">
    <w:name w:val="footer"/>
    <w:basedOn w:val="a"/>
    <w:link w:val="af1"/>
    <w:uiPriority w:val="99"/>
    <w:unhideWhenUsed/>
    <w:rsid w:val="000C2A64"/>
    <w:pPr>
      <w:tabs>
        <w:tab w:val="center" w:pos="4153"/>
        <w:tab w:val="right" w:pos="8306"/>
      </w:tabs>
      <w:snapToGrid w:val="0"/>
      <w:jc w:val="left"/>
    </w:pPr>
    <w:rPr>
      <w:sz w:val="18"/>
      <w:szCs w:val="18"/>
    </w:rPr>
  </w:style>
  <w:style w:type="character" w:customStyle="1" w:styleId="af1">
    <w:name w:val="页脚 字符"/>
    <w:basedOn w:val="a0"/>
    <w:link w:val="af0"/>
    <w:uiPriority w:val="99"/>
    <w:rsid w:val="000C2A64"/>
    <w:rPr>
      <w:sz w:val="18"/>
      <w:szCs w:val="18"/>
    </w:rPr>
  </w:style>
  <w:style w:type="character" w:styleId="af2">
    <w:name w:val="Hyperlink"/>
    <w:basedOn w:val="a0"/>
    <w:uiPriority w:val="99"/>
    <w:unhideWhenUsed/>
    <w:rsid w:val="00541BC8"/>
    <w:rPr>
      <w:color w:val="467886" w:themeColor="hyperlink"/>
      <w:u w:val="single"/>
    </w:rPr>
  </w:style>
  <w:style w:type="character" w:styleId="af3">
    <w:name w:val="Unresolved Mention"/>
    <w:basedOn w:val="a0"/>
    <w:uiPriority w:val="99"/>
    <w:semiHidden/>
    <w:unhideWhenUsed/>
    <w:rsid w:val="00541BC8"/>
    <w:rPr>
      <w:color w:val="605E5C"/>
      <w:shd w:val="clear" w:color="auto" w:fill="E1DFDD"/>
    </w:rPr>
  </w:style>
  <w:style w:type="paragraph" w:styleId="TOC">
    <w:name w:val="TOC Heading"/>
    <w:basedOn w:val="1"/>
    <w:next w:val="a"/>
    <w:uiPriority w:val="39"/>
    <w:unhideWhenUsed/>
    <w:qFormat/>
    <w:rsid w:val="00541BC8"/>
    <w:pPr>
      <w:widowControl/>
      <w:spacing w:before="240" w:after="0" w:line="259" w:lineRule="auto"/>
      <w:jc w:val="left"/>
      <w:outlineLvl w:val="9"/>
    </w:pPr>
    <w:rPr>
      <w:kern w:val="0"/>
      <w:sz w:val="32"/>
      <w:szCs w:val="32"/>
    </w:rPr>
  </w:style>
  <w:style w:type="paragraph" w:styleId="TOC1">
    <w:name w:val="toc 1"/>
    <w:basedOn w:val="a"/>
    <w:next w:val="a"/>
    <w:autoRedefine/>
    <w:uiPriority w:val="39"/>
    <w:unhideWhenUsed/>
    <w:rsid w:val="00541BC8"/>
  </w:style>
  <w:style w:type="paragraph" w:styleId="TOC2">
    <w:name w:val="toc 2"/>
    <w:basedOn w:val="a"/>
    <w:next w:val="a"/>
    <w:autoRedefine/>
    <w:uiPriority w:val="39"/>
    <w:unhideWhenUsed/>
    <w:rsid w:val="00541BC8"/>
    <w:pPr>
      <w:ind w:leftChars="200" w:left="420"/>
    </w:pPr>
  </w:style>
  <w:style w:type="paragraph" w:styleId="af4">
    <w:name w:val="Normal (Web)"/>
    <w:basedOn w:val="a"/>
    <w:uiPriority w:val="99"/>
    <w:semiHidden/>
    <w:unhideWhenUsed/>
    <w:rsid w:val="00494904"/>
    <w:pPr>
      <w:widowControl/>
      <w:spacing w:before="100" w:beforeAutospacing="1" w:after="100" w:afterAutospacing="1"/>
      <w:jc w:val="left"/>
    </w:pPr>
    <w:rPr>
      <w:rFonts w:ascii="宋体" w:eastAsia="宋体" w:hAnsi="宋体" w:cs="宋体"/>
      <w:kern w:val="0"/>
      <w:sz w:val="24"/>
      <w:szCs w:val="24"/>
    </w:rPr>
  </w:style>
  <w:style w:type="character" w:styleId="af5">
    <w:name w:val="Strong"/>
    <w:basedOn w:val="a0"/>
    <w:uiPriority w:val="22"/>
    <w:qFormat/>
    <w:rsid w:val="00494904"/>
    <w:rPr>
      <w:b/>
      <w:bCs/>
    </w:rPr>
  </w:style>
  <w:style w:type="character" w:styleId="af6">
    <w:name w:val="Emphasis"/>
    <w:basedOn w:val="a0"/>
    <w:uiPriority w:val="20"/>
    <w:qFormat/>
    <w:rsid w:val="004949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17690">
      <w:bodyDiv w:val="1"/>
      <w:marLeft w:val="0"/>
      <w:marRight w:val="0"/>
      <w:marTop w:val="0"/>
      <w:marBottom w:val="0"/>
      <w:divBdr>
        <w:top w:val="none" w:sz="0" w:space="0" w:color="auto"/>
        <w:left w:val="none" w:sz="0" w:space="0" w:color="auto"/>
        <w:bottom w:val="none" w:sz="0" w:space="0" w:color="auto"/>
        <w:right w:val="none" w:sz="0" w:space="0" w:color="auto"/>
      </w:divBdr>
    </w:div>
    <w:div w:id="717516364">
      <w:bodyDiv w:val="1"/>
      <w:marLeft w:val="0"/>
      <w:marRight w:val="0"/>
      <w:marTop w:val="0"/>
      <w:marBottom w:val="0"/>
      <w:divBdr>
        <w:top w:val="none" w:sz="0" w:space="0" w:color="auto"/>
        <w:left w:val="none" w:sz="0" w:space="0" w:color="auto"/>
        <w:bottom w:val="none" w:sz="0" w:space="0" w:color="auto"/>
        <w:right w:val="none" w:sz="0" w:space="0" w:color="auto"/>
      </w:divBdr>
    </w:div>
    <w:div w:id="93836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n.net/" TargetMode="External"/><Relationship Id="rId13" Type="http://schemas.openxmlformats.org/officeDocument/2006/relationships/hyperlink" Target="https://www.reuters.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ia.nikkei.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 TargetMode="External"/><Relationship Id="rId5" Type="http://schemas.openxmlformats.org/officeDocument/2006/relationships/webSettings" Target="webSettings.xml"/><Relationship Id="rId15" Type="http://schemas.openxmlformats.org/officeDocument/2006/relationships/hyperlink" Target="https://www.blackrock.com/" TargetMode="External"/><Relationship Id="rId10" Type="http://schemas.openxmlformats.org/officeDocument/2006/relationships/hyperlink" Target="https://global.toyota/esg" TargetMode="External"/><Relationship Id="rId4" Type="http://schemas.openxmlformats.org/officeDocument/2006/relationships/settings" Target="settings.xml"/><Relationship Id="rId9" Type="http://schemas.openxmlformats.org/officeDocument/2006/relationships/hyperlink" Target="https://global.toyota/" TargetMode="External"/><Relationship Id="rId14" Type="http://schemas.openxmlformats.org/officeDocument/2006/relationships/hyperlink" Target="https://theicct.org/"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EF5D7-C522-4AB1-8FBF-A4D3DB243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15</Pages>
  <Words>3455</Words>
  <Characters>19694</Characters>
  <Application>Microsoft Office Word</Application>
  <DocSecurity>0</DocSecurity>
  <Lines>164</Lines>
  <Paragraphs>46</Paragraphs>
  <ScaleCrop>false</ScaleCrop>
  <Company/>
  <LinksUpToDate>false</LinksUpToDate>
  <CharactersWithSpaces>23103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T12672</dc:creator>
  <cp:keywords/>
  <dc:description/>
  <cp:lastModifiedBy>T12672</cp:lastModifiedBy>
  <cp:revision>18</cp:revision>
  <dcterms:created xsi:type="dcterms:W3CDTF">2025-03-20T23:05:00Z</dcterms:created>
  <dcterms:modified xsi:type="dcterms:W3CDTF">2025-03-21T16:34:00Z</dcterms:modified>
</cp:coreProperties>
</file>